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24" w:rsidRPr="005C75CF" w:rsidRDefault="0046747F" w:rsidP="00831310">
      <w:pPr>
        <w:widowControl/>
        <w:jc w:val="left"/>
        <w:rPr>
          <w:b/>
          <w:sz w:val="24"/>
          <w:szCs w:val="24"/>
        </w:rPr>
      </w:pPr>
      <w:r w:rsidRPr="00F156D1">
        <w:rPr>
          <w:b/>
          <w:sz w:val="24"/>
          <w:szCs w:val="24"/>
        </w:rPr>
        <w:t>6.04</w:t>
      </w:r>
      <w:r w:rsidR="00B60939" w:rsidRPr="00207D00">
        <w:rPr>
          <w:sz w:val="28"/>
        </w:rPr>
        <w:tab/>
      </w:r>
      <w:r w:rsidR="00925124" w:rsidRPr="005C75CF">
        <w:rPr>
          <w:b/>
          <w:sz w:val="24"/>
          <w:szCs w:val="24"/>
        </w:rPr>
        <w:t xml:space="preserve">SITAGLIPTIN 25mg, 50mg, 100mg tablet; </w:t>
      </w:r>
    </w:p>
    <w:p w:rsidR="00925124" w:rsidRPr="005C75CF" w:rsidRDefault="00925124" w:rsidP="00831310">
      <w:pPr>
        <w:widowControl/>
        <w:ind w:left="720"/>
        <w:jc w:val="left"/>
        <w:rPr>
          <w:b/>
          <w:sz w:val="24"/>
          <w:szCs w:val="24"/>
        </w:rPr>
      </w:pPr>
      <w:r w:rsidRPr="005C75CF">
        <w:rPr>
          <w:b/>
          <w:sz w:val="24"/>
          <w:szCs w:val="24"/>
        </w:rPr>
        <w:t xml:space="preserve">SITAGLIPTIN + METFORMIN 50/500mg, 50/850mg, 50/1000mg tablet; SITAGLIPTIN </w:t>
      </w:r>
      <w:r>
        <w:rPr>
          <w:b/>
          <w:sz w:val="24"/>
          <w:szCs w:val="24"/>
        </w:rPr>
        <w:t>+</w:t>
      </w:r>
      <w:r w:rsidRPr="005C75CF">
        <w:rPr>
          <w:b/>
          <w:sz w:val="24"/>
          <w:szCs w:val="24"/>
        </w:rPr>
        <w:t xml:space="preserve"> METFORMIN </w:t>
      </w:r>
      <w:r>
        <w:rPr>
          <w:b/>
          <w:sz w:val="24"/>
          <w:szCs w:val="24"/>
        </w:rPr>
        <w:t>XR</w:t>
      </w:r>
      <w:r w:rsidRPr="005C75CF">
        <w:rPr>
          <w:b/>
          <w:sz w:val="24"/>
          <w:szCs w:val="24"/>
        </w:rPr>
        <w:t>,</w:t>
      </w:r>
      <w:r>
        <w:rPr>
          <w:b/>
          <w:sz w:val="24"/>
          <w:szCs w:val="24"/>
        </w:rPr>
        <w:t xml:space="preserve"> </w:t>
      </w:r>
      <w:r w:rsidRPr="005C75CF">
        <w:rPr>
          <w:b/>
          <w:sz w:val="24"/>
          <w:szCs w:val="24"/>
        </w:rPr>
        <w:t>50/1000mg, 100/1000mg tablet</w:t>
      </w:r>
      <w:r>
        <w:rPr>
          <w:b/>
          <w:sz w:val="24"/>
          <w:szCs w:val="24"/>
        </w:rPr>
        <w:t>;</w:t>
      </w:r>
    </w:p>
    <w:p w:rsidR="00925124" w:rsidRPr="005C75CF" w:rsidRDefault="00925124" w:rsidP="00831310">
      <w:pPr>
        <w:widowControl/>
        <w:ind w:firstLine="720"/>
        <w:rPr>
          <w:b/>
          <w:sz w:val="24"/>
          <w:szCs w:val="24"/>
        </w:rPr>
      </w:pPr>
      <w:proofErr w:type="spellStart"/>
      <w:r w:rsidRPr="005C75CF">
        <w:rPr>
          <w:b/>
          <w:sz w:val="24"/>
          <w:szCs w:val="24"/>
        </w:rPr>
        <w:t>Januvia</w:t>
      </w:r>
      <w:proofErr w:type="spellEnd"/>
      <w:r w:rsidRPr="005C75CF">
        <w:rPr>
          <w:b/>
          <w:sz w:val="24"/>
          <w:szCs w:val="24"/>
        </w:rPr>
        <w:t xml:space="preserve"> ®, </w:t>
      </w:r>
      <w:proofErr w:type="spellStart"/>
      <w:r w:rsidRPr="005C75CF">
        <w:rPr>
          <w:b/>
          <w:sz w:val="24"/>
          <w:szCs w:val="24"/>
        </w:rPr>
        <w:t>Janumet</w:t>
      </w:r>
      <w:proofErr w:type="spellEnd"/>
      <w:r w:rsidRPr="005C75CF">
        <w:rPr>
          <w:b/>
          <w:sz w:val="24"/>
          <w:szCs w:val="24"/>
        </w:rPr>
        <w:t xml:space="preserve">®, </w:t>
      </w:r>
      <w:proofErr w:type="spellStart"/>
      <w:r w:rsidRPr="005C75CF">
        <w:rPr>
          <w:b/>
          <w:sz w:val="24"/>
          <w:szCs w:val="24"/>
        </w:rPr>
        <w:t>Janumet</w:t>
      </w:r>
      <w:proofErr w:type="spellEnd"/>
      <w:r w:rsidRPr="005C75CF">
        <w:rPr>
          <w:b/>
          <w:sz w:val="24"/>
          <w:szCs w:val="24"/>
        </w:rPr>
        <w:t xml:space="preserve"> XR® </w:t>
      </w:r>
    </w:p>
    <w:p w:rsidR="00925124" w:rsidRPr="005C75CF" w:rsidRDefault="00925124" w:rsidP="00831310">
      <w:pPr>
        <w:widowControl/>
        <w:ind w:firstLine="720"/>
        <w:rPr>
          <w:b/>
          <w:sz w:val="24"/>
          <w:szCs w:val="24"/>
        </w:rPr>
      </w:pPr>
      <w:r w:rsidRPr="005C75CF">
        <w:rPr>
          <w:b/>
          <w:sz w:val="24"/>
          <w:szCs w:val="24"/>
        </w:rPr>
        <w:t>Merck</w:t>
      </w:r>
      <w:r>
        <w:rPr>
          <w:b/>
          <w:sz w:val="24"/>
          <w:szCs w:val="24"/>
        </w:rPr>
        <w:t xml:space="preserve"> </w:t>
      </w:r>
      <w:r w:rsidRPr="005C75CF">
        <w:rPr>
          <w:b/>
          <w:sz w:val="24"/>
          <w:szCs w:val="24"/>
        </w:rPr>
        <w:t>Sharp</w:t>
      </w:r>
      <w:r>
        <w:rPr>
          <w:b/>
          <w:sz w:val="24"/>
          <w:szCs w:val="24"/>
        </w:rPr>
        <w:t xml:space="preserve"> </w:t>
      </w:r>
      <w:r w:rsidRPr="005C75CF">
        <w:rPr>
          <w:b/>
          <w:sz w:val="24"/>
          <w:szCs w:val="24"/>
        </w:rPr>
        <w:t>&amp;</w:t>
      </w:r>
      <w:r>
        <w:rPr>
          <w:b/>
          <w:sz w:val="24"/>
          <w:szCs w:val="24"/>
        </w:rPr>
        <w:t xml:space="preserve"> </w:t>
      </w:r>
      <w:proofErr w:type="spellStart"/>
      <w:r w:rsidRPr="005C75CF">
        <w:rPr>
          <w:b/>
          <w:sz w:val="24"/>
          <w:szCs w:val="24"/>
        </w:rPr>
        <w:t>Dohme</w:t>
      </w:r>
      <w:proofErr w:type="spellEnd"/>
      <w:r w:rsidRPr="005C75CF">
        <w:rPr>
          <w:b/>
          <w:sz w:val="24"/>
          <w:szCs w:val="24"/>
        </w:rPr>
        <w:t xml:space="preserve"> Australia Pty Ltd</w:t>
      </w:r>
      <w:r>
        <w:rPr>
          <w:b/>
          <w:sz w:val="24"/>
          <w:szCs w:val="24"/>
        </w:rPr>
        <w:t>.</w:t>
      </w:r>
    </w:p>
    <w:p w:rsidR="00433044" w:rsidRDefault="00433044" w:rsidP="00831310">
      <w:pPr>
        <w:widowControl/>
      </w:pPr>
    </w:p>
    <w:p w:rsidR="00B60939" w:rsidRDefault="00B60939" w:rsidP="00831310">
      <w:pPr>
        <w:widowControl/>
      </w:pPr>
    </w:p>
    <w:p w:rsidR="00B50DB8" w:rsidRPr="000B6E8A" w:rsidRDefault="00B50DB8" w:rsidP="00831310">
      <w:pPr>
        <w:pStyle w:val="PBACHeading1"/>
      </w:pPr>
      <w:bookmarkStart w:id="0" w:name="_Toc419661299"/>
      <w:r w:rsidRPr="00407F2D">
        <w:t>Purpose of Application</w:t>
      </w:r>
      <w:bookmarkEnd w:id="0"/>
    </w:p>
    <w:p w:rsidR="00B60939" w:rsidRPr="00882085" w:rsidRDefault="00B60939" w:rsidP="00831310">
      <w:pPr>
        <w:widowControl/>
        <w:rPr>
          <w:szCs w:val="22"/>
        </w:rPr>
      </w:pPr>
    </w:p>
    <w:p w:rsidR="002C2775" w:rsidRPr="00B50DB8" w:rsidRDefault="002717F0" w:rsidP="00831310">
      <w:pPr>
        <w:pStyle w:val="ListParagraph"/>
        <w:widowControl/>
        <w:numPr>
          <w:ilvl w:val="1"/>
          <w:numId w:val="8"/>
        </w:numPr>
        <w:rPr>
          <w:szCs w:val="22"/>
        </w:rPr>
      </w:pPr>
      <w:r>
        <w:t xml:space="preserve">The submission sought to extend the PBS listing of </w:t>
      </w:r>
      <w:proofErr w:type="spellStart"/>
      <w:r>
        <w:t>sitagliptin</w:t>
      </w:r>
      <w:proofErr w:type="spellEnd"/>
      <w:r w:rsidR="000D7A18">
        <w:t>,</w:t>
      </w:r>
      <w:r w:rsidR="00BF4139">
        <w:t xml:space="preserve"> </w:t>
      </w:r>
      <w:proofErr w:type="spellStart"/>
      <w:r w:rsidR="00BF4139">
        <w:t>sitagliptin</w:t>
      </w:r>
      <w:r w:rsidR="00DD1A33">
        <w:t>+</w:t>
      </w:r>
      <w:r w:rsidR="00BF4139">
        <w:t>metformin</w:t>
      </w:r>
      <w:proofErr w:type="spellEnd"/>
      <w:r w:rsidR="00BF4139">
        <w:t xml:space="preserve"> and </w:t>
      </w:r>
      <w:proofErr w:type="spellStart"/>
      <w:r w:rsidR="00BF4139">
        <w:t>sitagliptin</w:t>
      </w:r>
      <w:r w:rsidR="00DD1A33">
        <w:t>+</w:t>
      </w:r>
      <w:r w:rsidR="000D7A18">
        <w:t>metformin</w:t>
      </w:r>
      <w:proofErr w:type="spellEnd"/>
      <w:r w:rsidR="000D7A18">
        <w:t xml:space="preserve"> XR</w:t>
      </w:r>
      <w:r>
        <w:t xml:space="preserve"> to include an </w:t>
      </w:r>
      <w:r w:rsidRPr="004B3DDB">
        <w:t>Authority Required</w:t>
      </w:r>
      <w:r>
        <w:t xml:space="preserve"> (Streamlined)</w:t>
      </w:r>
      <w:r w:rsidRPr="004B3DDB">
        <w:t xml:space="preserve"> listing for </w:t>
      </w:r>
      <w:r>
        <w:t xml:space="preserve">the </w:t>
      </w:r>
      <w:r w:rsidRPr="004B3DDB">
        <w:t>treatment of</w:t>
      </w:r>
      <w:r>
        <w:t xml:space="preserve"> patients with</w:t>
      </w:r>
      <w:r w:rsidRPr="004B3DDB">
        <w:t xml:space="preserve"> </w:t>
      </w:r>
      <w:r>
        <w:t xml:space="preserve">type 2 diabetes </w:t>
      </w:r>
      <w:r w:rsidR="00CA4D7B">
        <w:t>mellitus</w:t>
      </w:r>
      <w:r w:rsidR="00B001A8">
        <w:t xml:space="preserve"> (T2DM)</w:t>
      </w:r>
      <w:r w:rsidR="00CA4D7B">
        <w:t xml:space="preserve"> </w:t>
      </w:r>
      <w:r>
        <w:t>in combination with</w:t>
      </w:r>
      <w:r w:rsidRPr="004B3DDB">
        <w:t xml:space="preserve"> </w:t>
      </w:r>
      <w:r>
        <w:t>insulin, with or without metformin</w:t>
      </w:r>
      <w:r w:rsidR="001E238E" w:rsidRPr="004B3DDB">
        <w:t>.</w:t>
      </w:r>
    </w:p>
    <w:p w:rsidR="004E43B2" w:rsidRPr="00882085" w:rsidRDefault="004E43B2" w:rsidP="00831310">
      <w:pPr>
        <w:widowControl/>
      </w:pPr>
    </w:p>
    <w:p w:rsidR="00B50DB8" w:rsidRDefault="00B50DB8" w:rsidP="00831310">
      <w:pPr>
        <w:pStyle w:val="PBACHeading1"/>
        <w:keepNext/>
      </w:pPr>
      <w:bookmarkStart w:id="1" w:name="_Toc419661300"/>
      <w:r w:rsidRPr="00407F2D">
        <w:t>Requested listing</w:t>
      </w:r>
      <w:bookmarkEnd w:id="1"/>
    </w:p>
    <w:p w:rsidR="00FB114D" w:rsidRDefault="00FB114D" w:rsidP="00831310">
      <w:pPr>
        <w:pStyle w:val="PBACHeading1"/>
        <w:keepNext/>
        <w:numPr>
          <w:ilvl w:val="0"/>
          <w:numId w:val="0"/>
        </w:numPr>
        <w:ind w:left="720" w:hanging="720"/>
      </w:pPr>
    </w:p>
    <w:p w:rsidR="00FB114D" w:rsidRDefault="00FB114D" w:rsidP="00831310">
      <w:pPr>
        <w:pStyle w:val="ListParagraph"/>
        <w:widowControl/>
        <w:numPr>
          <w:ilvl w:val="1"/>
          <w:numId w:val="8"/>
        </w:numPr>
      </w:pPr>
      <w:r w:rsidRPr="00552352">
        <w:t>Suggestions and additions proposed by the Secretariat to the requested listing are added in italics and suggested deletions are crossed out with strikethrough.</w:t>
      </w:r>
    </w:p>
    <w:p w:rsidR="00CA4D7B" w:rsidRPr="00552352" w:rsidRDefault="00CA4D7B" w:rsidP="00831310">
      <w:pPr>
        <w:pStyle w:val="ListParagraph"/>
        <w:widowControl/>
      </w:pPr>
    </w:p>
    <w:tbl>
      <w:tblPr>
        <w:tblW w:w="8222"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78"/>
        <w:gridCol w:w="709"/>
        <w:gridCol w:w="708"/>
        <w:gridCol w:w="1276"/>
        <w:gridCol w:w="851"/>
      </w:tblGrid>
      <w:tr w:rsidR="00FB114D" w:rsidRPr="005E26D6" w:rsidTr="00200746">
        <w:trPr>
          <w:cantSplit/>
          <w:trHeight w:val="471"/>
        </w:trPr>
        <w:tc>
          <w:tcPr>
            <w:tcW w:w="4678" w:type="dxa"/>
            <w:tcBorders>
              <w:top w:val="nil"/>
              <w:left w:val="nil"/>
              <w:bottom w:val="single" w:sz="6" w:space="0" w:color="auto"/>
              <w:right w:val="nil"/>
            </w:tcBorders>
            <w:shd w:val="clear" w:color="auto" w:fill="auto"/>
          </w:tcPr>
          <w:p w:rsidR="00FB114D" w:rsidRPr="005E26D6" w:rsidRDefault="00FB114D" w:rsidP="00831310">
            <w:pPr>
              <w:keepNext/>
              <w:widowControl/>
              <w:ind w:left="-108"/>
              <w:rPr>
                <w:b/>
                <w:sz w:val="20"/>
              </w:rPr>
            </w:pPr>
            <w:r w:rsidRPr="005E26D6">
              <w:rPr>
                <w:b/>
                <w:sz w:val="20"/>
              </w:rPr>
              <w:t>Name, Restriction,</w:t>
            </w:r>
          </w:p>
          <w:p w:rsidR="00FB114D" w:rsidRPr="005E26D6" w:rsidRDefault="00FB114D" w:rsidP="00831310">
            <w:pPr>
              <w:keepNext/>
              <w:widowControl/>
              <w:ind w:left="-108"/>
              <w:rPr>
                <w:b/>
                <w:sz w:val="20"/>
              </w:rPr>
            </w:pPr>
            <w:r w:rsidRPr="005E26D6">
              <w:rPr>
                <w:b/>
                <w:sz w:val="20"/>
              </w:rPr>
              <w:t xml:space="preserve">Manner of administration </w:t>
            </w:r>
          </w:p>
          <w:p w:rsidR="00FB114D" w:rsidRPr="005E26D6" w:rsidRDefault="00FB114D" w:rsidP="00831310">
            <w:pPr>
              <w:keepNext/>
              <w:widowControl/>
              <w:ind w:left="-108"/>
              <w:rPr>
                <w:b/>
                <w:sz w:val="20"/>
              </w:rPr>
            </w:pPr>
            <w:r w:rsidRPr="005E26D6">
              <w:rPr>
                <w:b/>
                <w:sz w:val="20"/>
              </w:rPr>
              <w:t>and form</w:t>
            </w:r>
          </w:p>
        </w:tc>
        <w:tc>
          <w:tcPr>
            <w:tcW w:w="709" w:type="dxa"/>
            <w:tcBorders>
              <w:top w:val="nil"/>
              <w:left w:val="nil"/>
              <w:bottom w:val="single" w:sz="6" w:space="0" w:color="auto"/>
              <w:right w:val="nil"/>
            </w:tcBorders>
            <w:shd w:val="clear" w:color="auto" w:fill="auto"/>
          </w:tcPr>
          <w:p w:rsidR="00FB114D" w:rsidRPr="005E26D6" w:rsidRDefault="00FB114D" w:rsidP="00831310">
            <w:pPr>
              <w:keepNext/>
              <w:widowControl/>
              <w:ind w:left="-108"/>
              <w:rPr>
                <w:b/>
                <w:sz w:val="20"/>
              </w:rPr>
            </w:pPr>
            <w:r w:rsidRPr="005E26D6">
              <w:rPr>
                <w:b/>
                <w:sz w:val="20"/>
              </w:rPr>
              <w:t>Max.</w:t>
            </w:r>
          </w:p>
          <w:p w:rsidR="00FB114D" w:rsidRPr="005E26D6" w:rsidRDefault="00FB114D" w:rsidP="00831310">
            <w:pPr>
              <w:keepNext/>
              <w:widowControl/>
              <w:ind w:left="-108"/>
              <w:rPr>
                <w:b/>
                <w:sz w:val="20"/>
              </w:rPr>
            </w:pPr>
            <w:r w:rsidRPr="005E26D6">
              <w:rPr>
                <w:b/>
                <w:sz w:val="20"/>
              </w:rPr>
              <w:t>Qty</w:t>
            </w:r>
          </w:p>
        </w:tc>
        <w:tc>
          <w:tcPr>
            <w:tcW w:w="708" w:type="dxa"/>
            <w:tcBorders>
              <w:top w:val="nil"/>
              <w:left w:val="nil"/>
              <w:bottom w:val="single" w:sz="6" w:space="0" w:color="auto"/>
              <w:right w:val="nil"/>
            </w:tcBorders>
            <w:shd w:val="clear" w:color="auto" w:fill="auto"/>
          </w:tcPr>
          <w:p w:rsidR="00FB114D" w:rsidRPr="005E26D6" w:rsidRDefault="00FB114D" w:rsidP="00831310">
            <w:pPr>
              <w:keepNext/>
              <w:widowControl/>
              <w:ind w:left="-108"/>
              <w:rPr>
                <w:b/>
                <w:sz w:val="20"/>
              </w:rPr>
            </w:pPr>
            <w:r w:rsidRPr="005E26D6">
              <w:rPr>
                <w:b/>
                <w:sz w:val="20"/>
              </w:rPr>
              <w:t>№.of</w:t>
            </w:r>
          </w:p>
          <w:p w:rsidR="00FB114D" w:rsidRPr="005E26D6" w:rsidRDefault="00FB114D" w:rsidP="00831310">
            <w:pPr>
              <w:keepNext/>
              <w:widowControl/>
              <w:ind w:left="-108"/>
              <w:rPr>
                <w:b/>
                <w:sz w:val="20"/>
              </w:rPr>
            </w:pPr>
            <w:r w:rsidRPr="005E26D6">
              <w:rPr>
                <w:b/>
                <w:sz w:val="20"/>
              </w:rPr>
              <w:t>Rpts</w:t>
            </w:r>
          </w:p>
        </w:tc>
        <w:tc>
          <w:tcPr>
            <w:tcW w:w="2127" w:type="dxa"/>
            <w:gridSpan w:val="2"/>
            <w:tcBorders>
              <w:top w:val="nil"/>
              <w:left w:val="nil"/>
              <w:bottom w:val="single" w:sz="6" w:space="0" w:color="auto"/>
              <w:right w:val="nil"/>
            </w:tcBorders>
            <w:shd w:val="clear" w:color="auto" w:fill="auto"/>
          </w:tcPr>
          <w:p w:rsidR="00FB114D" w:rsidRPr="005E26D6" w:rsidRDefault="00FB114D" w:rsidP="00831310">
            <w:pPr>
              <w:keepNext/>
              <w:widowControl/>
              <w:rPr>
                <w:b/>
                <w:sz w:val="20"/>
                <w:lang w:val="fr-FR"/>
              </w:rPr>
            </w:pPr>
            <w:r w:rsidRPr="005E26D6">
              <w:rPr>
                <w:b/>
                <w:sz w:val="20"/>
              </w:rPr>
              <w:t>Proprietary Name and Manufacturer</w:t>
            </w:r>
          </w:p>
        </w:tc>
      </w:tr>
      <w:tr w:rsidR="00FB114D" w:rsidRPr="005E26D6" w:rsidTr="00471E6B">
        <w:trPr>
          <w:cantSplit/>
          <w:trHeight w:val="471"/>
        </w:trPr>
        <w:tc>
          <w:tcPr>
            <w:tcW w:w="4678" w:type="dxa"/>
            <w:tcBorders>
              <w:top w:val="single" w:sz="6" w:space="0" w:color="auto"/>
              <w:left w:val="nil"/>
              <w:bottom w:val="nil"/>
              <w:right w:val="nil"/>
            </w:tcBorders>
            <w:shd w:val="clear" w:color="auto" w:fill="auto"/>
            <w:vAlign w:val="center"/>
          </w:tcPr>
          <w:p w:rsidR="00FB114D" w:rsidRDefault="00FB114D" w:rsidP="00831310">
            <w:pPr>
              <w:widowControl/>
              <w:rPr>
                <w:rFonts w:ascii="Arial Narrow" w:hAnsi="Arial Narrow"/>
                <w:sz w:val="20"/>
              </w:rPr>
            </w:pPr>
            <w:r>
              <w:rPr>
                <w:rFonts w:ascii="Arial Narrow" w:hAnsi="Arial Narrow"/>
                <w:sz w:val="20"/>
              </w:rPr>
              <w:t>SITAGLIPTIN</w:t>
            </w:r>
          </w:p>
          <w:p w:rsidR="00FB114D" w:rsidRDefault="00FB114D" w:rsidP="00831310">
            <w:pPr>
              <w:widowControl/>
              <w:rPr>
                <w:rFonts w:ascii="Arial Narrow" w:hAnsi="Arial Narrow"/>
                <w:sz w:val="20"/>
              </w:rPr>
            </w:pPr>
            <w:proofErr w:type="spellStart"/>
            <w:r>
              <w:rPr>
                <w:rFonts w:ascii="Arial Narrow" w:hAnsi="Arial Narrow"/>
                <w:sz w:val="20"/>
              </w:rPr>
              <w:t>sitagliptin</w:t>
            </w:r>
            <w:proofErr w:type="spellEnd"/>
            <w:r>
              <w:rPr>
                <w:rFonts w:ascii="Arial Narrow" w:hAnsi="Arial Narrow"/>
                <w:sz w:val="20"/>
              </w:rPr>
              <w:t xml:space="preserve"> 25 mg tablet, 28</w:t>
            </w:r>
          </w:p>
          <w:p w:rsidR="00FB114D" w:rsidRPr="005E26D6" w:rsidRDefault="00FB114D" w:rsidP="00831310">
            <w:pPr>
              <w:widowControl/>
              <w:rPr>
                <w:rFonts w:ascii="Arial Narrow" w:hAnsi="Arial Narrow"/>
                <w:sz w:val="20"/>
              </w:rPr>
            </w:pPr>
            <w:proofErr w:type="spellStart"/>
            <w:r>
              <w:rPr>
                <w:rFonts w:ascii="Arial Narrow" w:hAnsi="Arial Narrow"/>
                <w:sz w:val="20"/>
              </w:rPr>
              <w:t>sitagliptin</w:t>
            </w:r>
            <w:proofErr w:type="spellEnd"/>
            <w:r>
              <w:rPr>
                <w:rFonts w:ascii="Arial Narrow" w:hAnsi="Arial Narrow"/>
                <w:sz w:val="20"/>
              </w:rPr>
              <w:t xml:space="preserve"> 50 mg tablet, 28</w:t>
            </w:r>
          </w:p>
          <w:p w:rsidR="00FB114D" w:rsidRDefault="00FB114D" w:rsidP="00831310">
            <w:pPr>
              <w:widowControl/>
              <w:rPr>
                <w:rFonts w:ascii="Arial Narrow" w:hAnsi="Arial Narrow"/>
                <w:sz w:val="20"/>
              </w:rPr>
            </w:pPr>
            <w:proofErr w:type="spellStart"/>
            <w:r>
              <w:rPr>
                <w:rFonts w:ascii="Arial Narrow" w:hAnsi="Arial Narrow"/>
                <w:sz w:val="20"/>
              </w:rPr>
              <w:t>sitagliptin</w:t>
            </w:r>
            <w:proofErr w:type="spellEnd"/>
            <w:r>
              <w:rPr>
                <w:rFonts w:ascii="Arial Narrow" w:hAnsi="Arial Narrow"/>
                <w:sz w:val="20"/>
              </w:rPr>
              <w:t xml:space="preserve"> 100 mg tablet, 28</w:t>
            </w:r>
          </w:p>
          <w:p w:rsidR="00FB114D" w:rsidRDefault="00FB114D" w:rsidP="00831310">
            <w:pPr>
              <w:widowControl/>
              <w:rPr>
                <w:rFonts w:ascii="Arial Narrow" w:hAnsi="Arial Narrow"/>
                <w:sz w:val="20"/>
              </w:rPr>
            </w:pPr>
          </w:p>
          <w:p w:rsidR="00FB114D" w:rsidRDefault="00FB114D" w:rsidP="00831310">
            <w:pPr>
              <w:widowControl/>
              <w:rPr>
                <w:rFonts w:ascii="Arial Narrow" w:hAnsi="Arial Narrow"/>
                <w:sz w:val="20"/>
              </w:rPr>
            </w:pPr>
            <w:r>
              <w:rPr>
                <w:rFonts w:ascii="Arial Narrow" w:hAnsi="Arial Narrow"/>
                <w:sz w:val="20"/>
              </w:rPr>
              <w:t>SITAGLIPTIN + METFORMIN</w:t>
            </w:r>
          </w:p>
          <w:p w:rsidR="00FB114D" w:rsidRPr="00B20C48" w:rsidRDefault="00FB114D" w:rsidP="00831310">
            <w:pPr>
              <w:widowControl/>
              <w:rPr>
                <w:rFonts w:ascii="Arial Narrow" w:hAnsi="Arial Narrow"/>
                <w:sz w:val="20"/>
              </w:rPr>
            </w:pPr>
            <w:proofErr w:type="spellStart"/>
            <w:r w:rsidRPr="00B20C48">
              <w:rPr>
                <w:rFonts w:ascii="Arial Narrow" w:hAnsi="Arial Narrow"/>
                <w:sz w:val="20"/>
              </w:rPr>
              <w:t>sitagliptin</w:t>
            </w:r>
            <w:proofErr w:type="spellEnd"/>
            <w:r w:rsidRPr="00B20C48">
              <w:rPr>
                <w:rFonts w:ascii="Arial Narrow" w:hAnsi="Arial Narrow"/>
                <w:sz w:val="20"/>
              </w:rPr>
              <w:t xml:space="preserve"> 50 mg + metformin hydrochloride 500 mg tablet, 56</w:t>
            </w:r>
          </w:p>
          <w:p w:rsidR="00FB114D" w:rsidRDefault="00FB114D" w:rsidP="00831310">
            <w:pPr>
              <w:widowControl/>
              <w:rPr>
                <w:rFonts w:ascii="Arial Narrow" w:hAnsi="Arial Narrow"/>
                <w:sz w:val="20"/>
              </w:rPr>
            </w:pPr>
            <w:proofErr w:type="spellStart"/>
            <w:r w:rsidRPr="00B20C48">
              <w:rPr>
                <w:rFonts w:ascii="Arial Narrow" w:hAnsi="Arial Narrow"/>
                <w:sz w:val="20"/>
              </w:rPr>
              <w:t>sitagliptin</w:t>
            </w:r>
            <w:proofErr w:type="spellEnd"/>
            <w:r w:rsidRPr="00B20C48">
              <w:rPr>
                <w:rFonts w:ascii="Arial Narrow" w:hAnsi="Arial Narrow"/>
                <w:sz w:val="20"/>
              </w:rPr>
              <w:t xml:space="preserve"> 50 mg + metformin hydrochloride 850 mg tablet, 56</w:t>
            </w:r>
          </w:p>
          <w:p w:rsidR="00FB114D" w:rsidRDefault="00FB114D" w:rsidP="00831310">
            <w:pPr>
              <w:widowControl/>
              <w:rPr>
                <w:rFonts w:ascii="Arial Narrow" w:hAnsi="Arial Narrow"/>
                <w:sz w:val="20"/>
              </w:rPr>
            </w:pPr>
            <w:proofErr w:type="spellStart"/>
            <w:r w:rsidRPr="00B20C48">
              <w:rPr>
                <w:rFonts w:ascii="Arial Narrow" w:hAnsi="Arial Narrow"/>
                <w:sz w:val="20"/>
              </w:rPr>
              <w:t>sitagliptin</w:t>
            </w:r>
            <w:proofErr w:type="spellEnd"/>
            <w:r w:rsidRPr="00B20C48">
              <w:rPr>
                <w:rFonts w:ascii="Arial Narrow" w:hAnsi="Arial Narrow"/>
                <w:sz w:val="20"/>
              </w:rPr>
              <w:t xml:space="preserve"> 50 mg + metformin hydrochloride 1 g tablet, 56</w:t>
            </w:r>
          </w:p>
          <w:p w:rsidR="00FB114D" w:rsidRDefault="00FB114D" w:rsidP="00831310">
            <w:pPr>
              <w:widowControl/>
              <w:rPr>
                <w:rFonts w:ascii="Arial Narrow" w:hAnsi="Arial Narrow"/>
                <w:sz w:val="20"/>
              </w:rPr>
            </w:pPr>
          </w:p>
          <w:p w:rsidR="00FB114D" w:rsidRPr="00B20C48" w:rsidRDefault="00FB114D" w:rsidP="00831310">
            <w:pPr>
              <w:widowControl/>
              <w:rPr>
                <w:rFonts w:ascii="Arial Narrow" w:hAnsi="Arial Narrow"/>
                <w:sz w:val="20"/>
              </w:rPr>
            </w:pPr>
            <w:r w:rsidRPr="00B20C48">
              <w:rPr>
                <w:rFonts w:ascii="Arial Narrow" w:hAnsi="Arial Narrow"/>
                <w:sz w:val="20"/>
              </w:rPr>
              <w:t>SITAGLIPTIN + METFORMIN</w:t>
            </w:r>
          </w:p>
          <w:p w:rsidR="00FB114D" w:rsidRDefault="00FB114D" w:rsidP="00831310">
            <w:pPr>
              <w:widowControl/>
              <w:rPr>
                <w:rFonts w:ascii="Arial Narrow" w:hAnsi="Arial Narrow"/>
                <w:sz w:val="20"/>
              </w:rPr>
            </w:pPr>
            <w:proofErr w:type="spellStart"/>
            <w:r w:rsidRPr="00B20C48">
              <w:rPr>
                <w:rFonts w:ascii="Arial Narrow" w:hAnsi="Arial Narrow"/>
                <w:sz w:val="20"/>
              </w:rPr>
              <w:t>sitagliptin</w:t>
            </w:r>
            <w:proofErr w:type="spellEnd"/>
            <w:r w:rsidRPr="00B20C48">
              <w:rPr>
                <w:rFonts w:ascii="Arial Narrow" w:hAnsi="Arial Narrow"/>
                <w:sz w:val="20"/>
              </w:rPr>
              <w:t xml:space="preserve"> 50 mg + metformin hydrochloride 1 g tablet: modified release, 56</w:t>
            </w:r>
          </w:p>
          <w:p w:rsidR="00FB114D" w:rsidRPr="00BF5F76" w:rsidRDefault="00FB114D" w:rsidP="00831310">
            <w:pPr>
              <w:widowControl/>
              <w:rPr>
                <w:rFonts w:ascii="Arial Narrow" w:hAnsi="Arial Narrow"/>
                <w:sz w:val="20"/>
              </w:rPr>
            </w:pPr>
            <w:proofErr w:type="spellStart"/>
            <w:r w:rsidRPr="00B20C48">
              <w:rPr>
                <w:rFonts w:ascii="Arial Narrow" w:hAnsi="Arial Narrow"/>
                <w:sz w:val="20"/>
              </w:rPr>
              <w:t>sitagliptin</w:t>
            </w:r>
            <w:proofErr w:type="spellEnd"/>
            <w:r w:rsidRPr="00B20C48">
              <w:rPr>
                <w:rFonts w:ascii="Arial Narrow" w:hAnsi="Arial Narrow"/>
                <w:sz w:val="20"/>
              </w:rPr>
              <w:t xml:space="preserve"> 100 mg + metformin hydrochloride 1 g tablet: modified release, 28</w:t>
            </w:r>
          </w:p>
        </w:tc>
        <w:tc>
          <w:tcPr>
            <w:tcW w:w="709" w:type="dxa"/>
            <w:tcBorders>
              <w:top w:val="single" w:sz="6" w:space="0" w:color="auto"/>
              <w:left w:val="nil"/>
              <w:bottom w:val="nil"/>
              <w:right w:val="nil"/>
            </w:tcBorders>
            <w:shd w:val="clear" w:color="auto" w:fill="auto"/>
          </w:tcPr>
          <w:p w:rsidR="00FB114D" w:rsidRDefault="00FB114D" w:rsidP="00831310">
            <w:pPr>
              <w:keepNext/>
              <w:widowControl/>
              <w:jc w:val="left"/>
              <w:rPr>
                <w:rFonts w:ascii="Arial Narrow" w:hAnsi="Arial Narrow"/>
                <w:sz w:val="20"/>
              </w:rPr>
            </w:pPr>
            <w:r>
              <w:rPr>
                <w:rFonts w:ascii="Arial Narrow" w:hAnsi="Arial Narrow"/>
                <w:sz w:val="20"/>
              </w:rPr>
              <w:t>1</w:t>
            </w: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r>
              <w:rPr>
                <w:rFonts w:ascii="Arial Narrow" w:hAnsi="Arial Narrow"/>
                <w:sz w:val="20"/>
              </w:rPr>
              <w:t>1</w:t>
            </w: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Pr="005E26D6" w:rsidRDefault="00471E6B" w:rsidP="00831310">
            <w:pPr>
              <w:keepNext/>
              <w:widowControl/>
              <w:jc w:val="left"/>
              <w:rPr>
                <w:rFonts w:ascii="Arial Narrow" w:hAnsi="Arial Narrow"/>
                <w:sz w:val="20"/>
              </w:rPr>
            </w:pPr>
            <w:r>
              <w:rPr>
                <w:rFonts w:ascii="Arial Narrow" w:hAnsi="Arial Narrow"/>
                <w:sz w:val="20"/>
              </w:rPr>
              <w:t>1</w:t>
            </w:r>
          </w:p>
        </w:tc>
        <w:tc>
          <w:tcPr>
            <w:tcW w:w="708" w:type="dxa"/>
            <w:tcBorders>
              <w:top w:val="single" w:sz="6" w:space="0" w:color="auto"/>
              <w:left w:val="nil"/>
              <w:bottom w:val="nil"/>
              <w:right w:val="nil"/>
            </w:tcBorders>
            <w:shd w:val="clear" w:color="auto" w:fill="auto"/>
          </w:tcPr>
          <w:p w:rsidR="00FB114D" w:rsidRDefault="00FB114D" w:rsidP="00831310">
            <w:pPr>
              <w:keepNext/>
              <w:widowControl/>
              <w:ind w:left="-108"/>
              <w:jc w:val="left"/>
              <w:rPr>
                <w:rFonts w:ascii="Arial Narrow" w:hAnsi="Arial Narrow"/>
                <w:sz w:val="20"/>
              </w:rPr>
            </w:pPr>
            <w:r>
              <w:rPr>
                <w:rFonts w:ascii="Arial Narrow" w:hAnsi="Arial Narrow"/>
                <w:sz w:val="20"/>
              </w:rPr>
              <w:t>5</w:t>
            </w:r>
          </w:p>
          <w:p w:rsidR="00471E6B" w:rsidRDefault="00471E6B" w:rsidP="00831310">
            <w:pPr>
              <w:keepNext/>
              <w:widowControl/>
              <w:ind w:left="-108"/>
              <w:jc w:val="left"/>
              <w:rPr>
                <w:rFonts w:ascii="Arial Narrow" w:hAnsi="Arial Narrow"/>
                <w:sz w:val="20"/>
              </w:rPr>
            </w:pPr>
          </w:p>
          <w:p w:rsidR="00471E6B" w:rsidRDefault="00471E6B" w:rsidP="00831310">
            <w:pPr>
              <w:keepNext/>
              <w:widowControl/>
              <w:ind w:left="-108"/>
              <w:jc w:val="left"/>
              <w:rPr>
                <w:rFonts w:ascii="Arial Narrow" w:hAnsi="Arial Narrow"/>
                <w:sz w:val="20"/>
              </w:rPr>
            </w:pPr>
          </w:p>
          <w:p w:rsidR="00471E6B" w:rsidRDefault="00471E6B" w:rsidP="00831310">
            <w:pPr>
              <w:keepNext/>
              <w:widowControl/>
              <w:ind w:left="-108"/>
              <w:jc w:val="left"/>
              <w:rPr>
                <w:rFonts w:ascii="Arial Narrow" w:hAnsi="Arial Narrow"/>
                <w:sz w:val="20"/>
              </w:rPr>
            </w:pPr>
          </w:p>
          <w:p w:rsidR="00471E6B" w:rsidRDefault="00471E6B" w:rsidP="00831310">
            <w:pPr>
              <w:keepNext/>
              <w:widowControl/>
              <w:ind w:left="-108"/>
              <w:jc w:val="left"/>
              <w:rPr>
                <w:rFonts w:ascii="Arial Narrow" w:hAnsi="Arial Narrow"/>
                <w:sz w:val="20"/>
              </w:rPr>
            </w:pPr>
          </w:p>
          <w:p w:rsidR="00471E6B" w:rsidRDefault="00471E6B" w:rsidP="00831310">
            <w:pPr>
              <w:keepNext/>
              <w:widowControl/>
              <w:ind w:left="-108"/>
              <w:jc w:val="left"/>
              <w:rPr>
                <w:rFonts w:ascii="Arial Narrow" w:hAnsi="Arial Narrow"/>
                <w:sz w:val="20"/>
              </w:rPr>
            </w:pPr>
            <w:r>
              <w:rPr>
                <w:rFonts w:ascii="Arial Narrow" w:hAnsi="Arial Narrow"/>
                <w:sz w:val="20"/>
              </w:rPr>
              <w:t>5</w:t>
            </w:r>
          </w:p>
          <w:p w:rsidR="00471E6B" w:rsidRDefault="00471E6B" w:rsidP="00831310">
            <w:pPr>
              <w:keepNext/>
              <w:widowControl/>
              <w:ind w:left="-108"/>
              <w:jc w:val="left"/>
              <w:rPr>
                <w:rFonts w:ascii="Arial Narrow" w:hAnsi="Arial Narrow"/>
                <w:sz w:val="20"/>
              </w:rPr>
            </w:pPr>
          </w:p>
          <w:p w:rsidR="00471E6B" w:rsidRDefault="00471E6B" w:rsidP="00831310">
            <w:pPr>
              <w:keepNext/>
              <w:widowControl/>
              <w:ind w:left="-108"/>
              <w:jc w:val="left"/>
              <w:rPr>
                <w:rFonts w:ascii="Arial Narrow" w:hAnsi="Arial Narrow"/>
                <w:sz w:val="20"/>
              </w:rPr>
            </w:pPr>
          </w:p>
          <w:p w:rsidR="00471E6B" w:rsidRDefault="00471E6B" w:rsidP="00831310">
            <w:pPr>
              <w:keepNext/>
              <w:widowControl/>
              <w:ind w:left="-108"/>
              <w:jc w:val="left"/>
              <w:rPr>
                <w:rFonts w:ascii="Arial Narrow" w:hAnsi="Arial Narrow"/>
                <w:sz w:val="20"/>
              </w:rPr>
            </w:pPr>
          </w:p>
          <w:p w:rsidR="00471E6B" w:rsidRDefault="00471E6B" w:rsidP="00831310">
            <w:pPr>
              <w:keepNext/>
              <w:widowControl/>
              <w:ind w:left="-108"/>
              <w:jc w:val="left"/>
              <w:rPr>
                <w:rFonts w:ascii="Arial Narrow" w:hAnsi="Arial Narrow"/>
                <w:sz w:val="20"/>
              </w:rPr>
            </w:pPr>
          </w:p>
          <w:p w:rsidR="00471E6B" w:rsidRPr="005E26D6" w:rsidRDefault="00471E6B" w:rsidP="00831310">
            <w:pPr>
              <w:keepNext/>
              <w:widowControl/>
              <w:ind w:left="-108"/>
              <w:jc w:val="left"/>
              <w:rPr>
                <w:rFonts w:ascii="Arial Narrow" w:hAnsi="Arial Narrow"/>
                <w:sz w:val="20"/>
              </w:rPr>
            </w:pPr>
            <w:r>
              <w:rPr>
                <w:rFonts w:ascii="Arial Narrow" w:hAnsi="Arial Narrow"/>
                <w:sz w:val="20"/>
              </w:rPr>
              <w:t>5</w:t>
            </w:r>
          </w:p>
        </w:tc>
        <w:tc>
          <w:tcPr>
            <w:tcW w:w="1276" w:type="dxa"/>
            <w:tcBorders>
              <w:top w:val="single" w:sz="6" w:space="0" w:color="auto"/>
              <w:left w:val="nil"/>
              <w:bottom w:val="nil"/>
              <w:right w:val="nil"/>
            </w:tcBorders>
            <w:shd w:val="clear" w:color="auto" w:fill="auto"/>
          </w:tcPr>
          <w:p w:rsidR="00FB114D" w:rsidRDefault="00FB114D" w:rsidP="00831310">
            <w:pPr>
              <w:keepNext/>
              <w:widowControl/>
              <w:jc w:val="left"/>
              <w:rPr>
                <w:rFonts w:ascii="Arial Narrow" w:hAnsi="Arial Narrow"/>
                <w:sz w:val="20"/>
                <w:vertAlign w:val="superscript"/>
              </w:rPr>
            </w:pPr>
            <w:proofErr w:type="spellStart"/>
            <w:r>
              <w:rPr>
                <w:rFonts w:ascii="Arial Narrow" w:hAnsi="Arial Narrow"/>
                <w:sz w:val="20"/>
              </w:rPr>
              <w:t>Januvia</w:t>
            </w:r>
            <w:proofErr w:type="spellEnd"/>
            <w:r w:rsidRPr="005E26D6">
              <w:rPr>
                <w:rFonts w:ascii="Arial Narrow" w:hAnsi="Arial Narrow"/>
                <w:sz w:val="20"/>
                <w:vertAlign w:val="superscript"/>
              </w:rPr>
              <w:t>®</w:t>
            </w: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FB114D" w:rsidRDefault="00FB114D" w:rsidP="00831310">
            <w:pPr>
              <w:keepNext/>
              <w:widowControl/>
              <w:jc w:val="left"/>
              <w:rPr>
                <w:rFonts w:ascii="Arial Narrow" w:hAnsi="Arial Narrow"/>
                <w:sz w:val="20"/>
              </w:rPr>
            </w:pPr>
            <w:proofErr w:type="spellStart"/>
            <w:r>
              <w:rPr>
                <w:rFonts w:ascii="Arial Narrow" w:hAnsi="Arial Narrow"/>
                <w:sz w:val="20"/>
              </w:rPr>
              <w:t>Janumet</w:t>
            </w:r>
            <w:proofErr w:type="spellEnd"/>
            <w:r w:rsidRPr="005E26D6">
              <w:rPr>
                <w:rFonts w:ascii="Arial Narrow" w:hAnsi="Arial Narrow"/>
                <w:sz w:val="20"/>
                <w:vertAlign w:val="superscript"/>
              </w:rPr>
              <w:t>®</w:t>
            </w:r>
            <w:r w:rsidRPr="005E26D6">
              <w:rPr>
                <w:rFonts w:ascii="Arial Narrow" w:hAnsi="Arial Narrow"/>
                <w:sz w:val="20"/>
              </w:rPr>
              <w:t xml:space="preserve"> </w:t>
            </w: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FB114D" w:rsidRPr="005E26D6" w:rsidRDefault="00FB114D" w:rsidP="00831310">
            <w:pPr>
              <w:keepNext/>
              <w:widowControl/>
              <w:jc w:val="left"/>
              <w:rPr>
                <w:rFonts w:ascii="Arial Narrow" w:hAnsi="Arial Narrow"/>
                <w:sz w:val="20"/>
              </w:rPr>
            </w:pPr>
            <w:proofErr w:type="spellStart"/>
            <w:r>
              <w:rPr>
                <w:rFonts w:ascii="Arial Narrow" w:hAnsi="Arial Narrow"/>
                <w:sz w:val="20"/>
              </w:rPr>
              <w:t>Janumet</w:t>
            </w:r>
            <w:proofErr w:type="spellEnd"/>
            <w:r>
              <w:rPr>
                <w:rFonts w:ascii="Arial Narrow" w:hAnsi="Arial Narrow"/>
                <w:sz w:val="20"/>
              </w:rPr>
              <w:t xml:space="preserve"> XR</w:t>
            </w:r>
            <w:r w:rsidRPr="005E26D6">
              <w:rPr>
                <w:rFonts w:ascii="Arial Narrow" w:hAnsi="Arial Narrow"/>
                <w:sz w:val="20"/>
                <w:vertAlign w:val="superscript"/>
              </w:rPr>
              <w:t>®</w:t>
            </w:r>
            <w:r w:rsidRPr="005E26D6">
              <w:rPr>
                <w:rFonts w:ascii="Arial Narrow" w:hAnsi="Arial Narrow"/>
                <w:sz w:val="20"/>
              </w:rPr>
              <w:t xml:space="preserve">  </w:t>
            </w:r>
          </w:p>
        </w:tc>
        <w:tc>
          <w:tcPr>
            <w:tcW w:w="851" w:type="dxa"/>
            <w:tcBorders>
              <w:top w:val="single" w:sz="6" w:space="0" w:color="auto"/>
              <w:left w:val="nil"/>
              <w:bottom w:val="nil"/>
              <w:right w:val="nil"/>
            </w:tcBorders>
            <w:shd w:val="clear" w:color="auto" w:fill="auto"/>
          </w:tcPr>
          <w:p w:rsidR="00FB114D" w:rsidRDefault="00FB114D" w:rsidP="00831310">
            <w:pPr>
              <w:keepNext/>
              <w:widowControl/>
              <w:jc w:val="left"/>
              <w:rPr>
                <w:rFonts w:ascii="Arial Narrow" w:hAnsi="Arial Narrow"/>
                <w:sz w:val="20"/>
              </w:rPr>
            </w:pPr>
            <w:r>
              <w:rPr>
                <w:rFonts w:ascii="Arial Narrow" w:hAnsi="Arial Narrow"/>
                <w:sz w:val="20"/>
              </w:rPr>
              <w:t>MK</w:t>
            </w: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r>
              <w:rPr>
                <w:rFonts w:ascii="Arial Narrow" w:hAnsi="Arial Narrow"/>
                <w:sz w:val="20"/>
              </w:rPr>
              <w:t>MK</w:t>
            </w:r>
            <w:bookmarkStart w:id="2" w:name="_GoBack"/>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p w:rsidR="00471E6B" w:rsidRDefault="00471E6B" w:rsidP="00831310">
            <w:pPr>
              <w:keepNext/>
              <w:widowControl/>
              <w:jc w:val="left"/>
              <w:rPr>
                <w:rFonts w:ascii="Arial Narrow" w:hAnsi="Arial Narrow"/>
                <w:sz w:val="20"/>
              </w:rPr>
            </w:pPr>
          </w:p>
          <w:bookmarkEnd w:id="2"/>
          <w:p w:rsidR="00471E6B" w:rsidRPr="005E26D6" w:rsidRDefault="00471E6B" w:rsidP="00831310">
            <w:pPr>
              <w:keepNext/>
              <w:widowControl/>
              <w:jc w:val="left"/>
              <w:rPr>
                <w:rFonts w:ascii="Arial Narrow" w:hAnsi="Arial Narrow"/>
                <w:sz w:val="20"/>
              </w:rPr>
            </w:pPr>
            <w:r>
              <w:rPr>
                <w:rFonts w:ascii="Arial Narrow" w:hAnsi="Arial Narrow"/>
                <w:sz w:val="20"/>
              </w:rPr>
              <w:t>MK</w:t>
            </w:r>
          </w:p>
        </w:tc>
      </w:tr>
    </w:tbl>
    <w:p w:rsidR="00FB114D" w:rsidRPr="00552722" w:rsidRDefault="00FB114D" w:rsidP="00831310">
      <w:pPr>
        <w:widowControl/>
        <w:rPr>
          <w:szCs w:val="22"/>
        </w:rPr>
      </w:pPr>
    </w:p>
    <w:tbl>
      <w:tblPr>
        <w:tblW w:w="8222" w:type="dxa"/>
        <w:tblInd w:w="817" w:type="dxa"/>
        <w:tblLayout w:type="fixed"/>
        <w:tblLook w:val="0000" w:firstRow="0" w:lastRow="0" w:firstColumn="0" w:lastColumn="0" w:noHBand="0" w:noVBand="0"/>
      </w:tblPr>
      <w:tblGrid>
        <w:gridCol w:w="1984"/>
        <w:gridCol w:w="6238"/>
      </w:tblGrid>
      <w:tr w:rsidR="00FB114D" w:rsidRPr="005E26D6" w:rsidTr="00200746">
        <w:trPr>
          <w:cantSplit/>
          <w:trHeight w:val="360"/>
        </w:trPr>
        <w:tc>
          <w:tcPr>
            <w:tcW w:w="1984"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b/>
                <w:sz w:val="20"/>
              </w:rPr>
            </w:pPr>
            <w:r w:rsidRPr="005E26D6">
              <w:rPr>
                <w:rFonts w:ascii="Arial Narrow" w:hAnsi="Arial Narrow"/>
                <w:b/>
                <w:sz w:val="20"/>
              </w:rPr>
              <w:t>Category / Program</w:t>
            </w:r>
          </w:p>
        </w:tc>
        <w:tc>
          <w:tcPr>
            <w:tcW w:w="6238"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sz w:val="20"/>
              </w:rPr>
            </w:pPr>
            <w:r w:rsidRPr="005E26D6">
              <w:rPr>
                <w:rFonts w:ascii="Arial Narrow" w:hAnsi="Arial Narrow"/>
                <w:sz w:val="20"/>
              </w:rPr>
              <w:t xml:space="preserve">GENERAL – General Schedule </w:t>
            </w:r>
            <w:r>
              <w:rPr>
                <w:rFonts w:ascii="Arial Narrow" w:hAnsi="Arial Narrow"/>
                <w:sz w:val="20"/>
              </w:rPr>
              <w:t>(GE)</w:t>
            </w:r>
          </w:p>
        </w:tc>
      </w:tr>
      <w:tr w:rsidR="00FB114D" w:rsidRPr="005E26D6" w:rsidTr="00200746">
        <w:trPr>
          <w:cantSplit/>
          <w:trHeight w:val="360"/>
        </w:trPr>
        <w:tc>
          <w:tcPr>
            <w:tcW w:w="1984"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b/>
                <w:sz w:val="20"/>
              </w:rPr>
            </w:pPr>
            <w:r w:rsidRPr="005E26D6">
              <w:rPr>
                <w:rFonts w:ascii="Arial Narrow" w:hAnsi="Arial Narrow"/>
                <w:b/>
                <w:sz w:val="20"/>
              </w:rPr>
              <w:t>Prescriber type:</w:t>
            </w:r>
          </w:p>
        </w:tc>
        <w:tc>
          <w:tcPr>
            <w:tcW w:w="6238"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sz w:val="20"/>
              </w:rPr>
            </w:pPr>
            <w:r w:rsidRPr="005E26D6">
              <w:rPr>
                <w:rFonts w:ascii="Arial Narrow" w:hAnsi="Arial Narrow"/>
                <w:sz w:val="20"/>
              </w:rPr>
              <w:fldChar w:fldCharType="begin">
                <w:ffData>
                  <w:name w:val=""/>
                  <w:enabled/>
                  <w:calcOnExit w:val="0"/>
                  <w:checkBox>
                    <w:sizeAuto/>
                    <w:default w:val="1"/>
                  </w:checkBox>
                </w:ffData>
              </w:fldChar>
            </w:r>
            <w:r w:rsidRPr="005E26D6">
              <w:rPr>
                <w:rFonts w:ascii="Arial Narrow" w:hAnsi="Arial Narrow"/>
                <w:sz w:val="20"/>
              </w:rPr>
              <w:instrText xml:space="preserve"> FORMCHECKBOX </w:instrText>
            </w:r>
            <w:r w:rsidR="003B3ED3">
              <w:rPr>
                <w:rFonts w:ascii="Arial Narrow" w:hAnsi="Arial Narrow"/>
                <w:sz w:val="20"/>
              </w:rPr>
            </w:r>
            <w:r w:rsidR="003B3ED3">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Medical Practitioners  </w:t>
            </w:r>
            <w:r w:rsidRPr="005E26D6">
              <w:rPr>
                <w:rFonts w:ascii="Arial Narrow" w:hAnsi="Arial Narrow"/>
                <w:sz w:val="20"/>
              </w:rPr>
              <w:fldChar w:fldCharType="begin">
                <w:ffData>
                  <w:name w:val="Check3"/>
                  <w:enabled/>
                  <w:calcOnExit w:val="0"/>
                  <w:checkBox>
                    <w:sizeAuto/>
                    <w:default w:val="1"/>
                  </w:checkBox>
                </w:ffData>
              </w:fldChar>
            </w:r>
            <w:r w:rsidRPr="005E26D6">
              <w:rPr>
                <w:rFonts w:ascii="Arial Narrow" w:hAnsi="Arial Narrow"/>
                <w:sz w:val="20"/>
              </w:rPr>
              <w:instrText xml:space="preserve"> FORMCHECKBOX </w:instrText>
            </w:r>
            <w:r w:rsidR="003B3ED3">
              <w:rPr>
                <w:rFonts w:ascii="Arial Narrow" w:hAnsi="Arial Narrow"/>
                <w:sz w:val="20"/>
              </w:rPr>
            </w:r>
            <w:r w:rsidR="003B3ED3">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Nurse practitioners  </w:t>
            </w:r>
          </w:p>
        </w:tc>
      </w:tr>
      <w:tr w:rsidR="00FB114D" w:rsidRPr="005E26D6" w:rsidTr="00200746">
        <w:trPr>
          <w:cantSplit/>
          <w:trHeight w:val="360"/>
        </w:trPr>
        <w:tc>
          <w:tcPr>
            <w:tcW w:w="1984"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b/>
                <w:sz w:val="20"/>
              </w:rPr>
            </w:pPr>
            <w:r w:rsidRPr="005E26D6">
              <w:rPr>
                <w:rFonts w:ascii="Arial Narrow" w:hAnsi="Arial Narrow"/>
                <w:b/>
                <w:sz w:val="20"/>
              </w:rPr>
              <w:t>Condition:</w:t>
            </w:r>
          </w:p>
        </w:tc>
        <w:tc>
          <w:tcPr>
            <w:tcW w:w="6238"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sz w:val="20"/>
              </w:rPr>
            </w:pPr>
            <w:r w:rsidRPr="0069572D">
              <w:rPr>
                <w:rFonts w:ascii="Arial Narrow" w:hAnsi="Arial Narrow"/>
                <w:sz w:val="20"/>
              </w:rPr>
              <w:t>Diabetes mellitus type 2</w:t>
            </w:r>
          </w:p>
        </w:tc>
      </w:tr>
      <w:tr w:rsidR="00FB114D" w:rsidRPr="005E26D6" w:rsidTr="00200746">
        <w:trPr>
          <w:cantSplit/>
          <w:trHeight w:val="360"/>
        </w:trPr>
        <w:tc>
          <w:tcPr>
            <w:tcW w:w="1984"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b/>
                <w:sz w:val="20"/>
              </w:rPr>
            </w:pPr>
            <w:r w:rsidRPr="005E26D6">
              <w:rPr>
                <w:rFonts w:ascii="Arial Narrow" w:hAnsi="Arial Narrow"/>
                <w:b/>
                <w:sz w:val="20"/>
              </w:rPr>
              <w:t>PBS Indication:</w:t>
            </w:r>
          </w:p>
        </w:tc>
        <w:tc>
          <w:tcPr>
            <w:tcW w:w="6238"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sz w:val="20"/>
              </w:rPr>
            </w:pPr>
            <w:r w:rsidRPr="0069572D">
              <w:rPr>
                <w:rFonts w:ascii="Arial Narrow" w:hAnsi="Arial Narrow"/>
                <w:sz w:val="20"/>
              </w:rPr>
              <w:t>Diabetes mellitus type 2</w:t>
            </w:r>
          </w:p>
        </w:tc>
      </w:tr>
      <w:tr w:rsidR="00FB114D" w:rsidRPr="005E26D6" w:rsidTr="00200746">
        <w:trPr>
          <w:cantSplit/>
          <w:trHeight w:val="360"/>
        </w:trPr>
        <w:tc>
          <w:tcPr>
            <w:tcW w:w="1984"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b/>
                <w:sz w:val="20"/>
              </w:rPr>
            </w:pPr>
            <w:r w:rsidRPr="005E26D6">
              <w:rPr>
                <w:rFonts w:ascii="Arial Narrow" w:hAnsi="Arial Narrow"/>
                <w:b/>
                <w:sz w:val="20"/>
              </w:rPr>
              <w:t>Restriction Level / Method:</w:t>
            </w:r>
          </w:p>
          <w:p w:rsidR="00FB114D" w:rsidRPr="005E26D6" w:rsidRDefault="00FB114D" w:rsidP="00831310">
            <w:pPr>
              <w:widowControl/>
              <w:rPr>
                <w:rFonts w:ascii="Arial Narrow" w:hAnsi="Arial Narrow"/>
                <w:sz w:val="20"/>
              </w:rPr>
            </w:pPr>
          </w:p>
        </w:tc>
        <w:tc>
          <w:tcPr>
            <w:tcW w:w="6238"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sz w:val="20"/>
              </w:rPr>
            </w:pPr>
            <w:r>
              <w:rPr>
                <w:rFonts w:ascii="Arial Narrow" w:hAnsi="Arial Narrow"/>
                <w:sz w:val="20"/>
              </w:rPr>
              <w:t>Authority required (Streamlined)</w:t>
            </w:r>
          </w:p>
        </w:tc>
      </w:tr>
      <w:tr w:rsidR="00FB114D" w:rsidRPr="005E26D6" w:rsidTr="00200746">
        <w:trPr>
          <w:cantSplit/>
          <w:trHeight w:val="360"/>
        </w:trPr>
        <w:tc>
          <w:tcPr>
            <w:tcW w:w="1984"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b/>
                <w:sz w:val="20"/>
              </w:rPr>
            </w:pPr>
            <w:r w:rsidRPr="005E26D6">
              <w:rPr>
                <w:rFonts w:ascii="Arial Narrow" w:hAnsi="Arial Narrow"/>
                <w:b/>
                <w:sz w:val="20"/>
              </w:rPr>
              <w:lastRenderedPageBreak/>
              <w:t>Clinical criteria:</w:t>
            </w:r>
          </w:p>
        </w:tc>
        <w:tc>
          <w:tcPr>
            <w:tcW w:w="6238" w:type="dxa"/>
            <w:tcBorders>
              <w:top w:val="single" w:sz="4" w:space="0" w:color="auto"/>
              <w:left w:val="single" w:sz="4" w:space="0" w:color="auto"/>
              <w:bottom w:val="single" w:sz="4" w:space="0" w:color="auto"/>
              <w:right w:val="single" w:sz="4" w:space="0" w:color="auto"/>
            </w:tcBorders>
          </w:tcPr>
          <w:p w:rsidR="00FB114D" w:rsidRPr="00D04087" w:rsidRDefault="00FB114D" w:rsidP="00831310">
            <w:pPr>
              <w:widowControl/>
              <w:rPr>
                <w:rFonts w:ascii="Arial Narrow" w:hAnsi="Arial Narrow"/>
                <w:sz w:val="20"/>
              </w:rPr>
            </w:pPr>
            <w:r w:rsidRPr="00D04087">
              <w:rPr>
                <w:rFonts w:ascii="Arial Narrow" w:hAnsi="Arial Narrow"/>
                <w:sz w:val="20"/>
              </w:rPr>
              <w:t xml:space="preserve">The treatment must be in combination </w:t>
            </w:r>
            <w:r>
              <w:rPr>
                <w:rFonts w:ascii="Arial Narrow" w:hAnsi="Arial Narrow"/>
                <w:sz w:val="20"/>
              </w:rPr>
              <w:t>insulin</w:t>
            </w:r>
          </w:p>
          <w:p w:rsidR="00FB114D" w:rsidRDefault="00FB114D" w:rsidP="00831310">
            <w:pPr>
              <w:widowControl/>
              <w:rPr>
                <w:rFonts w:ascii="Arial Narrow" w:hAnsi="Arial Narrow"/>
                <w:sz w:val="20"/>
              </w:rPr>
            </w:pPr>
          </w:p>
          <w:p w:rsidR="00FB114D" w:rsidRPr="00D04087" w:rsidRDefault="00FB114D" w:rsidP="00831310">
            <w:pPr>
              <w:widowControl/>
              <w:rPr>
                <w:rFonts w:ascii="Arial Narrow" w:hAnsi="Arial Narrow"/>
                <w:sz w:val="20"/>
              </w:rPr>
            </w:pPr>
            <w:r w:rsidRPr="00D04087">
              <w:rPr>
                <w:rFonts w:ascii="Arial Narrow" w:hAnsi="Arial Narrow"/>
                <w:sz w:val="20"/>
              </w:rPr>
              <w:t>AND</w:t>
            </w:r>
          </w:p>
          <w:p w:rsidR="00FB114D" w:rsidRDefault="00FB114D" w:rsidP="00831310">
            <w:pPr>
              <w:widowControl/>
              <w:rPr>
                <w:rFonts w:ascii="Arial Narrow" w:hAnsi="Arial Narrow"/>
                <w:sz w:val="20"/>
              </w:rPr>
            </w:pPr>
          </w:p>
          <w:p w:rsidR="00FB114D" w:rsidRDefault="00FB114D" w:rsidP="00831310">
            <w:pPr>
              <w:widowControl/>
              <w:rPr>
                <w:rFonts w:ascii="Arial Narrow" w:hAnsi="Arial Narrow"/>
                <w:i/>
                <w:sz w:val="20"/>
              </w:rPr>
            </w:pPr>
            <w:r w:rsidRPr="00D04087">
              <w:rPr>
                <w:rFonts w:ascii="Arial Narrow" w:hAnsi="Arial Narrow"/>
                <w:sz w:val="20"/>
              </w:rPr>
              <w:t xml:space="preserve">Patient must have, or have had, a HbA1c measurement greater than 7% prior to the initiation of a </w:t>
            </w:r>
            <w:proofErr w:type="spellStart"/>
            <w:r w:rsidRPr="00D04087">
              <w:rPr>
                <w:rFonts w:ascii="Arial Narrow" w:hAnsi="Arial Narrow"/>
                <w:sz w:val="20"/>
              </w:rPr>
              <w:t>dipeptidyl</w:t>
            </w:r>
            <w:proofErr w:type="spellEnd"/>
            <w:r w:rsidRPr="00D04087">
              <w:rPr>
                <w:rFonts w:ascii="Arial Narrow" w:hAnsi="Arial Narrow"/>
                <w:sz w:val="20"/>
              </w:rPr>
              <w:t xml:space="preserve"> peptidase 4 inhibitor (gliptin), a thiazolidinedione (</w:t>
            </w:r>
            <w:proofErr w:type="spellStart"/>
            <w:r w:rsidRPr="00D04087">
              <w:rPr>
                <w:rFonts w:ascii="Arial Narrow" w:hAnsi="Arial Narrow"/>
                <w:sz w:val="20"/>
              </w:rPr>
              <w:t>glitazone</w:t>
            </w:r>
            <w:proofErr w:type="spellEnd"/>
            <w:r w:rsidRPr="00D04087">
              <w:rPr>
                <w:rFonts w:ascii="Arial Narrow" w:hAnsi="Arial Narrow"/>
                <w:sz w:val="20"/>
              </w:rPr>
              <w:t xml:space="preserve">), a glucagon-like peptide-1 or a sodium-glucose co-transporter 2 (SGLT2) inhibitor despite treatment with </w:t>
            </w:r>
            <w:r>
              <w:rPr>
                <w:rFonts w:ascii="Arial Narrow" w:hAnsi="Arial Narrow"/>
                <w:strike/>
                <w:sz w:val="20"/>
              </w:rPr>
              <w:t xml:space="preserve">insulin with or without other oral antidiabetic agents </w:t>
            </w:r>
            <w:r w:rsidRPr="005E05D0">
              <w:rPr>
                <w:rFonts w:ascii="Arial Narrow" w:hAnsi="Arial Narrow"/>
                <w:i/>
                <w:sz w:val="20"/>
              </w:rPr>
              <w:t>insulin and oral antidiabetic agents, or insulin alone where metformin is contraindicated;</w:t>
            </w:r>
          </w:p>
          <w:p w:rsidR="00FB114D" w:rsidRPr="00532651" w:rsidRDefault="00FB114D" w:rsidP="00831310">
            <w:pPr>
              <w:widowControl/>
              <w:rPr>
                <w:rFonts w:ascii="Arial Narrow" w:hAnsi="Arial Narrow"/>
                <w:color w:val="FF0000"/>
                <w:sz w:val="20"/>
              </w:rPr>
            </w:pPr>
          </w:p>
          <w:p w:rsidR="00FB114D" w:rsidRDefault="00FB114D" w:rsidP="00831310">
            <w:pPr>
              <w:widowControl/>
              <w:rPr>
                <w:rFonts w:ascii="Arial Narrow" w:hAnsi="Arial Narrow"/>
                <w:sz w:val="20"/>
              </w:rPr>
            </w:pPr>
            <w:r w:rsidRPr="00D04087">
              <w:rPr>
                <w:rFonts w:ascii="Arial Narrow" w:hAnsi="Arial Narrow"/>
                <w:sz w:val="20"/>
              </w:rPr>
              <w:t>OR</w:t>
            </w:r>
          </w:p>
          <w:p w:rsidR="00FB114D" w:rsidRPr="00D04087" w:rsidRDefault="00FB114D" w:rsidP="00831310">
            <w:pPr>
              <w:widowControl/>
              <w:rPr>
                <w:rFonts w:ascii="Arial Narrow" w:hAnsi="Arial Narrow"/>
                <w:sz w:val="20"/>
              </w:rPr>
            </w:pPr>
          </w:p>
          <w:p w:rsidR="00FB114D" w:rsidRPr="000510AE" w:rsidRDefault="00FB114D" w:rsidP="00831310">
            <w:pPr>
              <w:widowControl/>
              <w:rPr>
                <w:rFonts w:ascii="Arial Narrow" w:hAnsi="Arial Narrow"/>
                <w:color w:val="FF0000"/>
                <w:sz w:val="20"/>
              </w:rPr>
            </w:pPr>
            <w:r w:rsidRPr="00D04087">
              <w:rPr>
                <w:rFonts w:ascii="Arial Narrow" w:hAnsi="Arial Narrow"/>
                <w:sz w:val="20"/>
              </w:rPr>
              <w:t xml:space="preserve">Patient must have, or have had, where HbA1c measurement is clinically inappropriate, blood glucose levels greater than 10 </w:t>
            </w:r>
            <w:proofErr w:type="spellStart"/>
            <w:r w:rsidRPr="00D04087">
              <w:rPr>
                <w:rFonts w:ascii="Arial Narrow" w:hAnsi="Arial Narrow"/>
                <w:sz w:val="20"/>
              </w:rPr>
              <w:t>mmol</w:t>
            </w:r>
            <w:proofErr w:type="spellEnd"/>
            <w:r w:rsidRPr="00D04087">
              <w:rPr>
                <w:rFonts w:ascii="Arial Narrow" w:hAnsi="Arial Narrow"/>
                <w:sz w:val="20"/>
              </w:rPr>
              <w:t xml:space="preserve"> per L in more than 20% of tests over a 2 week period prior to initiation with a gliptin, a </w:t>
            </w:r>
            <w:proofErr w:type="spellStart"/>
            <w:r w:rsidRPr="00D04087">
              <w:rPr>
                <w:rFonts w:ascii="Arial Narrow" w:hAnsi="Arial Narrow"/>
                <w:sz w:val="20"/>
              </w:rPr>
              <w:t>glitazone</w:t>
            </w:r>
            <w:proofErr w:type="spellEnd"/>
            <w:r w:rsidRPr="00D04087">
              <w:rPr>
                <w:rFonts w:ascii="Arial Narrow" w:hAnsi="Arial Narrow"/>
                <w:sz w:val="20"/>
              </w:rPr>
              <w:t xml:space="preserve">, a glucagon-like peptide-1 or an SGLT2 inhibitor despite treatment with </w:t>
            </w:r>
            <w:r>
              <w:rPr>
                <w:rFonts w:ascii="Arial Narrow" w:hAnsi="Arial Narrow"/>
                <w:strike/>
                <w:sz w:val="20"/>
              </w:rPr>
              <w:t>insulin with or without other oral antidiabetic agents.</w:t>
            </w:r>
            <w:r w:rsidRPr="00532651">
              <w:rPr>
                <w:rFonts w:ascii="Arial Narrow" w:hAnsi="Arial Narrow"/>
                <w:color w:val="FF0000"/>
                <w:sz w:val="20"/>
              </w:rPr>
              <w:t xml:space="preserve"> </w:t>
            </w:r>
            <w:r w:rsidRPr="005E05D0">
              <w:rPr>
                <w:rFonts w:ascii="Arial Narrow" w:hAnsi="Arial Narrow"/>
                <w:i/>
                <w:sz w:val="20"/>
              </w:rPr>
              <w:t>insulin and oral antidiabetic agents, or insulin alone where metformin is contraindicated;</w:t>
            </w:r>
          </w:p>
          <w:p w:rsidR="00FB114D" w:rsidRPr="005E26D6" w:rsidRDefault="00FB114D" w:rsidP="00831310">
            <w:pPr>
              <w:widowControl/>
              <w:rPr>
                <w:rFonts w:ascii="Arial Narrow" w:hAnsi="Arial Narrow"/>
                <w:sz w:val="20"/>
              </w:rPr>
            </w:pPr>
          </w:p>
        </w:tc>
      </w:tr>
      <w:tr w:rsidR="00FB114D" w:rsidRPr="005E26D6" w:rsidTr="00200746">
        <w:trPr>
          <w:cantSplit/>
          <w:trHeight w:val="360"/>
        </w:trPr>
        <w:tc>
          <w:tcPr>
            <w:tcW w:w="1984"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sz w:val="20"/>
              </w:rPr>
            </w:pPr>
            <w:r w:rsidRPr="005E26D6">
              <w:rPr>
                <w:rFonts w:ascii="Arial Narrow" w:hAnsi="Arial Narrow"/>
                <w:b/>
                <w:sz w:val="20"/>
              </w:rPr>
              <w:t>Prescriber Instructions</w:t>
            </w:r>
          </w:p>
        </w:tc>
        <w:tc>
          <w:tcPr>
            <w:tcW w:w="6238" w:type="dxa"/>
            <w:tcBorders>
              <w:top w:val="single" w:sz="4" w:space="0" w:color="auto"/>
              <w:left w:val="single" w:sz="4" w:space="0" w:color="auto"/>
              <w:bottom w:val="single" w:sz="4" w:space="0" w:color="auto"/>
              <w:right w:val="single" w:sz="4" w:space="0" w:color="auto"/>
            </w:tcBorders>
          </w:tcPr>
          <w:p w:rsidR="00FB114D" w:rsidRPr="004D17F9" w:rsidRDefault="00FB114D" w:rsidP="00831310">
            <w:pPr>
              <w:widowControl/>
              <w:rPr>
                <w:rFonts w:ascii="Arial Narrow" w:hAnsi="Arial Narrow"/>
                <w:sz w:val="20"/>
              </w:rPr>
            </w:pPr>
            <w:r w:rsidRPr="004D17F9">
              <w:rPr>
                <w:rFonts w:ascii="Arial Narrow" w:hAnsi="Arial Narrow"/>
                <w:sz w:val="20"/>
              </w:rPr>
              <w:t xml:space="preserve">The date and level of the qualifying HbA1c measurement must be, or must have been, documented in the patient's medical records at the time treatment with a gliptin, a </w:t>
            </w:r>
            <w:proofErr w:type="spellStart"/>
            <w:r w:rsidRPr="004D17F9">
              <w:rPr>
                <w:rFonts w:ascii="Arial Narrow" w:hAnsi="Arial Narrow"/>
                <w:sz w:val="20"/>
              </w:rPr>
              <w:t>glitazone</w:t>
            </w:r>
            <w:proofErr w:type="spellEnd"/>
            <w:r w:rsidRPr="004D17F9">
              <w:rPr>
                <w:rFonts w:ascii="Arial Narrow" w:hAnsi="Arial Narrow"/>
                <w:sz w:val="20"/>
              </w:rPr>
              <w:t>, a glucagon-like peptide-1 or an SGLT2 inhibitor is initiated.</w:t>
            </w:r>
          </w:p>
          <w:p w:rsidR="00FB114D" w:rsidRPr="004D17F9" w:rsidRDefault="00FB114D" w:rsidP="00831310">
            <w:pPr>
              <w:widowControl/>
              <w:rPr>
                <w:rFonts w:ascii="Arial Narrow" w:hAnsi="Arial Narrow"/>
                <w:sz w:val="20"/>
              </w:rPr>
            </w:pPr>
          </w:p>
          <w:p w:rsidR="00FB114D" w:rsidRPr="004D17F9" w:rsidRDefault="00FB114D" w:rsidP="00831310">
            <w:pPr>
              <w:widowControl/>
              <w:rPr>
                <w:rFonts w:ascii="Arial Narrow" w:hAnsi="Arial Narrow"/>
                <w:sz w:val="20"/>
              </w:rPr>
            </w:pPr>
            <w:r w:rsidRPr="004D17F9">
              <w:rPr>
                <w:rFonts w:ascii="Arial Narrow" w:hAnsi="Arial Narrow"/>
                <w:sz w:val="20"/>
              </w:rPr>
              <w:t xml:space="preserve">The HbA1c must be no more than 4 months old at the time treatment with a gliptin, a </w:t>
            </w:r>
            <w:proofErr w:type="spellStart"/>
            <w:r w:rsidRPr="004D17F9">
              <w:rPr>
                <w:rFonts w:ascii="Arial Narrow" w:hAnsi="Arial Narrow"/>
                <w:sz w:val="20"/>
              </w:rPr>
              <w:t>glitazone</w:t>
            </w:r>
            <w:proofErr w:type="spellEnd"/>
            <w:r w:rsidRPr="004D17F9">
              <w:rPr>
                <w:rFonts w:ascii="Arial Narrow" w:hAnsi="Arial Narrow"/>
                <w:sz w:val="20"/>
              </w:rPr>
              <w:t>, a glucagon-like peptide-1 or an SGLT2 inhibitor was initiated.</w:t>
            </w:r>
          </w:p>
          <w:p w:rsidR="00FB114D" w:rsidRPr="004D17F9" w:rsidRDefault="00FB114D" w:rsidP="00831310">
            <w:pPr>
              <w:widowControl/>
              <w:rPr>
                <w:rFonts w:ascii="Arial Narrow" w:hAnsi="Arial Narrow"/>
                <w:sz w:val="20"/>
              </w:rPr>
            </w:pPr>
          </w:p>
          <w:p w:rsidR="00FB114D" w:rsidRPr="004D17F9" w:rsidRDefault="00FB114D" w:rsidP="00831310">
            <w:pPr>
              <w:widowControl/>
              <w:rPr>
                <w:rFonts w:ascii="Arial Narrow" w:hAnsi="Arial Narrow"/>
                <w:sz w:val="20"/>
              </w:rPr>
            </w:pPr>
            <w:r w:rsidRPr="004D17F9">
              <w:rPr>
                <w:rFonts w:ascii="Arial Narrow" w:hAnsi="Arial Narrow"/>
                <w:sz w:val="20"/>
              </w:rPr>
              <w:t>Blood glucose monitoring may be used as an alternative assessment to HbA1c levels in the following circumstances:</w:t>
            </w:r>
          </w:p>
          <w:p w:rsidR="00FB114D" w:rsidRPr="004D17F9" w:rsidRDefault="00FB114D" w:rsidP="00831310">
            <w:pPr>
              <w:widowControl/>
              <w:rPr>
                <w:rFonts w:ascii="Arial Narrow" w:hAnsi="Arial Narrow"/>
                <w:sz w:val="20"/>
              </w:rPr>
            </w:pPr>
            <w:r w:rsidRPr="004D17F9">
              <w:rPr>
                <w:rFonts w:ascii="Arial Narrow" w:hAnsi="Arial Narrow"/>
                <w:sz w:val="20"/>
              </w:rPr>
              <w:t>(a) A clinical condition with reduced red blood cell survival, including haemolytic anaemias and haemoglobinopathies; and/or</w:t>
            </w:r>
          </w:p>
          <w:p w:rsidR="00FB114D" w:rsidRPr="004D17F9" w:rsidRDefault="00FB114D" w:rsidP="00831310">
            <w:pPr>
              <w:widowControl/>
              <w:rPr>
                <w:rFonts w:ascii="Arial Narrow" w:hAnsi="Arial Narrow"/>
                <w:sz w:val="20"/>
              </w:rPr>
            </w:pPr>
            <w:r w:rsidRPr="004D17F9">
              <w:rPr>
                <w:rFonts w:ascii="Arial Narrow" w:hAnsi="Arial Narrow"/>
                <w:sz w:val="20"/>
              </w:rPr>
              <w:t>(b) Had red cell transfusion within the previous 3 months.</w:t>
            </w:r>
          </w:p>
          <w:p w:rsidR="00FB114D" w:rsidRPr="004D17F9" w:rsidRDefault="00FB114D" w:rsidP="00831310">
            <w:pPr>
              <w:widowControl/>
              <w:rPr>
                <w:rFonts w:ascii="Arial Narrow" w:hAnsi="Arial Narrow"/>
                <w:sz w:val="20"/>
              </w:rPr>
            </w:pPr>
          </w:p>
          <w:p w:rsidR="00FB114D" w:rsidRPr="00BE5480" w:rsidRDefault="00FB114D" w:rsidP="00831310">
            <w:pPr>
              <w:widowControl/>
              <w:rPr>
                <w:rFonts w:ascii="Arial Narrow" w:hAnsi="Arial Narrow"/>
                <w:sz w:val="20"/>
              </w:rPr>
            </w:pPr>
            <w:r w:rsidRPr="004D17F9">
              <w:rPr>
                <w:rFonts w:ascii="Arial Narrow" w:hAnsi="Arial Narrow"/>
                <w:sz w:val="20"/>
              </w:rPr>
              <w:t xml:space="preserve">The results of the blood glucose monitoring, which must be no more than 4 months old at the time of initiation of treatment with a gliptin, a </w:t>
            </w:r>
            <w:proofErr w:type="spellStart"/>
            <w:r w:rsidRPr="004D17F9">
              <w:rPr>
                <w:rFonts w:ascii="Arial Narrow" w:hAnsi="Arial Narrow"/>
                <w:sz w:val="20"/>
              </w:rPr>
              <w:t>glitazone</w:t>
            </w:r>
            <w:proofErr w:type="spellEnd"/>
            <w:r w:rsidRPr="004D17F9">
              <w:rPr>
                <w:rFonts w:ascii="Arial Narrow" w:hAnsi="Arial Narrow"/>
                <w:sz w:val="20"/>
              </w:rPr>
              <w:t>, a glucagon-like peptide-1 or an SGLT2 inhibitor, must be documented in the patient's medical records.</w:t>
            </w:r>
          </w:p>
          <w:p w:rsidR="00FB114D" w:rsidRPr="005E26D6" w:rsidRDefault="00FB114D" w:rsidP="00831310">
            <w:pPr>
              <w:widowControl/>
              <w:rPr>
                <w:rFonts w:ascii="Arial Narrow" w:hAnsi="Arial Narrow"/>
                <w:sz w:val="20"/>
              </w:rPr>
            </w:pPr>
          </w:p>
        </w:tc>
      </w:tr>
      <w:tr w:rsidR="00FB114D" w:rsidRPr="005E26D6" w:rsidTr="00200746">
        <w:trPr>
          <w:cantSplit/>
          <w:trHeight w:val="360"/>
        </w:trPr>
        <w:tc>
          <w:tcPr>
            <w:tcW w:w="1984" w:type="dxa"/>
            <w:tcBorders>
              <w:top w:val="single" w:sz="4" w:space="0" w:color="auto"/>
              <w:left w:val="single" w:sz="4" w:space="0" w:color="auto"/>
              <w:bottom w:val="single" w:sz="4" w:space="0" w:color="auto"/>
              <w:right w:val="single" w:sz="4" w:space="0" w:color="auto"/>
            </w:tcBorders>
          </w:tcPr>
          <w:p w:rsidR="00FB114D" w:rsidRPr="005E26D6" w:rsidRDefault="00FB114D" w:rsidP="00831310">
            <w:pPr>
              <w:widowControl/>
              <w:rPr>
                <w:rFonts w:ascii="Arial Narrow" w:hAnsi="Arial Narrow"/>
                <w:b/>
                <w:sz w:val="20"/>
              </w:rPr>
            </w:pPr>
            <w:r w:rsidRPr="005E26D6">
              <w:rPr>
                <w:rFonts w:ascii="Arial Narrow" w:hAnsi="Arial Narrow"/>
                <w:b/>
                <w:sz w:val="20"/>
              </w:rPr>
              <w:t>Administrative Advice</w:t>
            </w:r>
          </w:p>
          <w:p w:rsidR="00FB114D" w:rsidRPr="005E26D6" w:rsidRDefault="00FB114D" w:rsidP="00831310">
            <w:pPr>
              <w:widowControl/>
              <w:rPr>
                <w:rFonts w:ascii="Arial Narrow" w:hAnsi="Arial Narrow"/>
                <w:i/>
                <w:sz w:val="20"/>
              </w:rPr>
            </w:pPr>
          </w:p>
        </w:tc>
        <w:tc>
          <w:tcPr>
            <w:tcW w:w="6238" w:type="dxa"/>
            <w:tcBorders>
              <w:top w:val="single" w:sz="4" w:space="0" w:color="auto"/>
              <w:left w:val="single" w:sz="4" w:space="0" w:color="auto"/>
              <w:bottom w:val="single" w:sz="4" w:space="0" w:color="auto"/>
              <w:right w:val="single" w:sz="4" w:space="0" w:color="auto"/>
            </w:tcBorders>
          </w:tcPr>
          <w:p w:rsidR="00FB114D" w:rsidRPr="00D04087" w:rsidRDefault="00FB114D" w:rsidP="00831310">
            <w:pPr>
              <w:widowControl/>
              <w:rPr>
                <w:rFonts w:ascii="Arial Narrow" w:hAnsi="Arial Narrow"/>
                <w:b/>
                <w:i/>
                <w:sz w:val="20"/>
                <w:u w:val="single"/>
              </w:rPr>
            </w:pPr>
            <w:r w:rsidRPr="00D04087">
              <w:rPr>
                <w:rFonts w:ascii="Arial Narrow" w:hAnsi="Arial Narrow"/>
                <w:b/>
                <w:i/>
                <w:sz w:val="20"/>
                <w:u w:val="single"/>
              </w:rPr>
              <w:t>Note</w:t>
            </w:r>
          </w:p>
          <w:p w:rsidR="00FB114D" w:rsidRPr="005E05D0" w:rsidRDefault="00FB114D" w:rsidP="00831310">
            <w:pPr>
              <w:widowControl/>
              <w:spacing w:before="75" w:after="75"/>
              <w:ind w:right="75"/>
              <w:rPr>
                <w:rFonts w:ascii="Arial Narrow" w:hAnsi="Arial Narrow"/>
                <w:i/>
                <w:sz w:val="20"/>
              </w:rPr>
            </w:pPr>
            <w:r w:rsidRPr="00773CCB">
              <w:rPr>
                <w:rFonts w:ascii="Arial Narrow" w:hAnsi="Arial Narrow"/>
                <w:i/>
                <w:sz w:val="20"/>
              </w:rPr>
              <w:t>This drug</w:t>
            </w:r>
            <w:r w:rsidRPr="006B736E">
              <w:rPr>
                <w:rFonts w:ascii="Arial Narrow" w:hAnsi="Arial Narrow"/>
                <w:i/>
                <w:sz w:val="20"/>
              </w:rPr>
              <w:t xml:space="preserve"> is not PBS-subsidised for use as monotherapy or in combination with a thiazolidinedione (</w:t>
            </w:r>
            <w:proofErr w:type="spellStart"/>
            <w:r w:rsidRPr="006B736E">
              <w:rPr>
                <w:rFonts w:ascii="Arial Narrow" w:hAnsi="Arial Narrow"/>
                <w:i/>
                <w:sz w:val="20"/>
              </w:rPr>
              <w:t>glitazone</w:t>
            </w:r>
            <w:proofErr w:type="spellEnd"/>
            <w:r w:rsidRPr="006B736E">
              <w:rPr>
                <w:rFonts w:ascii="Arial Narrow" w:hAnsi="Arial Narrow"/>
                <w:i/>
                <w:sz w:val="20"/>
              </w:rPr>
              <w:t>), a glucagon-like peptide-1 or an SGLT2 inhibitor.</w:t>
            </w:r>
          </w:p>
        </w:tc>
      </w:tr>
    </w:tbl>
    <w:p w:rsidR="00B60939" w:rsidRPr="00882085" w:rsidRDefault="00B60939" w:rsidP="00831310">
      <w:pPr>
        <w:widowControl/>
      </w:pPr>
    </w:p>
    <w:p w:rsidR="00D809F0" w:rsidRPr="00552352" w:rsidRDefault="004005D7" w:rsidP="00831310">
      <w:pPr>
        <w:pStyle w:val="ListParagraph"/>
        <w:widowControl/>
        <w:numPr>
          <w:ilvl w:val="1"/>
          <w:numId w:val="8"/>
        </w:numPr>
        <w:rPr>
          <w:szCs w:val="22"/>
        </w:rPr>
      </w:pPr>
      <w:r w:rsidRPr="00552352">
        <w:rPr>
          <w:szCs w:val="22"/>
        </w:rPr>
        <w:t xml:space="preserve">The </w:t>
      </w:r>
      <w:r w:rsidR="00774509" w:rsidRPr="00552352">
        <w:rPr>
          <w:szCs w:val="22"/>
        </w:rPr>
        <w:t>Pre-Sub-Committee Response (</w:t>
      </w:r>
      <w:r w:rsidR="00E130A7" w:rsidRPr="00552352">
        <w:rPr>
          <w:szCs w:val="22"/>
        </w:rPr>
        <w:t>PSCR</w:t>
      </w:r>
      <w:r w:rsidR="00774509" w:rsidRPr="00552352">
        <w:rPr>
          <w:szCs w:val="22"/>
        </w:rPr>
        <w:t>)</w:t>
      </w:r>
      <w:r w:rsidR="00E130A7" w:rsidRPr="00552352">
        <w:rPr>
          <w:szCs w:val="22"/>
        </w:rPr>
        <w:t xml:space="preserve"> disagreed with the </w:t>
      </w:r>
      <w:r w:rsidR="008505B6" w:rsidRPr="00552352">
        <w:rPr>
          <w:szCs w:val="22"/>
        </w:rPr>
        <w:t xml:space="preserve">change in restriction wording suggested by the </w:t>
      </w:r>
      <w:r w:rsidRPr="00552352">
        <w:rPr>
          <w:szCs w:val="22"/>
        </w:rPr>
        <w:t>secretariat</w:t>
      </w:r>
      <w:r w:rsidR="00E130A7" w:rsidRPr="00552352">
        <w:rPr>
          <w:szCs w:val="22"/>
        </w:rPr>
        <w:t xml:space="preserve">, stating </w:t>
      </w:r>
      <w:r w:rsidR="005F6159" w:rsidRPr="00552352">
        <w:rPr>
          <w:szCs w:val="22"/>
        </w:rPr>
        <w:t>that the additional wording “insulin and oral antidiabetic agents, or insulin alone where metformin is contraindicated” was unnecessary as the requested restriction was “</w:t>
      </w:r>
      <w:r w:rsidR="005F6159" w:rsidRPr="00552352">
        <w:t xml:space="preserve">similar to the recommendation and acceptable”. </w:t>
      </w:r>
      <w:r w:rsidR="004E1C90" w:rsidRPr="00552352">
        <w:t>However, the ESC</w:t>
      </w:r>
      <w:r w:rsidR="008505B6" w:rsidRPr="00552352">
        <w:t xml:space="preserve"> </w:t>
      </w:r>
      <w:r w:rsidR="005F6159" w:rsidRPr="00552352">
        <w:t xml:space="preserve">agreed with the secretariat that the </w:t>
      </w:r>
      <w:r w:rsidR="00D809F0" w:rsidRPr="00552352">
        <w:t>restriction wording should be changed</w:t>
      </w:r>
      <w:r w:rsidR="00D809F0" w:rsidRPr="00552352">
        <w:rPr>
          <w:szCs w:val="22"/>
        </w:rPr>
        <w:t xml:space="preserve">, citing consistency with the </w:t>
      </w:r>
      <w:proofErr w:type="spellStart"/>
      <w:r w:rsidR="00D809F0" w:rsidRPr="00552352">
        <w:rPr>
          <w:szCs w:val="22"/>
        </w:rPr>
        <w:t>dapagliflozin</w:t>
      </w:r>
      <w:proofErr w:type="spellEnd"/>
      <w:r w:rsidR="00D809F0" w:rsidRPr="00552352">
        <w:rPr>
          <w:szCs w:val="22"/>
        </w:rPr>
        <w:t xml:space="preserve"> </w:t>
      </w:r>
      <w:r w:rsidR="008505B6" w:rsidRPr="00552352">
        <w:rPr>
          <w:szCs w:val="22"/>
        </w:rPr>
        <w:t>(</w:t>
      </w:r>
      <w:r w:rsidR="00D809F0" w:rsidRPr="00552352">
        <w:rPr>
          <w:szCs w:val="22"/>
        </w:rPr>
        <w:t>with insulin</w:t>
      </w:r>
      <w:r w:rsidR="008505B6" w:rsidRPr="00552352">
        <w:rPr>
          <w:szCs w:val="22"/>
        </w:rPr>
        <w:t>)</w:t>
      </w:r>
      <w:r w:rsidR="00D809F0" w:rsidRPr="00552352">
        <w:rPr>
          <w:szCs w:val="22"/>
        </w:rPr>
        <w:t xml:space="preserve"> listing and quality use of medicines.</w:t>
      </w:r>
    </w:p>
    <w:p w:rsidR="004E43B2" w:rsidRDefault="004E43B2" w:rsidP="00831310">
      <w:pPr>
        <w:widowControl/>
      </w:pPr>
    </w:p>
    <w:p w:rsidR="00200746" w:rsidRDefault="00200746" w:rsidP="00831310">
      <w:pPr>
        <w:pStyle w:val="ListParagraph"/>
        <w:widowControl/>
        <w:numPr>
          <w:ilvl w:val="1"/>
          <w:numId w:val="8"/>
        </w:numPr>
        <w:rPr>
          <w:szCs w:val="22"/>
        </w:rPr>
      </w:pPr>
      <w:r w:rsidRPr="00012BA6">
        <w:rPr>
          <w:szCs w:val="22"/>
        </w:rPr>
        <w:t xml:space="preserve">The listing was requested on a cost minimisation basis compared to </w:t>
      </w:r>
      <w:proofErr w:type="spellStart"/>
      <w:r>
        <w:rPr>
          <w:szCs w:val="22"/>
        </w:rPr>
        <w:t>dapagliflozin</w:t>
      </w:r>
      <w:proofErr w:type="spellEnd"/>
      <w:r>
        <w:rPr>
          <w:szCs w:val="22"/>
        </w:rPr>
        <w:t xml:space="preserve"> and </w:t>
      </w:r>
      <w:proofErr w:type="spellStart"/>
      <w:r>
        <w:rPr>
          <w:szCs w:val="22"/>
        </w:rPr>
        <w:t>dapagliflozin</w:t>
      </w:r>
      <w:proofErr w:type="spellEnd"/>
      <w:r>
        <w:rPr>
          <w:szCs w:val="22"/>
        </w:rPr>
        <w:t xml:space="preserve"> + metformin concomitant regimens, </w:t>
      </w:r>
      <w:r w:rsidRPr="004F75DB">
        <w:rPr>
          <w:szCs w:val="22"/>
        </w:rPr>
        <w:t xml:space="preserve">assuming cost-offsets applied in </w:t>
      </w:r>
      <w:r>
        <w:rPr>
          <w:szCs w:val="22"/>
        </w:rPr>
        <w:t xml:space="preserve">the </w:t>
      </w:r>
      <w:r w:rsidRPr="004F75DB">
        <w:rPr>
          <w:szCs w:val="22"/>
        </w:rPr>
        <w:t xml:space="preserve">PBS dual therapy listing will apply to </w:t>
      </w:r>
      <w:r>
        <w:rPr>
          <w:szCs w:val="22"/>
        </w:rPr>
        <w:t xml:space="preserve">the </w:t>
      </w:r>
      <w:r w:rsidRPr="004F75DB">
        <w:rPr>
          <w:szCs w:val="22"/>
        </w:rPr>
        <w:t xml:space="preserve">listing of </w:t>
      </w:r>
      <w:proofErr w:type="spellStart"/>
      <w:r w:rsidRPr="004F75DB">
        <w:rPr>
          <w:szCs w:val="22"/>
        </w:rPr>
        <w:t>dapagliflozin</w:t>
      </w:r>
      <w:proofErr w:type="spellEnd"/>
      <w:r w:rsidRPr="004F75DB">
        <w:rPr>
          <w:szCs w:val="22"/>
        </w:rPr>
        <w:t xml:space="preserve"> and </w:t>
      </w:r>
      <w:proofErr w:type="spellStart"/>
      <w:r w:rsidRPr="004F75DB">
        <w:rPr>
          <w:szCs w:val="22"/>
        </w:rPr>
        <w:t>sitagliptin</w:t>
      </w:r>
      <w:proofErr w:type="spellEnd"/>
      <w:r w:rsidRPr="004F75DB">
        <w:rPr>
          <w:szCs w:val="22"/>
        </w:rPr>
        <w:t xml:space="preserve"> when used in </w:t>
      </w:r>
      <w:r>
        <w:rPr>
          <w:szCs w:val="22"/>
        </w:rPr>
        <w:t>combination with insulin.</w:t>
      </w:r>
      <w:r w:rsidRPr="00B50DB8">
        <w:rPr>
          <w:szCs w:val="22"/>
        </w:rPr>
        <w:t xml:space="preserve"> </w:t>
      </w:r>
    </w:p>
    <w:p w:rsidR="00B50DB8" w:rsidRPr="00407F2D" w:rsidRDefault="00B50DB8" w:rsidP="00831310">
      <w:pPr>
        <w:pStyle w:val="PBACHeading1"/>
      </w:pPr>
      <w:bookmarkStart w:id="3" w:name="_Toc419661301"/>
      <w:r w:rsidRPr="00407F2D">
        <w:lastRenderedPageBreak/>
        <w:t>Background</w:t>
      </w:r>
      <w:bookmarkEnd w:id="3"/>
    </w:p>
    <w:p w:rsidR="00B60939" w:rsidRPr="00882085" w:rsidRDefault="00B60939" w:rsidP="00831310">
      <w:pPr>
        <w:widowControl/>
        <w:rPr>
          <w:szCs w:val="22"/>
        </w:rPr>
      </w:pPr>
    </w:p>
    <w:p w:rsidR="00A83614" w:rsidRDefault="00A83614" w:rsidP="00831310">
      <w:pPr>
        <w:pStyle w:val="ListParagraph"/>
        <w:widowControl/>
        <w:numPr>
          <w:ilvl w:val="1"/>
          <w:numId w:val="8"/>
        </w:numPr>
        <w:rPr>
          <w:szCs w:val="22"/>
        </w:rPr>
      </w:pPr>
      <w:r w:rsidRPr="00042CC3">
        <w:rPr>
          <w:b/>
          <w:szCs w:val="22"/>
        </w:rPr>
        <w:t>TGA status</w:t>
      </w:r>
      <w:r w:rsidR="00915353" w:rsidRPr="00042CC3">
        <w:rPr>
          <w:b/>
          <w:szCs w:val="22"/>
        </w:rPr>
        <w:t xml:space="preserve"> at time of </w:t>
      </w:r>
      <w:r w:rsidR="003B0F4F" w:rsidRPr="00042CC3">
        <w:rPr>
          <w:b/>
          <w:szCs w:val="22"/>
        </w:rPr>
        <w:t>PBAC consideration</w:t>
      </w:r>
      <w:r w:rsidRPr="00042CC3">
        <w:rPr>
          <w:b/>
          <w:szCs w:val="22"/>
        </w:rPr>
        <w:t>:</w:t>
      </w:r>
      <w:r w:rsidRPr="00B50DB8">
        <w:rPr>
          <w:szCs w:val="22"/>
        </w:rPr>
        <w:t xml:space="preserve"> </w:t>
      </w:r>
      <w:proofErr w:type="spellStart"/>
      <w:r>
        <w:rPr>
          <w:szCs w:val="22"/>
        </w:rPr>
        <w:t>Sitagliptin</w:t>
      </w:r>
      <w:proofErr w:type="spellEnd"/>
      <w:r w:rsidRPr="00A83614">
        <w:rPr>
          <w:szCs w:val="22"/>
        </w:rPr>
        <w:t xml:space="preserve"> (</w:t>
      </w:r>
      <w:proofErr w:type="spellStart"/>
      <w:r>
        <w:rPr>
          <w:szCs w:val="22"/>
        </w:rPr>
        <w:t>Januvia</w:t>
      </w:r>
      <w:proofErr w:type="spellEnd"/>
      <w:r w:rsidRPr="007260EB">
        <w:rPr>
          <w:szCs w:val="22"/>
          <w:vertAlign w:val="superscript"/>
        </w:rPr>
        <w:t>®</w:t>
      </w:r>
      <w:r w:rsidRPr="00A83614">
        <w:rPr>
          <w:szCs w:val="22"/>
        </w:rPr>
        <w:t xml:space="preserve">) was first listed on the Australian Register of Therapeutic Goods in </w:t>
      </w:r>
      <w:r>
        <w:rPr>
          <w:szCs w:val="22"/>
        </w:rPr>
        <w:t>January 2008</w:t>
      </w:r>
      <w:r w:rsidRPr="00A83614">
        <w:rPr>
          <w:szCs w:val="22"/>
        </w:rPr>
        <w:t xml:space="preserve">, and is currently approved for use in </w:t>
      </w:r>
      <w:r w:rsidR="00B001A8">
        <w:rPr>
          <w:szCs w:val="22"/>
        </w:rPr>
        <w:t>T2DM</w:t>
      </w:r>
      <w:r w:rsidRPr="00A83614">
        <w:rPr>
          <w:szCs w:val="22"/>
        </w:rPr>
        <w:t xml:space="preserve">: as an adjunct to diet and exercise in </w:t>
      </w:r>
      <w:r>
        <w:rPr>
          <w:szCs w:val="22"/>
        </w:rPr>
        <w:t xml:space="preserve">monotherapy and </w:t>
      </w:r>
      <w:r w:rsidRPr="00A83614">
        <w:rPr>
          <w:szCs w:val="22"/>
        </w:rPr>
        <w:t xml:space="preserve">dual oral combination therapy with metformin, or a sulfonylurea, or a thiazolidinedione; in triple oral combination therapy with metformin and a sulfonylurea; and in combination with insulin. </w:t>
      </w:r>
    </w:p>
    <w:p w:rsidR="00A83614" w:rsidRDefault="00A83614" w:rsidP="00831310">
      <w:pPr>
        <w:pStyle w:val="ListParagraph"/>
        <w:widowControl/>
        <w:rPr>
          <w:szCs w:val="22"/>
        </w:rPr>
      </w:pPr>
    </w:p>
    <w:p w:rsidR="00B60939" w:rsidRPr="00A83614" w:rsidRDefault="00A83614" w:rsidP="00831310">
      <w:pPr>
        <w:pStyle w:val="ListParagraph"/>
        <w:widowControl/>
        <w:numPr>
          <w:ilvl w:val="1"/>
          <w:numId w:val="8"/>
        </w:numPr>
        <w:rPr>
          <w:szCs w:val="22"/>
        </w:rPr>
      </w:pPr>
      <w:proofErr w:type="spellStart"/>
      <w:r>
        <w:rPr>
          <w:szCs w:val="22"/>
        </w:rPr>
        <w:t>Sitagliptin</w:t>
      </w:r>
      <w:r w:rsidR="00DD1A33">
        <w:rPr>
          <w:szCs w:val="22"/>
        </w:rPr>
        <w:t>+</w:t>
      </w:r>
      <w:r>
        <w:rPr>
          <w:szCs w:val="22"/>
        </w:rPr>
        <w:t>metformin</w:t>
      </w:r>
      <w:proofErr w:type="spellEnd"/>
      <w:r>
        <w:rPr>
          <w:szCs w:val="22"/>
        </w:rPr>
        <w:t xml:space="preserve"> fixed dose combinations </w:t>
      </w:r>
      <w:r w:rsidR="008F537D">
        <w:rPr>
          <w:szCs w:val="22"/>
        </w:rPr>
        <w:t>(</w:t>
      </w:r>
      <w:proofErr w:type="spellStart"/>
      <w:r w:rsidR="008F537D">
        <w:t>Janumet</w:t>
      </w:r>
      <w:proofErr w:type="spellEnd"/>
      <w:r w:rsidR="008F537D" w:rsidRPr="00F14DB7">
        <w:rPr>
          <w:vertAlign w:val="superscript"/>
        </w:rPr>
        <w:t>®</w:t>
      </w:r>
      <w:r w:rsidR="008F537D">
        <w:t xml:space="preserve">, </w:t>
      </w:r>
      <w:proofErr w:type="spellStart"/>
      <w:r w:rsidR="008F537D">
        <w:t>Janumet</w:t>
      </w:r>
      <w:proofErr w:type="spellEnd"/>
      <w:r w:rsidR="008F537D">
        <w:t xml:space="preserve"> XR</w:t>
      </w:r>
      <w:r w:rsidR="008F537D" w:rsidRPr="00F14DB7">
        <w:rPr>
          <w:vertAlign w:val="superscript"/>
        </w:rPr>
        <w:t>®</w:t>
      </w:r>
      <w:r w:rsidR="008F537D">
        <w:t xml:space="preserve">) </w:t>
      </w:r>
      <w:r>
        <w:rPr>
          <w:szCs w:val="22"/>
        </w:rPr>
        <w:t xml:space="preserve">are currently approved for use as initial or continuing dual oral therapy </w:t>
      </w:r>
      <w:r w:rsidR="003B0AEB">
        <w:rPr>
          <w:szCs w:val="22"/>
        </w:rPr>
        <w:t xml:space="preserve">in combination with metformin </w:t>
      </w:r>
      <w:r w:rsidR="00B81E3A">
        <w:rPr>
          <w:szCs w:val="22"/>
        </w:rPr>
        <w:t>or</w:t>
      </w:r>
      <w:r w:rsidR="003B0AEB">
        <w:rPr>
          <w:szCs w:val="22"/>
        </w:rPr>
        <w:t xml:space="preserve"> a sulfonylurea, </w:t>
      </w:r>
      <w:r w:rsidR="00DD1A33" w:rsidRPr="00DD1A33">
        <w:rPr>
          <w:szCs w:val="22"/>
        </w:rPr>
        <w:t xml:space="preserve"> </w:t>
      </w:r>
      <w:r w:rsidR="00DD1A33" w:rsidRPr="00FD7546">
        <w:rPr>
          <w:szCs w:val="22"/>
        </w:rPr>
        <w:t xml:space="preserve">as triple combination therapy with </w:t>
      </w:r>
      <w:r w:rsidR="00DD1A33">
        <w:rPr>
          <w:szCs w:val="22"/>
        </w:rPr>
        <w:t>MET</w:t>
      </w:r>
      <w:r w:rsidR="00DD1A33" w:rsidRPr="00FD7546">
        <w:rPr>
          <w:szCs w:val="22"/>
        </w:rPr>
        <w:t xml:space="preserve"> and a </w:t>
      </w:r>
      <w:r w:rsidR="00DD1A33">
        <w:rPr>
          <w:szCs w:val="22"/>
        </w:rPr>
        <w:t>SU</w:t>
      </w:r>
      <w:r w:rsidR="00DD1A33" w:rsidRPr="00FD7546">
        <w:rPr>
          <w:szCs w:val="22"/>
        </w:rPr>
        <w:t xml:space="preserve"> when combination therapy with both agents does not provide adequate glycaemic control</w:t>
      </w:r>
      <w:r w:rsidR="00DD1A33">
        <w:rPr>
          <w:szCs w:val="22"/>
        </w:rPr>
        <w:t xml:space="preserve">, </w:t>
      </w:r>
      <w:r w:rsidR="003B0AEB">
        <w:rPr>
          <w:szCs w:val="22"/>
        </w:rPr>
        <w:t>and in combination with insulin</w:t>
      </w:r>
      <w:r w:rsidRPr="00A83614">
        <w:rPr>
          <w:szCs w:val="22"/>
        </w:rPr>
        <w:t>.</w:t>
      </w:r>
    </w:p>
    <w:p w:rsidR="00B60939" w:rsidRPr="00882085" w:rsidRDefault="00B60939" w:rsidP="00831310">
      <w:pPr>
        <w:pStyle w:val="ListParagraph"/>
        <w:widowControl/>
        <w:rPr>
          <w:szCs w:val="22"/>
        </w:rPr>
      </w:pPr>
    </w:p>
    <w:p w:rsidR="002C2775" w:rsidRPr="00A83614" w:rsidRDefault="00B81E3A" w:rsidP="00831310">
      <w:pPr>
        <w:pStyle w:val="ListParagraph"/>
        <w:widowControl/>
        <w:numPr>
          <w:ilvl w:val="1"/>
          <w:numId w:val="8"/>
        </w:numPr>
        <w:rPr>
          <w:szCs w:val="22"/>
        </w:rPr>
      </w:pPr>
      <w:proofErr w:type="spellStart"/>
      <w:r>
        <w:rPr>
          <w:szCs w:val="22"/>
        </w:rPr>
        <w:t>Sitagliptin</w:t>
      </w:r>
      <w:proofErr w:type="spellEnd"/>
      <w:r>
        <w:rPr>
          <w:szCs w:val="22"/>
        </w:rPr>
        <w:t xml:space="preserve"> </w:t>
      </w:r>
      <w:r w:rsidR="008F537D">
        <w:rPr>
          <w:szCs w:val="22"/>
        </w:rPr>
        <w:t xml:space="preserve">(March 2008 meeting) </w:t>
      </w:r>
      <w:r w:rsidR="00447960">
        <w:rPr>
          <w:szCs w:val="22"/>
        </w:rPr>
        <w:t>is listed on the PBS for dual oral therapy with metformin or a sulfonylurea</w:t>
      </w:r>
      <w:r w:rsidR="00DD1A33">
        <w:rPr>
          <w:szCs w:val="22"/>
        </w:rPr>
        <w:t>.</w:t>
      </w:r>
      <w:r w:rsidR="006A0174">
        <w:rPr>
          <w:szCs w:val="22"/>
        </w:rPr>
        <w:t xml:space="preserve"> </w:t>
      </w:r>
      <w:proofErr w:type="spellStart"/>
      <w:r w:rsidR="00DD1A33">
        <w:rPr>
          <w:szCs w:val="22"/>
        </w:rPr>
        <w:t>S</w:t>
      </w:r>
      <w:r>
        <w:rPr>
          <w:szCs w:val="22"/>
        </w:rPr>
        <w:t>itagliptin</w:t>
      </w:r>
      <w:r w:rsidR="00DD1A33">
        <w:rPr>
          <w:szCs w:val="22"/>
        </w:rPr>
        <w:t>+</w:t>
      </w:r>
      <w:r>
        <w:rPr>
          <w:szCs w:val="22"/>
        </w:rPr>
        <w:t>metformin</w:t>
      </w:r>
      <w:proofErr w:type="spellEnd"/>
      <w:r>
        <w:rPr>
          <w:szCs w:val="22"/>
        </w:rPr>
        <w:t xml:space="preserve"> fixed dose combinations </w:t>
      </w:r>
      <w:r w:rsidR="008F537D">
        <w:rPr>
          <w:szCs w:val="22"/>
        </w:rPr>
        <w:t>(</w:t>
      </w:r>
      <w:proofErr w:type="spellStart"/>
      <w:r w:rsidR="008F537D">
        <w:t>Janumet</w:t>
      </w:r>
      <w:proofErr w:type="spellEnd"/>
      <w:r w:rsidR="007260EB" w:rsidRPr="00F14DB7">
        <w:rPr>
          <w:vertAlign w:val="superscript"/>
        </w:rPr>
        <w:t>®</w:t>
      </w:r>
      <w:r w:rsidR="008F537D">
        <w:t xml:space="preserve">, March 2009 meeting; </w:t>
      </w:r>
      <w:proofErr w:type="spellStart"/>
      <w:r w:rsidR="008F537D">
        <w:t>Janumet</w:t>
      </w:r>
      <w:proofErr w:type="spellEnd"/>
      <w:r w:rsidR="008F537D">
        <w:t xml:space="preserve"> XR</w:t>
      </w:r>
      <w:r w:rsidR="007260EB" w:rsidRPr="00F14DB7">
        <w:rPr>
          <w:vertAlign w:val="superscript"/>
        </w:rPr>
        <w:t>®</w:t>
      </w:r>
      <w:r w:rsidR="008F537D">
        <w:t>, November 2013 meeting)</w:t>
      </w:r>
      <w:r w:rsidR="008F537D">
        <w:rPr>
          <w:szCs w:val="22"/>
        </w:rPr>
        <w:t xml:space="preserve"> </w:t>
      </w:r>
      <w:r>
        <w:rPr>
          <w:szCs w:val="22"/>
        </w:rPr>
        <w:t xml:space="preserve">are listed on the PBS for </w:t>
      </w:r>
      <w:r w:rsidR="00B001A8">
        <w:rPr>
          <w:szCs w:val="22"/>
        </w:rPr>
        <w:t>T2DM</w:t>
      </w:r>
      <w:r w:rsidR="00447960">
        <w:rPr>
          <w:szCs w:val="22"/>
        </w:rPr>
        <w:t xml:space="preserve"> (excluding triple oral therapy</w:t>
      </w:r>
      <w:r w:rsidR="00447960" w:rsidRPr="00447960">
        <w:rPr>
          <w:szCs w:val="22"/>
        </w:rPr>
        <w:t xml:space="preserve">, </w:t>
      </w:r>
      <w:r w:rsidR="00447960">
        <w:rPr>
          <w:szCs w:val="22"/>
        </w:rPr>
        <w:t>and</w:t>
      </w:r>
      <w:r w:rsidR="00447960" w:rsidRPr="00447960">
        <w:rPr>
          <w:szCs w:val="22"/>
        </w:rPr>
        <w:t xml:space="preserve"> initial therapy</w:t>
      </w:r>
      <w:r w:rsidR="00447960">
        <w:rPr>
          <w:szCs w:val="22"/>
        </w:rPr>
        <w:t>)</w:t>
      </w:r>
      <w:r>
        <w:rPr>
          <w:szCs w:val="22"/>
        </w:rPr>
        <w:t xml:space="preserve">. </w:t>
      </w:r>
      <w:proofErr w:type="spellStart"/>
      <w:r w:rsidR="00115523">
        <w:rPr>
          <w:szCs w:val="22"/>
        </w:rPr>
        <w:t>Sitagliptin</w:t>
      </w:r>
      <w:proofErr w:type="spellEnd"/>
      <w:r w:rsidR="00115523">
        <w:rPr>
          <w:szCs w:val="22"/>
        </w:rPr>
        <w:t xml:space="preserve"> was recommended for listing for triple oral therapy at the July 2015 meeting. </w:t>
      </w:r>
      <w:proofErr w:type="spellStart"/>
      <w:r>
        <w:rPr>
          <w:szCs w:val="22"/>
        </w:rPr>
        <w:t>Sitagliptin</w:t>
      </w:r>
      <w:proofErr w:type="spellEnd"/>
      <w:r>
        <w:rPr>
          <w:szCs w:val="22"/>
        </w:rPr>
        <w:t xml:space="preserve"> </w:t>
      </w:r>
      <w:r>
        <w:t xml:space="preserve">has not previously been considered by the PBAC for </w:t>
      </w:r>
      <w:r w:rsidR="00DD1A33">
        <w:t>the treatment of T2DM in combination with insulin</w:t>
      </w:r>
      <w:r>
        <w:t>.</w:t>
      </w:r>
    </w:p>
    <w:p w:rsidR="00B60939" w:rsidRDefault="00B60939" w:rsidP="00831310">
      <w:pPr>
        <w:widowControl/>
      </w:pPr>
    </w:p>
    <w:p w:rsidR="00E6566C" w:rsidRDefault="00E6566C" w:rsidP="00831310">
      <w:pPr>
        <w:widowControl/>
      </w:pPr>
    </w:p>
    <w:p w:rsidR="000074E2" w:rsidRPr="00407F2D" w:rsidRDefault="000074E2" w:rsidP="00831310">
      <w:pPr>
        <w:pStyle w:val="PBACHeading1"/>
      </w:pPr>
      <w:bookmarkStart w:id="4" w:name="_Toc419661302"/>
      <w:r>
        <w:t>Clinical place for the proposed therapy</w:t>
      </w:r>
      <w:bookmarkEnd w:id="4"/>
    </w:p>
    <w:p w:rsidR="00B60939" w:rsidRPr="00882085" w:rsidRDefault="00B60939" w:rsidP="00831310">
      <w:pPr>
        <w:widowControl/>
        <w:rPr>
          <w:szCs w:val="22"/>
        </w:rPr>
      </w:pPr>
    </w:p>
    <w:p w:rsidR="00B60939" w:rsidRPr="000074E2" w:rsidRDefault="00B001A8" w:rsidP="00831310">
      <w:pPr>
        <w:pStyle w:val="ListParagraph"/>
        <w:widowControl/>
        <w:numPr>
          <w:ilvl w:val="1"/>
          <w:numId w:val="8"/>
        </w:numPr>
        <w:rPr>
          <w:szCs w:val="22"/>
        </w:rPr>
      </w:pPr>
      <w:r>
        <w:t>T2DM</w:t>
      </w:r>
      <w:r w:rsidR="00177DEC">
        <w:t xml:space="preserve"> in combination </w:t>
      </w:r>
      <w:r w:rsidR="00177DEC" w:rsidRPr="00321BBE">
        <w:t xml:space="preserve">with </w:t>
      </w:r>
      <w:r w:rsidR="00177DEC">
        <w:t xml:space="preserve">insulin, with or without </w:t>
      </w:r>
      <w:r w:rsidR="00177DEC" w:rsidRPr="00321BBE">
        <w:t>metformin</w:t>
      </w:r>
      <w:r w:rsidR="00177DEC">
        <w:t xml:space="preserve"> </w:t>
      </w:r>
      <w:r w:rsidR="00177DEC" w:rsidRPr="00321BBE">
        <w:t xml:space="preserve">when therapy with </w:t>
      </w:r>
      <w:r w:rsidR="00177DEC">
        <w:t xml:space="preserve">insulin </w:t>
      </w:r>
      <w:r w:rsidR="007260EB">
        <w:t>(±</w:t>
      </w:r>
      <w:r w:rsidR="00177DEC">
        <w:t>metformin</w:t>
      </w:r>
      <w:r w:rsidR="007260EB">
        <w:t>)</w:t>
      </w:r>
      <w:r w:rsidR="00177DEC">
        <w:t xml:space="preserve"> </w:t>
      </w:r>
      <w:r w:rsidR="00177DEC" w:rsidRPr="00321BBE">
        <w:t>does not pro</w:t>
      </w:r>
      <w:r w:rsidR="00177DEC">
        <w:t xml:space="preserve">vide adequate glycaemic control. </w:t>
      </w:r>
    </w:p>
    <w:p w:rsidR="000074E2" w:rsidRPr="000074E2" w:rsidRDefault="000074E2" w:rsidP="00831310">
      <w:pPr>
        <w:pStyle w:val="ListParagraph"/>
        <w:widowControl/>
        <w:rPr>
          <w:szCs w:val="22"/>
        </w:rPr>
      </w:pPr>
    </w:p>
    <w:p w:rsidR="000074E2" w:rsidRPr="00F156D1" w:rsidRDefault="000074E2" w:rsidP="00831310">
      <w:pPr>
        <w:pStyle w:val="ListParagraph"/>
        <w:widowControl/>
        <w:numPr>
          <w:ilvl w:val="1"/>
          <w:numId w:val="8"/>
        </w:numPr>
        <w:rPr>
          <w:szCs w:val="22"/>
        </w:rPr>
      </w:pPr>
      <w:r w:rsidRPr="00F156D1">
        <w:rPr>
          <w:szCs w:val="22"/>
        </w:rPr>
        <w:t xml:space="preserve">Alternative agents used in combination with </w:t>
      </w:r>
      <w:r w:rsidR="00177DEC" w:rsidRPr="00F156D1">
        <w:t>insulin include</w:t>
      </w:r>
      <w:r w:rsidR="007260EB" w:rsidRPr="00F156D1">
        <w:t xml:space="preserve"> diabetes medicines, both listed and not listed on the PBS</w:t>
      </w:r>
      <w:r w:rsidR="00177DEC" w:rsidRPr="00F156D1">
        <w:t xml:space="preserve">: </w:t>
      </w:r>
    </w:p>
    <w:p w:rsidR="00177DEC" w:rsidRPr="00F156D1" w:rsidRDefault="00177DEC" w:rsidP="00831310">
      <w:pPr>
        <w:pStyle w:val="ListParagraph"/>
        <w:widowControl/>
        <w:numPr>
          <w:ilvl w:val="0"/>
          <w:numId w:val="28"/>
        </w:numPr>
        <w:rPr>
          <w:szCs w:val="22"/>
        </w:rPr>
      </w:pPr>
      <w:r w:rsidRPr="00F156D1">
        <w:t>up titration of basal insulins;</w:t>
      </w:r>
    </w:p>
    <w:p w:rsidR="00177DEC" w:rsidRPr="00F156D1" w:rsidRDefault="00177DEC" w:rsidP="00831310">
      <w:pPr>
        <w:pStyle w:val="ListParagraph"/>
        <w:widowControl/>
        <w:numPr>
          <w:ilvl w:val="0"/>
          <w:numId w:val="28"/>
        </w:numPr>
        <w:rPr>
          <w:szCs w:val="22"/>
        </w:rPr>
      </w:pPr>
      <w:r w:rsidRPr="00F156D1">
        <w:t>pre-mixed and rapid acting insulins;</w:t>
      </w:r>
    </w:p>
    <w:p w:rsidR="00177DEC" w:rsidRPr="00F156D1" w:rsidRDefault="00177DEC" w:rsidP="00831310">
      <w:pPr>
        <w:pStyle w:val="ListParagraph"/>
        <w:widowControl/>
        <w:numPr>
          <w:ilvl w:val="0"/>
          <w:numId w:val="28"/>
        </w:numPr>
        <w:rPr>
          <w:szCs w:val="22"/>
        </w:rPr>
      </w:pPr>
      <w:r w:rsidRPr="00F156D1">
        <w:t xml:space="preserve">other oral diabetes medicines; i.e. sulfonylureas, other DPP-4 inhibitors, SGLT2 </w:t>
      </w:r>
      <w:r w:rsidRPr="00345E34">
        <w:t xml:space="preserve">inhibitors, GLP-1 receptor agonists, pioglitazone and </w:t>
      </w:r>
      <w:proofErr w:type="spellStart"/>
      <w:r w:rsidRPr="00345E34">
        <w:t>acarbose</w:t>
      </w:r>
      <w:proofErr w:type="spellEnd"/>
      <w:r w:rsidRPr="00345E34">
        <w:t>;</w:t>
      </w:r>
      <w:r w:rsidRPr="00F156D1">
        <w:t xml:space="preserve"> and </w:t>
      </w:r>
    </w:p>
    <w:p w:rsidR="002C2775" w:rsidRPr="00F156D1" w:rsidRDefault="00177DEC" w:rsidP="00831310">
      <w:pPr>
        <w:pStyle w:val="ListParagraph"/>
        <w:widowControl/>
        <w:numPr>
          <w:ilvl w:val="0"/>
          <w:numId w:val="28"/>
        </w:numPr>
        <w:rPr>
          <w:szCs w:val="22"/>
        </w:rPr>
      </w:pPr>
      <w:proofErr w:type="gramStart"/>
      <w:r w:rsidRPr="00F156D1">
        <w:t>fixed</w:t>
      </w:r>
      <w:proofErr w:type="gramEnd"/>
      <w:r w:rsidRPr="00F156D1">
        <w:t xml:space="preserve"> dose combinations of oral diabetes medicines with metformin (where available).</w:t>
      </w:r>
    </w:p>
    <w:p w:rsidR="00E55BB5" w:rsidRDefault="00E55BB5" w:rsidP="00831310">
      <w:pPr>
        <w:pStyle w:val="Header"/>
        <w:widowControl/>
        <w:rPr>
          <w:szCs w:val="22"/>
        </w:rPr>
      </w:pPr>
    </w:p>
    <w:p w:rsidR="00434431" w:rsidRPr="004B1F3E" w:rsidRDefault="00434431" w:rsidP="00831310">
      <w:pPr>
        <w:pStyle w:val="ListParagraph"/>
        <w:widowControl/>
        <w:ind w:left="709"/>
        <w:rPr>
          <w:i/>
          <w:szCs w:val="22"/>
        </w:rPr>
      </w:pPr>
      <w:r w:rsidRPr="004B1F3E">
        <w:rPr>
          <w:i/>
          <w:szCs w:val="22"/>
        </w:rPr>
        <w:t>For more detail on PBAC’s view, see section 7 “PBAC outcome”</w:t>
      </w:r>
    </w:p>
    <w:p w:rsidR="00E6566C" w:rsidRDefault="00E6566C" w:rsidP="00831310">
      <w:pPr>
        <w:pStyle w:val="Header"/>
        <w:widowControl/>
        <w:rPr>
          <w:szCs w:val="22"/>
        </w:rPr>
      </w:pPr>
    </w:p>
    <w:p w:rsidR="00DD1A33" w:rsidRPr="00882085" w:rsidRDefault="00DD1A33" w:rsidP="00831310">
      <w:pPr>
        <w:pStyle w:val="Header"/>
        <w:widowControl/>
        <w:rPr>
          <w:szCs w:val="22"/>
        </w:rPr>
      </w:pPr>
    </w:p>
    <w:p w:rsidR="00EB1DCA" w:rsidRPr="00407F2D" w:rsidRDefault="00EB1DCA" w:rsidP="00831310">
      <w:pPr>
        <w:pStyle w:val="PBACHeading1"/>
      </w:pPr>
      <w:bookmarkStart w:id="5" w:name="_Toc419661303"/>
      <w:r>
        <w:t>Comparator</w:t>
      </w:r>
      <w:bookmarkEnd w:id="5"/>
    </w:p>
    <w:p w:rsidR="00B60939" w:rsidRPr="00882085" w:rsidRDefault="00B60939" w:rsidP="00831310">
      <w:pPr>
        <w:widowControl/>
      </w:pPr>
    </w:p>
    <w:p w:rsidR="002C2775" w:rsidRPr="007260EB" w:rsidRDefault="007260EB" w:rsidP="00831310">
      <w:pPr>
        <w:pStyle w:val="ListParagraph"/>
        <w:widowControl/>
        <w:numPr>
          <w:ilvl w:val="1"/>
          <w:numId w:val="8"/>
        </w:numPr>
        <w:rPr>
          <w:szCs w:val="22"/>
        </w:rPr>
      </w:pPr>
      <w:proofErr w:type="spellStart"/>
      <w:r w:rsidRPr="007260EB">
        <w:t>Dapagliflozin</w:t>
      </w:r>
      <w:proofErr w:type="spellEnd"/>
      <w:r w:rsidRPr="007260EB">
        <w:t xml:space="preserve">. </w:t>
      </w:r>
      <w:r w:rsidRPr="00F156D1">
        <w:t xml:space="preserve">This was </w:t>
      </w:r>
      <w:r w:rsidR="00F067A2" w:rsidRPr="00F156D1">
        <w:t xml:space="preserve">the appropriate comparator. </w:t>
      </w:r>
      <w:proofErr w:type="spellStart"/>
      <w:r w:rsidRPr="00F156D1">
        <w:t>Exenatide</w:t>
      </w:r>
      <w:proofErr w:type="spellEnd"/>
      <w:r w:rsidRPr="00F156D1">
        <w:t xml:space="preserve"> and basal insulin were appropriate secondary comparators but were not considered in the submission.</w:t>
      </w:r>
      <w:r>
        <w:rPr>
          <w:i/>
        </w:rPr>
        <w:t xml:space="preserve"> </w:t>
      </w:r>
    </w:p>
    <w:p w:rsidR="00B60939" w:rsidRDefault="00B60939" w:rsidP="00831310">
      <w:pPr>
        <w:widowControl/>
        <w:rPr>
          <w:szCs w:val="22"/>
        </w:rPr>
      </w:pPr>
    </w:p>
    <w:p w:rsidR="00434431" w:rsidRPr="00434431" w:rsidRDefault="00434431" w:rsidP="00831310">
      <w:pPr>
        <w:pStyle w:val="ListParagraph"/>
        <w:widowControl/>
        <w:ind w:left="709"/>
        <w:rPr>
          <w:i/>
          <w:szCs w:val="22"/>
        </w:rPr>
      </w:pPr>
      <w:r w:rsidRPr="004B1F3E">
        <w:rPr>
          <w:i/>
          <w:szCs w:val="22"/>
        </w:rPr>
        <w:t>For more detail on PBAC’s view, see section 7 “PBAC outcome”</w:t>
      </w:r>
    </w:p>
    <w:p w:rsidR="00E6566C" w:rsidRDefault="00E6566C" w:rsidP="00831310">
      <w:pPr>
        <w:widowControl/>
        <w:rPr>
          <w:szCs w:val="22"/>
        </w:rPr>
      </w:pPr>
    </w:p>
    <w:p w:rsidR="00DD1A33" w:rsidRPr="00DF5D2B" w:rsidRDefault="00DD1A33" w:rsidP="00831310">
      <w:pPr>
        <w:widowControl/>
        <w:rPr>
          <w:szCs w:val="22"/>
        </w:rPr>
      </w:pPr>
    </w:p>
    <w:p w:rsidR="00B50DB8" w:rsidRPr="00407F2D" w:rsidRDefault="00BD6CF3" w:rsidP="00545FCD">
      <w:pPr>
        <w:pStyle w:val="PBACHeading1"/>
        <w:keepNext/>
      </w:pPr>
      <w:bookmarkStart w:id="6" w:name="_Toc419661304"/>
      <w:r>
        <w:lastRenderedPageBreak/>
        <w:t>C</w:t>
      </w:r>
      <w:r w:rsidR="00B50DB8" w:rsidRPr="00407F2D">
        <w:t>onsideration of the evidence</w:t>
      </w:r>
      <w:bookmarkEnd w:id="6"/>
    </w:p>
    <w:p w:rsidR="00B60939" w:rsidRDefault="00B60939" w:rsidP="00545FCD">
      <w:pPr>
        <w:keepNext/>
        <w:widowControl/>
      </w:pPr>
    </w:p>
    <w:p w:rsidR="00434431" w:rsidRPr="00AB7D8A" w:rsidRDefault="00434431" w:rsidP="00831310">
      <w:pPr>
        <w:widowControl/>
        <w:spacing w:after="200" w:line="276" w:lineRule="auto"/>
        <w:rPr>
          <w:b/>
          <w:bCs/>
          <w:i/>
          <w:szCs w:val="22"/>
        </w:rPr>
      </w:pPr>
      <w:r w:rsidRPr="00AB7D8A">
        <w:rPr>
          <w:b/>
          <w:bCs/>
          <w:i/>
          <w:szCs w:val="22"/>
        </w:rPr>
        <w:t>Sponsor hearing</w:t>
      </w:r>
    </w:p>
    <w:p w:rsidR="00434431" w:rsidRPr="00AB7D8A" w:rsidRDefault="00434431" w:rsidP="00831310">
      <w:pPr>
        <w:widowControl/>
        <w:numPr>
          <w:ilvl w:val="1"/>
          <w:numId w:val="8"/>
        </w:numPr>
        <w:contextualSpacing/>
        <w:rPr>
          <w:bCs/>
          <w:szCs w:val="22"/>
        </w:rPr>
      </w:pPr>
      <w:r w:rsidRPr="00AB7D8A">
        <w:rPr>
          <w:bCs/>
          <w:szCs w:val="22"/>
        </w:rPr>
        <w:t>Ther</w:t>
      </w:r>
      <w:r w:rsidR="00AB7D8A" w:rsidRPr="00AB7D8A">
        <w:rPr>
          <w:bCs/>
          <w:szCs w:val="22"/>
        </w:rPr>
        <w:t>e was no hearing for this item.</w:t>
      </w:r>
    </w:p>
    <w:p w:rsidR="00434431" w:rsidRPr="003A49F2" w:rsidRDefault="00434431" w:rsidP="00831310">
      <w:pPr>
        <w:widowControl/>
        <w:rPr>
          <w:bCs/>
          <w:szCs w:val="22"/>
          <w:highlight w:val="yellow"/>
        </w:rPr>
      </w:pPr>
    </w:p>
    <w:p w:rsidR="00434431" w:rsidRPr="00AB7D8A" w:rsidRDefault="00434431" w:rsidP="00831310">
      <w:pPr>
        <w:widowControl/>
        <w:spacing w:after="200" w:line="276" w:lineRule="auto"/>
        <w:rPr>
          <w:b/>
          <w:bCs/>
          <w:i/>
          <w:szCs w:val="22"/>
        </w:rPr>
      </w:pPr>
      <w:r w:rsidRPr="00AB7D8A">
        <w:rPr>
          <w:b/>
          <w:bCs/>
          <w:i/>
          <w:szCs w:val="22"/>
        </w:rPr>
        <w:t>Consumer comments</w:t>
      </w:r>
    </w:p>
    <w:p w:rsidR="00434431" w:rsidRPr="00AB7D8A" w:rsidRDefault="00434431" w:rsidP="00831310">
      <w:pPr>
        <w:widowControl/>
        <w:numPr>
          <w:ilvl w:val="1"/>
          <w:numId w:val="8"/>
        </w:numPr>
        <w:contextualSpacing/>
        <w:rPr>
          <w:bCs/>
          <w:szCs w:val="22"/>
        </w:rPr>
      </w:pPr>
      <w:r w:rsidRPr="00AB7D8A">
        <w:rPr>
          <w:bCs/>
          <w:szCs w:val="22"/>
        </w:rPr>
        <w:t>The PBAC noted that no consumer comments were received for this item.</w:t>
      </w:r>
    </w:p>
    <w:p w:rsidR="00434431" w:rsidRPr="00882085" w:rsidRDefault="00434431" w:rsidP="00831310">
      <w:pPr>
        <w:widowControl/>
      </w:pPr>
    </w:p>
    <w:p w:rsidR="00B60939" w:rsidRPr="002C2775" w:rsidRDefault="00B60939" w:rsidP="00831310">
      <w:pPr>
        <w:pStyle w:val="Heading2"/>
        <w:widowControl/>
        <w:rPr>
          <w:i/>
        </w:rPr>
      </w:pPr>
      <w:bookmarkStart w:id="7" w:name="_Toc419661305"/>
      <w:r w:rsidRPr="002C2775">
        <w:rPr>
          <w:i/>
        </w:rPr>
        <w:t>Clinical trials</w:t>
      </w:r>
      <w:bookmarkEnd w:id="7"/>
    </w:p>
    <w:p w:rsidR="00B60939" w:rsidRPr="00882085" w:rsidRDefault="00B60939" w:rsidP="00831310">
      <w:pPr>
        <w:widowControl/>
        <w:rPr>
          <w:szCs w:val="22"/>
        </w:rPr>
      </w:pPr>
    </w:p>
    <w:p w:rsidR="007F1017" w:rsidRPr="007260EB" w:rsidRDefault="00862502" w:rsidP="00831310">
      <w:pPr>
        <w:pStyle w:val="ListParagraph"/>
        <w:widowControl/>
        <w:numPr>
          <w:ilvl w:val="1"/>
          <w:numId w:val="8"/>
        </w:numPr>
        <w:rPr>
          <w:szCs w:val="22"/>
        </w:rPr>
      </w:pPr>
      <w:r w:rsidRPr="00862502">
        <w:t xml:space="preserve">The submission </w:t>
      </w:r>
      <w:r w:rsidR="007260EB">
        <w:t>was</w:t>
      </w:r>
      <w:r w:rsidRPr="00862502">
        <w:t xml:space="preserve"> based on </w:t>
      </w:r>
      <w:r w:rsidR="00B65B6B">
        <w:t>two</w:t>
      </w:r>
      <w:r w:rsidR="007260EB">
        <w:t xml:space="preserve"> indirect comparison</w:t>
      </w:r>
      <w:r w:rsidR="00B65B6B">
        <w:t xml:space="preserve">s between </w:t>
      </w:r>
      <w:proofErr w:type="spellStart"/>
      <w:r w:rsidR="00B65B6B">
        <w:t>sitagliptin</w:t>
      </w:r>
      <w:proofErr w:type="spellEnd"/>
      <w:r w:rsidR="00B65B6B">
        <w:t xml:space="preserve"> 100mg and </w:t>
      </w:r>
      <w:proofErr w:type="spellStart"/>
      <w:r w:rsidR="00B65B6B">
        <w:t>dapagliflozin</w:t>
      </w:r>
      <w:proofErr w:type="spellEnd"/>
      <w:r w:rsidR="00B65B6B">
        <w:t xml:space="preserve"> 10mg,</w:t>
      </w:r>
      <w:r w:rsidR="007260EB">
        <w:t xml:space="preserve"> with placebo + insulin (±metformin) as common comparator:</w:t>
      </w:r>
      <w:r w:rsidR="00702F8F" w:rsidRPr="00B50DB8">
        <w:rPr>
          <w:color w:val="3366FF"/>
        </w:rPr>
        <w:t xml:space="preserve">  </w:t>
      </w:r>
    </w:p>
    <w:p w:rsidR="007260EB" w:rsidRPr="00925124" w:rsidRDefault="007260EB" w:rsidP="00831310">
      <w:pPr>
        <w:pStyle w:val="ListParagraph"/>
        <w:widowControl/>
        <w:numPr>
          <w:ilvl w:val="0"/>
          <w:numId w:val="28"/>
        </w:numPr>
      </w:pPr>
      <w:proofErr w:type="spellStart"/>
      <w:r w:rsidRPr="00925124">
        <w:t>Sitagliptin</w:t>
      </w:r>
      <w:proofErr w:type="spellEnd"/>
      <w:r w:rsidRPr="00925124">
        <w:t xml:space="preserve"> + insulin ± metformin versus placebo + insulin ± metformin (Trial P051 and Trial P260).</w:t>
      </w:r>
    </w:p>
    <w:p w:rsidR="007260EB" w:rsidRPr="00925124" w:rsidRDefault="007260EB" w:rsidP="00831310">
      <w:pPr>
        <w:pStyle w:val="ListParagraph"/>
        <w:widowControl/>
        <w:numPr>
          <w:ilvl w:val="0"/>
          <w:numId w:val="28"/>
        </w:numPr>
      </w:pPr>
      <w:proofErr w:type="spellStart"/>
      <w:r w:rsidRPr="00925124">
        <w:t>Dapagliflozin</w:t>
      </w:r>
      <w:proofErr w:type="spellEnd"/>
      <w:r w:rsidRPr="00925124">
        <w:t xml:space="preserve"> + insulin ± metformin versus placebo + insulin ± metformin (Wilding et al. 2012).</w:t>
      </w:r>
    </w:p>
    <w:p w:rsidR="00715408" w:rsidRDefault="00715408" w:rsidP="00831310">
      <w:pPr>
        <w:pStyle w:val="ListParagraph"/>
        <w:widowControl/>
      </w:pPr>
    </w:p>
    <w:p w:rsidR="00B65B6B" w:rsidRPr="00B50DB8" w:rsidRDefault="00B65B6B" w:rsidP="00831310">
      <w:pPr>
        <w:pStyle w:val="ListParagraph"/>
        <w:widowControl/>
        <w:numPr>
          <w:ilvl w:val="1"/>
          <w:numId w:val="8"/>
        </w:numPr>
        <w:rPr>
          <w:szCs w:val="22"/>
        </w:rPr>
      </w:pPr>
      <w:r>
        <w:rPr>
          <w:szCs w:val="22"/>
        </w:rPr>
        <w:t xml:space="preserve">Meta-analysis of the </w:t>
      </w:r>
      <w:r w:rsidR="004974A2">
        <w:rPr>
          <w:szCs w:val="22"/>
        </w:rPr>
        <w:t xml:space="preserve">two </w:t>
      </w:r>
      <w:proofErr w:type="spellStart"/>
      <w:r>
        <w:rPr>
          <w:szCs w:val="22"/>
        </w:rPr>
        <w:t>sitagliptin</w:t>
      </w:r>
      <w:proofErr w:type="spellEnd"/>
      <w:r>
        <w:rPr>
          <w:szCs w:val="22"/>
        </w:rPr>
        <w:t xml:space="preserve"> trials </w:t>
      </w:r>
      <w:r w:rsidR="004974A2">
        <w:rPr>
          <w:szCs w:val="22"/>
        </w:rPr>
        <w:t xml:space="preserve">prior to undertaking the indirect comparison </w:t>
      </w:r>
      <w:r>
        <w:rPr>
          <w:szCs w:val="22"/>
        </w:rPr>
        <w:t xml:space="preserve">was not attempted due to </w:t>
      </w:r>
      <w:r w:rsidR="004974A2">
        <w:rPr>
          <w:szCs w:val="22"/>
        </w:rPr>
        <w:t>differences in trial design</w:t>
      </w:r>
      <w:r w:rsidRPr="00B50DB8">
        <w:rPr>
          <w:szCs w:val="22"/>
        </w:rPr>
        <w:t xml:space="preserve">. </w:t>
      </w:r>
      <w:r w:rsidR="00044913" w:rsidRPr="009B1523">
        <w:rPr>
          <w:szCs w:val="22"/>
        </w:rPr>
        <w:t>This was appropriate.</w:t>
      </w:r>
    </w:p>
    <w:p w:rsidR="00B65B6B" w:rsidRPr="00862502" w:rsidRDefault="00B65B6B" w:rsidP="00831310">
      <w:pPr>
        <w:widowControl/>
        <w:rPr>
          <w:szCs w:val="22"/>
        </w:rPr>
      </w:pPr>
    </w:p>
    <w:p w:rsidR="00862502" w:rsidRPr="00B50DB8" w:rsidRDefault="00862502" w:rsidP="00831310">
      <w:pPr>
        <w:pStyle w:val="ListParagraph"/>
        <w:widowControl/>
        <w:numPr>
          <w:ilvl w:val="1"/>
          <w:numId w:val="8"/>
        </w:numPr>
        <w:rPr>
          <w:szCs w:val="22"/>
        </w:rPr>
      </w:pPr>
      <w:r w:rsidRPr="00B50DB8">
        <w:rPr>
          <w:szCs w:val="22"/>
        </w:rPr>
        <w:t xml:space="preserve">Details of the trials presented in the submission are provided in </w:t>
      </w:r>
      <w:r w:rsidR="009E7AF9">
        <w:rPr>
          <w:szCs w:val="22"/>
        </w:rPr>
        <w:t>T</w:t>
      </w:r>
      <w:r w:rsidR="00BD68FC">
        <w:rPr>
          <w:szCs w:val="22"/>
        </w:rPr>
        <w:t>able 1</w:t>
      </w:r>
      <w:r w:rsidRPr="00B50DB8">
        <w:rPr>
          <w:szCs w:val="22"/>
        </w:rPr>
        <w:t>.</w:t>
      </w:r>
    </w:p>
    <w:p w:rsidR="00862502" w:rsidRPr="00862502" w:rsidRDefault="00862502" w:rsidP="00831310">
      <w:pPr>
        <w:widowControl/>
        <w:rPr>
          <w:szCs w:val="22"/>
        </w:rPr>
      </w:pPr>
    </w:p>
    <w:p w:rsidR="008F120A" w:rsidRDefault="00BD68FC" w:rsidP="00831310">
      <w:pPr>
        <w:keepNext/>
        <w:widowControl/>
        <w:ind w:firstLine="720"/>
        <w:rPr>
          <w:rStyle w:val="CommentReference"/>
        </w:rPr>
      </w:pPr>
      <w:r>
        <w:rPr>
          <w:rStyle w:val="CommentReference"/>
        </w:rPr>
        <w:t xml:space="preserve">Table 1: </w:t>
      </w:r>
      <w:r w:rsidR="008F120A" w:rsidRPr="000812CA">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8F120A" w:rsidRPr="004E2ADC" w:rsidTr="00E22A0D">
        <w:tc>
          <w:tcPr>
            <w:tcW w:w="1019" w:type="pct"/>
          </w:tcPr>
          <w:p w:rsidR="008F120A" w:rsidRPr="004E2ADC" w:rsidRDefault="008F120A" w:rsidP="00831310">
            <w:pPr>
              <w:keepNext/>
              <w:widowControl/>
              <w:jc w:val="left"/>
              <w:rPr>
                <w:rFonts w:ascii="Arial Narrow" w:hAnsi="Arial Narrow"/>
                <w:b/>
                <w:sz w:val="20"/>
              </w:rPr>
            </w:pPr>
            <w:r w:rsidRPr="004E2ADC">
              <w:rPr>
                <w:rFonts w:ascii="Arial Narrow" w:hAnsi="Arial Narrow"/>
                <w:b/>
                <w:sz w:val="20"/>
              </w:rPr>
              <w:t>Trial ID</w:t>
            </w:r>
            <w:r w:rsidR="00E22A0D">
              <w:rPr>
                <w:rFonts w:ascii="Arial Narrow" w:hAnsi="Arial Narrow"/>
                <w:b/>
                <w:sz w:val="20"/>
              </w:rPr>
              <w:t>/First Author</w:t>
            </w:r>
          </w:p>
        </w:tc>
        <w:tc>
          <w:tcPr>
            <w:tcW w:w="2804" w:type="pct"/>
          </w:tcPr>
          <w:p w:rsidR="008F120A" w:rsidRPr="004E2ADC" w:rsidRDefault="008F120A" w:rsidP="00831310">
            <w:pPr>
              <w:keepNext/>
              <w:widowControl/>
              <w:jc w:val="center"/>
              <w:rPr>
                <w:rFonts w:ascii="Arial Narrow" w:hAnsi="Arial Narrow"/>
                <w:b/>
                <w:sz w:val="20"/>
              </w:rPr>
            </w:pPr>
            <w:r w:rsidRPr="004E2ADC">
              <w:rPr>
                <w:rFonts w:ascii="Arial Narrow" w:hAnsi="Arial Narrow"/>
                <w:b/>
                <w:sz w:val="20"/>
              </w:rPr>
              <w:t>Protocol title/ Publication title</w:t>
            </w:r>
          </w:p>
        </w:tc>
        <w:tc>
          <w:tcPr>
            <w:tcW w:w="1177" w:type="pct"/>
          </w:tcPr>
          <w:p w:rsidR="008F120A" w:rsidRPr="004E2ADC" w:rsidRDefault="008F120A" w:rsidP="00831310">
            <w:pPr>
              <w:keepNext/>
              <w:widowControl/>
              <w:jc w:val="center"/>
              <w:rPr>
                <w:rFonts w:ascii="Arial Narrow" w:hAnsi="Arial Narrow"/>
                <w:b/>
                <w:sz w:val="20"/>
              </w:rPr>
            </w:pPr>
            <w:r w:rsidRPr="004E2ADC">
              <w:rPr>
                <w:rFonts w:ascii="Arial Narrow" w:hAnsi="Arial Narrow"/>
                <w:b/>
                <w:sz w:val="20"/>
              </w:rPr>
              <w:t>Publication citation</w:t>
            </w:r>
          </w:p>
        </w:tc>
      </w:tr>
      <w:tr w:rsidR="008F120A" w:rsidRPr="004E2ADC" w:rsidTr="00E22A0D">
        <w:tc>
          <w:tcPr>
            <w:tcW w:w="5000" w:type="pct"/>
            <w:gridSpan w:val="3"/>
          </w:tcPr>
          <w:p w:rsidR="008F120A" w:rsidRPr="004E2ADC" w:rsidRDefault="008F120A" w:rsidP="00831310">
            <w:pPr>
              <w:keepNext/>
              <w:widowControl/>
              <w:jc w:val="left"/>
              <w:rPr>
                <w:rFonts w:ascii="Arial Narrow" w:hAnsi="Arial Narrow"/>
                <w:b/>
                <w:sz w:val="20"/>
              </w:rPr>
            </w:pPr>
            <w:r w:rsidRPr="004E2ADC">
              <w:rPr>
                <w:rFonts w:ascii="Arial Narrow" w:hAnsi="Arial Narrow"/>
                <w:b/>
                <w:sz w:val="20"/>
              </w:rPr>
              <w:t>Direct randomised trial(s)</w:t>
            </w:r>
          </w:p>
        </w:tc>
      </w:tr>
      <w:tr w:rsidR="00715408" w:rsidRPr="004E2ADC" w:rsidTr="00715408">
        <w:trPr>
          <w:trHeight w:val="1081"/>
        </w:trPr>
        <w:tc>
          <w:tcPr>
            <w:tcW w:w="1019" w:type="pct"/>
            <w:vMerge w:val="restart"/>
          </w:tcPr>
          <w:p w:rsidR="00715408" w:rsidRPr="004E2ADC" w:rsidRDefault="00715408" w:rsidP="00831310">
            <w:pPr>
              <w:keepNext/>
              <w:widowControl/>
              <w:jc w:val="left"/>
              <w:rPr>
                <w:rFonts w:ascii="Arial Narrow" w:hAnsi="Arial Narrow"/>
                <w:sz w:val="20"/>
              </w:rPr>
            </w:pPr>
            <w:r>
              <w:rPr>
                <w:rFonts w:ascii="Arial Narrow" w:hAnsi="Arial Narrow"/>
                <w:sz w:val="20"/>
              </w:rPr>
              <w:t>P051</w:t>
            </w:r>
          </w:p>
        </w:tc>
        <w:tc>
          <w:tcPr>
            <w:tcW w:w="2804" w:type="pct"/>
            <w:tcBorders>
              <w:bottom w:val="nil"/>
            </w:tcBorders>
          </w:tcPr>
          <w:p w:rsidR="00715408" w:rsidRPr="00715408" w:rsidRDefault="00715408" w:rsidP="00831310">
            <w:pPr>
              <w:keepNext/>
              <w:widowControl/>
              <w:tabs>
                <w:tab w:val="left" w:pos="416"/>
                <w:tab w:val="left" w:pos="582"/>
              </w:tabs>
              <w:spacing w:before="40" w:after="20"/>
              <w:jc w:val="left"/>
              <w:rPr>
                <w:rFonts w:ascii="Arial Narrow" w:hAnsi="Arial Narrow" w:cs="Times New Roman"/>
                <w:snapToGrid/>
                <w:sz w:val="20"/>
              </w:rPr>
            </w:pPr>
            <w:r w:rsidRPr="00715408">
              <w:rPr>
                <w:rFonts w:ascii="Arial Narrow" w:hAnsi="Arial Narrow" w:cs="Times New Roman"/>
                <w:snapToGrid/>
                <w:sz w:val="20"/>
              </w:rPr>
              <w:t>Clinical Study Report Protocol 051.</w:t>
            </w:r>
          </w:p>
          <w:p w:rsidR="00715408" w:rsidRPr="00715408" w:rsidRDefault="00715408" w:rsidP="00831310">
            <w:pPr>
              <w:keepNext/>
              <w:widowControl/>
              <w:tabs>
                <w:tab w:val="left" w:pos="416"/>
                <w:tab w:val="left" w:pos="582"/>
              </w:tabs>
              <w:spacing w:before="40" w:after="20"/>
              <w:jc w:val="left"/>
              <w:rPr>
                <w:rFonts w:ascii="Arial Narrow" w:hAnsi="Arial Narrow" w:cs="Times New Roman"/>
                <w:snapToGrid/>
                <w:sz w:val="20"/>
              </w:rPr>
            </w:pPr>
            <w:r w:rsidRPr="00715408">
              <w:rPr>
                <w:rFonts w:ascii="Arial Narrow" w:hAnsi="Arial Narrow" w:cs="Times New Roman"/>
                <w:snapToGrid/>
                <w:sz w:val="20"/>
              </w:rPr>
              <w:t xml:space="preserve">Phase III, </w:t>
            </w:r>
            <w:proofErr w:type="spellStart"/>
            <w:r w:rsidRPr="00715408">
              <w:rPr>
                <w:rFonts w:ascii="Arial Narrow" w:hAnsi="Arial Narrow" w:cs="Times New Roman"/>
                <w:snapToGrid/>
                <w:sz w:val="20"/>
              </w:rPr>
              <w:t>multicenter</w:t>
            </w:r>
            <w:proofErr w:type="spellEnd"/>
            <w:r w:rsidRPr="00715408">
              <w:rPr>
                <w:rFonts w:ascii="Arial Narrow" w:hAnsi="Arial Narrow" w:cs="Times New Roman"/>
                <w:snapToGrid/>
                <w:sz w:val="20"/>
              </w:rPr>
              <w:t xml:space="preserve">, randomized, double-blind clinical trial to study the safety and efficacy of the addition of </w:t>
            </w:r>
            <w:proofErr w:type="spellStart"/>
            <w:r w:rsidRPr="00715408">
              <w:rPr>
                <w:rFonts w:ascii="Arial Narrow" w:hAnsi="Arial Narrow" w:cs="Times New Roman"/>
                <w:snapToGrid/>
                <w:sz w:val="20"/>
              </w:rPr>
              <w:t>sitagliptin</w:t>
            </w:r>
            <w:proofErr w:type="spellEnd"/>
            <w:r w:rsidRPr="00715408">
              <w:rPr>
                <w:rFonts w:ascii="Arial Narrow" w:hAnsi="Arial Narrow" w:cs="Times New Roman"/>
                <w:snapToGrid/>
                <w:sz w:val="20"/>
              </w:rPr>
              <w:t xml:space="preserve"> (mk-0431) to patients with type 2 diabetes mellitus who have inadequate </w:t>
            </w:r>
            <w:proofErr w:type="spellStart"/>
            <w:r w:rsidRPr="00715408">
              <w:rPr>
                <w:rFonts w:ascii="Arial Narrow" w:hAnsi="Arial Narrow" w:cs="Times New Roman"/>
                <w:snapToGrid/>
                <w:sz w:val="20"/>
              </w:rPr>
              <w:t>glycemic</w:t>
            </w:r>
            <w:proofErr w:type="spellEnd"/>
            <w:r w:rsidRPr="00715408">
              <w:rPr>
                <w:rFonts w:ascii="Arial Narrow" w:hAnsi="Arial Narrow" w:cs="Times New Roman"/>
                <w:snapToGrid/>
                <w:sz w:val="20"/>
              </w:rPr>
              <w:t xml:space="preserve"> control on insulin therapy (alone or in combination with metformin)</w:t>
            </w:r>
          </w:p>
        </w:tc>
        <w:tc>
          <w:tcPr>
            <w:tcW w:w="1177" w:type="pct"/>
            <w:tcBorders>
              <w:bottom w:val="nil"/>
            </w:tcBorders>
          </w:tcPr>
          <w:p w:rsidR="00715408" w:rsidRPr="00715408" w:rsidRDefault="00715408" w:rsidP="00831310">
            <w:pPr>
              <w:keepNext/>
              <w:widowControl/>
              <w:jc w:val="left"/>
              <w:rPr>
                <w:rFonts w:ascii="Arial Narrow" w:hAnsi="Arial Narrow"/>
                <w:sz w:val="20"/>
              </w:rPr>
            </w:pPr>
            <w:r>
              <w:rPr>
                <w:rFonts w:ascii="Arial Narrow" w:hAnsi="Arial Narrow"/>
                <w:sz w:val="20"/>
              </w:rPr>
              <w:t>January 2009.</w:t>
            </w:r>
          </w:p>
        </w:tc>
      </w:tr>
      <w:tr w:rsidR="00715408" w:rsidRPr="004E2ADC" w:rsidTr="00715408">
        <w:trPr>
          <w:trHeight w:val="1033"/>
        </w:trPr>
        <w:tc>
          <w:tcPr>
            <w:tcW w:w="1019" w:type="pct"/>
            <w:vMerge/>
          </w:tcPr>
          <w:p w:rsidR="00715408" w:rsidRDefault="00715408" w:rsidP="00831310">
            <w:pPr>
              <w:keepNext/>
              <w:widowControl/>
              <w:jc w:val="left"/>
              <w:rPr>
                <w:rFonts w:ascii="Arial Narrow" w:hAnsi="Arial Narrow"/>
                <w:sz w:val="20"/>
              </w:rPr>
            </w:pPr>
          </w:p>
        </w:tc>
        <w:tc>
          <w:tcPr>
            <w:tcW w:w="2804" w:type="pct"/>
            <w:tcBorders>
              <w:top w:val="nil"/>
            </w:tcBorders>
          </w:tcPr>
          <w:p w:rsidR="00715408" w:rsidRPr="00715408" w:rsidRDefault="00715408" w:rsidP="00831310">
            <w:pPr>
              <w:keepNext/>
              <w:widowControl/>
              <w:tabs>
                <w:tab w:val="left" w:pos="416"/>
                <w:tab w:val="left" w:pos="582"/>
              </w:tabs>
              <w:spacing w:before="40" w:after="20"/>
              <w:jc w:val="left"/>
              <w:rPr>
                <w:rFonts w:ascii="Arial Narrow" w:hAnsi="Arial Narrow" w:cs="Times New Roman"/>
                <w:snapToGrid/>
                <w:sz w:val="20"/>
              </w:rPr>
            </w:pPr>
            <w:proofErr w:type="spellStart"/>
            <w:r w:rsidRPr="00715408">
              <w:rPr>
                <w:rFonts w:ascii="Arial Narrow" w:hAnsi="Arial Narrow" w:cs="Times New Roman"/>
                <w:sz w:val="20"/>
                <w:lang w:eastAsia="en-AU"/>
              </w:rPr>
              <w:t>Vilsboll</w:t>
            </w:r>
            <w:proofErr w:type="spellEnd"/>
            <w:r w:rsidRPr="00715408">
              <w:rPr>
                <w:rFonts w:ascii="Arial Narrow" w:hAnsi="Arial Narrow" w:cs="Times New Roman"/>
                <w:sz w:val="20"/>
                <w:lang w:eastAsia="en-AU"/>
              </w:rPr>
              <w:t xml:space="preserve"> T, </w:t>
            </w:r>
            <w:proofErr w:type="spellStart"/>
            <w:r w:rsidRPr="00715408">
              <w:rPr>
                <w:rFonts w:ascii="Arial Narrow" w:hAnsi="Arial Narrow" w:cs="Times New Roman"/>
                <w:sz w:val="20"/>
                <w:lang w:eastAsia="en-AU"/>
              </w:rPr>
              <w:t>Rosenstock</w:t>
            </w:r>
            <w:proofErr w:type="spellEnd"/>
            <w:r w:rsidRPr="00715408">
              <w:rPr>
                <w:rFonts w:ascii="Arial Narrow" w:hAnsi="Arial Narrow" w:cs="Times New Roman"/>
                <w:sz w:val="20"/>
                <w:lang w:eastAsia="en-AU"/>
              </w:rPr>
              <w:t xml:space="preserve"> J, H. </w:t>
            </w:r>
            <w:proofErr w:type="spellStart"/>
            <w:r w:rsidRPr="00715408">
              <w:rPr>
                <w:rFonts w:ascii="Arial Narrow" w:hAnsi="Arial Narrow" w:cs="Times New Roman"/>
                <w:sz w:val="20"/>
                <w:lang w:eastAsia="en-AU"/>
              </w:rPr>
              <w:t>Yki-Jarvinen</w:t>
            </w:r>
            <w:proofErr w:type="spellEnd"/>
            <w:r w:rsidRPr="00715408">
              <w:rPr>
                <w:rFonts w:ascii="Arial Narrow" w:hAnsi="Arial Narrow" w:cs="Times New Roman"/>
                <w:sz w:val="20"/>
                <w:lang w:eastAsia="en-AU"/>
              </w:rPr>
              <w:t xml:space="preserve">, W. T. </w:t>
            </w:r>
            <w:proofErr w:type="spellStart"/>
            <w:r w:rsidRPr="00715408">
              <w:rPr>
                <w:rFonts w:ascii="Arial Narrow" w:hAnsi="Arial Narrow" w:cs="Times New Roman"/>
                <w:sz w:val="20"/>
                <w:lang w:eastAsia="en-AU"/>
              </w:rPr>
              <w:t>Cefalu</w:t>
            </w:r>
            <w:proofErr w:type="spellEnd"/>
            <w:r w:rsidRPr="00715408">
              <w:rPr>
                <w:rFonts w:ascii="Arial Narrow" w:hAnsi="Arial Narrow" w:cs="Times New Roman"/>
                <w:sz w:val="20"/>
                <w:lang w:eastAsia="en-AU"/>
              </w:rPr>
              <w:t xml:space="preserve">, Y. Chen, E. Luo, B. Musser, P. J. </w:t>
            </w:r>
            <w:proofErr w:type="spellStart"/>
            <w:r w:rsidRPr="00715408">
              <w:rPr>
                <w:rFonts w:ascii="Arial Narrow" w:hAnsi="Arial Narrow" w:cs="Times New Roman"/>
                <w:sz w:val="20"/>
                <w:lang w:eastAsia="en-AU"/>
              </w:rPr>
              <w:t>Andryuk</w:t>
            </w:r>
            <w:proofErr w:type="spellEnd"/>
            <w:r w:rsidRPr="00715408">
              <w:rPr>
                <w:rFonts w:ascii="Arial Narrow" w:hAnsi="Arial Narrow" w:cs="Times New Roman"/>
                <w:sz w:val="20"/>
                <w:lang w:eastAsia="en-AU"/>
              </w:rPr>
              <w:t xml:space="preserve">, Y. Ling, K. D. Kaufman, J. M. </w:t>
            </w:r>
            <w:proofErr w:type="spellStart"/>
            <w:r w:rsidRPr="00715408">
              <w:rPr>
                <w:rFonts w:ascii="Arial Narrow" w:hAnsi="Arial Narrow" w:cs="Times New Roman"/>
                <w:sz w:val="20"/>
                <w:lang w:eastAsia="en-AU"/>
              </w:rPr>
              <w:t>Amatruda</w:t>
            </w:r>
            <w:proofErr w:type="spellEnd"/>
            <w:r w:rsidRPr="00715408">
              <w:rPr>
                <w:rFonts w:ascii="Arial Narrow" w:hAnsi="Arial Narrow" w:cs="Times New Roman"/>
                <w:sz w:val="20"/>
                <w:lang w:eastAsia="en-AU"/>
              </w:rPr>
              <w:t xml:space="preserve">, S. S. Engel &amp; L. Katz. Efficacy and safety of </w:t>
            </w:r>
            <w:proofErr w:type="spellStart"/>
            <w:r w:rsidRPr="00715408">
              <w:rPr>
                <w:rFonts w:ascii="Arial Narrow" w:hAnsi="Arial Narrow" w:cs="Times New Roman"/>
                <w:sz w:val="20"/>
                <w:lang w:eastAsia="en-AU"/>
              </w:rPr>
              <w:t>sitagliptin</w:t>
            </w:r>
            <w:proofErr w:type="spellEnd"/>
            <w:r w:rsidRPr="00715408">
              <w:rPr>
                <w:rFonts w:ascii="Arial Narrow" w:hAnsi="Arial Narrow" w:cs="Times New Roman"/>
                <w:sz w:val="20"/>
                <w:lang w:eastAsia="en-AU"/>
              </w:rPr>
              <w:t xml:space="preserve"> when added to insulin therapy in patients with type 2 diabetes. </w:t>
            </w:r>
          </w:p>
        </w:tc>
        <w:tc>
          <w:tcPr>
            <w:tcW w:w="1177" w:type="pct"/>
            <w:tcBorders>
              <w:top w:val="nil"/>
            </w:tcBorders>
          </w:tcPr>
          <w:p w:rsidR="00715408" w:rsidRDefault="00715408" w:rsidP="00831310">
            <w:pPr>
              <w:keepNext/>
              <w:widowControl/>
              <w:jc w:val="left"/>
              <w:rPr>
                <w:rFonts w:ascii="Arial Narrow" w:hAnsi="Arial Narrow"/>
                <w:sz w:val="20"/>
              </w:rPr>
            </w:pPr>
            <w:r w:rsidRPr="00EB7981">
              <w:rPr>
                <w:rFonts w:ascii="Arial Narrow" w:hAnsi="Arial Narrow" w:cs="Times New Roman"/>
                <w:i/>
                <w:sz w:val="20"/>
                <w:lang w:eastAsia="en-AU"/>
              </w:rPr>
              <w:t>Diabetes, Obesity and Metabolism</w:t>
            </w:r>
            <w:r w:rsidR="00EB7981">
              <w:rPr>
                <w:rFonts w:ascii="Arial Narrow" w:hAnsi="Arial Narrow" w:cs="Times New Roman"/>
                <w:sz w:val="20"/>
                <w:lang w:eastAsia="en-AU"/>
              </w:rPr>
              <w:t>,</w:t>
            </w:r>
            <w:r>
              <w:rPr>
                <w:rFonts w:ascii="Arial Narrow" w:hAnsi="Arial Narrow" w:cs="Times New Roman"/>
                <w:sz w:val="20"/>
                <w:lang w:eastAsia="en-AU"/>
              </w:rPr>
              <w:t xml:space="preserve"> 2012, </w:t>
            </w:r>
            <w:r w:rsidRPr="00715408">
              <w:rPr>
                <w:rFonts w:ascii="Arial Narrow" w:hAnsi="Arial Narrow" w:cs="Times New Roman"/>
                <w:sz w:val="20"/>
                <w:lang w:eastAsia="en-AU"/>
              </w:rPr>
              <w:t>12: 167–177</w:t>
            </w:r>
            <w:r>
              <w:rPr>
                <w:rFonts w:ascii="Arial Narrow" w:hAnsi="Arial Narrow" w:cs="Times New Roman"/>
                <w:sz w:val="20"/>
                <w:lang w:eastAsia="en-AU"/>
              </w:rPr>
              <w:t>.</w:t>
            </w:r>
          </w:p>
        </w:tc>
      </w:tr>
      <w:tr w:rsidR="008F120A" w:rsidRPr="004E2ADC" w:rsidTr="00E22A0D">
        <w:tc>
          <w:tcPr>
            <w:tcW w:w="1019" w:type="pct"/>
          </w:tcPr>
          <w:p w:rsidR="008F120A" w:rsidRPr="004E2ADC" w:rsidRDefault="00715408" w:rsidP="00831310">
            <w:pPr>
              <w:keepNext/>
              <w:widowControl/>
              <w:jc w:val="left"/>
              <w:rPr>
                <w:rFonts w:ascii="Arial Narrow" w:hAnsi="Arial Narrow"/>
                <w:sz w:val="20"/>
              </w:rPr>
            </w:pPr>
            <w:r>
              <w:rPr>
                <w:rFonts w:ascii="Arial Narrow" w:hAnsi="Arial Narrow"/>
                <w:sz w:val="20"/>
              </w:rPr>
              <w:t>P260</w:t>
            </w:r>
          </w:p>
        </w:tc>
        <w:tc>
          <w:tcPr>
            <w:tcW w:w="2804" w:type="pct"/>
          </w:tcPr>
          <w:p w:rsidR="00715408" w:rsidRPr="00715408" w:rsidRDefault="00715408" w:rsidP="00831310">
            <w:pPr>
              <w:keepNext/>
              <w:widowControl/>
              <w:tabs>
                <w:tab w:val="left" w:pos="416"/>
                <w:tab w:val="left" w:pos="582"/>
              </w:tabs>
              <w:spacing w:before="40" w:after="20"/>
              <w:jc w:val="left"/>
              <w:rPr>
                <w:rFonts w:ascii="Arial Narrow" w:hAnsi="Arial Narrow" w:cs="Times New Roman"/>
                <w:snapToGrid/>
                <w:sz w:val="20"/>
              </w:rPr>
            </w:pPr>
            <w:r w:rsidRPr="00715408">
              <w:rPr>
                <w:rFonts w:ascii="Arial Narrow" w:hAnsi="Arial Narrow" w:cs="Times New Roman"/>
                <w:snapToGrid/>
                <w:sz w:val="20"/>
              </w:rPr>
              <w:t>Clinical Study Report Protocol 260.</w:t>
            </w:r>
          </w:p>
          <w:p w:rsidR="008F120A" w:rsidRPr="00715408" w:rsidRDefault="00715408" w:rsidP="00831310">
            <w:pPr>
              <w:keepNext/>
              <w:widowControl/>
              <w:jc w:val="left"/>
              <w:rPr>
                <w:rFonts w:ascii="Arial Narrow" w:hAnsi="Arial Narrow"/>
                <w:b/>
                <w:sz w:val="20"/>
              </w:rPr>
            </w:pPr>
            <w:r w:rsidRPr="00715408">
              <w:rPr>
                <w:rFonts w:ascii="Arial Narrow" w:hAnsi="Arial Narrow" w:cs="Times New Roman"/>
                <w:sz w:val="20"/>
                <w:lang w:eastAsia="en-AU"/>
              </w:rPr>
              <w:t xml:space="preserve">Phase III, </w:t>
            </w:r>
            <w:proofErr w:type="spellStart"/>
            <w:r w:rsidRPr="00715408">
              <w:rPr>
                <w:rFonts w:ascii="Arial Narrow" w:hAnsi="Arial Narrow" w:cs="Times New Roman"/>
                <w:sz w:val="20"/>
                <w:lang w:eastAsia="en-AU"/>
              </w:rPr>
              <w:t>multicenter</w:t>
            </w:r>
            <w:proofErr w:type="spellEnd"/>
            <w:r w:rsidRPr="00715408">
              <w:rPr>
                <w:rFonts w:ascii="Arial Narrow" w:hAnsi="Arial Narrow" w:cs="Times New Roman"/>
                <w:sz w:val="20"/>
                <w:lang w:eastAsia="en-AU"/>
              </w:rPr>
              <w:t xml:space="preserve">, randomized, double-blind, placebo-controlled clinical trial to study the safety and insulin-sparing efficacy of the addition of </w:t>
            </w:r>
            <w:proofErr w:type="spellStart"/>
            <w:r w:rsidRPr="00715408">
              <w:rPr>
                <w:rFonts w:ascii="Arial Narrow" w:hAnsi="Arial Narrow" w:cs="Times New Roman"/>
                <w:sz w:val="20"/>
                <w:lang w:eastAsia="en-AU"/>
              </w:rPr>
              <w:t>sitagliptin</w:t>
            </w:r>
            <w:proofErr w:type="spellEnd"/>
            <w:r w:rsidRPr="00715408">
              <w:rPr>
                <w:rFonts w:ascii="Arial Narrow" w:hAnsi="Arial Narrow" w:cs="Times New Roman"/>
                <w:sz w:val="20"/>
                <w:lang w:eastAsia="en-AU"/>
              </w:rPr>
              <w:t xml:space="preserve"> in patients with type 2 diabetes mellitus who have inadequate glycaemic control on insulin alone or in combination with metformin</w:t>
            </w:r>
          </w:p>
        </w:tc>
        <w:tc>
          <w:tcPr>
            <w:tcW w:w="1177" w:type="pct"/>
          </w:tcPr>
          <w:p w:rsidR="008F120A" w:rsidRPr="004E2ADC" w:rsidRDefault="00715408" w:rsidP="00831310">
            <w:pPr>
              <w:keepNext/>
              <w:widowControl/>
              <w:jc w:val="left"/>
              <w:rPr>
                <w:rFonts w:ascii="Arial Narrow" w:hAnsi="Arial Narrow"/>
                <w:sz w:val="20"/>
              </w:rPr>
            </w:pPr>
            <w:r>
              <w:rPr>
                <w:rFonts w:ascii="Arial Narrow" w:hAnsi="Arial Narrow"/>
                <w:sz w:val="20"/>
              </w:rPr>
              <w:t>November 2013.</w:t>
            </w:r>
          </w:p>
          <w:p w:rsidR="008F120A" w:rsidRPr="004E2ADC" w:rsidRDefault="008F120A" w:rsidP="00831310">
            <w:pPr>
              <w:keepNext/>
              <w:widowControl/>
              <w:jc w:val="left"/>
              <w:rPr>
                <w:rFonts w:ascii="Arial Narrow" w:hAnsi="Arial Narrow"/>
                <w:b/>
                <w:sz w:val="20"/>
              </w:rPr>
            </w:pPr>
          </w:p>
        </w:tc>
      </w:tr>
      <w:tr w:rsidR="008F120A" w:rsidRPr="004E2ADC" w:rsidTr="00E22A0D">
        <w:tc>
          <w:tcPr>
            <w:tcW w:w="1019" w:type="pct"/>
          </w:tcPr>
          <w:p w:rsidR="008F120A" w:rsidRPr="004E2ADC" w:rsidRDefault="00715408" w:rsidP="00831310">
            <w:pPr>
              <w:keepNext/>
              <w:widowControl/>
              <w:jc w:val="left"/>
              <w:rPr>
                <w:rFonts w:ascii="Arial Narrow" w:hAnsi="Arial Narrow"/>
                <w:sz w:val="20"/>
              </w:rPr>
            </w:pPr>
            <w:r>
              <w:rPr>
                <w:rFonts w:ascii="Arial Narrow" w:hAnsi="Arial Narrow"/>
                <w:sz w:val="20"/>
              </w:rPr>
              <w:t>Wilding et al. 2012</w:t>
            </w:r>
          </w:p>
        </w:tc>
        <w:tc>
          <w:tcPr>
            <w:tcW w:w="2804" w:type="pct"/>
          </w:tcPr>
          <w:p w:rsidR="008F120A" w:rsidRPr="004E2ADC" w:rsidRDefault="00715408" w:rsidP="00831310">
            <w:pPr>
              <w:keepNext/>
              <w:widowControl/>
              <w:jc w:val="left"/>
              <w:rPr>
                <w:rFonts w:ascii="Arial Narrow" w:hAnsi="Arial Narrow"/>
                <w:b/>
                <w:sz w:val="20"/>
              </w:rPr>
            </w:pPr>
            <w:r w:rsidRPr="008F1D18">
              <w:rPr>
                <w:rFonts w:ascii="Arial Narrow" w:hAnsi="Arial Narrow"/>
                <w:sz w:val="20"/>
              </w:rPr>
              <w:t xml:space="preserve">Wilding JP, Woo V, </w:t>
            </w:r>
            <w:proofErr w:type="spellStart"/>
            <w:r w:rsidRPr="008F1D18">
              <w:rPr>
                <w:rFonts w:ascii="Arial Narrow" w:hAnsi="Arial Narrow"/>
                <w:sz w:val="20"/>
              </w:rPr>
              <w:t>Soler</w:t>
            </w:r>
            <w:proofErr w:type="spellEnd"/>
            <w:r w:rsidRPr="008F1D18">
              <w:rPr>
                <w:rFonts w:ascii="Arial Narrow" w:hAnsi="Arial Narrow"/>
                <w:sz w:val="20"/>
              </w:rPr>
              <w:t xml:space="preserve"> NG, </w:t>
            </w:r>
            <w:proofErr w:type="spellStart"/>
            <w:r w:rsidRPr="008F1D18">
              <w:rPr>
                <w:rFonts w:ascii="Arial Narrow" w:hAnsi="Arial Narrow"/>
                <w:sz w:val="20"/>
              </w:rPr>
              <w:t>Pahor</w:t>
            </w:r>
            <w:proofErr w:type="spellEnd"/>
            <w:r w:rsidRPr="008F1D18">
              <w:rPr>
                <w:rFonts w:ascii="Arial Narrow" w:hAnsi="Arial Narrow"/>
                <w:sz w:val="20"/>
              </w:rPr>
              <w:t xml:space="preserve"> A, </w:t>
            </w:r>
            <w:proofErr w:type="spellStart"/>
            <w:r w:rsidRPr="008F1D18">
              <w:rPr>
                <w:rFonts w:ascii="Arial Narrow" w:hAnsi="Arial Narrow"/>
                <w:sz w:val="20"/>
              </w:rPr>
              <w:t>Sugg</w:t>
            </w:r>
            <w:proofErr w:type="spellEnd"/>
            <w:r w:rsidRPr="008F1D18">
              <w:rPr>
                <w:rFonts w:ascii="Arial Narrow" w:hAnsi="Arial Narrow"/>
                <w:sz w:val="20"/>
              </w:rPr>
              <w:t xml:space="preserve"> J, </w:t>
            </w:r>
            <w:proofErr w:type="spellStart"/>
            <w:r w:rsidRPr="008F1D18">
              <w:rPr>
                <w:rFonts w:ascii="Arial Narrow" w:hAnsi="Arial Narrow"/>
                <w:sz w:val="20"/>
              </w:rPr>
              <w:t>Rohwedder</w:t>
            </w:r>
            <w:proofErr w:type="spellEnd"/>
            <w:r w:rsidRPr="008F1D18">
              <w:rPr>
                <w:rFonts w:ascii="Arial Narrow" w:hAnsi="Arial Narrow"/>
                <w:sz w:val="20"/>
              </w:rPr>
              <w:t xml:space="preserve"> K, Parikh S; </w:t>
            </w:r>
            <w:proofErr w:type="spellStart"/>
            <w:r w:rsidRPr="008F1D18">
              <w:rPr>
                <w:rFonts w:ascii="Arial Narrow" w:hAnsi="Arial Narrow"/>
                <w:sz w:val="20"/>
              </w:rPr>
              <w:t>Dapagliflozin</w:t>
            </w:r>
            <w:proofErr w:type="spellEnd"/>
            <w:r w:rsidRPr="008F1D18">
              <w:rPr>
                <w:rFonts w:ascii="Arial Narrow" w:hAnsi="Arial Narrow"/>
                <w:sz w:val="20"/>
              </w:rPr>
              <w:t xml:space="preserve"> 006 Study Group. Long-term efficacy of </w:t>
            </w:r>
            <w:proofErr w:type="spellStart"/>
            <w:r w:rsidRPr="008F1D18">
              <w:rPr>
                <w:rFonts w:ascii="Arial Narrow" w:hAnsi="Arial Narrow"/>
                <w:sz w:val="20"/>
              </w:rPr>
              <w:t>dapagliflozin</w:t>
            </w:r>
            <w:proofErr w:type="spellEnd"/>
            <w:r w:rsidRPr="008F1D18">
              <w:rPr>
                <w:rFonts w:ascii="Arial Narrow" w:hAnsi="Arial Narrow"/>
                <w:sz w:val="20"/>
              </w:rPr>
              <w:t xml:space="preserve"> in patients with type 2 diabetes mellitus receiving high doses of insulin: a randomized trial. </w:t>
            </w:r>
          </w:p>
        </w:tc>
        <w:tc>
          <w:tcPr>
            <w:tcW w:w="1177" w:type="pct"/>
          </w:tcPr>
          <w:p w:rsidR="008F120A" w:rsidRPr="004E2ADC" w:rsidRDefault="00715408" w:rsidP="00831310">
            <w:pPr>
              <w:keepNext/>
              <w:widowControl/>
              <w:jc w:val="left"/>
              <w:rPr>
                <w:rFonts w:ascii="Arial Narrow" w:hAnsi="Arial Narrow"/>
                <w:b/>
                <w:sz w:val="20"/>
              </w:rPr>
            </w:pPr>
            <w:r w:rsidRPr="00EB7981">
              <w:rPr>
                <w:rFonts w:ascii="Arial Narrow" w:hAnsi="Arial Narrow"/>
                <w:i/>
                <w:sz w:val="20"/>
              </w:rPr>
              <w:t>Annals of Internal Medicine</w:t>
            </w:r>
            <w:r w:rsidR="00EB7981">
              <w:rPr>
                <w:rFonts w:ascii="Arial Narrow" w:hAnsi="Arial Narrow"/>
                <w:sz w:val="20"/>
              </w:rPr>
              <w:t>,</w:t>
            </w:r>
            <w:r w:rsidRPr="008F1D18">
              <w:rPr>
                <w:rFonts w:ascii="Arial Narrow" w:hAnsi="Arial Narrow"/>
                <w:sz w:val="20"/>
              </w:rPr>
              <w:t xml:space="preserve"> </w:t>
            </w:r>
            <w:r w:rsidR="00BE2001" w:rsidRPr="008F1D18">
              <w:rPr>
                <w:rFonts w:ascii="Arial Narrow" w:hAnsi="Arial Narrow"/>
                <w:sz w:val="20"/>
              </w:rPr>
              <w:t>2012,</w:t>
            </w:r>
            <w:r w:rsidR="00EB7981">
              <w:rPr>
                <w:rFonts w:ascii="Arial Narrow" w:hAnsi="Arial Narrow"/>
                <w:sz w:val="20"/>
              </w:rPr>
              <w:t xml:space="preserve"> </w:t>
            </w:r>
            <w:r w:rsidRPr="008F1D18">
              <w:rPr>
                <w:rFonts w:ascii="Arial Narrow" w:hAnsi="Arial Narrow"/>
                <w:sz w:val="20"/>
              </w:rPr>
              <w:t>Mar 20</w:t>
            </w:r>
            <w:r w:rsidR="00BE2001" w:rsidRPr="008F1D18">
              <w:rPr>
                <w:rFonts w:ascii="Arial Narrow" w:hAnsi="Arial Narrow"/>
                <w:sz w:val="20"/>
              </w:rPr>
              <w:t>; 156</w:t>
            </w:r>
            <w:r w:rsidRPr="008F1D18">
              <w:rPr>
                <w:rFonts w:ascii="Arial Narrow" w:hAnsi="Arial Narrow"/>
                <w:sz w:val="20"/>
              </w:rPr>
              <w:t>(6):405-15</w:t>
            </w:r>
            <w:r w:rsidR="00EB7981">
              <w:rPr>
                <w:rFonts w:ascii="Arial Narrow" w:hAnsi="Arial Narrow"/>
                <w:sz w:val="20"/>
              </w:rPr>
              <w:t>.</w:t>
            </w:r>
          </w:p>
        </w:tc>
      </w:tr>
    </w:tbl>
    <w:p w:rsidR="00EB7981" w:rsidRPr="00114421" w:rsidRDefault="00EB7981" w:rsidP="00831310">
      <w:pPr>
        <w:widowControl/>
        <w:ind w:left="709"/>
        <w:rPr>
          <w:rFonts w:ascii="Arial Narrow" w:hAnsi="Arial Narrow"/>
          <w:sz w:val="18"/>
          <w:szCs w:val="18"/>
        </w:rPr>
      </w:pPr>
      <w:r w:rsidRPr="00114421">
        <w:rPr>
          <w:rFonts w:ascii="Arial Narrow" w:hAnsi="Arial Narrow"/>
          <w:sz w:val="18"/>
          <w:szCs w:val="18"/>
        </w:rPr>
        <w:t xml:space="preserve">Source: Table B.2-2 page </w:t>
      </w:r>
      <w:r>
        <w:rPr>
          <w:rFonts w:ascii="Arial Narrow" w:hAnsi="Arial Narrow"/>
          <w:sz w:val="18"/>
          <w:szCs w:val="18"/>
        </w:rPr>
        <w:t>60</w:t>
      </w:r>
      <w:r w:rsidRPr="00114421">
        <w:rPr>
          <w:rFonts w:ascii="Arial Narrow" w:hAnsi="Arial Narrow"/>
          <w:sz w:val="18"/>
          <w:szCs w:val="18"/>
        </w:rPr>
        <w:t xml:space="preserve"> of the submission</w:t>
      </w:r>
      <w:r>
        <w:rPr>
          <w:rFonts w:ascii="Arial Narrow" w:hAnsi="Arial Narrow"/>
          <w:sz w:val="18"/>
          <w:szCs w:val="18"/>
        </w:rPr>
        <w:t>.</w:t>
      </w:r>
    </w:p>
    <w:p w:rsidR="004F1F53" w:rsidRDefault="004F1F53">
      <w:pPr>
        <w:widowControl/>
        <w:jc w:val="left"/>
        <w:rPr>
          <w:szCs w:val="22"/>
        </w:rPr>
      </w:pPr>
      <w:r>
        <w:rPr>
          <w:szCs w:val="22"/>
        </w:rPr>
        <w:br w:type="page"/>
      </w:r>
    </w:p>
    <w:p w:rsidR="00862502" w:rsidRPr="008F120A" w:rsidRDefault="00862502" w:rsidP="00831310">
      <w:pPr>
        <w:widowControl/>
        <w:rPr>
          <w:szCs w:val="22"/>
        </w:rPr>
      </w:pPr>
    </w:p>
    <w:p w:rsidR="007F1017" w:rsidRPr="00EB7981" w:rsidRDefault="008F120A" w:rsidP="00831310">
      <w:pPr>
        <w:pStyle w:val="ListParagraph"/>
        <w:widowControl/>
        <w:numPr>
          <w:ilvl w:val="1"/>
          <w:numId w:val="8"/>
        </w:numPr>
        <w:rPr>
          <w:szCs w:val="22"/>
        </w:rPr>
      </w:pPr>
      <w:r w:rsidRPr="00EB7981">
        <w:rPr>
          <w:szCs w:val="22"/>
        </w:rPr>
        <w:t xml:space="preserve">The key features of the </w:t>
      </w:r>
      <w:r w:rsidR="00EB7981">
        <w:rPr>
          <w:szCs w:val="22"/>
        </w:rPr>
        <w:t xml:space="preserve">randomised trials are summarised in </w:t>
      </w:r>
      <w:r w:rsidR="009E7AF9">
        <w:rPr>
          <w:szCs w:val="22"/>
        </w:rPr>
        <w:t>T</w:t>
      </w:r>
      <w:r w:rsidR="00BD68FC">
        <w:rPr>
          <w:szCs w:val="22"/>
        </w:rPr>
        <w:t>able 2</w:t>
      </w:r>
      <w:r w:rsidRPr="00EB7981">
        <w:rPr>
          <w:szCs w:val="22"/>
        </w:rPr>
        <w:t>.</w:t>
      </w:r>
    </w:p>
    <w:p w:rsidR="00EB7981" w:rsidRPr="00EB7981" w:rsidRDefault="00EB7981" w:rsidP="00831310">
      <w:pPr>
        <w:pStyle w:val="ListParagraph"/>
        <w:widowControl/>
        <w:rPr>
          <w:szCs w:val="22"/>
        </w:rPr>
      </w:pPr>
    </w:p>
    <w:p w:rsidR="007F1017" w:rsidRPr="0057541E" w:rsidRDefault="00BD68FC" w:rsidP="00831310">
      <w:pPr>
        <w:keepNext/>
        <w:widowControl/>
        <w:ind w:firstLine="720"/>
        <w:rPr>
          <w:rFonts w:ascii="Arial Narrow" w:hAnsi="Arial Narrow"/>
          <w:b/>
          <w:sz w:val="20"/>
          <w:szCs w:val="16"/>
        </w:rPr>
      </w:pPr>
      <w:r>
        <w:rPr>
          <w:rStyle w:val="CommentReference"/>
        </w:rPr>
        <w:t xml:space="preserve">Table 2: </w:t>
      </w:r>
      <w:r w:rsidR="007F1017" w:rsidRPr="00E2771E">
        <w:rPr>
          <w:rStyle w:val="CommentReference"/>
        </w:rPr>
        <w:t>Key features of the included evidence</w:t>
      </w:r>
    </w:p>
    <w:tbl>
      <w:tblPr>
        <w:tblW w:w="460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9"/>
        <w:gridCol w:w="1541"/>
        <w:gridCol w:w="1013"/>
        <w:gridCol w:w="588"/>
        <w:gridCol w:w="1504"/>
        <w:gridCol w:w="1984"/>
        <w:gridCol w:w="1144"/>
      </w:tblGrid>
      <w:tr w:rsidR="0057541E" w:rsidRPr="00E574BA" w:rsidTr="0057541E">
        <w:trPr>
          <w:tblHeader/>
        </w:trPr>
        <w:tc>
          <w:tcPr>
            <w:tcW w:w="358" w:type="pct"/>
            <w:shd w:val="clear" w:color="auto" w:fill="auto"/>
            <w:vAlign w:val="center"/>
          </w:tcPr>
          <w:p w:rsidR="0057541E" w:rsidRPr="00E574BA" w:rsidRDefault="0057541E" w:rsidP="00831310">
            <w:pPr>
              <w:pStyle w:val="COMtbl-HEADLeftAligned"/>
              <w:keepNext/>
              <w:widowControl/>
              <w:rPr>
                <w:lang w:val="en-US"/>
              </w:rPr>
            </w:pPr>
            <w:r w:rsidRPr="00E574BA">
              <w:rPr>
                <w:lang w:val="en-US"/>
              </w:rPr>
              <w:t>Trial</w:t>
            </w:r>
          </w:p>
        </w:tc>
        <w:tc>
          <w:tcPr>
            <w:tcW w:w="920" w:type="pct"/>
            <w:shd w:val="clear" w:color="auto" w:fill="auto"/>
            <w:vAlign w:val="center"/>
          </w:tcPr>
          <w:p w:rsidR="0057541E" w:rsidRPr="00E574BA" w:rsidRDefault="0057541E" w:rsidP="00831310">
            <w:pPr>
              <w:pStyle w:val="COMtbl-HEADCentred"/>
              <w:keepNext/>
              <w:widowControl/>
              <w:rPr>
                <w:vertAlign w:val="superscript"/>
                <w:lang w:val="en-US"/>
              </w:rPr>
            </w:pPr>
            <w:r w:rsidRPr="00E574BA">
              <w:rPr>
                <w:lang w:val="en-US"/>
              </w:rPr>
              <w:t>N</w:t>
            </w:r>
          </w:p>
        </w:tc>
        <w:tc>
          <w:tcPr>
            <w:tcW w:w="605" w:type="pct"/>
            <w:shd w:val="clear" w:color="auto" w:fill="auto"/>
            <w:vAlign w:val="center"/>
          </w:tcPr>
          <w:p w:rsidR="0057541E" w:rsidRDefault="0057541E" w:rsidP="00831310">
            <w:pPr>
              <w:pStyle w:val="COMtbl-HEADCentred"/>
              <w:keepNext/>
              <w:widowControl/>
              <w:rPr>
                <w:lang w:val="en-US"/>
              </w:rPr>
            </w:pPr>
            <w:r w:rsidRPr="00E574BA">
              <w:rPr>
                <w:lang w:val="en-US"/>
              </w:rPr>
              <w:t>Design</w:t>
            </w:r>
            <w:r>
              <w:rPr>
                <w:lang w:val="en-US"/>
              </w:rPr>
              <w:t>/</w:t>
            </w:r>
          </w:p>
          <w:p w:rsidR="0057541E" w:rsidRPr="00E574BA" w:rsidRDefault="0057541E" w:rsidP="00831310">
            <w:pPr>
              <w:pStyle w:val="COMtbl-HEADCentred"/>
              <w:keepNext/>
              <w:widowControl/>
              <w:rPr>
                <w:lang w:val="en-US"/>
              </w:rPr>
            </w:pPr>
            <w:r>
              <w:rPr>
                <w:lang w:val="en-US"/>
              </w:rPr>
              <w:t>duration</w:t>
            </w:r>
          </w:p>
        </w:tc>
        <w:tc>
          <w:tcPr>
            <w:tcW w:w="351" w:type="pct"/>
            <w:vAlign w:val="center"/>
          </w:tcPr>
          <w:p w:rsidR="0057541E" w:rsidRPr="00E574BA" w:rsidRDefault="0057541E" w:rsidP="00831310">
            <w:pPr>
              <w:pStyle w:val="COMtbl-HEADCentred"/>
              <w:keepNext/>
              <w:widowControl/>
              <w:rPr>
                <w:lang w:val="en-US"/>
              </w:rPr>
            </w:pPr>
            <w:r>
              <w:rPr>
                <w:lang w:val="en-US"/>
              </w:rPr>
              <w:t>Risk of bias</w:t>
            </w:r>
          </w:p>
        </w:tc>
        <w:tc>
          <w:tcPr>
            <w:tcW w:w="898" w:type="pct"/>
            <w:shd w:val="clear" w:color="auto" w:fill="auto"/>
            <w:vAlign w:val="center"/>
          </w:tcPr>
          <w:p w:rsidR="0057541E" w:rsidRDefault="0057541E" w:rsidP="00831310">
            <w:pPr>
              <w:pStyle w:val="COMtbl-HEADCentred"/>
              <w:keepNext/>
              <w:widowControl/>
              <w:rPr>
                <w:lang w:val="en-US"/>
              </w:rPr>
            </w:pPr>
            <w:r w:rsidRPr="00E574BA">
              <w:rPr>
                <w:lang w:val="en-US"/>
              </w:rPr>
              <w:t>Comparison</w:t>
            </w:r>
            <w:r>
              <w:rPr>
                <w:lang w:val="en-US"/>
              </w:rPr>
              <w:t>/</w:t>
            </w:r>
          </w:p>
          <w:p w:rsidR="0057541E" w:rsidRPr="00E574BA" w:rsidRDefault="0057541E" w:rsidP="00831310">
            <w:pPr>
              <w:pStyle w:val="COMtbl-HEADCentred"/>
              <w:keepNext/>
              <w:widowControl/>
              <w:rPr>
                <w:lang w:val="en-US"/>
              </w:rPr>
            </w:pPr>
            <w:r>
              <w:rPr>
                <w:lang w:val="en-US"/>
              </w:rPr>
              <w:t>outcomes</w:t>
            </w:r>
          </w:p>
        </w:tc>
        <w:tc>
          <w:tcPr>
            <w:tcW w:w="1185" w:type="pct"/>
            <w:shd w:val="clear" w:color="auto" w:fill="auto"/>
            <w:vAlign w:val="center"/>
          </w:tcPr>
          <w:p w:rsidR="0057541E" w:rsidRPr="00E574BA" w:rsidRDefault="0057541E" w:rsidP="00831310">
            <w:pPr>
              <w:pStyle w:val="COMtbl-HEADCentred"/>
              <w:keepNext/>
              <w:widowControl/>
              <w:rPr>
                <w:lang w:val="en-US"/>
              </w:rPr>
            </w:pPr>
            <w:r w:rsidRPr="00E574BA">
              <w:rPr>
                <w:lang w:val="en-US"/>
              </w:rPr>
              <w:t>Background diabetes medicines</w:t>
            </w:r>
          </w:p>
        </w:tc>
        <w:tc>
          <w:tcPr>
            <w:tcW w:w="683" w:type="pct"/>
            <w:shd w:val="clear" w:color="auto" w:fill="auto"/>
            <w:vAlign w:val="center"/>
          </w:tcPr>
          <w:p w:rsidR="0057541E" w:rsidRPr="00E574BA" w:rsidRDefault="0057541E" w:rsidP="00831310">
            <w:pPr>
              <w:pStyle w:val="COMtbl-HEADCentred"/>
              <w:keepNext/>
              <w:widowControl/>
              <w:rPr>
                <w:lang w:val="en-US"/>
              </w:rPr>
            </w:pPr>
            <w:r w:rsidRPr="00E574BA">
              <w:rPr>
                <w:lang w:val="en-US"/>
              </w:rPr>
              <w:t>Patient population</w:t>
            </w:r>
          </w:p>
        </w:tc>
      </w:tr>
      <w:tr w:rsidR="0057541E" w:rsidRPr="00E574BA" w:rsidTr="0057541E">
        <w:tc>
          <w:tcPr>
            <w:tcW w:w="5000" w:type="pct"/>
            <w:gridSpan w:val="7"/>
          </w:tcPr>
          <w:p w:rsidR="0057541E" w:rsidRPr="00E574BA" w:rsidRDefault="0057541E" w:rsidP="00831310">
            <w:pPr>
              <w:keepNext/>
              <w:widowControl/>
              <w:jc w:val="left"/>
              <w:rPr>
                <w:rFonts w:ascii="Arial Narrow" w:hAnsi="Arial Narrow"/>
                <w:b/>
                <w:i/>
                <w:sz w:val="20"/>
                <w:lang w:val="en-US"/>
              </w:rPr>
            </w:pPr>
            <w:proofErr w:type="spellStart"/>
            <w:r>
              <w:rPr>
                <w:rFonts w:ascii="Arial Narrow" w:hAnsi="Arial Narrow"/>
                <w:b/>
                <w:sz w:val="20"/>
              </w:rPr>
              <w:t>Sitagliptin</w:t>
            </w:r>
            <w:proofErr w:type="spellEnd"/>
            <w:r w:rsidRPr="00E574BA">
              <w:rPr>
                <w:rFonts w:ascii="Arial Narrow" w:hAnsi="Arial Narrow"/>
                <w:b/>
                <w:sz w:val="20"/>
              </w:rPr>
              <w:t xml:space="preserve"> vs placebo</w:t>
            </w:r>
            <w:r>
              <w:rPr>
                <w:rFonts w:ascii="Arial Narrow" w:hAnsi="Arial Narrow"/>
                <w:b/>
                <w:sz w:val="20"/>
              </w:rPr>
              <w:t xml:space="preserve"> </w:t>
            </w:r>
          </w:p>
        </w:tc>
      </w:tr>
      <w:tr w:rsidR="0057541E" w:rsidRPr="00E574BA" w:rsidTr="0057541E">
        <w:tc>
          <w:tcPr>
            <w:tcW w:w="358" w:type="pct"/>
            <w:shd w:val="clear" w:color="auto" w:fill="auto"/>
            <w:vAlign w:val="center"/>
          </w:tcPr>
          <w:p w:rsidR="0057541E" w:rsidRPr="00C318C2" w:rsidRDefault="0057541E" w:rsidP="00831310">
            <w:pPr>
              <w:keepNext/>
              <w:widowControl/>
              <w:jc w:val="left"/>
              <w:rPr>
                <w:rFonts w:ascii="Arial Narrow" w:hAnsi="Arial Narrow"/>
                <w:iCs/>
                <w:sz w:val="20"/>
                <w:lang w:val="en-US"/>
              </w:rPr>
            </w:pPr>
            <w:r w:rsidRPr="00C318C2">
              <w:rPr>
                <w:rFonts w:ascii="Arial Narrow" w:hAnsi="Arial Narrow"/>
                <w:iCs/>
                <w:sz w:val="20"/>
                <w:lang w:val="en-US"/>
              </w:rPr>
              <w:t>P05</w:t>
            </w:r>
            <w:r>
              <w:rPr>
                <w:rFonts w:ascii="Arial Narrow" w:hAnsi="Arial Narrow"/>
                <w:iCs/>
                <w:sz w:val="20"/>
                <w:lang w:val="en-US"/>
              </w:rPr>
              <w:t>1</w:t>
            </w:r>
          </w:p>
          <w:p w:rsidR="0057541E" w:rsidRPr="00C318C2" w:rsidRDefault="0057541E" w:rsidP="00831310">
            <w:pPr>
              <w:keepNext/>
              <w:widowControl/>
              <w:jc w:val="left"/>
              <w:rPr>
                <w:rFonts w:ascii="Arial Narrow" w:hAnsi="Arial Narrow"/>
                <w:iCs/>
                <w:sz w:val="20"/>
                <w:lang w:val="en-US"/>
              </w:rPr>
            </w:pPr>
          </w:p>
        </w:tc>
        <w:tc>
          <w:tcPr>
            <w:tcW w:w="920" w:type="pct"/>
            <w:shd w:val="clear" w:color="auto" w:fill="auto"/>
          </w:tcPr>
          <w:p w:rsidR="0057541E" w:rsidRDefault="0057541E" w:rsidP="00831310">
            <w:pPr>
              <w:keepNext/>
              <w:widowControl/>
              <w:jc w:val="center"/>
              <w:rPr>
                <w:rFonts w:ascii="Arial Narrow" w:hAnsi="Arial Narrow"/>
                <w:sz w:val="20"/>
                <w:lang w:val="en-US"/>
              </w:rPr>
            </w:pPr>
            <w:r>
              <w:rPr>
                <w:rFonts w:ascii="Arial Narrow" w:hAnsi="Arial Narrow"/>
                <w:sz w:val="20"/>
                <w:lang w:val="en-US"/>
              </w:rPr>
              <w:t>Total</w:t>
            </w:r>
          </w:p>
          <w:p w:rsidR="0057541E" w:rsidRDefault="0057541E" w:rsidP="00831310">
            <w:pPr>
              <w:keepNext/>
              <w:widowControl/>
              <w:jc w:val="center"/>
              <w:rPr>
                <w:rFonts w:ascii="Arial Narrow" w:hAnsi="Arial Narrow"/>
                <w:sz w:val="20"/>
                <w:lang w:val="en-US"/>
              </w:rPr>
            </w:pPr>
            <w:r>
              <w:rPr>
                <w:rFonts w:ascii="Arial Narrow" w:hAnsi="Arial Narrow"/>
                <w:sz w:val="20"/>
                <w:lang w:val="en-US"/>
              </w:rPr>
              <w:t>N=641*</w:t>
            </w:r>
          </w:p>
          <w:p w:rsidR="0057541E" w:rsidRDefault="0057541E" w:rsidP="00831310">
            <w:pPr>
              <w:keepNext/>
              <w:widowControl/>
              <w:jc w:val="center"/>
              <w:rPr>
                <w:rFonts w:ascii="Arial Narrow" w:hAnsi="Arial Narrow"/>
                <w:sz w:val="20"/>
                <w:lang w:val="en-US"/>
              </w:rPr>
            </w:pPr>
          </w:p>
          <w:p w:rsidR="0057541E" w:rsidRPr="00C318C2" w:rsidRDefault="0057541E" w:rsidP="00831310">
            <w:pPr>
              <w:keepNext/>
              <w:widowControl/>
              <w:jc w:val="center"/>
              <w:rPr>
                <w:rFonts w:ascii="Arial Narrow" w:hAnsi="Arial Narrow"/>
                <w:sz w:val="20"/>
                <w:lang w:val="en-US"/>
              </w:rPr>
            </w:pPr>
            <w:r w:rsidRPr="00C318C2">
              <w:rPr>
                <w:rFonts w:ascii="Arial Narrow" w:hAnsi="Arial Narrow"/>
                <w:sz w:val="20"/>
                <w:lang w:val="en-US"/>
              </w:rPr>
              <w:t>Placebo N=3</w:t>
            </w:r>
            <w:r>
              <w:rPr>
                <w:rFonts w:ascii="Arial Narrow" w:hAnsi="Arial Narrow"/>
                <w:sz w:val="20"/>
                <w:lang w:val="en-US"/>
              </w:rPr>
              <w:t>19</w:t>
            </w:r>
          </w:p>
          <w:p w:rsidR="0057541E" w:rsidRPr="00C318C2" w:rsidRDefault="0057541E" w:rsidP="00831310">
            <w:pPr>
              <w:keepNext/>
              <w:widowControl/>
              <w:jc w:val="center"/>
              <w:rPr>
                <w:rFonts w:ascii="Arial Narrow" w:hAnsi="Arial Narrow"/>
                <w:sz w:val="20"/>
                <w:lang w:val="en-US"/>
              </w:rPr>
            </w:pPr>
            <w:r>
              <w:rPr>
                <w:rFonts w:ascii="Arial Narrow" w:hAnsi="Arial Narrow"/>
                <w:sz w:val="20"/>
                <w:lang w:val="en-US"/>
              </w:rPr>
              <w:t>SITA</w:t>
            </w:r>
            <w:r w:rsidRPr="00C318C2">
              <w:rPr>
                <w:rFonts w:ascii="Arial Narrow" w:hAnsi="Arial Narrow"/>
                <w:sz w:val="20"/>
                <w:lang w:val="en-US"/>
              </w:rPr>
              <w:t xml:space="preserve"> </w:t>
            </w:r>
            <w:r>
              <w:rPr>
                <w:rFonts w:ascii="Arial Narrow" w:hAnsi="Arial Narrow"/>
                <w:sz w:val="20"/>
                <w:lang w:val="en-US"/>
              </w:rPr>
              <w:t xml:space="preserve">100mg </w:t>
            </w:r>
            <w:r w:rsidRPr="00C318C2">
              <w:rPr>
                <w:rFonts w:ascii="Arial Narrow" w:hAnsi="Arial Narrow"/>
                <w:sz w:val="20"/>
                <w:lang w:val="en-US"/>
              </w:rPr>
              <w:t>N=</w:t>
            </w:r>
            <w:r>
              <w:rPr>
                <w:rFonts w:ascii="Arial Narrow" w:hAnsi="Arial Narrow"/>
                <w:sz w:val="20"/>
                <w:lang w:val="en-US"/>
              </w:rPr>
              <w:t>322</w:t>
            </w:r>
          </w:p>
        </w:tc>
        <w:tc>
          <w:tcPr>
            <w:tcW w:w="605" w:type="pct"/>
            <w:shd w:val="clear" w:color="auto" w:fill="auto"/>
          </w:tcPr>
          <w:p w:rsidR="0057541E" w:rsidRDefault="0057541E" w:rsidP="00831310">
            <w:pPr>
              <w:keepNext/>
              <w:widowControl/>
              <w:jc w:val="left"/>
              <w:rPr>
                <w:rFonts w:ascii="Arial Narrow" w:hAnsi="Arial Narrow"/>
                <w:sz w:val="20"/>
                <w:lang w:val="en-US"/>
              </w:rPr>
            </w:pPr>
            <w:r w:rsidRPr="00C318C2">
              <w:rPr>
                <w:rFonts w:ascii="Arial Narrow" w:hAnsi="Arial Narrow"/>
                <w:sz w:val="20"/>
              </w:rPr>
              <w:t xml:space="preserve">Randomised </w:t>
            </w:r>
            <w:r w:rsidRPr="00C318C2">
              <w:rPr>
                <w:rFonts w:ascii="Arial Narrow" w:hAnsi="Arial Narrow"/>
                <w:sz w:val="20"/>
                <w:lang w:val="en-US"/>
              </w:rPr>
              <w:t>double-blind</w:t>
            </w:r>
          </w:p>
          <w:p w:rsidR="0057541E" w:rsidRPr="00C318C2" w:rsidRDefault="0057541E" w:rsidP="00831310">
            <w:pPr>
              <w:keepNext/>
              <w:widowControl/>
              <w:jc w:val="left"/>
              <w:rPr>
                <w:rFonts w:ascii="Arial Narrow" w:hAnsi="Arial Narrow"/>
                <w:sz w:val="20"/>
                <w:lang w:val="en-US"/>
              </w:rPr>
            </w:pPr>
            <w:r w:rsidRPr="00C318C2">
              <w:rPr>
                <w:rFonts w:ascii="Arial Narrow" w:hAnsi="Arial Narrow"/>
                <w:sz w:val="20"/>
                <w:lang w:val="en-US"/>
              </w:rPr>
              <w:t>24 weeks</w:t>
            </w:r>
          </w:p>
        </w:tc>
        <w:tc>
          <w:tcPr>
            <w:tcW w:w="351" w:type="pct"/>
          </w:tcPr>
          <w:p w:rsidR="0057541E" w:rsidRPr="00C318C2" w:rsidRDefault="0057541E" w:rsidP="00831310">
            <w:pPr>
              <w:keepNext/>
              <w:widowControl/>
              <w:jc w:val="center"/>
              <w:rPr>
                <w:rFonts w:ascii="Arial Narrow" w:hAnsi="Arial Narrow"/>
                <w:sz w:val="20"/>
                <w:lang w:val="en-US"/>
              </w:rPr>
            </w:pPr>
            <w:r>
              <w:rPr>
                <w:rFonts w:ascii="Arial Narrow" w:hAnsi="Arial Narrow"/>
                <w:sz w:val="20"/>
                <w:lang w:val="en-US"/>
              </w:rPr>
              <w:t>Low</w:t>
            </w:r>
          </w:p>
        </w:tc>
        <w:tc>
          <w:tcPr>
            <w:tcW w:w="898" w:type="pct"/>
            <w:shd w:val="clear" w:color="auto" w:fill="auto"/>
          </w:tcPr>
          <w:p w:rsidR="0057541E" w:rsidRDefault="0057541E" w:rsidP="00831310">
            <w:pPr>
              <w:keepNext/>
              <w:widowControl/>
              <w:jc w:val="left"/>
              <w:rPr>
                <w:rFonts w:ascii="Arial Narrow" w:hAnsi="Arial Narrow"/>
                <w:sz w:val="20"/>
                <w:lang w:val="en-US"/>
              </w:rPr>
            </w:pPr>
            <w:r>
              <w:rPr>
                <w:rFonts w:ascii="Arial Narrow" w:hAnsi="Arial Narrow"/>
                <w:sz w:val="20"/>
                <w:lang w:val="en-US"/>
              </w:rPr>
              <w:t xml:space="preserve">SITA </w:t>
            </w:r>
            <w:r w:rsidRPr="00C318C2">
              <w:rPr>
                <w:rFonts w:ascii="Arial Narrow" w:hAnsi="Arial Narrow"/>
                <w:sz w:val="20"/>
                <w:lang w:val="en-US"/>
              </w:rPr>
              <w:t>+</w:t>
            </w:r>
            <w:r>
              <w:rPr>
                <w:rFonts w:ascii="Arial Narrow" w:hAnsi="Arial Narrow"/>
                <w:sz w:val="20"/>
                <w:lang w:val="en-US"/>
              </w:rPr>
              <w:t xml:space="preserve"> INS ± </w:t>
            </w:r>
            <w:r w:rsidRPr="00C318C2">
              <w:rPr>
                <w:rFonts w:ascii="Arial Narrow" w:hAnsi="Arial Narrow"/>
                <w:sz w:val="20"/>
                <w:lang w:val="en-US"/>
              </w:rPr>
              <w:t xml:space="preserve">MET </w:t>
            </w:r>
          </w:p>
          <w:p w:rsidR="0057541E" w:rsidRDefault="0057541E" w:rsidP="00831310">
            <w:pPr>
              <w:keepNext/>
              <w:widowControl/>
              <w:jc w:val="left"/>
              <w:rPr>
                <w:rFonts w:ascii="Arial Narrow" w:hAnsi="Arial Narrow"/>
                <w:sz w:val="20"/>
                <w:lang w:val="en-US"/>
              </w:rPr>
            </w:pPr>
            <w:r w:rsidRPr="00C318C2">
              <w:rPr>
                <w:rFonts w:ascii="Arial Narrow" w:hAnsi="Arial Narrow"/>
                <w:sz w:val="20"/>
                <w:lang w:val="en-US"/>
              </w:rPr>
              <w:t xml:space="preserve">vs </w:t>
            </w:r>
          </w:p>
          <w:p w:rsidR="0057541E" w:rsidRDefault="0057541E" w:rsidP="00831310">
            <w:pPr>
              <w:keepNext/>
              <w:widowControl/>
              <w:jc w:val="left"/>
              <w:rPr>
                <w:rFonts w:ascii="Arial Narrow" w:hAnsi="Arial Narrow"/>
                <w:sz w:val="20"/>
                <w:lang w:val="en-US"/>
              </w:rPr>
            </w:pPr>
            <w:proofErr w:type="spellStart"/>
            <w:r>
              <w:rPr>
                <w:rFonts w:ascii="Arial Narrow" w:hAnsi="Arial Narrow"/>
                <w:sz w:val="20"/>
                <w:lang w:val="en-US"/>
              </w:rPr>
              <w:t>Pbo</w:t>
            </w:r>
            <w:proofErr w:type="spellEnd"/>
            <w:r w:rsidRPr="00C318C2">
              <w:rPr>
                <w:rFonts w:ascii="Arial Narrow" w:hAnsi="Arial Narrow"/>
                <w:sz w:val="20"/>
                <w:lang w:val="en-US"/>
              </w:rPr>
              <w:t xml:space="preserve"> +</w:t>
            </w:r>
            <w:r>
              <w:rPr>
                <w:rFonts w:ascii="Arial Narrow" w:hAnsi="Arial Narrow"/>
                <w:sz w:val="20"/>
                <w:lang w:val="en-US"/>
              </w:rPr>
              <w:t xml:space="preserve"> INS ± MET</w:t>
            </w:r>
          </w:p>
          <w:p w:rsidR="0057541E" w:rsidRDefault="0057541E" w:rsidP="00831310">
            <w:pPr>
              <w:keepNext/>
              <w:widowControl/>
              <w:jc w:val="left"/>
              <w:rPr>
                <w:rFonts w:ascii="Arial Narrow" w:hAnsi="Arial Narrow"/>
                <w:sz w:val="20"/>
                <w:lang w:val="en-US"/>
              </w:rPr>
            </w:pPr>
          </w:p>
          <w:p w:rsidR="0057541E" w:rsidRPr="00C318C2" w:rsidRDefault="0057541E" w:rsidP="00831310">
            <w:pPr>
              <w:keepNext/>
              <w:widowControl/>
              <w:jc w:val="left"/>
              <w:rPr>
                <w:rFonts w:ascii="Arial Narrow" w:hAnsi="Arial Narrow"/>
                <w:sz w:val="20"/>
                <w:lang w:val="en-US"/>
              </w:rPr>
            </w:pPr>
            <w:r>
              <w:rPr>
                <w:rFonts w:ascii="Arial Narrow" w:hAnsi="Arial Narrow"/>
                <w:sz w:val="20"/>
                <w:lang w:val="en-US"/>
              </w:rPr>
              <w:t>HbA1c, FPG, PPG, weight, HbA1c &lt;7%.</w:t>
            </w:r>
          </w:p>
        </w:tc>
        <w:tc>
          <w:tcPr>
            <w:tcW w:w="1185" w:type="pct"/>
            <w:shd w:val="clear" w:color="auto" w:fill="auto"/>
          </w:tcPr>
          <w:p w:rsidR="0057541E" w:rsidRDefault="0057541E" w:rsidP="00831310">
            <w:pPr>
              <w:pStyle w:val="TableText1"/>
              <w:keepNext/>
              <w:rPr>
                <w:rFonts w:ascii="Arial Narrow" w:hAnsi="Arial Narrow" w:cs="Arial"/>
              </w:rPr>
            </w:pPr>
            <w:r w:rsidRPr="00803DFB">
              <w:rPr>
                <w:rFonts w:ascii="Arial Narrow" w:hAnsi="Arial Narrow" w:cs="Arial"/>
              </w:rPr>
              <w:t>On insulin alone or insulin</w:t>
            </w:r>
            <w:r>
              <w:rPr>
                <w:rFonts w:ascii="Arial Narrow" w:hAnsi="Arial Narrow" w:cs="Arial"/>
              </w:rPr>
              <w:t xml:space="preserve"> </w:t>
            </w:r>
            <w:r w:rsidRPr="00803DFB">
              <w:rPr>
                <w:rFonts w:ascii="Arial Narrow" w:hAnsi="Arial Narrow" w:cs="Arial"/>
              </w:rPr>
              <w:t>+</w:t>
            </w:r>
            <w:r>
              <w:rPr>
                <w:rFonts w:ascii="Arial Narrow" w:hAnsi="Arial Narrow" w:cs="Arial"/>
              </w:rPr>
              <w:t xml:space="preserve"> </w:t>
            </w:r>
            <w:r w:rsidRPr="00803DFB">
              <w:rPr>
                <w:rFonts w:ascii="Arial Narrow" w:hAnsi="Arial Narrow" w:cs="Arial"/>
              </w:rPr>
              <w:t xml:space="preserve">metformin </w:t>
            </w:r>
          </w:p>
          <w:p w:rsidR="0057541E" w:rsidRPr="00803DFB" w:rsidRDefault="0057541E" w:rsidP="00831310">
            <w:pPr>
              <w:pStyle w:val="TableText1"/>
              <w:keepNext/>
              <w:rPr>
                <w:rFonts w:ascii="Arial Narrow" w:hAnsi="Arial Narrow" w:cs="Arial"/>
              </w:rPr>
            </w:pPr>
            <w:r w:rsidRPr="00803DFB">
              <w:rPr>
                <w:rFonts w:ascii="Arial Narrow" w:hAnsi="Arial Narrow" w:cs="Arial"/>
              </w:rPr>
              <w:t>(</w:t>
            </w:r>
            <w:proofErr w:type="gramStart"/>
            <w:r w:rsidRPr="00803DFB">
              <w:rPr>
                <w:rFonts w:ascii="Arial Narrow" w:hAnsi="Arial Narrow" w:cs="Arial"/>
              </w:rPr>
              <w:t>at</w:t>
            </w:r>
            <w:proofErr w:type="gramEnd"/>
            <w:r w:rsidRPr="00803DFB">
              <w:rPr>
                <w:rFonts w:ascii="Arial Narrow" w:hAnsi="Arial Narrow" w:cs="Arial"/>
              </w:rPr>
              <w:t xml:space="preserve"> least 1500mg/day)</w:t>
            </w:r>
            <w:r>
              <w:rPr>
                <w:rFonts w:ascii="Arial Narrow" w:hAnsi="Arial Narrow" w:cs="Arial"/>
              </w:rPr>
              <w:t>.</w:t>
            </w:r>
          </w:p>
          <w:p w:rsidR="0057541E" w:rsidRPr="00A21C17" w:rsidRDefault="0057541E" w:rsidP="00831310">
            <w:pPr>
              <w:pStyle w:val="TableText1"/>
              <w:keepNext/>
              <w:rPr>
                <w:rFonts w:ascii="Arial Narrow" w:hAnsi="Arial Narrow" w:cs="Arial"/>
              </w:rPr>
            </w:pPr>
            <w:r w:rsidRPr="00803DFB">
              <w:rPr>
                <w:rFonts w:ascii="Arial Narrow" w:hAnsi="Arial Narrow" w:cs="Arial"/>
              </w:rPr>
              <w:t>Included insulin therapies were pre-mixed; intermediate or long-acting</w:t>
            </w:r>
            <w:r>
              <w:rPr>
                <w:rFonts w:ascii="Arial Narrow" w:hAnsi="Arial Narrow" w:cs="Arial"/>
              </w:rPr>
              <w:t>.</w:t>
            </w:r>
          </w:p>
        </w:tc>
        <w:tc>
          <w:tcPr>
            <w:tcW w:w="683" w:type="pct"/>
            <w:shd w:val="clear" w:color="auto" w:fill="auto"/>
          </w:tcPr>
          <w:p w:rsidR="0057541E" w:rsidRPr="00803DFB" w:rsidRDefault="0057541E" w:rsidP="00831310">
            <w:pPr>
              <w:pStyle w:val="TableText1"/>
              <w:keepNext/>
              <w:rPr>
                <w:rFonts w:ascii="Arial Narrow" w:hAnsi="Arial Narrow" w:cs="Arial"/>
              </w:rPr>
            </w:pPr>
            <w:r>
              <w:rPr>
                <w:rFonts w:ascii="Arial Narrow" w:hAnsi="Arial Narrow" w:cs="Arial"/>
              </w:rPr>
              <w:t xml:space="preserve">Aged ≥21 years with </w:t>
            </w:r>
            <w:r w:rsidR="00753B08">
              <w:rPr>
                <w:rFonts w:ascii="Arial Narrow" w:hAnsi="Arial Narrow" w:cs="Arial"/>
              </w:rPr>
              <w:t>T2D</w:t>
            </w:r>
            <w:r w:rsidRPr="00803DFB">
              <w:rPr>
                <w:rFonts w:ascii="Arial Narrow" w:hAnsi="Arial Narrow" w:cs="Arial"/>
              </w:rPr>
              <w:t>.</w:t>
            </w:r>
          </w:p>
          <w:p w:rsidR="0057541E" w:rsidRDefault="0057541E" w:rsidP="00831310">
            <w:pPr>
              <w:pStyle w:val="TableText1"/>
              <w:keepNext/>
              <w:rPr>
                <w:rFonts w:ascii="Arial Narrow" w:hAnsi="Arial Narrow" w:cs="Arial"/>
              </w:rPr>
            </w:pPr>
            <w:r w:rsidRPr="00803DFB">
              <w:rPr>
                <w:rFonts w:ascii="Arial Narrow" w:hAnsi="Arial Narrow" w:cs="Arial"/>
              </w:rPr>
              <w:t>HbA1c ≥7.5% and ≤11%</w:t>
            </w:r>
            <w:r>
              <w:rPr>
                <w:rFonts w:ascii="Arial Narrow" w:hAnsi="Arial Narrow" w:cs="Arial"/>
              </w:rPr>
              <w:t>.</w:t>
            </w:r>
          </w:p>
          <w:p w:rsidR="0057541E" w:rsidRPr="00415B73" w:rsidRDefault="0057541E" w:rsidP="00831310">
            <w:pPr>
              <w:pStyle w:val="TableText1"/>
              <w:keepNext/>
              <w:rPr>
                <w:rFonts w:ascii="Arial Narrow" w:hAnsi="Arial Narrow" w:cs="Arial"/>
              </w:rPr>
            </w:pPr>
            <w:r w:rsidRPr="00803DFB">
              <w:rPr>
                <w:rFonts w:ascii="Arial Narrow" w:hAnsi="Arial Narrow" w:cs="Arial"/>
              </w:rPr>
              <w:t>BMI &gt;20 and &lt;43 kg/m</w:t>
            </w:r>
            <w:r w:rsidRPr="00803DFB">
              <w:rPr>
                <w:rFonts w:ascii="Arial Narrow" w:hAnsi="Arial Narrow" w:cs="Arial"/>
                <w:vertAlign w:val="superscript"/>
              </w:rPr>
              <w:t>2</w:t>
            </w:r>
            <w:r>
              <w:rPr>
                <w:rFonts w:ascii="Arial Narrow" w:hAnsi="Arial Narrow" w:cs="Arial"/>
              </w:rPr>
              <w:t>.</w:t>
            </w:r>
          </w:p>
        </w:tc>
      </w:tr>
      <w:tr w:rsidR="0057541E" w:rsidRPr="00E574BA" w:rsidTr="00753B08">
        <w:trPr>
          <w:cantSplit/>
          <w:trHeight w:val="1039"/>
        </w:trPr>
        <w:tc>
          <w:tcPr>
            <w:tcW w:w="358" w:type="pct"/>
            <w:shd w:val="clear" w:color="auto" w:fill="auto"/>
            <w:vAlign w:val="center"/>
          </w:tcPr>
          <w:p w:rsidR="0057541E" w:rsidRPr="00C318C2" w:rsidRDefault="0057541E" w:rsidP="00831310">
            <w:pPr>
              <w:keepNext/>
              <w:widowControl/>
              <w:jc w:val="left"/>
              <w:rPr>
                <w:rFonts w:ascii="Arial Narrow" w:hAnsi="Arial Narrow"/>
                <w:iCs/>
                <w:sz w:val="20"/>
                <w:lang w:val="en-US"/>
              </w:rPr>
            </w:pPr>
            <w:r w:rsidRPr="00C318C2">
              <w:rPr>
                <w:rFonts w:ascii="Arial Narrow" w:hAnsi="Arial Narrow"/>
                <w:iCs/>
                <w:sz w:val="20"/>
                <w:lang w:val="en-US"/>
              </w:rPr>
              <w:t>P2</w:t>
            </w:r>
            <w:r>
              <w:rPr>
                <w:rFonts w:ascii="Arial Narrow" w:hAnsi="Arial Narrow"/>
                <w:iCs/>
                <w:sz w:val="20"/>
                <w:lang w:val="en-US"/>
              </w:rPr>
              <w:t>60</w:t>
            </w:r>
          </w:p>
          <w:p w:rsidR="0057541E" w:rsidRPr="00C318C2" w:rsidRDefault="0057541E" w:rsidP="00831310">
            <w:pPr>
              <w:keepNext/>
              <w:widowControl/>
              <w:jc w:val="left"/>
              <w:rPr>
                <w:rFonts w:ascii="Arial Narrow" w:hAnsi="Arial Narrow"/>
                <w:iCs/>
                <w:sz w:val="20"/>
                <w:lang w:val="en-US"/>
              </w:rPr>
            </w:pPr>
          </w:p>
        </w:tc>
        <w:tc>
          <w:tcPr>
            <w:tcW w:w="920" w:type="pct"/>
            <w:shd w:val="clear" w:color="auto" w:fill="auto"/>
          </w:tcPr>
          <w:p w:rsidR="0057541E" w:rsidRDefault="0057541E" w:rsidP="00831310">
            <w:pPr>
              <w:keepNext/>
              <w:widowControl/>
              <w:jc w:val="center"/>
              <w:rPr>
                <w:rFonts w:ascii="Arial Narrow" w:hAnsi="Arial Narrow"/>
                <w:sz w:val="20"/>
                <w:lang w:val="en-US"/>
              </w:rPr>
            </w:pPr>
            <w:r>
              <w:rPr>
                <w:rFonts w:ascii="Arial Narrow" w:hAnsi="Arial Narrow"/>
                <w:sz w:val="20"/>
                <w:lang w:val="en-US"/>
              </w:rPr>
              <w:t>Total</w:t>
            </w:r>
          </w:p>
          <w:p w:rsidR="0057541E" w:rsidRPr="00C318C2" w:rsidRDefault="0057541E" w:rsidP="00831310">
            <w:pPr>
              <w:keepNext/>
              <w:widowControl/>
              <w:jc w:val="center"/>
              <w:rPr>
                <w:rFonts w:ascii="Arial Narrow" w:hAnsi="Arial Narrow"/>
                <w:sz w:val="20"/>
                <w:lang w:val="en-US"/>
              </w:rPr>
            </w:pPr>
            <w:r>
              <w:rPr>
                <w:rFonts w:ascii="Arial Narrow" w:hAnsi="Arial Narrow"/>
                <w:sz w:val="20"/>
                <w:lang w:val="en-US"/>
              </w:rPr>
              <w:t>N=660*</w:t>
            </w:r>
          </w:p>
          <w:p w:rsidR="0057541E" w:rsidRPr="00C318C2" w:rsidRDefault="0057541E" w:rsidP="00831310">
            <w:pPr>
              <w:keepNext/>
              <w:widowControl/>
              <w:jc w:val="center"/>
              <w:rPr>
                <w:rFonts w:ascii="Arial Narrow" w:hAnsi="Arial Narrow"/>
                <w:sz w:val="20"/>
                <w:lang w:val="en-US"/>
              </w:rPr>
            </w:pPr>
          </w:p>
          <w:p w:rsidR="0057541E" w:rsidRPr="00C318C2" w:rsidRDefault="0057541E" w:rsidP="00831310">
            <w:pPr>
              <w:keepNext/>
              <w:widowControl/>
              <w:jc w:val="center"/>
              <w:rPr>
                <w:rFonts w:ascii="Arial Narrow" w:hAnsi="Arial Narrow"/>
                <w:sz w:val="20"/>
                <w:lang w:val="en-US"/>
              </w:rPr>
            </w:pPr>
            <w:r w:rsidRPr="00C318C2">
              <w:rPr>
                <w:rFonts w:ascii="Arial Narrow" w:hAnsi="Arial Narrow"/>
                <w:sz w:val="20"/>
                <w:lang w:val="en-US"/>
              </w:rPr>
              <w:t>Placebo N=</w:t>
            </w:r>
            <w:r>
              <w:rPr>
                <w:rFonts w:ascii="Arial Narrow" w:hAnsi="Arial Narrow"/>
                <w:sz w:val="20"/>
                <w:lang w:val="en-US"/>
              </w:rPr>
              <w:t>330</w:t>
            </w:r>
          </w:p>
          <w:p w:rsidR="0057541E" w:rsidRPr="00C318C2" w:rsidRDefault="0057541E" w:rsidP="00831310">
            <w:pPr>
              <w:keepNext/>
              <w:widowControl/>
              <w:jc w:val="center"/>
              <w:rPr>
                <w:rFonts w:ascii="Arial Narrow" w:hAnsi="Arial Narrow"/>
                <w:sz w:val="20"/>
                <w:lang w:val="en-US"/>
              </w:rPr>
            </w:pPr>
            <w:r>
              <w:rPr>
                <w:rFonts w:ascii="Arial Narrow" w:hAnsi="Arial Narrow"/>
                <w:sz w:val="20"/>
                <w:lang w:val="en-US"/>
              </w:rPr>
              <w:t>SITA</w:t>
            </w:r>
            <w:r w:rsidRPr="00C318C2">
              <w:rPr>
                <w:rFonts w:ascii="Arial Narrow" w:hAnsi="Arial Narrow"/>
                <w:sz w:val="20"/>
                <w:lang w:val="en-US"/>
              </w:rPr>
              <w:t xml:space="preserve"> </w:t>
            </w:r>
            <w:r>
              <w:rPr>
                <w:rFonts w:ascii="Arial Narrow" w:hAnsi="Arial Narrow"/>
                <w:sz w:val="20"/>
                <w:lang w:val="en-US"/>
              </w:rPr>
              <w:t xml:space="preserve">100mg </w:t>
            </w:r>
            <w:r w:rsidRPr="00C318C2">
              <w:rPr>
                <w:rFonts w:ascii="Arial Narrow" w:hAnsi="Arial Narrow"/>
                <w:sz w:val="20"/>
                <w:lang w:val="en-US"/>
              </w:rPr>
              <w:t>N=</w:t>
            </w:r>
            <w:r>
              <w:rPr>
                <w:rFonts w:ascii="Arial Narrow" w:hAnsi="Arial Narrow"/>
                <w:sz w:val="20"/>
                <w:lang w:val="en-US"/>
              </w:rPr>
              <w:t>330</w:t>
            </w:r>
          </w:p>
        </w:tc>
        <w:tc>
          <w:tcPr>
            <w:tcW w:w="605" w:type="pct"/>
            <w:shd w:val="clear" w:color="auto" w:fill="auto"/>
          </w:tcPr>
          <w:p w:rsidR="0057541E" w:rsidRDefault="0057541E" w:rsidP="00831310">
            <w:pPr>
              <w:keepNext/>
              <w:widowControl/>
              <w:jc w:val="left"/>
              <w:rPr>
                <w:rFonts w:ascii="Arial Narrow" w:hAnsi="Arial Narrow"/>
                <w:sz w:val="20"/>
                <w:lang w:val="en-US"/>
              </w:rPr>
            </w:pPr>
            <w:r w:rsidRPr="00C318C2">
              <w:rPr>
                <w:rFonts w:ascii="Arial Narrow" w:hAnsi="Arial Narrow"/>
                <w:sz w:val="20"/>
              </w:rPr>
              <w:t xml:space="preserve">Randomised </w:t>
            </w:r>
            <w:r>
              <w:rPr>
                <w:rFonts w:ascii="Arial Narrow" w:hAnsi="Arial Narrow"/>
                <w:sz w:val="20"/>
                <w:lang w:val="en-US"/>
              </w:rPr>
              <w:t>double-blind</w:t>
            </w:r>
          </w:p>
          <w:p w:rsidR="0057541E" w:rsidRPr="00C318C2" w:rsidRDefault="0057541E" w:rsidP="00831310">
            <w:pPr>
              <w:keepNext/>
              <w:widowControl/>
              <w:jc w:val="left"/>
              <w:rPr>
                <w:rFonts w:ascii="Arial Narrow" w:hAnsi="Arial Narrow"/>
                <w:sz w:val="20"/>
                <w:lang w:val="en-US"/>
              </w:rPr>
            </w:pPr>
            <w:r w:rsidRPr="00C318C2">
              <w:rPr>
                <w:rFonts w:ascii="Arial Narrow" w:hAnsi="Arial Narrow"/>
                <w:sz w:val="20"/>
                <w:lang w:val="en-US"/>
              </w:rPr>
              <w:t>24 weeks</w:t>
            </w:r>
          </w:p>
        </w:tc>
        <w:tc>
          <w:tcPr>
            <w:tcW w:w="351" w:type="pct"/>
          </w:tcPr>
          <w:p w:rsidR="0057541E" w:rsidRPr="00C318C2" w:rsidRDefault="0057541E" w:rsidP="00831310">
            <w:pPr>
              <w:keepNext/>
              <w:widowControl/>
              <w:jc w:val="center"/>
              <w:rPr>
                <w:rFonts w:ascii="Arial Narrow" w:hAnsi="Arial Narrow"/>
                <w:sz w:val="20"/>
                <w:lang w:val="en-US"/>
              </w:rPr>
            </w:pPr>
            <w:r>
              <w:rPr>
                <w:rFonts w:ascii="Arial Narrow" w:hAnsi="Arial Narrow"/>
                <w:sz w:val="20"/>
                <w:lang w:val="en-US"/>
              </w:rPr>
              <w:t>Low</w:t>
            </w:r>
          </w:p>
        </w:tc>
        <w:tc>
          <w:tcPr>
            <w:tcW w:w="898" w:type="pct"/>
            <w:shd w:val="clear" w:color="auto" w:fill="auto"/>
          </w:tcPr>
          <w:p w:rsidR="0057541E" w:rsidRDefault="0057541E" w:rsidP="00831310">
            <w:pPr>
              <w:keepNext/>
              <w:widowControl/>
              <w:jc w:val="left"/>
              <w:rPr>
                <w:rFonts w:ascii="Arial Narrow" w:hAnsi="Arial Narrow"/>
                <w:sz w:val="20"/>
                <w:lang w:val="en-US"/>
              </w:rPr>
            </w:pPr>
            <w:r>
              <w:rPr>
                <w:rFonts w:ascii="Arial Narrow" w:hAnsi="Arial Narrow"/>
                <w:sz w:val="20"/>
                <w:lang w:val="en-US"/>
              </w:rPr>
              <w:t xml:space="preserve">SITA </w:t>
            </w:r>
            <w:r w:rsidRPr="00C318C2">
              <w:rPr>
                <w:rFonts w:ascii="Arial Narrow" w:hAnsi="Arial Narrow"/>
                <w:sz w:val="20"/>
                <w:lang w:val="en-US"/>
              </w:rPr>
              <w:t>+</w:t>
            </w:r>
            <w:r>
              <w:rPr>
                <w:rFonts w:ascii="Arial Narrow" w:hAnsi="Arial Narrow"/>
                <w:sz w:val="20"/>
                <w:lang w:val="en-US"/>
              </w:rPr>
              <w:t xml:space="preserve"> INS ± MET</w:t>
            </w:r>
            <w:r w:rsidRPr="00C318C2">
              <w:rPr>
                <w:rFonts w:ascii="Arial Narrow" w:hAnsi="Arial Narrow"/>
                <w:sz w:val="20"/>
                <w:lang w:val="en-US"/>
              </w:rPr>
              <w:t xml:space="preserve"> </w:t>
            </w:r>
          </w:p>
          <w:p w:rsidR="0057541E" w:rsidRDefault="0057541E" w:rsidP="00831310">
            <w:pPr>
              <w:keepNext/>
              <w:widowControl/>
              <w:jc w:val="left"/>
              <w:rPr>
                <w:rFonts w:ascii="Arial Narrow" w:hAnsi="Arial Narrow"/>
                <w:sz w:val="20"/>
                <w:lang w:val="en-US"/>
              </w:rPr>
            </w:pPr>
            <w:r w:rsidRPr="00C318C2">
              <w:rPr>
                <w:rFonts w:ascii="Arial Narrow" w:hAnsi="Arial Narrow"/>
                <w:sz w:val="20"/>
                <w:lang w:val="en-US"/>
              </w:rPr>
              <w:t xml:space="preserve">vs </w:t>
            </w:r>
          </w:p>
          <w:p w:rsidR="0057541E" w:rsidRDefault="0057541E" w:rsidP="00831310">
            <w:pPr>
              <w:keepNext/>
              <w:widowControl/>
              <w:jc w:val="left"/>
              <w:rPr>
                <w:rFonts w:ascii="Arial Narrow" w:hAnsi="Arial Narrow"/>
                <w:sz w:val="20"/>
                <w:lang w:val="en-US"/>
              </w:rPr>
            </w:pPr>
            <w:proofErr w:type="spellStart"/>
            <w:r>
              <w:rPr>
                <w:rFonts w:ascii="Arial Narrow" w:hAnsi="Arial Narrow"/>
                <w:sz w:val="20"/>
                <w:lang w:val="en-US"/>
              </w:rPr>
              <w:t>Pbo</w:t>
            </w:r>
            <w:proofErr w:type="spellEnd"/>
            <w:r w:rsidRPr="00C318C2">
              <w:rPr>
                <w:rFonts w:ascii="Arial Narrow" w:hAnsi="Arial Narrow"/>
                <w:sz w:val="20"/>
                <w:lang w:val="en-US"/>
              </w:rPr>
              <w:t xml:space="preserve"> + </w:t>
            </w:r>
            <w:r>
              <w:rPr>
                <w:rFonts w:ascii="Arial Narrow" w:hAnsi="Arial Narrow"/>
                <w:sz w:val="20"/>
                <w:lang w:val="en-US"/>
              </w:rPr>
              <w:t>INS ± MET</w:t>
            </w:r>
          </w:p>
          <w:p w:rsidR="0057541E" w:rsidRPr="00C318C2" w:rsidRDefault="0057541E" w:rsidP="00831310">
            <w:pPr>
              <w:keepNext/>
              <w:widowControl/>
              <w:jc w:val="left"/>
              <w:rPr>
                <w:rFonts w:ascii="Arial Narrow" w:hAnsi="Arial Narrow"/>
                <w:sz w:val="20"/>
                <w:lang w:val="en-US"/>
              </w:rPr>
            </w:pPr>
          </w:p>
          <w:p w:rsidR="0057541E" w:rsidRPr="00C318C2" w:rsidRDefault="0057541E" w:rsidP="00831310">
            <w:pPr>
              <w:keepNext/>
              <w:widowControl/>
              <w:jc w:val="left"/>
              <w:rPr>
                <w:rFonts w:ascii="Arial Narrow" w:hAnsi="Arial Narrow"/>
                <w:sz w:val="20"/>
                <w:lang w:val="en-US"/>
              </w:rPr>
            </w:pPr>
            <w:r>
              <w:rPr>
                <w:rFonts w:ascii="Arial Narrow" w:hAnsi="Arial Narrow"/>
                <w:sz w:val="20"/>
                <w:lang w:val="en-US"/>
              </w:rPr>
              <w:t>Mean daily insulin dose, HbA1c, FPG, PPG, weight.</w:t>
            </w:r>
          </w:p>
        </w:tc>
        <w:tc>
          <w:tcPr>
            <w:tcW w:w="1185" w:type="pct"/>
            <w:shd w:val="clear" w:color="auto" w:fill="auto"/>
          </w:tcPr>
          <w:p w:rsidR="0057541E" w:rsidRDefault="0057541E" w:rsidP="00831310">
            <w:pPr>
              <w:pStyle w:val="TableText1"/>
              <w:keepNext/>
              <w:rPr>
                <w:rFonts w:ascii="Arial Narrow" w:hAnsi="Arial Narrow" w:cs="Arial"/>
              </w:rPr>
            </w:pPr>
            <w:r w:rsidRPr="00803DFB">
              <w:rPr>
                <w:rFonts w:ascii="Arial Narrow" w:hAnsi="Arial Narrow" w:cs="Arial"/>
              </w:rPr>
              <w:t>On insulin alone or insulin</w:t>
            </w:r>
            <w:r>
              <w:rPr>
                <w:rFonts w:ascii="Arial Narrow" w:hAnsi="Arial Narrow" w:cs="Arial"/>
              </w:rPr>
              <w:t xml:space="preserve"> </w:t>
            </w:r>
            <w:r w:rsidRPr="00803DFB">
              <w:rPr>
                <w:rFonts w:ascii="Arial Narrow" w:hAnsi="Arial Narrow" w:cs="Arial"/>
              </w:rPr>
              <w:t>+</w:t>
            </w:r>
            <w:r>
              <w:rPr>
                <w:rFonts w:ascii="Arial Narrow" w:hAnsi="Arial Narrow" w:cs="Arial"/>
              </w:rPr>
              <w:t xml:space="preserve"> </w:t>
            </w:r>
            <w:r w:rsidRPr="00803DFB">
              <w:rPr>
                <w:rFonts w:ascii="Arial Narrow" w:hAnsi="Arial Narrow" w:cs="Arial"/>
              </w:rPr>
              <w:t xml:space="preserve">metformin </w:t>
            </w:r>
          </w:p>
          <w:p w:rsidR="0057541E" w:rsidRPr="00803DFB" w:rsidRDefault="0057541E" w:rsidP="00831310">
            <w:pPr>
              <w:pStyle w:val="TableText1"/>
              <w:keepNext/>
              <w:rPr>
                <w:rFonts w:ascii="Arial Narrow" w:hAnsi="Arial Narrow" w:cs="Arial"/>
              </w:rPr>
            </w:pPr>
            <w:r w:rsidRPr="00803DFB">
              <w:rPr>
                <w:rFonts w:ascii="Arial Narrow" w:hAnsi="Arial Narrow" w:cs="Arial"/>
              </w:rPr>
              <w:t>(</w:t>
            </w:r>
            <w:proofErr w:type="gramStart"/>
            <w:r w:rsidRPr="00803DFB">
              <w:rPr>
                <w:rFonts w:ascii="Arial Narrow" w:hAnsi="Arial Narrow" w:cs="Arial"/>
              </w:rPr>
              <w:t>at</w:t>
            </w:r>
            <w:proofErr w:type="gramEnd"/>
            <w:r w:rsidRPr="00803DFB">
              <w:rPr>
                <w:rFonts w:ascii="Arial Narrow" w:hAnsi="Arial Narrow" w:cs="Arial"/>
              </w:rPr>
              <w:t xml:space="preserve"> least 1500mg/day)</w:t>
            </w:r>
            <w:r>
              <w:rPr>
                <w:rFonts w:ascii="Arial Narrow" w:hAnsi="Arial Narrow" w:cs="Arial"/>
              </w:rPr>
              <w:t>.</w:t>
            </w:r>
          </w:p>
          <w:p w:rsidR="0057541E" w:rsidRPr="004946B2" w:rsidRDefault="0057541E" w:rsidP="00831310">
            <w:pPr>
              <w:pStyle w:val="TableText1"/>
              <w:keepNext/>
              <w:rPr>
                <w:rFonts w:ascii="Arial Narrow" w:hAnsi="Arial Narrow" w:cs="Arial"/>
              </w:rPr>
            </w:pPr>
            <w:r w:rsidRPr="00803DFB">
              <w:rPr>
                <w:rFonts w:ascii="Arial Narrow" w:hAnsi="Arial Narrow" w:cs="Arial"/>
              </w:rPr>
              <w:t>Included insulin th</w:t>
            </w:r>
            <w:r>
              <w:rPr>
                <w:rFonts w:ascii="Arial Narrow" w:hAnsi="Arial Narrow" w:cs="Arial"/>
              </w:rPr>
              <w:t>erapies were pre-mixed; intermediate</w:t>
            </w:r>
            <w:r w:rsidRPr="00803DFB">
              <w:rPr>
                <w:rFonts w:ascii="Arial Narrow" w:hAnsi="Arial Narrow" w:cs="Arial"/>
              </w:rPr>
              <w:t xml:space="preserve"> or long-</w:t>
            </w:r>
            <w:proofErr w:type="gramStart"/>
            <w:r w:rsidRPr="00803DFB">
              <w:rPr>
                <w:rFonts w:ascii="Arial Narrow" w:hAnsi="Arial Narrow" w:cs="Arial"/>
              </w:rPr>
              <w:t>acting</w:t>
            </w:r>
            <w:r>
              <w:rPr>
                <w:rFonts w:ascii="Arial Narrow" w:hAnsi="Arial Narrow" w:cs="Arial"/>
              </w:rPr>
              <w:t xml:space="preserve"> </w:t>
            </w:r>
            <w:r w:rsidRPr="00803DFB">
              <w:rPr>
                <w:rFonts w:ascii="Arial Narrow" w:hAnsi="Arial Narrow" w:cs="Arial"/>
              </w:rPr>
              <w:t xml:space="preserve"> ≥</w:t>
            </w:r>
            <w:proofErr w:type="gramEnd"/>
            <w:r w:rsidRPr="00803DFB">
              <w:rPr>
                <w:rFonts w:ascii="Arial Narrow" w:hAnsi="Arial Narrow" w:cs="Arial"/>
              </w:rPr>
              <w:t>15IU/day</w:t>
            </w:r>
            <w:r>
              <w:rPr>
                <w:rFonts w:ascii="Arial Narrow" w:hAnsi="Arial Narrow" w:cs="Arial"/>
              </w:rPr>
              <w:t>.</w:t>
            </w:r>
          </w:p>
        </w:tc>
        <w:tc>
          <w:tcPr>
            <w:tcW w:w="683" w:type="pct"/>
            <w:shd w:val="clear" w:color="auto" w:fill="auto"/>
          </w:tcPr>
          <w:p w:rsidR="0057541E" w:rsidRPr="00803DFB" w:rsidRDefault="0057541E" w:rsidP="00831310">
            <w:pPr>
              <w:pStyle w:val="TableText1"/>
              <w:keepNext/>
              <w:rPr>
                <w:rFonts w:ascii="Arial Narrow" w:hAnsi="Arial Narrow" w:cs="Arial"/>
              </w:rPr>
            </w:pPr>
            <w:r>
              <w:rPr>
                <w:rFonts w:ascii="Arial Narrow" w:hAnsi="Arial Narrow" w:cs="Arial"/>
              </w:rPr>
              <w:t xml:space="preserve">Aged ≥18 and ≤80 years with </w:t>
            </w:r>
            <w:r w:rsidR="00753B08">
              <w:rPr>
                <w:rFonts w:ascii="Arial Narrow" w:hAnsi="Arial Narrow" w:cs="Arial"/>
              </w:rPr>
              <w:t>T2D</w:t>
            </w:r>
            <w:r w:rsidRPr="00803DFB">
              <w:rPr>
                <w:rFonts w:ascii="Arial Narrow" w:hAnsi="Arial Narrow" w:cs="Arial"/>
              </w:rPr>
              <w:t>.</w:t>
            </w:r>
          </w:p>
          <w:p w:rsidR="0057541E" w:rsidRPr="00803DFB" w:rsidRDefault="0057541E" w:rsidP="00831310">
            <w:pPr>
              <w:pStyle w:val="TableText1"/>
              <w:keepNext/>
              <w:rPr>
                <w:rFonts w:ascii="Arial Narrow" w:hAnsi="Arial Narrow" w:cs="Arial"/>
              </w:rPr>
            </w:pPr>
            <w:r w:rsidRPr="00803DFB">
              <w:rPr>
                <w:rFonts w:ascii="Arial Narrow" w:hAnsi="Arial Narrow" w:cs="Arial"/>
              </w:rPr>
              <w:t>HbA1c ≥7.5% and ≤11%.</w:t>
            </w:r>
          </w:p>
          <w:p w:rsidR="0057541E" w:rsidRPr="0057541E" w:rsidRDefault="0057541E" w:rsidP="00831310">
            <w:pPr>
              <w:pStyle w:val="TableText1"/>
              <w:keepNext/>
              <w:rPr>
                <w:rFonts w:ascii="Arial Narrow" w:hAnsi="Arial Narrow" w:cs="Arial"/>
              </w:rPr>
            </w:pPr>
            <w:r w:rsidRPr="00803DFB">
              <w:rPr>
                <w:rFonts w:ascii="Arial Narrow" w:hAnsi="Arial Narrow" w:cs="Arial"/>
              </w:rPr>
              <w:t>BMI &gt;20 and &lt;43 kg/m</w:t>
            </w:r>
            <w:r w:rsidRPr="00803DFB">
              <w:rPr>
                <w:rFonts w:ascii="Arial Narrow" w:hAnsi="Arial Narrow" w:cs="Arial"/>
                <w:vertAlign w:val="superscript"/>
              </w:rPr>
              <w:t>2</w:t>
            </w:r>
            <w:r>
              <w:rPr>
                <w:rFonts w:ascii="Arial Narrow" w:hAnsi="Arial Narrow" w:cs="Arial"/>
              </w:rPr>
              <w:t>.</w:t>
            </w:r>
          </w:p>
        </w:tc>
      </w:tr>
      <w:tr w:rsidR="0057541E" w:rsidRPr="00E574BA" w:rsidTr="0057541E">
        <w:tc>
          <w:tcPr>
            <w:tcW w:w="5000" w:type="pct"/>
            <w:gridSpan w:val="7"/>
          </w:tcPr>
          <w:p w:rsidR="0057541E" w:rsidRPr="00C318C2" w:rsidRDefault="0057541E" w:rsidP="00831310">
            <w:pPr>
              <w:keepNext/>
              <w:widowControl/>
              <w:jc w:val="left"/>
              <w:rPr>
                <w:rFonts w:ascii="Arial Narrow" w:hAnsi="Arial Narrow"/>
                <w:b/>
                <w:i/>
                <w:sz w:val="20"/>
                <w:lang w:val="en-US"/>
              </w:rPr>
            </w:pPr>
            <w:proofErr w:type="spellStart"/>
            <w:r w:rsidRPr="00C318C2">
              <w:rPr>
                <w:rFonts w:ascii="Arial Narrow" w:hAnsi="Arial Narrow"/>
                <w:b/>
                <w:sz w:val="20"/>
              </w:rPr>
              <w:t>Dapagliflozin</w:t>
            </w:r>
            <w:proofErr w:type="spellEnd"/>
            <w:r w:rsidRPr="00C318C2">
              <w:rPr>
                <w:rFonts w:ascii="Arial Narrow" w:hAnsi="Arial Narrow"/>
                <w:b/>
                <w:sz w:val="20"/>
              </w:rPr>
              <w:t xml:space="preserve"> vs placebo</w:t>
            </w:r>
          </w:p>
        </w:tc>
      </w:tr>
      <w:tr w:rsidR="0057541E" w:rsidRPr="00E574BA" w:rsidTr="0057541E">
        <w:tc>
          <w:tcPr>
            <w:tcW w:w="358" w:type="pct"/>
            <w:shd w:val="clear" w:color="auto" w:fill="auto"/>
            <w:vAlign w:val="center"/>
          </w:tcPr>
          <w:p w:rsidR="0057541E" w:rsidRDefault="0057541E" w:rsidP="00831310">
            <w:pPr>
              <w:keepNext/>
              <w:widowControl/>
              <w:jc w:val="left"/>
              <w:rPr>
                <w:rFonts w:ascii="Arial Narrow" w:hAnsi="Arial Narrow"/>
                <w:sz w:val="20"/>
              </w:rPr>
            </w:pPr>
            <w:r>
              <w:rPr>
                <w:rFonts w:ascii="Arial Narrow" w:hAnsi="Arial Narrow"/>
                <w:sz w:val="20"/>
              </w:rPr>
              <w:t>Wilding</w:t>
            </w:r>
          </w:p>
          <w:p w:rsidR="0057541E" w:rsidRPr="00C318C2" w:rsidRDefault="0057541E" w:rsidP="00831310">
            <w:pPr>
              <w:keepNext/>
              <w:widowControl/>
              <w:jc w:val="left"/>
              <w:rPr>
                <w:rFonts w:ascii="Arial Narrow" w:hAnsi="Arial Narrow"/>
                <w:sz w:val="20"/>
              </w:rPr>
            </w:pPr>
            <w:r>
              <w:rPr>
                <w:rFonts w:ascii="Arial Narrow" w:hAnsi="Arial Narrow"/>
                <w:sz w:val="20"/>
              </w:rPr>
              <w:t>2012</w:t>
            </w:r>
          </w:p>
          <w:p w:rsidR="0057541E" w:rsidRPr="00C318C2" w:rsidRDefault="0057541E" w:rsidP="00831310">
            <w:pPr>
              <w:keepNext/>
              <w:widowControl/>
              <w:jc w:val="left"/>
              <w:rPr>
                <w:rFonts w:ascii="Arial Narrow" w:hAnsi="Arial Narrow"/>
                <w:b/>
                <w:sz w:val="20"/>
              </w:rPr>
            </w:pPr>
          </w:p>
        </w:tc>
        <w:tc>
          <w:tcPr>
            <w:tcW w:w="920" w:type="pct"/>
            <w:shd w:val="clear" w:color="auto" w:fill="auto"/>
          </w:tcPr>
          <w:p w:rsidR="0057541E" w:rsidRDefault="0057541E" w:rsidP="00831310">
            <w:pPr>
              <w:keepNext/>
              <w:widowControl/>
              <w:jc w:val="center"/>
              <w:rPr>
                <w:rFonts w:ascii="Arial Narrow" w:hAnsi="Arial Narrow"/>
                <w:sz w:val="20"/>
                <w:lang w:val="en-US"/>
              </w:rPr>
            </w:pPr>
            <w:r>
              <w:rPr>
                <w:rFonts w:ascii="Arial Narrow" w:hAnsi="Arial Narrow"/>
                <w:sz w:val="20"/>
                <w:lang w:val="en-US"/>
              </w:rPr>
              <w:t>Total</w:t>
            </w:r>
          </w:p>
          <w:p w:rsidR="0057541E" w:rsidRPr="00C318C2" w:rsidRDefault="0057541E" w:rsidP="00831310">
            <w:pPr>
              <w:keepNext/>
              <w:widowControl/>
              <w:jc w:val="center"/>
              <w:rPr>
                <w:rFonts w:ascii="Arial Narrow" w:hAnsi="Arial Narrow"/>
                <w:sz w:val="20"/>
                <w:lang w:val="en-US"/>
              </w:rPr>
            </w:pPr>
            <w:r>
              <w:rPr>
                <w:rFonts w:ascii="Arial Narrow" w:hAnsi="Arial Narrow"/>
                <w:sz w:val="20"/>
                <w:lang w:val="en-US"/>
              </w:rPr>
              <w:t>N= 808*</w:t>
            </w:r>
          </w:p>
          <w:p w:rsidR="0057541E" w:rsidRPr="00C318C2" w:rsidRDefault="0057541E" w:rsidP="00831310">
            <w:pPr>
              <w:keepNext/>
              <w:widowControl/>
              <w:jc w:val="center"/>
              <w:rPr>
                <w:rFonts w:ascii="Arial Narrow" w:hAnsi="Arial Narrow"/>
                <w:sz w:val="20"/>
                <w:lang w:val="en-US"/>
              </w:rPr>
            </w:pPr>
          </w:p>
          <w:p w:rsidR="0057541E" w:rsidRPr="00C318C2" w:rsidRDefault="0057541E" w:rsidP="00831310">
            <w:pPr>
              <w:keepNext/>
              <w:widowControl/>
              <w:jc w:val="center"/>
              <w:rPr>
                <w:rFonts w:ascii="Arial Narrow" w:hAnsi="Arial Narrow"/>
                <w:sz w:val="20"/>
                <w:lang w:val="en-US"/>
              </w:rPr>
            </w:pPr>
            <w:r w:rsidRPr="00C318C2">
              <w:rPr>
                <w:rFonts w:ascii="Arial Narrow" w:hAnsi="Arial Narrow"/>
                <w:sz w:val="20"/>
                <w:lang w:val="en-US"/>
              </w:rPr>
              <w:t>Placebo</w:t>
            </w:r>
            <w:r>
              <w:rPr>
                <w:rFonts w:ascii="Arial Narrow" w:hAnsi="Arial Narrow"/>
                <w:sz w:val="20"/>
                <w:lang w:val="en-US"/>
              </w:rPr>
              <w:t xml:space="preserve"> </w:t>
            </w:r>
            <w:r w:rsidRPr="00C318C2">
              <w:rPr>
                <w:rFonts w:ascii="Arial Narrow" w:hAnsi="Arial Narrow"/>
                <w:sz w:val="20"/>
                <w:lang w:val="en-US"/>
              </w:rPr>
              <w:t>N=</w:t>
            </w:r>
            <w:r>
              <w:rPr>
                <w:rFonts w:ascii="Arial Narrow" w:hAnsi="Arial Narrow"/>
                <w:sz w:val="20"/>
                <w:lang w:val="en-US"/>
              </w:rPr>
              <w:t>197</w:t>
            </w:r>
          </w:p>
          <w:p w:rsidR="0057541E" w:rsidRDefault="0057541E" w:rsidP="00831310">
            <w:pPr>
              <w:keepNext/>
              <w:widowControl/>
              <w:ind w:left="-26"/>
              <w:jc w:val="center"/>
              <w:rPr>
                <w:rFonts w:ascii="Arial Narrow" w:hAnsi="Arial Narrow"/>
                <w:sz w:val="20"/>
                <w:lang w:val="en-US"/>
              </w:rPr>
            </w:pPr>
            <w:r>
              <w:rPr>
                <w:rFonts w:ascii="Arial Narrow" w:hAnsi="Arial Narrow"/>
                <w:sz w:val="20"/>
                <w:lang w:val="en-US"/>
              </w:rPr>
              <w:t xml:space="preserve">DAPA 2.5mg </w:t>
            </w:r>
            <w:r w:rsidRPr="00C318C2">
              <w:rPr>
                <w:rFonts w:ascii="Arial Narrow" w:hAnsi="Arial Narrow"/>
                <w:sz w:val="20"/>
                <w:lang w:val="en-US"/>
              </w:rPr>
              <w:t>N=</w:t>
            </w:r>
            <w:r>
              <w:rPr>
                <w:rFonts w:ascii="Arial Narrow" w:hAnsi="Arial Narrow"/>
                <w:sz w:val="20"/>
                <w:lang w:val="en-US"/>
              </w:rPr>
              <w:t>202</w:t>
            </w:r>
          </w:p>
          <w:p w:rsidR="0057541E" w:rsidRDefault="0057541E" w:rsidP="00831310">
            <w:pPr>
              <w:keepNext/>
              <w:widowControl/>
              <w:ind w:left="-26"/>
              <w:jc w:val="center"/>
              <w:rPr>
                <w:rFonts w:ascii="Arial Narrow" w:hAnsi="Arial Narrow"/>
                <w:sz w:val="20"/>
                <w:lang w:val="en-US"/>
              </w:rPr>
            </w:pPr>
            <w:r>
              <w:rPr>
                <w:rFonts w:ascii="Arial Narrow" w:hAnsi="Arial Narrow"/>
                <w:sz w:val="20"/>
                <w:lang w:val="en-US"/>
              </w:rPr>
              <w:t xml:space="preserve">DAPA 5mg </w:t>
            </w:r>
            <w:r w:rsidRPr="00C318C2">
              <w:rPr>
                <w:rFonts w:ascii="Arial Narrow" w:hAnsi="Arial Narrow"/>
                <w:sz w:val="20"/>
                <w:lang w:val="en-US"/>
              </w:rPr>
              <w:t>N=</w:t>
            </w:r>
            <w:r>
              <w:rPr>
                <w:rFonts w:ascii="Arial Narrow" w:hAnsi="Arial Narrow"/>
                <w:sz w:val="20"/>
                <w:lang w:val="en-US"/>
              </w:rPr>
              <w:t>212</w:t>
            </w:r>
          </w:p>
          <w:p w:rsidR="0057541E" w:rsidRPr="00C318C2" w:rsidRDefault="0057541E" w:rsidP="00831310">
            <w:pPr>
              <w:keepNext/>
              <w:widowControl/>
              <w:ind w:left="-26"/>
              <w:jc w:val="center"/>
              <w:rPr>
                <w:rFonts w:ascii="Arial Narrow" w:hAnsi="Arial Narrow"/>
                <w:sz w:val="20"/>
                <w:lang w:val="en-US"/>
              </w:rPr>
            </w:pPr>
            <w:r>
              <w:rPr>
                <w:rFonts w:ascii="Arial Narrow" w:hAnsi="Arial Narrow"/>
                <w:sz w:val="20"/>
                <w:lang w:val="en-US"/>
              </w:rPr>
              <w:t xml:space="preserve">DAPA 10mg </w:t>
            </w:r>
            <w:r w:rsidRPr="00C318C2">
              <w:rPr>
                <w:rFonts w:ascii="Arial Narrow" w:hAnsi="Arial Narrow"/>
                <w:sz w:val="20"/>
                <w:lang w:val="en-US"/>
              </w:rPr>
              <w:t>N=</w:t>
            </w:r>
            <w:r>
              <w:rPr>
                <w:rFonts w:ascii="Arial Narrow" w:hAnsi="Arial Narrow"/>
                <w:sz w:val="20"/>
                <w:lang w:val="en-US"/>
              </w:rPr>
              <w:t>196</w:t>
            </w:r>
          </w:p>
        </w:tc>
        <w:tc>
          <w:tcPr>
            <w:tcW w:w="605" w:type="pct"/>
            <w:shd w:val="clear" w:color="auto" w:fill="auto"/>
          </w:tcPr>
          <w:p w:rsidR="0057541E" w:rsidRPr="00C318C2" w:rsidRDefault="0057541E" w:rsidP="00831310">
            <w:pPr>
              <w:keepNext/>
              <w:widowControl/>
              <w:jc w:val="left"/>
              <w:rPr>
                <w:rFonts w:ascii="Arial Narrow" w:hAnsi="Arial Narrow"/>
                <w:sz w:val="20"/>
                <w:lang w:val="en-US"/>
              </w:rPr>
            </w:pPr>
            <w:r w:rsidRPr="00C318C2">
              <w:rPr>
                <w:rFonts w:ascii="Arial Narrow" w:hAnsi="Arial Narrow"/>
                <w:sz w:val="20"/>
              </w:rPr>
              <w:t xml:space="preserve">Randomised </w:t>
            </w:r>
            <w:r w:rsidRPr="00C318C2">
              <w:rPr>
                <w:rFonts w:ascii="Arial Narrow" w:hAnsi="Arial Narrow"/>
                <w:sz w:val="20"/>
                <w:lang w:val="en-US"/>
              </w:rPr>
              <w:t>double-blind</w:t>
            </w:r>
          </w:p>
          <w:p w:rsidR="0057541E" w:rsidRPr="00C318C2" w:rsidRDefault="0057541E" w:rsidP="00831310">
            <w:pPr>
              <w:keepNext/>
              <w:widowControl/>
              <w:jc w:val="left"/>
              <w:rPr>
                <w:rFonts w:ascii="Arial Narrow" w:hAnsi="Arial Narrow"/>
                <w:sz w:val="20"/>
              </w:rPr>
            </w:pPr>
            <w:r w:rsidRPr="00C318C2">
              <w:rPr>
                <w:rFonts w:ascii="Arial Narrow" w:hAnsi="Arial Narrow"/>
                <w:sz w:val="20"/>
                <w:lang w:val="en-US"/>
              </w:rPr>
              <w:t xml:space="preserve">24 weeks </w:t>
            </w:r>
          </w:p>
        </w:tc>
        <w:tc>
          <w:tcPr>
            <w:tcW w:w="351" w:type="pct"/>
          </w:tcPr>
          <w:p w:rsidR="0057541E" w:rsidRPr="00C318C2" w:rsidRDefault="0057541E" w:rsidP="00831310">
            <w:pPr>
              <w:keepNext/>
              <w:widowControl/>
              <w:jc w:val="center"/>
              <w:rPr>
                <w:rFonts w:ascii="Arial Narrow" w:hAnsi="Arial Narrow"/>
                <w:sz w:val="20"/>
                <w:lang w:val="en-US"/>
              </w:rPr>
            </w:pPr>
            <w:r>
              <w:rPr>
                <w:rFonts w:ascii="Arial Narrow" w:hAnsi="Arial Narrow"/>
                <w:sz w:val="20"/>
                <w:lang w:val="en-US"/>
              </w:rPr>
              <w:t>Low</w:t>
            </w:r>
          </w:p>
        </w:tc>
        <w:tc>
          <w:tcPr>
            <w:tcW w:w="898" w:type="pct"/>
            <w:shd w:val="clear" w:color="auto" w:fill="auto"/>
          </w:tcPr>
          <w:p w:rsidR="0057541E" w:rsidRDefault="0057541E" w:rsidP="00831310">
            <w:pPr>
              <w:keepNext/>
              <w:widowControl/>
              <w:jc w:val="left"/>
              <w:rPr>
                <w:rFonts w:ascii="Arial Narrow" w:hAnsi="Arial Narrow"/>
                <w:sz w:val="20"/>
                <w:lang w:val="en-US"/>
              </w:rPr>
            </w:pPr>
            <w:r>
              <w:rPr>
                <w:rFonts w:ascii="Arial Narrow" w:hAnsi="Arial Narrow"/>
                <w:sz w:val="20"/>
                <w:lang w:val="en-US"/>
              </w:rPr>
              <w:t xml:space="preserve">DAPA </w:t>
            </w:r>
            <w:r w:rsidRPr="00C318C2">
              <w:rPr>
                <w:rFonts w:ascii="Arial Narrow" w:hAnsi="Arial Narrow"/>
                <w:sz w:val="20"/>
                <w:lang w:val="en-US"/>
              </w:rPr>
              <w:t>+</w:t>
            </w:r>
            <w:r>
              <w:rPr>
                <w:rFonts w:ascii="Arial Narrow" w:hAnsi="Arial Narrow"/>
                <w:sz w:val="20"/>
                <w:lang w:val="en-US"/>
              </w:rPr>
              <w:t xml:space="preserve"> INS ± </w:t>
            </w:r>
            <w:r w:rsidRPr="00C318C2">
              <w:rPr>
                <w:rFonts w:ascii="Arial Narrow" w:hAnsi="Arial Narrow"/>
                <w:sz w:val="20"/>
                <w:lang w:val="en-US"/>
              </w:rPr>
              <w:t>MET</w:t>
            </w:r>
          </w:p>
          <w:p w:rsidR="0057541E" w:rsidRDefault="0057541E" w:rsidP="00831310">
            <w:pPr>
              <w:keepNext/>
              <w:widowControl/>
              <w:jc w:val="left"/>
              <w:rPr>
                <w:rFonts w:ascii="Arial Narrow" w:hAnsi="Arial Narrow"/>
                <w:sz w:val="20"/>
                <w:lang w:val="en-US"/>
              </w:rPr>
            </w:pPr>
            <w:r w:rsidRPr="00C318C2">
              <w:rPr>
                <w:rFonts w:ascii="Arial Narrow" w:hAnsi="Arial Narrow"/>
                <w:sz w:val="20"/>
                <w:lang w:val="en-US"/>
              </w:rPr>
              <w:t xml:space="preserve">vs </w:t>
            </w:r>
          </w:p>
          <w:p w:rsidR="0057541E" w:rsidRDefault="0057541E" w:rsidP="00831310">
            <w:pPr>
              <w:keepNext/>
              <w:widowControl/>
              <w:ind w:right="124"/>
              <w:jc w:val="left"/>
              <w:rPr>
                <w:rFonts w:ascii="Arial Narrow" w:hAnsi="Arial Narrow"/>
                <w:sz w:val="20"/>
                <w:lang w:val="en-US"/>
              </w:rPr>
            </w:pPr>
            <w:proofErr w:type="spellStart"/>
            <w:r>
              <w:rPr>
                <w:rFonts w:ascii="Arial Narrow" w:hAnsi="Arial Narrow"/>
                <w:sz w:val="20"/>
                <w:lang w:val="en-US"/>
              </w:rPr>
              <w:t>Pbo</w:t>
            </w:r>
            <w:proofErr w:type="spellEnd"/>
            <w:r>
              <w:rPr>
                <w:rFonts w:ascii="Arial Narrow" w:hAnsi="Arial Narrow"/>
                <w:sz w:val="20"/>
                <w:lang w:val="en-US"/>
              </w:rPr>
              <w:t xml:space="preserve"> </w:t>
            </w:r>
            <w:r w:rsidRPr="00C318C2">
              <w:rPr>
                <w:rFonts w:ascii="Arial Narrow" w:hAnsi="Arial Narrow"/>
                <w:sz w:val="20"/>
                <w:lang w:val="en-US"/>
              </w:rPr>
              <w:t>+</w:t>
            </w:r>
            <w:r>
              <w:rPr>
                <w:rFonts w:ascii="Arial Narrow" w:hAnsi="Arial Narrow"/>
                <w:sz w:val="20"/>
                <w:lang w:val="en-US"/>
              </w:rPr>
              <w:t xml:space="preserve"> INS ± MET</w:t>
            </w:r>
          </w:p>
          <w:p w:rsidR="0057541E" w:rsidRDefault="0057541E" w:rsidP="00831310">
            <w:pPr>
              <w:keepNext/>
              <w:widowControl/>
              <w:jc w:val="left"/>
              <w:rPr>
                <w:rFonts w:ascii="Arial Narrow" w:hAnsi="Arial Narrow"/>
                <w:sz w:val="20"/>
                <w:lang w:val="en-US"/>
              </w:rPr>
            </w:pPr>
          </w:p>
          <w:p w:rsidR="0057541E" w:rsidRPr="00C318C2" w:rsidRDefault="0057541E" w:rsidP="00831310">
            <w:pPr>
              <w:keepNext/>
              <w:widowControl/>
              <w:ind w:right="26"/>
              <w:jc w:val="left"/>
              <w:rPr>
                <w:rFonts w:ascii="Arial Narrow" w:hAnsi="Arial Narrow"/>
                <w:sz w:val="20"/>
                <w:lang w:val="en-US"/>
              </w:rPr>
            </w:pPr>
            <w:r>
              <w:rPr>
                <w:rFonts w:ascii="Arial Narrow" w:hAnsi="Arial Narrow"/>
                <w:sz w:val="20"/>
                <w:lang w:val="en-US"/>
              </w:rPr>
              <w:t>HbA1c, FPG, weight, mean daily insulin dose.</w:t>
            </w:r>
          </w:p>
        </w:tc>
        <w:tc>
          <w:tcPr>
            <w:tcW w:w="1185" w:type="pct"/>
            <w:shd w:val="clear" w:color="auto" w:fill="auto"/>
          </w:tcPr>
          <w:p w:rsidR="0057541E" w:rsidRPr="004946B2" w:rsidRDefault="0057541E" w:rsidP="00831310">
            <w:pPr>
              <w:pStyle w:val="TableText1"/>
              <w:keepNext/>
              <w:rPr>
                <w:rFonts w:ascii="Arial Narrow" w:hAnsi="Arial Narrow"/>
              </w:rPr>
            </w:pPr>
            <w:r w:rsidRPr="00803DFB">
              <w:rPr>
                <w:rFonts w:ascii="Arial Narrow" w:hAnsi="Arial Narrow" w:cs="Arial"/>
              </w:rPr>
              <w:t>Stable insulin regimen with mean daily dose of insulin of 30</w:t>
            </w:r>
            <w:r>
              <w:rPr>
                <w:rFonts w:ascii="Arial Narrow" w:hAnsi="Arial Narrow" w:cs="Arial"/>
              </w:rPr>
              <w:t>I</w:t>
            </w:r>
            <w:r w:rsidRPr="00803DFB">
              <w:rPr>
                <w:rFonts w:ascii="Arial Narrow" w:hAnsi="Arial Narrow" w:cs="Arial"/>
              </w:rPr>
              <w:t>U or more for at least 8 weeks before randomization and at least 1500mg/day or maxi</w:t>
            </w:r>
            <w:r>
              <w:rPr>
                <w:rFonts w:ascii="Arial Narrow" w:hAnsi="Arial Narrow" w:cs="Arial"/>
              </w:rPr>
              <w:t>mum tolerated dose of metformin.</w:t>
            </w:r>
          </w:p>
        </w:tc>
        <w:tc>
          <w:tcPr>
            <w:tcW w:w="683" w:type="pct"/>
            <w:shd w:val="clear" w:color="auto" w:fill="auto"/>
          </w:tcPr>
          <w:p w:rsidR="0057541E" w:rsidRPr="00803DFB" w:rsidRDefault="0057541E" w:rsidP="00831310">
            <w:pPr>
              <w:pStyle w:val="TableText1"/>
              <w:keepNext/>
              <w:rPr>
                <w:rFonts w:ascii="Arial Narrow" w:hAnsi="Arial Narrow" w:cs="Arial"/>
              </w:rPr>
            </w:pPr>
            <w:r>
              <w:rPr>
                <w:rFonts w:ascii="Arial Narrow" w:hAnsi="Arial Narrow" w:cs="Arial"/>
              </w:rPr>
              <w:t xml:space="preserve">Aged ≥18 and ≤80 years with </w:t>
            </w:r>
            <w:r w:rsidR="00753B08">
              <w:rPr>
                <w:rFonts w:ascii="Arial Narrow" w:hAnsi="Arial Narrow" w:cs="Arial"/>
              </w:rPr>
              <w:t>T2D</w:t>
            </w:r>
            <w:r w:rsidRPr="00803DFB">
              <w:rPr>
                <w:rFonts w:ascii="Arial Narrow" w:hAnsi="Arial Narrow" w:cs="Arial"/>
              </w:rPr>
              <w:t>.</w:t>
            </w:r>
          </w:p>
          <w:p w:rsidR="0057541E" w:rsidRPr="00803DFB" w:rsidRDefault="0057541E" w:rsidP="00831310">
            <w:pPr>
              <w:pStyle w:val="TableText1"/>
              <w:keepNext/>
              <w:rPr>
                <w:rFonts w:ascii="Arial Narrow" w:hAnsi="Arial Narrow" w:cs="Arial"/>
              </w:rPr>
            </w:pPr>
            <w:r w:rsidRPr="00803DFB">
              <w:rPr>
                <w:rFonts w:ascii="Arial Narrow" w:hAnsi="Arial Narrow" w:cs="Arial"/>
              </w:rPr>
              <w:t>HbA1c ≥7% and ≤10.5%.</w:t>
            </w:r>
          </w:p>
          <w:p w:rsidR="0057541E" w:rsidRPr="00AA726C" w:rsidRDefault="0057541E" w:rsidP="00831310">
            <w:pPr>
              <w:keepNext/>
              <w:widowControl/>
              <w:jc w:val="left"/>
              <w:rPr>
                <w:rFonts w:ascii="Arial Narrow" w:hAnsi="Arial Narrow"/>
                <w:sz w:val="20"/>
                <w:lang w:val="en-US"/>
              </w:rPr>
            </w:pPr>
            <w:r w:rsidRPr="00AA726C">
              <w:rPr>
                <w:rFonts w:ascii="Arial Narrow" w:hAnsi="Arial Narrow"/>
                <w:sz w:val="20"/>
              </w:rPr>
              <w:t>BMI ≤45 kg/m</w:t>
            </w:r>
            <w:r w:rsidRPr="00AA726C">
              <w:rPr>
                <w:rFonts w:ascii="Arial Narrow" w:hAnsi="Arial Narrow"/>
                <w:sz w:val="20"/>
                <w:vertAlign w:val="superscript"/>
              </w:rPr>
              <w:t>2</w:t>
            </w:r>
            <w:r w:rsidRPr="00AA726C">
              <w:rPr>
                <w:rFonts w:ascii="Arial Narrow" w:hAnsi="Arial Narrow"/>
                <w:sz w:val="20"/>
              </w:rPr>
              <w:t>.</w:t>
            </w:r>
          </w:p>
        </w:tc>
      </w:tr>
    </w:tbl>
    <w:p w:rsidR="0057541E" w:rsidRPr="006A6511" w:rsidRDefault="0057541E" w:rsidP="00831310">
      <w:pPr>
        <w:keepNext/>
        <w:widowControl/>
        <w:ind w:left="709"/>
        <w:rPr>
          <w:rFonts w:ascii="Arial Narrow" w:hAnsi="Arial Narrow"/>
          <w:sz w:val="18"/>
          <w:szCs w:val="18"/>
        </w:rPr>
      </w:pPr>
      <w:r w:rsidRPr="006A6511">
        <w:rPr>
          <w:rFonts w:ascii="Arial Narrow" w:hAnsi="Arial Narrow"/>
          <w:sz w:val="18"/>
          <w:szCs w:val="18"/>
        </w:rPr>
        <w:t xml:space="preserve">Source: </w:t>
      </w:r>
      <w:r>
        <w:rPr>
          <w:rFonts w:ascii="Arial Narrow" w:hAnsi="Arial Narrow"/>
          <w:sz w:val="18"/>
          <w:szCs w:val="18"/>
        </w:rPr>
        <w:t>Table B.4-3, p.81 of the submission.</w:t>
      </w:r>
    </w:p>
    <w:p w:rsidR="0057541E" w:rsidRDefault="0057541E" w:rsidP="00831310">
      <w:pPr>
        <w:keepNext/>
        <w:widowControl/>
        <w:tabs>
          <w:tab w:val="left" w:pos="1134"/>
        </w:tabs>
        <w:ind w:left="709"/>
        <w:rPr>
          <w:rFonts w:ascii="Arial Narrow" w:hAnsi="Arial Narrow"/>
          <w:sz w:val="18"/>
          <w:szCs w:val="18"/>
        </w:rPr>
      </w:pPr>
      <w:r w:rsidRPr="003375B4">
        <w:rPr>
          <w:rFonts w:ascii="Arial Narrow" w:hAnsi="Arial Narrow"/>
          <w:sz w:val="18"/>
          <w:szCs w:val="18"/>
        </w:rPr>
        <w:t>A</w:t>
      </w:r>
      <w:r>
        <w:rPr>
          <w:rFonts w:ascii="Arial Narrow" w:hAnsi="Arial Narrow"/>
          <w:sz w:val="18"/>
          <w:szCs w:val="18"/>
        </w:rPr>
        <w:t xml:space="preserve">bbreviations: BMI, body mass index; DAPA, </w:t>
      </w:r>
      <w:proofErr w:type="spellStart"/>
      <w:r>
        <w:rPr>
          <w:rFonts w:ascii="Arial Narrow" w:hAnsi="Arial Narrow"/>
          <w:sz w:val="18"/>
          <w:szCs w:val="18"/>
        </w:rPr>
        <w:t>dapagliflozin</w:t>
      </w:r>
      <w:proofErr w:type="spellEnd"/>
      <w:r>
        <w:rPr>
          <w:rFonts w:ascii="Arial Narrow" w:hAnsi="Arial Narrow"/>
          <w:sz w:val="18"/>
          <w:szCs w:val="18"/>
        </w:rPr>
        <w:t xml:space="preserve">; </w:t>
      </w:r>
      <w:r w:rsidR="00753B08" w:rsidRPr="00185EFF">
        <w:rPr>
          <w:rFonts w:ascii="Arial Narrow" w:hAnsi="Arial Narrow"/>
          <w:sz w:val="18"/>
        </w:rPr>
        <w:t xml:space="preserve">FPG fasting plasma glucose; </w:t>
      </w:r>
      <w:r>
        <w:rPr>
          <w:rFonts w:ascii="Arial Narrow" w:hAnsi="Arial Narrow"/>
          <w:sz w:val="18"/>
          <w:szCs w:val="18"/>
        </w:rPr>
        <w:t xml:space="preserve">HbA1c, glycosylated haemoglobin; INS, insulin; MET, metformin; </w:t>
      </w:r>
      <w:proofErr w:type="spellStart"/>
      <w:r>
        <w:rPr>
          <w:rFonts w:ascii="Arial Narrow" w:hAnsi="Arial Narrow"/>
          <w:sz w:val="18"/>
          <w:szCs w:val="18"/>
        </w:rPr>
        <w:t>Pbo</w:t>
      </w:r>
      <w:proofErr w:type="spellEnd"/>
      <w:r>
        <w:rPr>
          <w:rFonts w:ascii="Arial Narrow" w:hAnsi="Arial Narrow"/>
          <w:sz w:val="18"/>
          <w:szCs w:val="18"/>
        </w:rPr>
        <w:t xml:space="preserve">, placebo; </w:t>
      </w:r>
      <w:r w:rsidR="00753B08">
        <w:rPr>
          <w:rStyle w:val="CommentReference"/>
          <w:b w:val="0"/>
          <w:sz w:val="18"/>
        </w:rPr>
        <w:t>PPG, post-prandial glucose;</w:t>
      </w:r>
      <w:r w:rsidR="00753B08">
        <w:rPr>
          <w:rFonts w:ascii="Arial Narrow" w:hAnsi="Arial Narrow"/>
          <w:sz w:val="18"/>
          <w:szCs w:val="18"/>
        </w:rPr>
        <w:t xml:space="preserve"> </w:t>
      </w:r>
      <w:r>
        <w:rPr>
          <w:rFonts w:ascii="Arial Narrow" w:hAnsi="Arial Narrow"/>
          <w:sz w:val="18"/>
          <w:szCs w:val="18"/>
        </w:rPr>
        <w:t xml:space="preserve">SITA, </w:t>
      </w:r>
      <w:proofErr w:type="spellStart"/>
      <w:r>
        <w:rPr>
          <w:rFonts w:ascii="Arial Narrow" w:hAnsi="Arial Narrow"/>
          <w:sz w:val="18"/>
          <w:szCs w:val="18"/>
        </w:rPr>
        <w:t>sitagliptin</w:t>
      </w:r>
      <w:proofErr w:type="spellEnd"/>
      <w:r w:rsidR="00753B08">
        <w:rPr>
          <w:rFonts w:ascii="Arial Narrow" w:hAnsi="Arial Narrow"/>
          <w:sz w:val="18"/>
          <w:szCs w:val="18"/>
        </w:rPr>
        <w:t>; T2D, type 2 diabetes</w:t>
      </w:r>
      <w:r>
        <w:rPr>
          <w:rFonts w:ascii="Arial Narrow" w:hAnsi="Arial Narrow"/>
          <w:sz w:val="18"/>
          <w:szCs w:val="18"/>
        </w:rPr>
        <w:t xml:space="preserve">. </w:t>
      </w:r>
    </w:p>
    <w:p w:rsidR="0057541E" w:rsidRDefault="0057541E" w:rsidP="00831310">
      <w:pPr>
        <w:widowControl/>
        <w:tabs>
          <w:tab w:val="left" w:pos="1134"/>
        </w:tabs>
        <w:ind w:left="709"/>
        <w:rPr>
          <w:rFonts w:ascii="Arial Narrow" w:hAnsi="Arial Narrow"/>
          <w:sz w:val="18"/>
          <w:szCs w:val="18"/>
        </w:rPr>
      </w:pPr>
      <w:r>
        <w:rPr>
          <w:rFonts w:ascii="Arial Narrow" w:hAnsi="Arial Narrow"/>
          <w:sz w:val="18"/>
          <w:szCs w:val="18"/>
        </w:rPr>
        <w:t>* Randomised.</w:t>
      </w:r>
    </w:p>
    <w:p w:rsidR="00D06E74" w:rsidRPr="00E807C4" w:rsidRDefault="00D06E74" w:rsidP="00831310">
      <w:pPr>
        <w:widowControl/>
      </w:pPr>
    </w:p>
    <w:p w:rsidR="00301704" w:rsidRPr="00F156D1" w:rsidRDefault="00753B08" w:rsidP="00831310">
      <w:pPr>
        <w:pStyle w:val="ListParagraph"/>
        <w:widowControl/>
        <w:numPr>
          <w:ilvl w:val="1"/>
          <w:numId w:val="8"/>
        </w:numPr>
        <w:rPr>
          <w:szCs w:val="22"/>
        </w:rPr>
      </w:pPr>
      <w:r w:rsidRPr="00F156D1">
        <w:t xml:space="preserve">The baseline characteristics of the trial populations were broadly similar and were likely to match the proposed PBS population. However, </w:t>
      </w:r>
      <w:r w:rsidR="00301704" w:rsidRPr="00F156D1">
        <w:t xml:space="preserve">all trials excluded patients reporting a significant history of cardiovascular, renal or hepatic disease while the PBS population will include patients with these conditions. </w:t>
      </w:r>
    </w:p>
    <w:p w:rsidR="00301704" w:rsidRPr="00F156D1" w:rsidRDefault="00301704" w:rsidP="00831310">
      <w:pPr>
        <w:pStyle w:val="ListParagraph"/>
        <w:widowControl/>
        <w:rPr>
          <w:szCs w:val="22"/>
        </w:rPr>
      </w:pPr>
    </w:p>
    <w:p w:rsidR="00753B08" w:rsidRPr="002817F6" w:rsidRDefault="00301704" w:rsidP="00831310">
      <w:pPr>
        <w:pStyle w:val="ListParagraph"/>
        <w:widowControl/>
        <w:numPr>
          <w:ilvl w:val="1"/>
          <w:numId w:val="8"/>
        </w:numPr>
        <w:rPr>
          <w:i/>
          <w:szCs w:val="22"/>
        </w:rPr>
      </w:pPr>
      <w:r w:rsidRPr="00F156D1">
        <w:t>T</w:t>
      </w:r>
      <w:r w:rsidR="00753B08" w:rsidRPr="00F156D1">
        <w:t xml:space="preserve">here were substantial differences in baseline mean daily insulin doses </w:t>
      </w:r>
      <w:r w:rsidR="001C7DA8" w:rsidRPr="00F156D1">
        <w:t xml:space="preserve">and insulin dose management between trials. </w:t>
      </w:r>
      <w:r w:rsidR="00551C97" w:rsidRPr="003B0F4F">
        <w:t xml:space="preserve">The ESC </w:t>
      </w:r>
      <w:r w:rsidR="00033A22" w:rsidRPr="003B0F4F">
        <w:t>considered</w:t>
      </w:r>
      <w:r w:rsidR="00551C97" w:rsidRPr="003B0F4F">
        <w:t xml:space="preserve"> that</w:t>
      </w:r>
      <w:r w:rsidR="00551C97">
        <w:t xml:space="preserve"> </w:t>
      </w:r>
      <w:r w:rsidR="00753B08" w:rsidRPr="00F156D1">
        <w:t>Trial P260 and Wilding</w:t>
      </w:r>
      <w:r w:rsidR="00A96E7E">
        <w:t> </w:t>
      </w:r>
      <w:r w:rsidR="00753B08" w:rsidRPr="00F156D1">
        <w:t xml:space="preserve">2012 were not comparable in terms of </w:t>
      </w:r>
      <w:r w:rsidR="001C7DA8" w:rsidRPr="00F156D1">
        <w:t xml:space="preserve">reduction in mean daily </w:t>
      </w:r>
      <w:r w:rsidR="00753B08" w:rsidRPr="00F156D1">
        <w:t xml:space="preserve">insulin </w:t>
      </w:r>
      <w:r w:rsidR="001C7DA8" w:rsidRPr="00F156D1">
        <w:t>dose</w:t>
      </w:r>
      <w:r w:rsidR="00753B08" w:rsidRPr="00F156D1">
        <w:rPr>
          <w:szCs w:val="22"/>
        </w:rPr>
        <w:t>.</w:t>
      </w:r>
      <w:r w:rsidR="00551C97">
        <w:rPr>
          <w:szCs w:val="22"/>
        </w:rPr>
        <w:t xml:space="preserve"> </w:t>
      </w:r>
      <w:r w:rsidR="002817F6" w:rsidRPr="00552352">
        <w:rPr>
          <w:szCs w:val="22"/>
        </w:rPr>
        <w:t xml:space="preserve">The </w:t>
      </w:r>
      <w:r w:rsidR="002817F6" w:rsidRPr="00552352">
        <w:t xml:space="preserve">baseline characteristics of the trial populations are presented </w:t>
      </w:r>
      <w:r w:rsidR="00BD68FC">
        <w:t xml:space="preserve">in </w:t>
      </w:r>
      <w:r w:rsidR="0051151C">
        <w:t>T</w:t>
      </w:r>
      <w:r w:rsidR="00BD68FC">
        <w:t>able 3</w:t>
      </w:r>
      <w:r w:rsidR="002817F6" w:rsidRPr="00552352">
        <w:t>.</w:t>
      </w:r>
    </w:p>
    <w:p w:rsidR="004974A2" w:rsidRDefault="004974A2" w:rsidP="00831310">
      <w:pPr>
        <w:pStyle w:val="ListParagraph"/>
        <w:widowControl/>
        <w:rPr>
          <w:szCs w:val="22"/>
        </w:rPr>
      </w:pPr>
    </w:p>
    <w:p w:rsidR="00345E34" w:rsidRPr="00552352" w:rsidRDefault="00BD68FC" w:rsidP="00831310">
      <w:pPr>
        <w:keepNext/>
        <w:keepLines/>
        <w:widowControl/>
        <w:ind w:left="720"/>
        <w:rPr>
          <w:rStyle w:val="CommentReference"/>
          <w:szCs w:val="20"/>
        </w:rPr>
      </w:pPr>
      <w:r>
        <w:rPr>
          <w:rStyle w:val="CommentReference"/>
          <w:szCs w:val="20"/>
        </w:rPr>
        <w:lastRenderedPageBreak/>
        <w:t xml:space="preserve">Table 3: </w:t>
      </w:r>
      <w:r w:rsidR="00345E34" w:rsidRPr="00552352">
        <w:rPr>
          <w:rStyle w:val="CommentReference"/>
          <w:szCs w:val="20"/>
        </w:rPr>
        <w:t>Baseline characteristics of the participants in the direct randomised trials varying across randomised groups</w:t>
      </w:r>
    </w:p>
    <w:tbl>
      <w:tblPr>
        <w:tblW w:w="460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2"/>
        <w:gridCol w:w="1111"/>
        <w:gridCol w:w="1110"/>
        <w:gridCol w:w="1110"/>
        <w:gridCol w:w="1110"/>
        <w:gridCol w:w="1110"/>
        <w:gridCol w:w="1109"/>
      </w:tblGrid>
      <w:tr w:rsidR="002817F6" w:rsidRPr="0026199B" w:rsidTr="002817F6">
        <w:trPr>
          <w:trHeight w:val="58"/>
        </w:trPr>
        <w:tc>
          <w:tcPr>
            <w:tcW w:w="1017" w:type="pct"/>
            <w:vMerge w:val="restart"/>
            <w:vAlign w:val="center"/>
          </w:tcPr>
          <w:p w:rsidR="00345E34" w:rsidRPr="006543FF" w:rsidRDefault="00345E34" w:rsidP="00831310">
            <w:pPr>
              <w:keepNext/>
              <w:keepLines/>
              <w:widowControl/>
              <w:contextualSpacing/>
              <w:jc w:val="left"/>
              <w:rPr>
                <w:rFonts w:ascii="Arial Narrow" w:hAnsi="Arial Narrow"/>
                <w:b/>
                <w:sz w:val="18"/>
                <w:szCs w:val="18"/>
              </w:rPr>
            </w:pPr>
            <w:r w:rsidRPr="006543FF">
              <w:rPr>
                <w:rFonts w:ascii="Arial Narrow" w:hAnsi="Arial Narrow"/>
                <w:b/>
                <w:sz w:val="18"/>
                <w:szCs w:val="18"/>
              </w:rPr>
              <w:t>Trial</w:t>
            </w:r>
          </w:p>
        </w:tc>
        <w:tc>
          <w:tcPr>
            <w:tcW w:w="1327" w:type="pct"/>
            <w:gridSpan w:val="2"/>
            <w:vAlign w:val="center"/>
          </w:tcPr>
          <w:p w:rsidR="00345E34" w:rsidRPr="006543FF" w:rsidRDefault="00345E34" w:rsidP="00831310">
            <w:pPr>
              <w:keepNext/>
              <w:keepLines/>
              <w:widowControl/>
              <w:contextualSpacing/>
              <w:jc w:val="center"/>
              <w:rPr>
                <w:rFonts w:ascii="Arial Narrow" w:hAnsi="Arial Narrow"/>
                <w:b/>
                <w:sz w:val="18"/>
                <w:szCs w:val="18"/>
              </w:rPr>
            </w:pPr>
            <w:r w:rsidRPr="006543FF">
              <w:rPr>
                <w:rFonts w:ascii="Arial Narrow" w:hAnsi="Arial Narrow"/>
                <w:b/>
                <w:sz w:val="18"/>
                <w:szCs w:val="18"/>
              </w:rPr>
              <w:t>P051</w:t>
            </w:r>
          </w:p>
        </w:tc>
        <w:tc>
          <w:tcPr>
            <w:tcW w:w="1327" w:type="pct"/>
            <w:gridSpan w:val="2"/>
            <w:vAlign w:val="center"/>
          </w:tcPr>
          <w:p w:rsidR="00345E34" w:rsidRPr="006543FF" w:rsidRDefault="00345E34" w:rsidP="00831310">
            <w:pPr>
              <w:keepNext/>
              <w:keepLines/>
              <w:widowControl/>
              <w:contextualSpacing/>
              <w:jc w:val="center"/>
              <w:rPr>
                <w:rFonts w:ascii="Arial Narrow" w:hAnsi="Arial Narrow"/>
                <w:b/>
                <w:sz w:val="18"/>
                <w:szCs w:val="18"/>
              </w:rPr>
            </w:pPr>
            <w:r w:rsidRPr="006543FF">
              <w:rPr>
                <w:rFonts w:ascii="Arial Narrow" w:hAnsi="Arial Narrow"/>
                <w:b/>
                <w:sz w:val="18"/>
                <w:szCs w:val="18"/>
              </w:rPr>
              <w:t>P260</w:t>
            </w:r>
          </w:p>
        </w:tc>
        <w:tc>
          <w:tcPr>
            <w:tcW w:w="1328" w:type="pct"/>
            <w:gridSpan w:val="2"/>
            <w:vAlign w:val="center"/>
          </w:tcPr>
          <w:p w:rsidR="00345E34" w:rsidRPr="006543FF" w:rsidRDefault="00345E34" w:rsidP="00831310">
            <w:pPr>
              <w:keepNext/>
              <w:keepLines/>
              <w:widowControl/>
              <w:contextualSpacing/>
              <w:jc w:val="center"/>
              <w:rPr>
                <w:rFonts w:ascii="Arial Narrow" w:hAnsi="Arial Narrow"/>
                <w:b/>
                <w:sz w:val="18"/>
                <w:szCs w:val="18"/>
              </w:rPr>
            </w:pPr>
            <w:r>
              <w:rPr>
                <w:rFonts w:ascii="Arial Narrow" w:hAnsi="Arial Narrow"/>
                <w:b/>
                <w:sz w:val="18"/>
                <w:szCs w:val="18"/>
              </w:rPr>
              <w:t>Wilding 2012</w:t>
            </w:r>
          </w:p>
        </w:tc>
      </w:tr>
      <w:tr w:rsidR="002817F6" w:rsidRPr="0026199B" w:rsidTr="002817F6">
        <w:trPr>
          <w:trHeight w:val="58"/>
        </w:trPr>
        <w:tc>
          <w:tcPr>
            <w:tcW w:w="1017" w:type="pct"/>
            <w:vMerge/>
            <w:vAlign w:val="center"/>
          </w:tcPr>
          <w:p w:rsidR="00345E34" w:rsidRPr="006543FF" w:rsidRDefault="00345E34" w:rsidP="00831310">
            <w:pPr>
              <w:keepNext/>
              <w:keepLines/>
              <w:widowControl/>
              <w:contextualSpacing/>
              <w:jc w:val="left"/>
              <w:rPr>
                <w:rFonts w:ascii="Arial Narrow" w:hAnsi="Arial Narrow"/>
                <w:b/>
                <w:sz w:val="18"/>
                <w:szCs w:val="18"/>
              </w:rPr>
            </w:pPr>
          </w:p>
        </w:tc>
        <w:tc>
          <w:tcPr>
            <w:tcW w:w="664" w:type="pct"/>
            <w:vAlign w:val="center"/>
          </w:tcPr>
          <w:p w:rsidR="00345E34" w:rsidRPr="006543FF" w:rsidRDefault="00345E34" w:rsidP="00831310">
            <w:pPr>
              <w:keepNext/>
              <w:keepLines/>
              <w:widowControl/>
              <w:contextualSpacing/>
              <w:jc w:val="center"/>
              <w:rPr>
                <w:rFonts w:ascii="Arial Narrow" w:hAnsi="Arial Narrow"/>
                <w:b/>
                <w:sz w:val="18"/>
                <w:szCs w:val="18"/>
              </w:rPr>
            </w:pPr>
            <w:proofErr w:type="spellStart"/>
            <w:r w:rsidRPr="006543FF">
              <w:rPr>
                <w:rFonts w:ascii="Arial Narrow" w:hAnsi="Arial Narrow"/>
                <w:b/>
                <w:sz w:val="18"/>
                <w:szCs w:val="18"/>
              </w:rPr>
              <w:t>Sitagliptin</w:t>
            </w:r>
            <w:proofErr w:type="spellEnd"/>
          </w:p>
        </w:tc>
        <w:tc>
          <w:tcPr>
            <w:tcW w:w="664" w:type="pct"/>
          </w:tcPr>
          <w:p w:rsidR="00345E34" w:rsidRPr="006543FF" w:rsidRDefault="00345E34" w:rsidP="00831310">
            <w:pPr>
              <w:keepNext/>
              <w:keepLines/>
              <w:widowControl/>
              <w:contextualSpacing/>
              <w:jc w:val="center"/>
              <w:rPr>
                <w:rFonts w:ascii="Arial Narrow" w:hAnsi="Arial Narrow"/>
                <w:b/>
                <w:sz w:val="18"/>
                <w:szCs w:val="18"/>
              </w:rPr>
            </w:pPr>
            <w:r w:rsidRPr="006543FF">
              <w:rPr>
                <w:rFonts w:ascii="Arial Narrow" w:hAnsi="Arial Narrow"/>
                <w:b/>
                <w:sz w:val="18"/>
                <w:szCs w:val="18"/>
              </w:rPr>
              <w:t>Placebo</w:t>
            </w:r>
          </w:p>
        </w:tc>
        <w:tc>
          <w:tcPr>
            <w:tcW w:w="664" w:type="pct"/>
          </w:tcPr>
          <w:p w:rsidR="00345E34" w:rsidRPr="006543FF" w:rsidRDefault="00345E34" w:rsidP="00831310">
            <w:pPr>
              <w:keepNext/>
              <w:keepLines/>
              <w:widowControl/>
              <w:contextualSpacing/>
              <w:jc w:val="center"/>
              <w:rPr>
                <w:rFonts w:ascii="Arial Narrow" w:hAnsi="Arial Narrow"/>
                <w:b/>
                <w:sz w:val="18"/>
                <w:szCs w:val="18"/>
              </w:rPr>
            </w:pPr>
            <w:proofErr w:type="spellStart"/>
            <w:r w:rsidRPr="006543FF">
              <w:rPr>
                <w:rFonts w:ascii="Arial Narrow" w:hAnsi="Arial Narrow"/>
                <w:b/>
                <w:sz w:val="18"/>
                <w:szCs w:val="18"/>
              </w:rPr>
              <w:t>Sitagliptin</w:t>
            </w:r>
            <w:proofErr w:type="spellEnd"/>
          </w:p>
        </w:tc>
        <w:tc>
          <w:tcPr>
            <w:tcW w:w="664" w:type="pct"/>
          </w:tcPr>
          <w:p w:rsidR="00345E34" w:rsidRPr="006543FF" w:rsidRDefault="00345E34" w:rsidP="00831310">
            <w:pPr>
              <w:keepNext/>
              <w:keepLines/>
              <w:widowControl/>
              <w:contextualSpacing/>
              <w:jc w:val="center"/>
              <w:rPr>
                <w:rFonts w:ascii="Arial Narrow" w:hAnsi="Arial Narrow"/>
                <w:b/>
                <w:sz w:val="18"/>
                <w:szCs w:val="18"/>
              </w:rPr>
            </w:pPr>
            <w:r w:rsidRPr="006543FF">
              <w:rPr>
                <w:rFonts w:ascii="Arial Narrow" w:hAnsi="Arial Narrow"/>
                <w:b/>
                <w:sz w:val="18"/>
                <w:szCs w:val="18"/>
              </w:rPr>
              <w:t>Placebo</w:t>
            </w:r>
          </w:p>
        </w:tc>
        <w:tc>
          <w:tcPr>
            <w:tcW w:w="664" w:type="pct"/>
          </w:tcPr>
          <w:p w:rsidR="00345E34" w:rsidRPr="006543FF" w:rsidRDefault="00345E34" w:rsidP="00831310">
            <w:pPr>
              <w:keepNext/>
              <w:keepLines/>
              <w:widowControl/>
              <w:contextualSpacing/>
              <w:jc w:val="center"/>
              <w:rPr>
                <w:rFonts w:ascii="Arial Narrow" w:hAnsi="Arial Narrow"/>
                <w:b/>
                <w:sz w:val="18"/>
                <w:szCs w:val="18"/>
              </w:rPr>
            </w:pPr>
            <w:proofErr w:type="spellStart"/>
            <w:r w:rsidRPr="006543FF">
              <w:rPr>
                <w:rFonts w:ascii="Arial Narrow" w:hAnsi="Arial Narrow"/>
                <w:b/>
                <w:sz w:val="18"/>
                <w:szCs w:val="18"/>
              </w:rPr>
              <w:t>Dapagliflozin</w:t>
            </w:r>
            <w:proofErr w:type="spellEnd"/>
          </w:p>
        </w:tc>
        <w:tc>
          <w:tcPr>
            <w:tcW w:w="664" w:type="pct"/>
            <w:vAlign w:val="center"/>
          </w:tcPr>
          <w:p w:rsidR="00345E34" w:rsidRPr="006543FF" w:rsidRDefault="00345E34" w:rsidP="00831310">
            <w:pPr>
              <w:keepNext/>
              <w:keepLines/>
              <w:widowControl/>
              <w:contextualSpacing/>
              <w:jc w:val="center"/>
              <w:rPr>
                <w:rFonts w:ascii="Arial Narrow" w:hAnsi="Arial Narrow"/>
                <w:b/>
                <w:sz w:val="18"/>
                <w:szCs w:val="18"/>
              </w:rPr>
            </w:pPr>
            <w:r w:rsidRPr="006543FF">
              <w:rPr>
                <w:rFonts w:ascii="Arial Narrow" w:hAnsi="Arial Narrow"/>
                <w:b/>
                <w:sz w:val="18"/>
                <w:szCs w:val="18"/>
              </w:rPr>
              <w:t>PBO</w:t>
            </w:r>
          </w:p>
        </w:tc>
      </w:tr>
      <w:tr w:rsidR="002817F6" w:rsidRPr="0026199B" w:rsidTr="002817F6">
        <w:trPr>
          <w:trHeight w:val="58"/>
        </w:trPr>
        <w:tc>
          <w:tcPr>
            <w:tcW w:w="1017" w:type="pct"/>
            <w:tcBorders>
              <w:bottom w:val="single" w:sz="4" w:space="0" w:color="auto"/>
            </w:tcBorders>
            <w:vAlign w:val="center"/>
          </w:tcPr>
          <w:p w:rsidR="00345E34" w:rsidRPr="006543FF" w:rsidRDefault="00345E34" w:rsidP="00831310">
            <w:pPr>
              <w:keepNext/>
              <w:keepLines/>
              <w:widowControl/>
              <w:contextualSpacing/>
              <w:jc w:val="left"/>
              <w:rPr>
                <w:rFonts w:ascii="Arial Narrow" w:hAnsi="Arial Narrow"/>
                <w:b/>
                <w:sz w:val="18"/>
                <w:szCs w:val="18"/>
              </w:rPr>
            </w:pPr>
            <w:r w:rsidRPr="006543FF">
              <w:rPr>
                <w:rFonts w:ascii="Arial Narrow" w:hAnsi="Arial Narrow"/>
                <w:b/>
                <w:sz w:val="18"/>
                <w:szCs w:val="18"/>
              </w:rPr>
              <w:t>N</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322</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319</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329</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329</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194</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193</w:t>
            </w:r>
          </w:p>
        </w:tc>
      </w:tr>
      <w:tr w:rsidR="00345E34" w:rsidRPr="0026199B" w:rsidTr="00345E34">
        <w:trPr>
          <w:trHeight w:val="226"/>
        </w:trPr>
        <w:tc>
          <w:tcPr>
            <w:tcW w:w="5000" w:type="pct"/>
            <w:gridSpan w:val="7"/>
            <w:tcBorders>
              <w:top w:val="single" w:sz="4" w:space="0" w:color="auto"/>
              <w:left w:val="single" w:sz="4" w:space="0" w:color="auto"/>
              <w:bottom w:val="single" w:sz="4" w:space="0" w:color="auto"/>
              <w:right w:val="single" w:sz="4" w:space="0" w:color="auto"/>
            </w:tcBorders>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b/>
                <w:sz w:val="18"/>
                <w:szCs w:val="18"/>
              </w:rPr>
              <w:t>Demographic characteristics</w:t>
            </w:r>
          </w:p>
        </w:tc>
      </w:tr>
      <w:tr w:rsidR="002817F6" w:rsidRPr="0026199B" w:rsidTr="002817F6">
        <w:trPr>
          <w:trHeight w:val="58"/>
        </w:trPr>
        <w:tc>
          <w:tcPr>
            <w:tcW w:w="1017" w:type="pct"/>
            <w:tcBorders>
              <w:top w:val="single" w:sz="4" w:space="0" w:color="auto"/>
            </w:tcBorders>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Age: mean years (SD)</w:t>
            </w:r>
          </w:p>
        </w:tc>
        <w:tc>
          <w:tcPr>
            <w:tcW w:w="664" w:type="pct"/>
            <w:tcBorders>
              <w:top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58.3 (9.1)</w:t>
            </w:r>
          </w:p>
        </w:tc>
        <w:tc>
          <w:tcPr>
            <w:tcW w:w="664" w:type="pct"/>
            <w:tcBorders>
              <w:top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57.2 (9.3)</w:t>
            </w:r>
          </w:p>
        </w:tc>
        <w:tc>
          <w:tcPr>
            <w:tcW w:w="664" w:type="pct"/>
            <w:tcBorders>
              <w:top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59.3 (8.9)</w:t>
            </w:r>
          </w:p>
        </w:tc>
        <w:tc>
          <w:tcPr>
            <w:tcW w:w="664" w:type="pct"/>
            <w:tcBorders>
              <w:top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58.3 (9.7)</w:t>
            </w:r>
          </w:p>
        </w:tc>
        <w:tc>
          <w:tcPr>
            <w:tcW w:w="664" w:type="pct"/>
            <w:tcBorders>
              <w:top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59.3 (8.8)</w:t>
            </w:r>
          </w:p>
        </w:tc>
        <w:tc>
          <w:tcPr>
            <w:tcW w:w="664" w:type="pct"/>
            <w:tcBorders>
              <w:top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58.8 (8.6)</w:t>
            </w:r>
          </w:p>
        </w:tc>
      </w:tr>
      <w:tr w:rsidR="002817F6" w:rsidRPr="0026199B" w:rsidTr="002817F6">
        <w:trPr>
          <w:trHeight w:val="58"/>
        </w:trPr>
        <w:tc>
          <w:tcPr>
            <w:tcW w:w="1017" w:type="pct"/>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Male: %</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157 (49)</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169 (53)</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151 (45.9)</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164 (49.8)</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87 (44.8)</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95 (49.2)</w:t>
            </w:r>
          </w:p>
        </w:tc>
      </w:tr>
      <w:tr w:rsidR="002817F6" w:rsidRPr="0026199B" w:rsidTr="002817F6">
        <w:trPr>
          <w:trHeight w:val="58"/>
        </w:trPr>
        <w:tc>
          <w:tcPr>
            <w:tcW w:w="1017" w:type="pct"/>
            <w:vAlign w:val="center"/>
          </w:tcPr>
          <w:p w:rsidR="00345E34" w:rsidRPr="006543FF" w:rsidRDefault="00345E34" w:rsidP="00831310">
            <w:pPr>
              <w:keepNext/>
              <w:keepLines/>
              <w:widowControl/>
              <w:contextualSpacing/>
              <w:jc w:val="left"/>
              <w:rPr>
                <w:rFonts w:ascii="Arial Narrow" w:hAnsi="Arial Narrow"/>
                <w:b/>
                <w:sz w:val="18"/>
                <w:szCs w:val="18"/>
              </w:rPr>
            </w:pPr>
            <w:r w:rsidRPr="006543FF">
              <w:rPr>
                <w:rFonts w:ascii="Arial Narrow" w:hAnsi="Arial Narrow"/>
                <w:sz w:val="18"/>
                <w:szCs w:val="18"/>
              </w:rPr>
              <w:t>Caucasian: n %</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228 (71)</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219 (69)</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238 (72.3)</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220 (66.9)</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184 (94.8)</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186 (96.4)</w:t>
            </w:r>
          </w:p>
        </w:tc>
      </w:tr>
      <w:tr w:rsidR="002817F6" w:rsidRPr="0026199B" w:rsidTr="002817F6">
        <w:trPr>
          <w:trHeight w:val="58"/>
        </w:trPr>
        <w:tc>
          <w:tcPr>
            <w:tcW w:w="1017" w:type="pct"/>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Black: n %</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21 (6)</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23 (7)</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18 (5.5)</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9 (2.7)</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5 (2.6)</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6 (3.1)</w:t>
            </w:r>
          </w:p>
        </w:tc>
      </w:tr>
      <w:tr w:rsidR="002817F6" w:rsidRPr="0026199B" w:rsidTr="002817F6">
        <w:trPr>
          <w:trHeight w:val="58"/>
        </w:trPr>
        <w:tc>
          <w:tcPr>
            <w:tcW w:w="1017" w:type="pct"/>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Asian: n %</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55 (17)</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61 (19)</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32 (9.7)</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34 (10.3)</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 (1.5)</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0</w:t>
            </w:r>
          </w:p>
        </w:tc>
      </w:tr>
      <w:tr w:rsidR="002817F6" w:rsidRPr="0026199B" w:rsidTr="002817F6">
        <w:trPr>
          <w:trHeight w:val="58"/>
        </w:trPr>
        <w:tc>
          <w:tcPr>
            <w:tcW w:w="1017" w:type="pct"/>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Other: n %</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18 (6)</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16 (5)</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41 (12.4)</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66 (20.0)</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 (1.0)</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 (0.5)</w:t>
            </w:r>
          </w:p>
        </w:tc>
      </w:tr>
      <w:tr w:rsidR="002817F6" w:rsidRPr="0026199B" w:rsidTr="002817F6">
        <w:trPr>
          <w:trHeight w:val="58"/>
        </w:trPr>
        <w:tc>
          <w:tcPr>
            <w:tcW w:w="1017" w:type="pct"/>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Weight: mean kg (SD)</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86.5 (18.6)</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87.3 (17.9)</w:t>
            </w:r>
          </w:p>
        </w:tc>
        <w:tc>
          <w:tcPr>
            <w:tcW w:w="664" w:type="pct"/>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87.1 (19.5)</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88.3 (22.6)</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94.5 (19.8)</w:t>
            </w:r>
          </w:p>
        </w:tc>
        <w:tc>
          <w:tcPr>
            <w:tcW w:w="664" w:type="pct"/>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94.5 (16.8)</w:t>
            </w:r>
          </w:p>
        </w:tc>
      </w:tr>
      <w:tr w:rsidR="002817F6" w:rsidRPr="0026199B" w:rsidTr="002817F6">
        <w:trPr>
          <w:trHeight w:val="58"/>
        </w:trPr>
        <w:tc>
          <w:tcPr>
            <w:tcW w:w="1017" w:type="pct"/>
            <w:tcBorders>
              <w:bottom w:val="single" w:sz="4" w:space="0" w:color="auto"/>
            </w:tcBorders>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BMI: mean kg/m</w:t>
            </w:r>
            <w:r w:rsidRPr="006543FF">
              <w:rPr>
                <w:rFonts w:ascii="Arial Narrow" w:hAnsi="Arial Narrow"/>
                <w:sz w:val="18"/>
                <w:szCs w:val="18"/>
                <w:vertAlign w:val="superscript"/>
              </w:rPr>
              <w:t>2</w:t>
            </w:r>
            <w:r w:rsidRPr="006543FF">
              <w:rPr>
                <w:rFonts w:ascii="Arial Narrow" w:hAnsi="Arial Narrow"/>
                <w:sz w:val="18"/>
                <w:szCs w:val="18"/>
              </w:rPr>
              <w:t xml:space="preserve"> (SD)</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31 (5)</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31 (5)</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31.9 (5.8)</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32.2 (6.6)</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33.4 (5.1)</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33.1 (5.9)</w:t>
            </w:r>
          </w:p>
        </w:tc>
      </w:tr>
      <w:tr w:rsidR="00345E34" w:rsidRPr="0026199B" w:rsidTr="00345E34">
        <w:trPr>
          <w:trHeight w:val="58"/>
        </w:trPr>
        <w:tc>
          <w:tcPr>
            <w:tcW w:w="5000" w:type="pct"/>
            <w:gridSpan w:val="7"/>
            <w:tcBorders>
              <w:bottom w:val="single" w:sz="4" w:space="0" w:color="auto"/>
            </w:tcBorders>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Background oral anti</w:t>
            </w:r>
            <w:r>
              <w:rPr>
                <w:rFonts w:ascii="Arial Narrow" w:hAnsi="Arial Narrow"/>
                <w:sz w:val="18"/>
                <w:szCs w:val="18"/>
              </w:rPr>
              <w:t xml:space="preserve">-diabetes drugs </w:t>
            </w:r>
          </w:p>
        </w:tc>
      </w:tr>
      <w:tr w:rsidR="002817F6" w:rsidRPr="0026199B" w:rsidTr="002817F6">
        <w:trPr>
          <w:trHeight w:val="58"/>
        </w:trPr>
        <w:tc>
          <w:tcPr>
            <w:tcW w:w="1017" w:type="pct"/>
            <w:tcBorders>
              <w:bottom w:val="single" w:sz="4" w:space="0" w:color="auto"/>
            </w:tcBorders>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None</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93 (28.9)</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86 (27.0)</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NR</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NR</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96 (49.5)</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96 (49.7)</w:t>
            </w:r>
          </w:p>
        </w:tc>
      </w:tr>
      <w:tr w:rsidR="002817F6" w:rsidRPr="0026199B" w:rsidTr="002817F6">
        <w:trPr>
          <w:trHeight w:val="58"/>
        </w:trPr>
        <w:tc>
          <w:tcPr>
            <w:tcW w:w="1017" w:type="pct"/>
            <w:tcBorders>
              <w:bottom w:val="single" w:sz="4" w:space="0" w:color="auto"/>
            </w:tcBorders>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Metformin alone</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229 (71)</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233 (73)</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NR</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NR</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83 (42.8)</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78 (40.4)</w:t>
            </w:r>
          </w:p>
        </w:tc>
      </w:tr>
      <w:tr w:rsidR="002817F6" w:rsidRPr="0026199B" w:rsidTr="002817F6">
        <w:trPr>
          <w:trHeight w:val="58"/>
        </w:trPr>
        <w:tc>
          <w:tcPr>
            <w:tcW w:w="1017" w:type="pct"/>
            <w:tcBorders>
              <w:bottom w:val="single" w:sz="4" w:space="0" w:color="auto"/>
            </w:tcBorders>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Met + SU</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NR</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NR</w:t>
            </w:r>
          </w:p>
        </w:tc>
        <w:tc>
          <w:tcPr>
            <w:tcW w:w="664" w:type="pct"/>
            <w:tcBorders>
              <w:bottom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NR</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NR</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 (4.1)</w:t>
            </w:r>
          </w:p>
        </w:tc>
        <w:tc>
          <w:tcPr>
            <w:tcW w:w="664" w:type="pct"/>
            <w:tcBorders>
              <w:bottom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13 (6.7)</w:t>
            </w:r>
          </w:p>
        </w:tc>
      </w:tr>
      <w:tr w:rsidR="00345E34" w:rsidRPr="0026199B" w:rsidTr="00345E34">
        <w:trPr>
          <w:trHeight w:val="58"/>
        </w:trPr>
        <w:tc>
          <w:tcPr>
            <w:tcW w:w="5000" w:type="pct"/>
            <w:gridSpan w:val="7"/>
            <w:tcBorders>
              <w:top w:val="single" w:sz="4" w:space="0" w:color="auto"/>
              <w:left w:val="single" w:sz="4" w:space="0" w:color="auto"/>
              <w:bottom w:val="single" w:sz="4" w:space="0" w:color="auto"/>
              <w:right w:val="single" w:sz="4" w:space="0" w:color="auto"/>
            </w:tcBorders>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b/>
                <w:sz w:val="18"/>
                <w:szCs w:val="18"/>
              </w:rPr>
              <w:t>Diabetes specific characteristics</w:t>
            </w:r>
          </w:p>
        </w:tc>
      </w:tr>
      <w:tr w:rsidR="002817F6" w:rsidRPr="0026199B" w:rsidTr="002817F6">
        <w:trPr>
          <w:trHeight w:val="58"/>
        </w:trPr>
        <w:tc>
          <w:tcPr>
            <w:tcW w:w="1017"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left"/>
              <w:rPr>
                <w:rFonts w:ascii="Arial Narrow" w:hAnsi="Arial Narrow"/>
                <w:b/>
                <w:sz w:val="18"/>
                <w:szCs w:val="18"/>
              </w:rPr>
            </w:pPr>
            <w:r w:rsidRPr="006543FF">
              <w:rPr>
                <w:rFonts w:ascii="Arial Narrow" w:hAnsi="Arial Narrow"/>
                <w:sz w:val="18"/>
                <w:szCs w:val="18"/>
              </w:rPr>
              <w:t>HbA1c: % mean (SD)</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8.7 (0.9)</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8.6 (0.9)</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8.66 (0.98)</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8.81 (1.03)</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8.57 (0.82)</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8.47 (0.77)</w:t>
            </w:r>
          </w:p>
        </w:tc>
      </w:tr>
      <w:tr w:rsidR="002817F6" w:rsidRPr="0026199B" w:rsidTr="002817F6">
        <w:trPr>
          <w:trHeight w:val="58"/>
        </w:trPr>
        <w:tc>
          <w:tcPr>
            <w:tcW w:w="1017"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left"/>
              <w:rPr>
                <w:rFonts w:ascii="Arial Narrow" w:hAnsi="Arial Narrow"/>
                <w:sz w:val="18"/>
                <w:szCs w:val="18"/>
              </w:rPr>
            </w:pPr>
            <w:r w:rsidRPr="006543FF">
              <w:rPr>
                <w:rFonts w:ascii="Arial Narrow" w:hAnsi="Arial Narrow"/>
                <w:sz w:val="18"/>
                <w:szCs w:val="18"/>
              </w:rPr>
              <w:t>FPG (</w:t>
            </w:r>
            <w:proofErr w:type="spellStart"/>
            <w:r w:rsidRPr="006543FF">
              <w:rPr>
                <w:rFonts w:ascii="Arial Narrow" w:hAnsi="Arial Narrow"/>
                <w:sz w:val="18"/>
                <w:szCs w:val="18"/>
              </w:rPr>
              <w:t>mmol</w:t>
            </w:r>
            <w:proofErr w:type="spellEnd"/>
            <w:r w:rsidRPr="006543FF">
              <w:rPr>
                <w:rFonts w:ascii="Arial Narrow" w:hAnsi="Arial Narrow"/>
                <w:sz w:val="18"/>
                <w:szCs w:val="18"/>
              </w:rPr>
              <w:t>/L) mean (SD)</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175.6 (51.8)</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178.7 (59.6)</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176.1 (46.5)</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176.8 (45.9)</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173.1 (54.9)</w:t>
            </w:r>
          </w:p>
        </w:tc>
        <w:tc>
          <w:tcPr>
            <w:tcW w:w="664" w:type="pct"/>
            <w:tcBorders>
              <w:top w:val="single" w:sz="4" w:space="0" w:color="auto"/>
              <w:left w:val="single" w:sz="4" w:space="0" w:color="auto"/>
              <w:bottom w:val="single" w:sz="4" w:space="0" w:color="auto"/>
              <w:right w:val="single" w:sz="4" w:space="0" w:color="auto"/>
            </w:tcBorders>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170.6 (57.2)</w:t>
            </w:r>
          </w:p>
        </w:tc>
      </w:tr>
      <w:tr w:rsidR="002817F6" w:rsidRPr="0026199B" w:rsidTr="002817F6">
        <w:trPr>
          <w:trHeight w:val="58"/>
        </w:trPr>
        <w:tc>
          <w:tcPr>
            <w:tcW w:w="1017" w:type="pct"/>
            <w:tcBorders>
              <w:top w:val="single" w:sz="4" w:space="0" w:color="auto"/>
              <w:left w:val="single" w:sz="4" w:space="0" w:color="auto"/>
              <w:bottom w:val="single" w:sz="4" w:space="0" w:color="auto"/>
              <w:right w:val="single" w:sz="4" w:space="0" w:color="auto"/>
            </w:tcBorders>
          </w:tcPr>
          <w:p w:rsidR="00345E34" w:rsidRPr="001D7F5A" w:rsidRDefault="00345E34" w:rsidP="00831310">
            <w:pPr>
              <w:keepNext/>
              <w:keepLines/>
              <w:widowControl/>
              <w:contextualSpacing/>
              <w:jc w:val="left"/>
              <w:rPr>
                <w:rFonts w:ascii="Arial Narrow" w:hAnsi="Arial Narrow"/>
                <w:sz w:val="18"/>
                <w:szCs w:val="18"/>
              </w:rPr>
            </w:pPr>
            <w:r w:rsidRPr="001D7F5A">
              <w:rPr>
                <w:rFonts w:ascii="Arial Narrow" w:hAnsi="Arial Narrow"/>
                <w:sz w:val="18"/>
                <w:szCs w:val="18"/>
              </w:rPr>
              <w:t xml:space="preserve">Duration of illness, </w:t>
            </w:r>
          </w:p>
          <w:p w:rsidR="00345E34" w:rsidRPr="001D7F5A" w:rsidRDefault="00345E34" w:rsidP="00831310">
            <w:pPr>
              <w:keepNext/>
              <w:keepLines/>
              <w:widowControl/>
              <w:contextualSpacing/>
              <w:jc w:val="left"/>
              <w:rPr>
                <w:rFonts w:ascii="Arial Narrow" w:hAnsi="Arial Narrow"/>
                <w:sz w:val="18"/>
                <w:szCs w:val="18"/>
              </w:rPr>
            </w:pPr>
            <w:r w:rsidRPr="001D7F5A">
              <w:rPr>
                <w:rFonts w:ascii="Arial Narrow" w:hAnsi="Arial Narrow"/>
                <w:sz w:val="18"/>
                <w:szCs w:val="18"/>
              </w:rPr>
              <w:t>years (SD)</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13 (7)</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12 (6)</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13.2 (6.0)</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13.7 (6.4)</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14.2 (7.3)</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13.5 (7.3)</w:t>
            </w:r>
          </w:p>
        </w:tc>
      </w:tr>
      <w:tr w:rsidR="002817F6" w:rsidRPr="0026199B" w:rsidTr="002817F6">
        <w:trPr>
          <w:trHeight w:val="58"/>
        </w:trPr>
        <w:tc>
          <w:tcPr>
            <w:tcW w:w="1017" w:type="pct"/>
            <w:tcBorders>
              <w:top w:val="single" w:sz="4" w:space="0" w:color="auto"/>
              <w:left w:val="single" w:sz="4" w:space="0" w:color="auto"/>
              <w:bottom w:val="single" w:sz="4" w:space="0" w:color="auto"/>
              <w:right w:val="single" w:sz="4" w:space="0" w:color="auto"/>
            </w:tcBorders>
            <w:vAlign w:val="center"/>
          </w:tcPr>
          <w:p w:rsidR="00345E34" w:rsidRPr="001D7F5A" w:rsidRDefault="00345E34" w:rsidP="00831310">
            <w:pPr>
              <w:keepNext/>
              <w:keepLines/>
              <w:widowControl/>
              <w:contextualSpacing/>
              <w:jc w:val="left"/>
              <w:rPr>
                <w:rFonts w:ascii="Arial Narrow" w:hAnsi="Arial Narrow"/>
                <w:sz w:val="18"/>
                <w:szCs w:val="18"/>
              </w:rPr>
            </w:pPr>
            <w:r w:rsidRPr="001D7F5A">
              <w:rPr>
                <w:rFonts w:ascii="Arial Narrow" w:hAnsi="Arial Narrow"/>
                <w:sz w:val="18"/>
                <w:szCs w:val="18"/>
              </w:rPr>
              <w:t xml:space="preserve">Mean daily insulin dose, </w:t>
            </w:r>
          </w:p>
          <w:p w:rsidR="00345E34" w:rsidRPr="001D7F5A" w:rsidRDefault="00345E34" w:rsidP="00831310">
            <w:pPr>
              <w:keepNext/>
              <w:keepLines/>
              <w:widowControl/>
              <w:contextualSpacing/>
              <w:jc w:val="left"/>
              <w:rPr>
                <w:rFonts w:ascii="Arial Narrow" w:hAnsi="Arial Narrow"/>
                <w:sz w:val="18"/>
                <w:szCs w:val="18"/>
              </w:rPr>
            </w:pPr>
            <w:r w:rsidRPr="001D7F5A">
              <w:rPr>
                <w:rFonts w:ascii="Arial Narrow" w:hAnsi="Arial Narrow"/>
                <w:sz w:val="18"/>
                <w:szCs w:val="18"/>
              </w:rPr>
              <w:t xml:space="preserve">IU (SD) </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pStyle w:val="Tabletext"/>
              <w:keepNext/>
              <w:keepLines/>
              <w:spacing w:after="0"/>
              <w:rPr>
                <w:rFonts w:ascii="Arial Narrow" w:hAnsi="Arial Narrow"/>
                <w:sz w:val="18"/>
                <w:szCs w:val="18"/>
              </w:rPr>
            </w:pPr>
            <w:r>
              <w:rPr>
                <w:rFonts w:ascii="Arial Narrow" w:hAnsi="Arial Narrow"/>
                <w:sz w:val="18"/>
                <w:szCs w:val="18"/>
              </w:rPr>
              <w:t xml:space="preserve">Mix: </w:t>
            </w:r>
            <w:r w:rsidRPr="006543FF">
              <w:rPr>
                <w:rFonts w:ascii="Arial Narrow" w:hAnsi="Arial Narrow"/>
                <w:sz w:val="18"/>
                <w:szCs w:val="18"/>
              </w:rPr>
              <w:t>67.4 (35.4)</w:t>
            </w:r>
          </w:p>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LA: 44.2 (29.9)</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pStyle w:val="Tabletext"/>
              <w:keepNext/>
              <w:keepLines/>
              <w:spacing w:after="0"/>
              <w:rPr>
                <w:rFonts w:ascii="Arial Narrow" w:hAnsi="Arial Narrow"/>
                <w:sz w:val="18"/>
                <w:szCs w:val="18"/>
              </w:rPr>
            </w:pPr>
            <w:r>
              <w:rPr>
                <w:rFonts w:ascii="Arial Narrow" w:hAnsi="Arial Narrow"/>
                <w:sz w:val="18"/>
                <w:szCs w:val="18"/>
              </w:rPr>
              <w:t>M</w:t>
            </w:r>
            <w:r w:rsidRPr="006543FF">
              <w:rPr>
                <w:rFonts w:ascii="Arial Narrow" w:hAnsi="Arial Narrow"/>
                <w:sz w:val="18"/>
                <w:szCs w:val="18"/>
              </w:rPr>
              <w:t>ix: 74.5 (36.9)</w:t>
            </w:r>
          </w:p>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LA: 44.5 (25.7)</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37.3 (20.8)</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36.6 (21.3)</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78.0 (45.0)</w:t>
            </w:r>
          </w:p>
        </w:tc>
        <w:tc>
          <w:tcPr>
            <w:tcW w:w="664" w:type="pct"/>
            <w:tcBorders>
              <w:top w:val="single" w:sz="4" w:space="0" w:color="auto"/>
              <w:left w:val="single" w:sz="4" w:space="0" w:color="auto"/>
              <w:bottom w:val="single" w:sz="4" w:space="0" w:color="auto"/>
              <w:right w:val="single" w:sz="4" w:space="0" w:color="auto"/>
            </w:tcBorders>
            <w:vAlign w:val="center"/>
          </w:tcPr>
          <w:p w:rsidR="00345E34" w:rsidRPr="006543FF" w:rsidRDefault="00345E34" w:rsidP="00831310">
            <w:pPr>
              <w:keepNext/>
              <w:keepLines/>
              <w:widowControl/>
              <w:contextualSpacing/>
              <w:jc w:val="center"/>
              <w:rPr>
                <w:rFonts w:ascii="Arial Narrow" w:hAnsi="Arial Narrow"/>
                <w:sz w:val="18"/>
                <w:szCs w:val="18"/>
              </w:rPr>
            </w:pPr>
            <w:r w:rsidRPr="006543FF">
              <w:rPr>
                <w:rFonts w:ascii="Arial Narrow" w:hAnsi="Arial Narrow"/>
                <w:sz w:val="18"/>
                <w:szCs w:val="18"/>
              </w:rPr>
              <w:t>73.7 (42.4)</w:t>
            </w:r>
          </w:p>
        </w:tc>
      </w:tr>
    </w:tbl>
    <w:p w:rsidR="00345E34" w:rsidRPr="0026199B" w:rsidRDefault="00345E34" w:rsidP="00831310">
      <w:pPr>
        <w:pStyle w:val="TableNotes4"/>
        <w:ind w:left="1860"/>
        <w:jc w:val="left"/>
        <w:rPr>
          <w:rFonts w:ascii="Arial Narrow" w:hAnsi="Arial Narrow"/>
          <w:sz w:val="18"/>
        </w:rPr>
      </w:pPr>
      <w:r w:rsidRPr="0026199B">
        <w:rPr>
          <w:rFonts w:ascii="Arial Narrow" w:hAnsi="Arial Narrow"/>
          <w:sz w:val="18"/>
        </w:rPr>
        <w:t>Source</w:t>
      </w:r>
      <w:r>
        <w:rPr>
          <w:rFonts w:ascii="Arial Narrow" w:hAnsi="Arial Narrow"/>
          <w:sz w:val="18"/>
        </w:rPr>
        <w:t xml:space="preserve">: </w:t>
      </w:r>
      <w:r w:rsidRPr="0026199B">
        <w:rPr>
          <w:rFonts w:ascii="Arial Narrow" w:hAnsi="Arial Narrow"/>
          <w:sz w:val="18"/>
        </w:rPr>
        <w:t>Table B.</w:t>
      </w:r>
      <w:r>
        <w:rPr>
          <w:rFonts w:ascii="Arial Narrow" w:hAnsi="Arial Narrow"/>
          <w:sz w:val="18"/>
        </w:rPr>
        <w:t>4-4, p.84</w:t>
      </w:r>
      <w:r w:rsidRPr="0026199B">
        <w:rPr>
          <w:rFonts w:ascii="Arial Narrow" w:hAnsi="Arial Narrow"/>
          <w:sz w:val="18"/>
        </w:rPr>
        <w:t xml:space="preserve"> of the submission.</w:t>
      </w:r>
      <w:r>
        <w:rPr>
          <w:rFonts w:ascii="Arial Narrow" w:hAnsi="Arial Narrow"/>
          <w:sz w:val="18"/>
        </w:rPr>
        <w:t xml:space="preserve">  </w:t>
      </w:r>
    </w:p>
    <w:p w:rsidR="00345E34" w:rsidRPr="006543FF" w:rsidRDefault="00345E34" w:rsidP="00831310">
      <w:pPr>
        <w:widowControl/>
        <w:ind w:left="720"/>
        <w:rPr>
          <w:rFonts w:ascii="Arial Narrow" w:hAnsi="Arial Narrow"/>
          <w:sz w:val="18"/>
          <w:szCs w:val="18"/>
        </w:rPr>
      </w:pPr>
      <w:r w:rsidRPr="006543FF">
        <w:rPr>
          <w:rFonts w:ascii="Arial Narrow" w:hAnsi="Arial Narrow"/>
          <w:sz w:val="18"/>
          <w:szCs w:val="18"/>
        </w:rPr>
        <w:t xml:space="preserve">Abbreviations: </w:t>
      </w:r>
      <w:r>
        <w:rPr>
          <w:rFonts w:ascii="Arial Narrow" w:hAnsi="Arial Narrow"/>
          <w:sz w:val="18"/>
          <w:szCs w:val="18"/>
        </w:rPr>
        <w:t>B</w:t>
      </w:r>
      <w:r w:rsidRPr="006543FF">
        <w:rPr>
          <w:rFonts w:ascii="Arial Narrow" w:hAnsi="Arial Narrow"/>
          <w:sz w:val="18"/>
          <w:szCs w:val="18"/>
        </w:rPr>
        <w:t xml:space="preserve">MI, body mass index; HbA1c; </w:t>
      </w:r>
      <w:proofErr w:type="spellStart"/>
      <w:r w:rsidRPr="006543FF">
        <w:rPr>
          <w:rFonts w:ascii="Arial Narrow" w:hAnsi="Arial Narrow"/>
          <w:sz w:val="18"/>
          <w:szCs w:val="18"/>
        </w:rPr>
        <w:t>glycated</w:t>
      </w:r>
      <w:proofErr w:type="spellEnd"/>
      <w:r w:rsidRPr="006543FF">
        <w:rPr>
          <w:rFonts w:ascii="Arial Narrow" w:hAnsi="Arial Narrow"/>
          <w:sz w:val="18"/>
          <w:szCs w:val="18"/>
        </w:rPr>
        <w:t xml:space="preserve"> haemoglobin; FPG, fasting plasma glucose; </w:t>
      </w:r>
      <w:r>
        <w:rPr>
          <w:rFonts w:ascii="Arial Narrow" w:hAnsi="Arial Narrow"/>
          <w:sz w:val="18"/>
          <w:szCs w:val="18"/>
        </w:rPr>
        <w:t>LA long-acting insulin; MET metformin; Mix, pre-mixed insulin; NR</w:t>
      </w:r>
      <w:r w:rsidRPr="006543FF">
        <w:rPr>
          <w:rFonts w:ascii="Arial Narrow" w:hAnsi="Arial Narrow"/>
          <w:sz w:val="18"/>
          <w:szCs w:val="18"/>
        </w:rPr>
        <w:t xml:space="preserve">, not reported; </w:t>
      </w:r>
      <w:r>
        <w:rPr>
          <w:rFonts w:ascii="Arial Narrow" w:hAnsi="Arial Narrow"/>
          <w:sz w:val="18"/>
          <w:szCs w:val="18"/>
        </w:rPr>
        <w:t>SD</w:t>
      </w:r>
      <w:r w:rsidRPr="006543FF">
        <w:rPr>
          <w:rFonts w:ascii="Arial Narrow" w:hAnsi="Arial Narrow"/>
          <w:sz w:val="18"/>
          <w:szCs w:val="18"/>
        </w:rPr>
        <w:t xml:space="preserve">, standard deviation; </w:t>
      </w:r>
      <w:r>
        <w:rPr>
          <w:rFonts w:ascii="Arial Narrow" w:hAnsi="Arial Narrow"/>
          <w:sz w:val="18"/>
          <w:szCs w:val="18"/>
        </w:rPr>
        <w:t>SU sulfonylurea.</w:t>
      </w:r>
    </w:p>
    <w:p w:rsidR="00345E34" w:rsidRPr="00F156D1" w:rsidRDefault="00345E34" w:rsidP="00831310">
      <w:pPr>
        <w:pStyle w:val="ListParagraph"/>
        <w:widowControl/>
        <w:rPr>
          <w:szCs w:val="22"/>
        </w:rPr>
      </w:pPr>
    </w:p>
    <w:p w:rsidR="00A45A1C" w:rsidRPr="00792E89" w:rsidRDefault="004974A2" w:rsidP="00831310">
      <w:pPr>
        <w:pStyle w:val="ListParagraph"/>
        <w:widowControl/>
        <w:numPr>
          <w:ilvl w:val="1"/>
          <w:numId w:val="8"/>
        </w:numPr>
        <w:rPr>
          <w:szCs w:val="22"/>
        </w:rPr>
      </w:pPr>
      <w:r w:rsidRPr="00F156D1">
        <w:t>The trial design</w:t>
      </w:r>
      <w:r w:rsidR="00447960" w:rsidRPr="00F156D1">
        <w:t>s</w:t>
      </w:r>
      <w:r w:rsidRPr="00F156D1">
        <w:t xml:space="preserve"> and objectives varied substantially between trials. Trial P051 and Wilding 2012 assessed glycaemic control (i.e. change from baseline in HbA1c) as the primary outcome. The primary objective of Trial P260 was to assess the insulin</w:t>
      </w:r>
      <w:r w:rsidR="00A96E7E">
        <w:noBreakHyphen/>
      </w:r>
      <w:r w:rsidRPr="00F156D1">
        <w:t xml:space="preserve">sparing effect of adding </w:t>
      </w:r>
      <w:proofErr w:type="spellStart"/>
      <w:r w:rsidRPr="00F156D1">
        <w:t>sitagliptin</w:t>
      </w:r>
      <w:proofErr w:type="spellEnd"/>
      <w:r w:rsidRPr="00F156D1">
        <w:t xml:space="preserve"> therapy to a regimen of insulin with or without metformin</w:t>
      </w:r>
      <w:r w:rsidR="00A96E7E">
        <w:t>,</w:t>
      </w:r>
      <w:r w:rsidRPr="00F156D1">
        <w:t xml:space="preserve"> and </w:t>
      </w:r>
      <w:r w:rsidR="00447960" w:rsidRPr="00F156D1">
        <w:t xml:space="preserve">patients </w:t>
      </w:r>
      <w:r w:rsidRPr="00F156D1">
        <w:t xml:space="preserve">were instructed to </w:t>
      </w:r>
      <w:proofErr w:type="gramStart"/>
      <w:r w:rsidRPr="00F156D1">
        <w:t>titrate</w:t>
      </w:r>
      <w:proofErr w:type="gramEnd"/>
      <w:r w:rsidRPr="00F156D1">
        <w:t xml:space="preserve"> doses of insulin </w:t>
      </w:r>
      <w:proofErr w:type="spellStart"/>
      <w:r w:rsidRPr="00F156D1">
        <w:t>glargine</w:t>
      </w:r>
      <w:proofErr w:type="spellEnd"/>
      <w:r w:rsidRPr="00F156D1">
        <w:t xml:space="preserve"> to achieve the treatment target of fasting glucose 72-100mg/</w:t>
      </w:r>
      <w:proofErr w:type="spellStart"/>
      <w:r w:rsidRPr="00F156D1">
        <w:t>dL</w:t>
      </w:r>
      <w:proofErr w:type="spellEnd"/>
      <w:r w:rsidRPr="00F156D1">
        <w:t xml:space="preserve"> (4.0-5.6mmol/L).</w:t>
      </w:r>
      <w:r w:rsidR="00A45A1C">
        <w:t xml:space="preserve"> </w:t>
      </w:r>
      <w:r w:rsidR="00A45A1C" w:rsidRPr="00552352">
        <w:t xml:space="preserve">Accordingly, the ESC considered that the insulin sparing effects of these regimes </w:t>
      </w:r>
      <w:r w:rsidR="00545FCD">
        <w:t>could not be compared. The PSCR</w:t>
      </w:r>
      <w:r w:rsidR="00A45A1C" w:rsidRPr="00552352">
        <w:t xml:space="preserve"> acknowledged the differences between Trial P260 (</w:t>
      </w:r>
      <w:proofErr w:type="spellStart"/>
      <w:r w:rsidR="00A45A1C" w:rsidRPr="00552352">
        <w:t>sitagliptin</w:t>
      </w:r>
      <w:proofErr w:type="spellEnd"/>
      <w:r w:rsidR="00A45A1C" w:rsidRPr="00552352">
        <w:t>) and Wilding 2012 (</w:t>
      </w:r>
      <w:proofErr w:type="spellStart"/>
      <w:r w:rsidR="00A45A1C" w:rsidRPr="00552352">
        <w:t>dapagliflozin</w:t>
      </w:r>
      <w:proofErr w:type="spellEnd"/>
      <w:r w:rsidR="00A45A1C" w:rsidRPr="00552352">
        <w:t xml:space="preserve">), but reiterated that patients treated with </w:t>
      </w:r>
      <w:proofErr w:type="spellStart"/>
      <w:r w:rsidR="00A45A1C" w:rsidRPr="00552352">
        <w:t>sitagliptin</w:t>
      </w:r>
      <w:proofErr w:type="spellEnd"/>
      <w:r w:rsidR="00A45A1C" w:rsidRPr="00552352">
        <w:t xml:space="preserve"> and </w:t>
      </w:r>
      <w:proofErr w:type="spellStart"/>
      <w:r w:rsidR="00A45A1C" w:rsidRPr="00552352">
        <w:t>dapaglifozin</w:t>
      </w:r>
      <w:proofErr w:type="spellEnd"/>
      <w:r w:rsidR="00A45A1C" w:rsidRPr="00552352">
        <w:t xml:space="preserve"> demonstrated smaller changes in daily insulin dose over the course of the trials compared to placebo (-4.7 vs. -6.82 IU/day). Furthermore, the PSCR argued that as trial P260 was designed as an insulin sparing trial, the data provided robust estimates of the insulin sparing effect of </w:t>
      </w:r>
      <w:proofErr w:type="spellStart"/>
      <w:r w:rsidR="00A45A1C" w:rsidRPr="00552352">
        <w:t>sitagliptin</w:t>
      </w:r>
      <w:proofErr w:type="spellEnd"/>
      <w:r w:rsidR="00A45A1C" w:rsidRPr="00552352">
        <w:t xml:space="preserve">. The ESC noted that this was reasonable for the comparison against placebo but was not comparable to </w:t>
      </w:r>
      <w:proofErr w:type="spellStart"/>
      <w:r w:rsidR="00A45A1C" w:rsidRPr="00552352">
        <w:t>dapagliflozin</w:t>
      </w:r>
      <w:proofErr w:type="spellEnd"/>
      <w:r w:rsidR="00A45A1C" w:rsidRPr="00552352">
        <w:t>.</w:t>
      </w:r>
    </w:p>
    <w:p w:rsidR="00792E89" w:rsidRPr="00792E89" w:rsidRDefault="00792E89" w:rsidP="00831310">
      <w:pPr>
        <w:pStyle w:val="ListParagraph"/>
        <w:widowControl/>
        <w:rPr>
          <w:szCs w:val="22"/>
        </w:rPr>
      </w:pPr>
    </w:p>
    <w:p w:rsidR="00792E89" w:rsidRPr="00A45A1C" w:rsidRDefault="00792E89" w:rsidP="00831310">
      <w:pPr>
        <w:pStyle w:val="ListParagraph"/>
        <w:widowControl/>
        <w:numPr>
          <w:ilvl w:val="1"/>
          <w:numId w:val="8"/>
        </w:numPr>
        <w:rPr>
          <w:szCs w:val="22"/>
        </w:rPr>
      </w:pPr>
      <w:r>
        <w:t xml:space="preserve">The </w:t>
      </w:r>
      <w:r w:rsidR="00427FA0">
        <w:t>p</w:t>
      </w:r>
      <w:r>
        <w:t xml:space="preserve">re-PBAC </w:t>
      </w:r>
      <w:r w:rsidR="00427FA0">
        <w:t>r</w:t>
      </w:r>
      <w:r>
        <w:t xml:space="preserve">esponse stated that </w:t>
      </w:r>
      <w:r w:rsidR="00C35AC0">
        <w:t>“</w:t>
      </w:r>
      <w:r>
        <w:t xml:space="preserve">it could reasonably be inferred that </w:t>
      </w:r>
      <w:proofErr w:type="spellStart"/>
      <w:r>
        <w:t>sitagliptin</w:t>
      </w:r>
      <w:proofErr w:type="spellEnd"/>
      <w:r>
        <w:t xml:space="preserve"> would result in insulin up-titration avoided of between 26.5IU and 28.2IU (as established in the </w:t>
      </w:r>
      <w:proofErr w:type="spellStart"/>
      <w:r>
        <w:t>dapagliflozin</w:t>
      </w:r>
      <w:proofErr w:type="spellEnd"/>
      <w:r>
        <w:t xml:space="preserve"> insulin submission reviewed by PBAC November 2014 – </w:t>
      </w:r>
      <w:proofErr w:type="spellStart"/>
      <w:r>
        <w:t>dapagliflozin</w:t>
      </w:r>
      <w:proofErr w:type="spellEnd"/>
      <w:r>
        <w:t xml:space="preserve"> PSD paragraph </w:t>
      </w:r>
      <w:r w:rsidR="00DE45BD">
        <w:t>7.5</w:t>
      </w:r>
      <w:r>
        <w:t>)</w:t>
      </w:r>
      <w:r w:rsidR="00C35AC0">
        <w:t>”</w:t>
      </w:r>
      <w:r>
        <w:t>.</w:t>
      </w:r>
      <w:r w:rsidR="00C35AC0">
        <w:t xml:space="preserve"> The response based this argument on the therapeutic relativity between </w:t>
      </w:r>
      <w:proofErr w:type="spellStart"/>
      <w:r w:rsidR="00C35AC0">
        <w:t>sitagliptin</w:t>
      </w:r>
      <w:proofErr w:type="spellEnd"/>
      <w:r w:rsidR="00C35AC0">
        <w:t xml:space="preserve"> and </w:t>
      </w:r>
      <w:proofErr w:type="spellStart"/>
      <w:r w:rsidR="00C35AC0">
        <w:t>dapagliflozin</w:t>
      </w:r>
      <w:proofErr w:type="spellEnd"/>
      <w:r w:rsidR="00C35AC0">
        <w:t xml:space="preserve"> </w:t>
      </w:r>
      <w:r w:rsidR="009E7AF9">
        <w:t>accepted</w:t>
      </w:r>
      <w:r w:rsidR="00C35AC0">
        <w:t xml:space="preserve"> by the PBAC for dual oral therapy in terms of reduction in HbA1c.</w:t>
      </w:r>
    </w:p>
    <w:p w:rsidR="00B60939" w:rsidRDefault="00B60939" w:rsidP="00831310">
      <w:pPr>
        <w:widowControl/>
        <w:rPr>
          <w:szCs w:val="22"/>
        </w:rPr>
      </w:pPr>
    </w:p>
    <w:p w:rsidR="00434431" w:rsidRPr="00434431" w:rsidRDefault="00434431" w:rsidP="00831310">
      <w:pPr>
        <w:pStyle w:val="ListParagraph"/>
        <w:widowControl/>
        <w:ind w:left="709"/>
        <w:rPr>
          <w:i/>
          <w:szCs w:val="22"/>
        </w:rPr>
      </w:pPr>
      <w:r w:rsidRPr="004B1F3E">
        <w:rPr>
          <w:i/>
          <w:szCs w:val="22"/>
        </w:rPr>
        <w:t>For more detail on PBAC’s view, see section 7 “PBAC outcome”</w:t>
      </w:r>
    </w:p>
    <w:p w:rsidR="00434431" w:rsidRPr="00882085" w:rsidRDefault="00434431" w:rsidP="00831310">
      <w:pPr>
        <w:widowControl/>
        <w:rPr>
          <w:szCs w:val="22"/>
        </w:rPr>
      </w:pPr>
    </w:p>
    <w:p w:rsidR="00B60939" w:rsidRPr="002C2775" w:rsidRDefault="00B60939" w:rsidP="00831310">
      <w:pPr>
        <w:pStyle w:val="Heading2"/>
        <w:keepNext/>
        <w:widowControl/>
        <w:rPr>
          <w:i/>
        </w:rPr>
      </w:pPr>
      <w:bookmarkStart w:id="8" w:name="_Toc419661306"/>
      <w:r w:rsidRPr="002C2775">
        <w:rPr>
          <w:i/>
        </w:rPr>
        <w:lastRenderedPageBreak/>
        <w:t>Comparative effectiveness</w:t>
      </w:r>
      <w:bookmarkEnd w:id="8"/>
    </w:p>
    <w:p w:rsidR="00B60939" w:rsidRPr="00882085" w:rsidRDefault="00B60939" w:rsidP="00831310">
      <w:pPr>
        <w:keepNext/>
        <w:widowControl/>
        <w:rPr>
          <w:szCs w:val="22"/>
        </w:rPr>
      </w:pPr>
    </w:p>
    <w:p w:rsidR="007F1017" w:rsidRPr="00B65B6B" w:rsidRDefault="00BD68FC" w:rsidP="00831310">
      <w:pPr>
        <w:keepNext/>
        <w:widowControl/>
        <w:ind w:firstLine="720"/>
        <w:rPr>
          <w:rFonts w:ascii="Arial Narrow" w:hAnsi="Arial Narrow"/>
          <w:b/>
          <w:sz w:val="20"/>
          <w:szCs w:val="16"/>
        </w:rPr>
      </w:pPr>
      <w:r>
        <w:rPr>
          <w:rStyle w:val="CommentReference"/>
        </w:rPr>
        <w:t xml:space="preserve">Table 4: </w:t>
      </w:r>
      <w:r w:rsidR="00B65B6B">
        <w:rPr>
          <w:rStyle w:val="CommentReference"/>
        </w:rPr>
        <w:t>Mean</w:t>
      </w:r>
      <w:r w:rsidR="00B65B6B" w:rsidRPr="00F17581">
        <w:rPr>
          <w:rStyle w:val="CommentReference"/>
        </w:rPr>
        <w:t xml:space="preserve"> change in HbA1c from baseline </w:t>
      </w:r>
      <w:r w:rsidR="00B65B6B" w:rsidRPr="00F17581">
        <w:rPr>
          <w:rFonts w:ascii="Arial Narrow" w:hAnsi="Arial Narrow"/>
          <w:b/>
          <w:sz w:val="20"/>
        </w:rPr>
        <w:t>to end point</w:t>
      </w:r>
      <w:r w:rsidR="00B65B6B">
        <w:rPr>
          <w:rFonts w:ascii="Arial Narrow" w:hAnsi="Arial Narrow"/>
          <w:b/>
          <w:sz w:val="20"/>
        </w:rPr>
        <w:t>, indirect comparison between treatments</w:t>
      </w:r>
      <w:r w:rsidR="007F1017" w:rsidRPr="001F7361">
        <w:rPr>
          <w:rStyle w:val="CommentReference"/>
        </w:rPr>
        <w:t xml:space="preserve"> </w:t>
      </w:r>
    </w:p>
    <w:tbl>
      <w:tblPr>
        <w:tblStyle w:val="TableGrid"/>
        <w:tblW w:w="0" w:type="auto"/>
        <w:tblInd w:w="817" w:type="dxa"/>
        <w:tblLook w:val="04A0" w:firstRow="1" w:lastRow="0" w:firstColumn="1" w:lastColumn="0" w:noHBand="0" w:noVBand="1"/>
        <w:tblCaption w:val="Table 4: Mean change in HbA1c from baseline to end point, indirect comparison between treatments "/>
        <w:tblDescription w:val="The table shows the results of the mean change in HbA1c from baseline to end point, indirect comparison between treatments "/>
      </w:tblPr>
      <w:tblGrid>
        <w:gridCol w:w="1276"/>
        <w:gridCol w:w="879"/>
        <w:gridCol w:w="1134"/>
        <w:gridCol w:w="1134"/>
        <w:gridCol w:w="1956"/>
        <w:gridCol w:w="1984"/>
      </w:tblGrid>
      <w:tr w:rsidR="00301704" w:rsidTr="00856F99">
        <w:trPr>
          <w:trHeight w:val="351"/>
          <w:tblHeader/>
        </w:trPr>
        <w:tc>
          <w:tcPr>
            <w:tcW w:w="2155" w:type="dxa"/>
            <w:gridSpan w:val="2"/>
            <w:vAlign w:val="bottom"/>
          </w:tcPr>
          <w:p w:rsidR="00301704" w:rsidRPr="00287E55" w:rsidRDefault="00301704" w:rsidP="00831310">
            <w:pPr>
              <w:keepNext/>
              <w:keepLines/>
              <w:widowControl/>
              <w:ind w:left="-80"/>
              <w:jc w:val="left"/>
              <w:rPr>
                <w:rFonts w:ascii="Arial Narrow" w:hAnsi="Arial Narrow"/>
                <w:b/>
                <w:sz w:val="20"/>
              </w:rPr>
            </w:pPr>
            <w:r w:rsidRPr="00287E55">
              <w:rPr>
                <w:rFonts w:ascii="Arial Narrow" w:hAnsi="Arial Narrow"/>
                <w:b/>
                <w:sz w:val="20"/>
              </w:rPr>
              <w:t>Treatment group</w:t>
            </w:r>
          </w:p>
        </w:tc>
        <w:tc>
          <w:tcPr>
            <w:tcW w:w="1134" w:type="dxa"/>
            <w:vAlign w:val="center"/>
          </w:tcPr>
          <w:p w:rsidR="00301704" w:rsidRPr="00287E55" w:rsidRDefault="00301704" w:rsidP="00831310">
            <w:pPr>
              <w:keepNext/>
              <w:keepLines/>
              <w:widowControl/>
              <w:jc w:val="center"/>
              <w:rPr>
                <w:rFonts w:ascii="Arial Narrow" w:hAnsi="Arial Narrow"/>
                <w:b/>
                <w:sz w:val="20"/>
              </w:rPr>
            </w:pPr>
            <w:r w:rsidRPr="00287E55">
              <w:rPr>
                <w:rFonts w:ascii="Arial Narrow" w:hAnsi="Arial Narrow"/>
                <w:b/>
                <w:sz w:val="20"/>
              </w:rPr>
              <w:t>Baseline</w:t>
            </w:r>
            <w:r>
              <w:rPr>
                <w:rFonts w:ascii="Arial Narrow" w:hAnsi="Arial Narrow"/>
                <w:b/>
                <w:sz w:val="20"/>
              </w:rPr>
              <w:t xml:space="preserve"> HbA1c </w:t>
            </w:r>
          </w:p>
          <w:p w:rsidR="00301704" w:rsidRPr="00287E55" w:rsidRDefault="00301704" w:rsidP="00831310">
            <w:pPr>
              <w:keepNext/>
              <w:keepLines/>
              <w:widowControl/>
              <w:jc w:val="center"/>
              <w:rPr>
                <w:rFonts w:ascii="Arial Narrow" w:hAnsi="Arial Narrow"/>
                <w:b/>
                <w:sz w:val="20"/>
              </w:rPr>
            </w:pPr>
            <w:r w:rsidRPr="00287E55">
              <w:rPr>
                <w:rFonts w:ascii="Arial Narrow" w:hAnsi="Arial Narrow"/>
                <w:b/>
                <w:sz w:val="20"/>
              </w:rPr>
              <w:t>Mean (SD)</w:t>
            </w:r>
          </w:p>
        </w:tc>
        <w:tc>
          <w:tcPr>
            <w:tcW w:w="1134" w:type="dxa"/>
            <w:vAlign w:val="center"/>
          </w:tcPr>
          <w:p w:rsidR="00301704" w:rsidRPr="00287E55" w:rsidRDefault="00301704" w:rsidP="00831310">
            <w:pPr>
              <w:keepNext/>
              <w:keepLines/>
              <w:widowControl/>
              <w:jc w:val="center"/>
              <w:rPr>
                <w:rFonts w:ascii="Arial Narrow" w:hAnsi="Arial Narrow"/>
                <w:b/>
                <w:sz w:val="20"/>
              </w:rPr>
            </w:pPr>
            <w:r w:rsidRPr="00287E55">
              <w:rPr>
                <w:rFonts w:ascii="Arial Narrow" w:hAnsi="Arial Narrow"/>
                <w:b/>
                <w:sz w:val="20"/>
              </w:rPr>
              <w:t>Week 24</w:t>
            </w:r>
            <w:r>
              <w:rPr>
                <w:rFonts w:ascii="Arial Narrow" w:hAnsi="Arial Narrow"/>
                <w:b/>
                <w:sz w:val="20"/>
              </w:rPr>
              <w:t xml:space="preserve"> HbA1c</w:t>
            </w:r>
          </w:p>
          <w:p w:rsidR="00301704" w:rsidRPr="00287E55" w:rsidRDefault="00301704" w:rsidP="00831310">
            <w:pPr>
              <w:keepNext/>
              <w:keepLines/>
              <w:widowControl/>
              <w:jc w:val="center"/>
              <w:rPr>
                <w:rFonts w:ascii="Arial Narrow" w:hAnsi="Arial Narrow"/>
                <w:b/>
                <w:sz w:val="20"/>
              </w:rPr>
            </w:pPr>
            <w:r w:rsidRPr="00287E55">
              <w:rPr>
                <w:rFonts w:ascii="Arial Narrow" w:hAnsi="Arial Narrow"/>
                <w:b/>
                <w:sz w:val="20"/>
              </w:rPr>
              <w:t>Mean (SD)</w:t>
            </w:r>
          </w:p>
        </w:tc>
        <w:tc>
          <w:tcPr>
            <w:tcW w:w="1956" w:type="dxa"/>
            <w:vAlign w:val="center"/>
          </w:tcPr>
          <w:p w:rsidR="00301704" w:rsidRDefault="00301704" w:rsidP="00831310">
            <w:pPr>
              <w:keepNext/>
              <w:keepLines/>
              <w:widowControl/>
              <w:ind w:left="-65" w:right="-66"/>
              <w:jc w:val="center"/>
              <w:rPr>
                <w:rFonts w:ascii="Arial Narrow" w:hAnsi="Arial Narrow"/>
                <w:b/>
                <w:sz w:val="20"/>
              </w:rPr>
            </w:pPr>
            <w:r>
              <w:rPr>
                <w:rFonts w:ascii="Arial Narrow" w:hAnsi="Arial Narrow"/>
                <w:b/>
                <w:sz w:val="20"/>
              </w:rPr>
              <w:t>LS m</w:t>
            </w:r>
            <w:r w:rsidRPr="00287E55">
              <w:rPr>
                <w:rFonts w:ascii="Arial Narrow" w:hAnsi="Arial Narrow"/>
                <w:b/>
                <w:sz w:val="20"/>
              </w:rPr>
              <w:t xml:space="preserve">ean </w:t>
            </w:r>
            <w:r>
              <w:rPr>
                <w:rFonts w:ascii="Arial Narrow" w:hAnsi="Arial Narrow"/>
                <w:b/>
                <w:sz w:val="20"/>
              </w:rPr>
              <w:t>c</w:t>
            </w:r>
            <w:r w:rsidRPr="00287E55">
              <w:rPr>
                <w:rFonts w:ascii="Arial Narrow" w:hAnsi="Arial Narrow"/>
                <w:b/>
                <w:sz w:val="20"/>
              </w:rPr>
              <w:t>hange from baseline</w:t>
            </w:r>
            <w:r>
              <w:rPr>
                <w:rFonts w:ascii="Arial Narrow" w:hAnsi="Arial Narrow"/>
                <w:b/>
                <w:sz w:val="20"/>
              </w:rPr>
              <w:t xml:space="preserve"> HbA1c</w:t>
            </w:r>
          </w:p>
          <w:p w:rsidR="00301704" w:rsidRPr="00287E55" w:rsidRDefault="00301704" w:rsidP="00831310">
            <w:pPr>
              <w:keepNext/>
              <w:keepLines/>
              <w:widowControl/>
              <w:ind w:left="-65" w:right="-66"/>
              <w:jc w:val="center"/>
              <w:rPr>
                <w:rFonts w:ascii="Arial Narrow" w:hAnsi="Arial Narrow"/>
                <w:b/>
                <w:sz w:val="20"/>
              </w:rPr>
            </w:pPr>
            <w:r w:rsidRPr="00287E55">
              <w:rPr>
                <w:rFonts w:ascii="Arial Narrow" w:hAnsi="Arial Narrow"/>
                <w:b/>
                <w:sz w:val="20"/>
              </w:rPr>
              <w:t>(95% CI)</w:t>
            </w:r>
          </w:p>
        </w:tc>
        <w:tc>
          <w:tcPr>
            <w:tcW w:w="1984" w:type="dxa"/>
            <w:vAlign w:val="center"/>
          </w:tcPr>
          <w:p w:rsidR="00301704" w:rsidRPr="00287E55" w:rsidRDefault="00301704" w:rsidP="00831310">
            <w:pPr>
              <w:keepNext/>
              <w:keepLines/>
              <w:widowControl/>
              <w:ind w:left="-65" w:right="-66"/>
              <w:jc w:val="center"/>
              <w:rPr>
                <w:rFonts w:ascii="Arial Narrow" w:hAnsi="Arial Narrow"/>
                <w:b/>
                <w:sz w:val="20"/>
              </w:rPr>
            </w:pPr>
            <w:r>
              <w:rPr>
                <w:rFonts w:ascii="Arial Narrow" w:hAnsi="Arial Narrow"/>
                <w:b/>
                <w:sz w:val="20"/>
              </w:rPr>
              <w:t>D</w:t>
            </w:r>
            <w:r w:rsidRPr="00287E55">
              <w:rPr>
                <w:rFonts w:ascii="Arial Narrow" w:hAnsi="Arial Narrow"/>
                <w:b/>
                <w:sz w:val="20"/>
              </w:rPr>
              <w:t xml:space="preserve">ifference in </w:t>
            </w:r>
            <w:r>
              <w:rPr>
                <w:rFonts w:ascii="Arial Narrow" w:hAnsi="Arial Narrow"/>
                <w:b/>
                <w:sz w:val="20"/>
              </w:rPr>
              <w:t xml:space="preserve">LS mean </w:t>
            </w:r>
            <w:r w:rsidRPr="00287E55">
              <w:rPr>
                <w:rFonts w:ascii="Arial Narrow" w:hAnsi="Arial Narrow"/>
                <w:b/>
                <w:sz w:val="20"/>
              </w:rPr>
              <w:t xml:space="preserve">change </w:t>
            </w:r>
            <w:r w:rsidR="00B65B6B">
              <w:rPr>
                <w:rFonts w:ascii="Arial Narrow" w:hAnsi="Arial Narrow"/>
                <w:b/>
                <w:sz w:val="20"/>
              </w:rPr>
              <w:t>in</w:t>
            </w:r>
            <w:r>
              <w:rPr>
                <w:rFonts w:ascii="Arial Narrow" w:hAnsi="Arial Narrow"/>
                <w:b/>
                <w:sz w:val="20"/>
              </w:rPr>
              <w:t xml:space="preserve"> HbA1c</w:t>
            </w:r>
          </w:p>
          <w:p w:rsidR="00301704" w:rsidRPr="00287E55" w:rsidRDefault="00301704" w:rsidP="00831310">
            <w:pPr>
              <w:keepNext/>
              <w:keepLines/>
              <w:widowControl/>
              <w:ind w:left="-65" w:right="-66"/>
              <w:jc w:val="center"/>
              <w:rPr>
                <w:rFonts w:ascii="Arial Narrow" w:hAnsi="Arial Narrow"/>
                <w:b/>
                <w:sz w:val="20"/>
              </w:rPr>
            </w:pPr>
            <w:r w:rsidRPr="00287E55">
              <w:rPr>
                <w:rFonts w:ascii="Arial Narrow" w:hAnsi="Arial Narrow"/>
                <w:b/>
                <w:sz w:val="20"/>
              </w:rPr>
              <w:t>(95% CI)</w:t>
            </w:r>
          </w:p>
        </w:tc>
      </w:tr>
      <w:tr w:rsidR="00301704" w:rsidTr="00B65B6B">
        <w:tc>
          <w:tcPr>
            <w:tcW w:w="8363" w:type="dxa"/>
            <w:gridSpan w:val="6"/>
          </w:tcPr>
          <w:p w:rsidR="00301704" w:rsidRPr="00287E55" w:rsidRDefault="00301704" w:rsidP="00831310">
            <w:pPr>
              <w:keepNext/>
              <w:widowControl/>
              <w:ind w:left="-80"/>
              <w:rPr>
                <w:rFonts w:ascii="Arial Narrow" w:hAnsi="Arial Narrow"/>
                <w:b/>
                <w:sz w:val="20"/>
              </w:rPr>
            </w:pPr>
            <w:r w:rsidRPr="00287E55">
              <w:rPr>
                <w:rFonts w:ascii="Arial Narrow" w:hAnsi="Arial Narrow"/>
                <w:b/>
                <w:sz w:val="20"/>
              </w:rPr>
              <w:t>P051 (primary outcome)</w:t>
            </w:r>
          </w:p>
        </w:tc>
      </w:tr>
      <w:tr w:rsidR="00301704" w:rsidTr="00B65B6B">
        <w:tc>
          <w:tcPr>
            <w:tcW w:w="2155" w:type="dxa"/>
            <w:gridSpan w:val="2"/>
          </w:tcPr>
          <w:p w:rsidR="00301704" w:rsidRPr="00287E55" w:rsidRDefault="00301704" w:rsidP="00831310">
            <w:pPr>
              <w:keepNext/>
              <w:widowControl/>
              <w:ind w:left="-80"/>
              <w:rPr>
                <w:rFonts w:ascii="Arial Narrow" w:hAnsi="Arial Narrow" w:cs="Times New Roman"/>
                <w:sz w:val="20"/>
              </w:rPr>
            </w:pPr>
            <w:proofErr w:type="spellStart"/>
            <w:r w:rsidRPr="00287E55">
              <w:rPr>
                <w:rFonts w:ascii="Arial Narrow" w:hAnsi="Arial Narrow" w:cs="Times New Roman"/>
                <w:sz w:val="20"/>
              </w:rPr>
              <w:t>Sitagliptin</w:t>
            </w:r>
            <w:proofErr w:type="spellEnd"/>
            <w:r w:rsidRPr="00287E55">
              <w:rPr>
                <w:rFonts w:ascii="Arial Narrow" w:hAnsi="Arial Narrow" w:cs="Times New Roman"/>
                <w:sz w:val="20"/>
              </w:rPr>
              <w:t xml:space="preserve"> 100mg (n=305)</w:t>
            </w:r>
          </w:p>
        </w:tc>
        <w:tc>
          <w:tcPr>
            <w:tcW w:w="1134" w:type="dxa"/>
            <w:vAlign w:val="center"/>
          </w:tcPr>
          <w:p w:rsidR="00301704" w:rsidRPr="00287E55" w:rsidRDefault="00301704" w:rsidP="00831310">
            <w:pPr>
              <w:keepNext/>
              <w:widowControl/>
              <w:jc w:val="center"/>
              <w:rPr>
                <w:rFonts w:ascii="Arial Narrow" w:hAnsi="Arial Narrow" w:cs="Times New Roman"/>
                <w:sz w:val="20"/>
              </w:rPr>
            </w:pPr>
            <w:r>
              <w:rPr>
                <w:rFonts w:ascii="Arial Narrow" w:hAnsi="Arial Narrow" w:cs="Times New Roman"/>
                <w:sz w:val="20"/>
              </w:rPr>
              <w:t>8.72 (0.88)</w:t>
            </w:r>
          </w:p>
        </w:tc>
        <w:tc>
          <w:tcPr>
            <w:tcW w:w="1134" w:type="dxa"/>
            <w:vAlign w:val="center"/>
          </w:tcPr>
          <w:p w:rsidR="00301704" w:rsidRPr="00287E55" w:rsidRDefault="00301704" w:rsidP="00831310">
            <w:pPr>
              <w:keepNext/>
              <w:widowControl/>
              <w:jc w:val="center"/>
              <w:rPr>
                <w:rFonts w:ascii="Arial Narrow" w:hAnsi="Arial Narrow" w:cs="Times New Roman"/>
                <w:sz w:val="20"/>
              </w:rPr>
            </w:pPr>
            <w:r>
              <w:rPr>
                <w:rFonts w:ascii="Arial Narrow" w:hAnsi="Arial Narrow" w:cs="Times New Roman"/>
                <w:sz w:val="20"/>
              </w:rPr>
              <w:t>8.07 (1.04)</w:t>
            </w:r>
          </w:p>
        </w:tc>
        <w:tc>
          <w:tcPr>
            <w:tcW w:w="1956" w:type="dxa"/>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sz w:val="20"/>
              </w:rPr>
              <w:t>-0.</w:t>
            </w:r>
            <w:r w:rsidRPr="00287E55">
              <w:rPr>
                <w:rFonts w:ascii="Arial Narrow" w:hAnsi="Arial Narrow"/>
                <w:bCs/>
                <w:sz w:val="20"/>
              </w:rPr>
              <w:t>59</w:t>
            </w:r>
            <w:r w:rsidRPr="00287E55">
              <w:rPr>
                <w:rFonts w:ascii="Arial Narrow" w:hAnsi="Arial Narrow"/>
                <w:sz w:val="20"/>
              </w:rPr>
              <w:t xml:space="preserve"> (-0.7, -0.</w:t>
            </w:r>
            <w:r w:rsidRPr="00287E55">
              <w:rPr>
                <w:rFonts w:ascii="Arial Narrow" w:hAnsi="Arial Narrow"/>
                <w:bCs/>
                <w:sz w:val="20"/>
              </w:rPr>
              <w:t>48</w:t>
            </w:r>
            <w:r w:rsidRPr="00287E55">
              <w:rPr>
                <w:rFonts w:ascii="Arial Narrow" w:hAnsi="Arial Narrow"/>
                <w:sz w:val="20"/>
              </w:rPr>
              <w:t>)</w:t>
            </w:r>
          </w:p>
        </w:tc>
        <w:tc>
          <w:tcPr>
            <w:tcW w:w="1984" w:type="dxa"/>
            <w:vMerge w:val="restart"/>
            <w:vAlign w:val="center"/>
          </w:tcPr>
          <w:p w:rsidR="00301704" w:rsidRPr="00DF566F" w:rsidRDefault="00301704" w:rsidP="00831310">
            <w:pPr>
              <w:keepNext/>
              <w:widowControl/>
              <w:tabs>
                <w:tab w:val="left" w:pos="416"/>
                <w:tab w:val="left" w:pos="582"/>
              </w:tabs>
              <w:spacing w:before="40" w:after="20"/>
              <w:jc w:val="center"/>
              <w:rPr>
                <w:rFonts w:ascii="Arial Narrow" w:hAnsi="Arial Narrow" w:cs="Times New Roman"/>
                <w:b/>
                <w:sz w:val="20"/>
              </w:rPr>
            </w:pPr>
            <w:r w:rsidRPr="00DF566F">
              <w:rPr>
                <w:rFonts w:ascii="Arial Narrow" w:hAnsi="Arial Narrow"/>
                <w:b/>
                <w:sz w:val="20"/>
              </w:rPr>
              <w:t>-0.</w:t>
            </w:r>
            <w:r w:rsidRPr="00DF566F">
              <w:rPr>
                <w:rFonts w:ascii="Arial Narrow" w:hAnsi="Arial Narrow"/>
                <w:b/>
                <w:bCs/>
                <w:sz w:val="20"/>
              </w:rPr>
              <w:t>56</w:t>
            </w:r>
            <w:r w:rsidRPr="00DF566F">
              <w:rPr>
                <w:rFonts w:ascii="Arial Narrow" w:hAnsi="Arial Narrow"/>
                <w:b/>
                <w:sz w:val="20"/>
              </w:rPr>
              <w:t xml:space="preserve"> (-0.7, -0.</w:t>
            </w:r>
            <w:r w:rsidRPr="00DF566F">
              <w:rPr>
                <w:rFonts w:ascii="Arial Narrow" w:hAnsi="Arial Narrow"/>
                <w:b/>
                <w:bCs/>
                <w:sz w:val="20"/>
              </w:rPr>
              <w:t>42</w:t>
            </w:r>
            <w:r w:rsidRPr="00DF566F">
              <w:rPr>
                <w:rFonts w:ascii="Arial Narrow" w:hAnsi="Arial Narrow"/>
                <w:b/>
                <w:sz w:val="20"/>
              </w:rPr>
              <w:t xml:space="preserve">) </w:t>
            </w:r>
          </w:p>
        </w:tc>
      </w:tr>
      <w:tr w:rsidR="00301704" w:rsidTr="00B65B6B">
        <w:tc>
          <w:tcPr>
            <w:tcW w:w="2155" w:type="dxa"/>
            <w:gridSpan w:val="2"/>
          </w:tcPr>
          <w:p w:rsidR="00301704" w:rsidRPr="00287E55" w:rsidRDefault="00301704" w:rsidP="00831310">
            <w:pPr>
              <w:keepNext/>
              <w:widowControl/>
              <w:ind w:left="-80"/>
              <w:rPr>
                <w:rFonts w:ascii="Arial Narrow" w:hAnsi="Arial Narrow" w:cs="Times New Roman"/>
                <w:sz w:val="20"/>
              </w:rPr>
            </w:pPr>
            <w:r w:rsidRPr="00287E55">
              <w:rPr>
                <w:rFonts w:ascii="Arial Narrow" w:hAnsi="Arial Narrow" w:cs="Times New Roman"/>
                <w:sz w:val="20"/>
              </w:rPr>
              <w:t>Placebo (n=312)</w:t>
            </w:r>
          </w:p>
        </w:tc>
        <w:tc>
          <w:tcPr>
            <w:tcW w:w="1134" w:type="dxa"/>
            <w:vAlign w:val="center"/>
          </w:tcPr>
          <w:p w:rsidR="00301704" w:rsidRPr="00287E55" w:rsidRDefault="00301704" w:rsidP="00831310">
            <w:pPr>
              <w:keepNext/>
              <w:widowControl/>
              <w:jc w:val="center"/>
              <w:rPr>
                <w:rFonts w:ascii="Arial Narrow" w:hAnsi="Arial Narrow" w:cs="Times New Roman"/>
                <w:sz w:val="20"/>
              </w:rPr>
            </w:pPr>
            <w:r>
              <w:rPr>
                <w:rFonts w:ascii="Arial Narrow" w:hAnsi="Arial Narrow" w:cs="Times New Roman"/>
                <w:sz w:val="20"/>
              </w:rPr>
              <w:t>8.64 (0.95)</w:t>
            </w:r>
          </w:p>
        </w:tc>
        <w:tc>
          <w:tcPr>
            <w:tcW w:w="1134" w:type="dxa"/>
            <w:vAlign w:val="center"/>
          </w:tcPr>
          <w:p w:rsidR="00301704" w:rsidRPr="00287E55" w:rsidRDefault="00301704" w:rsidP="00831310">
            <w:pPr>
              <w:keepNext/>
              <w:widowControl/>
              <w:jc w:val="center"/>
              <w:rPr>
                <w:rFonts w:ascii="Arial Narrow" w:hAnsi="Arial Narrow" w:cs="Times New Roman"/>
                <w:sz w:val="20"/>
              </w:rPr>
            </w:pPr>
            <w:r>
              <w:rPr>
                <w:rFonts w:ascii="Arial Narrow" w:hAnsi="Arial Narrow" w:cs="Times New Roman"/>
                <w:sz w:val="20"/>
              </w:rPr>
              <w:t>8.58 (1.17)</w:t>
            </w:r>
          </w:p>
        </w:tc>
        <w:tc>
          <w:tcPr>
            <w:tcW w:w="1956" w:type="dxa"/>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bCs/>
                <w:sz w:val="20"/>
              </w:rPr>
              <w:t>-0.03 (-0.14,0.08)</w:t>
            </w:r>
          </w:p>
        </w:tc>
        <w:tc>
          <w:tcPr>
            <w:tcW w:w="1984" w:type="dxa"/>
            <w:vMerge/>
          </w:tcPr>
          <w:p w:rsidR="00301704" w:rsidRPr="00287E55" w:rsidRDefault="00301704" w:rsidP="00831310">
            <w:pPr>
              <w:keepNext/>
              <w:widowControl/>
              <w:rPr>
                <w:rFonts w:ascii="Arial Narrow" w:hAnsi="Arial Narrow" w:cs="Times New Roman"/>
                <w:sz w:val="20"/>
              </w:rPr>
            </w:pPr>
          </w:p>
        </w:tc>
      </w:tr>
      <w:tr w:rsidR="00301704" w:rsidTr="00B65B6B">
        <w:tc>
          <w:tcPr>
            <w:tcW w:w="8363" w:type="dxa"/>
            <w:gridSpan w:val="6"/>
          </w:tcPr>
          <w:p w:rsidR="00301704" w:rsidRPr="00287E55" w:rsidRDefault="00301704" w:rsidP="00831310">
            <w:pPr>
              <w:keepNext/>
              <w:widowControl/>
              <w:ind w:left="-80"/>
              <w:rPr>
                <w:rFonts w:ascii="Arial Narrow" w:hAnsi="Arial Narrow" w:cs="Times New Roman"/>
                <w:b/>
                <w:sz w:val="20"/>
              </w:rPr>
            </w:pPr>
            <w:r w:rsidRPr="00287E55">
              <w:rPr>
                <w:rFonts w:ascii="Arial Narrow" w:hAnsi="Arial Narrow" w:cs="Times New Roman"/>
                <w:b/>
                <w:sz w:val="20"/>
              </w:rPr>
              <w:t>P260 (secondary outcome)</w:t>
            </w:r>
          </w:p>
        </w:tc>
      </w:tr>
      <w:tr w:rsidR="00301704" w:rsidTr="00033A22">
        <w:tc>
          <w:tcPr>
            <w:tcW w:w="2155" w:type="dxa"/>
            <w:gridSpan w:val="2"/>
          </w:tcPr>
          <w:p w:rsidR="00301704" w:rsidRPr="00287E55" w:rsidRDefault="00301704" w:rsidP="00831310">
            <w:pPr>
              <w:keepNext/>
              <w:widowControl/>
              <w:ind w:left="-80"/>
              <w:rPr>
                <w:rFonts w:ascii="Arial Narrow" w:hAnsi="Arial Narrow" w:cs="Times New Roman"/>
                <w:sz w:val="20"/>
              </w:rPr>
            </w:pPr>
            <w:proofErr w:type="spellStart"/>
            <w:r w:rsidRPr="00287E55">
              <w:rPr>
                <w:rFonts w:ascii="Arial Narrow" w:hAnsi="Arial Narrow" w:cs="Times New Roman"/>
                <w:sz w:val="20"/>
              </w:rPr>
              <w:t>Sitagliptin</w:t>
            </w:r>
            <w:proofErr w:type="spellEnd"/>
            <w:r w:rsidRPr="00287E55">
              <w:rPr>
                <w:rFonts w:ascii="Arial Narrow" w:hAnsi="Arial Narrow" w:cs="Times New Roman"/>
                <w:sz w:val="20"/>
              </w:rPr>
              <w:t xml:space="preserve"> 100mg (n=329)</w:t>
            </w:r>
          </w:p>
        </w:tc>
        <w:tc>
          <w:tcPr>
            <w:tcW w:w="1134" w:type="dxa"/>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sz w:val="20"/>
              </w:rPr>
              <w:t>8.66 (0.98)</w:t>
            </w:r>
          </w:p>
        </w:tc>
        <w:tc>
          <w:tcPr>
            <w:tcW w:w="1134" w:type="dxa"/>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sz w:val="20"/>
              </w:rPr>
              <w:t>7.34 (1.08)</w:t>
            </w:r>
          </w:p>
        </w:tc>
        <w:tc>
          <w:tcPr>
            <w:tcW w:w="1956" w:type="dxa"/>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sz w:val="20"/>
              </w:rPr>
              <w:t>-1.31 (-1.43, -1.20)</w:t>
            </w:r>
          </w:p>
        </w:tc>
        <w:tc>
          <w:tcPr>
            <w:tcW w:w="1984" w:type="dxa"/>
            <w:vMerge w:val="restart"/>
            <w:vAlign w:val="center"/>
          </w:tcPr>
          <w:p w:rsidR="00301704" w:rsidRPr="00DF566F" w:rsidRDefault="00301704" w:rsidP="00831310">
            <w:pPr>
              <w:keepNext/>
              <w:widowControl/>
              <w:tabs>
                <w:tab w:val="left" w:pos="416"/>
                <w:tab w:val="left" w:pos="582"/>
              </w:tabs>
              <w:spacing w:before="40" w:after="20"/>
              <w:jc w:val="center"/>
              <w:rPr>
                <w:rFonts w:ascii="Arial Narrow" w:hAnsi="Arial Narrow" w:cs="Times New Roman"/>
                <w:b/>
                <w:sz w:val="20"/>
              </w:rPr>
            </w:pPr>
            <w:r w:rsidRPr="00DF566F">
              <w:rPr>
                <w:rFonts w:ascii="Arial Narrow" w:hAnsi="Arial Narrow"/>
                <w:b/>
                <w:sz w:val="20"/>
              </w:rPr>
              <w:t>-0.45 (-0.60, -0.29)</w:t>
            </w:r>
          </w:p>
        </w:tc>
      </w:tr>
      <w:tr w:rsidR="00301704" w:rsidTr="00B65B6B">
        <w:tc>
          <w:tcPr>
            <w:tcW w:w="2155" w:type="dxa"/>
            <w:gridSpan w:val="2"/>
          </w:tcPr>
          <w:p w:rsidR="00301704" w:rsidRPr="00287E55" w:rsidRDefault="00301704" w:rsidP="00831310">
            <w:pPr>
              <w:keepNext/>
              <w:widowControl/>
              <w:ind w:left="-80"/>
              <w:rPr>
                <w:rFonts w:ascii="Arial Narrow" w:hAnsi="Arial Narrow" w:cs="Times New Roman"/>
                <w:sz w:val="20"/>
              </w:rPr>
            </w:pPr>
            <w:r w:rsidRPr="00287E55">
              <w:rPr>
                <w:rFonts w:ascii="Arial Narrow" w:hAnsi="Arial Narrow" w:cs="Times New Roman"/>
                <w:sz w:val="20"/>
              </w:rPr>
              <w:t>Placebo (n=329)</w:t>
            </w:r>
          </w:p>
        </w:tc>
        <w:tc>
          <w:tcPr>
            <w:tcW w:w="1134" w:type="dxa"/>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sz w:val="20"/>
              </w:rPr>
              <w:t>8.81 (1.03)</w:t>
            </w:r>
          </w:p>
        </w:tc>
        <w:tc>
          <w:tcPr>
            <w:tcW w:w="1134" w:type="dxa"/>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sz w:val="20"/>
              </w:rPr>
              <w:t xml:space="preserve">7.90 (1.21) </w:t>
            </w:r>
          </w:p>
        </w:tc>
        <w:tc>
          <w:tcPr>
            <w:tcW w:w="1956" w:type="dxa"/>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sz w:val="20"/>
              </w:rPr>
              <w:t>-0.87 (-0.98, -0.75)</w:t>
            </w:r>
          </w:p>
        </w:tc>
        <w:tc>
          <w:tcPr>
            <w:tcW w:w="1984" w:type="dxa"/>
            <w:vMerge/>
          </w:tcPr>
          <w:p w:rsidR="00301704" w:rsidRPr="00287E55" w:rsidRDefault="00301704" w:rsidP="00831310">
            <w:pPr>
              <w:keepNext/>
              <w:widowControl/>
              <w:rPr>
                <w:rFonts w:ascii="Arial Narrow" w:hAnsi="Arial Narrow" w:cs="Times New Roman"/>
                <w:sz w:val="20"/>
              </w:rPr>
            </w:pPr>
          </w:p>
        </w:tc>
      </w:tr>
      <w:tr w:rsidR="00301704" w:rsidTr="00B65B6B">
        <w:tc>
          <w:tcPr>
            <w:tcW w:w="8363" w:type="dxa"/>
            <w:gridSpan w:val="6"/>
          </w:tcPr>
          <w:p w:rsidR="00301704" w:rsidRPr="00287E55" w:rsidRDefault="00301704" w:rsidP="00831310">
            <w:pPr>
              <w:keepNext/>
              <w:widowControl/>
              <w:ind w:left="-80"/>
              <w:rPr>
                <w:rFonts w:ascii="Arial Narrow" w:hAnsi="Arial Narrow" w:cs="Times New Roman"/>
                <w:b/>
                <w:sz w:val="20"/>
              </w:rPr>
            </w:pPr>
            <w:r w:rsidRPr="00287E55">
              <w:rPr>
                <w:rFonts w:ascii="Arial Narrow" w:hAnsi="Arial Narrow" w:cs="Times New Roman"/>
                <w:b/>
                <w:sz w:val="20"/>
              </w:rPr>
              <w:t>Wilding 2012 (primary outcome)</w:t>
            </w:r>
          </w:p>
        </w:tc>
      </w:tr>
      <w:tr w:rsidR="00301704" w:rsidTr="00B65B6B">
        <w:tc>
          <w:tcPr>
            <w:tcW w:w="2155" w:type="dxa"/>
            <w:gridSpan w:val="2"/>
            <w:tcBorders>
              <w:bottom w:val="single" w:sz="4" w:space="0" w:color="auto"/>
            </w:tcBorders>
          </w:tcPr>
          <w:p w:rsidR="00301704" w:rsidRPr="00287E55" w:rsidRDefault="00301704" w:rsidP="00831310">
            <w:pPr>
              <w:keepNext/>
              <w:widowControl/>
              <w:ind w:left="-80"/>
              <w:rPr>
                <w:rFonts w:ascii="Arial Narrow" w:hAnsi="Arial Narrow" w:cs="Times New Roman"/>
                <w:sz w:val="20"/>
              </w:rPr>
            </w:pPr>
            <w:proofErr w:type="spellStart"/>
            <w:r w:rsidRPr="00287E55">
              <w:rPr>
                <w:rFonts w:ascii="Arial Narrow" w:hAnsi="Arial Narrow" w:cs="Times New Roman"/>
                <w:sz w:val="20"/>
              </w:rPr>
              <w:t>Dapagliflozin</w:t>
            </w:r>
            <w:proofErr w:type="spellEnd"/>
            <w:r w:rsidRPr="00287E55">
              <w:rPr>
                <w:rFonts w:ascii="Arial Narrow" w:hAnsi="Arial Narrow" w:cs="Times New Roman"/>
                <w:sz w:val="20"/>
              </w:rPr>
              <w:t xml:space="preserve"> 10mg (n=173)</w:t>
            </w:r>
          </w:p>
        </w:tc>
        <w:tc>
          <w:tcPr>
            <w:tcW w:w="1134" w:type="dxa"/>
            <w:tcBorders>
              <w:bottom w:val="single" w:sz="4" w:space="0" w:color="auto"/>
            </w:tcBorders>
            <w:vAlign w:val="center"/>
          </w:tcPr>
          <w:p w:rsidR="00301704" w:rsidRPr="00287E55" w:rsidRDefault="00301704" w:rsidP="00831310">
            <w:pPr>
              <w:keepNext/>
              <w:widowControl/>
              <w:jc w:val="center"/>
              <w:rPr>
                <w:rFonts w:ascii="Arial Narrow" w:hAnsi="Arial Narrow" w:cs="Times New Roman"/>
                <w:sz w:val="20"/>
              </w:rPr>
            </w:pPr>
            <w:r>
              <w:rPr>
                <w:rFonts w:ascii="Arial Narrow" w:hAnsi="Arial Narrow" w:cs="Times New Roman"/>
                <w:sz w:val="20"/>
              </w:rPr>
              <w:t>8.57 (0.82)</w:t>
            </w:r>
          </w:p>
        </w:tc>
        <w:tc>
          <w:tcPr>
            <w:tcW w:w="1134" w:type="dxa"/>
            <w:tcBorders>
              <w:bottom w:val="single" w:sz="4" w:space="0" w:color="auto"/>
            </w:tcBorders>
            <w:vAlign w:val="center"/>
          </w:tcPr>
          <w:p w:rsidR="00301704" w:rsidRPr="00287E55" w:rsidRDefault="00301704" w:rsidP="00831310">
            <w:pPr>
              <w:keepNext/>
              <w:widowControl/>
              <w:jc w:val="center"/>
              <w:rPr>
                <w:rFonts w:ascii="Arial Narrow" w:hAnsi="Arial Narrow" w:cs="Times New Roman"/>
                <w:sz w:val="20"/>
              </w:rPr>
            </w:pPr>
            <w:r>
              <w:rPr>
                <w:rFonts w:ascii="Arial Narrow" w:hAnsi="Arial Narrow" w:cs="Times New Roman"/>
                <w:sz w:val="20"/>
              </w:rPr>
              <w:t>NR</w:t>
            </w:r>
          </w:p>
        </w:tc>
        <w:tc>
          <w:tcPr>
            <w:tcW w:w="1956" w:type="dxa"/>
            <w:tcBorders>
              <w:bottom w:val="single" w:sz="4" w:space="0" w:color="auto"/>
            </w:tcBorders>
            <w:vAlign w:val="center"/>
          </w:tcPr>
          <w:p w:rsidR="00301704" w:rsidRPr="00287E55" w:rsidRDefault="00301704" w:rsidP="00831310">
            <w:pPr>
              <w:keepNext/>
              <w:widowControl/>
              <w:jc w:val="center"/>
              <w:rPr>
                <w:rFonts w:ascii="Arial Narrow" w:hAnsi="Arial Narrow" w:cs="Times New Roman"/>
                <w:sz w:val="20"/>
              </w:rPr>
            </w:pPr>
            <w:r w:rsidRPr="00287E55">
              <w:rPr>
                <w:rFonts w:ascii="Arial Narrow" w:hAnsi="Arial Narrow" w:cs="Times New Roman"/>
                <w:sz w:val="20"/>
              </w:rPr>
              <w:t>-0.96</w:t>
            </w:r>
            <w:r>
              <w:rPr>
                <w:rFonts w:ascii="Arial Narrow" w:hAnsi="Arial Narrow" w:cs="Times New Roman"/>
                <w:sz w:val="20"/>
              </w:rPr>
              <w:t xml:space="preserve"> (NR)</w:t>
            </w:r>
          </w:p>
        </w:tc>
        <w:tc>
          <w:tcPr>
            <w:tcW w:w="1984" w:type="dxa"/>
            <w:vMerge w:val="restart"/>
            <w:tcBorders>
              <w:bottom w:val="double" w:sz="4" w:space="0" w:color="auto"/>
            </w:tcBorders>
            <w:vAlign w:val="center"/>
          </w:tcPr>
          <w:p w:rsidR="00301704" w:rsidRPr="00DF566F" w:rsidRDefault="00301704" w:rsidP="00831310">
            <w:pPr>
              <w:keepNext/>
              <w:widowControl/>
              <w:tabs>
                <w:tab w:val="left" w:pos="416"/>
                <w:tab w:val="left" w:pos="582"/>
              </w:tabs>
              <w:spacing w:before="40" w:after="20"/>
              <w:jc w:val="center"/>
              <w:rPr>
                <w:rFonts w:ascii="Arial Narrow" w:hAnsi="Arial Narrow" w:cs="Times New Roman"/>
                <w:b/>
                <w:sz w:val="20"/>
              </w:rPr>
            </w:pPr>
            <w:r w:rsidRPr="00DF566F">
              <w:rPr>
                <w:rFonts w:ascii="Arial Narrow" w:hAnsi="Arial Narrow" w:cs="Times New Roman"/>
                <w:b/>
                <w:sz w:val="20"/>
              </w:rPr>
              <w:t>-0.57 (-0.72, -0.42)</w:t>
            </w:r>
          </w:p>
        </w:tc>
      </w:tr>
      <w:tr w:rsidR="00301704" w:rsidTr="00B65B6B">
        <w:tc>
          <w:tcPr>
            <w:tcW w:w="2155" w:type="dxa"/>
            <w:gridSpan w:val="2"/>
            <w:tcBorders>
              <w:bottom w:val="double" w:sz="4" w:space="0" w:color="auto"/>
            </w:tcBorders>
          </w:tcPr>
          <w:p w:rsidR="00301704" w:rsidRPr="00F76611" w:rsidRDefault="00301704" w:rsidP="00831310">
            <w:pPr>
              <w:keepNext/>
              <w:widowControl/>
              <w:ind w:left="-80"/>
              <w:rPr>
                <w:rFonts w:ascii="Arial Narrow" w:hAnsi="Arial Narrow" w:cs="Times New Roman"/>
                <w:sz w:val="20"/>
              </w:rPr>
            </w:pPr>
            <w:r w:rsidRPr="00F76611">
              <w:rPr>
                <w:rFonts w:ascii="Arial Narrow" w:hAnsi="Arial Narrow" w:cs="Times New Roman"/>
                <w:sz w:val="20"/>
              </w:rPr>
              <w:t>Placebo</w:t>
            </w:r>
            <w:r>
              <w:rPr>
                <w:rFonts w:ascii="Arial Narrow" w:hAnsi="Arial Narrow" w:cs="Times New Roman"/>
                <w:sz w:val="20"/>
              </w:rPr>
              <w:t xml:space="preserve"> (n=166)</w:t>
            </w:r>
          </w:p>
        </w:tc>
        <w:tc>
          <w:tcPr>
            <w:tcW w:w="1134" w:type="dxa"/>
            <w:tcBorders>
              <w:bottom w:val="double" w:sz="4" w:space="0" w:color="auto"/>
            </w:tcBorders>
            <w:vAlign w:val="center"/>
          </w:tcPr>
          <w:p w:rsidR="00301704" w:rsidRPr="00F76611" w:rsidRDefault="00301704" w:rsidP="00831310">
            <w:pPr>
              <w:keepNext/>
              <w:widowControl/>
              <w:jc w:val="center"/>
              <w:rPr>
                <w:rFonts w:ascii="Arial Narrow" w:hAnsi="Arial Narrow" w:cs="Times New Roman"/>
                <w:sz w:val="20"/>
              </w:rPr>
            </w:pPr>
            <w:r>
              <w:rPr>
                <w:rFonts w:ascii="Arial Narrow" w:hAnsi="Arial Narrow" w:cs="Times New Roman"/>
                <w:sz w:val="20"/>
              </w:rPr>
              <w:t>8.47 (0.77)</w:t>
            </w:r>
          </w:p>
        </w:tc>
        <w:tc>
          <w:tcPr>
            <w:tcW w:w="1134" w:type="dxa"/>
            <w:tcBorders>
              <w:bottom w:val="double" w:sz="4" w:space="0" w:color="auto"/>
            </w:tcBorders>
            <w:vAlign w:val="center"/>
          </w:tcPr>
          <w:p w:rsidR="00301704" w:rsidRPr="00F76611" w:rsidRDefault="00301704" w:rsidP="00831310">
            <w:pPr>
              <w:keepNext/>
              <w:widowControl/>
              <w:jc w:val="center"/>
              <w:rPr>
                <w:rFonts w:ascii="Arial Narrow" w:hAnsi="Arial Narrow" w:cs="Times New Roman"/>
                <w:sz w:val="20"/>
              </w:rPr>
            </w:pPr>
            <w:r>
              <w:rPr>
                <w:rFonts w:ascii="Arial Narrow" w:hAnsi="Arial Narrow" w:cs="Times New Roman"/>
                <w:sz w:val="20"/>
              </w:rPr>
              <w:t>NR</w:t>
            </w:r>
          </w:p>
        </w:tc>
        <w:tc>
          <w:tcPr>
            <w:tcW w:w="1956" w:type="dxa"/>
            <w:tcBorders>
              <w:bottom w:val="double" w:sz="4" w:space="0" w:color="auto"/>
            </w:tcBorders>
            <w:vAlign w:val="center"/>
          </w:tcPr>
          <w:p w:rsidR="00301704" w:rsidRPr="00F76611" w:rsidRDefault="00301704" w:rsidP="00831310">
            <w:pPr>
              <w:keepNext/>
              <w:widowControl/>
              <w:jc w:val="center"/>
              <w:rPr>
                <w:rFonts w:ascii="Arial Narrow" w:hAnsi="Arial Narrow" w:cs="Times New Roman"/>
                <w:sz w:val="20"/>
              </w:rPr>
            </w:pPr>
            <w:r>
              <w:rPr>
                <w:rFonts w:ascii="Arial Narrow" w:hAnsi="Arial Narrow" w:cs="Times New Roman"/>
                <w:sz w:val="20"/>
              </w:rPr>
              <w:t>-0.39 (NR)</w:t>
            </w:r>
          </w:p>
        </w:tc>
        <w:tc>
          <w:tcPr>
            <w:tcW w:w="1984" w:type="dxa"/>
            <w:vMerge/>
            <w:tcBorders>
              <w:bottom w:val="double" w:sz="4" w:space="0" w:color="auto"/>
            </w:tcBorders>
          </w:tcPr>
          <w:p w:rsidR="00301704" w:rsidRPr="00F76611" w:rsidRDefault="00301704" w:rsidP="00831310">
            <w:pPr>
              <w:keepNext/>
              <w:widowControl/>
              <w:rPr>
                <w:rFonts w:ascii="Arial Narrow" w:hAnsi="Arial Narrow" w:cs="Times New Roman"/>
                <w:sz w:val="20"/>
              </w:rPr>
            </w:pPr>
          </w:p>
        </w:tc>
      </w:tr>
      <w:tr w:rsidR="002C799B" w:rsidTr="00126326">
        <w:tc>
          <w:tcPr>
            <w:tcW w:w="1276" w:type="dxa"/>
            <w:vMerge w:val="restart"/>
            <w:tcBorders>
              <w:top w:val="double" w:sz="4" w:space="0" w:color="auto"/>
              <w:right w:val="nil"/>
            </w:tcBorders>
          </w:tcPr>
          <w:p w:rsidR="002C799B" w:rsidRPr="00DF566F" w:rsidRDefault="002C799B" w:rsidP="00831310">
            <w:pPr>
              <w:keepNext/>
              <w:widowControl/>
              <w:jc w:val="left"/>
              <w:rPr>
                <w:rFonts w:ascii="Arial Narrow" w:hAnsi="Arial Narrow" w:cs="Times New Roman"/>
                <w:b/>
                <w:sz w:val="20"/>
              </w:rPr>
            </w:pPr>
            <w:r w:rsidRPr="00DF566F">
              <w:rPr>
                <w:rFonts w:ascii="Arial Narrow" w:hAnsi="Arial Narrow" w:cs="Times New Roman"/>
                <w:b/>
                <w:sz w:val="20"/>
              </w:rPr>
              <w:t>Indirect comparisons</w:t>
            </w:r>
          </w:p>
        </w:tc>
        <w:tc>
          <w:tcPr>
            <w:tcW w:w="5103" w:type="dxa"/>
            <w:gridSpan w:val="4"/>
            <w:tcBorders>
              <w:top w:val="double" w:sz="4" w:space="0" w:color="auto"/>
              <w:left w:val="nil"/>
              <w:bottom w:val="nil"/>
            </w:tcBorders>
          </w:tcPr>
          <w:p w:rsidR="002C799B" w:rsidRDefault="002C799B" w:rsidP="00831310">
            <w:pPr>
              <w:keepNext/>
              <w:widowControl/>
              <w:jc w:val="right"/>
              <w:rPr>
                <w:rFonts w:ascii="Arial Narrow" w:hAnsi="Arial Narrow" w:cs="Times New Roman"/>
                <w:sz w:val="20"/>
              </w:rPr>
            </w:pPr>
            <w:proofErr w:type="spellStart"/>
            <w:r w:rsidRPr="00DF566F">
              <w:rPr>
                <w:rFonts w:ascii="Arial Narrow" w:hAnsi="Arial Narrow" w:cs="Times New Roman"/>
                <w:sz w:val="20"/>
              </w:rPr>
              <w:t>Sitagliptin</w:t>
            </w:r>
            <w:proofErr w:type="spellEnd"/>
            <w:r w:rsidRPr="00DF566F">
              <w:rPr>
                <w:rFonts w:ascii="Arial Narrow" w:hAnsi="Arial Narrow" w:cs="Times New Roman"/>
                <w:sz w:val="20"/>
              </w:rPr>
              <w:t xml:space="preserve"> </w:t>
            </w:r>
            <w:r>
              <w:rPr>
                <w:rFonts w:ascii="Arial Narrow" w:hAnsi="Arial Narrow" w:cs="Times New Roman"/>
                <w:sz w:val="20"/>
              </w:rPr>
              <w:t xml:space="preserve">100mg </w:t>
            </w:r>
            <w:r w:rsidRPr="00DF566F">
              <w:rPr>
                <w:rFonts w:ascii="Arial Narrow" w:hAnsi="Arial Narrow" w:cs="Times New Roman"/>
                <w:sz w:val="20"/>
              </w:rPr>
              <w:t xml:space="preserve">(P051) versus </w:t>
            </w:r>
            <w:proofErr w:type="spellStart"/>
            <w:r w:rsidRPr="00DF566F">
              <w:rPr>
                <w:rFonts w:ascii="Arial Narrow" w:hAnsi="Arial Narrow" w:cs="Times New Roman"/>
                <w:sz w:val="20"/>
              </w:rPr>
              <w:t>dapagliflozin</w:t>
            </w:r>
            <w:proofErr w:type="spellEnd"/>
            <w:r>
              <w:rPr>
                <w:rFonts w:ascii="Arial Narrow" w:hAnsi="Arial Narrow" w:cs="Times New Roman"/>
                <w:sz w:val="20"/>
              </w:rPr>
              <w:t xml:space="preserve"> 10mg</w:t>
            </w:r>
            <w:r w:rsidRPr="00DF566F">
              <w:rPr>
                <w:rFonts w:ascii="Arial Narrow" w:hAnsi="Arial Narrow" w:cs="Times New Roman"/>
                <w:sz w:val="20"/>
              </w:rPr>
              <w:t xml:space="preserve"> (Wilding 2012)</w:t>
            </w:r>
          </w:p>
        </w:tc>
        <w:tc>
          <w:tcPr>
            <w:tcW w:w="1984" w:type="dxa"/>
            <w:tcBorders>
              <w:top w:val="double" w:sz="4" w:space="0" w:color="auto"/>
            </w:tcBorders>
            <w:vAlign w:val="center"/>
          </w:tcPr>
          <w:p w:rsidR="002C799B" w:rsidRPr="00F76611" w:rsidRDefault="002C799B" w:rsidP="00831310">
            <w:pPr>
              <w:keepNext/>
              <w:widowControl/>
              <w:jc w:val="center"/>
              <w:rPr>
                <w:rFonts w:ascii="Arial Narrow" w:hAnsi="Arial Narrow" w:cs="Times New Roman"/>
                <w:sz w:val="20"/>
              </w:rPr>
            </w:pPr>
            <w:r w:rsidRPr="00287E55">
              <w:rPr>
                <w:rFonts w:ascii="Arial Narrow" w:hAnsi="Arial Narrow"/>
                <w:sz w:val="20"/>
              </w:rPr>
              <w:t>0.01 (-0.195; 0.215)</w:t>
            </w:r>
          </w:p>
        </w:tc>
      </w:tr>
      <w:tr w:rsidR="002C799B" w:rsidTr="00126326">
        <w:tc>
          <w:tcPr>
            <w:tcW w:w="1276" w:type="dxa"/>
            <w:vMerge/>
            <w:tcBorders>
              <w:right w:val="nil"/>
            </w:tcBorders>
          </w:tcPr>
          <w:p w:rsidR="002C799B" w:rsidRDefault="002C799B" w:rsidP="00831310">
            <w:pPr>
              <w:keepNext/>
              <w:widowControl/>
              <w:jc w:val="right"/>
              <w:rPr>
                <w:rFonts w:ascii="Arial Narrow" w:hAnsi="Arial Narrow" w:cs="Times New Roman"/>
                <w:sz w:val="20"/>
              </w:rPr>
            </w:pPr>
          </w:p>
        </w:tc>
        <w:tc>
          <w:tcPr>
            <w:tcW w:w="5103" w:type="dxa"/>
            <w:gridSpan w:val="4"/>
            <w:tcBorders>
              <w:top w:val="nil"/>
              <w:left w:val="nil"/>
            </w:tcBorders>
          </w:tcPr>
          <w:p w:rsidR="002C799B" w:rsidRDefault="002C799B" w:rsidP="00831310">
            <w:pPr>
              <w:keepNext/>
              <w:widowControl/>
              <w:jc w:val="right"/>
              <w:rPr>
                <w:rFonts w:ascii="Arial Narrow" w:hAnsi="Arial Narrow" w:cs="Times New Roman"/>
                <w:sz w:val="20"/>
              </w:rPr>
            </w:pPr>
            <w:proofErr w:type="spellStart"/>
            <w:r w:rsidRPr="00DF566F">
              <w:rPr>
                <w:rFonts w:ascii="Arial Narrow" w:hAnsi="Arial Narrow" w:cs="Times New Roman"/>
                <w:sz w:val="20"/>
              </w:rPr>
              <w:t>Sitagliptin</w:t>
            </w:r>
            <w:proofErr w:type="spellEnd"/>
            <w:r w:rsidRPr="00DF566F">
              <w:rPr>
                <w:rFonts w:ascii="Arial Narrow" w:hAnsi="Arial Narrow" w:cs="Times New Roman"/>
                <w:sz w:val="20"/>
              </w:rPr>
              <w:t xml:space="preserve"> </w:t>
            </w:r>
            <w:r>
              <w:rPr>
                <w:rFonts w:ascii="Arial Narrow" w:hAnsi="Arial Narrow" w:cs="Times New Roman"/>
                <w:sz w:val="20"/>
              </w:rPr>
              <w:t xml:space="preserve">100mg </w:t>
            </w:r>
            <w:r w:rsidRPr="00DF566F">
              <w:rPr>
                <w:rFonts w:ascii="Arial Narrow" w:hAnsi="Arial Narrow" w:cs="Times New Roman"/>
                <w:sz w:val="20"/>
              </w:rPr>
              <w:t xml:space="preserve">(P260) versus </w:t>
            </w:r>
            <w:proofErr w:type="spellStart"/>
            <w:r w:rsidRPr="00DF566F">
              <w:rPr>
                <w:rFonts w:ascii="Arial Narrow" w:hAnsi="Arial Narrow" w:cs="Times New Roman"/>
                <w:sz w:val="20"/>
              </w:rPr>
              <w:t>dapagliflozin</w:t>
            </w:r>
            <w:proofErr w:type="spellEnd"/>
            <w:r w:rsidRPr="00DF566F">
              <w:rPr>
                <w:rFonts w:ascii="Arial Narrow" w:hAnsi="Arial Narrow" w:cs="Times New Roman"/>
                <w:sz w:val="20"/>
              </w:rPr>
              <w:t xml:space="preserve"> </w:t>
            </w:r>
            <w:r>
              <w:rPr>
                <w:rFonts w:ascii="Arial Narrow" w:hAnsi="Arial Narrow" w:cs="Times New Roman"/>
                <w:sz w:val="20"/>
              </w:rPr>
              <w:t xml:space="preserve">10mg </w:t>
            </w:r>
            <w:r w:rsidRPr="00DF566F">
              <w:rPr>
                <w:rFonts w:ascii="Arial Narrow" w:hAnsi="Arial Narrow" w:cs="Times New Roman"/>
                <w:sz w:val="20"/>
              </w:rPr>
              <w:t>(Wilding 2012)</w:t>
            </w:r>
          </w:p>
        </w:tc>
        <w:tc>
          <w:tcPr>
            <w:tcW w:w="1984" w:type="dxa"/>
            <w:vAlign w:val="center"/>
          </w:tcPr>
          <w:p w:rsidR="002C799B" w:rsidRPr="00F76611" w:rsidRDefault="002C799B" w:rsidP="00831310">
            <w:pPr>
              <w:keepNext/>
              <w:widowControl/>
              <w:jc w:val="center"/>
              <w:rPr>
                <w:rFonts w:ascii="Arial Narrow" w:hAnsi="Arial Narrow" w:cs="Times New Roman"/>
                <w:sz w:val="20"/>
              </w:rPr>
            </w:pPr>
            <w:r w:rsidRPr="00287E55">
              <w:rPr>
                <w:rFonts w:ascii="Arial Narrow" w:hAnsi="Arial Narrow"/>
                <w:sz w:val="20"/>
              </w:rPr>
              <w:t>0.12 (-0.096; 0.336)</w:t>
            </w:r>
          </w:p>
        </w:tc>
      </w:tr>
    </w:tbl>
    <w:p w:rsidR="00301704" w:rsidRPr="00F76611" w:rsidRDefault="00301704" w:rsidP="00831310">
      <w:pPr>
        <w:keepNext/>
        <w:widowControl/>
        <w:ind w:left="709"/>
        <w:rPr>
          <w:rFonts w:ascii="Arial Narrow" w:hAnsi="Arial Narrow"/>
          <w:sz w:val="18"/>
          <w:szCs w:val="18"/>
        </w:rPr>
      </w:pPr>
      <w:r>
        <w:rPr>
          <w:rFonts w:ascii="Arial Narrow" w:hAnsi="Arial Narrow"/>
          <w:sz w:val="18"/>
          <w:szCs w:val="18"/>
        </w:rPr>
        <w:t>Source: Tables B.6-1, p.88, Table B.6-5, p.95, Table B.6-8 p.97 and Table B.6-9, p.100 of the submission.</w:t>
      </w:r>
    </w:p>
    <w:p w:rsidR="00301704" w:rsidRDefault="00301704" w:rsidP="00831310">
      <w:pPr>
        <w:keepNext/>
        <w:widowControl/>
        <w:ind w:left="709"/>
        <w:rPr>
          <w:rFonts w:ascii="Arial Narrow" w:hAnsi="Arial Narrow"/>
          <w:sz w:val="18"/>
          <w:szCs w:val="18"/>
        </w:rPr>
      </w:pPr>
      <w:r>
        <w:rPr>
          <w:rFonts w:ascii="Arial Narrow" w:hAnsi="Arial Narrow"/>
          <w:sz w:val="18"/>
          <w:szCs w:val="18"/>
        </w:rPr>
        <w:t>Abbreviations: SD standard deviation; LS least squares; CI confidence interval; NR not reported.</w:t>
      </w:r>
    </w:p>
    <w:p w:rsidR="00301704" w:rsidRDefault="00301704" w:rsidP="00831310">
      <w:pPr>
        <w:widowControl/>
        <w:ind w:left="709"/>
        <w:rPr>
          <w:rFonts w:ascii="Arial Narrow" w:hAnsi="Arial Narrow"/>
          <w:sz w:val="18"/>
          <w:szCs w:val="18"/>
        </w:rPr>
      </w:pPr>
      <w:r>
        <w:rPr>
          <w:rFonts w:ascii="Arial Narrow" w:hAnsi="Arial Narrow"/>
          <w:sz w:val="18"/>
          <w:szCs w:val="18"/>
        </w:rPr>
        <w:t>Note: Statistically significant results in bold.</w:t>
      </w:r>
    </w:p>
    <w:p w:rsidR="00301704" w:rsidRPr="00BE4275" w:rsidRDefault="00301704" w:rsidP="00831310">
      <w:pPr>
        <w:widowControl/>
        <w:rPr>
          <w:color w:val="3366FF"/>
        </w:rPr>
      </w:pPr>
    </w:p>
    <w:p w:rsidR="00B65B6B" w:rsidRPr="00256ED1" w:rsidRDefault="00B65B6B" w:rsidP="00831310">
      <w:pPr>
        <w:pStyle w:val="ListParagraph"/>
        <w:widowControl/>
        <w:numPr>
          <w:ilvl w:val="1"/>
          <w:numId w:val="8"/>
        </w:numPr>
        <w:rPr>
          <w:szCs w:val="22"/>
        </w:rPr>
      </w:pPr>
      <w:r>
        <w:t>T</w:t>
      </w:r>
      <w:r w:rsidRPr="00256ED1">
        <w:t xml:space="preserve">he addition of </w:t>
      </w:r>
      <w:proofErr w:type="spellStart"/>
      <w:r>
        <w:t>sitagliptin</w:t>
      </w:r>
      <w:proofErr w:type="spellEnd"/>
      <w:r>
        <w:t xml:space="preserve"> 100mg or </w:t>
      </w:r>
      <w:proofErr w:type="spellStart"/>
      <w:r>
        <w:t>dapagliflozin</w:t>
      </w:r>
      <w:proofErr w:type="spellEnd"/>
      <w:r>
        <w:t xml:space="preserve"> 10mg</w:t>
      </w:r>
      <w:r w:rsidRPr="00256ED1">
        <w:t xml:space="preserve"> to background </w:t>
      </w:r>
      <w:r>
        <w:t>insulin regimens (±</w:t>
      </w:r>
      <w:r w:rsidR="00033A22">
        <w:t xml:space="preserve"> </w:t>
      </w:r>
      <w:r w:rsidRPr="00256ED1">
        <w:t>metformin</w:t>
      </w:r>
      <w:r>
        <w:t>)</w:t>
      </w:r>
      <w:r w:rsidRPr="00256ED1">
        <w:t xml:space="preserve"> produced statistically significant reductions in HbA1c compared to placebo over 24 weeks</w:t>
      </w:r>
      <w:r>
        <w:t>.</w:t>
      </w:r>
    </w:p>
    <w:p w:rsidR="00B65B6B" w:rsidRPr="00256ED1" w:rsidRDefault="00B65B6B" w:rsidP="00831310">
      <w:pPr>
        <w:pStyle w:val="ListParagraph"/>
        <w:widowControl/>
        <w:rPr>
          <w:szCs w:val="22"/>
        </w:rPr>
      </w:pPr>
    </w:p>
    <w:p w:rsidR="00B65B6B" w:rsidRPr="00C13A51" w:rsidRDefault="00B65B6B" w:rsidP="00831310">
      <w:pPr>
        <w:pStyle w:val="ListParagraph"/>
        <w:widowControl/>
        <w:numPr>
          <w:ilvl w:val="1"/>
          <w:numId w:val="8"/>
        </w:numPr>
        <w:rPr>
          <w:szCs w:val="22"/>
        </w:rPr>
      </w:pPr>
      <w:r w:rsidRPr="00256ED1">
        <w:rPr>
          <w:szCs w:val="22"/>
        </w:rPr>
        <w:t>Ba</w:t>
      </w:r>
      <w:r w:rsidR="00C13A51">
        <w:rPr>
          <w:szCs w:val="22"/>
        </w:rPr>
        <w:t>sed on the indirect comparisons</w:t>
      </w:r>
      <w:r w:rsidR="00595876">
        <w:rPr>
          <w:szCs w:val="22"/>
        </w:rPr>
        <w:t>,</w:t>
      </w:r>
      <w:r w:rsidR="00C13A51">
        <w:rPr>
          <w:szCs w:val="22"/>
        </w:rPr>
        <w:t xml:space="preserve"> </w:t>
      </w:r>
      <w:proofErr w:type="spellStart"/>
      <w:r w:rsidRPr="00C13A51">
        <w:t>sitagliptin</w:t>
      </w:r>
      <w:proofErr w:type="spellEnd"/>
      <w:r w:rsidRPr="00C13A51">
        <w:t xml:space="preserve"> 100mg showed no statistically significant difference compared </w:t>
      </w:r>
      <w:r w:rsidR="003F00E8">
        <w:t>with</w:t>
      </w:r>
      <w:r w:rsidR="003F00E8" w:rsidRPr="00C13A51">
        <w:t xml:space="preserve"> </w:t>
      </w:r>
      <w:proofErr w:type="spellStart"/>
      <w:r w:rsidRPr="00C13A51">
        <w:t>dapagliflozin</w:t>
      </w:r>
      <w:proofErr w:type="spellEnd"/>
      <w:r w:rsidRPr="00C13A51">
        <w:t xml:space="preserve"> 10mg, and demonstrated non</w:t>
      </w:r>
      <w:r w:rsidR="00033A22">
        <w:noBreakHyphen/>
      </w:r>
      <w:r w:rsidRPr="00C13A51">
        <w:t>inferiority with the upper limit of the confidence intervals falling below the MCID of 0.4%</w:t>
      </w:r>
      <w:r w:rsidR="002C799B" w:rsidRPr="00C13A51">
        <w:t xml:space="preserve"> in both comparisons</w:t>
      </w:r>
      <w:r w:rsidR="00C13A51" w:rsidRPr="00C13A51">
        <w:rPr>
          <w:i/>
        </w:rPr>
        <w:t>.</w:t>
      </w:r>
    </w:p>
    <w:p w:rsidR="00B65B6B" w:rsidRPr="00256ED1" w:rsidRDefault="00B65B6B" w:rsidP="00831310">
      <w:pPr>
        <w:widowControl/>
        <w:rPr>
          <w:szCs w:val="22"/>
        </w:rPr>
      </w:pPr>
    </w:p>
    <w:p w:rsidR="00595876" w:rsidRDefault="00595876" w:rsidP="00831310">
      <w:pPr>
        <w:pStyle w:val="ListParagraph"/>
        <w:widowControl/>
        <w:numPr>
          <w:ilvl w:val="1"/>
          <w:numId w:val="8"/>
        </w:numPr>
      </w:pPr>
      <w:r>
        <w:t xml:space="preserve">Patients taking </w:t>
      </w:r>
      <w:proofErr w:type="spellStart"/>
      <w:r>
        <w:t>sitagliptin</w:t>
      </w:r>
      <w:proofErr w:type="spellEnd"/>
      <w:r>
        <w:t xml:space="preserve"> 100mg and </w:t>
      </w:r>
      <w:proofErr w:type="spellStart"/>
      <w:r>
        <w:t>dapagliflozin</w:t>
      </w:r>
      <w:proofErr w:type="spellEnd"/>
      <w:r>
        <w:t xml:space="preserve"> 10mg reported statistically significant reductions in fasting plasma glucose and </w:t>
      </w:r>
      <w:r w:rsidRPr="000E29EF">
        <w:t>2-hour post-pra</w:t>
      </w:r>
      <w:r>
        <w:t>ndial glucose compared to placebo.</w:t>
      </w:r>
    </w:p>
    <w:p w:rsidR="00595876" w:rsidRDefault="00595876" w:rsidP="00831310">
      <w:pPr>
        <w:pStyle w:val="ListParagraph"/>
        <w:widowControl/>
      </w:pPr>
    </w:p>
    <w:p w:rsidR="00B65B6B" w:rsidRDefault="00B65B6B" w:rsidP="00831310">
      <w:pPr>
        <w:pStyle w:val="ListParagraph"/>
        <w:widowControl/>
        <w:numPr>
          <w:ilvl w:val="1"/>
          <w:numId w:val="8"/>
        </w:numPr>
      </w:pPr>
      <w:r>
        <w:t xml:space="preserve">Patients taking </w:t>
      </w:r>
      <w:proofErr w:type="spellStart"/>
      <w:r w:rsidR="00595876">
        <w:t>sitagliptin</w:t>
      </w:r>
      <w:proofErr w:type="spellEnd"/>
      <w:r w:rsidR="00595876">
        <w:t xml:space="preserve"> 100mg reported no statistically significant differences in change in body weight compared </w:t>
      </w:r>
      <w:r w:rsidR="003F00E8">
        <w:t xml:space="preserve">with </w:t>
      </w:r>
      <w:r w:rsidR="00595876">
        <w:t xml:space="preserve">placebo. However, patients taking </w:t>
      </w:r>
      <w:proofErr w:type="spellStart"/>
      <w:r w:rsidR="00595876">
        <w:t>dapagliflozin</w:t>
      </w:r>
      <w:proofErr w:type="spellEnd"/>
      <w:r w:rsidR="00595876">
        <w:t xml:space="preserve"> 10mg</w:t>
      </w:r>
      <w:r>
        <w:t xml:space="preserve"> reported statistically significant weight </w:t>
      </w:r>
      <w:r w:rsidR="00595876">
        <w:t xml:space="preserve">loss compared </w:t>
      </w:r>
      <w:r w:rsidR="003F00E8">
        <w:t xml:space="preserve">with </w:t>
      </w:r>
      <w:r w:rsidR="00595876">
        <w:t>placebo (between group difference -2.04kg (95% CI: -2.59, 1.48)</w:t>
      </w:r>
      <w:r w:rsidR="00A96E7E">
        <w:t>)</w:t>
      </w:r>
      <w:r>
        <w:t>.</w:t>
      </w:r>
    </w:p>
    <w:p w:rsidR="00C13A51" w:rsidRDefault="00C13A51" w:rsidP="00831310">
      <w:pPr>
        <w:pStyle w:val="ListParagraph"/>
        <w:widowControl/>
      </w:pPr>
    </w:p>
    <w:p w:rsidR="00C13A51" w:rsidRPr="00F156D1" w:rsidRDefault="00C13A51" w:rsidP="00831310">
      <w:pPr>
        <w:pStyle w:val="ListParagraph"/>
        <w:widowControl/>
        <w:numPr>
          <w:ilvl w:val="1"/>
          <w:numId w:val="8"/>
        </w:numPr>
      </w:pPr>
      <w:r w:rsidRPr="00F156D1">
        <w:t xml:space="preserve">No evidence </w:t>
      </w:r>
      <w:r w:rsidR="00447960" w:rsidRPr="00F156D1">
        <w:t>was</w:t>
      </w:r>
      <w:r w:rsidRPr="00F156D1">
        <w:t xml:space="preserve"> presented supporting the comparative efficacy of </w:t>
      </w:r>
      <w:proofErr w:type="spellStart"/>
      <w:r w:rsidRPr="00F156D1">
        <w:t>sitagliptin</w:t>
      </w:r>
      <w:proofErr w:type="spellEnd"/>
      <w:r w:rsidRPr="00F156D1">
        <w:t xml:space="preserve"> 25mg and 50mg strengths or </w:t>
      </w:r>
      <w:proofErr w:type="spellStart"/>
      <w:r w:rsidRPr="00F156D1">
        <w:t>sitagliptin</w:t>
      </w:r>
      <w:r w:rsidR="003F00E8">
        <w:t>+</w:t>
      </w:r>
      <w:r w:rsidRPr="00F156D1">
        <w:t>metformin</w:t>
      </w:r>
      <w:proofErr w:type="spellEnd"/>
      <w:r w:rsidRPr="00F156D1">
        <w:t xml:space="preserve"> fixed dose combinations (immediate and extended r</w:t>
      </w:r>
      <w:r w:rsidR="00447960" w:rsidRPr="00F156D1">
        <w:t>elease). The submission requested</w:t>
      </w:r>
      <w:r w:rsidRPr="00F156D1">
        <w:t xml:space="preserve"> the PBAC recommend these products on the basis of previous decisions accepting the clinical need for the lower dose strengths and place in therapy of the fixed dose combinations.</w:t>
      </w:r>
    </w:p>
    <w:p w:rsidR="00301704" w:rsidRDefault="00301704" w:rsidP="00831310">
      <w:pPr>
        <w:widowControl/>
        <w:rPr>
          <w:szCs w:val="22"/>
        </w:rPr>
      </w:pPr>
    </w:p>
    <w:p w:rsidR="00434431" w:rsidRPr="00882085" w:rsidRDefault="00434431" w:rsidP="00831310">
      <w:pPr>
        <w:widowControl/>
        <w:rPr>
          <w:szCs w:val="22"/>
        </w:rPr>
      </w:pPr>
    </w:p>
    <w:p w:rsidR="004F1F53" w:rsidRDefault="004F1F53">
      <w:pPr>
        <w:widowControl/>
        <w:jc w:val="left"/>
        <w:rPr>
          <w:b/>
          <w:i/>
        </w:rPr>
      </w:pPr>
      <w:bookmarkStart w:id="9" w:name="_Toc419661307"/>
      <w:r>
        <w:rPr>
          <w:i/>
        </w:rPr>
        <w:br w:type="page"/>
      </w:r>
    </w:p>
    <w:p w:rsidR="00B60939" w:rsidRPr="002C2775" w:rsidRDefault="00B60939" w:rsidP="00831310">
      <w:pPr>
        <w:pStyle w:val="Heading2"/>
        <w:widowControl/>
        <w:rPr>
          <w:i/>
        </w:rPr>
      </w:pPr>
      <w:r w:rsidRPr="002C2775">
        <w:rPr>
          <w:i/>
        </w:rPr>
        <w:lastRenderedPageBreak/>
        <w:t>Comparative harms</w:t>
      </w:r>
      <w:bookmarkEnd w:id="9"/>
    </w:p>
    <w:p w:rsidR="00B60939" w:rsidRPr="00882085" w:rsidRDefault="00B60939" w:rsidP="00831310">
      <w:pPr>
        <w:widowControl/>
        <w:ind w:left="720" w:hanging="720"/>
        <w:rPr>
          <w:szCs w:val="22"/>
        </w:rPr>
      </w:pPr>
    </w:p>
    <w:p w:rsidR="008F1821" w:rsidRPr="00F52547" w:rsidRDefault="008F1821" w:rsidP="00831310">
      <w:pPr>
        <w:pStyle w:val="ListParagraph"/>
        <w:widowControl/>
        <w:numPr>
          <w:ilvl w:val="1"/>
          <w:numId w:val="8"/>
        </w:numPr>
        <w:rPr>
          <w:szCs w:val="22"/>
        </w:rPr>
      </w:pPr>
      <w:r w:rsidRPr="00CD359E">
        <w:t xml:space="preserve">A summary of </w:t>
      </w:r>
      <w:r>
        <w:t xml:space="preserve">key </w:t>
      </w:r>
      <w:r w:rsidRPr="00CD359E">
        <w:t xml:space="preserve">adverse events </w:t>
      </w:r>
      <w:r>
        <w:t xml:space="preserve">reported in the trials </w:t>
      </w:r>
      <w:r w:rsidRPr="00CD359E">
        <w:t xml:space="preserve">is provided in </w:t>
      </w:r>
      <w:r w:rsidR="00434431">
        <w:t>the table below</w:t>
      </w:r>
      <w:r w:rsidRPr="00CD359E">
        <w:t>.</w:t>
      </w:r>
    </w:p>
    <w:p w:rsidR="00F52547" w:rsidRPr="00CD359E" w:rsidRDefault="00F52547" w:rsidP="00831310">
      <w:pPr>
        <w:pStyle w:val="ListParagraph"/>
        <w:widowControl/>
        <w:rPr>
          <w:szCs w:val="22"/>
        </w:rPr>
      </w:pPr>
    </w:p>
    <w:p w:rsidR="00CB5EB0" w:rsidRPr="00220DD3" w:rsidRDefault="00BD68FC" w:rsidP="00831310">
      <w:pPr>
        <w:widowControl/>
        <w:ind w:firstLine="720"/>
        <w:rPr>
          <w:rFonts w:ascii="Arial Narrow" w:hAnsi="Arial Narrow"/>
          <w:b/>
          <w:sz w:val="20"/>
        </w:rPr>
      </w:pPr>
      <w:r>
        <w:rPr>
          <w:rFonts w:ascii="Arial Narrow" w:hAnsi="Arial Narrow"/>
          <w:b/>
          <w:sz w:val="20"/>
        </w:rPr>
        <w:t xml:space="preserve">Table 5: </w:t>
      </w:r>
      <w:r w:rsidR="00CB5EB0" w:rsidRPr="00220DD3">
        <w:rPr>
          <w:rFonts w:ascii="Arial Narrow" w:hAnsi="Arial Narrow"/>
          <w:b/>
          <w:sz w:val="20"/>
        </w:rPr>
        <w:t>Summary of adverse events</w:t>
      </w:r>
    </w:p>
    <w:tbl>
      <w:tblPr>
        <w:tblW w:w="8361" w:type="dxa"/>
        <w:tblInd w:w="81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701"/>
        <w:gridCol w:w="951"/>
        <w:gridCol w:w="951"/>
        <w:gridCol w:w="952"/>
        <w:gridCol w:w="951"/>
        <w:gridCol w:w="952"/>
        <w:gridCol w:w="951"/>
        <w:gridCol w:w="952"/>
      </w:tblGrid>
      <w:tr w:rsidR="00CB5EB0" w:rsidRPr="00220DD3" w:rsidTr="00CB5EB0">
        <w:trPr>
          <w:tblHeader/>
        </w:trPr>
        <w:tc>
          <w:tcPr>
            <w:tcW w:w="1701" w:type="dxa"/>
            <w:shd w:val="clear" w:color="auto" w:fill="auto"/>
            <w:vAlign w:val="center"/>
          </w:tcPr>
          <w:p w:rsidR="00CB5EB0" w:rsidRPr="00220DD3" w:rsidRDefault="00CB5EB0" w:rsidP="00831310">
            <w:pPr>
              <w:widowControl/>
              <w:ind w:left="-80"/>
              <w:rPr>
                <w:rFonts w:ascii="Arial Narrow" w:hAnsi="Arial Narrow"/>
                <w:sz w:val="20"/>
              </w:rPr>
            </w:pPr>
          </w:p>
        </w:tc>
        <w:tc>
          <w:tcPr>
            <w:tcW w:w="1902" w:type="dxa"/>
            <w:gridSpan w:val="2"/>
            <w:shd w:val="clear" w:color="auto" w:fill="auto"/>
            <w:vAlign w:val="center"/>
          </w:tcPr>
          <w:p w:rsidR="00CB5EB0" w:rsidRPr="00220DD3" w:rsidRDefault="00CB5EB0" w:rsidP="00831310">
            <w:pPr>
              <w:widowControl/>
              <w:jc w:val="center"/>
              <w:rPr>
                <w:rFonts w:ascii="Arial Narrow" w:hAnsi="Arial Narrow"/>
                <w:b/>
                <w:sz w:val="20"/>
              </w:rPr>
            </w:pPr>
            <w:r w:rsidRPr="00220DD3">
              <w:rPr>
                <w:rFonts w:ascii="Arial Narrow" w:hAnsi="Arial Narrow"/>
                <w:b/>
                <w:sz w:val="20"/>
              </w:rPr>
              <w:t>P</w:t>
            </w:r>
            <w:r>
              <w:rPr>
                <w:rFonts w:ascii="Arial Narrow" w:hAnsi="Arial Narrow"/>
                <w:b/>
                <w:sz w:val="20"/>
              </w:rPr>
              <w:t>051</w:t>
            </w:r>
          </w:p>
        </w:tc>
        <w:tc>
          <w:tcPr>
            <w:tcW w:w="1903" w:type="dxa"/>
            <w:gridSpan w:val="2"/>
            <w:shd w:val="clear" w:color="auto" w:fill="auto"/>
            <w:vAlign w:val="center"/>
          </w:tcPr>
          <w:p w:rsidR="00CB5EB0" w:rsidRPr="00220DD3" w:rsidRDefault="00CB5EB0" w:rsidP="00831310">
            <w:pPr>
              <w:widowControl/>
              <w:jc w:val="center"/>
              <w:rPr>
                <w:rFonts w:ascii="Arial Narrow" w:hAnsi="Arial Narrow"/>
                <w:b/>
                <w:sz w:val="20"/>
              </w:rPr>
            </w:pPr>
            <w:r w:rsidRPr="00220DD3">
              <w:rPr>
                <w:rFonts w:ascii="Arial Narrow" w:hAnsi="Arial Narrow"/>
                <w:b/>
                <w:sz w:val="20"/>
              </w:rPr>
              <w:t>P</w:t>
            </w:r>
            <w:r>
              <w:rPr>
                <w:rFonts w:ascii="Arial Narrow" w:hAnsi="Arial Narrow"/>
                <w:b/>
                <w:sz w:val="20"/>
              </w:rPr>
              <w:t>260</w:t>
            </w:r>
          </w:p>
        </w:tc>
        <w:tc>
          <w:tcPr>
            <w:tcW w:w="2855" w:type="dxa"/>
            <w:gridSpan w:val="3"/>
            <w:shd w:val="clear" w:color="auto" w:fill="auto"/>
            <w:vAlign w:val="center"/>
          </w:tcPr>
          <w:p w:rsidR="00CB5EB0" w:rsidRPr="00220DD3" w:rsidRDefault="00CB5EB0" w:rsidP="00831310">
            <w:pPr>
              <w:widowControl/>
              <w:jc w:val="center"/>
              <w:rPr>
                <w:rFonts w:ascii="Arial Narrow" w:hAnsi="Arial Narrow"/>
                <w:b/>
                <w:sz w:val="20"/>
              </w:rPr>
            </w:pPr>
            <w:r>
              <w:rPr>
                <w:rFonts w:ascii="Arial Narrow" w:hAnsi="Arial Narrow"/>
                <w:b/>
                <w:sz w:val="20"/>
              </w:rPr>
              <w:t>Wilding 2012</w:t>
            </w:r>
          </w:p>
        </w:tc>
      </w:tr>
      <w:tr w:rsidR="00CB5EB0" w:rsidRPr="00220DD3" w:rsidTr="00CB5EB0">
        <w:trPr>
          <w:trHeight w:val="233"/>
        </w:trPr>
        <w:tc>
          <w:tcPr>
            <w:tcW w:w="1701" w:type="dxa"/>
            <w:vMerge w:val="restart"/>
            <w:shd w:val="clear" w:color="auto" w:fill="auto"/>
            <w:vAlign w:val="center"/>
          </w:tcPr>
          <w:p w:rsidR="00CB5EB0" w:rsidRPr="00220DD3" w:rsidRDefault="00CB5EB0" w:rsidP="00831310">
            <w:pPr>
              <w:widowControl/>
              <w:ind w:left="-80"/>
              <w:jc w:val="left"/>
              <w:rPr>
                <w:rFonts w:ascii="Arial Narrow" w:hAnsi="Arial Narrow"/>
                <w:b/>
                <w:sz w:val="20"/>
              </w:rPr>
            </w:pPr>
            <w:r w:rsidRPr="00220DD3">
              <w:rPr>
                <w:rFonts w:ascii="Arial Narrow" w:hAnsi="Arial Narrow"/>
                <w:b/>
                <w:sz w:val="20"/>
              </w:rPr>
              <w:t>Number (%) of patients</w:t>
            </w:r>
          </w:p>
        </w:tc>
        <w:tc>
          <w:tcPr>
            <w:tcW w:w="951" w:type="dxa"/>
            <w:vMerge w:val="restart"/>
            <w:shd w:val="clear" w:color="auto" w:fill="auto"/>
            <w:vAlign w:val="center"/>
          </w:tcPr>
          <w:p w:rsidR="00CB5EB0" w:rsidRPr="00220DD3" w:rsidRDefault="00CB5EB0" w:rsidP="00831310">
            <w:pPr>
              <w:widowControl/>
              <w:ind w:left="-96" w:right="-86"/>
              <w:jc w:val="center"/>
              <w:rPr>
                <w:rFonts w:ascii="Arial Narrow" w:hAnsi="Arial Narrow"/>
                <w:b/>
                <w:sz w:val="20"/>
              </w:rPr>
            </w:pPr>
            <w:proofErr w:type="spellStart"/>
            <w:r w:rsidRPr="00220DD3">
              <w:rPr>
                <w:rFonts w:ascii="Arial Narrow" w:hAnsi="Arial Narrow"/>
                <w:b/>
                <w:sz w:val="20"/>
              </w:rPr>
              <w:t>Sitagliptin</w:t>
            </w:r>
            <w:proofErr w:type="spellEnd"/>
          </w:p>
        </w:tc>
        <w:tc>
          <w:tcPr>
            <w:tcW w:w="951" w:type="dxa"/>
            <w:vMerge w:val="restart"/>
            <w:shd w:val="clear" w:color="auto" w:fill="auto"/>
            <w:vAlign w:val="center"/>
          </w:tcPr>
          <w:p w:rsidR="00CB5EB0" w:rsidRPr="00220DD3" w:rsidRDefault="00CB5EB0" w:rsidP="00831310">
            <w:pPr>
              <w:widowControl/>
              <w:ind w:left="-96" w:right="-86"/>
              <w:jc w:val="center"/>
              <w:rPr>
                <w:rFonts w:ascii="Arial Narrow" w:hAnsi="Arial Narrow"/>
                <w:b/>
                <w:sz w:val="20"/>
              </w:rPr>
            </w:pPr>
            <w:r w:rsidRPr="00220DD3">
              <w:rPr>
                <w:rFonts w:ascii="Arial Narrow" w:hAnsi="Arial Narrow"/>
                <w:b/>
                <w:sz w:val="20"/>
              </w:rPr>
              <w:t>Placebo</w:t>
            </w:r>
          </w:p>
        </w:tc>
        <w:tc>
          <w:tcPr>
            <w:tcW w:w="952" w:type="dxa"/>
            <w:vMerge w:val="restart"/>
            <w:shd w:val="clear" w:color="auto" w:fill="auto"/>
            <w:vAlign w:val="center"/>
          </w:tcPr>
          <w:p w:rsidR="00CB5EB0" w:rsidRPr="00220DD3" w:rsidRDefault="00CB5EB0" w:rsidP="00831310">
            <w:pPr>
              <w:widowControl/>
              <w:ind w:left="-96" w:right="-86"/>
              <w:jc w:val="center"/>
              <w:rPr>
                <w:rFonts w:ascii="Arial Narrow" w:hAnsi="Arial Narrow"/>
                <w:b/>
                <w:sz w:val="20"/>
              </w:rPr>
            </w:pPr>
            <w:proofErr w:type="spellStart"/>
            <w:r w:rsidRPr="00220DD3">
              <w:rPr>
                <w:rFonts w:ascii="Arial Narrow" w:hAnsi="Arial Narrow"/>
                <w:b/>
                <w:sz w:val="20"/>
              </w:rPr>
              <w:t>Sitagliptin</w:t>
            </w:r>
            <w:proofErr w:type="spellEnd"/>
          </w:p>
        </w:tc>
        <w:tc>
          <w:tcPr>
            <w:tcW w:w="951" w:type="dxa"/>
            <w:vMerge w:val="restart"/>
            <w:shd w:val="clear" w:color="auto" w:fill="auto"/>
            <w:vAlign w:val="center"/>
          </w:tcPr>
          <w:p w:rsidR="00CB5EB0" w:rsidRPr="00220DD3" w:rsidRDefault="00CB5EB0" w:rsidP="00831310">
            <w:pPr>
              <w:widowControl/>
              <w:ind w:left="-96" w:right="-86"/>
              <w:jc w:val="center"/>
              <w:rPr>
                <w:rFonts w:ascii="Arial Narrow" w:hAnsi="Arial Narrow"/>
                <w:b/>
                <w:sz w:val="20"/>
              </w:rPr>
            </w:pPr>
            <w:r w:rsidRPr="00220DD3">
              <w:rPr>
                <w:rFonts w:ascii="Arial Narrow" w:hAnsi="Arial Narrow"/>
                <w:b/>
                <w:sz w:val="20"/>
              </w:rPr>
              <w:t>Placebo</w:t>
            </w:r>
          </w:p>
        </w:tc>
        <w:tc>
          <w:tcPr>
            <w:tcW w:w="1903" w:type="dxa"/>
            <w:gridSpan w:val="2"/>
            <w:shd w:val="clear" w:color="auto" w:fill="auto"/>
            <w:vAlign w:val="center"/>
          </w:tcPr>
          <w:p w:rsidR="00CB5EB0" w:rsidRPr="00220DD3" w:rsidRDefault="00CB5EB0" w:rsidP="00831310">
            <w:pPr>
              <w:widowControl/>
              <w:ind w:left="-96" w:right="-86"/>
              <w:jc w:val="center"/>
              <w:rPr>
                <w:rFonts w:ascii="Arial Narrow" w:hAnsi="Arial Narrow"/>
                <w:b/>
                <w:sz w:val="20"/>
              </w:rPr>
            </w:pPr>
            <w:proofErr w:type="spellStart"/>
            <w:r>
              <w:rPr>
                <w:rFonts w:ascii="Arial Narrow" w:hAnsi="Arial Narrow"/>
                <w:b/>
                <w:sz w:val="20"/>
              </w:rPr>
              <w:t>Dapagliflozin</w:t>
            </w:r>
            <w:proofErr w:type="spellEnd"/>
          </w:p>
        </w:tc>
        <w:tc>
          <w:tcPr>
            <w:tcW w:w="952" w:type="dxa"/>
            <w:vMerge w:val="restart"/>
            <w:shd w:val="clear" w:color="auto" w:fill="auto"/>
            <w:vAlign w:val="center"/>
          </w:tcPr>
          <w:p w:rsidR="00CB5EB0" w:rsidRPr="00220DD3" w:rsidRDefault="00CB5EB0" w:rsidP="00831310">
            <w:pPr>
              <w:widowControl/>
              <w:ind w:left="-96" w:right="-86"/>
              <w:jc w:val="center"/>
              <w:rPr>
                <w:rFonts w:ascii="Arial Narrow" w:hAnsi="Arial Narrow"/>
                <w:b/>
                <w:sz w:val="20"/>
              </w:rPr>
            </w:pPr>
            <w:r w:rsidRPr="00220DD3">
              <w:rPr>
                <w:rFonts w:ascii="Arial Narrow" w:hAnsi="Arial Narrow"/>
                <w:b/>
                <w:sz w:val="20"/>
              </w:rPr>
              <w:t>Placebo</w:t>
            </w:r>
          </w:p>
        </w:tc>
      </w:tr>
      <w:tr w:rsidR="00CB5EB0" w:rsidRPr="00220DD3" w:rsidTr="00CB5EB0">
        <w:trPr>
          <w:trHeight w:val="232"/>
        </w:trPr>
        <w:tc>
          <w:tcPr>
            <w:tcW w:w="1701" w:type="dxa"/>
            <w:vMerge/>
            <w:shd w:val="clear" w:color="auto" w:fill="auto"/>
            <w:vAlign w:val="center"/>
          </w:tcPr>
          <w:p w:rsidR="00CB5EB0" w:rsidRPr="00220DD3" w:rsidRDefault="00CB5EB0" w:rsidP="00831310">
            <w:pPr>
              <w:widowControl/>
              <w:ind w:left="-80"/>
              <w:rPr>
                <w:rFonts w:ascii="Arial Narrow" w:hAnsi="Arial Narrow"/>
                <w:b/>
                <w:sz w:val="20"/>
              </w:rPr>
            </w:pPr>
          </w:p>
        </w:tc>
        <w:tc>
          <w:tcPr>
            <w:tcW w:w="951" w:type="dxa"/>
            <w:vMerge/>
            <w:shd w:val="clear" w:color="auto" w:fill="auto"/>
            <w:vAlign w:val="center"/>
          </w:tcPr>
          <w:p w:rsidR="00CB5EB0" w:rsidRPr="00220DD3" w:rsidRDefault="00CB5EB0" w:rsidP="00831310">
            <w:pPr>
              <w:widowControl/>
              <w:ind w:left="-96" w:right="-86"/>
              <w:jc w:val="center"/>
              <w:rPr>
                <w:rFonts w:ascii="Arial Narrow" w:hAnsi="Arial Narrow"/>
                <w:b/>
                <w:sz w:val="20"/>
              </w:rPr>
            </w:pPr>
          </w:p>
        </w:tc>
        <w:tc>
          <w:tcPr>
            <w:tcW w:w="951" w:type="dxa"/>
            <w:vMerge/>
            <w:shd w:val="clear" w:color="auto" w:fill="auto"/>
            <w:vAlign w:val="center"/>
          </w:tcPr>
          <w:p w:rsidR="00CB5EB0" w:rsidRPr="00220DD3" w:rsidRDefault="00CB5EB0" w:rsidP="00831310">
            <w:pPr>
              <w:widowControl/>
              <w:ind w:left="-96" w:right="-86"/>
              <w:jc w:val="center"/>
              <w:rPr>
                <w:rFonts w:ascii="Arial Narrow" w:hAnsi="Arial Narrow"/>
                <w:b/>
                <w:sz w:val="20"/>
              </w:rPr>
            </w:pPr>
          </w:p>
        </w:tc>
        <w:tc>
          <w:tcPr>
            <w:tcW w:w="952" w:type="dxa"/>
            <w:vMerge/>
            <w:shd w:val="clear" w:color="auto" w:fill="auto"/>
            <w:vAlign w:val="center"/>
          </w:tcPr>
          <w:p w:rsidR="00CB5EB0" w:rsidRPr="00220DD3" w:rsidRDefault="00CB5EB0" w:rsidP="00831310">
            <w:pPr>
              <w:widowControl/>
              <w:ind w:left="-96" w:right="-86"/>
              <w:jc w:val="center"/>
              <w:rPr>
                <w:rFonts w:ascii="Arial Narrow" w:hAnsi="Arial Narrow"/>
                <w:b/>
                <w:sz w:val="20"/>
              </w:rPr>
            </w:pPr>
          </w:p>
        </w:tc>
        <w:tc>
          <w:tcPr>
            <w:tcW w:w="951" w:type="dxa"/>
            <w:vMerge/>
            <w:shd w:val="clear" w:color="auto" w:fill="auto"/>
            <w:vAlign w:val="center"/>
          </w:tcPr>
          <w:p w:rsidR="00CB5EB0" w:rsidRPr="00220DD3" w:rsidRDefault="00CB5EB0" w:rsidP="00831310">
            <w:pPr>
              <w:widowControl/>
              <w:ind w:left="-96" w:right="-86"/>
              <w:jc w:val="center"/>
              <w:rPr>
                <w:rFonts w:ascii="Arial Narrow" w:hAnsi="Arial Narrow"/>
                <w:b/>
                <w:sz w:val="20"/>
              </w:rPr>
            </w:pPr>
          </w:p>
        </w:tc>
        <w:tc>
          <w:tcPr>
            <w:tcW w:w="952" w:type="dxa"/>
            <w:shd w:val="clear" w:color="auto" w:fill="auto"/>
            <w:vAlign w:val="center"/>
          </w:tcPr>
          <w:p w:rsidR="00CB5EB0" w:rsidRDefault="00CB5EB0" w:rsidP="00831310">
            <w:pPr>
              <w:widowControl/>
              <w:ind w:left="-96" w:right="-86"/>
              <w:jc w:val="center"/>
              <w:rPr>
                <w:rFonts w:ascii="Arial Narrow" w:hAnsi="Arial Narrow"/>
                <w:b/>
                <w:sz w:val="20"/>
              </w:rPr>
            </w:pPr>
            <w:r>
              <w:rPr>
                <w:rFonts w:ascii="Arial Narrow" w:hAnsi="Arial Narrow"/>
                <w:b/>
                <w:sz w:val="20"/>
              </w:rPr>
              <w:t>10mg</w:t>
            </w:r>
          </w:p>
        </w:tc>
        <w:tc>
          <w:tcPr>
            <w:tcW w:w="951" w:type="dxa"/>
            <w:shd w:val="clear" w:color="auto" w:fill="auto"/>
            <w:vAlign w:val="center"/>
          </w:tcPr>
          <w:p w:rsidR="00CB5EB0" w:rsidRDefault="00CB5EB0" w:rsidP="00831310">
            <w:pPr>
              <w:widowControl/>
              <w:ind w:left="-96" w:right="-86"/>
              <w:jc w:val="center"/>
              <w:rPr>
                <w:rFonts w:ascii="Arial Narrow" w:hAnsi="Arial Narrow"/>
                <w:b/>
                <w:sz w:val="20"/>
              </w:rPr>
            </w:pPr>
            <w:r>
              <w:rPr>
                <w:rFonts w:ascii="Arial Narrow" w:hAnsi="Arial Narrow"/>
                <w:b/>
                <w:sz w:val="20"/>
              </w:rPr>
              <w:t>pooled*</w:t>
            </w:r>
          </w:p>
        </w:tc>
        <w:tc>
          <w:tcPr>
            <w:tcW w:w="952" w:type="dxa"/>
            <w:vMerge/>
            <w:shd w:val="clear" w:color="auto" w:fill="auto"/>
            <w:vAlign w:val="center"/>
          </w:tcPr>
          <w:p w:rsidR="00CB5EB0" w:rsidRPr="00220DD3" w:rsidRDefault="00CB5EB0" w:rsidP="00831310">
            <w:pPr>
              <w:widowControl/>
              <w:ind w:left="-96" w:right="-86"/>
              <w:jc w:val="center"/>
              <w:rPr>
                <w:rFonts w:ascii="Arial Narrow" w:hAnsi="Arial Narrow"/>
                <w:b/>
                <w:sz w:val="20"/>
              </w:rPr>
            </w:pP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Pr>
                <w:rFonts w:ascii="Arial Narrow" w:hAnsi="Arial Narrow"/>
                <w:sz w:val="20"/>
              </w:rPr>
              <w:t>N</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322</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319</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329</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329</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196</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610</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197</w:t>
            </w: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sidRPr="00220DD3">
              <w:rPr>
                <w:rFonts w:ascii="Arial Narrow" w:hAnsi="Arial Narrow"/>
                <w:sz w:val="20"/>
              </w:rPr>
              <w:t xml:space="preserve">With ≥1 </w:t>
            </w:r>
            <w:r>
              <w:rPr>
                <w:rFonts w:ascii="Arial Narrow" w:hAnsi="Arial Narrow"/>
                <w:sz w:val="20"/>
              </w:rPr>
              <w:t>AE</w:t>
            </w:r>
            <w:r w:rsidRPr="00220DD3">
              <w:rPr>
                <w:rFonts w:ascii="Arial Narrow" w:hAnsi="Arial Narrow"/>
                <w:sz w:val="20"/>
              </w:rPr>
              <w:t>s</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168</w:t>
            </w:r>
            <w:r w:rsidRPr="00220DD3">
              <w:rPr>
                <w:rFonts w:ascii="Arial Narrow" w:hAnsi="Arial Narrow"/>
                <w:sz w:val="20"/>
              </w:rPr>
              <w:t xml:space="preserve"> (</w:t>
            </w:r>
            <w:r>
              <w:rPr>
                <w:rFonts w:ascii="Arial Narrow" w:hAnsi="Arial Narrow"/>
                <w:sz w:val="20"/>
              </w:rPr>
              <w:t>52.2</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137 (42.9</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213</w:t>
            </w:r>
            <w:r w:rsidRPr="00220DD3">
              <w:rPr>
                <w:rFonts w:ascii="Arial Narrow" w:hAnsi="Arial Narrow"/>
                <w:sz w:val="20"/>
              </w:rPr>
              <w:t xml:space="preserve"> (</w:t>
            </w:r>
            <w:r>
              <w:rPr>
                <w:rFonts w:ascii="Arial Narrow" w:hAnsi="Arial Narrow"/>
                <w:sz w:val="20"/>
              </w:rPr>
              <w:t>64.7</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230</w:t>
            </w:r>
            <w:r w:rsidRPr="00220DD3">
              <w:rPr>
                <w:rFonts w:ascii="Arial Narrow" w:hAnsi="Arial Narrow"/>
                <w:sz w:val="20"/>
              </w:rPr>
              <w:t xml:space="preserve"> (</w:t>
            </w:r>
            <w:r>
              <w:rPr>
                <w:rFonts w:ascii="Arial Narrow" w:hAnsi="Arial Narrow"/>
                <w:sz w:val="20"/>
              </w:rPr>
              <w:t>69.9</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145</w:t>
            </w:r>
            <w:r w:rsidRPr="00220DD3">
              <w:rPr>
                <w:rFonts w:ascii="Arial Narrow" w:hAnsi="Arial Narrow"/>
                <w:sz w:val="20"/>
              </w:rPr>
              <w:t xml:space="preserve"> (</w:t>
            </w:r>
            <w:r>
              <w:rPr>
                <w:rFonts w:ascii="Arial Narrow" w:hAnsi="Arial Narrow"/>
                <w:sz w:val="20"/>
              </w:rPr>
              <w:t>74.0</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451 (74.0)</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144</w:t>
            </w:r>
            <w:r w:rsidRPr="00220DD3">
              <w:rPr>
                <w:rFonts w:ascii="Arial Narrow" w:hAnsi="Arial Narrow"/>
                <w:sz w:val="20"/>
              </w:rPr>
              <w:t xml:space="preserve"> (</w:t>
            </w:r>
            <w:r>
              <w:rPr>
                <w:rFonts w:ascii="Arial Narrow" w:hAnsi="Arial Narrow"/>
                <w:sz w:val="20"/>
              </w:rPr>
              <w:t>73.1</w:t>
            </w:r>
            <w:r w:rsidRPr="00220DD3">
              <w:rPr>
                <w:rFonts w:ascii="Arial Narrow" w:hAnsi="Arial Narrow"/>
                <w:sz w:val="20"/>
              </w:rPr>
              <w:t>)</w:t>
            </w: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sidRPr="00220DD3">
              <w:rPr>
                <w:rFonts w:ascii="Arial Narrow" w:hAnsi="Arial Narrow"/>
                <w:sz w:val="20"/>
              </w:rPr>
              <w:t xml:space="preserve">Drug-related </w:t>
            </w:r>
            <w:r>
              <w:rPr>
                <w:rFonts w:ascii="Arial Narrow" w:hAnsi="Arial Narrow"/>
                <w:sz w:val="20"/>
              </w:rPr>
              <w:t>AEs</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50</w:t>
            </w:r>
            <w:r w:rsidRPr="00220DD3">
              <w:rPr>
                <w:rFonts w:ascii="Arial Narrow" w:hAnsi="Arial Narrow"/>
                <w:sz w:val="20"/>
              </w:rPr>
              <w:t xml:space="preserve"> (</w:t>
            </w:r>
            <w:r>
              <w:rPr>
                <w:rFonts w:ascii="Arial Narrow" w:hAnsi="Arial Narrow"/>
                <w:sz w:val="20"/>
              </w:rPr>
              <w:t>15.52</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27</w:t>
            </w:r>
            <w:r w:rsidRPr="00220DD3">
              <w:rPr>
                <w:rFonts w:ascii="Arial Narrow" w:hAnsi="Arial Narrow"/>
                <w:sz w:val="20"/>
              </w:rPr>
              <w:t xml:space="preserve"> (</w:t>
            </w:r>
            <w:r>
              <w:rPr>
                <w:rFonts w:ascii="Arial Narrow" w:hAnsi="Arial Narrow"/>
                <w:sz w:val="20"/>
              </w:rPr>
              <w:t>8.5</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48</w:t>
            </w:r>
            <w:r w:rsidRPr="00220DD3">
              <w:rPr>
                <w:rFonts w:ascii="Arial Narrow" w:hAnsi="Arial Narrow"/>
                <w:sz w:val="20"/>
              </w:rPr>
              <w:t xml:space="preserve"> (</w:t>
            </w:r>
            <w:r>
              <w:rPr>
                <w:rFonts w:ascii="Arial Narrow" w:hAnsi="Arial Narrow"/>
                <w:sz w:val="20"/>
              </w:rPr>
              <w:t>14.6</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73</w:t>
            </w:r>
            <w:r w:rsidRPr="00220DD3">
              <w:rPr>
                <w:rFonts w:ascii="Arial Narrow" w:hAnsi="Arial Narrow"/>
                <w:sz w:val="20"/>
              </w:rPr>
              <w:t xml:space="preserve"> (</w:t>
            </w:r>
            <w:r>
              <w:rPr>
                <w:rFonts w:ascii="Arial Narrow" w:hAnsi="Arial Narrow"/>
                <w:sz w:val="20"/>
              </w:rPr>
              <w:t>22.2</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57</w:t>
            </w:r>
            <w:r w:rsidRPr="00220DD3">
              <w:rPr>
                <w:rFonts w:ascii="Arial Narrow" w:hAnsi="Arial Narrow"/>
                <w:sz w:val="20"/>
              </w:rPr>
              <w:t xml:space="preserve"> (</w:t>
            </w:r>
            <w:r>
              <w:rPr>
                <w:rFonts w:ascii="Arial Narrow" w:hAnsi="Arial Narrow"/>
                <w:sz w:val="20"/>
              </w:rPr>
              <w:t>29.1</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162 (26.6)</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41</w:t>
            </w:r>
            <w:r w:rsidRPr="00220DD3">
              <w:rPr>
                <w:rFonts w:ascii="Arial Narrow" w:hAnsi="Arial Narrow"/>
                <w:sz w:val="20"/>
              </w:rPr>
              <w:t xml:space="preserve"> (</w:t>
            </w:r>
            <w:r>
              <w:rPr>
                <w:rFonts w:ascii="Arial Narrow" w:hAnsi="Arial Narrow"/>
                <w:sz w:val="20"/>
              </w:rPr>
              <w:t>20.8</w:t>
            </w:r>
            <w:r w:rsidRPr="00220DD3">
              <w:rPr>
                <w:rFonts w:ascii="Arial Narrow" w:hAnsi="Arial Narrow"/>
                <w:sz w:val="20"/>
              </w:rPr>
              <w:t>)</w:t>
            </w: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sidRPr="00220DD3">
              <w:rPr>
                <w:rFonts w:ascii="Arial Narrow" w:hAnsi="Arial Narrow"/>
                <w:sz w:val="20"/>
              </w:rPr>
              <w:t xml:space="preserve">Serious </w:t>
            </w:r>
            <w:r>
              <w:rPr>
                <w:rFonts w:ascii="Arial Narrow" w:hAnsi="Arial Narrow"/>
                <w:sz w:val="20"/>
              </w:rPr>
              <w:t>AEs</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20</w:t>
            </w:r>
            <w:r w:rsidRPr="00220DD3">
              <w:rPr>
                <w:rFonts w:ascii="Arial Narrow" w:hAnsi="Arial Narrow"/>
                <w:sz w:val="20"/>
              </w:rPr>
              <w:t xml:space="preserve"> (</w:t>
            </w:r>
            <w:r>
              <w:rPr>
                <w:rFonts w:ascii="Arial Narrow" w:hAnsi="Arial Narrow"/>
                <w:sz w:val="20"/>
              </w:rPr>
              <w:t>6.2</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11</w:t>
            </w:r>
            <w:r w:rsidRPr="00220DD3">
              <w:rPr>
                <w:rFonts w:ascii="Arial Narrow" w:hAnsi="Arial Narrow"/>
                <w:sz w:val="20"/>
              </w:rPr>
              <w:t xml:space="preserve"> (</w:t>
            </w:r>
            <w:r>
              <w:rPr>
                <w:rFonts w:ascii="Arial Narrow" w:hAnsi="Arial Narrow"/>
                <w:sz w:val="20"/>
              </w:rPr>
              <w:t>3.4</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13</w:t>
            </w:r>
            <w:r w:rsidRPr="00220DD3">
              <w:rPr>
                <w:rFonts w:ascii="Arial Narrow" w:hAnsi="Arial Narrow"/>
                <w:sz w:val="20"/>
              </w:rPr>
              <w:t xml:space="preserve"> (</w:t>
            </w:r>
            <w:r>
              <w:rPr>
                <w:rFonts w:ascii="Arial Narrow" w:hAnsi="Arial Narrow"/>
                <w:sz w:val="20"/>
              </w:rPr>
              <w:t>4.0</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12</w:t>
            </w:r>
            <w:r w:rsidRPr="00220DD3">
              <w:rPr>
                <w:rFonts w:ascii="Arial Narrow" w:hAnsi="Arial Narrow"/>
                <w:sz w:val="20"/>
              </w:rPr>
              <w:t xml:space="preserve"> (</w:t>
            </w:r>
            <w:r>
              <w:rPr>
                <w:rFonts w:ascii="Arial Narrow" w:hAnsi="Arial Narrow"/>
                <w:sz w:val="20"/>
              </w:rPr>
              <w:t>3.6</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23</w:t>
            </w:r>
            <w:r w:rsidRPr="00220DD3">
              <w:rPr>
                <w:rFonts w:ascii="Arial Narrow" w:hAnsi="Arial Narrow"/>
                <w:sz w:val="20"/>
              </w:rPr>
              <w:t xml:space="preserve"> (</w:t>
            </w:r>
            <w:r>
              <w:rPr>
                <w:rFonts w:ascii="Arial Narrow" w:hAnsi="Arial Narrow"/>
                <w:sz w:val="20"/>
              </w:rPr>
              <w:t>11.7</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69 (11.3)</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26</w:t>
            </w:r>
            <w:r w:rsidRPr="00220DD3">
              <w:rPr>
                <w:rFonts w:ascii="Arial Narrow" w:hAnsi="Arial Narrow"/>
                <w:sz w:val="20"/>
              </w:rPr>
              <w:t xml:space="preserve"> (</w:t>
            </w:r>
            <w:r>
              <w:rPr>
                <w:rFonts w:ascii="Arial Narrow" w:hAnsi="Arial Narrow"/>
                <w:sz w:val="20"/>
              </w:rPr>
              <w:t>13.2</w:t>
            </w:r>
            <w:r w:rsidRPr="00220DD3">
              <w:rPr>
                <w:rFonts w:ascii="Arial Narrow" w:hAnsi="Arial Narrow"/>
                <w:sz w:val="20"/>
              </w:rPr>
              <w:t>)</w:t>
            </w: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sidRPr="00220DD3">
              <w:rPr>
                <w:rFonts w:ascii="Arial Narrow" w:hAnsi="Arial Narrow"/>
                <w:sz w:val="20"/>
              </w:rPr>
              <w:t>Deaths</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0</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0</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2 (0.6)</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 (0.3)</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0</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0</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0</w:t>
            </w: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Pr>
                <w:rFonts w:ascii="Arial Narrow" w:hAnsi="Arial Narrow"/>
                <w:sz w:val="20"/>
              </w:rPr>
              <w:t>Discontinued</w:t>
            </w:r>
            <w:r w:rsidRPr="00220DD3">
              <w:rPr>
                <w:rFonts w:ascii="Arial Narrow" w:hAnsi="Arial Narrow"/>
                <w:sz w:val="20"/>
              </w:rPr>
              <w:t xml:space="preserve"> </w:t>
            </w:r>
            <w:r>
              <w:rPr>
                <w:rFonts w:ascii="Arial Narrow" w:hAnsi="Arial Narrow"/>
                <w:sz w:val="20"/>
              </w:rPr>
              <w:t>AE</w:t>
            </w:r>
            <w:r w:rsidRPr="00220DD3">
              <w:rPr>
                <w:rFonts w:ascii="Arial Narrow" w:hAnsi="Arial Narrow"/>
                <w:sz w:val="20"/>
              </w:rPr>
              <w:t xml:space="preserve">s </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11</w:t>
            </w:r>
            <w:r w:rsidRPr="00220DD3">
              <w:rPr>
                <w:rFonts w:ascii="Arial Narrow" w:hAnsi="Arial Narrow"/>
                <w:sz w:val="20"/>
              </w:rPr>
              <w:t xml:space="preserve"> (</w:t>
            </w:r>
            <w:r>
              <w:rPr>
                <w:rFonts w:ascii="Arial Narrow" w:hAnsi="Arial Narrow"/>
                <w:sz w:val="20"/>
              </w:rPr>
              <w:t>3.4</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4</w:t>
            </w:r>
            <w:r w:rsidRPr="00220DD3">
              <w:rPr>
                <w:rFonts w:ascii="Arial Narrow" w:hAnsi="Arial Narrow"/>
                <w:sz w:val="20"/>
              </w:rPr>
              <w:t xml:space="preserve"> (</w:t>
            </w:r>
            <w:r>
              <w:rPr>
                <w:rFonts w:ascii="Arial Narrow" w:hAnsi="Arial Narrow"/>
                <w:sz w:val="20"/>
              </w:rPr>
              <w:t>1.3</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6</w:t>
            </w:r>
            <w:r w:rsidRPr="00220DD3">
              <w:rPr>
                <w:rFonts w:ascii="Arial Narrow" w:hAnsi="Arial Narrow"/>
                <w:sz w:val="20"/>
              </w:rPr>
              <w:t xml:space="preserve"> (</w:t>
            </w:r>
            <w:r>
              <w:rPr>
                <w:rFonts w:ascii="Arial Narrow" w:hAnsi="Arial Narrow"/>
                <w:sz w:val="20"/>
              </w:rPr>
              <w:t>1.8</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6</w:t>
            </w:r>
            <w:r w:rsidRPr="00220DD3">
              <w:rPr>
                <w:rFonts w:ascii="Arial Narrow" w:hAnsi="Arial Narrow"/>
                <w:sz w:val="20"/>
              </w:rPr>
              <w:t xml:space="preserve"> (</w:t>
            </w:r>
            <w:r>
              <w:rPr>
                <w:rFonts w:ascii="Arial Narrow" w:hAnsi="Arial Narrow"/>
                <w:sz w:val="20"/>
              </w:rPr>
              <w:t>1.8</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10</w:t>
            </w:r>
            <w:r w:rsidRPr="00220DD3">
              <w:rPr>
                <w:rFonts w:ascii="Arial Narrow" w:hAnsi="Arial Narrow"/>
                <w:sz w:val="20"/>
              </w:rPr>
              <w:t xml:space="preserve"> (</w:t>
            </w:r>
            <w:r>
              <w:rPr>
                <w:rFonts w:ascii="Arial Narrow" w:hAnsi="Arial Narrow"/>
                <w:sz w:val="20"/>
              </w:rPr>
              <w:t>5.1</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32 (5.2)</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9</w:t>
            </w:r>
            <w:r w:rsidRPr="00220DD3">
              <w:rPr>
                <w:rFonts w:ascii="Arial Narrow" w:hAnsi="Arial Narrow"/>
                <w:sz w:val="20"/>
              </w:rPr>
              <w:t xml:space="preserve"> (</w:t>
            </w:r>
            <w:r>
              <w:rPr>
                <w:rFonts w:ascii="Arial Narrow" w:hAnsi="Arial Narrow"/>
                <w:sz w:val="20"/>
              </w:rPr>
              <w:t>4.6</w:t>
            </w:r>
            <w:r w:rsidRPr="00220DD3">
              <w:rPr>
                <w:rFonts w:ascii="Arial Narrow" w:hAnsi="Arial Narrow"/>
                <w:sz w:val="20"/>
              </w:rPr>
              <w:t>)</w:t>
            </w: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sidRPr="00220DD3">
              <w:rPr>
                <w:rFonts w:ascii="Arial Narrow" w:hAnsi="Arial Narrow"/>
                <w:sz w:val="20"/>
              </w:rPr>
              <w:t>Drug-related discontinuations</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3</w:t>
            </w:r>
            <w:r w:rsidRPr="00220DD3">
              <w:rPr>
                <w:rFonts w:ascii="Arial Narrow" w:hAnsi="Arial Narrow"/>
                <w:sz w:val="20"/>
              </w:rPr>
              <w:t xml:space="preserve"> (</w:t>
            </w:r>
            <w:r>
              <w:rPr>
                <w:rFonts w:ascii="Arial Narrow" w:hAnsi="Arial Narrow"/>
                <w:sz w:val="20"/>
              </w:rPr>
              <w:t>0.9</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0</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4</w:t>
            </w:r>
            <w:r w:rsidRPr="00220DD3">
              <w:rPr>
                <w:rFonts w:ascii="Arial Narrow" w:hAnsi="Arial Narrow"/>
                <w:sz w:val="20"/>
              </w:rPr>
              <w:t xml:space="preserve"> (</w:t>
            </w:r>
            <w:r>
              <w:rPr>
                <w:rFonts w:ascii="Arial Narrow" w:hAnsi="Arial Narrow"/>
                <w:sz w:val="20"/>
              </w:rPr>
              <w:t>1.2</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2</w:t>
            </w:r>
            <w:r w:rsidRPr="00220DD3">
              <w:rPr>
                <w:rFonts w:ascii="Arial Narrow" w:hAnsi="Arial Narrow"/>
                <w:sz w:val="20"/>
              </w:rPr>
              <w:t xml:space="preserve"> (</w:t>
            </w:r>
            <w:r>
              <w:rPr>
                <w:rFonts w:ascii="Arial Narrow" w:hAnsi="Arial Narrow"/>
                <w:sz w:val="20"/>
              </w:rPr>
              <w:t>0.6</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w:t>
            </w:r>
            <w:r w:rsidRPr="00220DD3">
              <w:rPr>
                <w:rFonts w:ascii="Arial Narrow" w:hAnsi="Arial Narrow"/>
                <w:sz w:val="20"/>
              </w:rPr>
              <w:t xml:space="preserve"> (</w:t>
            </w:r>
            <w:r>
              <w:rPr>
                <w:rFonts w:ascii="Arial Narrow" w:hAnsi="Arial Narrow"/>
                <w:sz w:val="20"/>
              </w:rPr>
              <w:t>0.5</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3 (0.5)</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0</w:t>
            </w:r>
          </w:p>
        </w:tc>
      </w:tr>
      <w:tr w:rsidR="00CB5EB0" w:rsidRPr="00220DD3" w:rsidTr="00CB5EB0">
        <w:tc>
          <w:tcPr>
            <w:tcW w:w="1701" w:type="dxa"/>
            <w:shd w:val="clear" w:color="auto" w:fill="auto"/>
            <w:vAlign w:val="center"/>
          </w:tcPr>
          <w:p w:rsidR="00CB5EB0" w:rsidRPr="00220DD3" w:rsidRDefault="00CB5EB0" w:rsidP="00831310">
            <w:pPr>
              <w:widowControl/>
              <w:ind w:left="-80" w:right="-106"/>
              <w:rPr>
                <w:rFonts w:ascii="Arial Narrow" w:hAnsi="Arial Narrow"/>
                <w:sz w:val="20"/>
              </w:rPr>
            </w:pPr>
            <w:r w:rsidRPr="00220DD3">
              <w:rPr>
                <w:rFonts w:ascii="Arial Narrow" w:hAnsi="Arial Narrow"/>
                <w:sz w:val="20"/>
              </w:rPr>
              <w:t xml:space="preserve">Discontinued </w:t>
            </w:r>
            <w:r>
              <w:rPr>
                <w:rFonts w:ascii="Arial Narrow" w:hAnsi="Arial Narrow"/>
                <w:sz w:val="20"/>
              </w:rPr>
              <w:t>SAE</w:t>
            </w:r>
            <w:r w:rsidRPr="00220DD3">
              <w:rPr>
                <w:rFonts w:ascii="Arial Narrow" w:hAnsi="Arial Narrow"/>
                <w:sz w:val="20"/>
              </w:rPr>
              <w:t>s</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5</w:t>
            </w:r>
            <w:r w:rsidRPr="00220DD3">
              <w:rPr>
                <w:rFonts w:ascii="Arial Narrow" w:hAnsi="Arial Narrow"/>
                <w:sz w:val="20"/>
              </w:rPr>
              <w:t xml:space="preserve"> (</w:t>
            </w:r>
            <w:r>
              <w:rPr>
                <w:rFonts w:ascii="Arial Narrow" w:hAnsi="Arial Narrow"/>
                <w:sz w:val="20"/>
              </w:rPr>
              <w:t>1.6</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2</w:t>
            </w:r>
            <w:r w:rsidRPr="00220DD3">
              <w:rPr>
                <w:rFonts w:ascii="Arial Narrow" w:hAnsi="Arial Narrow"/>
                <w:sz w:val="20"/>
              </w:rPr>
              <w:t xml:space="preserve"> (</w:t>
            </w:r>
            <w:r>
              <w:rPr>
                <w:rFonts w:ascii="Arial Narrow" w:hAnsi="Arial Narrow"/>
                <w:sz w:val="20"/>
              </w:rPr>
              <w:t>0.6</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0</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2</w:t>
            </w:r>
            <w:r w:rsidRPr="00220DD3">
              <w:rPr>
                <w:rFonts w:ascii="Arial Narrow" w:hAnsi="Arial Narrow"/>
                <w:sz w:val="20"/>
              </w:rPr>
              <w:t xml:space="preserve"> (</w:t>
            </w:r>
            <w:r>
              <w:rPr>
                <w:rFonts w:ascii="Arial Narrow" w:hAnsi="Arial Narrow"/>
                <w:sz w:val="20"/>
              </w:rPr>
              <w:t>0.6</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5</w:t>
            </w:r>
            <w:r w:rsidRPr="00220DD3">
              <w:rPr>
                <w:rFonts w:ascii="Arial Narrow" w:hAnsi="Arial Narrow"/>
                <w:sz w:val="20"/>
              </w:rPr>
              <w:t xml:space="preserve"> (</w:t>
            </w:r>
            <w:r>
              <w:rPr>
                <w:rFonts w:ascii="Arial Narrow" w:hAnsi="Arial Narrow"/>
                <w:sz w:val="20"/>
              </w:rPr>
              <w:t>2.6</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12 (2.0)</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3</w:t>
            </w:r>
            <w:r w:rsidRPr="00220DD3">
              <w:rPr>
                <w:rFonts w:ascii="Arial Narrow" w:hAnsi="Arial Narrow"/>
                <w:sz w:val="20"/>
              </w:rPr>
              <w:t xml:space="preserve"> (</w:t>
            </w:r>
            <w:r>
              <w:rPr>
                <w:rFonts w:ascii="Arial Narrow" w:hAnsi="Arial Narrow"/>
                <w:sz w:val="20"/>
              </w:rPr>
              <w:t>1.5</w:t>
            </w:r>
            <w:r w:rsidRPr="00220DD3">
              <w:rPr>
                <w:rFonts w:ascii="Arial Narrow" w:hAnsi="Arial Narrow"/>
                <w:sz w:val="20"/>
              </w:rPr>
              <w:t>)</w:t>
            </w:r>
          </w:p>
        </w:tc>
      </w:tr>
      <w:tr w:rsidR="00CB5EB0" w:rsidRPr="00220DD3" w:rsidTr="00CB5EB0">
        <w:trPr>
          <w:trHeight w:val="612"/>
        </w:trPr>
        <w:tc>
          <w:tcPr>
            <w:tcW w:w="1701" w:type="dxa"/>
            <w:shd w:val="clear" w:color="auto" w:fill="auto"/>
            <w:vAlign w:val="center"/>
          </w:tcPr>
          <w:p w:rsidR="00CB5EB0" w:rsidRDefault="00CB5EB0" w:rsidP="00831310">
            <w:pPr>
              <w:widowControl/>
              <w:tabs>
                <w:tab w:val="right" w:pos="1485"/>
              </w:tabs>
              <w:ind w:left="-80"/>
              <w:rPr>
                <w:rFonts w:ascii="Arial Narrow" w:hAnsi="Arial Narrow"/>
                <w:sz w:val="20"/>
              </w:rPr>
            </w:pPr>
            <w:r w:rsidRPr="00220DD3">
              <w:rPr>
                <w:rFonts w:ascii="Arial Narrow" w:hAnsi="Arial Narrow"/>
                <w:sz w:val="20"/>
              </w:rPr>
              <w:t>Hypoglycaemia</w:t>
            </w:r>
          </w:p>
          <w:p w:rsidR="00CB5EB0" w:rsidRPr="00220DD3" w:rsidRDefault="00CB5EB0" w:rsidP="00831310">
            <w:pPr>
              <w:widowControl/>
              <w:tabs>
                <w:tab w:val="right" w:pos="1485"/>
              </w:tabs>
              <w:ind w:left="-80"/>
              <w:rPr>
                <w:rFonts w:ascii="Arial Narrow" w:hAnsi="Arial Narrow"/>
                <w:sz w:val="20"/>
              </w:rPr>
            </w:pPr>
            <w:r>
              <w:rPr>
                <w:rFonts w:ascii="Arial Narrow" w:hAnsi="Arial Narrow"/>
                <w:sz w:val="20"/>
              </w:rPr>
              <w:tab/>
              <w:t>≥1 event</w:t>
            </w:r>
          </w:p>
          <w:p w:rsidR="00CB5EB0" w:rsidRPr="00220DD3" w:rsidRDefault="00CB5EB0" w:rsidP="00831310">
            <w:pPr>
              <w:widowControl/>
              <w:tabs>
                <w:tab w:val="right" w:pos="1485"/>
              </w:tabs>
              <w:ind w:left="-80"/>
              <w:jc w:val="left"/>
              <w:rPr>
                <w:rFonts w:ascii="Arial Narrow" w:hAnsi="Arial Narrow"/>
                <w:sz w:val="20"/>
              </w:rPr>
            </w:pPr>
            <w:r>
              <w:rPr>
                <w:rFonts w:ascii="Arial Narrow" w:hAnsi="Arial Narrow"/>
                <w:sz w:val="20"/>
              </w:rPr>
              <w:tab/>
              <w:t>with assistance</w:t>
            </w:r>
          </w:p>
          <w:p w:rsidR="00CB5EB0" w:rsidRPr="00220DD3" w:rsidRDefault="00CB5EB0" w:rsidP="00831310">
            <w:pPr>
              <w:widowControl/>
              <w:tabs>
                <w:tab w:val="right" w:pos="1485"/>
              </w:tabs>
              <w:ind w:left="-80"/>
              <w:jc w:val="left"/>
              <w:rPr>
                <w:rFonts w:ascii="Arial Narrow" w:hAnsi="Arial Narrow"/>
                <w:sz w:val="20"/>
              </w:rPr>
            </w:pPr>
            <w:r>
              <w:rPr>
                <w:rFonts w:ascii="Arial Narrow" w:hAnsi="Arial Narrow"/>
                <w:sz w:val="20"/>
              </w:rPr>
              <w:tab/>
            </w:r>
            <w:proofErr w:type="gramStart"/>
            <w:r>
              <w:rPr>
                <w:rFonts w:ascii="Arial Narrow" w:hAnsi="Arial Narrow"/>
                <w:sz w:val="20"/>
              </w:rPr>
              <w:t>with</w:t>
            </w:r>
            <w:proofErr w:type="gramEnd"/>
            <w:r>
              <w:rPr>
                <w:rFonts w:ascii="Arial Narrow" w:hAnsi="Arial Narrow"/>
                <w:sz w:val="20"/>
              </w:rPr>
              <w:t xml:space="preserve"> medical assist.</w:t>
            </w:r>
          </w:p>
        </w:tc>
        <w:tc>
          <w:tcPr>
            <w:tcW w:w="951" w:type="dxa"/>
            <w:shd w:val="clear" w:color="auto" w:fill="auto"/>
            <w:vAlign w:val="center"/>
          </w:tcPr>
          <w:p w:rsidR="00CB5EB0" w:rsidRDefault="00CB5EB0" w:rsidP="00831310">
            <w:pPr>
              <w:widowControl/>
              <w:jc w:val="center"/>
              <w:rPr>
                <w:rFonts w:ascii="Arial Narrow" w:hAnsi="Arial Narrow"/>
                <w:sz w:val="20"/>
              </w:rPr>
            </w:pPr>
          </w:p>
          <w:p w:rsidR="00CB5EB0" w:rsidRDefault="00CB5EB0" w:rsidP="00831310">
            <w:pPr>
              <w:widowControl/>
              <w:jc w:val="center"/>
              <w:rPr>
                <w:rFonts w:ascii="Arial Narrow" w:hAnsi="Arial Narrow"/>
                <w:sz w:val="20"/>
              </w:rPr>
            </w:pPr>
            <w:r>
              <w:rPr>
                <w:rFonts w:ascii="Arial Narrow" w:hAnsi="Arial Narrow"/>
                <w:sz w:val="20"/>
              </w:rPr>
              <w:t>50</w:t>
            </w:r>
            <w:r w:rsidRPr="00220DD3">
              <w:rPr>
                <w:rFonts w:ascii="Arial Narrow" w:hAnsi="Arial Narrow"/>
                <w:sz w:val="20"/>
              </w:rPr>
              <w:t xml:space="preserve"> (</w:t>
            </w:r>
            <w:r>
              <w:rPr>
                <w:rFonts w:ascii="Arial Narrow" w:hAnsi="Arial Narrow"/>
                <w:sz w:val="20"/>
              </w:rPr>
              <w:t>15.5</w:t>
            </w:r>
            <w:r w:rsidRPr="00220DD3">
              <w:rPr>
                <w:rFonts w:ascii="Arial Narrow" w:hAnsi="Arial Narrow"/>
                <w:sz w:val="20"/>
              </w:rPr>
              <w:t>)</w:t>
            </w:r>
          </w:p>
          <w:p w:rsidR="00CB5EB0" w:rsidRDefault="00CB5EB0" w:rsidP="00831310">
            <w:pPr>
              <w:widowControl/>
              <w:jc w:val="center"/>
              <w:rPr>
                <w:rFonts w:ascii="Arial Narrow" w:hAnsi="Arial Narrow"/>
                <w:sz w:val="20"/>
              </w:rPr>
            </w:pPr>
            <w:r>
              <w:rPr>
                <w:rFonts w:ascii="Arial Narrow" w:hAnsi="Arial Narrow"/>
                <w:sz w:val="20"/>
              </w:rPr>
              <w:t>0</w:t>
            </w:r>
          </w:p>
          <w:p w:rsidR="00CB5EB0" w:rsidRPr="00220DD3" w:rsidRDefault="00CB5EB0" w:rsidP="00831310">
            <w:pPr>
              <w:widowControl/>
              <w:jc w:val="center"/>
              <w:rPr>
                <w:rFonts w:ascii="Arial Narrow" w:hAnsi="Arial Narrow"/>
                <w:sz w:val="20"/>
              </w:rPr>
            </w:pPr>
            <w:r>
              <w:rPr>
                <w:rFonts w:ascii="Arial Narrow" w:hAnsi="Arial Narrow"/>
                <w:sz w:val="20"/>
              </w:rPr>
              <w:t>2</w:t>
            </w:r>
            <w:r w:rsidRPr="00220DD3">
              <w:rPr>
                <w:rFonts w:ascii="Arial Narrow" w:hAnsi="Arial Narrow"/>
                <w:sz w:val="20"/>
              </w:rPr>
              <w:t xml:space="preserve"> (</w:t>
            </w:r>
            <w:r>
              <w:rPr>
                <w:rFonts w:ascii="Arial Narrow" w:hAnsi="Arial Narrow"/>
                <w:sz w:val="20"/>
              </w:rPr>
              <w:t>0.6</w:t>
            </w:r>
            <w:r w:rsidRPr="00220DD3">
              <w:rPr>
                <w:rFonts w:ascii="Arial Narrow" w:hAnsi="Arial Narrow"/>
                <w:sz w:val="20"/>
              </w:rPr>
              <w:t>)</w:t>
            </w:r>
          </w:p>
        </w:tc>
        <w:tc>
          <w:tcPr>
            <w:tcW w:w="951" w:type="dxa"/>
            <w:shd w:val="clear" w:color="auto" w:fill="auto"/>
            <w:vAlign w:val="center"/>
          </w:tcPr>
          <w:p w:rsidR="00CB5EB0" w:rsidRDefault="00CB5EB0" w:rsidP="00831310">
            <w:pPr>
              <w:widowControl/>
              <w:jc w:val="center"/>
              <w:rPr>
                <w:rFonts w:ascii="Arial Narrow" w:hAnsi="Arial Narrow"/>
                <w:sz w:val="20"/>
              </w:rPr>
            </w:pPr>
          </w:p>
          <w:p w:rsidR="00CB5EB0" w:rsidRDefault="00CB5EB0" w:rsidP="00831310">
            <w:pPr>
              <w:widowControl/>
              <w:jc w:val="center"/>
              <w:rPr>
                <w:rFonts w:ascii="Arial Narrow" w:hAnsi="Arial Narrow"/>
                <w:sz w:val="20"/>
              </w:rPr>
            </w:pPr>
            <w:r>
              <w:rPr>
                <w:rFonts w:ascii="Arial Narrow" w:hAnsi="Arial Narrow"/>
                <w:sz w:val="20"/>
              </w:rPr>
              <w:t>25</w:t>
            </w:r>
            <w:r w:rsidRPr="00220DD3">
              <w:rPr>
                <w:rFonts w:ascii="Arial Narrow" w:hAnsi="Arial Narrow"/>
                <w:sz w:val="20"/>
              </w:rPr>
              <w:t xml:space="preserve"> (</w:t>
            </w:r>
            <w:r>
              <w:rPr>
                <w:rFonts w:ascii="Arial Narrow" w:hAnsi="Arial Narrow"/>
                <w:sz w:val="20"/>
              </w:rPr>
              <w:t>7.8</w:t>
            </w:r>
            <w:r w:rsidRPr="00220DD3">
              <w:rPr>
                <w:rFonts w:ascii="Arial Narrow" w:hAnsi="Arial Narrow"/>
                <w:sz w:val="20"/>
              </w:rPr>
              <w:t>)</w:t>
            </w:r>
          </w:p>
          <w:p w:rsidR="00CB5EB0" w:rsidRDefault="00CB5EB0" w:rsidP="00831310">
            <w:pPr>
              <w:widowControl/>
              <w:jc w:val="center"/>
              <w:rPr>
                <w:rFonts w:ascii="Arial Narrow" w:hAnsi="Arial Narrow"/>
                <w:sz w:val="20"/>
              </w:rPr>
            </w:pPr>
            <w:r>
              <w:rPr>
                <w:rFonts w:ascii="Arial Narrow" w:hAnsi="Arial Narrow"/>
                <w:sz w:val="20"/>
              </w:rPr>
              <w:t>0</w:t>
            </w:r>
          </w:p>
          <w:p w:rsidR="00CB5EB0" w:rsidRPr="00220DD3" w:rsidRDefault="00CB5EB0" w:rsidP="00831310">
            <w:pPr>
              <w:widowControl/>
              <w:jc w:val="center"/>
              <w:rPr>
                <w:rFonts w:ascii="Arial Narrow" w:hAnsi="Arial Narrow"/>
                <w:sz w:val="20"/>
              </w:rPr>
            </w:pPr>
            <w:r>
              <w:rPr>
                <w:rFonts w:ascii="Arial Narrow" w:hAnsi="Arial Narrow"/>
                <w:sz w:val="20"/>
              </w:rPr>
              <w:t>1</w:t>
            </w:r>
            <w:r w:rsidRPr="00220DD3">
              <w:rPr>
                <w:rFonts w:ascii="Arial Narrow" w:hAnsi="Arial Narrow"/>
                <w:sz w:val="20"/>
              </w:rPr>
              <w:t xml:space="preserve"> (</w:t>
            </w:r>
            <w:r>
              <w:rPr>
                <w:rFonts w:ascii="Arial Narrow" w:hAnsi="Arial Narrow"/>
                <w:sz w:val="20"/>
              </w:rPr>
              <w:t>0.3</w:t>
            </w:r>
            <w:r w:rsidRPr="00220DD3">
              <w:rPr>
                <w:rFonts w:ascii="Arial Narrow" w:hAnsi="Arial Narrow"/>
                <w:sz w:val="20"/>
              </w:rPr>
              <w:t>)</w:t>
            </w:r>
          </w:p>
        </w:tc>
        <w:tc>
          <w:tcPr>
            <w:tcW w:w="952" w:type="dxa"/>
            <w:shd w:val="clear" w:color="auto" w:fill="auto"/>
            <w:vAlign w:val="center"/>
          </w:tcPr>
          <w:p w:rsidR="00CB5EB0" w:rsidRDefault="00CB5EB0" w:rsidP="00831310">
            <w:pPr>
              <w:widowControl/>
              <w:jc w:val="center"/>
              <w:rPr>
                <w:rFonts w:ascii="Arial Narrow" w:hAnsi="Arial Narrow"/>
                <w:sz w:val="20"/>
              </w:rPr>
            </w:pPr>
          </w:p>
          <w:p w:rsidR="00CB5EB0" w:rsidRDefault="00CB5EB0" w:rsidP="00831310">
            <w:pPr>
              <w:widowControl/>
              <w:jc w:val="center"/>
              <w:rPr>
                <w:rFonts w:ascii="Arial Narrow" w:hAnsi="Arial Narrow"/>
                <w:sz w:val="20"/>
              </w:rPr>
            </w:pPr>
            <w:r>
              <w:rPr>
                <w:rFonts w:ascii="Arial Narrow" w:hAnsi="Arial Narrow"/>
                <w:sz w:val="20"/>
              </w:rPr>
              <w:t>93</w:t>
            </w:r>
            <w:r w:rsidRPr="00220DD3">
              <w:rPr>
                <w:rFonts w:ascii="Arial Narrow" w:hAnsi="Arial Narrow"/>
                <w:sz w:val="20"/>
              </w:rPr>
              <w:t xml:space="preserve"> (</w:t>
            </w:r>
            <w:r>
              <w:rPr>
                <w:rFonts w:ascii="Arial Narrow" w:hAnsi="Arial Narrow"/>
                <w:sz w:val="20"/>
              </w:rPr>
              <w:t>28.3</w:t>
            </w:r>
            <w:r w:rsidRPr="00220DD3">
              <w:rPr>
                <w:rFonts w:ascii="Arial Narrow" w:hAnsi="Arial Narrow"/>
                <w:sz w:val="20"/>
              </w:rPr>
              <w:t>)</w:t>
            </w:r>
          </w:p>
          <w:p w:rsidR="00CB5EB0" w:rsidRDefault="00CB5EB0" w:rsidP="00831310">
            <w:pPr>
              <w:widowControl/>
              <w:jc w:val="center"/>
              <w:rPr>
                <w:rFonts w:ascii="Arial Narrow" w:hAnsi="Arial Narrow"/>
                <w:sz w:val="20"/>
              </w:rPr>
            </w:pPr>
            <w:r>
              <w:rPr>
                <w:rFonts w:ascii="Arial Narrow" w:hAnsi="Arial Narrow"/>
                <w:sz w:val="20"/>
              </w:rPr>
              <w:t>6</w:t>
            </w:r>
            <w:r w:rsidRPr="00220DD3">
              <w:rPr>
                <w:rFonts w:ascii="Arial Narrow" w:hAnsi="Arial Narrow"/>
                <w:sz w:val="20"/>
              </w:rPr>
              <w:t xml:space="preserve"> (</w:t>
            </w:r>
            <w:r>
              <w:rPr>
                <w:rFonts w:ascii="Arial Narrow" w:hAnsi="Arial Narrow"/>
                <w:sz w:val="20"/>
              </w:rPr>
              <w:t>1.8</w:t>
            </w:r>
            <w:r w:rsidRPr="00220DD3">
              <w:rPr>
                <w:rFonts w:ascii="Arial Narrow" w:hAnsi="Arial Narrow"/>
                <w:sz w:val="20"/>
              </w:rPr>
              <w:t>)</w:t>
            </w:r>
          </w:p>
          <w:p w:rsidR="00CB5EB0" w:rsidRPr="00220DD3" w:rsidRDefault="00CB5EB0" w:rsidP="00831310">
            <w:pPr>
              <w:widowControl/>
              <w:jc w:val="center"/>
              <w:rPr>
                <w:rFonts w:ascii="Arial Narrow" w:hAnsi="Arial Narrow"/>
                <w:sz w:val="20"/>
              </w:rPr>
            </w:pPr>
            <w:r>
              <w:rPr>
                <w:rFonts w:ascii="Arial Narrow" w:hAnsi="Arial Narrow"/>
                <w:sz w:val="20"/>
              </w:rPr>
              <w:t>4</w:t>
            </w:r>
            <w:r w:rsidRPr="00220DD3">
              <w:rPr>
                <w:rFonts w:ascii="Arial Narrow" w:hAnsi="Arial Narrow"/>
                <w:sz w:val="20"/>
              </w:rPr>
              <w:t xml:space="preserve"> (</w:t>
            </w:r>
            <w:r>
              <w:rPr>
                <w:rFonts w:ascii="Arial Narrow" w:hAnsi="Arial Narrow"/>
                <w:sz w:val="20"/>
              </w:rPr>
              <w:t>1.2</w:t>
            </w:r>
            <w:r w:rsidRPr="00220DD3">
              <w:rPr>
                <w:rFonts w:ascii="Arial Narrow" w:hAnsi="Arial Narrow"/>
                <w:sz w:val="20"/>
              </w:rPr>
              <w:t>)</w:t>
            </w:r>
          </w:p>
        </w:tc>
        <w:tc>
          <w:tcPr>
            <w:tcW w:w="951" w:type="dxa"/>
            <w:shd w:val="clear" w:color="auto" w:fill="auto"/>
            <w:vAlign w:val="center"/>
          </w:tcPr>
          <w:p w:rsidR="00CB5EB0" w:rsidRDefault="00CB5EB0" w:rsidP="00831310">
            <w:pPr>
              <w:widowControl/>
              <w:ind w:left="-59" w:right="-63"/>
              <w:jc w:val="center"/>
              <w:rPr>
                <w:rFonts w:ascii="Arial Narrow" w:hAnsi="Arial Narrow"/>
                <w:sz w:val="20"/>
              </w:rPr>
            </w:pPr>
          </w:p>
          <w:p w:rsidR="00CB5EB0" w:rsidRDefault="00CB5EB0" w:rsidP="00831310">
            <w:pPr>
              <w:widowControl/>
              <w:ind w:left="-59" w:right="-63"/>
              <w:jc w:val="center"/>
              <w:rPr>
                <w:rFonts w:ascii="Arial Narrow" w:hAnsi="Arial Narrow"/>
                <w:sz w:val="20"/>
              </w:rPr>
            </w:pPr>
            <w:r>
              <w:rPr>
                <w:rFonts w:ascii="Arial Narrow" w:hAnsi="Arial Narrow"/>
                <w:sz w:val="20"/>
              </w:rPr>
              <w:t xml:space="preserve">144 </w:t>
            </w:r>
            <w:r w:rsidRPr="00220DD3">
              <w:rPr>
                <w:rFonts w:ascii="Arial Narrow" w:hAnsi="Arial Narrow"/>
                <w:sz w:val="20"/>
              </w:rPr>
              <w:t>(</w:t>
            </w:r>
            <w:r>
              <w:rPr>
                <w:rFonts w:ascii="Arial Narrow" w:hAnsi="Arial Narrow"/>
                <w:sz w:val="20"/>
              </w:rPr>
              <w:t>43.8</w:t>
            </w:r>
            <w:r w:rsidRPr="00220DD3">
              <w:rPr>
                <w:rFonts w:ascii="Arial Narrow" w:hAnsi="Arial Narrow"/>
                <w:sz w:val="20"/>
              </w:rPr>
              <w:t>)</w:t>
            </w:r>
          </w:p>
          <w:p w:rsidR="00CB5EB0" w:rsidRDefault="00CB5EB0" w:rsidP="00831310">
            <w:pPr>
              <w:widowControl/>
              <w:jc w:val="center"/>
              <w:rPr>
                <w:rFonts w:ascii="Arial Narrow" w:hAnsi="Arial Narrow"/>
                <w:sz w:val="20"/>
              </w:rPr>
            </w:pPr>
            <w:r>
              <w:rPr>
                <w:rFonts w:ascii="Arial Narrow" w:hAnsi="Arial Narrow"/>
                <w:sz w:val="20"/>
              </w:rPr>
              <w:t>9</w:t>
            </w:r>
            <w:r w:rsidRPr="00220DD3">
              <w:rPr>
                <w:rFonts w:ascii="Arial Narrow" w:hAnsi="Arial Narrow"/>
                <w:sz w:val="20"/>
              </w:rPr>
              <w:t xml:space="preserve"> (</w:t>
            </w:r>
            <w:r>
              <w:rPr>
                <w:rFonts w:ascii="Arial Narrow" w:hAnsi="Arial Narrow"/>
                <w:sz w:val="20"/>
              </w:rPr>
              <w:t>2.7</w:t>
            </w:r>
            <w:r w:rsidRPr="00220DD3">
              <w:rPr>
                <w:rFonts w:ascii="Arial Narrow" w:hAnsi="Arial Narrow"/>
                <w:sz w:val="20"/>
              </w:rPr>
              <w:t>)</w:t>
            </w:r>
          </w:p>
          <w:p w:rsidR="00CB5EB0" w:rsidRPr="00220DD3" w:rsidRDefault="00CB5EB0" w:rsidP="00831310">
            <w:pPr>
              <w:widowControl/>
              <w:jc w:val="center"/>
              <w:rPr>
                <w:rFonts w:ascii="Arial Narrow" w:hAnsi="Arial Narrow"/>
                <w:sz w:val="20"/>
              </w:rPr>
            </w:pPr>
            <w:r>
              <w:rPr>
                <w:rFonts w:ascii="Arial Narrow" w:hAnsi="Arial Narrow"/>
                <w:sz w:val="20"/>
              </w:rPr>
              <w:t>4</w:t>
            </w:r>
            <w:r w:rsidRPr="00220DD3">
              <w:rPr>
                <w:rFonts w:ascii="Arial Narrow" w:hAnsi="Arial Narrow"/>
                <w:sz w:val="20"/>
              </w:rPr>
              <w:t xml:space="preserve"> (</w:t>
            </w:r>
            <w:r>
              <w:rPr>
                <w:rFonts w:ascii="Arial Narrow" w:hAnsi="Arial Narrow"/>
                <w:sz w:val="20"/>
              </w:rPr>
              <w:t>1.2</w:t>
            </w:r>
            <w:r w:rsidRPr="00220DD3">
              <w:rPr>
                <w:rFonts w:ascii="Arial Narrow" w:hAnsi="Arial Narrow"/>
                <w:sz w:val="20"/>
              </w:rPr>
              <w:t>)</w:t>
            </w:r>
          </w:p>
        </w:tc>
        <w:tc>
          <w:tcPr>
            <w:tcW w:w="952" w:type="dxa"/>
            <w:shd w:val="clear" w:color="auto" w:fill="auto"/>
            <w:vAlign w:val="center"/>
          </w:tcPr>
          <w:p w:rsidR="00CB5EB0" w:rsidRDefault="00CB5EB0" w:rsidP="00831310">
            <w:pPr>
              <w:widowControl/>
              <w:ind w:left="-96" w:right="-86"/>
              <w:jc w:val="center"/>
              <w:rPr>
                <w:rFonts w:ascii="Arial Narrow" w:hAnsi="Arial Narrow"/>
                <w:sz w:val="20"/>
              </w:rPr>
            </w:pPr>
          </w:p>
          <w:p w:rsidR="00CB5EB0" w:rsidRDefault="00CB5EB0" w:rsidP="00831310">
            <w:pPr>
              <w:widowControl/>
              <w:ind w:left="-96" w:right="-86"/>
              <w:jc w:val="center"/>
              <w:rPr>
                <w:rFonts w:ascii="Arial Narrow" w:hAnsi="Arial Narrow"/>
                <w:sz w:val="20"/>
              </w:rPr>
            </w:pPr>
            <w:r>
              <w:rPr>
                <w:rFonts w:ascii="Arial Narrow" w:hAnsi="Arial Narrow"/>
                <w:sz w:val="20"/>
              </w:rPr>
              <w:t>105</w:t>
            </w:r>
            <w:r w:rsidRPr="00220DD3">
              <w:rPr>
                <w:rFonts w:ascii="Arial Narrow" w:hAnsi="Arial Narrow"/>
                <w:sz w:val="20"/>
              </w:rPr>
              <w:t xml:space="preserve"> (</w:t>
            </w:r>
            <w:r>
              <w:rPr>
                <w:rFonts w:ascii="Arial Narrow" w:hAnsi="Arial Narrow"/>
                <w:sz w:val="20"/>
              </w:rPr>
              <w:t>53.6</w:t>
            </w:r>
            <w:r w:rsidRPr="00220DD3">
              <w:rPr>
                <w:rFonts w:ascii="Arial Narrow" w:hAnsi="Arial Narrow"/>
                <w:sz w:val="20"/>
              </w:rPr>
              <w:t>)</w:t>
            </w:r>
          </w:p>
          <w:p w:rsidR="00CB5EB0" w:rsidRDefault="00CB5EB0" w:rsidP="00831310">
            <w:pPr>
              <w:widowControl/>
              <w:ind w:left="-96" w:right="-86"/>
              <w:jc w:val="center"/>
              <w:rPr>
                <w:rFonts w:ascii="Arial Narrow" w:hAnsi="Arial Narrow"/>
                <w:sz w:val="20"/>
              </w:rPr>
            </w:pPr>
            <w:r>
              <w:rPr>
                <w:rFonts w:ascii="Arial Narrow" w:hAnsi="Arial Narrow"/>
                <w:sz w:val="20"/>
              </w:rPr>
              <w:t>NR</w:t>
            </w:r>
          </w:p>
          <w:p w:rsidR="00CB5EB0" w:rsidRDefault="00CB5EB0" w:rsidP="00831310">
            <w:pPr>
              <w:widowControl/>
              <w:ind w:left="-96" w:right="-86"/>
              <w:jc w:val="center"/>
              <w:rPr>
                <w:rFonts w:ascii="Arial Narrow" w:hAnsi="Arial Narrow"/>
                <w:sz w:val="20"/>
              </w:rPr>
            </w:pPr>
            <w:r>
              <w:rPr>
                <w:rFonts w:ascii="Arial Narrow" w:hAnsi="Arial Narrow"/>
                <w:sz w:val="20"/>
              </w:rPr>
              <w:t>3</w:t>
            </w:r>
            <w:r w:rsidRPr="00220DD3">
              <w:rPr>
                <w:rFonts w:ascii="Arial Narrow" w:hAnsi="Arial Narrow"/>
                <w:sz w:val="20"/>
              </w:rPr>
              <w:t xml:space="preserve"> (</w:t>
            </w:r>
            <w:r>
              <w:rPr>
                <w:rFonts w:ascii="Arial Narrow" w:hAnsi="Arial Narrow"/>
                <w:sz w:val="20"/>
              </w:rPr>
              <w:t>1.5</w:t>
            </w:r>
            <w:r w:rsidRPr="00220DD3">
              <w:rPr>
                <w:rFonts w:ascii="Arial Narrow" w:hAnsi="Arial Narrow"/>
                <w:sz w:val="20"/>
              </w:rPr>
              <w:t>)</w:t>
            </w:r>
          </w:p>
        </w:tc>
        <w:tc>
          <w:tcPr>
            <w:tcW w:w="951" w:type="dxa"/>
            <w:shd w:val="clear" w:color="auto" w:fill="auto"/>
            <w:vAlign w:val="center"/>
          </w:tcPr>
          <w:p w:rsidR="00CB5EB0" w:rsidRDefault="00CB5EB0" w:rsidP="00831310">
            <w:pPr>
              <w:widowControl/>
              <w:ind w:left="-96" w:right="-86"/>
              <w:jc w:val="center"/>
              <w:rPr>
                <w:rFonts w:ascii="Arial Narrow" w:hAnsi="Arial Narrow"/>
                <w:sz w:val="20"/>
              </w:rPr>
            </w:pPr>
          </w:p>
          <w:p w:rsidR="00CB5EB0" w:rsidRDefault="00CB5EB0" w:rsidP="00831310">
            <w:pPr>
              <w:widowControl/>
              <w:ind w:left="-96" w:right="-86"/>
              <w:jc w:val="center"/>
              <w:rPr>
                <w:rFonts w:ascii="Arial Narrow" w:hAnsi="Arial Narrow"/>
                <w:sz w:val="20"/>
              </w:rPr>
            </w:pPr>
            <w:r>
              <w:rPr>
                <w:rFonts w:ascii="Arial Narrow" w:hAnsi="Arial Narrow"/>
                <w:sz w:val="20"/>
              </w:rPr>
              <w:t>345 (56.6)</w:t>
            </w:r>
          </w:p>
          <w:p w:rsidR="00CB5EB0" w:rsidRDefault="00CB5EB0" w:rsidP="00831310">
            <w:pPr>
              <w:widowControl/>
              <w:ind w:left="-96" w:right="-86"/>
              <w:jc w:val="center"/>
              <w:rPr>
                <w:rFonts w:ascii="Arial Narrow" w:hAnsi="Arial Narrow"/>
                <w:sz w:val="20"/>
              </w:rPr>
            </w:pPr>
            <w:r>
              <w:rPr>
                <w:rFonts w:ascii="Arial Narrow" w:hAnsi="Arial Narrow"/>
                <w:sz w:val="20"/>
              </w:rPr>
              <w:t>NR</w:t>
            </w:r>
          </w:p>
          <w:p w:rsidR="00CB5EB0" w:rsidRPr="00220DD3" w:rsidRDefault="00CB5EB0" w:rsidP="00831310">
            <w:pPr>
              <w:widowControl/>
              <w:ind w:left="-96" w:right="-86"/>
              <w:jc w:val="center"/>
              <w:rPr>
                <w:rFonts w:ascii="Arial Narrow" w:hAnsi="Arial Narrow"/>
                <w:sz w:val="20"/>
              </w:rPr>
            </w:pPr>
            <w:r>
              <w:rPr>
                <w:rFonts w:ascii="Arial Narrow" w:hAnsi="Arial Narrow"/>
                <w:sz w:val="20"/>
              </w:rPr>
              <w:t>8 (1.3)</w:t>
            </w:r>
          </w:p>
        </w:tc>
        <w:tc>
          <w:tcPr>
            <w:tcW w:w="952" w:type="dxa"/>
            <w:shd w:val="clear" w:color="auto" w:fill="auto"/>
            <w:vAlign w:val="center"/>
          </w:tcPr>
          <w:p w:rsidR="00CB5EB0" w:rsidRDefault="00CB5EB0" w:rsidP="00831310">
            <w:pPr>
              <w:widowControl/>
              <w:ind w:left="-96" w:right="-86"/>
              <w:jc w:val="center"/>
              <w:rPr>
                <w:rFonts w:ascii="Arial Narrow" w:hAnsi="Arial Narrow"/>
                <w:sz w:val="20"/>
              </w:rPr>
            </w:pPr>
          </w:p>
          <w:p w:rsidR="00CB5EB0" w:rsidRDefault="00CB5EB0" w:rsidP="00831310">
            <w:pPr>
              <w:widowControl/>
              <w:ind w:left="-96" w:right="-86"/>
              <w:jc w:val="center"/>
              <w:rPr>
                <w:rFonts w:ascii="Arial Narrow" w:hAnsi="Arial Narrow"/>
                <w:sz w:val="20"/>
              </w:rPr>
            </w:pPr>
            <w:r>
              <w:rPr>
                <w:rFonts w:ascii="Arial Narrow" w:hAnsi="Arial Narrow"/>
                <w:sz w:val="20"/>
              </w:rPr>
              <w:t>102</w:t>
            </w:r>
            <w:r w:rsidRPr="00220DD3">
              <w:rPr>
                <w:rFonts w:ascii="Arial Narrow" w:hAnsi="Arial Narrow"/>
                <w:sz w:val="20"/>
              </w:rPr>
              <w:t xml:space="preserve"> (</w:t>
            </w:r>
            <w:r>
              <w:rPr>
                <w:rFonts w:ascii="Arial Narrow" w:hAnsi="Arial Narrow"/>
                <w:sz w:val="20"/>
              </w:rPr>
              <w:t>51.8</w:t>
            </w:r>
            <w:r w:rsidRPr="00220DD3">
              <w:rPr>
                <w:rFonts w:ascii="Arial Narrow" w:hAnsi="Arial Narrow"/>
                <w:sz w:val="20"/>
              </w:rPr>
              <w:t>)</w:t>
            </w:r>
          </w:p>
          <w:p w:rsidR="00CB5EB0" w:rsidRDefault="00CB5EB0" w:rsidP="00831310">
            <w:pPr>
              <w:widowControl/>
              <w:ind w:left="-96" w:right="-86"/>
              <w:jc w:val="center"/>
              <w:rPr>
                <w:rFonts w:ascii="Arial Narrow" w:hAnsi="Arial Narrow"/>
                <w:sz w:val="20"/>
              </w:rPr>
            </w:pPr>
            <w:r>
              <w:rPr>
                <w:rFonts w:ascii="Arial Narrow" w:hAnsi="Arial Narrow"/>
                <w:sz w:val="20"/>
              </w:rPr>
              <w:t>NR</w:t>
            </w:r>
          </w:p>
          <w:p w:rsidR="00CB5EB0" w:rsidRPr="00220DD3" w:rsidRDefault="00CB5EB0" w:rsidP="00831310">
            <w:pPr>
              <w:widowControl/>
              <w:ind w:left="-96" w:right="-86"/>
              <w:jc w:val="center"/>
              <w:rPr>
                <w:rFonts w:ascii="Arial Narrow" w:hAnsi="Arial Narrow"/>
                <w:sz w:val="20"/>
              </w:rPr>
            </w:pPr>
            <w:r>
              <w:rPr>
                <w:rFonts w:ascii="Arial Narrow" w:hAnsi="Arial Narrow"/>
                <w:sz w:val="20"/>
              </w:rPr>
              <w:t>2</w:t>
            </w:r>
            <w:r w:rsidRPr="00220DD3">
              <w:rPr>
                <w:rFonts w:ascii="Arial Narrow" w:hAnsi="Arial Narrow"/>
                <w:sz w:val="20"/>
              </w:rPr>
              <w:t xml:space="preserve"> (</w:t>
            </w:r>
            <w:r>
              <w:rPr>
                <w:rFonts w:ascii="Arial Narrow" w:hAnsi="Arial Narrow"/>
                <w:sz w:val="20"/>
              </w:rPr>
              <w:t>1.0</w:t>
            </w:r>
            <w:r w:rsidRPr="00220DD3">
              <w:rPr>
                <w:rFonts w:ascii="Arial Narrow" w:hAnsi="Arial Narrow"/>
                <w:sz w:val="20"/>
              </w:rPr>
              <w:t>)</w:t>
            </w:r>
          </w:p>
        </w:tc>
      </w:tr>
      <w:tr w:rsidR="00CB5EB0" w:rsidRPr="00220DD3" w:rsidTr="00CB5EB0">
        <w:tc>
          <w:tcPr>
            <w:tcW w:w="1701" w:type="dxa"/>
            <w:shd w:val="clear" w:color="auto" w:fill="auto"/>
            <w:vAlign w:val="center"/>
          </w:tcPr>
          <w:p w:rsidR="00CB5EB0" w:rsidRPr="00220DD3" w:rsidRDefault="00CB5EB0" w:rsidP="00831310">
            <w:pPr>
              <w:widowControl/>
              <w:tabs>
                <w:tab w:val="right" w:pos="1485"/>
              </w:tabs>
              <w:ind w:left="-80"/>
              <w:jc w:val="left"/>
              <w:rPr>
                <w:rFonts w:ascii="Arial Narrow" w:hAnsi="Arial Narrow"/>
                <w:sz w:val="20"/>
              </w:rPr>
            </w:pPr>
            <w:r w:rsidRPr="00220DD3">
              <w:rPr>
                <w:rFonts w:ascii="Arial Narrow" w:hAnsi="Arial Narrow"/>
                <w:sz w:val="20"/>
              </w:rPr>
              <w:t>Genital infection</w:t>
            </w:r>
            <w:r>
              <w:rPr>
                <w:rFonts w:ascii="Arial Narrow" w:hAnsi="Arial Narrow"/>
                <w:sz w:val="20"/>
              </w:rPr>
              <w:t>s</w:t>
            </w:r>
            <w:r>
              <w:rPr>
                <w:rFonts w:ascii="Arial Narrow" w:hAnsi="Arial Narrow"/>
                <w:sz w:val="20"/>
              </w:rPr>
              <w:tab/>
              <w:t>All</w:t>
            </w:r>
          </w:p>
          <w:p w:rsidR="00CB5EB0" w:rsidRPr="00220DD3" w:rsidRDefault="00CB5EB0" w:rsidP="00831310">
            <w:pPr>
              <w:widowControl/>
              <w:tabs>
                <w:tab w:val="right" w:pos="1485"/>
              </w:tabs>
              <w:ind w:left="-80"/>
              <w:jc w:val="left"/>
              <w:rPr>
                <w:rFonts w:ascii="Arial Narrow" w:hAnsi="Arial Narrow"/>
                <w:sz w:val="20"/>
              </w:rPr>
            </w:pPr>
            <w:r>
              <w:rPr>
                <w:rFonts w:ascii="Arial Narrow" w:hAnsi="Arial Narrow"/>
                <w:sz w:val="20"/>
              </w:rPr>
              <w:tab/>
            </w:r>
            <w:r w:rsidRPr="00220DD3">
              <w:rPr>
                <w:rFonts w:ascii="Arial Narrow" w:hAnsi="Arial Narrow"/>
                <w:sz w:val="20"/>
              </w:rPr>
              <w:t>Men</w:t>
            </w:r>
          </w:p>
          <w:p w:rsidR="00CB5EB0" w:rsidRPr="00220DD3" w:rsidRDefault="00CB5EB0" w:rsidP="00831310">
            <w:pPr>
              <w:widowControl/>
              <w:tabs>
                <w:tab w:val="right" w:pos="1485"/>
              </w:tabs>
              <w:ind w:left="-80"/>
              <w:jc w:val="left"/>
              <w:rPr>
                <w:rFonts w:ascii="Arial Narrow" w:hAnsi="Arial Narrow"/>
                <w:sz w:val="20"/>
              </w:rPr>
            </w:pPr>
            <w:r>
              <w:rPr>
                <w:rFonts w:ascii="Arial Narrow" w:hAnsi="Arial Narrow"/>
                <w:sz w:val="20"/>
              </w:rPr>
              <w:tab/>
            </w:r>
            <w:r w:rsidRPr="00220DD3">
              <w:rPr>
                <w:rFonts w:ascii="Arial Narrow" w:hAnsi="Arial Narrow"/>
                <w:sz w:val="20"/>
              </w:rPr>
              <w:t>Women</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NR</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NR</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NR</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NR</w:t>
            </w:r>
          </w:p>
        </w:tc>
        <w:tc>
          <w:tcPr>
            <w:tcW w:w="952" w:type="dxa"/>
            <w:shd w:val="clear" w:color="auto" w:fill="auto"/>
            <w:vAlign w:val="center"/>
          </w:tcPr>
          <w:p w:rsidR="00CB5EB0" w:rsidRDefault="00CB5EB0" w:rsidP="00831310">
            <w:pPr>
              <w:widowControl/>
              <w:ind w:left="-96" w:right="-86"/>
              <w:jc w:val="center"/>
              <w:rPr>
                <w:rFonts w:ascii="Arial Narrow" w:hAnsi="Arial Narrow"/>
                <w:sz w:val="20"/>
              </w:rPr>
            </w:pPr>
            <w:r>
              <w:rPr>
                <w:rFonts w:ascii="Arial Narrow" w:hAnsi="Arial Narrow"/>
                <w:sz w:val="20"/>
              </w:rPr>
              <w:t>21</w:t>
            </w:r>
            <w:r w:rsidRPr="00220DD3">
              <w:rPr>
                <w:rFonts w:ascii="Arial Narrow" w:hAnsi="Arial Narrow"/>
                <w:sz w:val="20"/>
              </w:rPr>
              <w:t xml:space="preserve"> (</w:t>
            </w:r>
            <w:r>
              <w:rPr>
                <w:rFonts w:ascii="Arial Narrow" w:hAnsi="Arial Narrow"/>
                <w:sz w:val="20"/>
              </w:rPr>
              <w:t>10.7</w:t>
            </w:r>
            <w:r w:rsidRPr="00220DD3">
              <w:rPr>
                <w:rFonts w:ascii="Arial Narrow" w:hAnsi="Arial Narrow"/>
                <w:sz w:val="20"/>
              </w:rPr>
              <w:t>)</w:t>
            </w:r>
          </w:p>
          <w:p w:rsidR="00CB5EB0" w:rsidRDefault="00CB5EB0" w:rsidP="00831310">
            <w:pPr>
              <w:widowControl/>
              <w:ind w:left="-96" w:right="-86"/>
              <w:jc w:val="center"/>
              <w:rPr>
                <w:rFonts w:ascii="Arial Narrow" w:hAnsi="Arial Narrow"/>
                <w:sz w:val="20"/>
              </w:rPr>
            </w:pPr>
            <w:r>
              <w:rPr>
                <w:rFonts w:ascii="Arial Narrow" w:hAnsi="Arial Narrow"/>
                <w:sz w:val="20"/>
              </w:rPr>
              <w:t xml:space="preserve">8 (9.1) </w:t>
            </w:r>
          </w:p>
          <w:p w:rsidR="00CB5EB0" w:rsidRDefault="00CB5EB0" w:rsidP="00831310">
            <w:pPr>
              <w:widowControl/>
              <w:ind w:left="-96" w:right="-86"/>
              <w:jc w:val="center"/>
              <w:rPr>
                <w:rFonts w:ascii="Arial Narrow" w:hAnsi="Arial Narrow"/>
                <w:sz w:val="20"/>
              </w:rPr>
            </w:pPr>
            <w:r>
              <w:rPr>
                <w:rFonts w:ascii="Arial Narrow" w:hAnsi="Arial Narrow"/>
                <w:sz w:val="20"/>
              </w:rPr>
              <w:t>13 (12.0)</w:t>
            </w:r>
          </w:p>
        </w:tc>
        <w:tc>
          <w:tcPr>
            <w:tcW w:w="951" w:type="dxa"/>
            <w:shd w:val="clear" w:color="auto" w:fill="auto"/>
            <w:vAlign w:val="center"/>
          </w:tcPr>
          <w:p w:rsidR="00CB5EB0" w:rsidRDefault="00CB5EB0" w:rsidP="00831310">
            <w:pPr>
              <w:widowControl/>
              <w:ind w:left="-96" w:right="-86"/>
              <w:jc w:val="center"/>
              <w:rPr>
                <w:rFonts w:ascii="Arial Narrow" w:hAnsi="Arial Narrow"/>
                <w:sz w:val="20"/>
              </w:rPr>
            </w:pPr>
            <w:r>
              <w:rPr>
                <w:rFonts w:ascii="Arial Narrow" w:hAnsi="Arial Narrow"/>
                <w:sz w:val="20"/>
              </w:rPr>
              <w:t>55 (9.0)</w:t>
            </w:r>
          </w:p>
          <w:p w:rsidR="00CB5EB0" w:rsidRDefault="00CB5EB0" w:rsidP="00831310">
            <w:pPr>
              <w:widowControl/>
              <w:ind w:left="-96" w:right="-86"/>
              <w:jc w:val="center"/>
              <w:rPr>
                <w:rFonts w:ascii="Arial Narrow" w:hAnsi="Arial Narrow"/>
                <w:sz w:val="20"/>
              </w:rPr>
            </w:pPr>
            <w:r>
              <w:rPr>
                <w:rFonts w:ascii="Arial Narrow" w:hAnsi="Arial Narrow"/>
                <w:sz w:val="20"/>
              </w:rPr>
              <w:t>NR</w:t>
            </w:r>
          </w:p>
          <w:p w:rsidR="00CB5EB0" w:rsidRPr="00220DD3" w:rsidRDefault="00CB5EB0" w:rsidP="00831310">
            <w:pPr>
              <w:widowControl/>
              <w:ind w:left="-96" w:right="-86"/>
              <w:jc w:val="center"/>
              <w:rPr>
                <w:rFonts w:ascii="Arial Narrow" w:hAnsi="Arial Narrow"/>
                <w:sz w:val="20"/>
              </w:rPr>
            </w:pPr>
            <w:r>
              <w:rPr>
                <w:rFonts w:ascii="Arial Narrow" w:hAnsi="Arial Narrow"/>
                <w:sz w:val="20"/>
              </w:rPr>
              <w:t>NR</w:t>
            </w:r>
          </w:p>
        </w:tc>
        <w:tc>
          <w:tcPr>
            <w:tcW w:w="952" w:type="dxa"/>
            <w:shd w:val="clear" w:color="auto" w:fill="auto"/>
            <w:vAlign w:val="center"/>
          </w:tcPr>
          <w:p w:rsidR="00CB5EB0" w:rsidRDefault="00CB5EB0" w:rsidP="00831310">
            <w:pPr>
              <w:widowControl/>
              <w:ind w:left="-96" w:right="-86"/>
              <w:jc w:val="center"/>
              <w:rPr>
                <w:rFonts w:ascii="Arial Narrow" w:hAnsi="Arial Narrow"/>
                <w:sz w:val="20"/>
              </w:rPr>
            </w:pPr>
            <w:r>
              <w:rPr>
                <w:rFonts w:ascii="Arial Narrow" w:hAnsi="Arial Narrow"/>
                <w:sz w:val="20"/>
              </w:rPr>
              <w:t>5</w:t>
            </w:r>
            <w:r w:rsidRPr="00220DD3">
              <w:rPr>
                <w:rFonts w:ascii="Arial Narrow" w:hAnsi="Arial Narrow"/>
                <w:sz w:val="20"/>
              </w:rPr>
              <w:t xml:space="preserve"> (</w:t>
            </w:r>
            <w:r>
              <w:rPr>
                <w:rFonts w:ascii="Arial Narrow" w:hAnsi="Arial Narrow"/>
                <w:sz w:val="20"/>
              </w:rPr>
              <w:t>2.5</w:t>
            </w:r>
            <w:r w:rsidRPr="00220DD3">
              <w:rPr>
                <w:rFonts w:ascii="Arial Narrow" w:hAnsi="Arial Narrow"/>
                <w:sz w:val="20"/>
              </w:rPr>
              <w:t>)</w:t>
            </w:r>
          </w:p>
          <w:p w:rsidR="00CB5EB0" w:rsidRDefault="00CB5EB0" w:rsidP="00831310">
            <w:pPr>
              <w:widowControl/>
              <w:ind w:left="-96" w:right="-86"/>
              <w:jc w:val="center"/>
              <w:rPr>
                <w:rFonts w:ascii="Arial Narrow" w:hAnsi="Arial Narrow"/>
                <w:sz w:val="20"/>
              </w:rPr>
            </w:pPr>
            <w:r>
              <w:rPr>
                <w:rFonts w:ascii="Arial Narrow" w:hAnsi="Arial Narrow"/>
                <w:sz w:val="20"/>
              </w:rPr>
              <w:t>0</w:t>
            </w:r>
          </w:p>
          <w:p w:rsidR="00CB5EB0" w:rsidRPr="00220DD3" w:rsidRDefault="00CB5EB0" w:rsidP="00831310">
            <w:pPr>
              <w:widowControl/>
              <w:ind w:left="-96" w:right="-86"/>
              <w:jc w:val="center"/>
              <w:rPr>
                <w:rFonts w:ascii="Arial Narrow" w:hAnsi="Arial Narrow"/>
                <w:sz w:val="20"/>
              </w:rPr>
            </w:pPr>
            <w:r>
              <w:rPr>
                <w:rFonts w:ascii="Arial Narrow" w:hAnsi="Arial Narrow"/>
                <w:sz w:val="20"/>
              </w:rPr>
              <w:t>5 (5.1)</w:t>
            </w: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sidRPr="00220DD3">
              <w:rPr>
                <w:rFonts w:ascii="Arial Narrow" w:hAnsi="Arial Narrow"/>
                <w:sz w:val="20"/>
              </w:rPr>
              <w:t>Urinary tract infection</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9 (2.8)</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6 (1.9)</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14 (4.3)</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17 (5.2)</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20</w:t>
            </w:r>
            <w:r w:rsidRPr="00220DD3">
              <w:rPr>
                <w:rFonts w:ascii="Arial Narrow" w:hAnsi="Arial Narrow"/>
                <w:sz w:val="20"/>
              </w:rPr>
              <w:t xml:space="preserve"> (</w:t>
            </w:r>
            <w:r>
              <w:rPr>
                <w:rFonts w:ascii="Arial Narrow" w:hAnsi="Arial Narrow"/>
                <w:sz w:val="20"/>
              </w:rPr>
              <w:t>10.2</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59 (9.7)</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10</w:t>
            </w:r>
            <w:r w:rsidRPr="00220DD3">
              <w:rPr>
                <w:rFonts w:ascii="Arial Narrow" w:hAnsi="Arial Narrow"/>
                <w:sz w:val="20"/>
              </w:rPr>
              <w:t xml:space="preserve"> (</w:t>
            </w:r>
            <w:r>
              <w:rPr>
                <w:rFonts w:ascii="Arial Narrow" w:hAnsi="Arial Narrow"/>
                <w:sz w:val="20"/>
              </w:rPr>
              <w:t>5.1</w:t>
            </w:r>
            <w:r w:rsidRPr="00220DD3">
              <w:rPr>
                <w:rFonts w:ascii="Arial Narrow" w:hAnsi="Arial Narrow"/>
                <w:sz w:val="20"/>
              </w:rPr>
              <w:t>)</w:t>
            </w:r>
          </w:p>
        </w:tc>
      </w:tr>
      <w:tr w:rsidR="00CB5EB0" w:rsidRPr="00220DD3" w:rsidTr="00CB5EB0">
        <w:tc>
          <w:tcPr>
            <w:tcW w:w="1701" w:type="dxa"/>
            <w:shd w:val="clear" w:color="auto" w:fill="auto"/>
            <w:vAlign w:val="center"/>
          </w:tcPr>
          <w:p w:rsidR="00CB5EB0" w:rsidRPr="00220DD3" w:rsidRDefault="00CB5EB0" w:rsidP="00831310">
            <w:pPr>
              <w:widowControl/>
              <w:ind w:left="-80"/>
              <w:rPr>
                <w:rFonts w:ascii="Arial Narrow" w:hAnsi="Arial Narrow"/>
                <w:sz w:val="20"/>
              </w:rPr>
            </w:pPr>
            <w:r>
              <w:rPr>
                <w:rFonts w:ascii="Arial Narrow" w:hAnsi="Arial Narrow"/>
                <w:sz w:val="20"/>
              </w:rPr>
              <w:t>URTI</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10</w:t>
            </w:r>
            <w:r w:rsidRPr="00220DD3">
              <w:rPr>
                <w:rFonts w:ascii="Arial Narrow" w:hAnsi="Arial Narrow"/>
                <w:sz w:val="20"/>
              </w:rPr>
              <w:t xml:space="preserve"> (</w:t>
            </w:r>
            <w:r>
              <w:rPr>
                <w:rFonts w:ascii="Arial Narrow" w:hAnsi="Arial Narrow"/>
                <w:sz w:val="20"/>
              </w:rPr>
              <w:t>3.1</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11</w:t>
            </w:r>
            <w:r w:rsidRPr="00220DD3">
              <w:rPr>
                <w:rFonts w:ascii="Arial Narrow" w:hAnsi="Arial Narrow"/>
                <w:sz w:val="20"/>
              </w:rPr>
              <w:t xml:space="preserve"> (</w:t>
            </w:r>
            <w:r>
              <w:rPr>
                <w:rFonts w:ascii="Arial Narrow" w:hAnsi="Arial Narrow"/>
                <w:sz w:val="20"/>
              </w:rPr>
              <w:t>3.4</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15</w:t>
            </w:r>
            <w:r w:rsidRPr="00220DD3">
              <w:rPr>
                <w:rFonts w:ascii="Arial Narrow" w:hAnsi="Arial Narrow"/>
                <w:sz w:val="20"/>
              </w:rPr>
              <w:t xml:space="preserve"> (</w:t>
            </w:r>
            <w:r>
              <w:rPr>
                <w:rFonts w:ascii="Arial Narrow" w:hAnsi="Arial Narrow"/>
                <w:sz w:val="20"/>
              </w:rPr>
              <w:t>4.6</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6</w:t>
            </w:r>
            <w:r w:rsidRPr="00220DD3">
              <w:rPr>
                <w:rFonts w:ascii="Arial Narrow" w:hAnsi="Arial Narrow"/>
                <w:sz w:val="20"/>
              </w:rPr>
              <w:t xml:space="preserve"> (</w:t>
            </w:r>
            <w:r>
              <w:rPr>
                <w:rFonts w:ascii="Arial Narrow" w:hAnsi="Arial Narrow"/>
                <w:sz w:val="20"/>
              </w:rPr>
              <w:t>1.8</w:t>
            </w:r>
            <w:r w:rsidRPr="00220DD3">
              <w:rPr>
                <w:rFonts w:ascii="Arial Narrow" w:hAnsi="Arial Narrow"/>
                <w:sz w:val="20"/>
              </w:rPr>
              <w:t>)</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9</w:t>
            </w:r>
            <w:r w:rsidRPr="00220DD3">
              <w:rPr>
                <w:rFonts w:ascii="Arial Narrow" w:hAnsi="Arial Narrow"/>
                <w:sz w:val="20"/>
              </w:rPr>
              <w:t xml:space="preserve"> (</w:t>
            </w:r>
            <w:r>
              <w:rPr>
                <w:rFonts w:ascii="Arial Narrow" w:hAnsi="Arial Narrow"/>
                <w:sz w:val="20"/>
              </w:rPr>
              <w:t>4.6</w:t>
            </w:r>
            <w:r w:rsidRPr="00220DD3">
              <w:rPr>
                <w:rFonts w:ascii="Arial Narrow" w:hAnsi="Arial Narrow"/>
                <w:sz w:val="20"/>
              </w:rPr>
              <w:t>)</w:t>
            </w:r>
          </w:p>
        </w:tc>
        <w:tc>
          <w:tcPr>
            <w:tcW w:w="951"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23 (3.8)</w:t>
            </w:r>
          </w:p>
        </w:tc>
        <w:tc>
          <w:tcPr>
            <w:tcW w:w="952" w:type="dxa"/>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12</w:t>
            </w:r>
            <w:r w:rsidRPr="00220DD3">
              <w:rPr>
                <w:rFonts w:ascii="Arial Narrow" w:hAnsi="Arial Narrow"/>
                <w:sz w:val="20"/>
              </w:rPr>
              <w:t xml:space="preserve"> (</w:t>
            </w:r>
            <w:r>
              <w:rPr>
                <w:rFonts w:ascii="Arial Narrow" w:hAnsi="Arial Narrow"/>
                <w:sz w:val="20"/>
              </w:rPr>
              <w:t>6.1</w:t>
            </w:r>
            <w:r w:rsidRPr="00220DD3">
              <w:rPr>
                <w:rFonts w:ascii="Arial Narrow" w:hAnsi="Arial Narrow"/>
                <w:sz w:val="20"/>
              </w:rPr>
              <w:t>)</w:t>
            </w:r>
          </w:p>
        </w:tc>
      </w:tr>
      <w:tr w:rsidR="00CB5EB0" w:rsidRPr="00220DD3" w:rsidTr="00CB5EB0">
        <w:tc>
          <w:tcPr>
            <w:tcW w:w="1701" w:type="dxa"/>
            <w:tcBorders>
              <w:top w:val="single" w:sz="6" w:space="0" w:color="auto"/>
              <w:left w:val="single" w:sz="2" w:space="0" w:color="auto"/>
              <w:bottom w:val="single" w:sz="6" w:space="0" w:color="auto"/>
              <w:right w:val="single" w:sz="6" w:space="0" w:color="auto"/>
            </w:tcBorders>
            <w:shd w:val="clear" w:color="auto" w:fill="auto"/>
            <w:vAlign w:val="center"/>
          </w:tcPr>
          <w:p w:rsidR="00CB5EB0" w:rsidRPr="00220DD3" w:rsidRDefault="00CB5EB0" w:rsidP="00831310">
            <w:pPr>
              <w:widowControl/>
              <w:ind w:left="-80"/>
              <w:rPr>
                <w:rFonts w:ascii="Arial Narrow" w:hAnsi="Arial Narrow"/>
                <w:sz w:val="20"/>
              </w:rPr>
            </w:pPr>
            <w:proofErr w:type="spellStart"/>
            <w:r>
              <w:rPr>
                <w:rFonts w:ascii="Arial Narrow" w:hAnsi="Arial Narrow"/>
                <w:sz w:val="20"/>
              </w:rPr>
              <w:t>Nasopharyngitis</w:t>
            </w:r>
            <w:proofErr w:type="spellEnd"/>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10</w:t>
            </w:r>
            <w:r w:rsidRPr="00220DD3">
              <w:rPr>
                <w:rFonts w:ascii="Arial Narrow" w:hAnsi="Arial Narrow"/>
                <w:sz w:val="20"/>
              </w:rPr>
              <w:t xml:space="preserve"> (</w:t>
            </w:r>
            <w:r>
              <w:rPr>
                <w:rFonts w:ascii="Arial Narrow" w:hAnsi="Arial Narrow"/>
                <w:sz w:val="20"/>
              </w:rPr>
              <w:t>3.1</w:t>
            </w:r>
            <w:r w:rsidRPr="00220DD3">
              <w:rPr>
                <w:rFonts w:ascii="Arial Narrow" w:hAnsi="Arial Narrow"/>
                <w:sz w:val="20"/>
              </w:rPr>
              <w:t>)</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8</w:t>
            </w:r>
            <w:r w:rsidRPr="00220DD3">
              <w:rPr>
                <w:rFonts w:ascii="Arial Narrow" w:hAnsi="Arial Narrow"/>
                <w:sz w:val="20"/>
              </w:rPr>
              <w:t xml:space="preserve"> (</w:t>
            </w:r>
            <w:r>
              <w:rPr>
                <w:rFonts w:ascii="Arial Narrow" w:hAnsi="Arial Narrow"/>
                <w:sz w:val="20"/>
              </w:rPr>
              <w:t>2.5</w:t>
            </w:r>
            <w:r w:rsidRPr="00220DD3">
              <w:rPr>
                <w:rFonts w:ascii="Arial Narrow" w:hAnsi="Arial Narrow"/>
                <w:sz w:val="20"/>
              </w:rPr>
              <w:t>)</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13</w:t>
            </w:r>
            <w:r w:rsidRPr="00220DD3">
              <w:rPr>
                <w:rFonts w:ascii="Arial Narrow" w:hAnsi="Arial Narrow"/>
                <w:sz w:val="20"/>
              </w:rPr>
              <w:t xml:space="preserve"> (</w:t>
            </w:r>
            <w:r>
              <w:rPr>
                <w:rFonts w:ascii="Arial Narrow" w:hAnsi="Arial Narrow"/>
                <w:sz w:val="20"/>
              </w:rPr>
              <w:t>4.0</w:t>
            </w:r>
            <w:r w:rsidRPr="00220DD3">
              <w:rPr>
                <w:rFonts w:ascii="Arial Narrow" w:hAnsi="Arial Narrow"/>
                <w:sz w:val="20"/>
              </w:rPr>
              <w:t>)</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26</w:t>
            </w:r>
            <w:r w:rsidRPr="00220DD3">
              <w:rPr>
                <w:rFonts w:ascii="Arial Narrow" w:hAnsi="Arial Narrow"/>
                <w:sz w:val="20"/>
              </w:rPr>
              <w:t xml:space="preserve"> (</w:t>
            </w:r>
            <w:r>
              <w:rPr>
                <w:rFonts w:ascii="Arial Narrow" w:hAnsi="Arial Narrow"/>
                <w:sz w:val="20"/>
              </w:rPr>
              <w:t>7.9</w:t>
            </w:r>
            <w:r w:rsidRPr="00220DD3">
              <w:rPr>
                <w:rFonts w:ascii="Arial Narrow" w:hAnsi="Arial Narrow"/>
                <w:sz w:val="20"/>
              </w:rPr>
              <w:t>)</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25 (12.8)</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92 (15.1)</w:t>
            </w:r>
          </w:p>
        </w:tc>
        <w:tc>
          <w:tcPr>
            <w:tcW w:w="952" w:type="dxa"/>
            <w:tcBorders>
              <w:top w:val="single" w:sz="6" w:space="0" w:color="auto"/>
              <w:left w:val="single" w:sz="6" w:space="0" w:color="auto"/>
              <w:bottom w:val="single" w:sz="6" w:space="0" w:color="auto"/>
              <w:right w:val="single" w:sz="2" w:space="0" w:color="auto"/>
            </w:tcBorders>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23 (11.7)</w:t>
            </w:r>
          </w:p>
        </w:tc>
      </w:tr>
      <w:tr w:rsidR="00CB5EB0" w:rsidRPr="00220DD3" w:rsidTr="00CB5EB0">
        <w:tc>
          <w:tcPr>
            <w:tcW w:w="1701" w:type="dxa"/>
            <w:tcBorders>
              <w:top w:val="single" w:sz="6" w:space="0" w:color="auto"/>
              <w:left w:val="single" w:sz="2" w:space="0" w:color="auto"/>
              <w:bottom w:val="single" w:sz="6" w:space="0" w:color="auto"/>
              <w:right w:val="single" w:sz="6" w:space="0" w:color="auto"/>
            </w:tcBorders>
            <w:shd w:val="clear" w:color="auto" w:fill="auto"/>
            <w:vAlign w:val="center"/>
          </w:tcPr>
          <w:p w:rsidR="00CB5EB0" w:rsidRPr="00220DD3" w:rsidRDefault="00CB5EB0" w:rsidP="00831310">
            <w:pPr>
              <w:widowControl/>
              <w:ind w:left="-80"/>
              <w:rPr>
                <w:rFonts w:ascii="Arial Narrow" w:hAnsi="Arial Narrow"/>
                <w:sz w:val="20"/>
              </w:rPr>
            </w:pPr>
            <w:r>
              <w:rPr>
                <w:rFonts w:ascii="Arial Narrow" w:hAnsi="Arial Narrow"/>
                <w:sz w:val="20"/>
              </w:rPr>
              <w:t>Constipation</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6</w:t>
            </w:r>
            <w:r w:rsidRPr="00220DD3">
              <w:rPr>
                <w:rFonts w:ascii="Arial Narrow" w:hAnsi="Arial Narrow"/>
                <w:sz w:val="20"/>
              </w:rPr>
              <w:t xml:space="preserve"> (</w:t>
            </w:r>
            <w:r>
              <w:rPr>
                <w:rFonts w:ascii="Arial Narrow" w:hAnsi="Arial Narrow"/>
                <w:sz w:val="20"/>
              </w:rPr>
              <w:t>1.9</w:t>
            </w:r>
            <w:r w:rsidRPr="00220DD3">
              <w:rPr>
                <w:rFonts w:ascii="Arial Narrow" w:hAnsi="Arial Narrow"/>
                <w:sz w:val="20"/>
              </w:rPr>
              <w:t>)</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1</w:t>
            </w:r>
            <w:r w:rsidRPr="00220DD3">
              <w:rPr>
                <w:rFonts w:ascii="Arial Narrow" w:hAnsi="Arial Narrow"/>
                <w:sz w:val="20"/>
              </w:rPr>
              <w:t xml:space="preserve"> (</w:t>
            </w:r>
            <w:r>
              <w:rPr>
                <w:rFonts w:ascii="Arial Narrow" w:hAnsi="Arial Narrow"/>
                <w:sz w:val="20"/>
              </w:rPr>
              <w:t>0.3</w:t>
            </w:r>
            <w:r w:rsidRPr="00220DD3">
              <w:rPr>
                <w:rFonts w:ascii="Arial Narrow" w:hAnsi="Arial Narrow"/>
                <w:sz w:val="20"/>
              </w:rPr>
              <w:t>)</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5 (1.5)</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jc w:val="center"/>
              <w:rPr>
                <w:rFonts w:ascii="Arial Narrow" w:hAnsi="Arial Narrow"/>
                <w:sz w:val="20"/>
              </w:rPr>
            </w:pPr>
            <w:r>
              <w:rPr>
                <w:rFonts w:ascii="Arial Narrow" w:hAnsi="Arial Narrow"/>
                <w:sz w:val="20"/>
              </w:rPr>
              <w:t>3</w:t>
            </w:r>
            <w:r w:rsidRPr="00220DD3">
              <w:rPr>
                <w:rFonts w:ascii="Arial Narrow" w:hAnsi="Arial Narrow"/>
                <w:sz w:val="20"/>
              </w:rPr>
              <w:t xml:space="preserve"> (</w:t>
            </w:r>
            <w:r>
              <w:rPr>
                <w:rFonts w:ascii="Arial Narrow" w:hAnsi="Arial Narrow"/>
                <w:sz w:val="20"/>
              </w:rPr>
              <w:t>0.9</w:t>
            </w:r>
            <w:r w:rsidRPr="00220DD3">
              <w:rPr>
                <w:rFonts w:ascii="Arial Narrow" w:hAnsi="Arial Narrow"/>
                <w:sz w:val="20"/>
              </w:rPr>
              <w:t>)</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6 (3.1)</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25 (4.1)</w:t>
            </w:r>
          </w:p>
        </w:tc>
        <w:tc>
          <w:tcPr>
            <w:tcW w:w="952" w:type="dxa"/>
            <w:tcBorders>
              <w:top w:val="single" w:sz="6" w:space="0" w:color="auto"/>
              <w:left w:val="single" w:sz="6" w:space="0" w:color="auto"/>
              <w:bottom w:val="single" w:sz="6" w:space="0" w:color="auto"/>
              <w:right w:val="single" w:sz="2" w:space="0" w:color="auto"/>
            </w:tcBorders>
            <w:shd w:val="clear" w:color="auto" w:fill="auto"/>
            <w:vAlign w:val="center"/>
          </w:tcPr>
          <w:p w:rsidR="00CB5EB0" w:rsidRPr="00220DD3" w:rsidRDefault="00CB5EB0" w:rsidP="00831310">
            <w:pPr>
              <w:widowControl/>
              <w:ind w:left="-96" w:right="-86"/>
              <w:jc w:val="center"/>
              <w:rPr>
                <w:rFonts w:ascii="Arial Narrow" w:hAnsi="Arial Narrow"/>
                <w:sz w:val="20"/>
              </w:rPr>
            </w:pPr>
            <w:r>
              <w:rPr>
                <w:rFonts w:ascii="Arial Narrow" w:hAnsi="Arial Narrow"/>
                <w:sz w:val="20"/>
              </w:rPr>
              <w:t>3</w:t>
            </w:r>
            <w:r w:rsidRPr="00220DD3">
              <w:rPr>
                <w:rFonts w:ascii="Arial Narrow" w:hAnsi="Arial Narrow"/>
                <w:sz w:val="20"/>
              </w:rPr>
              <w:t xml:space="preserve"> (</w:t>
            </w:r>
            <w:r>
              <w:rPr>
                <w:rFonts w:ascii="Arial Narrow" w:hAnsi="Arial Narrow"/>
                <w:sz w:val="20"/>
              </w:rPr>
              <w:t>1.5</w:t>
            </w:r>
            <w:r w:rsidRPr="00220DD3">
              <w:rPr>
                <w:rFonts w:ascii="Arial Narrow" w:hAnsi="Arial Narrow"/>
                <w:sz w:val="20"/>
              </w:rPr>
              <w:t>)</w:t>
            </w:r>
          </w:p>
        </w:tc>
      </w:tr>
      <w:tr w:rsidR="00CB5EB0" w:rsidRPr="00220DD3" w:rsidTr="00CB5EB0">
        <w:tc>
          <w:tcPr>
            <w:tcW w:w="1701" w:type="dxa"/>
            <w:tcBorders>
              <w:top w:val="single" w:sz="6" w:space="0" w:color="auto"/>
              <w:left w:val="single" w:sz="2" w:space="0" w:color="auto"/>
              <w:bottom w:val="single" w:sz="2" w:space="0" w:color="auto"/>
              <w:right w:val="single" w:sz="6" w:space="0" w:color="auto"/>
            </w:tcBorders>
            <w:shd w:val="clear" w:color="auto" w:fill="auto"/>
            <w:vAlign w:val="center"/>
          </w:tcPr>
          <w:p w:rsidR="00CB5EB0" w:rsidRDefault="00CB5EB0" w:rsidP="00831310">
            <w:pPr>
              <w:widowControl/>
              <w:ind w:left="-80"/>
              <w:rPr>
                <w:rFonts w:ascii="Arial Narrow" w:hAnsi="Arial Narrow"/>
                <w:sz w:val="20"/>
              </w:rPr>
            </w:pPr>
            <w:r>
              <w:rPr>
                <w:rFonts w:ascii="Arial Narrow" w:hAnsi="Arial Narrow"/>
                <w:sz w:val="20"/>
              </w:rPr>
              <w:t>Diarrhoea</w:t>
            </w:r>
          </w:p>
        </w:tc>
        <w:tc>
          <w:tcPr>
            <w:tcW w:w="951" w:type="dxa"/>
            <w:tcBorders>
              <w:top w:val="single" w:sz="6" w:space="0" w:color="auto"/>
              <w:left w:val="single" w:sz="6" w:space="0" w:color="auto"/>
              <w:bottom w:val="single" w:sz="2" w:space="0" w:color="auto"/>
              <w:right w:val="single" w:sz="6" w:space="0" w:color="auto"/>
            </w:tcBorders>
            <w:shd w:val="clear" w:color="auto" w:fill="auto"/>
            <w:vAlign w:val="center"/>
          </w:tcPr>
          <w:p w:rsidR="00CB5EB0" w:rsidRDefault="00CB5EB0" w:rsidP="00831310">
            <w:pPr>
              <w:widowControl/>
              <w:jc w:val="center"/>
              <w:rPr>
                <w:rFonts w:ascii="Arial Narrow" w:hAnsi="Arial Narrow"/>
                <w:sz w:val="20"/>
              </w:rPr>
            </w:pPr>
            <w:r>
              <w:rPr>
                <w:rFonts w:ascii="Arial Narrow" w:hAnsi="Arial Narrow"/>
                <w:sz w:val="20"/>
              </w:rPr>
              <w:t>6</w:t>
            </w:r>
            <w:r w:rsidRPr="00220DD3">
              <w:rPr>
                <w:rFonts w:ascii="Arial Narrow" w:hAnsi="Arial Narrow"/>
                <w:sz w:val="20"/>
              </w:rPr>
              <w:t xml:space="preserve"> (</w:t>
            </w:r>
            <w:r>
              <w:rPr>
                <w:rFonts w:ascii="Arial Narrow" w:hAnsi="Arial Narrow"/>
                <w:sz w:val="20"/>
              </w:rPr>
              <w:t>1.9</w:t>
            </w:r>
            <w:r w:rsidRPr="00220DD3">
              <w:rPr>
                <w:rFonts w:ascii="Arial Narrow" w:hAnsi="Arial Narrow"/>
                <w:sz w:val="20"/>
              </w:rPr>
              <w:t>)</w:t>
            </w:r>
          </w:p>
        </w:tc>
        <w:tc>
          <w:tcPr>
            <w:tcW w:w="951" w:type="dxa"/>
            <w:tcBorders>
              <w:top w:val="single" w:sz="6" w:space="0" w:color="auto"/>
              <w:left w:val="single" w:sz="6" w:space="0" w:color="auto"/>
              <w:bottom w:val="single" w:sz="2" w:space="0" w:color="auto"/>
              <w:right w:val="single" w:sz="6" w:space="0" w:color="auto"/>
            </w:tcBorders>
            <w:shd w:val="clear" w:color="auto" w:fill="auto"/>
            <w:vAlign w:val="center"/>
          </w:tcPr>
          <w:p w:rsidR="00CB5EB0" w:rsidRDefault="00CB5EB0" w:rsidP="00831310">
            <w:pPr>
              <w:widowControl/>
              <w:jc w:val="center"/>
              <w:rPr>
                <w:rFonts w:ascii="Arial Narrow" w:hAnsi="Arial Narrow"/>
                <w:sz w:val="20"/>
              </w:rPr>
            </w:pPr>
            <w:r>
              <w:rPr>
                <w:rFonts w:ascii="Arial Narrow" w:hAnsi="Arial Narrow"/>
                <w:sz w:val="20"/>
              </w:rPr>
              <w:t>5 (1.6)</w:t>
            </w:r>
          </w:p>
        </w:tc>
        <w:tc>
          <w:tcPr>
            <w:tcW w:w="952" w:type="dxa"/>
            <w:tcBorders>
              <w:top w:val="single" w:sz="6" w:space="0" w:color="auto"/>
              <w:left w:val="single" w:sz="6" w:space="0" w:color="auto"/>
              <w:bottom w:val="single" w:sz="2" w:space="0" w:color="auto"/>
              <w:right w:val="single" w:sz="6" w:space="0" w:color="auto"/>
            </w:tcBorders>
            <w:shd w:val="clear" w:color="auto" w:fill="auto"/>
            <w:vAlign w:val="center"/>
          </w:tcPr>
          <w:p w:rsidR="00CB5EB0" w:rsidRDefault="00CB5EB0" w:rsidP="00831310">
            <w:pPr>
              <w:widowControl/>
              <w:jc w:val="center"/>
              <w:rPr>
                <w:rFonts w:ascii="Arial Narrow" w:hAnsi="Arial Narrow"/>
                <w:sz w:val="20"/>
              </w:rPr>
            </w:pPr>
            <w:r>
              <w:rPr>
                <w:rFonts w:ascii="Arial Narrow" w:hAnsi="Arial Narrow"/>
                <w:sz w:val="20"/>
              </w:rPr>
              <w:t>17 (5.2)</w:t>
            </w:r>
          </w:p>
        </w:tc>
        <w:tc>
          <w:tcPr>
            <w:tcW w:w="951" w:type="dxa"/>
            <w:tcBorders>
              <w:top w:val="single" w:sz="6" w:space="0" w:color="auto"/>
              <w:left w:val="single" w:sz="6" w:space="0" w:color="auto"/>
              <w:bottom w:val="single" w:sz="2" w:space="0" w:color="auto"/>
              <w:right w:val="single" w:sz="6" w:space="0" w:color="auto"/>
            </w:tcBorders>
            <w:shd w:val="clear" w:color="auto" w:fill="auto"/>
            <w:vAlign w:val="center"/>
          </w:tcPr>
          <w:p w:rsidR="00CB5EB0" w:rsidRDefault="00CB5EB0" w:rsidP="00831310">
            <w:pPr>
              <w:widowControl/>
              <w:jc w:val="center"/>
              <w:rPr>
                <w:rFonts w:ascii="Arial Narrow" w:hAnsi="Arial Narrow"/>
                <w:sz w:val="20"/>
              </w:rPr>
            </w:pPr>
            <w:r>
              <w:rPr>
                <w:rFonts w:ascii="Arial Narrow" w:hAnsi="Arial Narrow"/>
                <w:sz w:val="20"/>
              </w:rPr>
              <w:t>11 (3.3)</w:t>
            </w:r>
          </w:p>
        </w:tc>
        <w:tc>
          <w:tcPr>
            <w:tcW w:w="952" w:type="dxa"/>
            <w:tcBorders>
              <w:top w:val="single" w:sz="6" w:space="0" w:color="auto"/>
              <w:left w:val="single" w:sz="6" w:space="0" w:color="auto"/>
              <w:bottom w:val="single" w:sz="2" w:space="0" w:color="auto"/>
              <w:right w:val="single" w:sz="6" w:space="0" w:color="auto"/>
            </w:tcBorders>
            <w:shd w:val="clear" w:color="auto" w:fill="auto"/>
            <w:vAlign w:val="center"/>
          </w:tcPr>
          <w:p w:rsidR="00CB5EB0" w:rsidRDefault="00CB5EB0" w:rsidP="00831310">
            <w:pPr>
              <w:widowControl/>
              <w:ind w:left="-96" w:right="-86"/>
              <w:jc w:val="center"/>
              <w:rPr>
                <w:rFonts w:ascii="Arial Narrow" w:hAnsi="Arial Narrow"/>
                <w:sz w:val="20"/>
              </w:rPr>
            </w:pPr>
            <w:r>
              <w:rPr>
                <w:rFonts w:ascii="Arial Narrow" w:hAnsi="Arial Narrow"/>
                <w:sz w:val="20"/>
              </w:rPr>
              <w:t>10 (5.1)</w:t>
            </w:r>
          </w:p>
        </w:tc>
        <w:tc>
          <w:tcPr>
            <w:tcW w:w="951" w:type="dxa"/>
            <w:tcBorders>
              <w:top w:val="single" w:sz="6" w:space="0" w:color="auto"/>
              <w:left w:val="single" w:sz="6" w:space="0" w:color="auto"/>
              <w:bottom w:val="single" w:sz="2" w:space="0" w:color="auto"/>
              <w:right w:val="single" w:sz="6" w:space="0" w:color="auto"/>
            </w:tcBorders>
            <w:shd w:val="clear" w:color="auto" w:fill="auto"/>
            <w:vAlign w:val="center"/>
          </w:tcPr>
          <w:p w:rsidR="00CB5EB0" w:rsidRDefault="00CB5EB0" w:rsidP="00831310">
            <w:pPr>
              <w:widowControl/>
              <w:ind w:left="-96" w:right="-86"/>
              <w:jc w:val="center"/>
              <w:rPr>
                <w:rFonts w:ascii="Arial Narrow" w:hAnsi="Arial Narrow"/>
                <w:sz w:val="20"/>
              </w:rPr>
            </w:pPr>
            <w:r>
              <w:rPr>
                <w:rFonts w:ascii="Arial Narrow" w:hAnsi="Arial Narrow"/>
                <w:sz w:val="20"/>
              </w:rPr>
              <w:t>28 (4.6)</w:t>
            </w:r>
          </w:p>
        </w:tc>
        <w:tc>
          <w:tcPr>
            <w:tcW w:w="952" w:type="dxa"/>
            <w:tcBorders>
              <w:top w:val="single" w:sz="6" w:space="0" w:color="auto"/>
              <w:left w:val="single" w:sz="6" w:space="0" w:color="auto"/>
              <w:bottom w:val="single" w:sz="2" w:space="0" w:color="auto"/>
              <w:right w:val="single" w:sz="2" w:space="0" w:color="auto"/>
            </w:tcBorders>
            <w:shd w:val="clear" w:color="auto" w:fill="auto"/>
            <w:vAlign w:val="center"/>
          </w:tcPr>
          <w:p w:rsidR="00CB5EB0" w:rsidRDefault="00CB5EB0" w:rsidP="00831310">
            <w:pPr>
              <w:widowControl/>
              <w:ind w:left="-96" w:right="-86"/>
              <w:jc w:val="center"/>
              <w:rPr>
                <w:rFonts w:ascii="Arial Narrow" w:hAnsi="Arial Narrow"/>
                <w:sz w:val="20"/>
              </w:rPr>
            </w:pPr>
            <w:r>
              <w:rPr>
                <w:rFonts w:ascii="Arial Narrow" w:hAnsi="Arial Narrow"/>
                <w:sz w:val="20"/>
              </w:rPr>
              <w:t>8 (4.1)</w:t>
            </w:r>
          </w:p>
        </w:tc>
      </w:tr>
    </w:tbl>
    <w:p w:rsidR="00CB5EB0" w:rsidRPr="00880DEC" w:rsidRDefault="00CB5EB0" w:rsidP="00831310">
      <w:pPr>
        <w:widowControl/>
        <w:ind w:left="709"/>
        <w:rPr>
          <w:rFonts w:ascii="Arial Narrow" w:hAnsi="Arial Narrow"/>
          <w:sz w:val="18"/>
          <w:szCs w:val="18"/>
        </w:rPr>
      </w:pPr>
      <w:proofErr w:type="gramStart"/>
      <w:r w:rsidRPr="00880DEC">
        <w:rPr>
          <w:rFonts w:ascii="Arial Narrow" w:hAnsi="Arial Narrow"/>
          <w:sz w:val="18"/>
          <w:szCs w:val="18"/>
        </w:rPr>
        <w:t>Source; Tables B.6-</w:t>
      </w:r>
      <w:r>
        <w:rPr>
          <w:rFonts w:ascii="Arial Narrow" w:hAnsi="Arial Narrow"/>
          <w:sz w:val="18"/>
          <w:szCs w:val="18"/>
        </w:rPr>
        <w:t>13</w:t>
      </w:r>
      <w:r w:rsidRPr="00880DEC">
        <w:rPr>
          <w:rFonts w:ascii="Arial Narrow" w:hAnsi="Arial Narrow"/>
          <w:sz w:val="18"/>
          <w:szCs w:val="18"/>
        </w:rPr>
        <w:t xml:space="preserve"> to B.</w:t>
      </w:r>
      <w:r>
        <w:rPr>
          <w:rFonts w:ascii="Arial Narrow" w:hAnsi="Arial Narrow"/>
          <w:sz w:val="18"/>
          <w:szCs w:val="18"/>
        </w:rPr>
        <w:t>6-</w:t>
      </w:r>
      <w:r w:rsidRPr="00880DEC">
        <w:rPr>
          <w:rFonts w:ascii="Arial Narrow" w:hAnsi="Arial Narrow"/>
          <w:sz w:val="18"/>
          <w:szCs w:val="18"/>
        </w:rPr>
        <w:t>19, pp.</w:t>
      </w:r>
      <w:r>
        <w:rPr>
          <w:rFonts w:ascii="Arial Narrow" w:hAnsi="Arial Narrow"/>
          <w:sz w:val="18"/>
          <w:szCs w:val="18"/>
        </w:rPr>
        <w:t>105</w:t>
      </w:r>
      <w:r w:rsidRPr="00880DEC">
        <w:rPr>
          <w:rFonts w:ascii="Arial Narrow" w:hAnsi="Arial Narrow"/>
          <w:sz w:val="18"/>
          <w:szCs w:val="18"/>
        </w:rPr>
        <w:t>-109 of the submission.</w:t>
      </w:r>
      <w:proofErr w:type="gramEnd"/>
    </w:p>
    <w:p w:rsidR="00CB5EB0" w:rsidRPr="00880DEC" w:rsidRDefault="00CB5EB0" w:rsidP="00831310">
      <w:pPr>
        <w:widowControl/>
        <w:ind w:left="709"/>
        <w:rPr>
          <w:rFonts w:ascii="Arial Narrow" w:hAnsi="Arial Narrow"/>
          <w:sz w:val="18"/>
          <w:szCs w:val="18"/>
        </w:rPr>
      </w:pPr>
      <w:r>
        <w:rPr>
          <w:rFonts w:ascii="Arial Narrow" w:hAnsi="Arial Narrow"/>
          <w:sz w:val="18"/>
          <w:szCs w:val="18"/>
        </w:rPr>
        <w:t>Abbreviations: AE, adverse event; SAE serious adverse event; URTI, upper respiratory tract infection.</w:t>
      </w:r>
    </w:p>
    <w:p w:rsidR="00CB5EB0" w:rsidRDefault="00CB5EB0" w:rsidP="00831310">
      <w:pPr>
        <w:widowControl/>
        <w:ind w:left="709"/>
        <w:rPr>
          <w:rFonts w:ascii="Arial Narrow" w:hAnsi="Arial Narrow"/>
          <w:sz w:val="18"/>
          <w:szCs w:val="18"/>
        </w:rPr>
      </w:pPr>
      <w:r w:rsidRPr="00880DEC">
        <w:rPr>
          <w:rFonts w:ascii="Arial Narrow" w:hAnsi="Arial Narrow"/>
          <w:sz w:val="18"/>
          <w:szCs w:val="18"/>
        </w:rPr>
        <w:t xml:space="preserve">* Includes events for </w:t>
      </w:r>
      <w:proofErr w:type="spellStart"/>
      <w:r w:rsidRPr="00880DEC">
        <w:rPr>
          <w:rFonts w:ascii="Arial Narrow" w:hAnsi="Arial Narrow"/>
          <w:sz w:val="18"/>
          <w:szCs w:val="18"/>
        </w:rPr>
        <w:t>dapagliflozin</w:t>
      </w:r>
      <w:proofErr w:type="spellEnd"/>
      <w:r w:rsidRPr="00880DEC">
        <w:rPr>
          <w:rFonts w:ascii="Arial Narrow" w:hAnsi="Arial Narrow"/>
          <w:sz w:val="18"/>
          <w:szCs w:val="18"/>
        </w:rPr>
        <w:t xml:space="preserve"> </w:t>
      </w:r>
      <w:r>
        <w:rPr>
          <w:rFonts w:ascii="Arial Narrow" w:hAnsi="Arial Narrow"/>
          <w:sz w:val="18"/>
          <w:szCs w:val="18"/>
        </w:rPr>
        <w:t>2.5</w:t>
      </w:r>
      <w:r w:rsidRPr="00880DEC">
        <w:rPr>
          <w:rFonts w:ascii="Arial Narrow" w:hAnsi="Arial Narrow"/>
          <w:sz w:val="18"/>
          <w:szCs w:val="18"/>
        </w:rPr>
        <w:t>mg</w:t>
      </w:r>
      <w:r>
        <w:rPr>
          <w:rFonts w:ascii="Arial Narrow" w:hAnsi="Arial Narrow"/>
          <w:sz w:val="18"/>
          <w:szCs w:val="18"/>
        </w:rPr>
        <w:t xml:space="preserve"> (n=202), 5mg (n=212) and 10mg (n=196) treatment arms</w:t>
      </w:r>
      <w:r w:rsidRPr="00880DEC">
        <w:rPr>
          <w:rFonts w:ascii="Arial Narrow" w:hAnsi="Arial Narrow"/>
          <w:sz w:val="18"/>
          <w:szCs w:val="18"/>
        </w:rPr>
        <w:t>.</w:t>
      </w:r>
    </w:p>
    <w:p w:rsidR="00CB5EB0" w:rsidRDefault="00CB5EB0" w:rsidP="00831310">
      <w:pPr>
        <w:widowControl/>
      </w:pPr>
    </w:p>
    <w:p w:rsidR="00E93656" w:rsidRPr="00CB5EB0" w:rsidRDefault="00DC07C1" w:rsidP="00831310">
      <w:pPr>
        <w:pStyle w:val="ListParagraph"/>
        <w:widowControl/>
        <w:numPr>
          <w:ilvl w:val="1"/>
          <w:numId w:val="8"/>
        </w:numPr>
        <w:rPr>
          <w:szCs w:val="22"/>
        </w:rPr>
      </w:pPr>
      <w:r>
        <w:rPr>
          <w:szCs w:val="22"/>
        </w:rPr>
        <w:t xml:space="preserve">Patients in </w:t>
      </w:r>
      <w:r w:rsidR="00E93656">
        <w:rPr>
          <w:szCs w:val="22"/>
        </w:rPr>
        <w:t xml:space="preserve">the </w:t>
      </w:r>
      <w:proofErr w:type="spellStart"/>
      <w:r w:rsidR="00E93656">
        <w:rPr>
          <w:szCs w:val="22"/>
        </w:rPr>
        <w:t>dap</w:t>
      </w:r>
      <w:r>
        <w:rPr>
          <w:szCs w:val="22"/>
        </w:rPr>
        <w:t>agliflozin</w:t>
      </w:r>
      <w:proofErr w:type="spellEnd"/>
      <w:r>
        <w:rPr>
          <w:szCs w:val="22"/>
        </w:rPr>
        <w:t xml:space="preserve"> trial (Wilding 2012)</w:t>
      </w:r>
      <w:r w:rsidR="00E93656">
        <w:rPr>
          <w:szCs w:val="22"/>
        </w:rPr>
        <w:t xml:space="preserve"> reported more adverse events and serious adverse events compared to other trials </w:t>
      </w:r>
      <w:r w:rsidR="00220478">
        <w:rPr>
          <w:szCs w:val="22"/>
        </w:rPr>
        <w:t>but</w:t>
      </w:r>
      <w:r w:rsidR="00E93656">
        <w:rPr>
          <w:szCs w:val="22"/>
        </w:rPr>
        <w:t xml:space="preserve"> event rates for </w:t>
      </w:r>
      <w:proofErr w:type="spellStart"/>
      <w:r w:rsidR="00E93656">
        <w:rPr>
          <w:szCs w:val="22"/>
        </w:rPr>
        <w:t>dapagliflozin</w:t>
      </w:r>
      <w:proofErr w:type="spellEnd"/>
      <w:r w:rsidR="00E93656">
        <w:rPr>
          <w:szCs w:val="22"/>
        </w:rPr>
        <w:t xml:space="preserve"> were comparable to placebo. Patients </w:t>
      </w:r>
      <w:r w:rsidR="005F129C">
        <w:rPr>
          <w:szCs w:val="22"/>
        </w:rPr>
        <w:t xml:space="preserve">taking placebo </w:t>
      </w:r>
      <w:r w:rsidR="00E93656">
        <w:rPr>
          <w:szCs w:val="22"/>
        </w:rPr>
        <w:t xml:space="preserve">in the </w:t>
      </w:r>
      <w:proofErr w:type="spellStart"/>
      <w:r w:rsidR="00E93656">
        <w:rPr>
          <w:szCs w:val="22"/>
        </w:rPr>
        <w:t>sitagliptin</w:t>
      </w:r>
      <w:proofErr w:type="spellEnd"/>
      <w:r w:rsidR="00E93656">
        <w:rPr>
          <w:szCs w:val="22"/>
        </w:rPr>
        <w:t xml:space="preserve"> Trial P260 </w:t>
      </w:r>
      <w:r w:rsidR="005F129C">
        <w:rPr>
          <w:szCs w:val="22"/>
        </w:rPr>
        <w:t xml:space="preserve">reported more adverse events and serious adverse events compared to </w:t>
      </w:r>
      <w:proofErr w:type="spellStart"/>
      <w:r w:rsidR="005F129C">
        <w:rPr>
          <w:szCs w:val="22"/>
        </w:rPr>
        <w:t>sitagliptin</w:t>
      </w:r>
      <w:proofErr w:type="spellEnd"/>
      <w:r w:rsidR="005F129C">
        <w:rPr>
          <w:szCs w:val="22"/>
        </w:rPr>
        <w:t xml:space="preserve">, consistent with higher doses of insulin taken. Patients taking </w:t>
      </w:r>
      <w:proofErr w:type="spellStart"/>
      <w:r w:rsidR="005F129C">
        <w:rPr>
          <w:szCs w:val="22"/>
        </w:rPr>
        <w:t>sitagliptin</w:t>
      </w:r>
      <w:proofErr w:type="spellEnd"/>
      <w:r w:rsidR="005F129C">
        <w:rPr>
          <w:szCs w:val="22"/>
        </w:rPr>
        <w:t xml:space="preserve"> in the </w:t>
      </w:r>
      <w:proofErr w:type="spellStart"/>
      <w:r w:rsidR="005F129C">
        <w:rPr>
          <w:szCs w:val="22"/>
        </w:rPr>
        <w:t>sitagliptin</w:t>
      </w:r>
      <w:proofErr w:type="spellEnd"/>
      <w:r w:rsidR="005F129C">
        <w:rPr>
          <w:szCs w:val="22"/>
        </w:rPr>
        <w:t xml:space="preserve"> Trial</w:t>
      </w:r>
      <w:r w:rsidR="00033A22">
        <w:rPr>
          <w:szCs w:val="22"/>
        </w:rPr>
        <w:t> </w:t>
      </w:r>
      <w:r w:rsidR="005F129C">
        <w:rPr>
          <w:szCs w:val="22"/>
        </w:rPr>
        <w:t xml:space="preserve">P051 reported more adverse events and serious adverse events compared </w:t>
      </w:r>
      <w:r w:rsidR="001C3367">
        <w:rPr>
          <w:szCs w:val="22"/>
        </w:rPr>
        <w:t xml:space="preserve">with </w:t>
      </w:r>
      <w:r w:rsidR="005F129C">
        <w:rPr>
          <w:szCs w:val="22"/>
        </w:rPr>
        <w:t xml:space="preserve">placebo. </w:t>
      </w:r>
      <w:r w:rsidR="005F129C" w:rsidRPr="00F156D1">
        <w:rPr>
          <w:szCs w:val="22"/>
        </w:rPr>
        <w:t xml:space="preserve">Overall, safety data in the clinical trials </w:t>
      </w:r>
      <w:r w:rsidR="000279C3" w:rsidRPr="00F156D1">
        <w:rPr>
          <w:szCs w:val="22"/>
        </w:rPr>
        <w:t>were</w:t>
      </w:r>
      <w:r w:rsidR="005F129C" w:rsidRPr="00F156D1">
        <w:rPr>
          <w:szCs w:val="22"/>
        </w:rPr>
        <w:t xml:space="preserve"> not comparable due to differences in trial design and insulin titration protocols.</w:t>
      </w:r>
    </w:p>
    <w:p w:rsidR="00E93656" w:rsidRDefault="00E93656" w:rsidP="00831310">
      <w:pPr>
        <w:pStyle w:val="ListParagraph"/>
        <w:widowControl/>
        <w:ind w:left="0"/>
        <w:rPr>
          <w:szCs w:val="22"/>
        </w:rPr>
      </w:pPr>
    </w:p>
    <w:p w:rsidR="008F1821" w:rsidRPr="00CB5EB0" w:rsidRDefault="008F1821" w:rsidP="00831310">
      <w:pPr>
        <w:pStyle w:val="ListParagraph"/>
        <w:widowControl/>
        <w:numPr>
          <w:ilvl w:val="1"/>
          <w:numId w:val="8"/>
        </w:numPr>
        <w:rPr>
          <w:szCs w:val="22"/>
        </w:rPr>
      </w:pPr>
      <w:r>
        <w:rPr>
          <w:szCs w:val="22"/>
        </w:rPr>
        <w:t xml:space="preserve">Patients treated with </w:t>
      </w:r>
      <w:proofErr w:type="spellStart"/>
      <w:r>
        <w:rPr>
          <w:szCs w:val="22"/>
        </w:rPr>
        <w:t>dapagliflozin</w:t>
      </w:r>
      <w:proofErr w:type="spellEnd"/>
      <w:r>
        <w:rPr>
          <w:szCs w:val="22"/>
        </w:rPr>
        <w:t xml:space="preserve"> reported statistically significantly more events suggestive of genital and urinary tract infections compared to placebo</w:t>
      </w:r>
      <w:r w:rsidRPr="00C82A51">
        <w:rPr>
          <w:i/>
        </w:rPr>
        <w:t>.</w:t>
      </w:r>
      <w:r>
        <w:t xml:space="preserve"> I</w:t>
      </w:r>
      <w:r>
        <w:rPr>
          <w:szCs w:val="22"/>
        </w:rPr>
        <w:t>nfections w</w:t>
      </w:r>
      <w:r w:rsidRPr="0048200B">
        <w:rPr>
          <w:szCs w:val="22"/>
        </w:rPr>
        <w:t>ere more common in women</w:t>
      </w:r>
      <w:r>
        <w:rPr>
          <w:szCs w:val="22"/>
        </w:rPr>
        <w:t>,</w:t>
      </w:r>
      <w:r w:rsidRPr="0048200B">
        <w:rPr>
          <w:szCs w:val="22"/>
        </w:rPr>
        <w:t xml:space="preserve"> mostly occurred during </w:t>
      </w:r>
      <w:r>
        <w:rPr>
          <w:szCs w:val="22"/>
        </w:rPr>
        <w:t>the first 24 weeks of treatment,</w:t>
      </w:r>
      <w:r w:rsidRPr="0048200B">
        <w:rPr>
          <w:szCs w:val="22"/>
        </w:rPr>
        <w:t xml:space="preserve"> were mild or moderate in </w:t>
      </w:r>
      <w:r>
        <w:rPr>
          <w:szCs w:val="22"/>
        </w:rPr>
        <w:t>severity</w:t>
      </w:r>
      <w:r w:rsidRPr="0048200B">
        <w:rPr>
          <w:szCs w:val="22"/>
        </w:rPr>
        <w:t xml:space="preserve"> and responded to </w:t>
      </w:r>
      <w:r>
        <w:rPr>
          <w:szCs w:val="22"/>
        </w:rPr>
        <w:t>treatment.</w:t>
      </w:r>
    </w:p>
    <w:p w:rsidR="008F1821" w:rsidRDefault="008F1821" w:rsidP="00831310">
      <w:pPr>
        <w:pStyle w:val="ListParagraph"/>
        <w:widowControl/>
        <w:ind w:left="0"/>
        <w:rPr>
          <w:szCs w:val="22"/>
        </w:rPr>
      </w:pPr>
    </w:p>
    <w:p w:rsidR="008F1821" w:rsidRPr="00F156D1" w:rsidRDefault="008F1821" w:rsidP="00831310">
      <w:pPr>
        <w:pStyle w:val="ListParagraph"/>
        <w:widowControl/>
        <w:numPr>
          <w:ilvl w:val="1"/>
          <w:numId w:val="8"/>
        </w:numPr>
        <w:rPr>
          <w:szCs w:val="22"/>
        </w:rPr>
      </w:pPr>
      <w:r w:rsidRPr="00F156D1">
        <w:rPr>
          <w:szCs w:val="22"/>
        </w:rPr>
        <w:t>There were substantial differences between trials in the proportions of patients experiencing hypoglycaemia events, consistent with the differences between trials i</w:t>
      </w:r>
      <w:r w:rsidR="000279C3" w:rsidRPr="00F156D1">
        <w:rPr>
          <w:szCs w:val="22"/>
        </w:rPr>
        <w:t xml:space="preserve">n definitions of hypoglycaemia </w:t>
      </w:r>
      <w:r w:rsidRPr="00F156D1">
        <w:rPr>
          <w:szCs w:val="22"/>
        </w:rPr>
        <w:t xml:space="preserve">and </w:t>
      </w:r>
      <w:r w:rsidR="00E93656" w:rsidRPr="00F156D1">
        <w:rPr>
          <w:szCs w:val="22"/>
        </w:rPr>
        <w:t>insulin titration</w:t>
      </w:r>
      <w:r w:rsidRPr="00F156D1">
        <w:t>.</w:t>
      </w:r>
    </w:p>
    <w:p w:rsidR="008F1821" w:rsidRPr="00F156D1" w:rsidRDefault="008F1821" w:rsidP="00831310">
      <w:pPr>
        <w:pStyle w:val="ListParagraph"/>
        <w:widowControl/>
        <w:ind w:left="0"/>
        <w:rPr>
          <w:szCs w:val="22"/>
        </w:rPr>
      </w:pPr>
    </w:p>
    <w:p w:rsidR="00CB5EB0" w:rsidRPr="00F156D1" w:rsidRDefault="00E63583" w:rsidP="00831310">
      <w:pPr>
        <w:pStyle w:val="ListParagraph"/>
        <w:widowControl/>
        <w:numPr>
          <w:ilvl w:val="1"/>
          <w:numId w:val="8"/>
        </w:numPr>
        <w:rPr>
          <w:szCs w:val="22"/>
        </w:rPr>
      </w:pPr>
      <w:r w:rsidRPr="00F156D1">
        <w:rPr>
          <w:szCs w:val="22"/>
        </w:rPr>
        <w:t xml:space="preserve">Results of the recently reported </w:t>
      </w:r>
      <w:proofErr w:type="spellStart"/>
      <w:r w:rsidRPr="00F156D1">
        <w:t>Saxagliptin</w:t>
      </w:r>
      <w:proofErr w:type="spellEnd"/>
      <w:r w:rsidRPr="00F156D1">
        <w:t xml:space="preserve"> Assessment of Vascular Outcomes Recorded in Patients with Diabetes Mellitus study (SAVOR; N=16,492), suggested a </w:t>
      </w:r>
      <w:r w:rsidRPr="00F156D1">
        <w:lastRenderedPageBreak/>
        <w:t xml:space="preserve">27% increase in the rate of hospitalisations for heart failure in patients treated with </w:t>
      </w:r>
      <w:proofErr w:type="spellStart"/>
      <w:r w:rsidRPr="00F156D1">
        <w:t>saxagliptin</w:t>
      </w:r>
      <w:proofErr w:type="spellEnd"/>
      <w:r w:rsidRPr="00F156D1">
        <w:t xml:space="preserve"> compared to placebo. However, a subsequent FDA review of these data (14 April 2015) found the cardiovascular risk of </w:t>
      </w:r>
      <w:proofErr w:type="spellStart"/>
      <w:r w:rsidRPr="00F156D1">
        <w:t>saxagliptin</w:t>
      </w:r>
      <w:proofErr w:type="spellEnd"/>
      <w:r w:rsidRPr="00F156D1">
        <w:t xml:space="preserve"> was acceptable. </w:t>
      </w:r>
      <w:r w:rsidR="008F1821" w:rsidRPr="00F156D1">
        <w:t xml:space="preserve">Results of the Trial Evaluating Cardiovascular Outcomes with </w:t>
      </w:r>
      <w:proofErr w:type="spellStart"/>
      <w:r w:rsidR="008F1821" w:rsidRPr="00F156D1">
        <w:t>Sitagliptin</w:t>
      </w:r>
      <w:proofErr w:type="spellEnd"/>
      <w:r w:rsidR="008F1821" w:rsidRPr="00F156D1">
        <w:t xml:space="preserve"> study (TECOS; NCT00790205) released 28 April 2015 (http://www.merck.com/mrl/ clinical_</w:t>
      </w:r>
      <w:r w:rsidR="008F1821">
        <w:rPr>
          <w:i/>
        </w:rPr>
        <w:t xml:space="preserve"> </w:t>
      </w:r>
      <w:r w:rsidR="008F1821" w:rsidRPr="00F156D1">
        <w:t xml:space="preserve">trials/outcomes_study.html) showed no increase in hospitalisations for heart failure associated with use of </w:t>
      </w:r>
      <w:proofErr w:type="spellStart"/>
      <w:r w:rsidR="008F1821" w:rsidRPr="00F156D1">
        <w:t>sitagliptin</w:t>
      </w:r>
      <w:proofErr w:type="spellEnd"/>
      <w:r w:rsidR="008F1821" w:rsidRPr="00F156D1">
        <w:t xml:space="preserve">. There are no current TGA safety alerts for </w:t>
      </w:r>
      <w:proofErr w:type="spellStart"/>
      <w:r w:rsidR="008F1821" w:rsidRPr="00F156D1">
        <w:t>sitagliptin</w:t>
      </w:r>
      <w:proofErr w:type="spellEnd"/>
      <w:r w:rsidR="008F1821" w:rsidRPr="00F156D1">
        <w:t>.</w:t>
      </w:r>
    </w:p>
    <w:p w:rsidR="00EF4622" w:rsidRPr="00F156D1" w:rsidRDefault="00EF4622" w:rsidP="00831310">
      <w:pPr>
        <w:pStyle w:val="ListParagraph"/>
        <w:widowControl/>
        <w:rPr>
          <w:szCs w:val="22"/>
        </w:rPr>
      </w:pPr>
    </w:p>
    <w:p w:rsidR="00F22681" w:rsidRPr="00434431" w:rsidRDefault="00EF4622" w:rsidP="00831310">
      <w:pPr>
        <w:pStyle w:val="ListParagraph"/>
        <w:widowControl/>
        <w:numPr>
          <w:ilvl w:val="1"/>
          <w:numId w:val="8"/>
        </w:numPr>
        <w:rPr>
          <w:szCs w:val="22"/>
        </w:rPr>
      </w:pPr>
      <w:r w:rsidRPr="00F156D1">
        <w:rPr>
          <w:szCs w:val="22"/>
        </w:rPr>
        <w:t xml:space="preserve">On 15 May 2015, the FDA issued a </w:t>
      </w:r>
      <w:r w:rsidRPr="00060CAC">
        <w:rPr>
          <w:szCs w:val="22"/>
        </w:rPr>
        <w:t xml:space="preserve">warning </w:t>
      </w:r>
      <w:r w:rsidRPr="00F156D1">
        <w:rPr>
          <w:szCs w:val="22"/>
        </w:rPr>
        <w:t>that use of SGLT2 inhibitors (</w:t>
      </w:r>
      <w:proofErr w:type="spellStart"/>
      <w:r w:rsidRPr="00F156D1">
        <w:rPr>
          <w:szCs w:val="22"/>
        </w:rPr>
        <w:t>canagliflozin</w:t>
      </w:r>
      <w:proofErr w:type="spellEnd"/>
      <w:r w:rsidRPr="00F156D1">
        <w:rPr>
          <w:szCs w:val="22"/>
        </w:rPr>
        <w:t xml:space="preserve">, </w:t>
      </w:r>
      <w:proofErr w:type="spellStart"/>
      <w:r w:rsidRPr="00F156D1">
        <w:rPr>
          <w:szCs w:val="22"/>
        </w:rPr>
        <w:t>dapagliflozin</w:t>
      </w:r>
      <w:proofErr w:type="spellEnd"/>
      <w:r w:rsidRPr="00F156D1">
        <w:rPr>
          <w:szCs w:val="22"/>
        </w:rPr>
        <w:t xml:space="preserve">, and </w:t>
      </w:r>
      <w:proofErr w:type="spellStart"/>
      <w:r w:rsidRPr="00F156D1">
        <w:rPr>
          <w:szCs w:val="22"/>
        </w:rPr>
        <w:t>empagliflozin</w:t>
      </w:r>
      <w:proofErr w:type="spellEnd"/>
      <w:r w:rsidRPr="00F156D1">
        <w:rPr>
          <w:szCs w:val="22"/>
        </w:rPr>
        <w:t>) may lead to ketoacidosis, a serious condition where the body produces high levels of blood acids called ketones, whi</w:t>
      </w:r>
      <w:r w:rsidR="00545FCD">
        <w:rPr>
          <w:szCs w:val="22"/>
        </w:rPr>
        <w:t>ch may require hospitalization</w:t>
      </w:r>
      <w:r w:rsidR="00060CAC">
        <w:rPr>
          <w:szCs w:val="22"/>
        </w:rPr>
        <w:t xml:space="preserve"> (click on the following link: </w:t>
      </w:r>
      <w:r w:rsidR="00060CAC" w:rsidRPr="00BC51A8">
        <w:rPr>
          <w:szCs w:val="22"/>
        </w:rPr>
        <w:t>FDA warning</w:t>
      </w:r>
      <w:r w:rsidR="00060CAC">
        <w:rPr>
          <w:szCs w:val="22"/>
        </w:rPr>
        <w:t>)</w:t>
      </w:r>
      <w:r w:rsidRPr="00F156D1">
        <w:rPr>
          <w:szCs w:val="22"/>
        </w:rPr>
        <w:t>.</w:t>
      </w:r>
      <w:r w:rsidR="00F22681">
        <w:rPr>
          <w:szCs w:val="22"/>
        </w:rPr>
        <w:t xml:space="preserve"> </w:t>
      </w:r>
      <w:r w:rsidR="00F22681" w:rsidRPr="00552352">
        <w:rPr>
          <w:szCs w:val="22"/>
        </w:rPr>
        <w:t xml:space="preserve">The European Medicines Agency’s Pharmacovigilance Risk Assessment Committee has recently commenced a </w:t>
      </w:r>
      <w:r w:rsidR="00F22681" w:rsidRPr="00060CAC">
        <w:rPr>
          <w:szCs w:val="22"/>
        </w:rPr>
        <w:t>review of SGLT2 inhibitors</w:t>
      </w:r>
      <w:r w:rsidR="00F22681" w:rsidRPr="00552352">
        <w:rPr>
          <w:szCs w:val="22"/>
        </w:rPr>
        <w:t xml:space="preserve"> </w:t>
      </w:r>
      <w:r w:rsidR="00F22681" w:rsidRPr="00552352">
        <w:rPr>
          <w:color w:val="000000"/>
          <w:szCs w:val="22"/>
          <w:shd w:val="clear" w:color="auto" w:fill="FFFFFF"/>
        </w:rPr>
        <w:t>to evaluate the risk of diabetic ketoacidosis</w:t>
      </w:r>
      <w:r w:rsidR="00060CAC">
        <w:rPr>
          <w:color w:val="000000"/>
          <w:szCs w:val="22"/>
          <w:shd w:val="clear" w:color="auto" w:fill="FFFFFF"/>
        </w:rPr>
        <w:t xml:space="preserve"> (click on the following link: </w:t>
      </w:r>
      <w:r w:rsidR="00060CAC" w:rsidRPr="00BC51A8">
        <w:rPr>
          <w:szCs w:val="22"/>
        </w:rPr>
        <w:t>EMA review</w:t>
      </w:r>
      <w:r w:rsidR="00060CAC">
        <w:rPr>
          <w:color w:val="000000"/>
          <w:szCs w:val="22"/>
          <w:shd w:val="clear" w:color="auto" w:fill="FFFFFF"/>
        </w:rPr>
        <w:t>)</w:t>
      </w:r>
      <w:r w:rsidR="00F22681" w:rsidRPr="00552352">
        <w:rPr>
          <w:color w:val="000000"/>
          <w:szCs w:val="22"/>
          <w:shd w:val="clear" w:color="auto" w:fill="FFFFFF"/>
        </w:rPr>
        <w:t xml:space="preserve">. </w:t>
      </w:r>
    </w:p>
    <w:p w:rsidR="00434431" w:rsidRPr="00552352" w:rsidRDefault="00434431" w:rsidP="00831310">
      <w:pPr>
        <w:pStyle w:val="PBACHeading1"/>
        <w:numPr>
          <w:ilvl w:val="0"/>
          <w:numId w:val="0"/>
        </w:numPr>
      </w:pPr>
    </w:p>
    <w:p w:rsidR="00B60939" w:rsidRPr="002C2775" w:rsidRDefault="00B60939" w:rsidP="00831310">
      <w:pPr>
        <w:pStyle w:val="Heading2"/>
        <w:widowControl/>
        <w:rPr>
          <w:i/>
        </w:rPr>
      </w:pPr>
      <w:bookmarkStart w:id="10" w:name="_Toc419661308"/>
      <w:r w:rsidRPr="002C2775">
        <w:rPr>
          <w:i/>
        </w:rPr>
        <w:t>Clinical claim</w:t>
      </w:r>
      <w:bookmarkEnd w:id="10"/>
    </w:p>
    <w:p w:rsidR="00B60939" w:rsidRPr="00882085" w:rsidRDefault="00B60939" w:rsidP="00831310">
      <w:pPr>
        <w:widowControl/>
        <w:ind w:left="720" w:hanging="720"/>
        <w:rPr>
          <w:szCs w:val="22"/>
        </w:rPr>
      </w:pPr>
    </w:p>
    <w:p w:rsidR="00705ADB" w:rsidRPr="009F3141" w:rsidRDefault="00705ADB" w:rsidP="00831310">
      <w:pPr>
        <w:pStyle w:val="ListParagraph"/>
        <w:widowControl/>
        <w:numPr>
          <w:ilvl w:val="1"/>
          <w:numId w:val="8"/>
        </w:numPr>
      </w:pPr>
      <w:r>
        <w:t>The submission described</w:t>
      </w:r>
      <w:r w:rsidRPr="00D13A3E">
        <w:t xml:space="preserve"> </w:t>
      </w:r>
      <w:proofErr w:type="spellStart"/>
      <w:r>
        <w:t>sitagliptin</w:t>
      </w:r>
      <w:proofErr w:type="spellEnd"/>
      <w:r w:rsidRPr="00D13A3E">
        <w:t xml:space="preserve"> as </w:t>
      </w:r>
      <w:r>
        <w:t>non-inferior</w:t>
      </w:r>
      <w:r w:rsidRPr="00D13A3E">
        <w:t xml:space="preserve"> in terms of comparative effectiveness</w:t>
      </w:r>
      <w:r>
        <w:t>, similar in terms of reduction in mean daily insulin dose</w:t>
      </w:r>
      <w:r w:rsidRPr="00D13A3E">
        <w:t xml:space="preserve"> and </w:t>
      </w:r>
      <w:r>
        <w:t>similar</w:t>
      </w:r>
      <w:r w:rsidRPr="00D13A3E">
        <w:t xml:space="preserve"> in terms of comparative safety </w:t>
      </w:r>
      <w:r w:rsidR="001C3367">
        <w:t xml:space="preserve">compared </w:t>
      </w:r>
      <w:r w:rsidR="00B25983">
        <w:t>to</w:t>
      </w:r>
      <w:r w:rsidR="001C3367" w:rsidRPr="00D13A3E">
        <w:t xml:space="preserve"> </w:t>
      </w:r>
      <w:proofErr w:type="spellStart"/>
      <w:r>
        <w:t>dapagliflozin</w:t>
      </w:r>
      <w:proofErr w:type="spellEnd"/>
      <w:r>
        <w:t xml:space="preserve">. </w:t>
      </w:r>
      <w:r w:rsidR="00F51626">
        <w:t>The evaluation considered this</w:t>
      </w:r>
      <w:r w:rsidR="00F51626" w:rsidRPr="00705ADB">
        <w:t xml:space="preserve"> </w:t>
      </w:r>
      <w:r w:rsidRPr="00705ADB">
        <w:t>claim was adequately supported in terms of comparative efficacy and safety, but not in terms of reduction in mean daily insulin dose.</w:t>
      </w:r>
    </w:p>
    <w:p w:rsidR="00705ADB" w:rsidRPr="00F156D1" w:rsidRDefault="00705ADB" w:rsidP="00831310">
      <w:pPr>
        <w:widowControl/>
        <w:numPr>
          <w:ilvl w:val="0"/>
          <w:numId w:val="3"/>
        </w:numPr>
        <w:tabs>
          <w:tab w:val="clear" w:pos="720"/>
          <w:tab w:val="num" w:pos="1134"/>
        </w:tabs>
        <w:ind w:left="1134"/>
      </w:pPr>
      <w:r w:rsidRPr="00F156D1">
        <w:t>The indirect comparisons presented in the submission demonstrated non</w:t>
      </w:r>
      <w:r w:rsidR="00B25983">
        <w:noBreakHyphen/>
      </w:r>
      <w:r w:rsidRPr="00F156D1">
        <w:t xml:space="preserve">inferiority of </w:t>
      </w:r>
      <w:proofErr w:type="spellStart"/>
      <w:r w:rsidRPr="00F156D1">
        <w:t>sitagliptin</w:t>
      </w:r>
      <w:proofErr w:type="spellEnd"/>
      <w:r w:rsidRPr="00F156D1">
        <w:t xml:space="preserve"> 100mg compared to </w:t>
      </w:r>
      <w:proofErr w:type="spellStart"/>
      <w:r w:rsidRPr="00F156D1">
        <w:t>dapagliflozin</w:t>
      </w:r>
      <w:proofErr w:type="spellEnd"/>
      <w:r w:rsidRPr="00F156D1">
        <w:t xml:space="preserve"> 10mg in terms of reduction in HbA1c over 24 weeks.</w:t>
      </w:r>
    </w:p>
    <w:p w:rsidR="00705ADB" w:rsidRPr="00F156D1" w:rsidRDefault="00705ADB" w:rsidP="00831310">
      <w:pPr>
        <w:widowControl/>
        <w:numPr>
          <w:ilvl w:val="0"/>
          <w:numId w:val="3"/>
        </w:numPr>
        <w:tabs>
          <w:tab w:val="clear" w:pos="720"/>
          <w:tab w:val="num" w:pos="1134"/>
        </w:tabs>
        <w:ind w:left="1134"/>
      </w:pPr>
      <w:r w:rsidRPr="00F156D1">
        <w:t xml:space="preserve">Given substantial differences in baseline insulin doses and insulin management regimens between trials, the </w:t>
      </w:r>
      <w:proofErr w:type="spellStart"/>
      <w:r w:rsidRPr="00F156D1">
        <w:t>sitagliptin</w:t>
      </w:r>
      <w:proofErr w:type="spellEnd"/>
      <w:r w:rsidRPr="00F156D1">
        <w:t xml:space="preserve"> (P260) and </w:t>
      </w:r>
      <w:proofErr w:type="spellStart"/>
      <w:r w:rsidRPr="00F156D1">
        <w:t>dapagliflozin</w:t>
      </w:r>
      <w:proofErr w:type="spellEnd"/>
      <w:r w:rsidRPr="00F156D1">
        <w:t xml:space="preserve"> (Wilding 2012) trials presented in the submission were not comparable in terms of reduction in mean daily insulin dose. In Trial P260 the addition of </w:t>
      </w:r>
      <w:proofErr w:type="spellStart"/>
      <w:r w:rsidRPr="00F156D1">
        <w:t>sitagliptin</w:t>
      </w:r>
      <w:proofErr w:type="spellEnd"/>
      <w:r w:rsidRPr="00F156D1">
        <w:t xml:space="preserve"> 100mg to insulin regimens resulted in an increased mean daily insulin dose (+19.0IU/day) over 24</w:t>
      </w:r>
      <w:r w:rsidR="00B25983">
        <w:t> </w:t>
      </w:r>
      <w:r w:rsidRPr="00F156D1">
        <w:t xml:space="preserve">weeks, while in Wilding 2012 the addition of </w:t>
      </w:r>
      <w:proofErr w:type="spellStart"/>
      <w:r w:rsidRPr="00F156D1">
        <w:t>dapagliflozin</w:t>
      </w:r>
      <w:proofErr w:type="spellEnd"/>
      <w:r w:rsidRPr="00F156D1">
        <w:t xml:space="preserve"> 10mg resulted in a reduced mean daily insulin dose (-1.18IU/day). </w:t>
      </w:r>
    </w:p>
    <w:p w:rsidR="00705ADB" w:rsidRPr="00F156D1" w:rsidRDefault="00705ADB" w:rsidP="00831310">
      <w:pPr>
        <w:widowControl/>
        <w:numPr>
          <w:ilvl w:val="0"/>
          <w:numId w:val="3"/>
        </w:numPr>
        <w:tabs>
          <w:tab w:val="clear" w:pos="720"/>
          <w:tab w:val="num" w:pos="1134"/>
        </w:tabs>
        <w:ind w:left="1134"/>
      </w:pPr>
      <w:r w:rsidRPr="00F156D1">
        <w:t xml:space="preserve">The submission stated that both </w:t>
      </w:r>
      <w:proofErr w:type="spellStart"/>
      <w:r w:rsidRPr="00F156D1">
        <w:t>sitagliptin</w:t>
      </w:r>
      <w:proofErr w:type="spellEnd"/>
      <w:r w:rsidRPr="00F156D1">
        <w:t xml:space="preserve"> 100mg and </w:t>
      </w:r>
      <w:proofErr w:type="spellStart"/>
      <w:r w:rsidRPr="00F156D1">
        <w:t>dapagliflozin</w:t>
      </w:r>
      <w:proofErr w:type="spellEnd"/>
      <w:r w:rsidRPr="00F156D1">
        <w:t xml:space="preserve"> 10mg were well tolerated and had different safety profiles with similar impacts on patient relevant outcomes. However, the submission also noted that </w:t>
      </w:r>
      <w:proofErr w:type="spellStart"/>
      <w:r w:rsidRPr="00F156D1">
        <w:t>dapagliflozin</w:t>
      </w:r>
      <w:proofErr w:type="spellEnd"/>
      <w:r w:rsidRPr="00F156D1">
        <w:t xml:space="preserve"> was associated with an increased incidence of genital infections requiring treatment, particularly in women.</w:t>
      </w:r>
    </w:p>
    <w:p w:rsidR="00A45A1C" w:rsidRDefault="00A45A1C" w:rsidP="00831310">
      <w:pPr>
        <w:widowControl/>
      </w:pPr>
    </w:p>
    <w:p w:rsidR="00AB38F4" w:rsidRPr="006A0174" w:rsidRDefault="00792E89" w:rsidP="00831310">
      <w:pPr>
        <w:pStyle w:val="ListParagraph"/>
        <w:widowControl/>
        <w:numPr>
          <w:ilvl w:val="1"/>
          <w:numId w:val="8"/>
        </w:numPr>
      </w:pPr>
      <w:r w:rsidRPr="00792E89">
        <w:rPr>
          <w:bCs/>
          <w:szCs w:val="22"/>
        </w:rPr>
        <w:t xml:space="preserve">The PBAC considered that the claim of non-inferior comparative effectiveness </w:t>
      </w:r>
      <w:r w:rsidR="00F51626">
        <w:rPr>
          <w:bCs/>
          <w:szCs w:val="22"/>
        </w:rPr>
        <w:t xml:space="preserve">may not be </w:t>
      </w:r>
      <w:r w:rsidRPr="00792E89">
        <w:rPr>
          <w:bCs/>
          <w:szCs w:val="22"/>
        </w:rPr>
        <w:t>reasonable</w:t>
      </w:r>
      <w:r w:rsidR="00C45700">
        <w:rPr>
          <w:bCs/>
          <w:szCs w:val="22"/>
        </w:rPr>
        <w:t xml:space="preserve"> in terms of reduction in HbA1c</w:t>
      </w:r>
      <w:r w:rsidRPr="00792E89">
        <w:rPr>
          <w:bCs/>
          <w:szCs w:val="22"/>
        </w:rPr>
        <w:t>.</w:t>
      </w:r>
      <w:r w:rsidR="00F51626">
        <w:rPr>
          <w:bCs/>
          <w:szCs w:val="22"/>
        </w:rPr>
        <w:t xml:space="preserve"> </w:t>
      </w:r>
      <w:r w:rsidR="00AB38F4">
        <w:rPr>
          <w:bCs/>
          <w:szCs w:val="22"/>
        </w:rPr>
        <w:t xml:space="preserve">The PBAC considered that the results of Trial P051 were not informative given that the trial did not allow insulin titration. </w:t>
      </w:r>
      <w:r w:rsidR="009B5971">
        <w:rPr>
          <w:bCs/>
          <w:szCs w:val="22"/>
        </w:rPr>
        <w:t>The PBAC</w:t>
      </w:r>
      <w:r w:rsidR="00F51626">
        <w:rPr>
          <w:bCs/>
          <w:szCs w:val="22"/>
        </w:rPr>
        <w:t xml:space="preserve"> </w:t>
      </w:r>
      <w:r w:rsidR="009B5971">
        <w:rPr>
          <w:bCs/>
          <w:szCs w:val="22"/>
        </w:rPr>
        <w:t xml:space="preserve">noted </w:t>
      </w:r>
      <w:r w:rsidR="00F51626">
        <w:rPr>
          <w:bCs/>
          <w:szCs w:val="22"/>
        </w:rPr>
        <w:t xml:space="preserve">that treatment with </w:t>
      </w:r>
      <w:proofErr w:type="spellStart"/>
      <w:r w:rsidR="00F51626">
        <w:rPr>
          <w:bCs/>
          <w:szCs w:val="22"/>
        </w:rPr>
        <w:t>sitagliptin</w:t>
      </w:r>
      <w:proofErr w:type="spellEnd"/>
      <w:r w:rsidR="00F51626">
        <w:rPr>
          <w:bCs/>
          <w:szCs w:val="22"/>
        </w:rPr>
        <w:t xml:space="preserve"> was associated with a small decrease in HbA1c</w:t>
      </w:r>
      <w:r w:rsidR="00C45700">
        <w:rPr>
          <w:bCs/>
          <w:szCs w:val="22"/>
        </w:rPr>
        <w:t xml:space="preserve"> </w:t>
      </w:r>
      <w:r w:rsidR="00AB38F4">
        <w:rPr>
          <w:bCs/>
          <w:szCs w:val="22"/>
        </w:rPr>
        <w:t>in T</w:t>
      </w:r>
      <w:r w:rsidR="00AB4062">
        <w:rPr>
          <w:bCs/>
          <w:szCs w:val="22"/>
        </w:rPr>
        <w:t>rial P260</w:t>
      </w:r>
      <w:r w:rsidR="009B5971">
        <w:rPr>
          <w:bCs/>
          <w:szCs w:val="22"/>
        </w:rPr>
        <w:t xml:space="preserve"> (which allowed insulin to be adjusted)</w:t>
      </w:r>
      <w:r w:rsidR="00AB4062">
        <w:rPr>
          <w:bCs/>
          <w:szCs w:val="22"/>
        </w:rPr>
        <w:t>,</w:t>
      </w:r>
      <w:r w:rsidR="009B5971">
        <w:rPr>
          <w:bCs/>
          <w:szCs w:val="22"/>
        </w:rPr>
        <w:t xml:space="preserve"> but that this was a secondary outcome of the trial.</w:t>
      </w:r>
      <w:r w:rsidR="00AB38F4">
        <w:rPr>
          <w:bCs/>
          <w:szCs w:val="22"/>
        </w:rPr>
        <w:t xml:space="preserve"> </w:t>
      </w:r>
    </w:p>
    <w:p w:rsidR="006A0174" w:rsidRPr="00AB38F4" w:rsidRDefault="006A0174" w:rsidP="006A0174">
      <w:pPr>
        <w:pStyle w:val="ListParagraph"/>
        <w:widowControl/>
      </w:pPr>
    </w:p>
    <w:p w:rsidR="00792E89" w:rsidRPr="00792E89" w:rsidRDefault="00AB38F4" w:rsidP="00831310">
      <w:pPr>
        <w:pStyle w:val="ListParagraph"/>
        <w:widowControl/>
        <w:numPr>
          <w:ilvl w:val="1"/>
          <w:numId w:val="8"/>
        </w:numPr>
      </w:pPr>
      <w:r>
        <w:rPr>
          <w:bCs/>
          <w:szCs w:val="22"/>
        </w:rPr>
        <w:t xml:space="preserve">The </w:t>
      </w:r>
      <w:r w:rsidR="00C45700">
        <w:rPr>
          <w:bCs/>
          <w:szCs w:val="22"/>
        </w:rPr>
        <w:t xml:space="preserve">PBAC did not consider the claim </w:t>
      </w:r>
      <w:r>
        <w:rPr>
          <w:bCs/>
          <w:szCs w:val="22"/>
        </w:rPr>
        <w:t xml:space="preserve">of non-inferiority </w:t>
      </w:r>
      <w:r w:rsidR="00C45700">
        <w:rPr>
          <w:bCs/>
          <w:szCs w:val="22"/>
        </w:rPr>
        <w:t>was reasonable in terms of reduction in mean daily insulin dose</w:t>
      </w:r>
      <w:r>
        <w:rPr>
          <w:bCs/>
          <w:szCs w:val="22"/>
        </w:rPr>
        <w:t xml:space="preserve">, noting that the addition of </w:t>
      </w:r>
      <w:proofErr w:type="spellStart"/>
      <w:r>
        <w:rPr>
          <w:bCs/>
          <w:szCs w:val="22"/>
        </w:rPr>
        <w:t>sitagliptin</w:t>
      </w:r>
      <w:proofErr w:type="spellEnd"/>
      <w:r>
        <w:rPr>
          <w:bCs/>
          <w:szCs w:val="22"/>
        </w:rPr>
        <w:t xml:space="preserve"> to insulin regimens resulted in an increased mean daily insulin dose</w:t>
      </w:r>
      <w:r w:rsidR="00C45700">
        <w:rPr>
          <w:bCs/>
          <w:szCs w:val="22"/>
        </w:rPr>
        <w:t xml:space="preserve">. </w:t>
      </w:r>
    </w:p>
    <w:p w:rsidR="00792E89" w:rsidRPr="00792E89" w:rsidRDefault="00792E89" w:rsidP="00831310">
      <w:pPr>
        <w:pStyle w:val="ListParagraph"/>
        <w:widowControl/>
      </w:pPr>
    </w:p>
    <w:p w:rsidR="00792E89" w:rsidRPr="00792E89" w:rsidRDefault="00792E89" w:rsidP="00831310">
      <w:pPr>
        <w:pStyle w:val="ListParagraph"/>
        <w:widowControl/>
        <w:numPr>
          <w:ilvl w:val="1"/>
          <w:numId w:val="8"/>
        </w:numPr>
      </w:pPr>
      <w:r w:rsidRPr="00792E89">
        <w:rPr>
          <w:szCs w:val="22"/>
        </w:rPr>
        <w:lastRenderedPageBreak/>
        <w:t>The PBAC considered that the clai</w:t>
      </w:r>
      <w:r>
        <w:rPr>
          <w:szCs w:val="22"/>
        </w:rPr>
        <w:t>m of non-inferior</w:t>
      </w:r>
      <w:r w:rsidRPr="00792E89">
        <w:rPr>
          <w:szCs w:val="22"/>
        </w:rPr>
        <w:t xml:space="preserve"> comparativ</w:t>
      </w:r>
      <w:r>
        <w:rPr>
          <w:szCs w:val="22"/>
        </w:rPr>
        <w:t>e safety was reasonable</w:t>
      </w:r>
      <w:r w:rsidRPr="00792E89">
        <w:rPr>
          <w:szCs w:val="22"/>
        </w:rPr>
        <w:t>.</w:t>
      </w:r>
    </w:p>
    <w:p w:rsidR="00792E89" w:rsidRDefault="00792E89" w:rsidP="00831310">
      <w:pPr>
        <w:widowControl/>
      </w:pPr>
    </w:p>
    <w:p w:rsidR="00434431" w:rsidRPr="00434431" w:rsidRDefault="00434431" w:rsidP="00831310">
      <w:pPr>
        <w:pStyle w:val="ListParagraph"/>
        <w:widowControl/>
        <w:ind w:left="709"/>
        <w:rPr>
          <w:i/>
          <w:szCs w:val="22"/>
        </w:rPr>
      </w:pPr>
      <w:r w:rsidRPr="00792E89">
        <w:rPr>
          <w:i/>
          <w:szCs w:val="22"/>
        </w:rPr>
        <w:t>For more detail on PBAC’s view, see section 7 “PBAC outcome”</w:t>
      </w:r>
    </w:p>
    <w:p w:rsidR="00434431" w:rsidRPr="004B44FD" w:rsidRDefault="00434431" w:rsidP="00831310">
      <w:pPr>
        <w:widowControl/>
      </w:pPr>
    </w:p>
    <w:p w:rsidR="00B60939" w:rsidRPr="002C2775" w:rsidRDefault="00B60939" w:rsidP="00831310">
      <w:pPr>
        <w:pStyle w:val="Heading2"/>
        <w:keepNext/>
        <w:widowControl/>
        <w:rPr>
          <w:i/>
        </w:rPr>
      </w:pPr>
      <w:bookmarkStart w:id="11" w:name="_Toc419661309"/>
      <w:r w:rsidRPr="002C2775">
        <w:rPr>
          <w:i/>
        </w:rPr>
        <w:t>Economic analysis</w:t>
      </w:r>
      <w:bookmarkEnd w:id="11"/>
      <w:r w:rsidR="00491B3A" w:rsidRPr="002C2775">
        <w:rPr>
          <w:i/>
        </w:rPr>
        <w:t xml:space="preserve"> </w:t>
      </w:r>
    </w:p>
    <w:p w:rsidR="00B60939" w:rsidRPr="00882085" w:rsidRDefault="00B60939" w:rsidP="00831310">
      <w:pPr>
        <w:keepNext/>
        <w:widowControl/>
        <w:ind w:left="720" w:hanging="720"/>
        <w:rPr>
          <w:szCs w:val="22"/>
        </w:rPr>
      </w:pPr>
    </w:p>
    <w:p w:rsidR="005F129C" w:rsidRPr="00792E89" w:rsidRDefault="00BC2972" w:rsidP="00831310">
      <w:pPr>
        <w:pStyle w:val="ListParagraph"/>
        <w:widowControl/>
        <w:numPr>
          <w:ilvl w:val="1"/>
          <w:numId w:val="8"/>
        </w:numPr>
        <w:rPr>
          <w:szCs w:val="22"/>
        </w:rPr>
      </w:pPr>
      <w:r>
        <w:t>The submission presented a c</w:t>
      </w:r>
      <w:r w:rsidR="005F129C" w:rsidRPr="00DE14BC">
        <w:t xml:space="preserve">ost-minimisation analysis.  </w:t>
      </w:r>
      <w:r w:rsidR="005F129C" w:rsidRPr="001222FC">
        <w:t xml:space="preserve">The </w:t>
      </w:r>
      <w:proofErr w:type="spellStart"/>
      <w:r w:rsidR="005F129C" w:rsidRPr="001222FC">
        <w:t>equi</w:t>
      </w:r>
      <w:proofErr w:type="spellEnd"/>
      <w:r w:rsidR="005F129C" w:rsidRPr="001222FC">
        <w:t xml:space="preserve">-effective doses </w:t>
      </w:r>
      <w:r>
        <w:t xml:space="preserve">were </w:t>
      </w:r>
      <w:proofErr w:type="spellStart"/>
      <w:r w:rsidR="005F129C">
        <w:t>sitagliptin</w:t>
      </w:r>
      <w:proofErr w:type="spellEnd"/>
      <w:r w:rsidR="005F129C">
        <w:t xml:space="preserve"> 100mg once daily </w:t>
      </w:r>
      <w:r w:rsidR="005F129C" w:rsidRPr="001222FC">
        <w:t xml:space="preserve">and </w:t>
      </w:r>
      <w:proofErr w:type="spellStart"/>
      <w:r w:rsidR="005F129C">
        <w:t>dapagliflozin</w:t>
      </w:r>
      <w:proofErr w:type="spellEnd"/>
      <w:r w:rsidR="005F129C">
        <w:t xml:space="preserve"> 10mg daily. </w:t>
      </w:r>
      <w:r w:rsidR="005F129C" w:rsidRPr="004D502B">
        <w:t>The</w:t>
      </w:r>
      <w:r w:rsidR="005F129C">
        <w:t>se</w:t>
      </w:r>
      <w:r w:rsidR="005F129C" w:rsidRPr="004D502B">
        <w:t xml:space="preserve"> estimates </w:t>
      </w:r>
      <w:r w:rsidR="005F129C">
        <w:t>we</w:t>
      </w:r>
      <w:r w:rsidR="005F129C" w:rsidRPr="004D502B">
        <w:t xml:space="preserve">re trial based and agreed by the PBAC when </w:t>
      </w:r>
      <w:proofErr w:type="spellStart"/>
      <w:r w:rsidR="005F129C">
        <w:t>dapagliflozin</w:t>
      </w:r>
      <w:proofErr w:type="spellEnd"/>
      <w:r w:rsidR="005F129C">
        <w:t xml:space="preserve"> was recommended for </w:t>
      </w:r>
      <w:r w:rsidR="005F129C" w:rsidRPr="004D502B">
        <w:t xml:space="preserve">dual therapy in </w:t>
      </w:r>
      <w:r w:rsidR="00B001A8">
        <w:t>T2DM</w:t>
      </w:r>
      <w:r w:rsidR="005F129C">
        <w:t xml:space="preserve"> </w:t>
      </w:r>
      <w:r w:rsidR="005F129C" w:rsidRPr="004316B4">
        <w:t>(</w:t>
      </w:r>
      <w:proofErr w:type="spellStart"/>
      <w:r w:rsidR="005F129C" w:rsidRPr="004316B4">
        <w:t>dapagliflozin</w:t>
      </w:r>
      <w:proofErr w:type="spellEnd"/>
      <w:r w:rsidR="005F129C" w:rsidRPr="004316B4">
        <w:t xml:space="preserve"> PSD, July 2013).</w:t>
      </w:r>
    </w:p>
    <w:p w:rsidR="00792E89" w:rsidRPr="00434431" w:rsidRDefault="00792E89" w:rsidP="00831310">
      <w:pPr>
        <w:pStyle w:val="ListParagraph"/>
        <w:widowControl/>
        <w:rPr>
          <w:szCs w:val="22"/>
        </w:rPr>
      </w:pPr>
    </w:p>
    <w:p w:rsidR="00434431" w:rsidRPr="00792E89" w:rsidRDefault="00434431" w:rsidP="00831310">
      <w:pPr>
        <w:pStyle w:val="PBACHeading1"/>
        <w:numPr>
          <w:ilvl w:val="0"/>
          <w:numId w:val="0"/>
        </w:numPr>
        <w:ind w:left="720"/>
        <w:rPr>
          <w:b w:val="0"/>
          <w:i/>
        </w:rPr>
      </w:pPr>
      <w:r w:rsidRPr="00792E89">
        <w:rPr>
          <w:b w:val="0"/>
          <w:i/>
        </w:rPr>
        <w:t>For more detail on PBAC’s view, see section 7 “PBAC outcome”</w:t>
      </w:r>
    </w:p>
    <w:p w:rsidR="00275C5A" w:rsidRPr="00275C5A" w:rsidRDefault="00275C5A" w:rsidP="00831310">
      <w:pPr>
        <w:widowControl/>
        <w:rPr>
          <w:szCs w:val="22"/>
        </w:rPr>
      </w:pPr>
    </w:p>
    <w:p w:rsidR="00C25D9C" w:rsidRPr="002C2775" w:rsidRDefault="00C25D9C" w:rsidP="00831310">
      <w:pPr>
        <w:pStyle w:val="Heading2"/>
        <w:widowControl/>
        <w:rPr>
          <w:i/>
          <w:szCs w:val="22"/>
        </w:rPr>
      </w:pPr>
      <w:bookmarkStart w:id="12" w:name="_Toc419661310"/>
      <w:r w:rsidRPr="002C2775">
        <w:rPr>
          <w:i/>
        </w:rPr>
        <w:t>Drug cost/patient/</w:t>
      </w:r>
      <w:bookmarkEnd w:id="12"/>
      <w:r w:rsidR="00BD2956" w:rsidRPr="005D641A">
        <w:rPr>
          <w:i/>
        </w:rPr>
        <w:t>year</w:t>
      </w:r>
    </w:p>
    <w:p w:rsidR="00C25D9C" w:rsidRPr="00C25D9C" w:rsidRDefault="00C25D9C" w:rsidP="00831310">
      <w:pPr>
        <w:widowControl/>
        <w:rPr>
          <w:szCs w:val="22"/>
        </w:rPr>
      </w:pPr>
    </w:p>
    <w:p w:rsidR="005D641A" w:rsidRPr="00552352" w:rsidRDefault="00BD2956" w:rsidP="00831310">
      <w:pPr>
        <w:pStyle w:val="ListParagraph"/>
        <w:widowControl/>
        <w:numPr>
          <w:ilvl w:val="1"/>
          <w:numId w:val="8"/>
        </w:numPr>
        <w:rPr>
          <w:szCs w:val="22"/>
        </w:rPr>
      </w:pPr>
      <w:r w:rsidRPr="00552352">
        <w:t>A</w:t>
      </w:r>
      <w:r w:rsidR="005D641A" w:rsidRPr="00552352">
        <w:t>t the requested DPMQ of $</w:t>
      </w:r>
      <w:r w:rsidR="005D641A" w:rsidRPr="00545FCD">
        <w:t>59.20</w:t>
      </w:r>
      <w:r w:rsidR="005D641A" w:rsidRPr="00552352">
        <w:t xml:space="preserve"> for a 28 tablet pack of 25</w:t>
      </w:r>
      <w:r w:rsidR="00035252" w:rsidRPr="00552352">
        <w:t> </w:t>
      </w:r>
      <w:r w:rsidR="005D641A" w:rsidRPr="00552352">
        <w:t>mg, 50</w:t>
      </w:r>
      <w:r w:rsidR="00035252" w:rsidRPr="00552352">
        <w:t> </w:t>
      </w:r>
      <w:r w:rsidR="005D641A" w:rsidRPr="00552352">
        <w:t>mg or 100</w:t>
      </w:r>
      <w:r w:rsidR="00035252" w:rsidRPr="00552352">
        <w:t> </w:t>
      </w:r>
      <w:r w:rsidR="005D641A" w:rsidRPr="00552352">
        <w:t xml:space="preserve">mg </w:t>
      </w:r>
      <w:proofErr w:type="spellStart"/>
      <w:r w:rsidR="005D641A" w:rsidRPr="00552352">
        <w:t>sitagliptin</w:t>
      </w:r>
      <w:proofErr w:type="spellEnd"/>
      <w:r w:rsidR="005D641A" w:rsidRPr="00552352">
        <w:t xml:space="preserve">, the </w:t>
      </w:r>
      <w:r w:rsidRPr="00552352">
        <w:t xml:space="preserve">drug cost/patient/year was </w:t>
      </w:r>
      <w:r w:rsidR="005D641A" w:rsidRPr="00552352">
        <w:t>$</w:t>
      </w:r>
      <w:r w:rsidR="005D641A" w:rsidRPr="00545FCD">
        <w:t>771.97</w:t>
      </w:r>
      <w:r w:rsidR="00183EF0">
        <w:t xml:space="preserve"> </w:t>
      </w:r>
      <w:r w:rsidR="005D641A" w:rsidRPr="00552352">
        <w:t>(assuming 13.04 packs per year</w:t>
      </w:r>
      <w:r w:rsidR="0006783E" w:rsidRPr="00552352">
        <w:t xml:space="preserve">). </w:t>
      </w:r>
      <w:r w:rsidR="005D641A" w:rsidRPr="00552352">
        <w:t xml:space="preserve">The drug cost/patient/year for the </w:t>
      </w:r>
      <w:proofErr w:type="spellStart"/>
      <w:r w:rsidR="005D641A" w:rsidRPr="00552352">
        <w:t>s</w:t>
      </w:r>
      <w:r w:rsidR="005F129C" w:rsidRPr="00552352">
        <w:t>itagliptin</w:t>
      </w:r>
      <w:r w:rsidR="003F00E8">
        <w:t>+</w:t>
      </w:r>
      <w:r w:rsidR="005F129C" w:rsidRPr="00552352">
        <w:t>metformin</w:t>
      </w:r>
      <w:proofErr w:type="spellEnd"/>
      <w:r w:rsidR="005F129C" w:rsidRPr="00552352">
        <w:t xml:space="preserve"> fixed dose combinations </w:t>
      </w:r>
      <w:r w:rsidR="0006783E" w:rsidRPr="00552352">
        <w:t>range</w:t>
      </w:r>
      <w:r w:rsidR="000279C3" w:rsidRPr="00552352">
        <w:t>d</w:t>
      </w:r>
      <w:r w:rsidR="0006783E" w:rsidRPr="00552352">
        <w:t xml:space="preserve"> from </w:t>
      </w:r>
      <w:r w:rsidR="005D641A" w:rsidRPr="00552352">
        <w:t>$</w:t>
      </w:r>
      <w:r w:rsidR="005D641A" w:rsidRPr="00545FCD">
        <w:t>796.09</w:t>
      </w:r>
      <w:r w:rsidR="005D641A" w:rsidRPr="00552352">
        <w:t xml:space="preserve"> to $</w:t>
      </w:r>
      <w:r w:rsidR="005D641A" w:rsidRPr="00545FCD">
        <w:t>818.52</w:t>
      </w:r>
      <w:r w:rsidR="005D641A" w:rsidRPr="00552352">
        <w:t xml:space="preserve"> (with requested DPMQs ranging from </w:t>
      </w:r>
      <w:r w:rsidR="005F129C" w:rsidRPr="00552352">
        <w:t>$</w:t>
      </w:r>
      <w:r w:rsidR="005F129C" w:rsidRPr="00545FCD">
        <w:t>61.05</w:t>
      </w:r>
      <w:r w:rsidR="0006783E" w:rsidRPr="00552352">
        <w:t xml:space="preserve"> to </w:t>
      </w:r>
      <w:r w:rsidR="005F129C" w:rsidRPr="00552352">
        <w:t>$</w:t>
      </w:r>
      <w:r w:rsidR="005F129C" w:rsidRPr="00545FCD">
        <w:t>62.77</w:t>
      </w:r>
      <w:r w:rsidR="005D641A" w:rsidRPr="00552352">
        <w:t>,</w:t>
      </w:r>
      <w:r w:rsidR="005F129C" w:rsidRPr="00552352">
        <w:t xml:space="preserve"> depending on </w:t>
      </w:r>
      <w:r w:rsidR="0006783E" w:rsidRPr="00552352">
        <w:t>combination</w:t>
      </w:r>
      <w:r w:rsidR="000279C3" w:rsidRPr="00552352">
        <w:t xml:space="preserve"> dose strengths</w:t>
      </w:r>
      <w:r w:rsidR="00B25983" w:rsidRPr="00552352">
        <w:t>,</w:t>
      </w:r>
      <w:r w:rsidR="005D641A" w:rsidRPr="00552352">
        <w:t xml:space="preserve"> and assuming 13.04</w:t>
      </w:r>
      <w:r w:rsidR="00183EF0">
        <w:t> </w:t>
      </w:r>
      <w:r w:rsidR="005D641A" w:rsidRPr="00552352">
        <w:t>packs per year)</w:t>
      </w:r>
      <w:r w:rsidR="0006783E" w:rsidRPr="00552352">
        <w:t>.</w:t>
      </w:r>
      <w:r w:rsidR="005F129C" w:rsidRPr="00552352">
        <w:t xml:space="preserve"> </w:t>
      </w:r>
      <w:r w:rsidR="005D641A" w:rsidRPr="00552352">
        <w:t xml:space="preserve">By comparison, the drug cost/patient/year for a 28 tablet pack of </w:t>
      </w:r>
      <w:proofErr w:type="spellStart"/>
      <w:r w:rsidR="005D641A" w:rsidRPr="00552352">
        <w:t>dapagliflozin</w:t>
      </w:r>
      <w:proofErr w:type="spellEnd"/>
      <w:r w:rsidR="005D641A" w:rsidRPr="00552352">
        <w:t xml:space="preserve"> 10 mg was $</w:t>
      </w:r>
      <w:r w:rsidR="005D641A" w:rsidRPr="00545FCD">
        <w:t>764.93</w:t>
      </w:r>
      <w:r w:rsidR="005D641A" w:rsidRPr="00552352">
        <w:t xml:space="preserve"> (at the DPMQ of $</w:t>
      </w:r>
      <w:r w:rsidR="005D641A" w:rsidRPr="00545FCD">
        <w:t>58.66</w:t>
      </w:r>
      <w:r w:rsidR="005D641A" w:rsidRPr="00552352">
        <w:t>, assuming 13.04 packs per year).</w:t>
      </w:r>
      <w:r w:rsidR="00457083" w:rsidRPr="00552352">
        <w:t xml:space="preserve"> The difference in price between </w:t>
      </w:r>
      <w:proofErr w:type="spellStart"/>
      <w:r w:rsidR="00457083" w:rsidRPr="00552352">
        <w:t>sitagliptin</w:t>
      </w:r>
      <w:proofErr w:type="spellEnd"/>
      <w:r w:rsidR="00457083" w:rsidRPr="00552352">
        <w:t xml:space="preserve"> and </w:t>
      </w:r>
      <w:proofErr w:type="spellStart"/>
      <w:r w:rsidR="00457083" w:rsidRPr="00552352">
        <w:t>dapagliflozin</w:t>
      </w:r>
      <w:proofErr w:type="spellEnd"/>
      <w:r w:rsidR="00457083" w:rsidRPr="00552352">
        <w:t xml:space="preserve"> ($</w:t>
      </w:r>
      <w:r w:rsidR="00457083" w:rsidRPr="00545FCD">
        <w:t>0.46</w:t>
      </w:r>
      <w:r w:rsidR="00457083" w:rsidRPr="00552352">
        <w:t xml:space="preserve"> at ex</w:t>
      </w:r>
      <w:r w:rsidR="00183EF0">
        <w:noBreakHyphen/>
      </w:r>
      <w:r w:rsidR="00457083" w:rsidRPr="00552352">
        <w:t xml:space="preserve">manufacturer prices) is due to the cost associated with monitoring and treating higher rates of adverse events such as genital </w:t>
      </w:r>
      <w:proofErr w:type="spellStart"/>
      <w:r w:rsidR="00457083" w:rsidRPr="00552352">
        <w:t>mycotic</w:t>
      </w:r>
      <w:proofErr w:type="spellEnd"/>
      <w:r w:rsidR="00457083" w:rsidRPr="00552352">
        <w:t xml:space="preserve"> infections and urinary tract infections with </w:t>
      </w:r>
      <w:proofErr w:type="spellStart"/>
      <w:r w:rsidR="00457083" w:rsidRPr="00552352">
        <w:t>dapagliflozin</w:t>
      </w:r>
      <w:proofErr w:type="spellEnd"/>
      <w:r w:rsidR="00457083" w:rsidRPr="00552352">
        <w:t>.</w:t>
      </w:r>
    </w:p>
    <w:p w:rsidR="00434431" w:rsidRPr="001E2B1E" w:rsidRDefault="00434431" w:rsidP="00831310">
      <w:pPr>
        <w:widowControl/>
        <w:rPr>
          <w:szCs w:val="22"/>
        </w:rPr>
      </w:pPr>
    </w:p>
    <w:p w:rsidR="00B60939" w:rsidRPr="002C2775" w:rsidRDefault="00B60939" w:rsidP="00831310">
      <w:pPr>
        <w:pStyle w:val="Heading2"/>
        <w:keepNext/>
        <w:widowControl/>
        <w:rPr>
          <w:i/>
        </w:rPr>
      </w:pPr>
      <w:bookmarkStart w:id="13" w:name="_Toc419661311"/>
      <w:r w:rsidRPr="002C2775">
        <w:rPr>
          <w:i/>
        </w:rPr>
        <w:t>Estimated PBS usage &amp; financial implications</w:t>
      </w:r>
      <w:bookmarkEnd w:id="13"/>
    </w:p>
    <w:p w:rsidR="00B60939" w:rsidRPr="00882085" w:rsidRDefault="00B60939" w:rsidP="00831310">
      <w:pPr>
        <w:keepNext/>
        <w:widowControl/>
        <w:ind w:left="720" w:hanging="720"/>
        <w:rPr>
          <w:b/>
          <w:i/>
          <w:szCs w:val="22"/>
        </w:rPr>
      </w:pPr>
    </w:p>
    <w:p w:rsidR="0006783E" w:rsidRPr="00A83E05" w:rsidRDefault="00915353" w:rsidP="00831310">
      <w:pPr>
        <w:pStyle w:val="ListParagraph"/>
        <w:widowControl/>
        <w:numPr>
          <w:ilvl w:val="1"/>
          <w:numId w:val="8"/>
        </w:numPr>
        <w:rPr>
          <w:szCs w:val="22"/>
        </w:rPr>
      </w:pPr>
      <w:r>
        <w:t xml:space="preserve">This submission was not </w:t>
      </w:r>
      <w:r w:rsidR="00C25D9C" w:rsidRPr="00A83E05">
        <w:t xml:space="preserve">considered by DUSC. </w:t>
      </w:r>
      <w:r w:rsidR="00A83E05" w:rsidRPr="00A83E05">
        <w:t>The submission presented a market share approach</w:t>
      </w:r>
      <w:r w:rsidR="00A83E05">
        <w:t xml:space="preserve">, with estimates based on extrapolated trends of </w:t>
      </w:r>
      <w:proofErr w:type="spellStart"/>
      <w:r w:rsidR="00A83E05">
        <w:t>sitagliptin</w:t>
      </w:r>
      <w:proofErr w:type="spellEnd"/>
      <w:r w:rsidR="00A83E05">
        <w:t xml:space="preserve"> use in combination with insulin (± metformin) outside its listed restriction derived from an analysis of the 10% Medicare sample data (Jan 2010-Mar</w:t>
      </w:r>
      <w:r w:rsidR="00183EF0">
        <w:t xml:space="preserve"> </w:t>
      </w:r>
      <w:r w:rsidR="00A83E05">
        <w:t>2014).</w:t>
      </w:r>
    </w:p>
    <w:p w:rsidR="00A83E05" w:rsidRPr="00A83E05" w:rsidRDefault="00A83E05" w:rsidP="00831310">
      <w:pPr>
        <w:pStyle w:val="ListParagraph"/>
        <w:widowControl/>
        <w:rPr>
          <w:szCs w:val="22"/>
        </w:rPr>
      </w:pPr>
    </w:p>
    <w:p w:rsidR="00A83E05" w:rsidRPr="002817F6" w:rsidRDefault="00A83E05" w:rsidP="00831310">
      <w:pPr>
        <w:pStyle w:val="ListParagraph"/>
        <w:widowControl/>
        <w:numPr>
          <w:ilvl w:val="1"/>
          <w:numId w:val="8"/>
        </w:numPr>
        <w:rPr>
          <w:szCs w:val="22"/>
        </w:rPr>
      </w:pPr>
      <w:r>
        <w:t xml:space="preserve">The submission estimated the utilisation of </w:t>
      </w:r>
      <w:proofErr w:type="spellStart"/>
      <w:r>
        <w:t>sitagliptin</w:t>
      </w:r>
      <w:proofErr w:type="spellEnd"/>
      <w:r>
        <w:t xml:space="preserve">, </w:t>
      </w:r>
      <w:proofErr w:type="spellStart"/>
      <w:r>
        <w:t>sitagliptin</w:t>
      </w:r>
      <w:proofErr w:type="spellEnd"/>
      <w:r>
        <w:t xml:space="preserve"> fixed dose combination products, </w:t>
      </w:r>
      <w:proofErr w:type="spellStart"/>
      <w:r>
        <w:t>dapagliflozin</w:t>
      </w:r>
      <w:proofErr w:type="spellEnd"/>
      <w:r>
        <w:t xml:space="preserve"> and </w:t>
      </w:r>
      <w:proofErr w:type="spellStart"/>
      <w:r>
        <w:t>dapagliflozin+metformin</w:t>
      </w:r>
      <w:proofErr w:type="spellEnd"/>
      <w:r>
        <w:t xml:space="preserve"> concomitant regimens for “</w:t>
      </w:r>
      <w:proofErr w:type="spellStart"/>
      <w:r>
        <w:t>sitagliptin</w:t>
      </w:r>
      <w:proofErr w:type="spellEnd"/>
      <w:r>
        <w:t xml:space="preserve"> listed” and “</w:t>
      </w:r>
      <w:proofErr w:type="spellStart"/>
      <w:r>
        <w:t>sitagliptin</w:t>
      </w:r>
      <w:proofErr w:type="spellEnd"/>
      <w:r>
        <w:t xml:space="preserve"> not listed” scenarios. The listed and not listed scenario estimates were compared and the difference presented as the incremental utilisation of </w:t>
      </w:r>
      <w:proofErr w:type="spellStart"/>
      <w:r>
        <w:t>sitagliptin</w:t>
      </w:r>
      <w:proofErr w:type="spellEnd"/>
      <w:r>
        <w:t xml:space="preserve"> in combination with insulin. </w:t>
      </w:r>
    </w:p>
    <w:p w:rsidR="002817F6" w:rsidRPr="002817F6" w:rsidRDefault="002817F6" w:rsidP="00831310">
      <w:pPr>
        <w:pStyle w:val="ListParagraph"/>
        <w:widowControl/>
        <w:rPr>
          <w:szCs w:val="22"/>
        </w:rPr>
      </w:pPr>
    </w:p>
    <w:p w:rsidR="002817F6" w:rsidRPr="00552352" w:rsidRDefault="005D641A" w:rsidP="00831310">
      <w:pPr>
        <w:pStyle w:val="ListParagraph"/>
        <w:widowControl/>
        <w:numPr>
          <w:ilvl w:val="1"/>
          <w:numId w:val="8"/>
        </w:numPr>
        <w:rPr>
          <w:szCs w:val="22"/>
        </w:rPr>
      </w:pPr>
      <w:r w:rsidRPr="00552352">
        <w:t xml:space="preserve">The submission </w:t>
      </w:r>
      <w:r w:rsidR="002817F6" w:rsidRPr="00552352">
        <w:t>assumed that in the not listed scenario</w:t>
      </w:r>
      <w:r w:rsidRPr="00552352">
        <w:t>,</w:t>
      </w:r>
      <w:r w:rsidR="002817F6" w:rsidRPr="00552352">
        <w:t xml:space="preserve"> 80% of patients would add </w:t>
      </w:r>
      <w:proofErr w:type="spellStart"/>
      <w:r w:rsidR="002817F6" w:rsidRPr="00552352">
        <w:t>dapagliflozin</w:t>
      </w:r>
      <w:proofErr w:type="spellEnd"/>
      <w:r w:rsidR="002817F6" w:rsidRPr="00552352">
        <w:t xml:space="preserve"> and 20% would add </w:t>
      </w:r>
      <w:proofErr w:type="spellStart"/>
      <w:r w:rsidR="002817F6" w:rsidRPr="00552352">
        <w:t>sitagliptin</w:t>
      </w:r>
      <w:proofErr w:type="spellEnd"/>
      <w:r w:rsidR="002817F6" w:rsidRPr="00552352">
        <w:t xml:space="preserve"> to existing insulin regimens. If the </w:t>
      </w:r>
      <w:proofErr w:type="spellStart"/>
      <w:r w:rsidR="002817F6" w:rsidRPr="00552352">
        <w:t>sitagliptin</w:t>
      </w:r>
      <w:proofErr w:type="spellEnd"/>
      <w:r w:rsidR="002817F6" w:rsidRPr="00552352">
        <w:t xml:space="preserve"> listing was extended, it was assumed that 50% of patients would add </w:t>
      </w:r>
      <w:proofErr w:type="spellStart"/>
      <w:r w:rsidR="002817F6" w:rsidRPr="00552352">
        <w:t>dapagliflozin</w:t>
      </w:r>
      <w:proofErr w:type="spellEnd"/>
      <w:r w:rsidR="002817F6" w:rsidRPr="00552352">
        <w:t xml:space="preserve"> and 50% would add </w:t>
      </w:r>
      <w:proofErr w:type="spellStart"/>
      <w:r w:rsidR="002817F6" w:rsidRPr="00552352">
        <w:t>sitagliptin</w:t>
      </w:r>
      <w:proofErr w:type="spellEnd"/>
      <w:r w:rsidR="002817F6" w:rsidRPr="00552352">
        <w:t xml:space="preserve"> to existing insulin regimens.</w:t>
      </w:r>
    </w:p>
    <w:p w:rsidR="00A83E05" w:rsidRDefault="00A83E05" w:rsidP="00831310">
      <w:pPr>
        <w:widowControl/>
      </w:pPr>
    </w:p>
    <w:p w:rsidR="00A83E05" w:rsidRPr="00A83E05" w:rsidRDefault="00A83E05" w:rsidP="00831310">
      <w:pPr>
        <w:pStyle w:val="ListParagraph"/>
        <w:widowControl/>
        <w:numPr>
          <w:ilvl w:val="1"/>
          <w:numId w:val="8"/>
        </w:numPr>
        <w:rPr>
          <w:szCs w:val="22"/>
        </w:rPr>
      </w:pPr>
      <w:r>
        <w:t xml:space="preserve">The estimated cost to the PBS was then calculated for the incremental population, assuming a distribution across </w:t>
      </w:r>
      <w:proofErr w:type="spellStart"/>
      <w:r>
        <w:t>sitagliptin</w:t>
      </w:r>
      <w:proofErr w:type="spellEnd"/>
      <w:r>
        <w:t xml:space="preserve"> and </w:t>
      </w:r>
      <w:proofErr w:type="spellStart"/>
      <w:r>
        <w:t>sitagliptin</w:t>
      </w:r>
      <w:r w:rsidR="003F00E8">
        <w:t>+</w:t>
      </w:r>
      <w:r>
        <w:t>metformin</w:t>
      </w:r>
      <w:proofErr w:type="spellEnd"/>
      <w:r>
        <w:t xml:space="preserve"> fixed dose combinations derived from the 10% Medicare sample analysis. The same methodology was used to estimate the cost offsets for substitution of </w:t>
      </w:r>
      <w:proofErr w:type="spellStart"/>
      <w:r>
        <w:t>dapagliflozin</w:t>
      </w:r>
      <w:proofErr w:type="spellEnd"/>
      <w:r>
        <w:t xml:space="preserve"> and </w:t>
      </w:r>
      <w:proofErr w:type="spellStart"/>
      <w:r>
        <w:t>dapagliflozin</w:t>
      </w:r>
      <w:proofErr w:type="spellEnd"/>
      <w:r>
        <w:t xml:space="preserve"> + metformin concomitant regimens. </w:t>
      </w:r>
      <w:r w:rsidR="00CE5F63">
        <w:t>The impact and substitution</w:t>
      </w:r>
      <w:r>
        <w:t xml:space="preserve"> of </w:t>
      </w:r>
      <w:r>
        <w:lastRenderedPageBreak/>
        <w:t xml:space="preserve">other diabetes medicines </w:t>
      </w:r>
      <w:r w:rsidR="00CE5F63">
        <w:t xml:space="preserve">used in combination with insulin </w:t>
      </w:r>
      <w:r>
        <w:t>(</w:t>
      </w:r>
      <w:r w:rsidR="00CE5F63">
        <w:t>e.g. pioglitazone and</w:t>
      </w:r>
      <w:r>
        <w:t xml:space="preserve"> </w:t>
      </w:r>
      <w:proofErr w:type="spellStart"/>
      <w:r>
        <w:t>exenatide</w:t>
      </w:r>
      <w:proofErr w:type="spellEnd"/>
      <w:r w:rsidR="00CE5F63">
        <w:t>) was not considered.</w:t>
      </w:r>
    </w:p>
    <w:p w:rsidR="00C25D9C" w:rsidRDefault="00C25D9C" w:rsidP="00831310">
      <w:pPr>
        <w:widowControl/>
        <w:rPr>
          <w:szCs w:val="22"/>
        </w:rPr>
      </w:pPr>
    </w:p>
    <w:p w:rsidR="00C25D9C" w:rsidRDefault="00BD68FC" w:rsidP="00831310">
      <w:pPr>
        <w:keepNext/>
        <w:widowControl/>
        <w:ind w:firstLine="709"/>
        <w:rPr>
          <w:rStyle w:val="CommentReference"/>
        </w:rPr>
      </w:pPr>
      <w:r>
        <w:rPr>
          <w:rStyle w:val="CommentReference"/>
        </w:rPr>
        <w:t xml:space="preserve">Table 6: </w:t>
      </w:r>
      <w:r w:rsidR="00C25D9C" w:rsidRPr="001222FC">
        <w:rPr>
          <w:rStyle w:val="CommentReference"/>
        </w:rPr>
        <w:t>Estimated use and financial implications</w:t>
      </w:r>
    </w:p>
    <w:tbl>
      <w:tblPr>
        <w:tblStyle w:val="TableGrid"/>
        <w:tblW w:w="0" w:type="auto"/>
        <w:tblInd w:w="817" w:type="dxa"/>
        <w:tblLayout w:type="fixed"/>
        <w:tblLook w:val="04A0" w:firstRow="1" w:lastRow="0" w:firstColumn="1" w:lastColumn="0" w:noHBand="0" w:noVBand="1"/>
        <w:tblCaption w:val="Table 6: Estimated use and financial implications"/>
        <w:tblDescription w:val="The redacted table above shows that at year 1 the net cost to the PBS would be less than $10 million and, at year 5, the net cost to the PBS would also be less than $10 million."/>
      </w:tblPr>
      <w:tblGrid>
        <w:gridCol w:w="2835"/>
        <w:gridCol w:w="1105"/>
        <w:gridCol w:w="1106"/>
        <w:gridCol w:w="1105"/>
        <w:gridCol w:w="1106"/>
        <w:gridCol w:w="1106"/>
      </w:tblGrid>
      <w:tr w:rsidR="00B65157" w:rsidRPr="00B65157" w:rsidTr="00B65157">
        <w:trPr>
          <w:tblHeader/>
        </w:trPr>
        <w:tc>
          <w:tcPr>
            <w:tcW w:w="2835" w:type="dxa"/>
            <w:vAlign w:val="center"/>
          </w:tcPr>
          <w:p w:rsidR="00B65157" w:rsidRPr="00B65157" w:rsidRDefault="00B65157" w:rsidP="00831310">
            <w:pPr>
              <w:keepNext/>
              <w:widowControl/>
              <w:ind w:left="-80"/>
              <w:jc w:val="left"/>
              <w:rPr>
                <w:rFonts w:ascii="Arial Narrow" w:hAnsi="Arial Narrow"/>
                <w:sz w:val="20"/>
              </w:rPr>
            </w:pPr>
          </w:p>
        </w:tc>
        <w:tc>
          <w:tcPr>
            <w:tcW w:w="1105"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Year 1</w:t>
            </w:r>
          </w:p>
        </w:tc>
        <w:tc>
          <w:tcPr>
            <w:tcW w:w="1106"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Year 2</w:t>
            </w:r>
          </w:p>
        </w:tc>
        <w:tc>
          <w:tcPr>
            <w:tcW w:w="1105"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Year 3</w:t>
            </w:r>
          </w:p>
        </w:tc>
        <w:tc>
          <w:tcPr>
            <w:tcW w:w="1106"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Year 4</w:t>
            </w:r>
          </w:p>
        </w:tc>
        <w:tc>
          <w:tcPr>
            <w:tcW w:w="1106"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Year 5</w:t>
            </w:r>
          </w:p>
        </w:tc>
      </w:tr>
      <w:tr w:rsidR="00B65157" w:rsidRPr="00B65157" w:rsidTr="00B65157">
        <w:tc>
          <w:tcPr>
            <w:tcW w:w="8363" w:type="dxa"/>
            <w:gridSpan w:val="6"/>
            <w:vAlign w:val="center"/>
          </w:tcPr>
          <w:p w:rsidR="00B65157" w:rsidRPr="00B65157" w:rsidRDefault="00B65157" w:rsidP="00831310">
            <w:pPr>
              <w:keepNext/>
              <w:widowControl/>
              <w:ind w:left="-54" w:right="-65"/>
              <w:jc w:val="left"/>
              <w:rPr>
                <w:rFonts w:ascii="Arial Narrow" w:hAnsi="Arial Narrow"/>
                <w:b/>
                <w:sz w:val="20"/>
              </w:rPr>
            </w:pPr>
            <w:r w:rsidRPr="00B65157">
              <w:rPr>
                <w:rFonts w:ascii="Arial Narrow" w:hAnsi="Arial Narrow"/>
                <w:b/>
                <w:sz w:val="20"/>
              </w:rPr>
              <w:t xml:space="preserve">Patients using </w:t>
            </w:r>
            <w:proofErr w:type="spellStart"/>
            <w:r w:rsidRPr="00B65157">
              <w:rPr>
                <w:rFonts w:ascii="Arial Narrow" w:hAnsi="Arial Narrow"/>
                <w:b/>
                <w:sz w:val="20"/>
              </w:rPr>
              <w:t>sitagliptin</w:t>
            </w:r>
            <w:proofErr w:type="spellEnd"/>
            <w:r w:rsidRPr="00B65157">
              <w:rPr>
                <w:rFonts w:ascii="Arial Narrow" w:hAnsi="Arial Narrow"/>
                <w:b/>
                <w:sz w:val="20"/>
              </w:rPr>
              <w:t xml:space="preserve"> in combination with insulin ± metformin (not listed)</w:t>
            </w:r>
          </w:p>
        </w:tc>
      </w:tr>
      <w:tr w:rsidR="00B65157" w:rsidRPr="00B65157" w:rsidTr="00B65157">
        <w:trPr>
          <w:trHeight w:val="79"/>
        </w:trPr>
        <w:tc>
          <w:tcPr>
            <w:tcW w:w="2835" w:type="dxa"/>
            <w:tcBorders>
              <w:bottom w:val="single" w:sz="4" w:space="0" w:color="auto"/>
            </w:tcBorders>
            <w:vAlign w:val="center"/>
          </w:tcPr>
          <w:p w:rsidR="00B65157" w:rsidRPr="00B65157" w:rsidRDefault="00B65157" w:rsidP="00831310">
            <w:pPr>
              <w:keepNext/>
              <w:widowControl/>
              <w:ind w:left="-80"/>
              <w:jc w:val="left"/>
              <w:rPr>
                <w:rFonts w:ascii="Arial Narrow" w:hAnsi="Arial Narrow"/>
                <w:sz w:val="20"/>
              </w:rPr>
            </w:pPr>
            <w:proofErr w:type="spellStart"/>
            <w:r w:rsidRPr="00B65157">
              <w:rPr>
                <w:rFonts w:ascii="Arial Narrow" w:hAnsi="Arial Narrow"/>
                <w:sz w:val="20"/>
              </w:rPr>
              <w:t>Sitagliptin</w:t>
            </w:r>
            <w:proofErr w:type="spellEnd"/>
            <w:r w:rsidRPr="00B65157">
              <w:rPr>
                <w:rFonts w:ascii="Arial Narrow" w:hAnsi="Arial Narrow"/>
                <w:sz w:val="20"/>
              </w:rPr>
              <w:t xml:space="preserve"> + insulin ± </w:t>
            </w:r>
            <w:proofErr w:type="spellStart"/>
            <w:r w:rsidRPr="00B65157">
              <w:rPr>
                <w:rFonts w:ascii="Arial Narrow" w:hAnsi="Arial Narrow"/>
                <w:sz w:val="20"/>
              </w:rPr>
              <w:t>metformin</w:t>
            </w:r>
            <w:r w:rsidRPr="00B65157">
              <w:rPr>
                <w:rFonts w:ascii="Arial Narrow" w:hAnsi="Arial Narrow"/>
                <w:sz w:val="20"/>
                <w:vertAlign w:val="superscript"/>
              </w:rPr>
              <w:t>a</w:t>
            </w:r>
            <w:proofErr w:type="spellEnd"/>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r>
      <w:tr w:rsidR="00B65157" w:rsidRPr="00B65157" w:rsidTr="00B65157">
        <w:tc>
          <w:tcPr>
            <w:tcW w:w="2835" w:type="dxa"/>
            <w:tcBorders>
              <w:bottom w:val="single" w:sz="4" w:space="0" w:color="auto"/>
            </w:tcBorders>
            <w:vAlign w:val="center"/>
          </w:tcPr>
          <w:p w:rsidR="00B65157" w:rsidRPr="00B65157" w:rsidRDefault="00B65157" w:rsidP="00831310">
            <w:pPr>
              <w:keepNext/>
              <w:widowControl/>
              <w:ind w:left="-80"/>
              <w:jc w:val="left"/>
              <w:rPr>
                <w:rFonts w:ascii="Arial Narrow" w:hAnsi="Arial Narrow"/>
                <w:sz w:val="20"/>
              </w:rPr>
            </w:pPr>
            <w:r>
              <w:rPr>
                <w:rFonts w:ascii="Arial Narrow" w:hAnsi="Arial Narrow"/>
                <w:sz w:val="20"/>
              </w:rPr>
              <w:t>Add</w:t>
            </w:r>
            <w:r w:rsidRPr="00B65157">
              <w:rPr>
                <w:rFonts w:ascii="Arial Narrow" w:hAnsi="Arial Narrow"/>
                <w:sz w:val="20"/>
              </w:rPr>
              <w:t xml:space="preserve"> </w:t>
            </w:r>
            <w:proofErr w:type="spellStart"/>
            <w:r w:rsidRPr="00B65157">
              <w:rPr>
                <w:rFonts w:ascii="Arial Narrow" w:hAnsi="Arial Narrow"/>
                <w:sz w:val="20"/>
              </w:rPr>
              <w:t>sitagliptin</w:t>
            </w:r>
            <w:proofErr w:type="spellEnd"/>
            <w:r w:rsidRPr="00B65157">
              <w:rPr>
                <w:rFonts w:ascii="Arial Narrow" w:hAnsi="Arial Narrow"/>
                <w:sz w:val="20"/>
              </w:rPr>
              <w:t xml:space="preserve"> to insulin + metformin </w:t>
            </w:r>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r>
      <w:tr w:rsidR="00B65157" w:rsidRPr="00B65157" w:rsidTr="00B65157">
        <w:trPr>
          <w:trHeight w:val="79"/>
        </w:trPr>
        <w:tc>
          <w:tcPr>
            <w:tcW w:w="2835" w:type="dxa"/>
            <w:tcBorders>
              <w:top w:val="single" w:sz="4" w:space="0" w:color="auto"/>
              <w:bottom w:val="double" w:sz="4" w:space="0" w:color="auto"/>
            </w:tcBorders>
            <w:vAlign w:val="center"/>
          </w:tcPr>
          <w:p w:rsidR="00B65157" w:rsidRPr="00B65157" w:rsidRDefault="00B65157" w:rsidP="00831310">
            <w:pPr>
              <w:keepNext/>
              <w:widowControl/>
              <w:ind w:left="-80"/>
              <w:jc w:val="left"/>
              <w:rPr>
                <w:rFonts w:ascii="Arial Narrow" w:hAnsi="Arial Narrow"/>
                <w:sz w:val="20"/>
              </w:rPr>
            </w:pPr>
            <w:r w:rsidRPr="00B65157">
              <w:rPr>
                <w:rFonts w:ascii="Arial Narrow" w:hAnsi="Arial Narrow"/>
                <w:sz w:val="20"/>
              </w:rPr>
              <w:t>Total patients (not listed)</w:t>
            </w:r>
          </w:p>
        </w:tc>
        <w:tc>
          <w:tcPr>
            <w:tcW w:w="1105"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5"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r>
      <w:tr w:rsidR="00B65157" w:rsidRPr="00B65157" w:rsidTr="00B65157">
        <w:tc>
          <w:tcPr>
            <w:tcW w:w="8363" w:type="dxa"/>
            <w:gridSpan w:val="6"/>
            <w:vAlign w:val="center"/>
          </w:tcPr>
          <w:p w:rsidR="00B65157" w:rsidRPr="00B65157" w:rsidRDefault="00B65157" w:rsidP="00831310">
            <w:pPr>
              <w:keepNext/>
              <w:widowControl/>
              <w:ind w:left="-54" w:right="-65"/>
              <w:jc w:val="left"/>
              <w:rPr>
                <w:rFonts w:ascii="Arial Narrow" w:hAnsi="Arial Narrow"/>
                <w:b/>
                <w:sz w:val="20"/>
              </w:rPr>
            </w:pPr>
            <w:r w:rsidRPr="00B65157">
              <w:rPr>
                <w:rFonts w:ascii="Arial Narrow" w:hAnsi="Arial Narrow"/>
                <w:b/>
                <w:sz w:val="20"/>
              </w:rPr>
              <w:t xml:space="preserve">Patients using </w:t>
            </w:r>
            <w:proofErr w:type="spellStart"/>
            <w:r w:rsidRPr="00B65157">
              <w:rPr>
                <w:rFonts w:ascii="Arial Narrow" w:hAnsi="Arial Narrow"/>
                <w:b/>
                <w:sz w:val="20"/>
              </w:rPr>
              <w:t>sitagliptin</w:t>
            </w:r>
            <w:proofErr w:type="spellEnd"/>
            <w:r w:rsidRPr="00B65157">
              <w:rPr>
                <w:rFonts w:ascii="Arial Narrow" w:hAnsi="Arial Narrow"/>
                <w:b/>
                <w:sz w:val="20"/>
              </w:rPr>
              <w:t xml:space="preserve"> in combination with insulin ± metformin (listed)</w:t>
            </w:r>
          </w:p>
        </w:tc>
      </w:tr>
      <w:tr w:rsidR="00B65157" w:rsidRPr="00B65157" w:rsidTr="00B65157">
        <w:trPr>
          <w:trHeight w:val="79"/>
        </w:trPr>
        <w:tc>
          <w:tcPr>
            <w:tcW w:w="2835" w:type="dxa"/>
            <w:tcBorders>
              <w:bottom w:val="single" w:sz="4" w:space="0" w:color="auto"/>
            </w:tcBorders>
            <w:vAlign w:val="center"/>
          </w:tcPr>
          <w:p w:rsidR="00B65157" w:rsidRPr="00B65157" w:rsidRDefault="00B65157" w:rsidP="00831310">
            <w:pPr>
              <w:keepNext/>
              <w:widowControl/>
              <w:ind w:left="-80"/>
              <w:jc w:val="left"/>
              <w:rPr>
                <w:rFonts w:ascii="Arial Narrow" w:hAnsi="Arial Narrow"/>
                <w:sz w:val="20"/>
              </w:rPr>
            </w:pPr>
            <w:proofErr w:type="spellStart"/>
            <w:r w:rsidRPr="00B65157">
              <w:rPr>
                <w:rFonts w:ascii="Arial Narrow" w:hAnsi="Arial Narrow"/>
                <w:sz w:val="20"/>
              </w:rPr>
              <w:t>Sitagliptin</w:t>
            </w:r>
            <w:proofErr w:type="spellEnd"/>
            <w:r w:rsidRPr="00B65157">
              <w:rPr>
                <w:rFonts w:ascii="Arial Narrow" w:hAnsi="Arial Narrow"/>
                <w:sz w:val="20"/>
              </w:rPr>
              <w:t xml:space="preserve"> + insulin ± </w:t>
            </w:r>
            <w:proofErr w:type="spellStart"/>
            <w:r w:rsidRPr="00B65157">
              <w:rPr>
                <w:rFonts w:ascii="Arial Narrow" w:hAnsi="Arial Narrow"/>
                <w:sz w:val="20"/>
              </w:rPr>
              <w:t>metformin</w:t>
            </w:r>
            <w:r w:rsidRPr="00B65157">
              <w:rPr>
                <w:rFonts w:ascii="Arial Narrow" w:hAnsi="Arial Narrow"/>
                <w:sz w:val="20"/>
                <w:vertAlign w:val="superscript"/>
              </w:rPr>
              <w:t>a</w:t>
            </w:r>
            <w:proofErr w:type="spellEnd"/>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r>
      <w:tr w:rsidR="00B65157" w:rsidRPr="00B65157" w:rsidTr="00B65157">
        <w:tc>
          <w:tcPr>
            <w:tcW w:w="2835" w:type="dxa"/>
            <w:tcBorders>
              <w:bottom w:val="single" w:sz="4" w:space="0" w:color="auto"/>
            </w:tcBorders>
            <w:vAlign w:val="center"/>
          </w:tcPr>
          <w:p w:rsidR="00B65157" w:rsidRPr="00B65157" w:rsidRDefault="00B65157" w:rsidP="00831310">
            <w:pPr>
              <w:keepNext/>
              <w:widowControl/>
              <w:ind w:left="-80"/>
              <w:jc w:val="left"/>
              <w:rPr>
                <w:rFonts w:ascii="Arial Narrow" w:hAnsi="Arial Narrow"/>
                <w:sz w:val="20"/>
              </w:rPr>
            </w:pPr>
            <w:r>
              <w:rPr>
                <w:rFonts w:ascii="Arial Narrow" w:hAnsi="Arial Narrow"/>
                <w:sz w:val="20"/>
              </w:rPr>
              <w:t>Add</w:t>
            </w:r>
            <w:r w:rsidRPr="00B65157">
              <w:rPr>
                <w:rFonts w:ascii="Arial Narrow" w:hAnsi="Arial Narrow"/>
                <w:sz w:val="20"/>
              </w:rPr>
              <w:t xml:space="preserve"> </w:t>
            </w:r>
            <w:proofErr w:type="spellStart"/>
            <w:r w:rsidRPr="00B65157">
              <w:rPr>
                <w:rFonts w:ascii="Arial Narrow" w:hAnsi="Arial Narrow"/>
                <w:sz w:val="20"/>
              </w:rPr>
              <w:t>sitagliptin</w:t>
            </w:r>
            <w:proofErr w:type="spellEnd"/>
            <w:r w:rsidRPr="00B65157">
              <w:rPr>
                <w:rFonts w:ascii="Arial Narrow" w:hAnsi="Arial Narrow"/>
                <w:sz w:val="20"/>
              </w:rPr>
              <w:t xml:space="preserve"> to insulin + metformin </w:t>
            </w:r>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r>
      <w:tr w:rsidR="00B65157" w:rsidRPr="00B65157" w:rsidTr="00B65157">
        <w:trPr>
          <w:trHeight w:val="79"/>
        </w:trPr>
        <w:tc>
          <w:tcPr>
            <w:tcW w:w="2835" w:type="dxa"/>
            <w:tcBorders>
              <w:top w:val="single" w:sz="4" w:space="0" w:color="auto"/>
              <w:bottom w:val="double" w:sz="4" w:space="0" w:color="auto"/>
            </w:tcBorders>
            <w:vAlign w:val="center"/>
          </w:tcPr>
          <w:p w:rsidR="00B65157" w:rsidRPr="00B65157" w:rsidRDefault="00B65157" w:rsidP="00831310">
            <w:pPr>
              <w:keepNext/>
              <w:widowControl/>
              <w:ind w:left="-80"/>
              <w:jc w:val="left"/>
              <w:rPr>
                <w:rFonts w:ascii="Arial Narrow" w:hAnsi="Arial Narrow"/>
                <w:sz w:val="20"/>
              </w:rPr>
            </w:pPr>
            <w:r w:rsidRPr="00B65157">
              <w:rPr>
                <w:rFonts w:ascii="Arial Narrow" w:hAnsi="Arial Narrow"/>
                <w:sz w:val="20"/>
              </w:rPr>
              <w:t>Total patients (listed)</w:t>
            </w:r>
          </w:p>
        </w:tc>
        <w:tc>
          <w:tcPr>
            <w:tcW w:w="1105"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5"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c>
          <w:tcPr>
            <w:tcW w:w="1106" w:type="dxa"/>
            <w:tcBorders>
              <w:top w:val="single" w:sz="4" w:space="0" w:color="auto"/>
              <w:bottom w:val="double" w:sz="4" w:space="0" w:color="auto"/>
            </w:tcBorders>
            <w:vAlign w:val="bottom"/>
          </w:tcPr>
          <w:p w:rsidR="00B65157" w:rsidRPr="00BC51A8" w:rsidRDefault="00BC51A8" w:rsidP="00831310">
            <w:pPr>
              <w:keepNext/>
              <w:widowControl/>
              <w:ind w:left="-54" w:right="-65"/>
              <w:jc w:val="center"/>
              <w:rPr>
                <w:rFonts w:ascii="Arial Narrow" w:hAnsi="Arial Narrow"/>
                <w:sz w:val="20"/>
                <w:highlight w:val="black"/>
              </w:rPr>
            </w:pPr>
            <w:r>
              <w:rPr>
                <w:rFonts w:ascii="Arial Narrow" w:hAnsi="Arial Narrow"/>
                <w:noProof/>
                <w:color w:val="000000"/>
                <w:sz w:val="20"/>
                <w:highlight w:val="black"/>
              </w:rPr>
              <w:t>'''''''''''''''</w:t>
            </w:r>
          </w:p>
        </w:tc>
      </w:tr>
      <w:tr w:rsidR="00B65157" w:rsidRPr="00B65157" w:rsidTr="00B65157">
        <w:tc>
          <w:tcPr>
            <w:tcW w:w="8363" w:type="dxa"/>
            <w:gridSpan w:val="6"/>
            <w:tcBorders>
              <w:bottom w:val="single" w:sz="4" w:space="0" w:color="auto"/>
            </w:tcBorders>
            <w:vAlign w:val="center"/>
          </w:tcPr>
          <w:p w:rsidR="00B65157" w:rsidRPr="00B65157" w:rsidRDefault="00C35F94" w:rsidP="00831310">
            <w:pPr>
              <w:keepNext/>
              <w:widowControl/>
              <w:ind w:left="-54" w:right="-65"/>
              <w:jc w:val="left"/>
              <w:rPr>
                <w:rFonts w:ascii="Arial Narrow" w:hAnsi="Arial Narrow"/>
                <w:b/>
                <w:sz w:val="20"/>
              </w:rPr>
            </w:pPr>
            <w:r w:rsidRPr="00B65157">
              <w:rPr>
                <w:rFonts w:ascii="Arial Narrow" w:hAnsi="Arial Narrow"/>
                <w:b/>
                <w:sz w:val="20"/>
              </w:rPr>
              <w:t>Incremental</w:t>
            </w:r>
            <w:r w:rsidR="00B65157" w:rsidRPr="00B65157">
              <w:rPr>
                <w:rFonts w:ascii="Arial Narrow" w:hAnsi="Arial Narrow"/>
                <w:b/>
                <w:sz w:val="20"/>
              </w:rPr>
              <w:t xml:space="preserve"> difference in number of patients (listed</w:t>
            </w:r>
            <w:r w:rsidR="00220478">
              <w:rPr>
                <w:rFonts w:ascii="Arial Narrow" w:hAnsi="Arial Narrow"/>
                <w:b/>
                <w:sz w:val="20"/>
              </w:rPr>
              <w:t xml:space="preserve"> </w:t>
            </w:r>
            <w:r w:rsidR="00B65157" w:rsidRPr="00B65157">
              <w:rPr>
                <w:rFonts w:ascii="Arial Narrow" w:hAnsi="Arial Narrow"/>
                <w:b/>
                <w:sz w:val="20"/>
              </w:rPr>
              <w:t>-</w:t>
            </w:r>
            <w:r w:rsidR="00220478">
              <w:rPr>
                <w:rFonts w:ascii="Arial Narrow" w:hAnsi="Arial Narrow"/>
                <w:b/>
                <w:sz w:val="20"/>
              </w:rPr>
              <w:t xml:space="preserve"> </w:t>
            </w:r>
            <w:r w:rsidR="00B65157" w:rsidRPr="00B65157">
              <w:rPr>
                <w:rFonts w:ascii="Arial Narrow" w:hAnsi="Arial Narrow"/>
                <w:b/>
                <w:sz w:val="20"/>
              </w:rPr>
              <w:t xml:space="preserve">not listed) and </w:t>
            </w:r>
            <w:r w:rsidR="00220478">
              <w:rPr>
                <w:rFonts w:ascii="Arial Narrow" w:hAnsi="Arial Narrow"/>
                <w:b/>
                <w:sz w:val="20"/>
              </w:rPr>
              <w:t xml:space="preserve">total </w:t>
            </w:r>
            <w:r w:rsidR="00B65157" w:rsidRPr="00B65157">
              <w:rPr>
                <w:rFonts w:ascii="Arial Narrow" w:hAnsi="Arial Narrow"/>
                <w:b/>
                <w:sz w:val="20"/>
              </w:rPr>
              <w:t xml:space="preserve">scripts </w:t>
            </w:r>
          </w:p>
        </w:tc>
      </w:tr>
      <w:tr w:rsidR="00B65157" w:rsidRPr="00B65157" w:rsidTr="00B65157">
        <w:tc>
          <w:tcPr>
            <w:tcW w:w="2835" w:type="dxa"/>
            <w:tcBorders>
              <w:bottom w:val="single" w:sz="4" w:space="0" w:color="auto"/>
            </w:tcBorders>
            <w:vAlign w:val="center"/>
          </w:tcPr>
          <w:p w:rsidR="00B65157" w:rsidRPr="00B65157" w:rsidRDefault="00B65157" w:rsidP="00831310">
            <w:pPr>
              <w:keepNext/>
              <w:widowControl/>
              <w:ind w:left="-80"/>
              <w:jc w:val="left"/>
              <w:rPr>
                <w:rFonts w:ascii="Arial Narrow" w:hAnsi="Arial Narrow"/>
                <w:b/>
                <w:sz w:val="20"/>
              </w:rPr>
            </w:pPr>
            <w:r w:rsidRPr="00B65157">
              <w:rPr>
                <w:rFonts w:ascii="Arial Narrow" w:hAnsi="Arial Narrow"/>
                <w:b/>
                <w:sz w:val="20"/>
              </w:rPr>
              <w:t>Incremental number of patients</w:t>
            </w:r>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c>
          <w:tcPr>
            <w:tcW w:w="1105"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c>
          <w:tcPr>
            <w:tcW w:w="1106" w:type="dxa"/>
            <w:tcBorders>
              <w:bottom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r>
      <w:tr w:rsidR="00B65157" w:rsidRPr="00B65157" w:rsidTr="00B65157">
        <w:tc>
          <w:tcPr>
            <w:tcW w:w="2835" w:type="dxa"/>
            <w:tcBorders>
              <w:top w:val="single" w:sz="4" w:space="0" w:color="auto"/>
            </w:tcBorders>
          </w:tcPr>
          <w:p w:rsidR="00B65157" w:rsidRPr="00B65157" w:rsidRDefault="00B65157" w:rsidP="00831310">
            <w:pPr>
              <w:keepNext/>
              <w:widowControl/>
              <w:ind w:left="-80"/>
              <w:jc w:val="left"/>
              <w:rPr>
                <w:rFonts w:ascii="Arial Narrow" w:hAnsi="Arial Narrow"/>
                <w:b/>
                <w:sz w:val="20"/>
              </w:rPr>
            </w:pPr>
            <w:r w:rsidRPr="00B65157">
              <w:rPr>
                <w:rFonts w:ascii="Arial Narrow" w:hAnsi="Arial Narrow"/>
                <w:b/>
                <w:sz w:val="20"/>
              </w:rPr>
              <w:t xml:space="preserve">Total incremental </w:t>
            </w:r>
            <w:proofErr w:type="spellStart"/>
            <w:r w:rsidRPr="00B65157">
              <w:rPr>
                <w:rFonts w:ascii="Arial Narrow" w:hAnsi="Arial Narrow"/>
                <w:b/>
                <w:sz w:val="20"/>
              </w:rPr>
              <w:t>scripts</w:t>
            </w:r>
            <w:r w:rsidRPr="00B65157">
              <w:rPr>
                <w:rFonts w:ascii="Arial Narrow" w:hAnsi="Arial Narrow"/>
                <w:sz w:val="20"/>
                <w:vertAlign w:val="superscript"/>
              </w:rPr>
              <w:t>b</w:t>
            </w:r>
            <w:proofErr w:type="spellEnd"/>
          </w:p>
        </w:tc>
        <w:tc>
          <w:tcPr>
            <w:tcW w:w="1105" w:type="dxa"/>
            <w:tcBorders>
              <w:top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c>
          <w:tcPr>
            <w:tcW w:w="1106" w:type="dxa"/>
            <w:tcBorders>
              <w:top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c>
          <w:tcPr>
            <w:tcW w:w="1105" w:type="dxa"/>
            <w:tcBorders>
              <w:top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c>
          <w:tcPr>
            <w:tcW w:w="1106" w:type="dxa"/>
            <w:tcBorders>
              <w:top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c>
          <w:tcPr>
            <w:tcW w:w="1106" w:type="dxa"/>
            <w:tcBorders>
              <w:top w:val="single" w:sz="4" w:space="0" w:color="auto"/>
            </w:tcBorders>
            <w:vAlign w:val="bottom"/>
          </w:tcPr>
          <w:p w:rsidR="00B65157" w:rsidRPr="00BC51A8" w:rsidRDefault="00BC51A8" w:rsidP="00831310">
            <w:pPr>
              <w:keepNext/>
              <w:widowControl/>
              <w:ind w:left="-54" w:right="-65"/>
              <w:jc w:val="center"/>
              <w:rPr>
                <w:rFonts w:ascii="Arial Narrow" w:hAnsi="Arial Narrow"/>
                <w:b/>
                <w:sz w:val="20"/>
                <w:highlight w:val="black"/>
              </w:rPr>
            </w:pPr>
            <w:r>
              <w:rPr>
                <w:rFonts w:ascii="Arial Narrow" w:hAnsi="Arial Narrow"/>
                <w:b/>
                <w:noProof/>
                <w:color w:val="000000"/>
                <w:sz w:val="20"/>
                <w:highlight w:val="black"/>
              </w:rPr>
              <w:t>'''''''''''''</w:t>
            </w:r>
          </w:p>
        </w:tc>
      </w:tr>
      <w:tr w:rsidR="00B65157" w:rsidRPr="00B65157" w:rsidTr="00B65157">
        <w:tc>
          <w:tcPr>
            <w:tcW w:w="8363" w:type="dxa"/>
            <w:gridSpan w:val="6"/>
            <w:vAlign w:val="center"/>
          </w:tcPr>
          <w:p w:rsidR="00B65157" w:rsidRPr="00B65157" w:rsidRDefault="00B65157" w:rsidP="00831310">
            <w:pPr>
              <w:keepNext/>
              <w:widowControl/>
              <w:ind w:left="-54" w:right="-65"/>
              <w:jc w:val="left"/>
              <w:rPr>
                <w:rFonts w:ascii="Arial Narrow" w:hAnsi="Arial Narrow"/>
                <w:b/>
                <w:sz w:val="20"/>
              </w:rPr>
            </w:pPr>
            <w:r w:rsidRPr="00B65157">
              <w:rPr>
                <w:rFonts w:ascii="Arial Narrow" w:hAnsi="Arial Narrow"/>
                <w:b/>
                <w:sz w:val="20"/>
              </w:rPr>
              <w:t xml:space="preserve">Cost of listing </w:t>
            </w:r>
            <w:proofErr w:type="spellStart"/>
            <w:r w:rsidRPr="00B65157">
              <w:rPr>
                <w:rFonts w:ascii="Arial Narrow" w:hAnsi="Arial Narrow"/>
                <w:b/>
                <w:sz w:val="20"/>
              </w:rPr>
              <w:t>sitagliptin</w:t>
            </w:r>
            <w:proofErr w:type="spellEnd"/>
            <w:r w:rsidRPr="00B65157">
              <w:rPr>
                <w:rFonts w:ascii="Arial Narrow" w:hAnsi="Arial Narrow"/>
                <w:b/>
                <w:sz w:val="20"/>
              </w:rPr>
              <w:t xml:space="preserve"> to the PBS </w:t>
            </w:r>
          </w:p>
        </w:tc>
      </w:tr>
      <w:tr w:rsidR="00B65157" w:rsidRPr="00B65157" w:rsidTr="00B65157">
        <w:tc>
          <w:tcPr>
            <w:tcW w:w="2835" w:type="dxa"/>
            <w:vAlign w:val="center"/>
          </w:tcPr>
          <w:p w:rsidR="00B65157" w:rsidRPr="00B65157" w:rsidRDefault="00B65157" w:rsidP="00831310">
            <w:pPr>
              <w:keepNext/>
              <w:widowControl/>
              <w:tabs>
                <w:tab w:val="right" w:pos="3322"/>
              </w:tabs>
              <w:ind w:left="-80"/>
              <w:jc w:val="left"/>
              <w:rPr>
                <w:rFonts w:ascii="Arial Narrow" w:hAnsi="Arial Narrow"/>
                <w:sz w:val="20"/>
              </w:rPr>
            </w:pPr>
            <w:r w:rsidRPr="00B65157">
              <w:rPr>
                <w:rFonts w:ascii="Arial Narrow" w:hAnsi="Arial Narrow"/>
                <w:sz w:val="20"/>
              </w:rPr>
              <w:t xml:space="preserve">Incremental cost of </w:t>
            </w:r>
            <w:proofErr w:type="spellStart"/>
            <w:r w:rsidRPr="00B65157">
              <w:rPr>
                <w:rFonts w:ascii="Arial Narrow" w:hAnsi="Arial Narrow"/>
                <w:sz w:val="20"/>
              </w:rPr>
              <w:t>sitagliptin</w:t>
            </w:r>
            <w:proofErr w:type="spellEnd"/>
            <w:r w:rsidRPr="00B65157">
              <w:rPr>
                <w:rFonts w:ascii="Arial Narrow" w:hAnsi="Arial Narrow"/>
                <w:sz w:val="20"/>
              </w:rPr>
              <w:t xml:space="preserve"> to PBS (DPMQ)</w:t>
            </w:r>
          </w:p>
        </w:tc>
        <w:tc>
          <w:tcPr>
            <w:tcW w:w="1105" w:type="dxa"/>
            <w:vAlign w:val="center"/>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center"/>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5" w:type="dxa"/>
            <w:vAlign w:val="center"/>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center"/>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center"/>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r>
      <w:tr w:rsidR="00B65157" w:rsidRPr="00B65157" w:rsidTr="00B65157">
        <w:tc>
          <w:tcPr>
            <w:tcW w:w="2835" w:type="dxa"/>
            <w:vAlign w:val="center"/>
          </w:tcPr>
          <w:p w:rsidR="00B65157" w:rsidRPr="00B65157" w:rsidRDefault="00B65157" w:rsidP="00831310">
            <w:pPr>
              <w:keepNext/>
              <w:widowControl/>
              <w:tabs>
                <w:tab w:val="right" w:pos="3322"/>
              </w:tabs>
              <w:ind w:left="-80"/>
              <w:jc w:val="left"/>
              <w:rPr>
                <w:rFonts w:ascii="Arial Narrow" w:hAnsi="Arial Narrow"/>
                <w:sz w:val="20"/>
              </w:rPr>
            </w:pPr>
            <w:r w:rsidRPr="00B65157">
              <w:rPr>
                <w:rFonts w:ascii="Arial Narrow" w:hAnsi="Arial Narrow"/>
                <w:sz w:val="20"/>
              </w:rPr>
              <w:t>Patient co-payment</w:t>
            </w:r>
          </w:p>
        </w:tc>
        <w:tc>
          <w:tcPr>
            <w:tcW w:w="1105" w:type="dxa"/>
            <w:vAlign w:val="bottom"/>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5" w:type="dxa"/>
            <w:vAlign w:val="bottom"/>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r>
      <w:tr w:rsidR="00B65157" w:rsidRPr="00B65157" w:rsidTr="00B65157">
        <w:tc>
          <w:tcPr>
            <w:tcW w:w="2835" w:type="dxa"/>
            <w:vAlign w:val="center"/>
          </w:tcPr>
          <w:p w:rsidR="00B65157" w:rsidRPr="00B65157" w:rsidRDefault="00B65157" w:rsidP="00831310">
            <w:pPr>
              <w:keepNext/>
              <w:widowControl/>
              <w:tabs>
                <w:tab w:val="right" w:pos="3322"/>
              </w:tabs>
              <w:ind w:left="-80"/>
              <w:jc w:val="left"/>
              <w:rPr>
                <w:rFonts w:ascii="Arial Narrow" w:hAnsi="Arial Narrow"/>
                <w:b/>
                <w:sz w:val="20"/>
              </w:rPr>
            </w:pPr>
            <w:r w:rsidRPr="00B65157">
              <w:rPr>
                <w:rFonts w:ascii="Arial Narrow" w:hAnsi="Arial Narrow"/>
                <w:b/>
                <w:sz w:val="20"/>
              </w:rPr>
              <w:t xml:space="preserve">Incremental cost of </w:t>
            </w:r>
            <w:proofErr w:type="spellStart"/>
            <w:r w:rsidRPr="00B65157">
              <w:rPr>
                <w:rFonts w:ascii="Arial Narrow" w:hAnsi="Arial Narrow"/>
                <w:b/>
                <w:sz w:val="20"/>
              </w:rPr>
              <w:t>sitagliptin</w:t>
            </w:r>
            <w:proofErr w:type="spellEnd"/>
            <w:r w:rsidRPr="00B65157">
              <w:rPr>
                <w:rFonts w:ascii="Arial Narrow" w:hAnsi="Arial Narrow"/>
                <w:b/>
                <w:sz w:val="20"/>
              </w:rPr>
              <w:t xml:space="preserve"> </w:t>
            </w:r>
          </w:p>
          <w:p w:rsidR="00B65157" w:rsidRPr="00B65157" w:rsidRDefault="00B65157" w:rsidP="00831310">
            <w:pPr>
              <w:keepNext/>
              <w:widowControl/>
              <w:tabs>
                <w:tab w:val="right" w:pos="3322"/>
              </w:tabs>
              <w:ind w:left="-80"/>
              <w:jc w:val="left"/>
              <w:rPr>
                <w:rFonts w:ascii="Arial Narrow" w:hAnsi="Arial Narrow"/>
                <w:b/>
                <w:sz w:val="20"/>
              </w:rPr>
            </w:pPr>
            <w:r w:rsidRPr="00B65157">
              <w:rPr>
                <w:rFonts w:ascii="Arial Narrow" w:hAnsi="Arial Narrow"/>
                <w:b/>
                <w:sz w:val="20"/>
              </w:rPr>
              <w:t>(less co-payment)</w:t>
            </w:r>
          </w:p>
        </w:tc>
        <w:tc>
          <w:tcPr>
            <w:tcW w:w="1105"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w:t>
            </w:r>
            <w:r w:rsidR="00BC51A8">
              <w:rPr>
                <w:rFonts w:ascii="Arial Narrow" w:hAnsi="Arial Narrow"/>
                <w:b/>
                <w:noProof/>
                <w:color w:val="000000"/>
                <w:sz w:val="20"/>
                <w:highlight w:val="black"/>
              </w:rPr>
              <w:t>''''''''''''''''</w:t>
            </w:r>
          </w:p>
        </w:tc>
        <w:tc>
          <w:tcPr>
            <w:tcW w:w="1106"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w:t>
            </w:r>
            <w:r w:rsidR="00BC51A8">
              <w:rPr>
                <w:rFonts w:ascii="Arial Narrow" w:hAnsi="Arial Narrow"/>
                <w:b/>
                <w:noProof/>
                <w:color w:val="000000"/>
                <w:sz w:val="20"/>
                <w:highlight w:val="black"/>
              </w:rPr>
              <w:t>'''''''''''''''''''</w:t>
            </w:r>
          </w:p>
        </w:tc>
        <w:tc>
          <w:tcPr>
            <w:tcW w:w="1105"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w:t>
            </w:r>
            <w:r w:rsidR="00BC51A8">
              <w:rPr>
                <w:rFonts w:ascii="Arial Narrow" w:hAnsi="Arial Narrow"/>
                <w:b/>
                <w:noProof/>
                <w:color w:val="000000"/>
                <w:sz w:val="20"/>
                <w:highlight w:val="black"/>
              </w:rPr>
              <w:t>''''''''''''''''''</w:t>
            </w:r>
          </w:p>
        </w:tc>
        <w:tc>
          <w:tcPr>
            <w:tcW w:w="1106"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w:t>
            </w:r>
            <w:r w:rsidR="00BC51A8">
              <w:rPr>
                <w:rFonts w:ascii="Arial Narrow" w:hAnsi="Arial Narrow"/>
                <w:b/>
                <w:noProof/>
                <w:color w:val="000000"/>
                <w:sz w:val="20"/>
                <w:highlight w:val="black"/>
              </w:rPr>
              <w:t>''''''''''''''''''''</w:t>
            </w:r>
          </w:p>
        </w:tc>
        <w:tc>
          <w:tcPr>
            <w:tcW w:w="1106" w:type="dxa"/>
            <w:vAlign w:val="center"/>
          </w:tcPr>
          <w:p w:rsidR="00B65157" w:rsidRPr="00B65157" w:rsidRDefault="00B65157" w:rsidP="00831310">
            <w:pPr>
              <w:keepNext/>
              <w:widowControl/>
              <w:ind w:left="-54" w:right="-65"/>
              <w:jc w:val="center"/>
              <w:rPr>
                <w:rFonts w:ascii="Arial Narrow" w:hAnsi="Arial Narrow"/>
                <w:b/>
                <w:sz w:val="20"/>
              </w:rPr>
            </w:pPr>
            <w:r w:rsidRPr="00B65157">
              <w:rPr>
                <w:rFonts w:ascii="Arial Narrow" w:hAnsi="Arial Narrow"/>
                <w:b/>
                <w:sz w:val="20"/>
              </w:rPr>
              <w:t>$</w:t>
            </w:r>
            <w:r w:rsidR="00BC51A8">
              <w:rPr>
                <w:rFonts w:ascii="Arial Narrow" w:hAnsi="Arial Narrow"/>
                <w:b/>
                <w:noProof/>
                <w:color w:val="000000"/>
                <w:sz w:val="20"/>
                <w:highlight w:val="black"/>
              </w:rPr>
              <w:t>''''''''''''''''''''</w:t>
            </w:r>
          </w:p>
        </w:tc>
      </w:tr>
      <w:tr w:rsidR="00B65157" w:rsidRPr="00B65157" w:rsidTr="00B65157">
        <w:tc>
          <w:tcPr>
            <w:tcW w:w="8363" w:type="dxa"/>
            <w:gridSpan w:val="6"/>
            <w:vAlign w:val="center"/>
          </w:tcPr>
          <w:p w:rsidR="00B65157" w:rsidRPr="00B65157" w:rsidRDefault="00B65157" w:rsidP="00831310">
            <w:pPr>
              <w:keepNext/>
              <w:widowControl/>
              <w:ind w:left="-54" w:right="-65"/>
              <w:jc w:val="left"/>
              <w:rPr>
                <w:rFonts w:ascii="Arial Narrow" w:hAnsi="Arial Narrow"/>
                <w:b/>
                <w:sz w:val="20"/>
              </w:rPr>
            </w:pPr>
            <w:r w:rsidRPr="00B65157">
              <w:rPr>
                <w:rFonts w:ascii="Arial Narrow" w:hAnsi="Arial Narrow"/>
                <w:b/>
                <w:sz w:val="20"/>
              </w:rPr>
              <w:t xml:space="preserve">Incremental savings to </w:t>
            </w:r>
            <w:r>
              <w:rPr>
                <w:rFonts w:ascii="Arial Narrow" w:hAnsi="Arial Narrow"/>
                <w:b/>
                <w:sz w:val="20"/>
              </w:rPr>
              <w:t xml:space="preserve">the </w:t>
            </w:r>
            <w:r w:rsidRPr="00B65157">
              <w:rPr>
                <w:rFonts w:ascii="Arial Narrow" w:hAnsi="Arial Narrow"/>
                <w:b/>
                <w:sz w:val="20"/>
              </w:rPr>
              <w:t xml:space="preserve">PBS from substitution of </w:t>
            </w:r>
            <w:proofErr w:type="spellStart"/>
            <w:r w:rsidRPr="00B65157">
              <w:rPr>
                <w:rFonts w:ascii="Arial Narrow" w:hAnsi="Arial Narrow"/>
                <w:b/>
                <w:sz w:val="20"/>
              </w:rPr>
              <w:t>dapagliflozin</w:t>
            </w:r>
            <w:proofErr w:type="spellEnd"/>
            <w:r w:rsidRPr="00B65157">
              <w:rPr>
                <w:rFonts w:ascii="Arial Narrow" w:hAnsi="Arial Narrow"/>
                <w:b/>
                <w:sz w:val="20"/>
              </w:rPr>
              <w:t xml:space="preserve"> and metformin</w:t>
            </w:r>
          </w:p>
        </w:tc>
      </w:tr>
      <w:tr w:rsidR="00B65157" w:rsidRPr="00B65157" w:rsidTr="00B65157">
        <w:tc>
          <w:tcPr>
            <w:tcW w:w="2835" w:type="dxa"/>
          </w:tcPr>
          <w:p w:rsidR="00B65157" w:rsidRPr="00B65157" w:rsidRDefault="00B65157" w:rsidP="00831310">
            <w:pPr>
              <w:keepNext/>
              <w:widowControl/>
              <w:ind w:left="-80"/>
              <w:jc w:val="left"/>
              <w:rPr>
                <w:rFonts w:ascii="Arial Narrow" w:hAnsi="Arial Narrow"/>
                <w:sz w:val="20"/>
              </w:rPr>
            </w:pPr>
            <w:r w:rsidRPr="00B65157">
              <w:rPr>
                <w:rFonts w:ascii="Arial Narrow" w:hAnsi="Arial Narrow"/>
                <w:sz w:val="20"/>
              </w:rPr>
              <w:t xml:space="preserve">Savings from </w:t>
            </w:r>
            <w:proofErr w:type="spellStart"/>
            <w:r w:rsidRPr="00B65157">
              <w:rPr>
                <w:rFonts w:ascii="Arial Narrow" w:hAnsi="Arial Narrow"/>
                <w:sz w:val="20"/>
              </w:rPr>
              <w:t>dapagliflozin</w:t>
            </w:r>
            <w:proofErr w:type="spellEnd"/>
            <w:r w:rsidRPr="00B65157">
              <w:rPr>
                <w:rFonts w:ascii="Arial Narrow" w:hAnsi="Arial Narrow"/>
                <w:sz w:val="20"/>
              </w:rPr>
              <w:t xml:space="preserve"> (DPMQ)</w:t>
            </w:r>
          </w:p>
        </w:tc>
        <w:tc>
          <w:tcPr>
            <w:tcW w:w="1105" w:type="dxa"/>
            <w:vAlign w:val="bottom"/>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5"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r>
      <w:tr w:rsidR="00B65157" w:rsidRPr="00B65157" w:rsidTr="00B65157">
        <w:tc>
          <w:tcPr>
            <w:tcW w:w="2835" w:type="dxa"/>
          </w:tcPr>
          <w:p w:rsidR="00B65157" w:rsidRPr="00B65157" w:rsidRDefault="00B65157" w:rsidP="00831310">
            <w:pPr>
              <w:keepNext/>
              <w:widowControl/>
              <w:ind w:left="-80"/>
              <w:jc w:val="left"/>
              <w:rPr>
                <w:rFonts w:ascii="Arial Narrow" w:hAnsi="Arial Narrow"/>
                <w:sz w:val="20"/>
              </w:rPr>
            </w:pPr>
            <w:r w:rsidRPr="00B65157">
              <w:rPr>
                <w:rFonts w:ascii="Arial Narrow" w:hAnsi="Arial Narrow"/>
                <w:sz w:val="20"/>
              </w:rPr>
              <w:t>Savings from metformin (DPMQ)</w:t>
            </w:r>
          </w:p>
        </w:tc>
        <w:tc>
          <w:tcPr>
            <w:tcW w:w="1105" w:type="dxa"/>
            <w:vAlign w:val="bottom"/>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5"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r>
      <w:tr w:rsidR="00B65157" w:rsidRPr="00B65157" w:rsidTr="00B65157">
        <w:tc>
          <w:tcPr>
            <w:tcW w:w="2835" w:type="dxa"/>
          </w:tcPr>
          <w:p w:rsidR="00B65157" w:rsidRPr="00B65157" w:rsidRDefault="00B65157" w:rsidP="00831310">
            <w:pPr>
              <w:keepNext/>
              <w:widowControl/>
              <w:ind w:left="-80"/>
              <w:jc w:val="left"/>
              <w:rPr>
                <w:rFonts w:ascii="Arial Narrow" w:hAnsi="Arial Narrow"/>
                <w:sz w:val="20"/>
              </w:rPr>
            </w:pPr>
            <w:r w:rsidRPr="00B65157">
              <w:rPr>
                <w:rFonts w:ascii="Arial Narrow" w:hAnsi="Arial Narrow"/>
                <w:sz w:val="20"/>
              </w:rPr>
              <w:t>Total savings to PBS (DPMQ)</w:t>
            </w:r>
          </w:p>
        </w:tc>
        <w:tc>
          <w:tcPr>
            <w:tcW w:w="1105" w:type="dxa"/>
            <w:vAlign w:val="bottom"/>
          </w:tcPr>
          <w:p w:rsidR="00B65157" w:rsidRPr="00B65157" w:rsidRDefault="00B65157" w:rsidP="00831310">
            <w:pPr>
              <w:keepNext/>
              <w:widowControl/>
              <w:ind w:left="-54" w:right="-65"/>
              <w:jc w:val="center"/>
              <w:rPr>
                <w:rFonts w:ascii="Arial Narrow" w:hAnsi="Arial Narrow"/>
                <w:sz w:val="20"/>
              </w:rPr>
            </w:pPr>
            <w:r w:rsidRPr="00B65157">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5"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r>
      <w:tr w:rsidR="00B65157" w:rsidRPr="00B65157" w:rsidTr="00B65157">
        <w:tc>
          <w:tcPr>
            <w:tcW w:w="2835" w:type="dxa"/>
          </w:tcPr>
          <w:p w:rsidR="00B65157" w:rsidRDefault="00B65157" w:rsidP="00831310">
            <w:pPr>
              <w:keepNext/>
              <w:widowControl/>
              <w:ind w:left="-80" w:right="-78"/>
              <w:jc w:val="left"/>
              <w:rPr>
                <w:rFonts w:ascii="Arial Narrow" w:hAnsi="Arial Narrow"/>
                <w:b/>
                <w:sz w:val="20"/>
              </w:rPr>
            </w:pPr>
            <w:r w:rsidRPr="00B65157">
              <w:rPr>
                <w:rFonts w:ascii="Arial Narrow" w:hAnsi="Arial Narrow"/>
                <w:b/>
                <w:sz w:val="20"/>
              </w:rPr>
              <w:t xml:space="preserve">Total savings to PBS </w:t>
            </w:r>
          </w:p>
          <w:p w:rsidR="00B65157" w:rsidRPr="00B65157" w:rsidRDefault="00B65157" w:rsidP="00831310">
            <w:pPr>
              <w:keepNext/>
              <w:widowControl/>
              <w:ind w:left="-80" w:right="-78"/>
              <w:jc w:val="left"/>
              <w:rPr>
                <w:rFonts w:ascii="Arial Narrow" w:hAnsi="Arial Narrow"/>
                <w:b/>
                <w:sz w:val="20"/>
              </w:rPr>
            </w:pPr>
            <w:r w:rsidRPr="00B65157">
              <w:rPr>
                <w:rFonts w:ascii="Arial Narrow" w:hAnsi="Arial Narrow"/>
                <w:b/>
                <w:sz w:val="20"/>
              </w:rPr>
              <w:t>(less co-payment)</w:t>
            </w:r>
          </w:p>
        </w:tc>
        <w:tc>
          <w:tcPr>
            <w:tcW w:w="1105" w:type="dxa"/>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c>
          <w:tcPr>
            <w:tcW w:w="1106" w:type="dxa"/>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c>
          <w:tcPr>
            <w:tcW w:w="1105" w:type="dxa"/>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c>
          <w:tcPr>
            <w:tcW w:w="1106" w:type="dxa"/>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c>
          <w:tcPr>
            <w:tcW w:w="1106" w:type="dxa"/>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r>
      <w:tr w:rsidR="00B65157" w:rsidRPr="00B65157" w:rsidTr="00B65157">
        <w:tc>
          <w:tcPr>
            <w:tcW w:w="8363" w:type="dxa"/>
            <w:gridSpan w:val="6"/>
            <w:vAlign w:val="center"/>
          </w:tcPr>
          <w:p w:rsidR="00B65157" w:rsidRPr="00BE5FDC" w:rsidRDefault="00B65157" w:rsidP="00831310">
            <w:pPr>
              <w:keepNext/>
              <w:widowControl/>
              <w:ind w:left="-54" w:right="-65"/>
              <w:jc w:val="left"/>
              <w:rPr>
                <w:rFonts w:ascii="Arial Narrow" w:hAnsi="Arial Narrow"/>
                <w:b/>
                <w:sz w:val="20"/>
              </w:rPr>
            </w:pPr>
            <w:r w:rsidRPr="00BE5FDC">
              <w:rPr>
                <w:rFonts w:ascii="Arial Narrow" w:hAnsi="Arial Narrow"/>
                <w:b/>
                <w:sz w:val="20"/>
              </w:rPr>
              <w:t xml:space="preserve">Net incremental cost of listing </w:t>
            </w:r>
            <w:proofErr w:type="spellStart"/>
            <w:r w:rsidRPr="00BE5FDC">
              <w:rPr>
                <w:rFonts w:ascii="Arial Narrow" w:hAnsi="Arial Narrow"/>
                <w:b/>
                <w:sz w:val="20"/>
              </w:rPr>
              <w:t>sitagliptin</w:t>
            </w:r>
            <w:proofErr w:type="spellEnd"/>
            <w:r w:rsidRPr="00BE5FDC">
              <w:rPr>
                <w:rFonts w:ascii="Arial Narrow" w:hAnsi="Arial Narrow"/>
                <w:b/>
                <w:sz w:val="20"/>
              </w:rPr>
              <w:t xml:space="preserve"> to PBS</w:t>
            </w:r>
          </w:p>
        </w:tc>
      </w:tr>
      <w:tr w:rsidR="00B65157" w:rsidRPr="00B65157" w:rsidTr="008B6C06">
        <w:tc>
          <w:tcPr>
            <w:tcW w:w="2835" w:type="dxa"/>
            <w:tcBorders>
              <w:bottom w:val="single" w:sz="4" w:space="0" w:color="auto"/>
            </w:tcBorders>
            <w:vAlign w:val="center"/>
          </w:tcPr>
          <w:p w:rsidR="00B65157" w:rsidRPr="00B65157" w:rsidRDefault="00B65157" w:rsidP="00831310">
            <w:pPr>
              <w:keepNext/>
              <w:widowControl/>
              <w:ind w:left="-80"/>
              <w:jc w:val="left"/>
              <w:rPr>
                <w:rFonts w:ascii="Arial Narrow" w:hAnsi="Arial Narrow"/>
                <w:sz w:val="20"/>
              </w:rPr>
            </w:pPr>
            <w:r w:rsidRPr="00B65157">
              <w:rPr>
                <w:rFonts w:ascii="Arial Narrow" w:hAnsi="Arial Narrow"/>
                <w:sz w:val="20"/>
              </w:rPr>
              <w:t>Net incremental cost (DPMQ)</w:t>
            </w:r>
          </w:p>
        </w:tc>
        <w:tc>
          <w:tcPr>
            <w:tcW w:w="1105" w:type="dxa"/>
            <w:tcBorders>
              <w:bottom w:val="single" w:sz="4" w:space="0" w:color="auto"/>
            </w:tcBorders>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5" w:type="dxa"/>
            <w:tcBorders>
              <w:bottom w:val="single" w:sz="4" w:space="0" w:color="auto"/>
            </w:tcBorders>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65157" w:rsidRPr="00BE5FDC" w:rsidRDefault="00B65157"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r>
      <w:tr w:rsidR="00B65157" w:rsidRPr="00B65157" w:rsidTr="008B6C06">
        <w:tc>
          <w:tcPr>
            <w:tcW w:w="2835" w:type="dxa"/>
            <w:tcBorders>
              <w:bottom w:val="double" w:sz="4" w:space="0" w:color="auto"/>
            </w:tcBorders>
          </w:tcPr>
          <w:p w:rsidR="00B65157" w:rsidRDefault="00B65157" w:rsidP="00831310">
            <w:pPr>
              <w:keepNext/>
              <w:widowControl/>
              <w:ind w:left="-80"/>
              <w:jc w:val="left"/>
              <w:rPr>
                <w:rFonts w:ascii="Arial Narrow" w:hAnsi="Arial Narrow"/>
                <w:b/>
                <w:sz w:val="20"/>
              </w:rPr>
            </w:pPr>
            <w:r w:rsidRPr="00B65157">
              <w:rPr>
                <w:rFonts w:ascii="Arial Narrow" w:hAnsi="Arial Narrow"/>
                <w:b/>
                <w:sz w:val="20"/>
              </w:rPr>
              <w:t xml:space="preserve">Net incremental cost </w:t>
            </w:r>
          </w:p>
          <w:p w:rsidR="00B65157" w:rsidRPr="00B65157" w:rsidRDefault="00B65157" w:rsidP="00831310">
            <w:pPr>
              <w:keepNext/>
              <w:widowControl/>
              <w:ind w:left="-80"/>
              <w:jc w:val="left"/>
              <w:rPr>
                <w:rFonts w:ascii="Arial Narrow" w:hAnsi="Arial Narrow"/>
                <w:sz w:val="20"/>
              </w:rPr>
            </w:pPr>
            <w:r w:rsidRPr="00B65157">
              <w:rPr>
                <w:rFonts w:ascii="Arial Narrow" w:hAnsi="Arial Narrow"/>
                <w:b/>
                <w:sz w:val="20"/>
              </w:rPr>
              <w:t>(less co-payment)</w:t>
            </w:r>
          </w:p>
        </w:tc>
        <w:tc>
          <w:tcPr>
            <w:tcW w:w="1105" w:type="dxa"/>
            <w:tcBorders>
              <w:bottom w:val="double" w:sz="4" w:space="0" w:color="auto"/>
            </w:tcBorders>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c>
          <w:tcPr>
            <w:tcW w:w="1106" w:type="dxa"/>
            <w:tcBorders>
              <w:bottom w:val="double" w:sz="4" w:space="0" w:color="auto"/>
            </w:tcBorders>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c>
          <w:tcPr>
            <w:tcW w:w="1105" w:type="dxa"/>
            <w:tcBorders>
              <w:bottom w:val="double" w:sz="4" w:space="0" w:color="auto"/>
            </w:tcBorders>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c>
          <w:tcPr>
            <w:tcW w:w="1106" w:type="dxa"/>
            <w:tcBorders>
              <w:bottom w:val="double" w:sz="4" w:space="0" w:color="auto"/>
            </w:tcBorders>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c>
          <w:tcPr>
            <w:tcW w:w="1106" w:type="dxa"/>
            <w:tcBorders>
              <w:bottom w:val="double" w:sz="4" w:space="0" w:color="auto"/>
            </w:tcBorders>
            <w:vAlign w:val="center"/>
          </w:tcPr>
          <w:p w:rsidR="00B65157" w:rsidRPr="00BE5FDC" w:rsidRDefault="00B65157" w:rsidP="00831310">
            <w:pPr>
              <w:keepNext/>
              <w:widowControl/>
              <w:ind w:left="-54" w:right="-65"/>
              <w:jc w:val="center"/>
              <w:rPr>
                <w:rFonts w:ascii="Arial Narrow" w:hAnsi="Arial Narrow"/>
                <w:b/>
                <w:sz w:val="20"/>
              </w:rPr>
            </w:pPr>
            <w:r w:rsidRPr="00BE5FDC">
              <w:rPr>
                <w:rFonts w:ascii="Arial Narrow" w:hAnsi="Arial Narrow"/>
                <w:b/>
                <w:sz w:val="20"/>
              </w:rPr>
              <w:t>$</w:t>
            </w:r>
            <w:r w:rsidR="00BC51A8">
              <w:rPr>
                <w:rFonts w:ascii="Arial Narrow" w:hAnsi="Arial Narrow"/>
                <w:b/>
                <w:noProof/>
                <w:color w:val="000000"/>
                <w:sz w:val="20"/>
                <w:highlight w:val="black"/>
              </w:rPr>
              <w:t>'''''''''''''''</w:t>
            </w:r>
          </w:p>
        </w:tc>
      </w:tr>
      <w:tr w:rsidR="008B6C06" w:rsidRPr="008B6C06" w:rsidTr="008B6C06">
        <w:tc>
          <w:tcPr>
            <w:tcW w:w="8363" w:type="dxa"/>
            <w:gridSpan w:val="6"/>
            <w:vAlign w:val="center"/>
          </w:tcPr>
          <w:p w:rsidR="008B6C06" w:rsidRPr="00BE5FDC" w:rsidRDefault="008B6C06" w:rsidP="00831310">
            <w:pPr>
              <w:keepNext/>
              <w:widowControl/>
              <w:ind w:left="-54" w:right="-65"/>
              <w:jc w:val="left"/>
              <w:rPr>
                <w:rFonts w:ascii="Arial Narrow" w:hAnsi="Arial Narrow"/>
                <w:b/>
                <w:sz w:val="20"/>
              </w:rPr>
            </w:pPr>
            <w:r w:rsidRPr="00BE5FDC">
              <w:rPr>
                <w:rFonts w:ascii="Arial Narrow" w:hAnsi="Arial Narrow"/>
                <w:b/>
                <w:sz w:val="20"/>
              </w:rPr>
              <w:t xml:space="preserve">Net cost of listing </w:t>
            </w:r>
            <w:proofErr w:type="spellStart"/>
            <w:r w:rsidRPr="00BE5FDC">
              <w:rPr>
                <w:rFonts w:ascii="Arial Narrow" w:hAnsi="Arial Narrow"/>
                <w:b/>
                <w:sz w:val="20"/>
              </w:rPr>
              <w:t>sitagliptin</w:t>
            </w:r>
            <w:proofErr w:type="spellEnd"/>
            <w:r w:rsidRPr="00BE5FDC">
              <w:rPr>
                <w:rFonts w:ascii="Arial Narrow" w:hAnsi="Arial Narrow"/>
                <w:b/>
                <w:sz w:val="20"/>
              </w:rPr>
              <w:t xml:space="preserve"> to PBS (listed)</w:t>
            </w:r>
            <w:r w:rsidR="00B916B9" w:rsidRPr="00BE5FDC">
              <w:rPr>
                <w:rFonts w:ascii="Arial Narrow" w:hAnsi="Arial Narrow"/>
                <w:b/>
                <w:sz w:val="20"/>
                <w:vertAlign w:val="superscript"/>
              </w:rPr>
              <w:t>c</w:t>
            </w:r>
          </w:p>
        </w:tc>
      </w:tr>
      <w:tr w:rsidR="00B916B9" w:rsidRPr="008B6C06" w:rsidTr="008B6C06">
        <w:tc>
          <w:tcPr>
            <w:tcW w:w="2835" w:type="dxa"/>
            <w:tcBorders>
              <w:bottom w:val="single" w:sz="4" w:space="0" w:color="auto"/>
            </w:tcBorders>
            <w:vAlign w:val="center"/>
          </w:tcPr>
          <w:p w:rsidR="00B916B9" w:rsidRPr="00792E89" w:rsidRDefault="00B916B9" w:rsidP="00831310">
            <w:pPr>
              <w:keepNext/>
              <w:widowControl/>
              <w:ind w:left="-80"/>
              <w:jc w:val="left"/>
              <w:rPr>
                <w:rFonts w:ascii="Arial Narrow" w:hAnsi="Arial Narrow"/>
                <w:sz w:val="20"/>
              </w:rPr>
            </w:pPr>
            <w:r w:rsidRPr="00792E89">
              <w:rPr>
                <w:rFonts w:ascii="Arial Narrow" w:hAnsi="Arial Narrow"/>
                <w:sz w:val="20"/>
              </w:rPr>
              <w:t>Net cost (DPMQ)</w:t>
            </w:r>
          </w:p>
        </w:tc>
        <w:tc>
          <w:tcPr>
            <w:tcW w:w="1105"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5"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r>
      <w:tr w:rsidR="00B916B9" w:rsidRPr="008B6C06" w:rsidTr="00DC07C1">
        <w:tc>
          <w:tcPr>
            <w:tcW w:w="2835" w:type="dxa"/>
            <w:tcBorders>
              <w:bottom w:val="single" w:sz="4" w:space="0" w:color="auto"/>
            </w:tcBorders>
          </w:tcPr>
          <w:p w:rsidR="00B916B9" w:rsidRPr="00792E89" w:rsidRDefault="00B916B9" w:rsidP="00831310">
            <w:pPr>
              <w:keepNext/>
              <w:widowControl/>
              <w:ind w:left="-80"/>
              <w:jc w:val="left"/>
              <w:rPr>
                <w:rFonts w:ascii="Arial Narrow" w:hAnsi="Arial Narrow"/>
                <w:sz w:val="20"/>
              </w:rPr>
            </w:pPr>
            <w:r w:rsidRPr="00792E89">
              <w:rPr>
                <w:rFonts w:ascii="Arial Narrow" w:hAnsi="Arial Narrow"/>
                <w:sz w:val="20"/>
              </w:rPr>
              <w:t>Net cost (less co-payment)</w:t>
            </w:r>
          </w:p>
        </w:tc>
        <w:tc>
          <w:tcPr>
            <w:tcW w:w="1105"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5"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c>
          <w:tcPr>
            <w:tcW w:w="1106" w:type="dxa"/>
            <w:tcBorders>
              <w:bottom w:val="single" w:sz="4" w:space="0" w:color="auto"/>
            </w:tcBorders>
            <w:vAlign w:val="bottom"/>
          </w:tcPr>
          <w:p w:rsidR="00B916B9" w:rsidRPr="00BE5FDC" w:rsidRDefault="00B916B9" w:rsidP="00831310">
            <w:pPr>
              <w:keepNext/>
              <w:widowControl/>
              <w:ind w:left="-54" w:right="-65"/>
              <w:jc w:val="center"/>
              <w:rPr>
                <w:rFonts w:ascii="Arial Narrow" w:hAnsi="Arial Narrow"/>
                <w:sz w:val="20"/>
              </w:rPr>
            </w:pPr>
            <w:r w:rsidRPr="00BE5FDC">
              <w:rPr>
                <w:rFonts w:ascii="Arial Narrow" w:hAnsi="Arial Narrow"/>
                <w:sz w:val="20"/>
              </w:rPr>
              <w:t>$</w:t>
            </w:r>
            <w:r w:rsidR="00BC51A8">
              <w:rPr>
                <w:rFonts w:ascii="Arial Narrow" w:hAnsi="Arial Narrow"/>
                <w:noProof/>
                <w:color w:val="000000"/>
                <w:sz w:val="20"/>
                <w:highlight w:val="black"/>
              </w:rPr>
              <w:t>'''''''''''''''''</w:t>
            </w:r>
          </w:p>
        </w:tc>
      </w:tr>
    </w:tbl>
    <w:p w:rsidR="00B65157" w:rsidRDefault="00B65157" w:rsidP="00831310">
      <w:pPr>
        <w:keepNext/>
        <w:widowControl/>
        <w:ind w:left="709"/>
        <w:rPr>
          <w:rFonts w:ascii="Arial Narrow" w:hAnsi="Arial Narrow"/>
          <w:sz w:val="18"/>
          <w:szCs w:val="18"/>
        </w:rPr>
      </w:pPr>
      <w:r>
        <w:rPr>
          <w:rFonts w:ascii="Arial Narrow" w:hAnsi="Arial Narrow"/>
          <w:sz w:val="18"/>
          <w:szCs w:val="18"/>
        </w:rPr>
        <w:t>Source: Tables E.4-2, p.128, E.5-5, p.130, E.7-1, p.132, E.7-5, p.135, E.8-4, p.137, E.8-5</w:t>
      </w:r>
      <w:r w:rsidRPr="00070EC8">
        <w:rPr>
          <w:rFonts w:ascii="Arial Narrow" w:hAnsi="Arial Narrow"/>
          <w:sz w:val="18"/>
          <w:szCs w:val="18"/>
        </w:rPr>
        <w:t>, p.</w:t>
      </w:r>
      <w:r>
        <w:rPr>
          <w:rFonts w:ascii="Arial Narrow" w:hAnsi="Arial Narrow"/>
          <w:sz w:val="18"/>
          <w:szCs w:val="18"/>
        </w:rPr>
        <w:t>137, E.9-4, p.152, E.10-2, p.142, E.11-2, p.146, E.11-3, p.146 of the submission.</w:t>
      </w:r>
    </w:p>
    <w:p w:rsidR="00B65157" w:rsidRDefault="00B65157" w:rsidP="00831310">
      <w:pPr>
        <w:keepNext/>
        <w:widowControl/>
        <w:ind w:left="709"/>
        <w:rPr>
          <w:rFonts w:ascii="Arial Narrow" w:hAnsi="Arial Narrow"/>
          <w:sz w:val="18"/>
          <w:szCs w:val="18"/>
        </w:rPr>
      </w:pPr>
      <w:proofErr w:type="spellStart"/>
      <w:proofErr w:type="gramStart"/>
      <w:r w:rsidRPr="00F367ED">
        <w:rPr>
          <w:rFonts w:ascii="Arial Narrow" w:hAnsi="Arial Narrow"/>
          <w:sz w:val="18"/>
          <w:szCs w:val="18"/>
          <w:vertAlign w:val="superscript"/>
        </w:rPr>
        <w:t>a</w:t>
      </w:r>
      <w:proofErr w:type="spellEnd"/>
      <w:proofErr w:type="gramEnd"/>
      <w:r>
        <w:rPr>
          <w:rFonts w:ascii="Arial Narrow" w:hAnsi="Arial Narrow"/>
          <w:sz w:val="18"/>
          <w:szCs w:val="18"/>
        </w:rPr>
        <w:t xml:space="preserve"> </w:t>
      </w:r>
      <w:r w:rsidR="008B6C06">
        <w:rPr>
          <w:rFonts w:ascii="Arial Narrow" w:hAnsi="Arial Narrow"/>
          <w:sz w:val="18"/>
          <w:szCs w:val="18"/>
        </w:rPr>
        <w:t xml:space="preserve">Estimated </w:t>
      </w:r>
      <w:r w:rsidR="00B916B9">
        <w:rPr>
          <w:rFonts w:ascii="Arial Narrow" w:hAnsi="Arial Narrow"/>
          <w:sz w:val="18"/>
          <w:szCs w:val="18"/>
        </w:rPr>
        <w:t>prevalent</w:t>
      </w:r>
      <w:r w:rsidR="008B6C06">
        <w:rPr>
          <w:rFonts w:ascii="Arial Narrow" w:hAnsi="Arial Narrow"/>
          <w:sz w:val="18"/>
          <w:szCs w:val="18"/>
        </w:rPr>
        <w:t xml:space="preserve"> </w:t>
      </w:r>
      <w:r w:rsidR="00B916B9">
        <w:rPr>
          <w:rFonts w:ascii="Arial Narrow" w:hAnsi="Arial Narrow"/>
          <w:sz w:val="18"/>
          <w:szCs w:val="18"/>
        </w:rPr>
        <w:t>population</w:t>
      </w:r>
      <w:r w:rsidR="008B6C06">
        <w:rPr>
          <w:rFonts w:ascii="Arial Narrow" w:hAnsi="Arial Narrow"/>
          <w:sz w:val="18"/>
          <w:szCs w:val="18"/>
        </w:rPr>
        <w:t xml:space="preserve"> taking </w:t>
      </w:r>
      <w:proofErr w:type="spellStart"/>
      <w:r w:rsidR="008B6C06">
        <w:rPr>
          <w:rFonts w:ascii="Arial Narrow" w:hAnsi="Arial Narrow"/>
          <w:sz w:val="18"/>
          <w:szCs w:val="18"/>
        </w:rPr>
        <w:t>sitagliptin</w:t>
      </w:r>
      <w:proofErr w:type="spellEnd"/>
      <w:r w:rsidR="008B6C06">
        <w:rPr>
          <w:rFonts w:ascii="Arial Narrow" w:hAnsi="Arial Narrow"/>
          <w:sz w:val="18"/>
          <w:szCs w:val="18"/>
        </w:rPr>
        <w:t xml:space="preserve"> in combination with insulin outside the restriction</w:t>
      </w:r>
      <w:r w:rsidR="00E00197">
        <w:rPr>
          <w:rFonts w:ascii="Arial Narrow" w:hAnsi="Arial Narrow"/>
          <w:sz w:val="18"/>
          <w:szCs w:val="18"/>
        </w:rPr>
        <w:t>, with an a</w:t>
      </w:r>
      <w:r w:rsidR="00DC07C1">
        <w:rPr>
          <w:rFonts w:ascii="Arial Narrow" w:hAnsi="Arial Narrow"/>
          <w:sz w:val="18"/>
          <w:szCs w:val="18"/>
        </w:rPr>
        <w:t>ssumed</w:t>
      </w:r>
      <w:r>
        <w:rPr>
          <w:rFonts w:ascii="Arial Narrow" w:hAnsi="Arial Narrow"/>
          <w:sz w:val="18"/>
          <w:szCs w:val="18"/>
        </w:rPr>
        <w:t xml:space="preserve"> 30% attrition rate.</w:t>
      </w:r>
    </w:p>
    <w:p w:rsidR="00B65157" w:rsidRDefault="00B65157" w:rsidP="00831310">
      <w:pPr>
        <w:keepNext/>
        <w:widowControl/>
        <w:ind w:left="709"/>
        <w:rPr>
          <w:rFonts w:ascii="Arial Narrow" w:hAnsi="Arial Narrow"/>
          <w:sz w:val="18"/>
          <w:szCs w:val="18"/>
        </w:rPr>
      </w:pPr>
      <w:proofErr w:type="gramStart"/>
      <w:r w:rsidRPr="00420550">
        <w:rPr>
          <w:rFonts w:ascii="Arial Narrow" w:hAnsi="Arial Narrow"/>
          <w:sz w:val="18"/>
          <w:szCs w:val="18"/>
          <w:vertAlign w:val="superscript"/>
        </w:rPr>
        <w:t>b</w:t>
      </w:r>
      <w:proofErr w:type="gramEnd"/>
      <w:r w:rsidR="00420550">
        <w:rPr>
          <w:rFonts w:ascii="Arial Narrow" w:hAnsi="Arial Narrow"/>
          <w:sz w:val="18"/>
          <w:szCs w:val="18"/>
        </w:rPr>
        <w:t xml:space="preserve"> Total scripts were distributed across doses and formulations</w:t>
      </w:r>
      <w:r w:rsidR="002817F6">
        <w:rPr>
          <w:rFonts w:ascii="Arial Narrow" w:hAnsi="Arial Narrow"/>
          <w:sz w:val="18"/>
          <w:szCs w:val="18"/>
        </w:rPr>
        <w:t>.</w:t>
      </w:r>
    </w:p>
    <w:p w:rsidR="00E00197" w:rsidRPr="00420550" w:rsidRDefault="00E00197" w:rsidP="00831310">
      <w:pPr>
        <w:keepNext/>
        <w:widowControl/>
        <w:ind w:left="709"/>
        <w:rPr>
          <w:rFonts w:ascii="Arial Narrow" w:hAnsi="Arial Narrow"/>
          <w:sz w:val="18"/>
          <w:szCs w:val="18"/>
        </w:rPr>
      </w:pPr>
      <w:proofErr w:type="gramStart"/>
      <w:r w:rsidRPr="00E00197">
        <w:rPr>
          <w:rFonts w:ascii="Arial Narrow" w:hAnsi="Arial Narrow"/>
          <w:sz w:val="18"/>
          <w:szCs w:val="18"/>
          <w:vertAlign w:val="superscript"/>
        </w:rPr>
        <w:t>c</w:t>
      </w:r>
      <w:proofErr w:type="gramEnd"/>
      <w:r>
        <w:rPr>
          <w:rFonts w:ascii="Arial Narrow" w:hAnsi="Arial Narrow"/>
          <w:sz w:val="18"/>
          <w:szCs w:val="18"/>
        </w:rPr>
        <w:t xml:space="preserve"> Total net costs of patients treated with </w:t>
      </w:r>
      <w:proofErr w:type="spellStart"/>
      <w:r>
        <w:rPr>
          <w:rFonts w:ascii="Arial Narrow" w:hAnsi="Arial Narrow"/>
          <w:sz w:val="18"/>
          <w:szCs w:val="18"/>
        </w:rPr>
        <w:t>sitagliptin</w:t>
      </w:r>
      <w:proofErr w:type="spellEnd"/>
      <w:r>
        <w:rPr>
          <w:rFonts w:ascii="Arial Narrow" w:hAnsi="Arial Narrow"/>
          <w:sz w:val="18"/>
          <w:szCs w:val="18"/>
        </w:rPr>
        <w:t xml:space="preserve"> if listed on the PBS,  including patient switching from out of restriction use, compiled during the evaluation.</w:t>
      </w:r>
    </w:p>
    <w:p w:rsidR="00B65157" w:rsidRPr="00420550" w:rsidRDefault="00B65157" w:rsidP="00831310">
      <w:pPr>
        <w:widowControl/>
        <w:tabs>
          <w:tab w:val="left" w:pos="1230"/>
        </w:tabs>
        <w:jc w:val="left"/>
      </w:pPr>
      <w:r>
        <w:tab/>
      </w:r>
    </w:p>
    <w:p w:rsidR="00CA6403" w:rsidRPr="00856F99" w:rsidRDefault="00CA6403" w:rsidP="00856F99">
      <w:pPr>
        <w:pStyle w:val="ListParagraph"/>
        <w:widowControl/>
        <w:rPr>
          <w:i/>
          <w:szCs w:val="22"/>
        </w:rPr>
      </w:pPr>
      <w:r w:rsidRPr="00856F99">
        <w:rPr>
          <w:bCs/>
          <w:i/>
          <w:szCs w:val="22"/>
        </w:rPr>
        <w:t xml:space="preserve">The redacted table above shows that at year 5, the estimated number of patients was </w:t>
      </w:r>
      <w:r w:rsidRPr="00856F99">
        <w:rPr>
          <w:i/>
          <w:szCs w:val="22"/>
        </w:rPr>
        <w:t xml:space="preserve">less than 10,000 </w:t>
      </w:r>
      <w:r w:rsidRPr="00856F99">
        <w:rPr>
          <w:bCs/>
          <w:i/>
          <w:szCs w:val="22"/>
        </w:rPr>
        <w:t>and the net cost to the PBS would be</w:t>
      </w:r>
      <w:r w:rsidRPr="00856F99">
        <w:rPr>
          <w:i/>
          <w:szCs w:val="22"/>
        </w:rPr>
        <w:t xml:space="preserve"> less than $10 million</w:t>
      </w:r>
      <w:r w:rsidRPr="00856F99">
        <w:rPr>
          <w:bCs/>
          <w:i/>
          <w:szCs w:val="22"/>
        </w:rPr>
        <w:t xml:space="preserve">. </w:t>
      </w:r>
    </w:p>
    <w:p w:rsidR="000B6E8A" w:rsidRDefault="000B6E8A" w:rsidP="000B6E8A">
      <w:pPr>
        <w:pStyle w:val="ListParagraph"/>
        <w:widowControl/>
      </w:pPr>
    </w:p>
    <w:p w:rsidR="00CE5F63" w:rsidRPr="00F156D1" w:rsidRDefault="00CE5F63" w:rsidP="00831310">
      <w:pPr>
        <w:pStyle w:val="ListParagraph"/>
        <w:widowControl/>
        <w:numPr>
          <w:ilvl w:val="1"/>
          <w:numId w:val="8"/>
        </w:numPr>
      </w:pPr>
      <w:r w:rsidRPr="00F156D1">
        <w:t xml:space="preserve">It </w:t>
      </w:r>
      <w:r w:rsidR="00950970" w:rsidRPr="00F156D1">
        <w:t>wa</w:t>
      </w:r>
      <w:r w:rsidRPr="00F156D1">
        <w:t xml:space="preserve">s unclear if the counts of patient numbers derived from the 10% Medicare sample analysis were extrapolated to the full Australian population or represent 10% of that population. The number of eligible patients may have been substantially underestimated. </w:t>
      </w:r>
      <w:r w:rsidR="009365C0" w:rsidRPr="00552352">
        <w:t>The PSCR confirmed that the 10% Medicare sample was extrapolated to represent the full Australian population.</w:t>
      </w:r>
    </w:p>
    <w:p w:rsidR="00CE5F63" w:rsidRPr="00F156D1" w:rsidRDefault="00CE5F63" w:rsidP="00831310">
      <w:pPr>
        <w:pStyle w:val="ListParagraph"/>
        <w:widowControl/>
      </w:pPr>
    </w:p>
    <w:p w:rsidR="00CE5F63" w:rsidRPr="00F156D1" w:rsidRDefault="00CE5F63" w:rsidP="00831310">
      <w:pPr>
        <w:pStyle w:val="ListParagraph"/>
        <w:widowControl/>
        <w:numPr>
          <w:ilvl w:val="1"/>
          <w:numId w:val="8"/>
        </w:numPr>
      </w:pPr>
      <w:r w:rsidRPr="00F156D1">
        <w:t>The assumed attrition rate of 30% was not supported and application to both listed and not listed scenarios was not adequately justified.</w:t>
      </w:r>
    </w:p>
    <w:p w:rsidR="00CE5F63" w:rsidRPr="00F156D1" w:rsidRDefault="00CE5F63" w:rsidP="00831310">
      <w:pPr>
        <w:widowControl/>
      </w:pPr>
    </w:p>
    <w:p w:rsidR="00CE5F63" w:rsidRPr="00F156D1" w:rsidRDefault="00CE5F63" w:rsidP="00831310">
      <w:pPr>
        <w:pStyle w:val="ListParagraph"/>
        <w:widowControl/>
        <w:numPr>
          <w:ilvl w:val="1"/>
          <w:numId w:val="8"/>
        </w:numPr>
      </w:pPr>
      <w:r w:rsidRPr="00F156D1">
        <w:t xml:space="preserve">The estimated number of patients adding </w:t>
      </w:r>
      <w:proofErr w:type="spellStart"/>
      <w:r w:rsidRPr="00F156D1">
        <w:t>sitagliptin</w:t>
      </w:r>
      <w:proofErr w:type="spellEnd"/>
      <w:r w:rsidRPr="00F156D1">
        <w:t xml:space="preserve"> to existing insulin + metformin regimens for the year ending March 2014 (</w:t>
      </w:r>
      <w:r w:rsidR="003F2549">
        <w:t>less than 10,000</w:t>
      </w:r>
      <w:r w:rsidRPr="00F156D1">
        <w:t xml:space="preserve">) derived from the 10% Medicare sample analysis could not be verified, and was substantially lower than the average number of patients taking </w:t>
      </w:r>
      <w:proofErr w:type="spellStart"/>
      <w:r w:rsidRPr="00F156D1">
        <w:t>sitagliptin</w:t>
      </w:r>
      <w:proofErr w:type="spellEnd"/>
      <w:r w:rsidRPr="00F156D1">
        <w:t xml:space="preserve"> in combination with metformin over the same period (</w:t>
      </w:r>
      <w:r w:rsidR="003F2549">
        <w:t>less than 10,000</w:t>
      </w:r>
      <w:r w:rsidRPr="00F156D1">
        <w:t>).</w:t>
      </w:r>
    </w:p>
    <w:p w:rsidR="00CE5F63" w:rsidRPr="00F156D1" w:rsidRDefault="00CE5F63" w:rsidP="00831310">
      <w:pPr>
        <w:widowControl/>
      </w:pPr>
    </w:p>
    <w:p w:rsidR="00CE5F63" w:rsidRPr="00F156D1" w:rsidRDefault="00CE5F63" w:rsidP="00831310">
      <w:pPr>
        <w:pStyle w:val="ListParagraph"/>
        <w:widowControl/>
        <w:numPr>
          <w:ilvl w:val="1"/>
          <w:numId w:val="8"/>
        </w:numPr>
      </w:pPr>
      <w:r w:rsidRPr="00F156D1">
        <w:t xml:space="preserve">The assumption that 80% of patients currently adding </w:t>
      </w:r>
      <w:proofErr w:type="spellStart"/>
      <w:r w:rsidRPr="00F156D1">
        <w:t>sitagliptin</w:t>
      </w:r>
      <w:proofErr w:type="spellEnd"/>
      <w:r w:rsidRPr="00F156D1">
        <w:t xml:space="preserve"> to insulin + metformin regimens would switch to </w:t>
      </w:r>
      <w:proofErr w:type="spellStart"/>
      <w:r w:rsidRPr="00F156D1">
        <w:t>dapagliflozin</w:t>
      </w:r>
      <w:proofErr w:type="spellEnd"/>
      <w:r w:rsidRPr="00F156D1">
        <w:t xml:space="preserve"> if </w:t>
      </w:r>
      <w:proofErr w:type="spellStart"/>
      <w:r w:rsidRPr="00F156D1">
        <w:t>sitagliptin</w:t>
      </w:r>
      <w:proofErr w:type="spellEnd"/>
      <w:r w:rsidRPr="00F156D1">
        <w:t xml:space="preserve"> is not listed for combination with insulin </w:t>
      </w:r>
      <w:r w:rsidR="00950970" w:rsidRPr="00F156D1">
        <w:t>wa</w:t>
      </w:r>
      <w:r w:rsidRPr="00F156D1">
        <w:t xml:space="preserve">s not reasonable. The submission noted that </w:t>
      </w:r>
      <w:proofErr w:type="spellStart"/>
      <w:r w:rsidRPr="00F156D1">
        <w:t>dapagliflozin</w:t>
      </w:r>
      <w:proofErr w:type="spellEnd"/>
      <w:r w:rsidRPr="00F156D1">
        <w:t xml:space="preserve"> was recently listed for use in combination with insulin (April 2015 PBS schedule). However, the use of </w:t>
      </w:r>
      <w:proofErr w:type="spellStart"/>
      <w:r w:rsidRPr="00F156D1">
        <w:t>sitagliptin</w:t>
      </w:r>
      <w:proofErr w:type="spellEnd"/>
      <w:r w:rsidRPr="00F156D1">
        <w:t xml:space="preserve"> in combination with insulin has increased over time despite not being listed on the PBS schedule for this restriction. Similarly, the assumption </w:t>
      </w:r>
      <w:proofErr w:type="spellStart"/>
      <w:r w:rsidRPr="00F156D1">
        <w:t>dapagliflozin</w:t>
      </w:r>
      <w:proofErr w:type="spellEnd"/>
      <w:r w:rsidRPr="00F156D1">
        <w:t xml:space="preserve"> and </w:t>
      </w:r>
      <w:proofErr w:type="spellStart"/>
      <w:r w:rsidRPr="00F156D1">
        <w:t>sitagliptin</w:t>
      </w:r>
      <w:proofErr w:type="spellEnd"/>
      <w:r w:rsidRPr="00F156D1">
        <w:t xml:space="preserve"> would be used on a 1:1 ratio in combination with insulin, was not supported. </w:t>
      </w:r>
    </w:p>
    <w:p w:rsidR="00CE5F63" w:rsidRPr="00CE5F63" w:rsidRDefault="00CE5F63" w:rsidP="00831310">
      <w:pPr>
        <w:widowControl/>
        <w:rPr>
          <w:i/>
        </w:rPr>
      </w:pPr>
    </w:p>
    <w:p w:rsidR="00CE5F63" w:rsidRPr="00F156D1" w:rsidRDefault="00CE5F63" w:rsidP="00831310">
      <w:pPr>
        <w:pStyle w:val="ListParagraph"/>
        <w:widowControl/>
        <w:numPr>
          <w:ilvl w:val="1"/>
          <w:numId w:val="8"/>
        </w:numPr>
      </w:pPr>
      <w:r w:rsidRPr="00F156D1">
        <w:t xml:space="preserve">The submission assumed that extending the listing of </w:t>
      </w:r>
      <w:proofErr w:type="spellStart"/>
      <w:r w:rsidRPr="00F156D1">
        <w:t>sitagliptin</w:t>
      </w:r>
      <w:proofErr w:type="spellEnd"/>
      <w:r w:rsidRPr="00F156D1">
        <w:t xml:space="preserve"> to include combination with insulin would not increase the market size, and that all patients adding </w:t>
      </w:r>
      <w:proofErr w:type="spellStart"/>
      <w:r w:rsidRPr="00F156D1">
        <w:t>sitagliptin</w:t>
      </w:r>
      <w:proofErr w:type="spellEnd"/>
      <w:r w:rsidRPr="00F156D1">
        <w:t xml:space="preserve"> to insulin regimens would otherwise have added </w:t>
      </w:r>
      <w:proofErr w:type="spellStart"/>
      <w:r w:rsidRPr="00F156D1">
        <w:t>dapagliflozin</w:t>
      </w:r>
      <w:proofErr w:type="spellEnd"/>
      <w:r w:rsidRPr="00F156D1">
        <w:t xml:space="preserve">. Given the different modes of action and safety profiles between </w:t>
      </w:r>
      <w:proofErr w:type="spellStart"/>
      <w:r w:rsidRPr="00F156D1">
        <w:t>sitagliptin</w:t>
      </w:r>
      <w:proofErr w:type="spellEnd"/>
      <w:r w:rsidRPr="00F156D1">
        <w:t xml:space="preserve"> and </w:t>
      </w:r>
      <w:proofErr w:type="spellStart"/>
      <w:r w:rsidRPr="00F156D1">
        <w:t>dapagliflozin</w:t>
      </w:r>
      <w:proofErr w:type="spellEnd"/>
      <w:r w:rsidRPr="00F156D1">
        <w:t xml:space="preserve"> this assumption was not supported.</w:t>
      </w:r>
    </w:p>
    <w:p w:rsidR="00CE5F63" w:rsidRPr="00F156D1" w:rsidRDefault="00CE5F63" w:rsidP="00831310">
      <w:pPr>
        <w:widowControl/>
      </w:pPr>
    </w:p>
    <w:p w:rsidR="00C25D9C" w:rsidRDefault="00CE5F63" w:rsidP="00831310">
      <w:pPr>
        <w:pStyle w:val="ListParagraph"/>
        <w:widowControl/>
        <w:numPr>
          <w:ilvl w:val="1"/>
          <w:numId w:val="8"/>
        </w:numPr>
      </w:pPr>
      <w:r w:rsidRPr="00F156D1">
        <w:t xml:space="preserve">Assumptions around the number of patients continuing </w:t>
      </w:r>
      <w:proofErr w:type="spellStart"/>
      <w:r w:rsidRPr="00F156D1">
        <w:t>sitagliptin</w:t>
      </w:r>
      <w:proofErr w:type="spellEnd"/>
      <w:r w:rsidRPr="00F156D1">
        <w:t xml:space="preserve"> in combination with insulin, and adding </w:t>
      </w:r>
      <w:proofErr w:type="spellStart"/>
      <w:r w:rsidRPr="00F156D1">
        <w:t>sitagliptin</w:t>
      </w:r>
      <w:proofErr w:type="spellEnd"/>
      <w:r w:rsidRPr="00F156D1">
        <w:t xml:space="preserve"> or </w:t>
      </w:r>
      <w:proofErr w:type="spellStart"/>
      <w:r w:rsidRPr="00F156D1">
        <w:t>dapagliflozin</w:t>
      </w:r>
      <w:proofErr w:type="spellEnd"/>
      <w:r w:rsidRPr="00F156D1">
        <w:t xml:space="preserve"> to insulin + metformin regimens, resulted in a reduction in the utilisation of </w:t>
      </w:r>
      <w:proofErr w:type="spellStart"/>
      <w:r w:rsidRPr="00F156D1">
        <w:t>sitagliptin</w:t>
      </w:r>
      <w:proofErr w:type="spellEnd"/>
      <w:r w:rsidRPr="00F156D1">
        <w:t xml:space="preserve"> in combination with insulin from Year 1 to Year 5 in the not listed scenario, and from Year 1 to Year 3 in the listed scenario</w:t>
      </w:r>
      <w:r w:rsidRPr="002817F6">
        <w:t>.</w:t>
      </w:r>
      <w:r w:rsidRPr="00F156D1">
        <w:t xml:space="preserve"> A reduction in </w:t>
      </w:r>
      <w:proofErr w:type="spellStart"/>
      <w:r w:rsidRPr="00F156D1">
        <w:t>sitagliptin</w:t>
      </w:r>
      <w:proofErr w:type="spellEnd"/>
      <w:r w:rsidRPr="00F156D1">
        <w:t xml:space="preserve"> utilisation was not reasonable in either scenario. The estimates of financial implications to government were highly uncertain and should not be relied on.</w:t>
      </w:r>
    </w:p>
    <w:p w:rsidR="00576972" w:rsidRDefault="00576972" w:rsidP="00831310">
      <w:pPr>
        <w:widowControl/>
        <w:rPr>
          <w:szCs w:val="22"/>
        </w:rPr>
      </w:pPr>
    </w:p>
    <w:p w:rsidR="00434431" w:rsidRPr="00434431" w:rsidRDefault="00434431" w:rsidP="00831310">
      <w:pPr>
        <w:pStyle w:val="ListParagraph"/>
        <w:widowControl/>
        <w:ind w:left="709"/>
        <w:rPr>
          <w:i/>
          <w:szCs w:val="22"/>
        </w:rPr>
      </w:pPr>
      <w:r w:rsidRPr="00CA4D7B">
        <w:rPr>
          <w:i/>
          <w:szCs w:val="22"/>
        </w:rPr>
        <w:t>For more detail on PBAC’s view, see section 7 “PBAC outcome”</w:t>
      </w:r>
    </w:p>
    <w:p w:rsidR="00434431" w:rsidRDefault="00434431" w:rsidP="00831310">
      <w:pPr>
        <w:widowControl/>
        <w:rPr>
          <w:szCs w:val="22"/>
        </w:rPr>
      </w:pPr>
    </w:p>
    <w:p w:rsidR="00576972" w:rsidRPr="002C2775" w:rsidRDefault="00576972" w:rsidP="00831310">
      <w:pPr>
        <w:pStyle w:val="Heading2"/>
        <w:widowControl/>
        <w:rPr>
          <w:i/>
        </w:rPr>
      </w:pPr>
      <w:bookmarkStart w:id="14" w:name="_Toc419661312"/>
      <w:r w:rsidRPr="002C2775">
        <w:rPr>
          <w:i/>
        </w:rPr>
        <w:t>Quality Use of Medicines</w:t>
      </w:r>
      <w:bookmarkEnd w:id="14"/>
    </w:p>
    <w:p w:rsidR="00576972" w:rsidRPr="00576972" w:rsidRDefault="00576972" w:rsidP="00831310">
      <w:pPr>
        <w:widowControl/>
        <w:rPr>
          <w:szCs w:val="22"/>
        </w:rPr>
      </w:pPr>
    </w:p>
    <w:p w:rsidR="00576972" w:rsidRPr="00545FCD" w:rsidRDefault="00420550" w:rsidP="00831310">
      <w:pPr>
        <w:pStyle w:val="ListParagraph"/>
        <w:widowControl/>
        <w:numPr>
          <w:ilvl w:val="1"/>
          <w:numId w:val="8"/>
        </w:numPr>
        <w:rPr>
          <w:szCs w:val="22"/>
        </w:rPr>
      </w:pPr>
      <w:r>
        <w:t>The sponsor has developed educational materials supporting the appropriate use of diabetes medicines in clinical practice.</w:t>
      </w:r>
    </w:p>
    <w:p w:rsidR="00545FCD" w:rsidRDefault="00545FCD" w:rsidP="00545FCD">
      <w:pPr>
        <w:pStyle w:val="PBACHeading1"/>
        <w:numPr>
          <w:ilvl w:val="0"/>
          <w:numId w:val="0"/>
        </w:numPr>
        <w:ind w:left="720" w:hanging="720"/>
      </w:pPr>
    </w:p>
    <w:p w:rsidR="00545FCD" w:rsidRPr="00E22A0D" w:rsidRDefault="00545FCD" w:rsidP="00545FCD">
      <w:pPr>
        <w:pStyle w:val="PBACHeading1"/>
        <w:numPr>
          <w:ilvl w:val="0"/>
          <w:numId w:val="0"/>
        </w:numPr>
        <w:ind w:left="720" w:hanging="720"/>
      </w:pPr>
    </w:p>
    <w:p w:rsidR="00434431" w:rsidRPr="00CA4D7B" w:rsidRDefault="00434431" w:rsidP="00831310">
      <w:pPr>
        <w:widowControl/>
        <w:numPr>
          <w:ilvl w:val="0"/>
          <w:numId w:val="8"/>
        </w:numPr>
        <w:rPr>
          <w:b/>
          <w:bCs/>
          <w:szCs w:val="22"/>
        </w:rPr>
      </w:pPr>
      <w:r w:rsidRPr="00CA4D7B">
        <w:rPr>
          <w:b/>
          <w:bCs/>
          <w:szCs w:val="22"/>
        </w:rPr>
        <w:t>PBAC Outcome</w:t>
      </w:r>
    </w:p>
    <w:p w:rsidR="00434431" w:rsidRPr="00CA4D7B" w:rsidRDefault="00434431" w:rsidP="00831310">
      <w:pPr>
        <w:widowControl/>
        <w:contextualSpacing/>
        <w:rPr>
          <w:b/>
          <w:bCs/>
          <w:szCs w:val="22"/>
          <w:lang w:val="en-GB"/>
        </w:rPr>
      </w:pPr>
    </w:p>
    <w:p w:rsidR="00CA4D7B" w:rsidRDefault="00CA4D7B" w:rsidP="00831310">
      <w:pPr>
        <w:widowControl/>
        <w:numPr>
          <w:ilvl w:val="1"/>
          <w:numId w:val="8"/>
        </w:numPr>
        <w:contextualSpacing/>
        <w:rPr>
          <w:bCs/>
          <w:szCs w:val="22"/>
          <w:lang w:val="en-GB"/>
        </w:rPr>
      </w:pPr>
      <w:r w:rsidRPr="00CA4D7B">
        <w:rPr>
          <w:bCs/>
          <w:szCs w:val="22"/>
          <w:lang w:val="en-GB"/>
        </w:rPr>
        <w:t>The PBAC</w:t>
      </w:r>
      <w:r>
        <w:rPr>
          <w:bCs/>
          <w:szCs w:val="22"/>
          <w:lang w:val="en-GB"/>
        </w:rPr>
        <w:t xml:space="preserve"> did not</w:t>
      </w:r>
      <w:r w:rsidR="000D7A18">
        <w:rPr>
          <w:bCs/>
          <w:szCs w:val="22"/>
          <w:lang w:val="en-GB"/>
        </w:rPr>
        <w:t xml:space="preserve"> recommend</w:t>
      </w:r>
      <w:r w:rsidRPr="00CA4D7B">
        <w:rPr>
          <w:bCs/>
          <w:szCs w:val="22"/>
          <w:lang w:val="en-GB"/>
        </w:rPr>
        <w:t xml:space="preserve"> </w:t>
      </w:r>
      <w:r w:rsidR="00AB38F4">
        <w:rPr>
          <w:bCs/>
          <w:szCs w:val="22"/>
          <w:lang w:val="en-GB"/>
        </w:rPr>
        <w:t xml:space="preserve">listing </w:t>
      </w:r>
      <w:proofErr w:type="spellStart"/>
      <w:r>
        <w:rPr>
          <w:szCs w:val="22"/>
        </w:rPr>
        <w:t>sitagliptin</w:t>
      </w:r>
      <w:proofErr w:type="spellEnd"/>
      <w:r w:rsidR="00BF4139">
        <w:rPr>
          <w:szCs w:val="22"/>
        </w:rPr>
        <w:t xml:space="preserve">, </w:t>
      </w:r>
      <w:proofErr w:type="spellStart"/>
      <w:r w:rsidR="00BF4139">
        <w:rPr>
          <w:szCs w:val="22"/>
        </w:rPr>
        <w:t>sitagliptin</w:t>
      </w:r>
      <w:r w:rsidR="003F00E8">
        <w:rPr>
          <w:szCs w:val="22"/>
        </w:rPr>
        <w:t>+</w:t>
      </w:r>
      <w:r>
        <w:rPr>
          <w:szCs w:val="22"/>
        </w:rPr>
        <w:t>metformin</w:t>
      </w:r>
      <w:proofErr w:type="spellEnd"/>
      <w:r>
        <w:rPr>
          <w:szCs w:val="22"/>
        </w:rPr>
        <w:t xml:space="preserve"> and </w:t>
      </w:r>
      <w:proofErr w:type="spellStart"/>
      <w:r>
        <w:rPr>
          <w:szCs w:val="22"/>
        </w:rPr>
        <w:t>sitagliptin</w:t>
      </w:r>
      <w:r w:rsidR="003F00E8">
        <w:rPr>
          <w:szCs w:val="22"/>
        </w:rPr>
        <w:t>+</w:t>
      </w:r>
      <w:r>
        <w:rPr>
          <w:szCs w:val="22"/>
        </w:rPr>
        <w:t>metformin</w:t>
      </w:r>
      <w:proofErr w:type="spellEnd"/>
      <w:r>
        <w:rPr>
          <w:szCs w:val="22"/>
        </w:rPr>
        <w:t xml:space="preserve"> XR</w:t>
      </w:r>
      <w:r w:rsidRPr="00CA4D7B">
        <w:rPr>
          <w:bCs/>
          <w:szCs w:val="22"/>
          <w:lang w:val="en-GB"/>
        </w:rPr>
        <w:t xml:space="preserve"> </w:t>
      </w:r>
      <w:r w:rsidR="00471842">
        <w:rPr>
          <w:bCs/>
          <w:szCs w:val="22"/>
          <w:lang w:val="en-GB"/>
        </w:rPr>
        <w:t xml:space="preserve">in combination with insulin </w:t>
      </w:r>
      <w:r>
        <w:rPr>
          <w:bCs/>
          <w:szCs w:val="22"/>
          <w:lang w:val="en-GB"/>
        </w:rPr>
        <w:t xml:space="preserve">for </w:t>
      </w:r>
      <w:r w:rsidR="00B001A8">
        <w:rPr>
          <w:bCs/>
          <w:szCs w:val="22"/>
          <w:lang w:val="en-GB"/>
        </w:rPr>
        <w:t>T2DM</w:t>
      </w:r>
      <w:r w:rsidR="00B65129">
        <w:rPr>
          <w:bCs/>
          <w:szCs w:val="22"/>
          <w:lang w:val="en-GB"/>
        </w:rPr>
        <w:t xml:space="preserve"> on the PBS</w:t>
      </w:r>
      <w:r>
        <w:rPr>
          <w:bCs/>
          <w:szCs w:val="22"/>
          <w:lang w:val="en-GB"/>
        </w:rPr>
        <w:t xml:space="preserve">. In making its recommendation, the </w:t>
      </w:r>
      <w:r w:rsidRPr="00CA4D7B">
        <w:rPr>
          <w:bCs/>
          <w:szCs w:val="22"/>
          <w:lang w:val="en-GB"/>
        </w:rPr>
        <w:t xml:space="preserve">PBAC </w:t>
      </w:r>
      <w:r>
        <w:rPr>
          <w:bCs/>
          <w:szCs w:val="22"/>
          <w:lang w:val="en-GB"/>
        </w:rPr>
        <w:t>considered that the clinical need and place of therapy were not well defined</w:t>
      </w:r>
      <w:r w:rsidR="00D31DED">
        <w:rPr>
          <w:bCs/>
          <w:szCs w:val="22"/>
          <w:lang w:val="en-GB"/>
        </w:rPr>
        <w:t xml:space="preserve"> and </w:t>
      </w:r>
      <w:r>
        <w:rPr>
          <w:bCs/>
          <w:szCs w:val="22"/>
          <w:lang w:val="en-GB"/>
        </w:rPr>
        <w:t>the clinical effectiveness</w:t>
      </w:r>
      <w:r w:rsidR="00B65129">
        <w:rPr>
          <w:bCs/>
          <w:szCs w:val="22"/>
          <w:lang w:val="en-GB"/>
        </w:rPr>
        <w:t xml:space="preserve"> (in terms of reduction in mean daily insulin dose)</w:t>
      </w:r>
      <w:r>
        <w:rPr>
          <w:bCs/>
          <w:szCs w:val="22"/>
          <w:lang w:val="en-GB"/>
        </w:rPr>
        <w:t xml:space="preserve"> was unc</w:t>
      </w:r>
      <w:r w:rsidR="00BC3968">
        <w:rPr>
          <w:bCs/>
          <w:szCs w:val="22"/>
          <w:lang w:val="en-GB"/>
        </w:rPr>
        <w:t>ertain.</w:t>
      </w:r>
    </w:p>
    <w:p w:rsidR="00F52547" w:rsidRPr="001106E3" w:rsidRDefault="00F52547" w:rsidP="00831310">
      <w:pPr>
        <w:widowControl/>
        <w:contextualSpacing/>
        <w:rPr>
          <w:bCs/>
          <w:szCs w:val="22"/>
          <w:lang w:val="en-GB"/>
        </w:rPr>
      </w:pPr>
    </w:p>
    <w:p w:rsidR="00BC3968" w:rsidRDefault="00471842" w:rsidP="00831310">
      <w:pPr>
        <w:widowControl/>
        <w:numPr>
          <w:ilvl w:val="1"/>
          <w:numId w:val="8"/>
        </w:numPr>
        <w:contextualSpacing/>
        <w:rPr>
          <w:bCs/>
          <w:szCs w:val="22"/>
          <w:lang w:val="en-GB"/>
        </w:rPr>
      </w:pPr>
      <w:r>
        <w:rPr>
          <w:bCs/>
          <w:szCs w:val="22"/>
          <w:lang w:val="en-GB"/>
        </w:rPr>
        <w:t>Based on the data provided, t</w:t>
      </w:r>
      <w:r w:rsidR="00F52547">
        <w:rPr>
          <w:bCs/>
          <w:szCs w:val="22"/>
          <w:lang w:val="en-GB"/>
        </w:rPr>
        <w:t xml:space="preserve">he PBAC did not accept that there was a clinical place in therapy for </w:t>
      </w:r>
      <w:proofErr w:type="spellStart"/>
      <w:r w:rsidR="00F52547">
        <w:rPr>
          <w:bCs/>
          <w:szCs w:val="22"/>
          <w:lang w:val="en-GB"/>
        </w:rPr>
        <w:t>sitagliptin</w:t>
      </w:r>
      <w:proofErr w:type="spellEnd"/>
      <w:r w:rsidR="00F52547">
        <w:rPr>
          <w:bCs/>
          <w:szCs w:val="22"/>
          <w:lang w:val="en-GB"/>
        </w:rPr>
        <w:t xml:space="preserve"> in combination with insulin. </w:t>
      </w:r>
      <w:r>
        <w:rPr>
          <w:bCs/>
          <w:szCs w:val="22"/>
          <w:lang w:val="en-GB"/>
        </w:rPr>
        <w:t>In making this decision,</w:t>
      </w:r>
      <w:r w:rsidR="00F52547">
        <w:rPr>
          <w:bCs/>
          <w:szCs w:val="22"/>
          <w:lang w:val="en-GB"/>
        </w:rPr>
        <w:t xml:space="preserve"> the PBAC noted</w:t>
      </w:r>
      <w:r w:rsidR="00F83E2F">
        <w:rPr>
          <w:bCs/>
          <w:szCs w:val="22"/>
          <w:lang w:val="en-GB"/>
        </w:rPr>
        <w:t xml:space="preserve"> that </w:t>
      </w:r>
      <w:r>
        <w:rPr>
          <w:bCs/>
          <w:szCs w:val="22"/>
          <w:lang w:val="en-GB"/>
        </w:rPr>
        <w:t xml:space="preserve">while </w:t>
      </w:r>
      <w:proofErr w:type="spellStart"/>
      <w:r>
        <w:rPr>
          <w:bCs/>
          <w:szCs w:val="22"/>
          <w:lang w:val="en-GB"/>
        </w:rPr>
        <w:t>sitagliptin</w:t>
      </w:r>
      <w:proofErr w:type="spellEnd"/>
      <w:r>
        <w:rPr>
          <w:bCs/>
          <w:szCs w:val="22"/>
          <w:lang w:val="en-GB"/>
        </w:rPr>
        <w:t xml:space="preserve"> </w:t>
      </w:r>
      <w:r w:rsidR="00F52547">
        <w:rPr>
          <w:bCs/>
          <w:szCs w:val="22"/>
          <w:lang w:val="en-GB"/>
        </w:rPr>
        <w:t>res</w:t>
      </w:r>
      <w:r w:rsidR="00F83E2F">
        <w:rPr>
          <w:bCs/>
          <w:szCs w:val="22"/>
          <w:lang w:val="en-GB"/>
        </w:rPr>
        <w:t>ult</w:t>
      </w:r>
      <w:r>
        <w:rPr>
          <w:bCs/>
          <w:szCs w:val="22"/>
          <w:lang w:val="en-GB"/>
        </w:rPr>
        <w:t>ed</w:t>
      </w:r>
      <w:r w:rsidR="00F83E2F">
        <w:rPr>
          <w:bCs/>
          <w:szCs w:val="22"/>
          <w:lang w:val="en-GB"/>
        </w:rPr>
        <w:t xml:space="preserve"> in a small</w:t>
      </w:r>
      <w:r w:rsidR="00D31DED">
        <w:rPr>
          <w:bCs/>
          <w:szCs w:val="22"/>
          <w:lang w:val="en-GB"/>
        </w:rPr>
        <w:t xml:space="preserve"> statistically significant</w:t>
      </w:r>
      <w:r w:rsidR="00F83E2F">
        <w:rPr>
          <w:bCs/>
          <w:szCs w:val="22"/>
          <w:lang w:val="en-GB"/>
        </w:rPr>
        <w:t xml:space="preserve"> decrease in HbA1c, </w:t>
      </w:r>
      <w:r w:rsidR="00EB551E">
        <w:rPr>
          <w:bCs/>
          <w:szCs w:val="22"/>
        </w:rPr>
        <w:t xml:space="preserve">the addition of </w:t>
      </w:r>
      <w:proofErr w:type="spellStart"/>
      <w:r w:rsidR="00EB551E">
        <w:rPr>
          <w:bCs/>
          <w:szCs w:val="22"/>
        </w:rPr>
        <w:t>sitagliptin</w:t>
      </w:r>
      <w:proofErr w:type="spellEnd"/>
      <w:r w:rsidR="00EB551E">
        <w:rPr>
          <w:bCs/>
          <w:szCs w:val="22"/>
        </w:rPr>
        <w:t xml:space="preserve"> to insulin regimens resulted in an increased mean </w:t>
      </w:r>
      <w:r w:rsidR="00EB551E">
        <w:rPr>
          <w:bCs/>
          <w:szCs w:val="22"/>
        </w:rPr>
        <w:lastRenderedPageBreak/>
        <w:t>daily insulin dose</w:t>
      </w:r>
      <w:r w:rsidR="00F52547">
        <w:rPr>
          <w:bCs/>
          <w:szCs w:val="22"/>
          <w:lang w:val="en-GB"/>
        </w:rPr>
        <w:t xml:space="preserve">. </w:t>
      </w:r>
      <w:r w:rsidR="00D96500">
        <w:rPr>
          <w:bCs/>
          <w:szCs w:val="22"/>
          <w:lang w:val="en-GB"/>
        </w:rPr>
        <w:t>T</w:t>
      </w:r>
      <w:r w:rsidR="00A31B56">
        <w:rPr>
          <w:bCs/>
          <w:szCs w:val="22"/>
          <w:lang w:val="en-GB"/>
        </w:rPr>
        <w:t>he PBAC considered that clinicians would be unlikely</w:t>
      </w:r>
      <w:r w:rsidR="00B35630">
        <w:rPr>
          <w:bCs/>
          <w:szCs w:val="22"/>
          <w:lang w:val="en-GB"/>
        </w:rPr>
        <w:t xml:space="preserve"> to prescribe a drug that resulted in increased insulin use</w:t>
      </w:r>
      <w:r w:rsidR="003614DA">
        <w:rPr>
          <w:bCs/>
          <w:szCs w:val="22"/>
          <w:lang w:val="en-GB"/>
        </w:rPr>
        <w:t>.</w:t>
      </w:r>
    </w:p>
    <w:p w:rsidR="00F52547" w:rsidRDefault="00F52547" w:rsidP="00831310">
      <w:pPr>
        <w:widowControl/>
        <w:ind w:left="720"/>
        <w:contextualSpacing/>
        <w:rPr>
          <w:bCs/>
          <w:szCs w:val="22"/>
          <w:lang w:val="en-GB"/>
        </w:rPr>
      </w:pPr>
    </w:p>
    <w:p w:rsidR="00F52547" w:rsidRDefault="00F52547" w:rsidP="00831310">
      <w:pPr>
        <w:widowControl/>
        <w:numPr>
          <w:ilvl w:val="1"/>
          <w:numId w:val="8"/>
        </w:numPr>
        <w:contextualSpacing/>
        <w:rPr>
          <w:bCs/>
          <w:szCs w:val="22"/>
          <w:lang w:val="en-GB"/>
        </w:rPr>
      </w:pPr>
      <w:r>
        <w:rPr>
          <w:bCs/>
          <w:szCs w:val="22"/>
          <w:lang w:val="en-GB"/>
        </w:rPr>
        <w:t xml:space="preserve">The PBAC considered that </w:t>
      </w:r>
      <w:proofErr w:type="spellStart"/>
      <w:r>
        <w:rPr>
          <w:bCs/>
          <w:szCs w:val="22"/>
          <w:lang w:val="en-GB"/>
        </w:rPr>
        <w:t>dapagliflozin</w:t>
      </w:r>
      <w:proofErr w:type="spellEnd"/>
      <w:r>
        <w:rPr>
          <w:bCs/>
          <w:szCs w:val="22"/>
          <w:lang w:val="en-GB"/>
        </w:rPr>
        <w:t xml:space="preserve"> was the appropriate comparator.</w:t>
      </w:r>
      <w:r w:rsidR="00D96500">
        <w:rPr>
          <w:bCs/>
          <w:szCs w:val="22"/>
          <w:lang w:val="en-GB"/>
        </w:rPr>
        <w:t xml:space="preserve"> The PBAC noted that </w:t>
      </w:r>
      <w:proofErr w:type="spellStart"/>
      <w:r w:rsidR="00D96500">
        <w:rPr>
          <w:bCs/>
          <w:szCs w:val="22"/>
          <w:lang w:val="en-GB"/>
        </w:rPr>
        <w:t>exenatide</w:t>
      </w:r>
      <w:proofErr w:type="spellEnd"/>
      <w:r w:rsidR="00D96500">
        <w:rPr>
          <w:bCs/>
          <w:szCs w:val="22"/>
          <w:lang w:val="en-GB"/>
        </w:rPr>
        <w:t xml:space="preserve"> and insulin up-titration would have been appropriate secondary comparators but were not considered in the submission.</w:t>
      </w:r>
    </w:p>
    <w:p w:rsidR="00BF4139" w:rsidRDefault="00BF4139" w:rsidP="00831310">
      <w:pPr>
        <w:pStyle w:val="ListParagraph"/>
        <w:widowControl/>
        <w:rPr>
          <w:bCs/>
          <w:szCs w:val="22"/>
          <w:lang w:val="en-GB"/>
        </w:rPr>
      </w:pPr>
    </w:p>
    <w:p w:rsidR="00BF4139" w:rsidRPr="00BF4139" w:rsidRDefault="00BF4139" w:rsidP="00831310">
      <w:pPr>
        <w:widowControl/>
        <w:numPr>
          <w:ilvl w:val="1"/>
          <w:numId w:val="8"/>
        </w:numPr>
        <w:contextualSpacing/>
        <w:rPr>
          <w:bCs/>
          <w:szCs w:val="22"/>
          <w:lang w:val="en-GB"/>
        </w:rPr>
      </w:pPr>
      <w:r>
        <w:rPr>
          <w:bCs/>
          <w:szCs w:val="22"/>
          <w:lang w:val="en-GB"/>
        </w:rPr>
        <w:t xml:space="preserve">The PBAC recalled that it had recommended </w:t>
      </w:r>
      <w:proofErr w:type="spellStart"/>
      <w:r>
        <w:rPr>
          <w:bCs/>
          <w:szCs w:val="22"/>
          <w:lang w:val="en-GB"/>
        </w:rPr>
        <w:t>dapagliflozin</w:t>
      </w:r>
      <w:proofErr w:type="spellEnd"/>
      <w:r>
        <w:rPr>
          <w:bCs/>
          <w:szCs w:val="22"/>
          <w:lang w:val="en-GB"/>
        </w:rPr>
        <w:t xml:space="preserve"> in combination with insulin for the </w:t>
      </w:r>
      <w:r>
        <w:rPr>
          <w:szCs w:val="22"/>
          <w:lang w:val="en-GB"/>
        </w:rPr>
        <w:t>treatment of T2DM</w:t>
      </w:r>
      <w:r w:rsidRPr="00BF4139">
        <w:rPr>
          <w:szCs w:val="22"/>
          <w:lang w:val="en-GB"/>
        </w:rPr>
        <w:t xml:space="preserve"> </w:t>
      </w:r>
      <w:r>
        <w:rPr>
          <w:szCs w:val="22"/>
          <w:lang w:val="en-GB"/>
        </w:rPr>
        <w:t>at its November 2014 meeting</w:t>
      </w:r>
      <w:r w:rsidRPr="00BF4139">
        <w:rPr>
          <w:szCs w:val="22"/>
          <w:lang w:val="en-GB"/>
        </w:rPr>
        <w:t>. The recommendation was formed on the basis of a cost-minimisation and cost-analysis derived from the costs of insulin up-titration avoided.</w:t>
      </w:r>
      <w:r>
        <w:rPr>
          <w:szCs w:val="22"/>
          <w:lang w:val="en-GB"/>
        </w:rPr>
        <w:t xml:space="preserve"> </w:t>
      </w:r>
    </w:p>
    <w:p w:rsidR="00BF4139" w:rsidRDefault="00BF4139" w:rsidP="00831310">
      <w:pPr>
        <w:pStyle w:val="ListParagraph"/>
        <w:widowControl/>
        <w:rPr>
          <w:szCs w:val="22"/>
          <w:lang w:val="en-GB"/>
        </w:rPr>
      </w:pPr>
    </w:p>
    <w:p w:rsidR="00D61D22" w:rsidRDefault="00D61D22" w:rsidP="00D61D22">
      <w:pPr>
        <w:widowControl/>
        <w:numPr>
          <w:ilvl w:val="1"/>
          <w:numId w:val="8"/>
        </w:numPr>
        <w:contextualSpacing/>
        <w:rPr>
          <w:bCs/>
          <w:szCs w:val="22"/>
          <w:lang w:val="en-GB"/>
        </w:rPr>
      </w:pPr>
      <w:r>
        <w:rPr>
          <w:bCs/>
          <w:szCs w:val="22"/>
          <w:lang w:val="en-GB"/>
        </w:rPr>
        <w:t xml:space="preserve">The PBAC considered that the clinical trials presented in the submission did not provide adequate data to support the clinical claim that </w:t>
      </w:r>
      <w:proofErr w:type="spellStart"/>
      <w:r>
        <w:t>sitagliptin</w:t>
      </w:r>
      <w:proofErr w:type="spellEnd"/>
      <w:r>
        <w:t xml:space="preserve"> is</w:t>
      </w:r>
      <w:r w:rsidRPr="00D13A3E">
        <w:t xml:space="preserve"> </w:t>
      </w:r>
      <w:r>
        <w:t>non-inferior</w:t>
      </w:r>
      <w:r w:rsidRPr="00D13A3E">
        <w:t xml:space="preserve"> in terms of comparative effectiveness</w:t>
      </w:r>
      <w:r>
        <w:t xml:space="preserve"> </w:t>
      </w:r>
      <w:r w:rsidR="000D6239">
        <w:t xml:space="preserve">(as measured by reduction in HbA1c) </w:t>
      </w:r>
      <w:r>
        <w:t>and similar in terms of reduction in mean daily insulin dose</w:t>
      </w:r>
      <w:r w:rsidRPr="00D13A3E">
        <w:t xml:space="preserve"> </w:t>
      </w:r>
      <w:r>
        <w:t>compared to</w:t>
      </w:r>
      <w:r w:rsidRPr="00D13A3E">
        <w:t xml:space="preserve"> </w:t>
      </w:r>
      <w:proofErr w:type="spellStart"/>
      <w:r>
        <w:t>dapagliflozin</w:t>
      </w:r>
      <w:proofErr w:type="spellEnd"/>
      <w:r>
        <w:rPr>
          <w:bCs/>
          <w:szCs w:val="22"/>
          <w:lang w:val="en-GB"/>
        </w:rPr>
        <w:t xml:space="preserve">. </w:t>
      </w:r>
    </w:p>
    <w:p w:rsidR="000D6239" w:rsidRPr="00D61D22" w:rsidRDefault="000D6239" w:rsidP="000D6239">
      <w:pPr>
        <w:pStyle w:val="ListParagraph"/>
        <w:widowControl/>
        <w:numPr>
          <w:ilvl w:val="0"/>
          <w:numId w:val="43"/>
        </w:numPr>
        <w:ind w:left="993" w:hanging="284"/>
        <w:rPr>
          <w:bCs/>
          <w:szCs w:val="22"/>
          <w:lang w:val="en-GB"/>
        </w:rPr>
      </w:pPr>
      <w:r>
        <w:t xml:space="preserve">The PBAC considered that it was not appropriate to include trial P051 in the indirect analysis assessing </w:t>
      </w:r>
      <w:r w:rsidRPr="00F156D1">
        <w:t>change from baseline in HbA1c</w:t>
      </w:r>
      <w:r>
        <w:t xml:space="preserve">, as the insulin dose was unable to be titrated. The PBAC noted this was not consistent with clinical practice. </w:t>
      </w:r>
    </w:p>
    <w:p w:rsidR="00D61D22" w:rsidRPr="00483097" w:rsidRDefault="00D61D22" w:rsidP="00D61D22">
      <w:pPr>
        <w:pStyle w:val="ListParagraph"/>
        <w:widowControl/>
        <w:numPr>
          <w:ilvl w:val="0"/>
          <w:numId w:val="43"/>
        </w:numPr>
        <w:ind w:left="993" w:hanging="284"/>
        <w:rPr>
          <w:bCs/>
          <w:szCs w:val="22"/>
          <w:lang w:val="en-GB"/>
        </w:rPr>
      </w:pPr>
      <w:r w:rsidRPr="00483097">
        <w:rPr>
          <w:bCs/>
          <w:szCs w:val="22"/>
          <w:lang w:val="en-GB"/>
        </w:rPr>
        <w:t xml:space="preserve">The PBAC agreed with </w:t>
      </w:r>
      <w:r w:rsidR="000D6239">
        <w:rPr>
          <w:bCs/>
          <w:szCs w:val="22"/>
          <w:lang w:val="en-GB"/>
        </w:rPr>
        <w:t xml:space="preserve">the </w:t>
      </w:r>
      <w:r w:rsidRPr="00483097">
        <w:rPr>
          <w:bCs/>
          <w:szCs w:val="22"/>
          <w:lang w:val="en-GB"/>
        </w:rPr>
        <w:t xml:space="preserve">ESC that </w:t>
      </w:r>
      <w:r>
        <w:t xml:space="preserve">trials P260 and Wilding 2012 were not comparable </w:t>
      </w:r>
      <w:r w:rsidRPr="00F156D1">
        <w:t>in terms of reduction in mean daily insulin dose</w:t>
      </w:r>
      <w:r>
        <w:t xml:space="preserve"> due to </w:t>
      </w:r>
      <w:r w:rsidRPr="00F156D1">
        <w:t>substantial differences in baseline insulin doses and insulin management re</w:t>
      </w:r>
      <w:r>
        <w:t xml:space="preserve">gimens. </w:t>
      </w:r>
      <w:r>
        <w:rPr>
          <w:szCs w:val="22"/>
          <w:lang w:val="en-GB"/>
        </w:rPr>
        <w:t xml:space="preserve">However, the addition of </w:t>
      </w:r>
      <w:proofErr w:type="spellStart"/>
      <w:r>
        <w:rPr>
          <w:szCs w:val="22"/>
          <w:lang w:val="en-GB"/>
        </w:rPr>
        <w:t>sitagliptin</w:t>
      </w:r>
      <w:proofErr w:type="spellEnd"/>
      <w:r>
        <w:rPr>
          <w:szCs w:val="22"/>
          <w:lang w:val="en-GB"/>
        </w:rPr>
        <w:t xml:space="preserve"> to insulin regimens resulted in an increased mean daily insulin dose while the addition of </w:t>
      </w:r>
      <w:proofErr w:type="spellStart"/>
      <w:r w:rsidRPr="00483097">
        <w:rPr>
          <w:szCs w:val="22"/>
          <w:lang w:val="en-GB"/>
        </w:rPr>
        <w:t>dapagliflozin</w:t>
      </w:r>
      <w:proofErr w:type="spellEnd"/>
      <w:r w:rsidRPr="00483097">
        <w:rPr>
          <w:szCs w:val="22"/>
          <w:lang w:val="en-GB"/>
        </w:rPr>
        <w:t xml:space="preserve"> </w:t>
      </w:r>
      <w:r>
        <w:rPr>
          <w:szCs w:val="22"/>
          <w:lang w:val="en-GB"/>
        </w:rPr>
        <w:t xml:space="preserve">resulted in a reduced mean daily insulin </w:t>
      </w:r>
      <w:r w:rsidRPr="004F1F53">
        <w:rPr>
          <w:szCs w:val="22"/>
          <w:lang w:val="en-GB"/>
        </w:rPr>
        <w:t>dose (see paragraph 6.22).</w:t>
      </w:r>
    </w:p>
    <w:p w:rsidR="00D61D22" w:rsidRPr="00D61D22" w:rsidRDefault="00D61D22" w:rsidP="00D61D22">
      <w:pPr>
        <w:widowControl/>
        <w:ind w:left="709"/>
        <w:rPr>
          <w:bCs/>
          <w:szCs w:val="22"/>
          <w:lang w:val="en-GB"/>
        </w:rPr>
      </w:pPr>
    </w:p>
    <w:p w:rsidR="00BF4139" w:rsidRPr="00483097" w:rsidRDefault="00BF4139" w:rsidP="00831310">
      <w:pPr>
        <w:widowControl/>
        <w:numPr>
          <w:ilvl w:val="1"/>
          <w:numId w:val="8"/>
        </w:numPr>
        <w:contextualSpacing/>
        <w:rPr>
          <w:bCs/>
          <w:szCs w:val="22"/>
          <w:lang w:val="en-GB"/>
        </w:rPr>
      </w:pPr>
      <w:r w:rsidRPr="00483097">
        <w:rPr>
          <w:szCs w:val="22"/>
          <w:lang w:val="en-GB"/>
        </w:rPr>
        <w:t xml:space="preserve">The PBAC did not accept the sponsor’s argument in the </w:t>
      </w:r>
      <w:r w:rsidR="00B65129">
        <w:rPr>
          <w:szCs w:val="22"/>
          <w:lang w:val="en-GB"/>
        </w:rPr>
        <w:t>p</w:t>
      </w:r>
      <w:r w:rsidRPr="00483097">
        <w:rPr>
          <w:szCs w:val="22"/>
          <w:lang w:val="en-GB"/>
        </w:rPr>
        <w:t xml:space="preserve">re-PBAC </w:t>
      </w:r>
      <w:r w:rsidR="00B65129">
        <w:rPr>
          <w:szCs w:val="22"/>
          <w:lang w:val="en-GB"/>
        </w:rPr>
        <w:t>r</w:t>
      </w:r>
      <w:r w:rsidRPr="00483097">
        <w:rPr>
          <w:szCs w:val="22"/>
          <w:lang w:val="en-GB"/>
        </w:rPr>
        <w:t xml:space="preserve">esponse that </w:t>
      </w:r>
      <w:proofErr w:type="spellStart"/>
      <w:r>
        <w:t>sitagliptin</w:t>
      </w:r>
      <w:proofErr w:type="spellEnd"/>
      <w:r>
        <w:t xml:space="preserve"> would result in insulin up-titration avoided of between 26.5IU and 28.2IU (</w:t>
      </w:r>
      <w:r w:rsidRPr="004F1F53">
        <w:t>see paragraph 6.10).</w:t>
      </w:r>
    </w:p>
    <w:p w:rsidR="00CA4D7B" w:rsidRPr="00CA4D7B" w:rsidRDefault="00CA4D7B" w:rsidP="000B0D8D">
      <w:pPr>
        <w:widowControl/>
        <w:contextualSpacing/>
        <w:rPr>
          <w:bCs/>
          <w:szCs w:val="22"/>
          <w:lang w:val="en-GB"/>
        </w:rPr>
      </w:pPr>
    </w:p>
    <w:p w:rsidR="00F72F2C" w:rsidRPr="000D7864" w:rsidRDefault="00F72F2C" w:rsidP="00831310">
      <w:pPr>
        <w:widowControl/>
        <w:numPr>
          <w:ilvl w:val="1"/>
          <w:numId w:val="8"/>
        </w:numPr>
        <w:contextualSpacing/>
        <w:rPr>
          <w:bCs/>
          <w:szCs w:val="22"/>
          <w:lang w:val="en-GB"/>
        </w:rPr>
      </w:pPr>
      <w:r>
        <w:rPr>
          <w:bCs/>
          <w:szCs w:val="22"/>
          <w:lang w:val="en-GB"/>
        </w:rPr>
        <w:t xml:space="preserve">The PBAC </w:t>
      </w:r>
      <w:r w:rsidRPr="007B445E">
        <w:rPr>
          <w:rFonts w:cs="Times New Roman"/>
          <w:szCs w:val="22"/>
          <w:lang w:eastAsia="en-AU"/>
        </w:rPr>
        <w:t xml:space="preserve">considered that </w:t>
      </w:r>
      <w:proofErr w:type="spellStart"/>
      <w:r>
        <w:rPr>
          <w:rFonts w:cs="Times New Roman"/>
          <w:szCs w:val="22"/>
          <w:lang w:eastAsia="en-AU"/>
        </w:rPr>
        <w:t>sitagliptin</w:t>
      </w:r>
      <w:proofErr w:type="spellEnd"/>
      <w:r>
        <w:rPr>
          <w:rFonts w:cs="Times New Roman"/>
          <w:szCs w:val="22"/>
          <w:lang w:eastAsia="en-AU"/>
        </w:rPr>
        <w:t xml:space="preserve"> </w:t>
      </w:r>
      <w:r w:rsidRPr="007B445E">
        <w:rPr>
          <w:rFonts w:cs="Times New Roman"/>
          <w:szCs w:val="22"/>
          <w:lang w:eastAsia="en-AU"/>
        </w:rPr>
        <w:t xml:space="preserve">has a different, but not worse, safety profile than </w:t>
      </w:r>
      <w:proofErr w:type="spellStart"/>
      <w:r>
        <w:rPr>
          <w:rFonts w:cs="Times New Roman"/>
          <w:szCs w:val="22"/>
          <w:lang w:eastAsia="en-AU"/>
        </w:rPr>
        <w:t>dapagliflozin</w:t>
      </w:r>
      <w:proofErr w:type="spellEnd"/>
      <w:r w:rsidRPr="007B445E">
        <w:rPr>
          <w:rFonts w:cs="Times New Roman"/>
          <w:szCs w:val="22"/>
          <w:lang w:eastAsia="en-AU"/>
        </w:rPr>
        <w:t xml:space="preserve"> as measured by the occurrence of adverse events, significant adverse events and discontinuations due to adverse events.</w:t>
      </w:r>
    </w:p>
    <w:p w:rsidR="002E446B" w:rsidRPr="002E446B" w:rsidRDefault="002E446B" w:rsidP="00831310">
      <w:pPr>
        <w:pStyle w:val="ListParagraph"/>
        <w:widowControl/>
      </w:pPr>
    </w:p>
    <w:p w:rsidR="003614DA" w:rsidRDefault="002E446B" w:rsidP="00831310">
      <w:pPr>
        <w:pStyle w:val="ListParagraph"/>
        <w:widowControl/>
        <w:numPr>
          <w:ilvl w:val="1"/>
          <w:numId w:val="8"/>
        </w:numPr>
      </w:pPr>
      <w:r>
        <w:t xml:space="preserve">The PBAC </w:t>
      </w:r>
      <w:r w:rsidR="003614DA">
        <w:t xml:space="preserve">noted that the increased daily insulin dose accompanying </w:t>
      </w:r>
      <w:proofErr w:type="spellStart"/>
      <w:r w:rsidR="003614DA">
        <w:t>sitagliptin</w:t>
      </w:r>
      <w:proofErr w:type="spellEnd"/>
      <w:r w:rsidR="003614DA">
        <w:t xml:space="preserve"> treatment (</w:t>
      </w:r>
      <w:r w:rsidR="003614DA" w:rsidRPr="00F156D1">
        <w:t>+19.0IU/day</w:t>
      </w:r>
      <w:r w:rsidR="003614DA">
        <w:t xml:space="preserve">, compared </w:t>
      </w:r>
      <w:r w:rsidR="00D61D22">
        <w:t xml:space="preserve">with </w:t>
      </w:r>
      <w:r w:rsidR="003614DA" w:rsidRPr="00F156D1">
        <w:t>-1.18IU/day</w:t>
      </w:r>
      <w:r w:rsidR="003614DA">
        <w:t xml:space="preserve"> for </w:t>
      </w:r>
      <w:proofErr w:type="spellStart"/>
      <w:r w:rsidR="003614DA">
        <w:t>dapagliflozin</w:t>
      </w:r>
      <w:proofErr w:type="spellEnd"/>
      <w:r w:rsidR="003614DA">
        <w:t xml:space="preserve">) was not factored into the </w:t>
      </w:r>
      <w:r w:rsidR="000313D7">
        <w:t>cost-minimisation analysis</w:t>
      </w:r>
      <w:r w:rsidR="003614DA">
        <w:t xml:space="preserve">. </w:t>
      </w:r>
      <w:r w:rsidR="00EB551E">
        <w:t xml:space="preserve">If the PBAC </w:t>
      </w:r>
      <w:r w:rsidR="007018A2">
        <w:t xml:space="preserve">accepted </w:t>
      </w:r>
      <w:r w:rsidR="00EB551E">
        <w:t xml:space="preserve">that </w:t>
      </w:r>
      <w:proofErr w:type="spellStart"/>
      <w:r w:rsidR="00EB551E">
        <w:t>sitagliptin</w:t>
      </w:r>
      <w:proofErr w:type="spellEnd"/>
      <w:r w:rsidR="00EB551E">
        <w:t xml:space="preserve"> with insulin and </w:t>
      </w:r>
      <w:proofErr w:type="spellStart"/>
      <w:r w:rsidR="00EB551E">
        <w:t>dapagliflozin</w:t>
      </w:r>
      <w:proofErr w:type="spellEnd"/>
      <w:r w:rsidR="00EB551E">
        <w:t xml:space="preserve"> with insulin were non-inferior in terms of reduction in HbA1c,</w:t>
      </w:r>
      <w:r w:rsidR="007018A2">
        <w:t xml:space="preserve"> the cost of this outcome would be greater for patients on </w:t>
      </w:r>
      <w:proofErr w:type="spellStart"/>
      <w:r w:rsidR="007018A2">
        <w:t>sitagliptin</w:t>
      </w:r>
      <w:proofErr w:type="spellEnd"/>
      <w:r w:rsidR="007018A2">
        <w:t xml:space="preserve"> with insulin given the greater dose of insulin required</w:t>
      </w:r>
      <w:r w:rsidR="000B0D8D">
        <w:t xml:space="preserve">. The PBAC considered that this cost </w:t>
      </w:r>
      <w:r w:rsidR="007018A2">
        <w:t xml:space="preserve">should have been factored into the cost-minimisation analysis. </w:t>
      </w:r>
    </w:p>
    <w:p w:rsidR="00CA4D7B" w:rsidRPr="003C3927" w:rsidRDefault="00CA4D7B" w:rsidP="00831310">
      <w:pPr>
        <w:widowControl/>
        <w:ind w:left="720"/>
        <w:contextualSpacing/>
        <w:rPr>
          <w:bCs/>
          <w:szCs w:val="22"/>
          <w:highlight w:val="yellow"/>
          <w:lang w:val="en-GB"/>
        </w:rPr>
      </w:pPr>
    </w:p>
    <w:p w:rsidR="00CA4D7B" w:rsidRPr="00B001A8" w:rsidRDefault="00CA4D7B" w:rsidP="00831310">
      <w:pPr>
        <w:widowControl/>
        <w:numPr>
          <w:ilvl w:val="1"/>
          <w:numId w:val="8"/>
        </w:numPr>
        <w:contextualSpacing/>
        <w:rPr>
          <w:bCs/>
          <w:szCs w:val="22"/>
          <w:lang w:val="en-GB"/>
        </w:rPr>
      </w:pPr>
      <w:r w:rsidRPr="00B001A8">
        <w:rPr>
          <w:bCs/>
          <w:szCs w:val="22"/>
          <w:lang w:val="en-GB"/>
        </w:rPr>
        <w:t>The PBAC noted that this submission is eligible for an Independent Review.</w:t>
      </w:r>
    </w:p>
    <w:p w:rsidR="00434431" w:rsidRPr="006C307E" w:rsidRDefault="00434431" w:rsidP="00831310">
      <w:pPr>
        <w:widowControl/>
        <w:rPr>
          <w:b/>
          <w:szCs w:val="22"/>
          <w:highlight w:val="yellow"/>
          <w:lang w:val="en-GB"/>
        </w:rPr>
      </w:pPr>
    </w:p>
    <w:p w:rsidR="00434431" w:rsidRPr="006C307E" w:rsidRDefault="00434431" w:rsidP="00831310">
      <w:pPr>
        <w:widowControl/>
        <w:rPr>
          <w:b/>
          <w:bCs/>
          <w:szCs w:val="22"/>
          <w:highlight w:val="yellow"/>
          <w:lang w:val="en-GB"/>
        </w:rPr>
      </w:pPr>
    </w:p>
    <w:p w:rsidR="00434431" w:rsidRPr="00B001A8" w:rsidRDefault="00434431" w:rsidP="00831310">
      <w:pPr>
        <w:widowControl/>
        <w:rPr>
          <w:b/>
          <w:bCs/>
          <w:szCs w:val="22"/>
          <w:lang w:val="en-GB"/>
        </w:rPr>
      </w:pPr>
      <w:r w:rsidRPr="00B001A8">
        <w:rPr>
          <w:b/>
          <w:bCs/>
          <w:szCs w:val="22"/>
          <w:lang w:val="en-GB"/>
        </w:rPr>
        <w:t>Outcome:</w:t>
      </w:r>
    </w:p>
    <w:p w:rsidR="00434431" w:rsidRDefault="00434431" w:rsidP="00044D38">
      <w:pPr>
        <w:widowControl/>
        <w:rPr>
          <w:bCs/>
          <w:szCs w:val="22"/>
          <w:lang w:val="en-GB"/>
        </w:rPr>
      </w:pPr>
      <w:r w:rsidRPr="00B001A8">
        <w:rPr>
          <w:bCs/>
          <w:szCs w:val="22"/>
          <w:lang w:val="en-GB"/>
        </w:rPr>
        <w:t>Rejected</w:t>
      </w:r>
    </w:p>
    <w:p w:rsidR="00FB289B" w:rsidRDefault="00FB289B" w:rsidP="00044D38">
      <w:pPr>
        <w:widowControl/>
        <w:rPr>
          <w:bCs/>
          <w:szCs w:val="22"/>
          <w:lang w:val="en-GB"/>
        </w:rPr>
      </w:pPr>
    </w:p>
    <w:p w:rsidR="00545FCD" w:rsidRDefault="00545FCD" w:rsidP="00044D38">
      <w:pPr>
        <w:widowControl/>
        <w:rPr>
          <w:bCs/>
          <w:szCs w:val="22"/>
          <w:lang w:val="en-GB"/>
        </w:rPr>
      </w:pPr>
    </w:p>
    <w:p w:rsidR="00FB289B" w:rsidRDefault="00FB289B" w:rsidP="00545FCD">
      <w:pPr>
        <w:pStyle w:val="PBACHeading1"/>
        <w:keepNext/>
        <w:rPr>
          <w:lang w:val="en-GB"/>
        </w:rPr>
      </w:pPr>
      <w:r>
        <w:rPr>
          <w:lang w:val="en-GB"/>
        </w:rPr>
        <w:lastRenderedPageBreak/>
        <w:t xml:space="preserve">Context for decision </w:t>
      </w:r>
    </w:p>
    <w:p w:rsidR="00545FCD" w:rsidRDefault="00545FCD" w:rsidP="00545FCD">
      <w:pPr>
        <w:pStyle w:val="PBACHeading1"/>
        <w:keepNext/>
        <w:numPr>
          <w:ilvl w:val="0"/>
          <w:numId w:val="0"/>
        </w:numPr>
        <w:ind w:left="720"/>
        <w:rPr>
          <w:b w:val="0"/>
          <w:lang w:val="en-GB"/>
        </w:rPr>
      </w:pPr>
    </w:p>
    <w:p w:rsidR="00FB289B" w:rsidRDefault="00872F1E" w:rsidP="00FB289B">
      <w:pPr>
        <w:pStyle w:val="PBACHeading1"/>
        <w:numPr>
          <w:ilvl w:val="0"/>
          <w:numId w:val="0"/>
        </w:numPr>
        <w:ind w:left="720"/>
        <w:rPr>
          <w:b w:val="0"/>
          <w:lang w:val="en-GB"/>
        </w:rPr>
      </w:pPr>
      <w:r>
        <w:rPr>
          <w:b w:val="0"/>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72F1E" w:rsidRDefault="00872F1E" w:rsidP="00FB289B">
      <w:pPr>
        <w:pStyle w:val="PBACHeading1"/>
        <w:numPr>
          <w:ilvl w:val="0"/>
          <w:numId w:val="0"/>
        </w:numPr>
        <w:ind w:left="720"/>
        <w:rPr>
          <w:b w:val="0"/>
          <w:lang w:val="en-GB"/>
        </w:rPr>
      </w:pPr>
    </w:p>
    <w:p w:rsidR="00545FCD" w:rsidRDefault="00545FCD" w:rsidP="00FB289B">
      <w:pPr>
        <w:pStyle w:val="PBACHeading1"/>
        <w:numPr>
          <w:ilvl w:val="0"/>
          <w:numId w:val="0"/>
        </w:numPr>
        <w:ind w:left="720"/>
        <w:rPr>
          <w:b w:val="0"/>
          <w:lang w:val="en-GB"/>
        </w:rPr>
      </w:pPr>
    </w:p>
    <w:p w:rsidR="00872F1E" w:rsidRDefault="00872F1E" w:rsidP="00872F1E">
      <w:pPr>
        <w:pStyle w:val="PBACHeading1"/>
        <w:rPr>
          <w:lang w:val="en-GB"/>
        </w:rPr>
      </w:pPr>
      <w:r>
        <w:rPr>
          <w:lang w:val="en-GB"/>
        </w:rPr>
        <w:t>Sponsor’s Comment</w:t>
      </w:r>
    </w:p>
    <w:p w:rsidR="000B6E8A" w:rsidRDefault="000B6E8A" w:rsidP="000B6E8A">
      <w:pPr>
        <w:pStyle w:val="PBACHeading1"/>
        <w:numPr>
          <w:ilvl w:val="0"/>
          <w:numId w:val="0"/>
        </w:numPr>
        <w:ind w:left="720"/>
        <w:rPr>
          <w:lang w:val="en-GB"/>
        </w:rPr>
      </w:pPr>
    </w:p>
    <w:p w:rsidR="000B6E8A" w:rsidRPr="000B6E8A" w:rsidRDefault="000B6E8A" w:rsidP="000B6E8A">
      <w:pPr>
        <w:pStyle w:val="PBACHeading1"/>
        <w:numPr>
          <w:ilvl w:val="0"/>
          <w:numId w:val="0"/>
        </w:numPr>
        <w:ind w:left="720"/>
        <w:rPr>
          <w:b w:val="0"/>
          <w:lang w:val="en-GB"/>
        </w:rPr>
      </w:pPr>
      <w:r>
        <w:rPr>
          <w:b w:val="0"/>
          <w:lang w:val="en-GB"/>
        </w:rPr>
        <w:t>The sponsor had no comment.</w:t>
      </w:r>
    </w:p>
    <w:p w:rsidR="00872F1E" w:rsidRDefault="00872F1E" w:rsidP="00872F1E">
      <w:pPr>
        <w:pStyle w:val="PBACHeading1"/>
        <w:numPr>
          <w:ilvl w:val="0"/>
          <w:numId w:val="0"/>
        </w:numPr>
        <w:ind w:left="720"/>
        <w:rPr>
          <w:b w:val="0"/>
          <w:lang w:val="en-GB"/>
        </w:rPr>
      </w:pPr>
    </w:p>
    <w:p w:rsidR="00872F1E" w:rsidRPr="00872F1E" w:rsidRDefault="00872F1E" w:rsidP="00872F1E">
      <w:pPr>
        <w:pStyle w:val="PBACHeading1"/>
        <w:numPr>
          <w:ilvl w:val="0"/>
          <w:numId w:val="0"/>
        </w:numPr>
        <w:ind w:left="720"/>
        <w:rPr>
          <w:b w:val="0"/>
          <w:lang w:val="en-GB"/>
        </w:rPr>
      </w:pPr>
    </w:p>
    <w:sectPr w:rsidR="00872F1E" w:rsidRPr="00872F1E" w:rsidSect="0089186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A8" w:rsidRDefault="00BC51A8" w:rsidP="00124A51">
      <w:r>
        <w:separator/>
      </w:r>
    </w:p>
  </w:endnote>
  <w:endnote w:type="continuationSeparator" w:id="0">
    <w:p w:rsidR="00BC51A8" w:rsidRDefault="00BC51A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A8" w:rsidRDefault="00BC5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8A" w:rsidRDefault="000B6E8A" w:rsidP="00033A22">
    <w:pPr>
      <w:ind w:right="360"/>
      <w:jc w:val="center"/>
      <w:rPr>
        <w:b/>
        <w:sz w:val="20"/>
      </w:rPr>
    </w:pPr>
  </w:p>
  <w:p w:rsidR="000B6E8A" w:rsidRPr="00434431" w:rsidRDefault="000B6E8A" w:rsidP="00434431">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3B3ED3">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A8" w:rsidRDefault="00BC5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A8" w:rsidRDefault="00BC51A8" w:rsidP="00124A51">
      <w:r>
        <w:separator/>
      </w:r>
    </w:p>
  </w:footnote>
  <w:footnote w:type="continuationSeparator" w:id="0">
    <w:p w:rsidR="00BC51A8" w:rsidRDefault="00BC51A8"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A8" w:rsidRDefault="00BC5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8A" w:rsidRPr="00DF217D" w:rsidRDefault="000B6E8A" w:rsidP="00434431">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0B6E8A" w:rsidRDefault="000B6E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A8" w:rsidRDefault="00BC5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9667B"/>
    <w:multiLevelType w:val="hybridMultilevel"/>
    <w:tmpl w:val="9768F5B6"/>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
    <w:nsid w:val="09604A81"/>
    <w:multiLevelType w:val="hybridMultilevel"/>
    <w:tmpl w:val="ECE492F0"/>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4">
    <w:nsid w:val="09FA5A80"/>
    <w:multiLevelType w:val="hybridMultilevel"/>
    <w:tmpl w:val="14F2CD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C67E5D"/>
    <w:multiLevelType w:val="hybridMultilevel"/>
    <w:tmpl w:val="242650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0A150C"/>
    <w:multiLevelType w:val="hybridMultilevel"/>
    <w:tmpl w:val="21541E02"/>
    <w:lvl w:ilvl="0" w:tplc="F70C0A1C">
      <w:start w:val="1"/>
      <w:numFmt w:val="bullet"/>
      <w:lvlText w:val=""/>
      <w:lvlJc w:val="left"/>
      <w:pPr>
        <w:ind w:left="9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E76D05"/>
    <w:multiLevelType w:val="hybridMultilevel"/>
    <w:tmpl w:val="2E58344C"/>
    <w:lvl w:ilvl="0" w:tplc="DB2E09B8">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1F4C548E"/>
    <w:multiLevelType w:val="multilevel"/>
    <w:tmpl w:val="45C2816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8F4226"/>
    <w:multiLevelType w:val="hybridMultilevel"/>
    <w:tmpl w:val="E03840BE"/>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3">
    <w:nsid w:val="26CC0F31"/>
    <w:multiLevelType w:val="hybridMultilevel"/>
    <w:tmpl w:val="C7664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5">
    <w:nsid w:val="2E327DB7"/>
    <w:multiLevelType w:val="hybridMultilevel"/>
    <w:tmpl w:val="B5D653A2"/>
    <w:lvl w:ilvl="0" w:tplc="6238855A">
      <w:start w:val="1"/>
      <w:numFmt w:val="bullet"/>
      <w:pStyle w:val="Body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470ABA"/>
    <w:multiLevelType w:val="hybridMultilevel"/>
    <w:tmpl w:val="8AB23B6E"/>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7">
    <w:nsid w:val="39F53AB1"/>
    <w:multiLevelType w:val="hybridMultilevel"/>
    <w:tmpl w:val="8CAAC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7C34E2"/>
    <w:multiLevelType w:val="hybridMultilevel"/>
    <w:tmpl w:val="8D4C3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nsid w:val="44E0142A"/>
    <w:multiLevelType w:val="hybridMultilevel"/>
    <w:tmpl w:val="86D4D354"/>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21">
    <w:nsid w:val="4597697A"/>
    <w:multiLevelType w:val="hybridMultilevel"/>
    <w:tmpl w:val="863E9B2A"/>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22">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A1546BB"/>
    <w:multiLevelType w:val="hybridMultilevel"/>
    <w:tmpl w:val="78CED20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nsid w:val="4B97272B"/>
    <w:multiLevelType w:val="multilevel"/>
    <w:tmpl w:val="AB348874"/>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nsid w:val="57FD4F35"/>
    <w:multiLevelType w:val="hybridMultilevel"/>
    <w:tmpl w:val="AE547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CD7781C"/>
    <w:multiLevelType w:val="hybridMultilevel"/>
    <w:tmpl w:val="3BC09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5C33B2"/>
    <w:multiLevelType w:val="hybridMultilevel"/>
    <w:tmpl w:val="EE501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1B93EF5"/>
    <w:multiLevelType w:val="hybridMultilevel"/>
    <w:tmpl w:val="E80C92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64611686"/>
    <w:multiLevelType w:val="hybridMultilevel"/>
    <w:tmpl w:val="664E4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4F25AD4"/>
    <w:multiLevelType w:val="hybridMultilevel"/>
    <w:tmpl w:val="6900C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D03545"/>
    <w:multiLevelType w:val="multilevel"/>
    <w:tmpl w:val="AB348874"/>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00E11C8"/>
    <w:multiLevelType w:val="hybridMultilevel"/>
    <w:tmpl w:val="D152C7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71E9360F"/>
    <w:multiLevelType w:val="hybridMultilevel"/>
    <w:tmpl w:val="24F414F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nsid w:val="77C81115"/>
    <w:multiLevelType w:val="hybridMultilevel"/>
    <w:tmpl w:val="F31AAC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780C3D70"/>
    <w:multiLevelType w:val="hybridMultilevel"/>
    <w:tmpl w:val="5E182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84D033C"/>
    <w:multiLevelType w:val="multilevel"/>
    <w:tmpl w:val="70F85FE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A91592F"/>
    <w:multiLevelType w:val="hybridMultilevel"/>
    <w:tmpl w:val="36D283F6"/>
    <w:lvl w:ilvl="0" w:tplc="F70C0A1C">
      <w:start w:val="1"/>
      <w:numFmt w:val="bullet"/>
      <w:lvlText w:val=""/>
      <w:lvlJc w:val="left"/>
      <w:pPr>
        <w:ind w:left="9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7F3740C8"/>
    <w:multiLevelType w:val="hybridMultilevel"/>
    <w:tmpl w:val="48A40FF4"/>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abstractNumId w:val="29"/>
  </w:num>
  <w:num w:numId="2">
    <w:abstractNumId w:val="19"/>
  </w:num>
  <w:num w:numId="3">
    <w:abstractNumId w:val="14"/>
  </w:num>
  <w:num w:numId="4">
    <w:abstractNumId w:val="7"/>
  </w:num>
  <w:num w:numId="5">
    <w:abstractNumId w:val="41"/>
  </w:num>
  <w:num w:numId="6">
    <w:abstractNumId w:val="18"/>
  </w:num>
  <w:num w:numId="7">
    <w:abstractNumId w:val="1"/>
  </w:num>
  <w:num w:numId="8">
    <w:abstractNumId w:val="39"/>
  </w:num>
  <w:num w:numId="9">
    <w:abstractNumId w:val="42"/>
  </w:num>
  <w:num w:numId="10">
    <w:abstractNumId w:val="15"/>
  </w:num>
  <w:num w:numId="11">
    <w:abstractNumId w:val="27"/>
  </w:num>
  <w:num w:numId="12">
    <w:abstractNumId w:val="28"/>
  </w:num>
  <w:num w:numId="13">
    <w:abstractNumId w:val="4"/>
  </w:num>
  <w:num w:numId="14">
    <w:abstractNumId w:val="33"/>
  </w:num>
  <w:num w:numId="15">
    <w:abstractNumId w:val="13"/>
  </w:num>
  <w:num w:numId="16">
    <w:abstractNumId w:val="36"/>
  </w:num>
  <w:num w:numId="17">
    <w:abstractNumId w:val="34"/>
  </w:num>
  <w:num w:numId="18">
    <w:abstractNumId w:val="38"/>
  </w:num>
  <w:num w:numId="19">
    <w:abstractNumId w:val="30"/>
  </w:num>
  <w:num w:numId="20">
    <w:abstractNumId w:val="24"/>
  </w:num>
  <w:num w:numId="21">
    <w:abstractNumId w:val="32"/>
  </w:num>
  <w:num w:numId="22">
    <w:abstractNumId w:val="9"/>
  </w:num>
  <w:num w:numId="23">
    <w:abstractNumId w:val="21"/>
  </w:num>
  <w:num w:numId="24">
    <w:abstractNumId w:val="23"/>
  </w:num>
  <w:num w:numId="25">
    <w:abstractNumId w:val="16"/>
  </w:num>
  <w:num w:numId="26">
    <w:abstractNumId w:val="8"/>
  </w:num>
  <w:num w:numId="27">
    <w:abstractNumId w:val="40"/>
  </w:num>
  <w:num w:numId="28">
    <w:abstractNumId w:val="35"/>
  </w:num>
  <w:num w:numId="29">
    <w:abstractNumId w:val="3"/>
  </w:num>
  <w:num w:numId="30">
    <w:abstractNumId w:val="20"/>
  </w:num>
  <w:num w:numId="31">
    <w:abstractNumId w:val="12"/>
  </w:num>
  <w:num w:numId="32">
    <w:abstractNumId w:val="2"/>
  </w:num>
  <w:num w:numId="33">
    <w:abstractNumId w:val="22"/>
  </w:num>
  <w:num w:numId="34">
    <w:abstractNumId w:val="17"/>
  </w:num>
  <w:num w:numId="35">
    <w:abstractNumId w:val="6"/>
  </w:num>
  <w:num w:numId="36">
    <w:abstractNumId w:val="26"/>
  </w:num>
  <w:num w:numId="37">
    <w:abstractNumId w:val="25"/>
  </w:num>
  <w:num w:numId="38">
    <w:abstractNumId w:val="5"/>
  </w:num>
  <w:num w:numId="39">
    <w:abstractNumId w:val="0"/>
  </w:num>
  <w:num w:numId="40">
    <w:abstractNumId w:val="11"/>
  </w:num>
  <w:num w:numId="41">
    <w:abstractNumId w:val="10"/>
  </w:num>
  <w:num w:numId="42">
    <w:abstractNumId w:val="37"/>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52"/>
    <w:rsid w:val="00000790"/>
    <w:rsid w:val="0000110B"/>
    <w:rsid w:val="00003499"/>
    <w:rsid w:val="0000684C"/>
    <w:rsid w:val="000074E2"/>
    <w:rsid w:val="000104D6"/>
    <w:rsid w:val="00013247"/>
    <w:rsid w:val="00015886"/>
    <w:rsid w:val="000162EF"/>
    <w:rsid w:val="0002225F"/>
    <w:rsid w:val="00022BCE"/>
    <w:rsid w:val="00023763"/>
    <w:rsid w:val="000279C3"/>
    <w:rsid w:val="000313D7"/>
    <w:rsid w:val="00033414"/>
    <w:rsid w:val="00033A22"/>
    <w:rsid w:val="00035252"/>
    <w:rsid w:val="000358A1"/>
    <w:rsid w:val="00036C27"/>
    <w:rsid w:val="00037216"/>
    <w:rsid w:val="00040895"/>
    <w:rsid w:val="00042CC3"/>
    <w:rsid w:val="00043C37"/>
    <w:rsid w:val="00044913"/>
    <w:rsid w:val="00044989"/>
    <w:rsid w:val="00044D38"/>
    <w:rsid w:val="00044F54"/>
    <w:rsid w:val="000452EC"/>
    <w:rsid w:val="00052BDA"/>
    <w:rsid w:val="000546D7"/>
    <w:rsid w:val="00060CAC"/>
    <w:rsid w:val="0006783E"/>
    <w:rsid w:val="00071248"/>
    <w:rsid w:val="000720B9"/>
    <w:rsid w:val="00073866"/>
    <w:rsid w:val="000811B1"/>
    <w:rsid w:val="000812CA"/>
    <w:rsid w:val="00090588"/>
    <w:rsid w:val="00090C7E"/>
    <w:rsid w:val="00093F66"/>
    <w:rsid w:val="00096E2F"/>
    <w:rsid w:val="000A08AF"/>
    <w:rsid w:val="000A53C5"/>
    <w:rsid w:val="000B0D8D"/>
    <w:rsid w:val="000B194D"/>
    <w:rsid w:val="000B1E1D"/>
    <w:rsid w:val="000B306E"/>
    <w:rsid w:val="000B5955"/>
    <w:rsid w:val="000B6E8A"/>
    <w:rsid w:val="000C0B6C"/>
    <w:rsid w:val="000C2FFF"/>
    <w:rsid w:val="000D1BFC"/>
    <w:rsid w:val="000D6239"/>
    <w:rsid w:val="000D7A18"/>
    <w:rsid w:val="000E47E9"/>
    <w:rsid w:val="000E6ED6"/>
    <w:rsid w:val="000F4BB8"/>
    <w:rsid w:val="000F7127"/>
    <w:rsid w:val="00100F8A"/>
    <w:rsid w:val="0011032E"/>
    <w:rsid w:val="001106E3"/>
    <w:rsid w:val="00111F54"/>
    <w:rsid w:val="0011348B"/>
    <w:rsid w:val="00114B66"/>
    <w:rsid w:val="00115523"/>
    <w:rsid w:val="00121799"/>
    <w:rsid w:val="001222FC"/>
    <w:rsid w:val="00124A51"/>
    <w:rsid w:val="00124BF7"/>
    <w:rsid w:val="00125677"/>
    <w:rsid w:val="00126326"/>
    <w:rsid w:val="00126621"/>
    <w:rsid w:val="00127843"/>
    <w:rsid w:val="001301E9"/>
    <w:rsid w:val="0013242A"/>
    <w:rsid w:val="001337F6"/>
    <w:rsid w:val="00137645"/>
    <w:rsid w:val="0014015A"/>
    <w:rsid w:val="00140E99"/>
    <w:rsid w:val="00145540"/>
    <w:rsid w:val="001456B0"/>
    <w:rsid w:val="00150F0C"/>
    <w:rsid w:val="001550AE"/>
    <w:rsid w:val="00155F26"/>
    <w:rsid w:val="00157130"/>
    <w:rsid w:val="00162913"/>
    <w:rsid w:val="00163EFF"/>
    <w:rsid w:val="001661FB"/>
    <w:rsid w:val="001712F6"/>
    <w:rsid w:val="00175365"/>
    <w:rsid w:val="00176910"/>
    <w:rsid w:val="00177A7C"/>
    <w:rsid w:val="00177DEC"/>
    <w:rsid w:val="00182633"/>
    <w:rsid w:val="00183EF0"/>
    <w:rsid w:val="0018461D"/>
    <w:rsid w:val="001865AF"/>
    <w:rsid w:val="0018752F"/>
    <w:rsid w:val="00194BEF"/>
    <w:rsid w:val="00195222"/>
    <w:rsid w:val="001974D9"/>
    <w:rsid w:val="001975D8"/>
    <w:rsid w:val="001A3305"/>
    <w:rsid w:val="001B3443"/>
    <w:rsid w:val="001B6D10"/>
    <w:rsid w:val="001C3367"/>
    <w:rsid w:val="001C691C"/>
    <w:rsid w:val="001C6E66"/>
    <w:rsid w:val="001C7DA8"/>
    <w:rsid w:val="001D47B5"/>
    <w:rsid w:val="001D7F5A"/>
    <w:rsid w:val="001E238E"/>
    <w:rsid w:val="001E2B1E"/>
    <w:rsid w:val="001E52EB"/>
    <w:rsid w:val="001E6831"/>
    <w:rsid w:val="001E6E34"/>
    <w:rsid w:val="001E740C"/>
    <w:rsid w:val="001F1235"/>
    <w:rsid w:val="001F1CB3"/>
    <w:rsid w:val="001F548E"/>
    <w:rsid w:val="001F5A24"/>
    <w:rsid w:val="001F5AB3"/>
    <w:rsid w:val="001F7361"/>
    <w:rsid w:val="00200746"/>
    <w:rsid w:val="0020385F"/>
    <w:rsid w:val="00207021"/>
    <w:rsid w:val="00207D00"/>
    <w:rsid w:val="002105C1"/>
    <w:rsid w:val="00220478"/>
    <w:rsid w:val="00223B49"/>
    <w:rsid w:val="00224DD4"/>
    <w:rsid w:val="002309A5"/>
    <w:rsid w:val="002309CC"/>
    <w:rsid w:val="002536A5"/>
    <w:rsid w:val="00254DCF"/>
    <w:rsid w:val="0025534B"/>
    <w:rsid w:val="00255BB7"/>
    <w:rsid w:val="00262A87"/>
    <w:rsid w:val="00266B4E"/>
    <w:rsid w:val="002717F0"/>
    <w:rsid w:val="00275C5A"/>
    <w:rsid w:val="0027654E"/>
    <w:rsid w:val="00281014"/>
    <w:rsid w:val="002817F6"/>
    <w:rsid w:val="00282942"/>
    <w:rsid w:val="00286248"/>
    <w:rsid w:val="00290B20"/>
    <w:rsid w:val="00295118"/>
    <w:rsid w:val="00297B8C"/>
    <w:rsid w:val="002A0168"/>
    <w:rsid w:val="002A14AB"/>
    <w:rsid w:val="002B1C1F"/>
    <w:rsid w:val="002B4132"/>
    <w:rsid w:val="002B432F"/>
    <w:rsid w:val="002B6CCE"/>
    <w:rsid w:val="002C2775"/>
    <w:rsid w:val="002C27C1"/>
    <w:rsid w:val="002C540F"/>
    <w:rsid w:val="002C654A"/>
    <w:rsid w:val="002C799B"/>
    <w:rsid w:val="002D0375"/>
    <w:rsid w:val="002D4AED"/>
    <w:rsid w:val="002E1C71"/>
    <w:rsid w:val="002E446B"/>
    <w:rsid w:val="002F4B31"/>
    <w:rsid w:val="002F4EBD"/>
    <w:rsid w:val="002F5F6F"/>
    <w:rsid w:val="002F741B"/>
    <w:rsid w:val="00301017"/>
    <w:rsid w:val="00301704"/>
    <w:rsid w:val="00306F06"/>
    <w:rsid w:val="0030786C"/>
    <w:rsid w:val="0031031A"/>
    <w:rsid w:val="00310981"/>
    <w:rsid w:val="00315498"/>
    <w:rsid w:val="003176C1"/>
    <w:rsid w:val="00317752"/>
    <w:rsid w:val="00322AA9"/>
    <w:rsid w:val="003306A7"/>
    <w:rsid w:val="003366C9"/>
    <w:rsid w:val="003371B0"/>
    <w:rsid w:val="00345E34"/>
    <w:rsid w:val="00346B75"/>
    <w:rsid w:val="00346D97"/>
    <w:rsid w:val="003555AC"/>
    <w:rsid w:val="0035620E"/>
    <w:rsid w:val="00357B64"/>
    <w:rsid w:val="003614DA"/>
    <w:rsid w:val="00371EBB"/>
    <w:rsid w:val="00382959"/>
    <w:rsid w:val="0038365C"/>
    <w:rsid w:val="00387A9A"/>
    <w:rsid w:val="00396FD0"/>
    <w:rsid w:val="003A1A7A"/>
    <w:rsid w:val="003B0AEB"/>
    <w:rsid w:val="003B0F4F"/>
    <w:rsid w:val="003B1007"/>
    <w:rsid w:val="003B3ED3"/>
    <w:rsid w:val="003D13C0"/>
    <w:rsid w:val="003D1828"/>
    <w:rsid w:val="003D2422"/>
    <w:rsid w:val="003D6B34"/>
    <w:rsid w:val="003E654B"/>
    <w:rsid w:val="003F00E8"/>
    <w:rsid w:val="003F0FED"/>
    <w:rsid w:val="003F2549"/>
    <w:rsid w:val="003F4156"/>
    <w:rsid w:val="004005D7"/>
    <w:rsid w:val="00410708"/>
    <w:rsid w:val="00410EC7"/>
    <w:rsid w:val="0041151D"/>
    <w:rsid w:val="00414476"/>
    <w:rsid w:val="00415B73"/>
    <w:rsid w:val="00420550"/>
    <w:rsid w:val="00420B9F"/>
    <w:rsid w:val="00427FA0"/>
    <w:rsid w:val="004319F8"/>
    <w:rsid w:val="00432E38"/>
    <w:rsid w:val="00433044"/>
    <w:rsid w:val="0043401E"/>
    <w:rsid w:val="00434431"/>
    <w:rsid w:val="004376E4"/>
    <w:rsid w:val="004443A7"/>
    <w:rsid w:val="00446313"/>
    <w:rsid w:val="004464EB"/>
    <w:rsid w:val="00447960"/>
    <w:rsid w:val="00455D45"/>
    <w:rsid w:val="004560FD"/>
    <w:rsid w:val="004564D3"/>
    <w:rsid w:val="00457083"/>
    <w:rsid w:val="0046007F"/>
    <w:rsid w:val="00464595"/>
    <w:rsid w:val="0046747F"/>
    <w:rsid w:val="00471842"/>
    <w:rsid w:val="00471E6B"/>
    <w:rsid w:val="00473D52"/>
    <w:rsid w:val="00476105"/>
    <w:rsid w:val="00483097"/>
    <w:rsid w:val="004867E2"/>
    <w:rsid w:val="00491B3A"/>
    <w:rsid w:val="00492CFD"/>
    <w:rsid w:val="004962D2"/>
    <w:rsid w:val="004974A2"/>
    <w:rsid w:val="004A0DA1"/>
    <w:rsid w:val="004A0E4B"/>
    <w:rsid w:val="004A5004"/>
    <w:rsid w:val="004A6597"/>
    <w:rsid w:val="004A720D"/>
    <w:rsid w:val="004B1CB4"/>
    <w:rsid w:val="004B1F3E"/>
    <w:rsid w:val="004B2F18"/>
    <w:rsid w:val="004B3DDB"/>
    <w:rsid w:val="004B44FD"/>
    <w:rsid w:val="004B5CFC"/>
    <w:rsid w:val="004C4AED"/>
    <w:rsid w:val="004D2A04"/>
    <w:rsid w:val="004D447E"/>
    <w:rsid w:val="004D545B"/>
    <w:rsid w:val="004E0EB8"/>
    <w:rsid w:val="004E1C90"/>
    <w:rsid w:val="004E2ADC"/>
    <w:rsid w:val="004E37B0"/>
    <w:rsid w:val="004E43B2"/>
    <w:rsid w:val="004E4E5C"/>
    <w:rsid w:val="004F1D02"/>
    <w:rsid w:val="004F1F53"/>
    <w:rsid w:val="004F200A"/>
    <w:rsid w:val="004F2679"/>
    <w:rsid w:val="004F33A1"/>
    <w:rsid w:val="004F7865"/>
    <w:rsid w:val="00501B46"/>
    <w:rsid w:val="00502242"/>
    <w:rsid w:val="00502317"/>
    <w:rsid w:val="0050399F"/>
    <w:rsid w:val="00506928"/>
    <w:rsid w:val="0051151C"/>
    <w:rsid w:val="005152B5"/>
    <w:rsid w:val="00521319"/>
    <w:rsid w:val="00523C28"/>
    <w:rsid w:val="00523C8A"/>
    <w:rsid w:val="00532479"/>
    <w:rsid w:val="005334A5"/>
    <w:rsid w:val="00536870"/>
    <w:rsid w:val="00545FCD"/>
    <w:rsid w:val="00551C97"/>
    <w:rsid w:val="00552352"/>
    <w:rsid w:val="00552BD3"/>
    <w:rsid w:val="00554AE7"/>
    <w:rsid w:val="00555109"/>
    <w:rsid w:val="0056696F"/>
    <w:rsid w:val="0057541E"/>
    <w:rsid w:val="00575808"/>
    <w:rsid w:val="00575D8D"/>
    <w:rsid w:val="00576972"/>
    <w:rsid w:val="00581D54"/>
    <w:rsid w:val="00582C98"/>
    <w:rsid w:val="00583699"/>
    <w:rsid w:val="005867BE"/>
    <w:rsid w:val="00592297"/>
    <w:rsid w:val="00595876"/>
    <w:rsid w:val="005B3777"/>
    <w:rsid w:val="005B5857"/>
    <w:rsid w:val="005C1848"/>
    <w:rsid w:val="005C1B83"/>
    <w:rsid w:val="005C21C9"/>
    <w:rsid w:val="005C346B"/>
    <w:rsid w:val="005C5ACC"/>
    <w:rsid w:val="005C6798"/>
    <w:rsid w:val="005D044D"/>
    <w:rsid w:val="005D18AD"/>
    <w:rsid w:val="005D1FA4"/>
    <w:rsid w:val="005D641A"/>
    <w:rsid w:val="005D7BC8"/>
    <w:rsid w:val="005E1DA8"/>
    <w:rsid w:val="005E2C61"/>
    <w:rsid w:val="005E335C"/>
    <w:rsid w:val="005E73C0"/>
    <w:rsid w:val="005F129C"/>
    <w:rsid w:val="005F2706"/>
    <w:rsid w:val="005F6159"/>
    <w:rsid w:val="005F6A8F"/>
    <w:rsid w:val="00607669"/>
    <w:rsid w:val="00610DEA"/>
    <w:rsid w:val="0061226A"/>
    <w:rsid w:val="00612F97"/>
    <w:rsid w:val="00616802"/>
    <w:rsid w:val="00617E12"/>
    <w:rsid w:val="00621477"/>
    <w:rsid w:val="006234B8"/>
    <w:rsid w:val="00625AFF"/>
    <w:rsid w:val="00631D6B"/>
    <w:rsid w:val="0063479F"/>
    <w:rsid w:val="006364A1"/>
    <w:rsid w:val="00637868"/>
    <w:rsid w:val="00637BFD"/>
    <w:rsid w:val="006438A1"/>
    <w:rsid w:val="006471CC"/>
    <w:rsid w:val="0065079F"/>
    <w:rsid w:val="00654973"/>
    <w:rsid w:val="00656C00"/>
    <w:rsid w:val="00671F14"/>
    <w:rsid w:val="00674E42"/>
    <w:rsid w:val="00681367"/>
    <w:rsid w:val="00682112"/>
    <w:rsid w:val="006872BA"/>
    <w:rsid w:val="006917D7"/>
    <w:rsid w:val="00692856"/>
    <w:rsid w:val="00694F44"/>
    <w:rsid w:val="00697F39"/>
    <w:rsid w:val="006A0174"/>
    <w:rsid w:val="006B174A"/>
    <w:rsid w:val="006C0EEE"/>
    <w:rsid w:val="006C2524"/>
    <w:rsid w:val="006C2A8E"/>
    <w:rsid w:val="006C344E"/>
    <w:rsid w:val="006C79C9"/>
    <w:rsid w:val="006D3C7D"/>
    <w:rsid w:val="006D5D5F"/>
    <w:rsid w:val="006E3111"/>
    <w:rsid w:val="006F5EAC"/>
    <w:rsid w:val="006F63A5"/>
    <w:rsid w:val="007018A2"/>
    <w:rsid w:val="007020D2"/>
    <w:rsid w:val="00702566"/>
    <w:rsid w:val="0070276E"/>
    <w:rsid w:val="00702F8F"/>
    <w:rsid w:val="00705ADB"/>
    <w:rsid w:val="00707744"/>
    <w:rsid w:val="00710F4C"/>
    <w:rsid w:val="00711A36"/>
    <w:rsid w:val="0071210C"/>
    <w:rsid w:val="00712723"/>
    <w:rsid w:val="00715408"/>
    <w:rsid w:val="007172AD"/>
    <w:rsid w:val="007216D0"/>
    <w:rsid w:val="00722689"/>
    <w:rsid w:val="0072416F"/>
    <w:rsid w:val="00725B05"/>
    <w:rsid w:val="007260EB"/>
    <w:rsid w:val="00735328"/>
    <w:rsid w:val="0073685B"/>
    <w:rsid w:val="007439D7"/>
    <w:rsid w:val="00745194"/>
    <w:rsid w:val="00753B08"/>
    <w:rsid w:val="0075732A"/>
    <w:rsid w:val="00762554"/>
    <w:rsid w:val="00771720"/>
    <w:rsid w:val="00774509"/>
    <w:rsid w:val="007918B8"/>
    <w:rsid w:val="00792E89"/>
    <w:rsid w:val="00794DF2"/>
    <w:rsid w:val="0079670C"/>
    <w:rsid w:val="00797264"/>
    <w:rsid w:val="007A0A12"/>
    <w:rsid w:val="007B251D"/>
    <w:rsid w:val="007B5E13"/>
    <w:rsid w:val="007B6E81"/>
    <w:rsid w:val="007B77D1"/>
    <w:rsid w:val="007B7984"/>
    <w:rsid w:val="007C1222"/>
    <w:rsid w:val="007C361D"/>
    <w:rsid w:val="007D0B38"/>
    <w:rsid w:val="007E1728"/>
    <w:rsid w:val="007E1B69"/>
    <w:rsid w:val="007F1017"/>
    <w:rsid w:val="007F3593"/>
    <w:rsid w:val="007F4A3F"/>
    <w:rsid w:val="007F61D2"/>
    <w:rsid w:val="0080217A"/>
    <w:rsid w:val="00805142"/>
    <w:rsid w:val="00807A8B"/>
    <w:rsid w:val="00812149"/>
    <w:rsid w:val="00813906"/>
    <w:rsid w:val="0081519E"/>
    <w:rsid w:val="008166EF"/>
    <w:rsid w:val="0082013D"/>
    <w:rsid w:val="00825965"/>
    <w:rsid w:val="00825AB4"/>
    <w:rsid w:val="008264EB"/>
    <w:rsid w:val="00831310"/>
    <w:rsid w:val="00833B05"/>
    <w:rsid w:val="00835A90"/>
    <w:rsid w:val="00840CA2"/>
    <w:rsid w:val="008471D0"/>
    <w:rsid w:val="008505B6"/>
    <w:rsid w:val="00854A51"/>
    <w:rsid w:val="00856E9A"/>
    <w:rsid w:val="00856F99"/>
    <w:rsid w:val="00856F9E"/>
    <w:rsid w:val="00861269"/>
    <w:rsid w:val="00862502"/>
    <w:rsid w:val="008706DA"/>
    <w:rsid w:val="00872F1E"/>
    <w:rsid w:val="00880DEC"/>
    <w:rsid w:val="00882874"/>
    <w:rsid w:val="00883787"/>
    <w:rsid w:val="00891867"/>
    <w:rsid w:val="00894489"/>
    <w:rsid w:val="008963A5"/>
    <w:rsid w:val="008A0E6D"/>
    <w:rsid w:val="008A3C3E"/>
    <w:rsid w:val="008A3ED8"/>
    <w:rsid w:val="008A79DE"/>
    <w:rsid w:val="008B0B85"/>
    <w:rsid w:val="008B14B4"/>
    <w:rsid w:val="008B4320"/>
    <w:rsid w:val="008B6C06"/>
    <w:rsid w:val="008B7D7E"/>
    <w:rsid w:val="008C004C"/>
    <w:rsid w:val="008C7ECB"/>
    <w:rsid w:val="008D42C7"/>
    <w:rsid w:val="008E1B9E"/>
    <w:rsid w:val="008E5B60"/>
    <w:rsid w:val="008F120A"/>
    <w:rsid w:val="008F14BE"/>
    <w:rsid w:val="008F1821"/>
    <w:rsid w:val="008F1D18"/>
    <w:rsid w:val="008F48EB"/>
    <w:rsid w:val="008F4F0B"/>
    <w:rsid w:val="008F537D"/>
    <w:rsid w:val="009028DB"/>
    <w:rsid w:val="009062A5"/>
    <w:rsid w:val="00911272"/>
    <w:rsid w:val="0091234D"/>
    <w:rsid w:val="00912E03"/>
    <w:rsid w:val="00915353"/>
    <w:rsid w:val="00916C9D"/>
    <w:rsid w:val="00920B87"/>
    <w:rsid w:val="00925124"/>
    <w:rsid w:val="00926D1A"/>
    <w:rsid w:val="00935454"/>
    <w:rsid w:val="009365C0"/>
    <w:rsid w:val="009422BF"/>
    <w:rsid w:val="00950970"/>
    <w:rsid w:val="0095768E"/>
    <w:rsid w:val="00962CB9"/>
    <w:rsid w:val="00964312"/>
    <w:rsid w:val="0096475B"/>
    <w:rsid w:val="00973543"/>
    <w:rsid w:val="00975852"/>
    <w:rsid w:val="00983E57"/>
    <w:rsid w:val="00986633"/>
    <w:rsid w:val="00996924"/>
    <w:rsid w:val="00996B1A"/>
    <w:rsid w:val="009A4AE2"/>
    <w:rsid w:val="009A7894"/>
    <w:rsid w:val="009B1523"/>
    <w:rsid w:val="009B2856"/>
    <w:rsid w:val="009B3A8A"/>
    <w:rsid w:val="009B3B45"/>
    <w:rsid w:val="009B3E26"/>
    <w:rsid w:val="009B5971"/>
    <w:rsid w:val="009C3DEB"/>
    <w:rsid w:val="009D36DF"/>
    <w:rsid w:val="009D4A10"/>
    <w:rsid w:val="009D5B91"/>
    <w:rsid w:val="009E3182"/>
    <w:rsid w:val="009E4C07"/>
    <w:rsid w:val="009E5623"/>
    <w:rsid w:val="009E62CF"/>
    <w:rsid w:val="009E6981"/>
    <w:rsid w:val="009E7AF9"/>
    <w:rsid w:val="009F3141"/>
    <w:rsid w:val="00A03D43"/>
    <w:rsid w:val="00A04380"/>
    <w:rsid w:val="00A13948"/>
    <w:rsid w:val="00A141BE"/>
    <w:rsid w:val="00A15326"/>
    <w:rsid w:val="00A16A41"/>
    <w:rsid w:val="00A26589"/>
    <w:rsid w:val="00A2775F"/>
    <w:rsid w:val="00A27AEC"/>
    <w:rsid w:val="00A27BC5"/>
    <w:rsid w:val="00A31B56"/>
    <w:rsid w:val="00A35D16"/>
    <w:rsid w:val="00A42C92"/>
    <w:rsid w:val="00A43C59"/>
    <w:rsid w:val="00A45A1C"/>
    <w:rsid w:val="00A46E77"/>
    <w:rsid w:val="00A50808"/>
    <w:rsid w:val="00A50ECD"/>
    <w:rsid w:val="00A52729"/>
    <w:rsid w:val="00A52F38"/>
    <w:rsid w:val="00A53675"/>
    <w:rsid w:val="00A56B6A"/>
    <w:rsid w:val="00A578DC"/>
    <w:rsid w:val="00A6725B"/>
    <w:rsid w:val="00A744F5"/>
    <w:rsid w:val="00A76BC8"/>
    <w:rsid w:val="00A83614"/>
    <w:rsid w:val="00A83E05"/>
    <w:rsid w:val="00A86E8B"/>
    <w:rsid w:val="00A877F1"/>
    <w:rsid w:val="00A93072"/>
    <w:rsid w:val="00A959D8"/>
    <w:rsid w:val="00A96E7E"/>
    <w:rsid w:val="00AA726C"/>
    <w:rsid w:val="00AB042A"/>
    <w:rsid w:val="00AB2D34"/>
    <w:rsid w:val="00AB3430"/>
    <w:rsid w:val="00AB38F4"/>
    <w:rsid w:val="00AB4062"/>
    <w:rsid w:val="00AB7CFA"/>
    <w:rsid w:val="00AB7D8A"/>
    <w:rsid w:val="00AB7EDA"/>
    <w:rsid w:val="00AE1F37"/>
    <w:rsid w:val="00AE4BC6"/>
    <w:rsid w:val="00AF30B7"/>
    <w:rsid w:val="00AF3D67"/>
    <w:rsid w:val="00AF46E5"/>
    <w:rsid w:val="00B001A8"/>
    <w:rsid w:val="00B05B1A"/>
    <w:rsid w:val="00B10003"/>
    <w:rsid w:val="00B10CAD"/>
    <w:rsid w:val="00B155CA"/>
    <w:rsid w:val="00B156D8"/>
    <w:rsid w:val="00B156E4"/>
    <w:rsid w:val="00B15D4A"/>
    <w:rsid w:val="00B174DB"/>
    <w:rsid w:val="00B20308"/>
    <w:rsid w:val="00B2437C"/>
    <w:rsid w:val="00B25983"/>
    <w:rsid w:val="00B35630"/>
    <w:rsid w:val="00B365FD"/>
    <w:rsid w:val="00B367BE"/>
    <w:rsid w:val="00B42851"/>
    <w:rsid w:val="00B43580"/>
    <w:rsid w:val="00B50DB8"/>
    <w:rsid w:val="00B51F65"/>
    <w:rsid w:val="00B522CD"/>
    <w:rsid w:val="00B53905"/>
    <w:rsid w:val="00B54B5B"/>
    <w:rsid w:val="00B5562E"/>
    <w:rsid w:val="00B57000"/>
    <w:rsid w:val="00B60939"/>
    <w:rsid w:val="00B60AFD"/>
    <w:rsid w:val="00B62715"/>
    <w:rsid w:val="00B65129"/>
    <w:rsid w:val="00B65157"/>
    <w:rsid w:val="00B65B6B"/>
    <w:rsid w:val="00B678EF"/>
    <w:rsid w:val="00B75DCB"/>
    <w:rsid w:val="00B818A4"/>
    <w:rsid w:val="00B81E3A"/>
    <w:rsid w:val="00B8649C"/>
    <w:rsid w:val="00B916B9"/>
    <w:rsid w:val="00B92D0B"/>
    <w:rsid w:val="00B94945"/>
    <w:rsid w:val="00B96E2A"/>
    <w:rsid w:val="00BB7405"/>
    <w:rsid w:val="00BC2972"/>
    <w:rsid w:val="00BC3968"/>
    <w:rsid w:val="00BC51A8"/>
    <w:rsid w:val="00BC65CF"/>
    <w:rsid w:val="00BD2956"/>
    <w:rsid w:val="00BD2F90"/>
    <w:rsid w:val="00BD68FC"/>
    <w:rsid w:val="00BD6CF3"/>
    <w:rsid w:val="00BE2001"/>
    <w:rsid w:val="00BE2180"/>
    <w:rsid w:val="00BE4275"/>
    <w:rsid w:val="00BE4EB6"/>
    <w:rsid w:val="00BE5FDC"/>
    <w:rsid w:val="00BF2433"/>
    <w:rsid w:val="00BF3FB0"/>
    <w:rsid w:val="00BF4139"/>
    <w:rsid w:val="00BF61C9"/>
    <w:rsid w:val="00C052B2"/>
    <w:rsid w:val="00C133A0"/>
    <w:rsid w:val="00C13A51"/>
    <w:rsid w:val="00C17AE8"/>
    <w:rsid w:val="00C25418"/>
    <w:rsid w:val="00C25747"/>
    <w:rsid w:val="00C25D9C"/>
    <w:rsid w:val="00C26221"/>
    <w:rsid w:val="00C26BFD"/>
    <w:rsid w:val="00C31649"/>
    <w:rsid w:val="00C353C1"/>
    <w:rsid w:val="00C35AC0"/>
    <w:rsid w:val="00C35F94"/>
    <w:rsid w:val="00C40385"/>
    <w:rsid w:val="00C44A12"/>
    <w:rsid w:val="00C4537B"/>
    <w:rsid w:val="00C45700"/>
    <w:rsid w:val="00C5588F"/>
    <w:rsid w:val="00C56F3E"/>
    <w:rsid w:val="00C603C5"/>
    <w:rsid w:val="00C65576"/>
    <w:rsid w:val="00C66165"/>
    <w:rsid w:val="00C70E86"/>
    <w:rsid w:val="00C7356D"/>
    <w:rsid w:val="00C74569"/>
    <w:rsid w:val="00C750C8"/>
    <w:rsid w:val="00C77ACA"/>
    <w:rsid w:val="00C8213F"/>
    <w:rsid w:val="00C83414"/>
    <w:rsid w:val="00C8797A"/>
    <w:rsid w:val="00C938CF"/>
    <w:rsid w:val="00CA1B3A"/>
    <w:rsid w:val="00CA4D7B"/>
    <w:rsid w:val="00CA5245"/>
    <w:rsid w:val="00CA6403"/>
    <w:rsid w:val="00CA7B09"/>
    <w:rsid w:val="00CB5B1A"/>
    <w:rsid w:val="00CB5EB0"/>
    <w:rsid w:val="00CB6AE8"/>
    <w:rsid w:val="00CC05CD"/>
    <w:rsid w:val="00CC4E39"/>
    <w:rsid w:val="00CD17C4"/>
    <w:rsid w:val="00CD5DAC"/>
    <w:rsid w:val="00CD6ADC"/>
    <w:rsid w:val="00CE5F63"/>
    <w:rsid w:val="00CE6274"/>
    <w:rsid w:val="00CE6CBE"/>
    <w:rsid w:val="00CE7D77"/>
    <w:rsid w:val="00CF456B"/>
    <w:rsid w:val="00CF5A22"/>
    <w:rsid w:val="00D0262E"/>
    <w:rsid w:val="00D06E74"/>
    <w:rsid w:val="00D110BD"/>
    <w:rsid w:val="00D15DED"/>
    <w:rsid w:val="00D17D6C"/>
    <w:rsid w:val="00D233B8"/>
    <w:rsid w:val="00D31DED"/>
    <w:rsid w:val="00D32F15"/>
    <w:rsid w:val="00D32F94"/>
    <w:rsid w:val="00D357FF"/>
    <w:rsid w:val="00D41359"/>
    <w:rsid w:val="00D4260D"/>
    <w:rsid w:val="00D50B70"/>
    <w:rsid w:val="00D56936"/>
    <w:rsid w:val="00D61D22"/>
    <w:rsid w:val="00D654AD"/>
    <w:rsid w:val="00D6693B"/>
    <w:rsid w:val="00D66A6B"/>
    <w:rsid w:val="00D761F6"/>
    <w:rsid w:val="00D76A44"/>
    <w:rsid w:val="00D809F0"/>
    <w:rsid w:val="00D82229"/>
    <w:rsid w:val="00D8228C"/>
    <w:rsid w:val="00D8520F"/>
    <w:rsid w:val="00D85935"/>
    <w:rsid w:val="00D86479"/>
    <w:rsid w:val="00D91441"/>
    <w:rsid w:val="00D93753"/>
    <w:rsid w:val="00D96500"/>
    <w:rsid w:val="00DA45D2"/>
    <w:rsid w:val="00DA77A5"/>
    <w:rsid w:val="00DB094C"/>
    <w:rsid w:val="00DB2132"/>
    <w:rsid w:val="00DB3F72"/>
    <w:rsid w:val="00DC07C1"/>
    <w:rsid w:val="00DC1F7D"/>
    <w:rsid w:val="00DC233F"/>
    <w:rsid w:val="00DC5501"/>
    <w:rsid w:val="00DD1A33"/>
    <w:rsid w:val="00DD3F28"/>
    <w:rsid w:val="00DD4537"/>
    <w:rsid w:val="00DD4E15"/>
    <w:rsid w:val="00DE29B1"/>
    <w:rsid w:val="00DE45BD"/>
    <w:rsid w:val="00DE4FCB"/>
    <w:rsid w:val="00DF1176"/>
    <w:rsid w:val="00DF566F"/>
    <w:rsid w:val="00DF5D2B"/>
    <w:rsid w:val="00DF6877"/>
    <w:rsid w:val="00E00197"/>
    <w:rsid w:val="00E07765"/>
    <w:rsid w:val="00E10149"/>
    <w:rsid w:val="00E10B5F"/>
    <w:rsid w:val="00E130A7"/>
    <w:rsid w:val="00E16372"/>
    <w:rsid w:val="00E16FFA"/>
    <w:rsid w:val="00E20ED6"/>
    <w:rsid w:val="00E21358"/>
    <w:rsid w:val="00E2249B"/>
    <w:rsid w:val="00E22A0D"/>
    <w:rsid w:val="00E2771E"/>
    <w:rsid w:val="00E30DDF"/>
    <w:rsid w:val="00E3159A"/>
    <w:rsid w:val="00E34066"/>
    <w:rsid w:val="00E37569"/>
    <w:rsid w:val="00E41E30"/>
    <w:rsid w:val="00E43D70"/>
    <w:rsid w:val="00E4688A"/>
    <w:rsid w:val="00E47B02"/>
    <w:rsid w:val="00E47B2C"/>
    <w:rsid w:val="00E51140"/>
    <w:rsid w:val="00E51560"/>
    <w:rsid w:val="00E53911"/>
    <w:rsid w:val="00E543B0"/>
    <w:rsid w:val="00E55424"/>
    <w:rsid w:val="00E55BB5"/>
    <w:rsid w:val="00E63583"/>
    <w:rsid w:val="00E6566C"/>
    <w:rsid w:val="00E65E79"/>
    <w:rsid w:val="00E67416"/>
    <w:rsid w:val="00E718B6"/>
    <w:rsid w:val="00E73581"/>
    <w:rsid w:val="00E754F8"/>
    <w:rsid w:val="00E770A6"/>
    <w:rsid w:val="00E80871"/>
    <w:rsid w:val="00E83BDF"/>
    <w:rsid w:val="00E83C7D"/>
    <w:rsid w:val="00E91108"/>
    <w:rsid w:val="00E91B6B"/>
    <w:rsid w:val="00E93656"/>
    <w:rsid w:val="00EA3864"/>
    <w:rsid w:val="00EB15B6"/>
    <w:rsid w:val="00EB1DCA"/>
    <w:rsid w:val="00EB48CF"/>
    <w:rsid w:val="00EB4916"/>
    <w:rsid w:val="00EB551E"/>
    <w:rsid w:val="00EB7981"/>
    <w:rsid w:val="00EC0079"/>
    <w:rsid w:val="00EC00C9"/>
    <w:rsid w:val="00EC557B"/>
    <w:rsid w:val="00EC633D"/>
    <w:rsid w:val="00EE07D3"/>
    <w:rsid w:val="00EE69D9"/>
    <w:rsid w:val="00EF2ED1"/>
    <w:rsid w:val="00EF4622"/>
    <w:rsid w:val="00F00094"/>
    <w:rsid w:val="00F02741"/>
    <w:rsid w:val="00F03DC9"/>
    <w:rsid w:val="00F067A2"/>
    <w:rsid w:val="00F13713"/>
    <w:rsid w:val="00F14139"/>
    <w:rsid w:val="00F14DB7"/>
    <w:rsid w:val="00F156D1"/>
    <w:rsid w:val="00F161A0"/>
    <w:rsid w:val="00F22681"/>
    <w:rsid w:val="00F24837"/>
    <w:rsid w:val="00F2575F"/>
    <w:rsid w:val="00F33DE9"/>
    <w:rsid w:val="00F3619A"/>
    <w:rsid w:val="00F367ED"/>
    <w:rsid w:val="00F41361"/>
    <w:rsid w:val="00F46CB6"/>
    <w:rsid w:val="00F51626"/>
    <w:rsid w:val="00F52547"/>
    <w:rsid w:val="00F55E73"/>
    <w:rsid w:val="00F60092"/>
    <w:rsid w:val="00F66C65"/>
    <w:rsid w:val="00F72F2C"/>
    <w:rsid w:val="00F7793B"/>
    <w:rsid w:val="00F80E5D"/>
    <w:rsid w:val="00F83E2F"/>
    <w:rsid w:val="00F851CE"/>
    <w:rsid w:val="00F901D9"/>
    <w:rsid w:val="00F97A78"/>
    <w:rsid w:val="00FA24E7"/>
    <w:rsid w:val="00FA482C"/>
    <w:rsid w:val="00FA4A75"/>
    <w:rsid w:val="00FB114D"/>
    <w:rsid w:val="00FB2587"/>
    <w:rsid w:val="00FB289B"/>
    <w:rsid w:val="00FB2FCB"/>
    <w:rsid w:val="00FB6C81"/>
    <w:rsid w:val="00FC1074"/>
    <w:rsid w:val="00FC1884"/>
    <w:rsid w:val="00FC4FCA"/>
    <w:rsid w:val="00FC718C"/>
    <w:rsid w:val="00FC7BC0"/>
    <w:rsid w:val="00FD2100"/>
    <w:rsid w:val="00FD26AE"/>
    <w:rsid w:val="00FD446D"/>
    <w:rsid w:val="00FD5703"/>
    <w:rsid w:val="00FE51E9"/>
    <w:rsid w:val="00FF3DCF"/>
    <w:rsid w:val="00FF4A9C"/>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Char,Caption Char1, Char,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8"/>
      </w:numPr>
    </w:pPr>
    <w:rPr>
      <w:rFonts w:ascii="Arial" w:hAnsi="Arial" w:cs="Arial"/>
      <w:b/>
      <w:snapToGrid w:val="0"/>
      <w:sz w:val="22"/>
      <w:szCs w:val="22"/>
      <w:lang w:eastAsia="en-US"/>
    </w:rPr>
  </w:style>
  <w:style w:type="paragraph" w:customStyle="1" w:styleId="TableText1">
    <w:name w:val="Table Text"/>
    <w:basedOn w:val="Normal"/>
    <w:link w:val="TableTextChar1"/>
    <w:qFormat/>
    <w:rsid w:val="00745194"/>
    <w:pPr>
      <w:widowControl/>
      <w:jc w:val="left"/>
    </w:pPr>
    <w:rPr>
      <w:rFonts w:eastAsia="SimSun" w:cs="Times New Roman"/>
      <w:snapToGrid/>
      <w:sz w:val="20"/>
      <w:lang w:eastAsia="zh-CN"/>
    </w:rPr>
  </w:style>
  <w:style w:type="character" w:customStyle="1" w:styleId="TableTextChar1">
    <w:name w:val="Table Text Char"/>
    <w:link w:val="TableText1"/>
    <w:rsid w:val="00745194"/>
    <w:rPr>
      <w:rFonts w:ascii="Arial" w:eastAsia="SimSun" w:hAnsi="Arial"/>
      <w:lang w:eastAsia="zh-CN"/>
    </w:rPr>
  </w:style>
  <w:style w:type="character" w:customStyle="1" w:styleId="ListParagraphChar">
    <w:name w:val="List Paragraph Char"/>
    <w:link w:val="ListParagraph"/>
    <w:uiPriority w:val="72"/>
    <w:rsid w:val="00671F14"/>
    <w:rPr>
      <w:rFonts w:ascii="Arial" w:hAnsi="Arial" w:cs="Arial"/>
      <w:snapToGrid w:val="0"/>
      <w:sz w:val="22"/>
      <w:lang w:eastAsia="en-US"/>
    </w:rPr>
  </w:style>
  <w:style w:type="paragraph" w:customStyle="1" w:styleId="COMtbl-HEADLeftAligned">
    <w:name w:val="COMtbl-HEAD Left Aligned"/>
    <w:basedOn w:val="Normal"/>
    <w:qFormat/>
    <w:rsid w:val="00671F14"/>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671F14"/>
    <w:pPr>
      <w:jc w:val="center"/>
    </w:pPr>
  </w:style>
  <w:style w:type="paragraph" w:customStyle="1" w:styleId="COMTbl-cap">
    <w:name w:val="COMTbl-cap"/>
    <w:basedOn w:val="Normal"/>
    <w:link w:val="COMTbl-capChar"/>
    <w:qFormat/>
    <w:rsid w:val="00671F14"/>
    <w:pPr>
      <w:keepNext/>
    </w:pPr>
    <w:rPr>
      <w:rFonts w:ascii="Arial Narrow" w:hAnsi="Arial Narrow"/>
      <w:b/>
      <w:sz w:val="20"/>
    </w:rPr>
  </w:style>
  <w:style w:type="character" w:customStyle="1" w:styleId="COMTbl-capChar">
    <w:name w:val="COMTbl-cap Char"/>
    <w:basedOn w:val="DefaultParagraphFont"/>
    <w:link w:val="COMTbl-cap"/>
    <w:rsid w:val="00671F14"/>
    <w:rPr>
      <w:rFonts w:ascii="Arial Narrow" w:hAnsi="Arial Narrow" w:cs="Arial"/>
      <w:b/>
      <w:snapToGrid w:val="0"/>
      <w:lang w:eastAsia="en-US"/>
    </w:rPr>
  </w:style>
  <w:style w:type="character" w:customStyle="1" w:styleId="TableFooterChar">
    <w:name w:val="Table Footer Char"/>
    <w:link w:val="TableFooter"/>
    <w:rsid w:val="00671F14"/>
    <w:rPr>
      <w:rFonts w:ascii="Arial Narrow" w:hAnsi="Arial Narrow" w:cs="Arial"/>
      <w:snapToGrid w:val="0"/>
      <w:sz w:val="18"/>
      <w:lang w:eastAsia="en-US"/>
    </w:rPr>
  </w:style>
  <w:style w:type="paragraph" w:styleId="FootnoteText">
    <w:name w:val="footnote text"/>
    <w:basedOn w:val="Normal"/>
    <w:link w:val="FootnoteTextChar"/>
    <w:semiHidden/>
    <w:unhideWhenUsed/>
    <w:rsid w:val="00036C27"/>
    <w:rPr>
      <w:sz w:val="20"/>
    </w:rPr>
  </w:style>
  <w:style w:type="character" w:customStyle="1" w:styleId="FootnoteTextChar">
    <w:name w:val="Footnote Text Char"/>
    <w:basedOn w:val="DefaultParagraphFont"/>
    <w:link w:val="FootnoteText"/>
    <w:semiHidden/>
    <w:rsid w:val="00036C27"/>
    <w:rPr>
      <w:rFonts w:ascii="Arial" w:hAnsi="Arial" w:cs="Arial"/>
      <w:snapToGrid w:val="0"/>
      <w:lang w:eastAsia="en-US"/>
    </w:rPr>
  </w:style>
  <w:style w:type="character" w:styleId="FootnoteReference">
    <w:name w:val="footnote reference"/>
    <w:rsid w:val="00036C27"/>
    <w:rPr>
      <w:vertAlign w:val="superscript"/>
    </w:rPr>
  </w:style>
  <w:style w:type="paragraph" w:customStyle="1" w:styleId="Bulletedbodytext">
    <w:name w:val="Bulleted body text"/>
    <w:basedOn w:val="BodyText"/>
    <w:link w:val="BulletedbodytextChar"/>
    <w:uiPriority w:val="99"/>
    <w:qFormat/>
    <w:rsid w:val="00036C27"/>
    <w:pPr>
      <w:widowControl/>
      <w:spacing w:after="120" w:line="360" w:lineRule="auto"/>
      <w:ind w:left="470" w:hanging="357"/>
    </w:pPr>
    <w:rPr>
      <w:snapToGrid/>
      <w:sz w:val="20"/>
      <w:szCs w:val="24"/>
      <w:lang w:val="en-US"/>
    </w:rPr>
  </w:style>
  <w:style w:type="character" w:customStyle="1" w:styleId="BulletedbodytextChar">
    <w:name w:val="Bulleted body text Char"/>
    <w:link w:val="Bulletedbodytext"/>
    <w:uiPriority w:val="99"/>
    <w:rsid w:val="00036C27"/>
    <w:rPr>
      <w:rFonts w:ascii="Arial" w:hAnsi="Arial" w:cs="Arial"/>
      <w:szCs w:val="24"/>
      <w:lang w:val="en-US" w:eastAsia="en-US"/>
    </w:rPr>
  </w:style>
  <w:style w:type="character" w:customStyle="1" w:styleId="Bodytext3Char0">
    <w:name w:val="Body text 3 Char"/>
    <w:link w:val="BodyText31"/>
    <w:rsid w:val="00036C27"/>
    <w:rPr>
      <w:rFonts w:ascii="Arial" w:hAnsi="Arial"/>
      <w:i/>
      <w:szCs w:val="28"/>
      <w:lang w:val="en-US" w:eastAsia="en-US"/>
    </w:rPr>
  </w:style>
  <w:style w:type="paragraph" w:customStyle="1" w:styleId="BodyText31">
    <w:name w:val="Body Text 31"/>
    <w:basedOn w:val="BodyText"/>
    <w:next w:val="BodyText"/>
    <w:link w:val="Bodytext3Char0"/>
    <w:qFormat/>
    <w:rsid w:val="00036C27"/>
    <w:pPr>
      <w:widowControl/>
      <w:spacing w:after="120" w:line="360" w:lineRule="auto"/>
    </w:pPr>
    <w:rPr>
      <w:rFonts w:cs="Times New Roman"/>
      <w:i/>
      <w:snapToGrid/>
      <w:sz w:val="20"/>
      <w:szCs w:val="28"/>
      <w:lang w:val="en-US"/>
    </w:rPr>
  </w:style>
  <w:style w:type="paragraph" w:customStyle="1" w:styleId="BodytextBullet">
    <w:name w:val="Body text Bullet"/>
    <w:basedOn w:val="BodyText"/>
    <w:qFormat/>
    <w:rsid w:val="00036C27"/>
    <w:pPr>
      <w:widowControl/>
      <w:numPr>
        <w:numId w:val="10"/>
      </w:numPr>
      <w:spacing w:after="120" w:line="360" w:lineRule="auto"/>
    </w:pPr>
    <w:rPr>
      <w:snapToGrid/>
      <w:sz w:val="20"/>
      <w:szCs w:val="24"/>
      <w:lang w:val="en-US"/>
    </w:rPr>
  </w:style>
  <w:style w:type="character" w:customStyle="1" w:styleId="BodyText2Char2">
    <w:name w:val="Body Text 2 Char2"/>
    <w:rsid w:val="00036C27"/>
    <w:rPr>
      <w:rFonts w:ascii="Arial" w:hAnsi="Arial" w:cs="Arial" w:hint="default"/>
      <w:b/>
      <w:bCs w:val="0"/>
      <w:szCs w:val="24"/>
      <w:lang w:val="en-AU" w:eastAsia="en-US" w:bidi="ar-SA"/>
    </w:rPr>
  </w:style>
  <w:style w:type="paragraph" w:customStyle="1" w:styleId="TableText2">
    <w:name w:val="Table Text 2"/>
    <w:basedOn w:val="Normal"/>
    <w:next w:val="TableText1"/>
    <w:link w:val="TableText2Char"/>
    <w:qFormat/>
    <w:rsid w:val="00036C27"/>
    <w:pPr>
      <w:widowControl/>
      <w:spacing w:before="40" w:after="20"/>
      <w:jc w:val="left"/>
    </w:pPr>
    <w:rPr>
      <w:rFonts w:cs="Times New Roman"/>
      <w:b/>
      <w:bCs/>
      <w:snapToGrid/>
      <w:sz w:val="18"/>
      <w:lang w:eastAsia="en-AU"/>
    </w:rPr>
  </w:style>
  <w:style w:type="character" w:customStyle="1" w:styleId="TableText2Char">
    <w:name w:val="Table Text 2 Char"/>
    <w:link w:val="TableText2"/>
    <w:rsid w:val="00036C27"/>
    <w:rPr>
      <w:rFonts w:ascii="Arial" w:hAnsi="Arial"/>
      <w:b/>
      <w:bCs/>
      <w:sz w:val="18"/>
    </w:rPr>
  </w:style>
  <w:style w:type="table" w:customStyle="1" w:styleId="TableGrid1">
    <w:name w:val="Table Grid1"/>
    <w:basedOn w:val="TableNormal"/>
    <w:next w:val="TableGrid"/>
    <w:uiPriority w:val="59"/>
    <w:rsid w:val="00036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Text Char"/>
    <w:link w:val="TableText0"/>
    <w:rsid w:val="00036C27"/>
    <w:rPr>
      <w:rFonts w:ascii="Arial Narrow" w:hAnsi="Arial Narrow" w:cs="Arial Narrow"/>
      <w:lang w:eastAsia="en-US"/>
    </w:rPr>
  </w:style>
  <w:style w:type="paragraph" w:customStyle="1" w:styleId="TableNotes4">
    <w:name w:val="Table Notes4"/>
    <w:basedOn w:val="Normal"/>
    <w:next w:val="Normal"/>
    <w:rsid w:val="00036C27"/>
    <w:pPr>
      <w:keepLines/>
      <w:widowControl/>
      <w:tabs>
        <w:tab w:val="left" w:pos="1134"/>
      </w:tabs>
      <w:ind w:left="1140" w:hanging="1140"/>
    </w:pPr>
    <w:rPr>
      <w:rFonts w:cs="Arial Narrow"/>
      <w:snapToGrid/>
      <w:sz w:val="16"/>
      <w:szCs w:val="18"/>
    </w:rPr>
  </w:style>
  <w:style w:type="paragraph" w:customStyle="1" w:styleId="Tableleft">
    <w:name w:val="Table left"/>
    <w:basedOn w:val="TableText0"/>
    <w:link w:val="TableleftChar"/>
    <w:rsid w:val="00036C27"/>
    <w:pPr>
      <w:keepNext w:val="0"/>
      <w:jc w:val="both"/>
    </w:pPr>
    <w:rPr>
      <w:rFonts w:ascii="Arial" w:hAnsi="Arial"/>
      <w:sz w:val="18"/>
    </w:rPr>
  </w:style>
  <w:style w:type="character" w:customStyle="1" w:styleId="TableleftChar">
    <w:name w:val="Table left Char"/>
    <w:basedOn w:val="DefaultParagraphFont"/>
    <w:link w:val="Tableleft"/>
    <w:rsid w:val="00036C27"/>
    <w:rPr>
      <w:rFonts w:ascii="Arial" w:hAnsi="Arial" w:cs="Arial Narrow"/>
      <w:sz w:val="18"/>
      <w:lang w:eastAsia="en-US"/>
    </w:rPr>
  </w:style>
  <w:style w:type="character" w:styleId="IntenseReference">
    <w:name w:val="Intense Reference"/>
    <w:basedOn w:val="DefaultParagraphFont"/>
    <w:uiPriority w:val="32"/>
    <w:qFormat/>
    <w:rsid w:val="00036C27"/>
    <w:rPr>
      <w:b/>
      <w:bCs/>
      <w:i/>
      <w:smallCaps/>
      <w:color w:val="C0504D" w:themeColor="accent2"/>
      <w:spacing w:val="5"/>
      <w:u w:val="none"/>
    </w:rPr>
  </w:style>
  <w:style w:type="paragraph" w:customStyle="1" w:styleId="COMBody">
    <w:name w:val="COMBody"/>
    <w:basedOn w:val="Normal"/>
    <w:link w:val="COMBodyChar"/>
    <w:qFormat/>
    <w:rsid w:val="00C7356D"/>
  </w:style>
  <w:style w:type="character" w:customStyle="1" w:styleId="COMBodyChar">
    <w:name w:val="COMBody Char"/>
    <w:basedOn w:val="DefaultParagraphFont"/>
    <w:link w:val="COMBody"/>
    <w:rsid w:val="00C7356D"/>
    <w:rPr>
      <w:rFonts w:ascii="Arial" w:hAnsi="Arial" w:cs="Arial"/>
      <w:snapToGrid w:val="0"/>
      <w:sz w:val="22"/>
      <w:lang w:eastAsia="en-US"/>
    </w:rPr>
  </w:style>
  <w:style w:type="paragraph" w:customStyle="1" w:styleId="TableBullets">
    <w:name w:val="Table Bullets"/>
    <w:basedOn w:val="Normal"/>
    <w:uiPriority w:val="5"/>
    <w:qFormat/>
    <w:rsid w:val="00C7356D"/>
    <w:pPr>
      <w:widowControl/>
      <w:numPr>
        <w:numId w:val="19"/>
      </w:numPr>
      <w:spacing w:line="276" w:lineRule="auto"/>
      <w:jc w:val="left"/>
    </w:pPr>
    <w:rPr>
      <w:rFonts w:eastAsiaTheme="majorEastAsia" w:cstheme="majorBidi"/>
      <w:snapToGrid/>
      <w:sz w:val="18"/>
      <w:szCs w:val="22"/>
      <w:lang w:bidi="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07765"/>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060C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Char,Caption Char1, Char,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8"/>
      </w:numPr>
    </w:pPr>
    <w:rPr>
      <w:rFonts w:ascii="Arial" w:hAnsi="Arial" w:cs="Arial"/>
      <w:b/>
      <w:snapToGrid w:val="0"/>
      <w:sz w:val="22"/>
      <w:szCs w:val="22"/>
      <w:lang w:eastAsia="en-US"/>
    </w:rPr>
  </w:style>
  <w:style w:type="paragraph" w:customStyle="1" w:styleId="TableText1">
    <w:name w:val="Table Text"/>
    <w:basedOn w:val="Normal"/>
    <w:link w:val="TableTextChar1"/>
    <w:qFormat/>
    <w:rsid w:val="00745194"/>
    <w:pPr>
      <w:widowControl/>
      <w:jc w:val="left"/>
    </w:pPr>
    <w:rPr>
      <w:rFonts w:eastAsia="SimSun" w:cs="Times New Roman"/>
      <w:snapToGrid/>
      <w:sz w:val="20"/>
      <w:lang w:eastAsia="zh-CN"/>
    </w:rPr>
  </w:style>
  <w:style w:type="character" w:customStyle="1" w:styleId="TableTextChar1">
    <w:name w:val="Table Text Char"/>
    <w:link w:val="TableText1"/>
    <w:rsid w:val="00745194"/>
    <w:rPr>
      <w:rFonts w:ascii="Arial" w:eastAsia="SimSun" w:hAnsi="Arial"/>
      <w:lang w:eastAsia="zh-CN"/>
    </w:rPr>
  </w:style>
  <w:style w:type="character" w:customStyle="1" w:styleId="ListParagraphChar">
    <w:name w:val="List Paragraph Char"/>
    <w:link w:val="ListParagraph"/>
    <w:uiPriority w:val="72"/>
    <w:rsid w:val="00671F14"/>
    <w:rPr>
      <w:rFonts w:ascii="Arial" w:hAnsi="Arial" w:cs="Arial"/>
      <w:snapToGrid w:val="0"/>
      <w:sz w:val="22"/>
      <w:lang w:eastAsia="en-US"/>
    </w:rPr>
  </w:style>
  <w:style w:type="paragraph" w:customStyle="1" w:styleId="COMtbl-HEADLeftAligned">
    <w:name w:val="COMtbl-HEAD Left Aligned"/>
    <w:basedOn w:val="Normal"/>
    <w:qFormat/>
    <w:rsid w:val="00671F14"/>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671F14"/>
    <w:pPr>
      <w:jc w:val="center"/>
    </w:pPr>
  </w:style>
  <w:style w:type="paragraph" w:customStyle="1" w:styleId="COMTbl-cap">
    <w:name w:val="COMTbl-cap"/>
    <w:basedOn w:val="Normal"/>
    <w:link w:val="COMTbl-capChar"/>
    <w:qFormat/>
    <w:rsid w:val="00671F14"/>
    <w:pPr>
      <w:keepNext/>
    </w:pPr>
    <w:rPr>
      <w:rFonts w:ascii="Arial Narrow" w:hAnsi="Arial Narrow"/>
      <w:b/>
      <w:sz w:val="20"/>
    </w:rPr>
  </w:style>
  <w:style w:type="character" w:customStyle="1" w:styleId="COMTbl-capChar">
    <w:name w:val="COMTbl-cap Char"/>
    <w:basedOn w:val="DefaultParagraphFont"/>
    <w:link w:val="COMTbl-cap"/>
    <w:rsid w:val="00671F14"/>
    <w:rPr>
      <w:rFonts w:ascii="Arial Narrow" w:hAnsi="Arial Narrow" w:cs="Arial"/>
      <w:b/>
      <w:snapToGrid w:val="0"/>
      <w:lang w:eastAsia="en-US"/>
    </w:rPr>
  </w:style>
  <w:style w:type="character" w:customStyle="1" w:styleId="TableFooterChar">
    <w:name w:val="Table Footer Char"/>
    <w:link w:val="TableFooter"/>
    <w:rsid w:val="00671F14"/>
    <w:rPr>
      <w:rFonts w:ascii="Arial Narrow" w:hAnsi="Arial Narrow" w:cs="Arial"/>
      <w:snapToGrid w:val="0"/>
      <w:sz w:val="18"/>
      <w:lang w:eastAsia="en-US"/>
    </w:rPr>
  </w:style>
  <w:style w:type="paragraph" w:styleId="FootnoteText">
    <w:name w:val="footnote text"/>
    <w:basedOn w:val="Normal"/>
    <w:link w:val="FootnoteTextChar"/>
    <w:semiHidden/>
    <w:unhideWhenUsed/>
    <w:rsid w:val="00036C27"/>
    <w:rPr>
      <w:sz w:val="20"/>
    </w:rPr>
  </w:style>
  <w:style w:type="character" w:customStyle="1" w:styleId="FootnoteTextChar">
    <w:name w:val="Footnote Text Char"/>
    <w:basedOn w:val="DefaultParagraphFont"/>
    <w:link w:val="FootnoteText"/>
    <w:semiHidden/>
    <w:rsid w:val="00036C27"/>
    <w:rPr>
      <w:rFonts w:ascii="Arial" w:hAnsi="Arial" w:cs="Arial"/>
      <w:snapToGrid w:val="0"/>
      <w:lang w:eastAsia="en-US"/>
    </w:rPr>
  </w:style>
  <w:style w:type="character" w:styleId="FootnoteReference">
    <w:name w:val="footnote reference"/>
    <w:rsid w:val="00036C27"/>
    <w:rPr>
      <w:vertAlign w:val="superscript"/>
    </w:rPr>
  </w:style>
  <w:style w:type="paragraph" w:customStyle="1" w:styleId="Bulletedbodytext">
    <w:name w:val="Bulleted body text"/>
    <w:basedOn w:val="BodyText"/>
    <w:link w:val="BulletedbodytextChar"/>
    <w:uiPriority w:val="99"/>
    <w:qFormat/>
    <w:rsid w:val="00036C27"/>
    <w:pPr>
      <w:widowControl/>
      <w:spacing w:after="120" w:line="360" w:lineRule="auto"/>
      <w:ind w:left="470" w:hanging="357"/>
    </w:pPr>
    <w:rPr>
      <w:snapToGrid/>
      <w:sz w:val="20"/>
      <w:szCs w:val="24"/>
      <w:lang w:val="en-US"/>
    </w:rPr>
  </w:style>
  <w:style w:type="character" w:customStyle="1" w:styleId="BulletedbodytextChar">
    <w:name w:val="Bulleted body text Char"/>
    <w:link w:val="Bulletedbodytext"/>
    <w:uiPriority w:val="99"/>
    <w:rsid w:val="00036C27"/>
    <w:rPr>
      <w:rFonts w:ascii="Arial" w:hAnsi="Arial" w:cs="Arial"/>
      <w:szCs w:val="24"/>
      <w:lang w:val="en-US" w:eastAsia="en-US"/>
    </w:rPr>
  </w:style>
  <w:style w:type="character" w:customStyle="1" w:styleId="Bodytext3Char0">
    <w:name w:val="Body text 3 Char"/>
    <w:link w:val="BodyText31"/>
    <w:rsid w:val="00036C27"/>
    <w:rPr>
      <w:rFonts w:ascii="Arial" w:hAnsi="Arial"/>
      <w:i/>
      <w:szCs w:val="28"/>
      <w:lang w:val="en-US" w:eastAsia="en-US"/>
    </w:rPr>
  </w:style>
  <w:style w:type="paragraph" w:customStyle="1" w:styleId="BodyText31">
    <w:name w:val="Body Text 31"/>
    <w:basedOn w:val="BodyText"/>
    <w:next w:val="BodyText"/>
    <w:link w:val="Bodytext3Char0"/>
    <w:qFormat/>
    <w:rsid w:val="00036C27"/>
    <w:pPr>
      <w:widowControl/>
      <w:spacing w:after="120" w:line="360" w:lineRule="auto"/>
    </w:pPr>
    <w:rPr>
      <w:rFonts w:cs="Times New Roman"/>
      <w:i/>
      <w:snapToGrid/>
      <w:sz w:val="20"/>
      <w:szCs w:val="28"/>
      <w:lang w:val="en-US"/>
    </w:rPr>
  </w:style>
  <w:style w:type="paragraph" w:customStyle="1" w:styleId="BodytextBullet">
    <w:name w:val="Body text Bullet"/>
    <w:basedOn w:val="BodyText"/>
    <w:qFormat/>
    <w:rsid w:val="00036C27"/>
    <w:pPr>
      <w:widowControl/>
      <w:numPr>
        <w:numId w:val="10"/>
      </w:numPr>
      <w:spacing w:after="120" w:line="360" w:lineRule="auto"/>
    </w:pPr>
    <w:rPr>
      <w:snapToGrid/>
      <w:sz w:val="20"/>
      <w:szCs w:val="24"/>
      <w:lang w:val="en-US"/>
    </w:rPr>
  </w:style>
  <w:style w:type="character" w:customStyle="1" w:styleId="BodyText2Char2">
    <w:name w:val="Body Text 2 Char2"/>
    <w:rsid w:val="00036C27"/>
    <w:rPr>
      <w:rFonts w:ascii="Arial" w:hAnsi="Arial" w:cs="Arial" w:hint="default"/>
      <w:b/>
      <w:bCs w:val="0"/>
      <w:szCs w:val="24"/>
      <w:lang w:val="en-AU" w:eastAsia="en-US" w:bidi="ar-SA"/>
    </w:rPr>
  </w:style>
  <w:style w:type="paragraph" w:customStyle="1" w:styleId="TableText2">
    <w:name w:val="Table Text 2"/>
    <w:basedOn w:val="Normal"/>
    <w:next w:val="TableText1"/>
    <w:link w:val="TableText2Char"/>
    <w:qFormat/>
    <w:rsid w:val="00036C27"/>
    <w:pPr>
      <w:widowControl/>
      <w:spacing w:before="40" w:after="20"/>
      <w:jc w:val="left"/>
    </w:pPr>
    <w:rPr>
      <w:rFonts w:cs="Times New Roman"/>
      <w:b/>
      <w:bCs/>
      <w:snapToGrid/>
      <w:sz w:val="18"/>
      <w:lang w:eastAsia="en-AU"/>
    </w:rPr>
  </w:style>
  <w:style w:type="character" w:customStyle="1" w:styleId="TableText2Char">
    <w:name w:val="Table Text 2 Char"/>
    <w:link w:val="TableText2"/>
    <w:rsid w:val="00036C27"/>
    <w:rPr>
      <w:rFonts w:ascii="Arial" w:hAnsi="Arial"/>
      <w:b/>
      <w:bCs/>
      <w:sz w:val="18"/>
    </w:rPr>
  </w:style>
  <w:style w:type="table" w:customStyle="1" w:styleId="TableGrid1">
    <w:name w:val="Table Grid1"/>
    <w:basedOn w:val="TableNormal"/>
    <w:next w:val="TableGrid"/>
    <w:uiPriority w:val="59"/>
    <w:rsid w:val="00036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Text Char"/>
    <w:link w:val="TableText0"/>
    <w:rsid w:val="00036C27"/>
    <w:rPr>
      <w:rFonts w:ascii="Arial Narrow" w:hAnsi="Arial Narrow" w:cs="Arial Narrow"/>
      <w:lang w:eastAsia="en-US"/>
    </w:rPr>
  </w:style>
  <w:style w:type="paragraph" w:customStyle="1" w:styleId="TableNotes4">
    <w:name w:val="Table Notes4"/>
    <w:basedOn w:val="Normal"/>
    <w:next w:val="Normal"/>
    <w:rsid w:val="00036C27"/>
    <w:pPr>
      <w:keepLines/>
      <w:widowControl/>
      <w:tabs>
        <w:tab w:val="left" w:pos="1134"/>
      </w:tabs>
      <w:ind w:left="1140" w:hanging="1140"/>
    </w:pPr>
    <w:rPr>
      <w:rFonts w:cs="Arial Narrow"/>
      <w:snapToGrid/>
      <w:sz w:val="16"/>
      <w:szCs w:val="18"/>
    </w:rPr>
  </w:style>
  <w:style w:type="paragraph" w:customStyle="1" w:styleId="Tableleft">
    <w:name w:val="Table left"/>
    <w:basedOn w:val="TableText0"/>
    <w:link w:val="TableleftChar"/>
    <w:rsid w:val="00036C27"/>
    <w:pPr>
      <w:keepNext w:val="0"/>
      <w:jc w:val="both"/>
    </w:pPr>
    <w:rPr>
      <w:rFonts w:ascii="Arial" w:hAnsi="Arial"/>
      <w:sz w:val="18"/>
    </w:rPr>
  </w:style>
  <w:style w:type="character" w:customStyle="1" w:styleId="TableleftChar">
    <w:name w:val="Table left Char"/>
    <w:basedOn w:val="DefaultParagraphFont"/>
    <w:link w:val="Tableleft"/>
    <w:rsid w:val="00036C27"/>
    <w:rPr>
      <w:rFonts w:ascii="Arial" w:hAnsi="Arial" w:cs="Arial Narrow"/>
      <w:sz w:val="18"/>
      <w:lang w:eastAsia="en-US"/>
    </w:rPr>
  </w:style>
  <w:style w:type="character" w:styleId="IntenseReference">
    <w:name w:val="Intense Reference"/>
    <w:basedOn w:val="DefaultParagraphFont"/>
    <w:uiPriority w:val="32"/>
    <w:qFormat/>
    <w:rsid w:val="00036C27"/>
    <w:rPr>
      <w:b/>
      <w:bCs/>
      <w:i/>
      <w:smallCaps/>
      <w:color w:val="C0504D" w:themeColor="accent2"/>
      <w:spacing w:val="5"/>
      <w:u w:val="none"/>
    </w:rPr>
  </w:style>
  <w:style w:type="paragraph" w:customStyle="1" w:styleId="COMBody">
    <w:name w:val="COMBody"/>
    <w:basedOn w:val="Normal"/>
    <w:link w:val="COMBodyChar"/>
    <w:qFormat/>
    <w:rsid w:val="00C7356D"/>
  </w:style>
  <w:style w:type="character" w:customStyle="1" w:styleId="COMBodyChar">
    <w:name w:val="COMBody Char"/>
    <w:basedOn w:val="DefaultParagraphFont"/>
    <w:link w:val="COMBody"/>
    <w:rsid w:val="00C7356D"/>
    <w:rPr>
      <w:rFonts w:ascii="Arial" w:hAnsi="Arial" w:cs="Arial"/>
      <w:snapToGrid w:val="0"/>
      <w:sz w:val="22"/>
      <w:lang w:eastAsia="en-US"/>
    </w:rPr>
  </w:style>
  <w:style w:type="paragraph" w:customStyle="1" w:styleId="TableBullets">
    <w:name w:val="Table Bullets"/>
    <w:basedOn w:val="Normal"/>
    <w:uiPriority w:val="5"/>
    <w:qFormat/>
    <w:rsid w:val="00C7356D"/>
    <w:pPr>
      <w:widowControl/>
      <w:numPr>
        <w:numId w:val="19"/>
      </w:numPr>
      <w:spacing w:line="276" w:lineRule="auto"/>
      <w:jc w:val="left"/>
    </w:pPr>
    <w:rPr>
      <w:rFonts w:eastAsiaTheme="majorEastAsia" w:cstheme="majorBidi"/>
      <w:snapToGrid/>
      <w:sz w:val="18"/>
      <w:szCs w:val="22"/>
      <w:lang w:bidi="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07765"/>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060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8655">
      <w:bodyDiv w:val="1"/>
      <w:marLeft w:val="0"/>
      <w:marRight w:val="0"/>
      <w:marTop w:val="0"/>
      <w:marBottom w:val="0"/>
      <w:divBdr>
        <w:top w:val="none" w:sz="0" w:space="0" w:color="auto"/>
        <w:left w:val="none" w:sz="0" w:space="0" w:color="auto"/>
        <w:bottom w:val="none" w:sz="0" w:space="0" w:color="auto"/>
        <w:right w:val="none" w:sz="0" w:space="0" w:color="auto"/>
      </w:divBdr>
    </w:div>
    <w:div w:id="831405784">
      <w:bodyDiv w:val="1"/>
      <w:marLeft w:val="0"/>
      <w:marRight w:val="0"/>
      <w:marTop w:val="0"/>
      <w:marBottom w:val="0"/>
      <w:divBdr>
        <w:top w:val="none" w:sz="0" w:space="0" w:color="auto"/>
        <w:left w:val="none" w:sz="0" w:space="0" w:color="auto"/>
        <w:bottom w:val="none" w:sz="0" w:space="0" w:color="auto"/>
        <w:right w:val="none" w:sz="0" w:space="0" w:color="auto"/>
      </w:divBdr>
    </w:div>
    <w:div w:id="10984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7E64E-568E-4BDC-9B31-B3704AF7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5483</Words>
  <Characters>31728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2015-10-16T04:30:00Z</dcterms:created>
  <dcterms:modified xsi:type="dcterms:W3CDTF">2015-10-21T22:04:00Z</dcterms:modified>
</cp:coreProperties>
</file>