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76" w:rsidRPr="005C75CF" w:rsidRDefault="005313D3" w:rsidP="00FB718A">
      <w:pPr>
        <w:widowControl/>
        <w:jc w:val="left"/>
        <w:rPr>
          <w:b/>
          <w:sz w:val="24"/>
          <w:szCs w:val="24"/>
        </w:rPr>
      </w:pPr>
      <w:r>
        <w:rPr>
          <w:b/>
          <w:sz w:val="28"/>
          <w:szCs w:val="28"/>
        </w:rPr>
        <w:t>6.</w:t>
      </w:r>
      <w:r w:rsidR="00435AA3">
        <w:rPr>
          <w:b/>
          <w:sz w:val="28"/>
          <w:szCs w:val="28"/>
        </w:rPr>
        <w:t>0</w:t>
      </w:r>
      <w:r>
        <w:rPr>
          <w:b/>
          <w:sz w:val="28"/>
          <w:szCs w:val="28"/>
        </w:rPr>
        <w:t>5</w:t>
      </w:r>
      <w:r w:rsidR="00B60939" w:rsidRPr="000B3576">
        <w:rPr>
          <w:b/>
          <w:sz w:val="28"/>
          <w:szCs w:val="28"/>
        </w:rPr>
        <w:tab/>
      </w:r>
      <w:r w:rsidR="000B3576" w:rsidRPr="005C75CF">
        <w:rPr>
          <w:b/>
          <w:sz w:val="24"/>
          <w:szCs w:val="24"/>
        </w:rPr>
        <w:t xml:space="preserve">SITAGLIPTIN 25mg, 50mg, 100mg tablet; </w:t>
      </w:r>
    </w:p>
    <w:p w:rsidR="000B3576" w:rsidRPr="005C75CF" w:rsidRDefault="000B3576" w:rsidP="00FB718A">
      <w:pPr>
        <w:widowControl/>
        <w:ind w:left="720"/>
        <w:jc w:val="left"/>
        <w:rPr>
          <w:b/>
          <w:sz w:val="24"/>
          <w:szCs w:val="24"/>
        </w:rPr>
      </w:pPr>
      <w:r w:rsidRPr="005C75CF">
        <w:rPr>
          <w:b/>
          <w:sz w:val="24"/>
          <w:szCs w:val="24"/>
        </w:rPr>
        <w:t xml:space="preserve">SITAGLIPTIN + METFORMIN 50/500mg, 50/850mg, 50/1000mg tablet; SITAGLIPTIN </w:t>
      </w:r>
      <w:r w:rsidR="005C75CF">
        <w:rPr>
          <w:b/>
          <w:sz w:val="24"/>
          <w:szCs w:val="24"/>
        </w:rPr>
        <w:t>+</w:t>
      </w:r>
      <w:r w:rsidRPr="005C75CF">
        <w:rPr>
          <w:b/>
          <w:sz w:val="24"/>
          <w:szCs w:val="24"/>
        </w:rPr>
        <w:t xml:space="preserve"> METFORMIN </w:t>
      </w:r>
      <w:r w:rsidR="005C75CF">
        <w:rPr>
          <w:b/>
          <w:sz w:val="24"/>
          <w:szCs w:val="24"/>
        </w:rPr>
        <w:t>XR</w:t>
      </w:r>
      <w:r w:rsidRPr="005C75CF">
        <w:rPr>
          <w:b/>
          <w:sz w:val="24"/>
          <w:szCs w:val="24"/>
        </w:rPr>
        <w:t>,</w:t>
      </w:r>
      <w:r w:rsidR="005C75CF">
        <w:rPr>
          <w:b/>
          <w:sz w:val="24"/>
          <w:szCs w:val="24"/>
        </w:rPr>
        <w:t xml:space="preserve"> </w:t>
      </w:r>
      <w:r w:rsidRPr="005C75CF">
        <w:rPr>
          <w:b/>
          <w:sz w:val="24"/>
          <w:szCs w:val="24"/>
        </w:rPr>
        <w:t>50/1000mg, 100/1000mg tablet</w:t>
      </w:r>
      <w:r w:rsidR="005313D3">
        <w:rPr>
          <w:b/>
          <w:sz w:val="24"/>
          <w:szCs w:val="24"/>
        </w:rPr>
        <w:t>;</w:t>
      </w:r>
    </w:p>
    <w:p w:rsidR="005C75CF" w:rsidRPr="005C75CF" w:rsidRDefault="005C75CF" w:rsidP="00FB718A">
      <w:pPr>
        <w:widowControl/>
        <w:ind w:firstLine="720"/>
        <w:rPr>
          <w:b/>
          <w:sz w:val="24"/>
          <w:szCs w:val="24"/>
        </w:rPr>
      </w:pPr>
      <w:r w:rsidRPr="005C75CF">
        <w:rPr>
          <w:b/>
          <w:sz w:val="24"/>
          <w:szCs w:val="24"/>
        </w:rPr>
        <w:t xml:space="preserve">Januvia ®, Janumet®, Janumet XR® </w:t>
      </w:r>
    </w:p>
    <w:p w:rsidR="005C75CF" w:rsidRPr="005C75CF" w:rsidRDefault="005C75CF" w:rsidP="00FB718A">
      <w:pPr>
        <w:widowControl/>
        <w:ind w:firstLine="720"/>
        <w:rPr>
          <w:b/>
          <w:sz w:val="24"/>
          <w:szCs w:val="24"/>
        </w:rPr>
      </w:pPr>
      <w:r w:rsidRPr="005C75CF">
        <w:rPr>
          <w:b/>
          <w:sz w:val="24"/>
          <w:szCs w:val="24"/>
        </w:rPr>
        <w:t>Merck</w:t>
      </w:r>
      <w:r w:rsidR="005313D3">
        <w:rPr>
          <w:b/>
          <w:sz w:val="24"/>
          <w:szCs w:val="24"/>
        </w:rPr>
        <w:t xml:space="preserve"> </w:t>
      </w:r>
      <w:r w:rsidRPr="005C75CF">
        <w:rPr>
          <w:b/>
          <w:sz w:val="24"/>
          <w:szCs w:val="24"/>
        </w:rPr>
        <w:t>Sharp</w:t>
      </w:r>
      <w:r w:rsidR="005313D3">
        <w:rPr>
          <w:b/>
          <w:sz w:val="24"/>
          <w:szCs w:val="24"/>
        </w:rPr>
        <w:t xml:space="preserve"> </w:t>
      </w:r>
      <w:r w:rsidRPr="005C75CF">
        <w:rPr>
          <w:b/>
          <w:sz w:val="24"/>
          <w:szCs w:val="24"/>
        </w:rPr>
        <w:t>&amp;</w:t>
      </w:r>
      <w:r w:rsidR="005313D3">
        <w:rPr>
          <w:b/>
          <w:sz w:val="24"/>
          <w:szCs w:val="24"/>
        </w:rPr>
        <w:t xml:space="preserve"> </w:t>
      </w:r>
      <w:r w:rsidRPr="005C75CF">
        <w:rPr>
          <w:b/>
          <w:sz w:val="24"/>
          <w:szCs w:val="24"/>
        </w:rPr>
        <w:t>Dohme Australia Pty Ltd</w:t>
      </w:r>
      <w:r w:rsidR="005313D3">
        <w:rPr>
          <w:b/>
          <w:sz w:val="24"/>
          <w:szCs w:val="24"/>
        </w:rPr>
        <w:t>.</w:t>
      </w:r>
    </w:p>
    <w:p w:rsidR="00B60939" w:rsidRDefault="00B60939" w:rsidP="00FB718A">
      <w:pPr>
        <w:widowControl/>
      </w:pPr>
    </w:p>
    <w:p w:rsidR="005313D3" w:rsidRDefault="005313D3" w:rsidP="00FB718A">
      <w:pPr>
        <w:widowControl/>
      </w:pPr>
    </w:p>
    <w:p w:rsidR="00B50DB8" w:rsidRPr="00407F2D" w:rsidRDefault="00B50DB8" w:rsidP="00FB718A">
      <w:pPr>
        <w:pStyle w:val="PBACHeading1"/>
      </w:pPr>
      <w:bookmarkStart w:id="0" w:name="_Toc419206919"/>
      <w:r w:rsidRPr="00407F2D">
        <w:t>Purpose of Application</w:t>
      </w:r>
      <w:bookmarkStart w:id="1" w:name="_GoBack"/>
      <w:bookmarkEnd w:id="0"/>
      <w:bookmarkEnd w:id="1"/>
    </w:p>
    <w:p w:rsidR="00B60939" w:rsidRPr="00882085" w:rsidRDefault="00B60939" w:rsidP="00FB718A">
      <w:pPr>
        <w:widowControl/>
        <w:rPr>
          <w:szCs w:val="22"/>
        </w:rPr>
      </w:pPr>
    </w:p>
    <w:p w:rsidR="002C2775" w:rsidRPr="00B50DB8" w:rsidRDefault="004C00EA" w:rsidP="00FB718A">
      <w:pPr>
        <w:pStyle w:val="ListParagraph"/>
        <w:widowControl/>
        <w:numPr>
          <w:ilvl w:val="1"/>
          <w:numId w:val="5"/>
        </w:numPr>
        <w:rPr>
          <w:szCs w:val="22"/>
        </w:rPr>
      </w:pPr>
      <w:r>
        <w:t xml:space="preserve">To request </w:t>
      </w:r>
      <w:r w:rsidR="001E238E" w:rsidRPr="004B3DDB">
        <w:t xml:space="preserve">Authority </w:t>
      </w:r>
      <w:r w:rsidR="00EF7C86">
        <w:t xml:space="preserve">Required </w:t>
      </w:r>
      <w:r w:rsidR="00A95C35">
        <w:t>(Streamlined)</w:t>
      </w:r>
      <w:r w:rsidR="001E238E" w:rsidRPr="004B3DDB">
        <w:t xml:space="preserve"> listing for </w:t>
      </w:r>
      <w:r w:rsidR="00A95C35">
        <w:t>sitagliptin</w:t>
      </w:r>
      <w:r w:rsidR="001E238E" w:rsidRPr="004B3DDB">
        <w:t xml:space="preserve"> for </w:t>
      </w:r>
      <w:r w:rsidR="00EB510F">
        <w:t xml:space="preserve">the </w:t>
      </w:r>
      <w:r w:rsidR="001E238E" w:rsidRPr="004B3DDB">
        <w:t xml:space="preserve">treatment of </w:t>
      </w:r>
      <w:r>
        <w:t>type </w:t>
      </w:r>
      <w:r w:rsidR="00A95C35">
        <w:t>2 diabetes mellitus</w:t>
      </w:r>
      <w:r w:rsidR="007C7390">
        <w:t xml:space="preserve"> (T2DM)</w:t>
      </w:r>
      <w:r w:rsidR="00A95C35">
        <w:t xml:space="preserve"> as part of </w:t>
      </w:r>
      <w:r w:rsidR="00A95C35" w:rsidRPr="00321BBE">
        <w:t xml:space="preserve">triple </w:t>
      </w:r>
      <w:r w:rsidR="008207E7">
        <w:t xml:space="preserve">oral </w:t>
      </w:r>
      <w:r w:rsidR="00A95C35" w:rsidRPr="00321BBE">
        <w:t xml:space="preserve">therapy with metformin </w:t>
      </w:r>
      <w:r w:rsidR="008207E7">
        <w:t xml:space="preserve">(MET) </w:t>
      </w:r>
      <w:r w:rsidR="00A95C35" w:rsidRPr="00321BBE">
        <w:t>and a sulfonylurea</w:t>
      </w:r>
      <w:r w:rsidR="008207E7">
        <w:t xml:space="preserve"> (SU)</w:t>
      </w:r>
      <w:r w:rsidR="00A95C35">
        <w:t xml:space="preserve">. </w:t>
      </w:r>
      <w:r w:rsidR="008207E7">
        <w:t>The submission also r</w:t>
      </w:r>
      <w:r w:rsidR="00656BEC">
        <w:t>equested that the sitagliptin/MET and sitagliptin/</w:t>
      </w:r>
      <w:r w:rsidR="008207E7">
        <w:t>MET XR fixed dose combinations (FDCs) be listed for triple oral therapy with a SU.</w:t>
      </w:r>
    </w:p>
    <w:p w:rsidR="00B60939" w:rsidRDefault="00B60939" w:rsidP="00FB718A">
      <w:pPr>
        <w:widowControl/>
      </w:pPr>
    </w:p>
    <w:p w:rsidR="005313D3" w:rsidRDefault="005313D3" w:rsidP="00FB718A">
      <w:pPr>
        <w:widowControl/>
      </w:pPr>
    </w:p>
    <w:p w:rsidR="004F75DB" w:rsidRDefault="004F75DB" w:rsidP="00FB718A">
      <w:pPr>
        <w:pStyle w:val="PBACHeading1"/>
      </w:pPr>
      <w:bookmarkStart w:id="2" w:name="_Toc419206920"/>
      <w:r>
        <w:t>Requested PBS listing</w:t>
      </w:r>
      <w:bookmarkEnd w:id="2"/>
    </w:p>
    <w:p w:rsidR="004F1007" w:rsidRDefault="004F1007" w:rsidP="00FB718A">
      <w:pPr>
        <w:pStyle w:val="PBACHeading1"/>
        <w:numPr>
          <w:ilvl w:val="0"/>
          <w:numId w:val="0"/>
        </w:numPr>
        <w:ind w:left="720" w:hanging="720"/>
      </w:pPr>
    </w:p>
    <w:p w:rsidR="004F1007" w:rsidRPr="008D48D1" w:rsidRDefault="004F1007" w:rsidP="00FB718A">
      <w:pPr>
        <w:pStyle w:val="ListParagraph"/>
        <w:widowControl/>
        <w:numPr>
          <w:ilvl w:val="1"/>
          <w:numId w:val="5"/>
        </w:numPr>
      </w:pPr>
      <w:r w:rsidRPr="008D48D1">
        <w:t>Suggestions and additions proposed by the Secretariat to the requested listing are added in italics and suggested deletions are crossed out with strikethrough.</w:t>
      </w:r>
    </w:p>
    <w:p w:rsidR="004F1007" w:rsidRDefault="004F1007" w:rsidP="00FB718A">
      <w:pPr>
        <w:pStyle w:val="PBACHeading1"/>
        <w:numPr>
          <w:ilvl w:val="0"/>
          <w:numId w:val="0"/>
        </w:numPr>
        <w:ind w:left="1440" w:hanging="720"/>
      </w:pPr>
    </w:p>
    <w:tbl>
      <w:tblPr>
        <w:tblW w:w="8363"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708"/>
        <w:gridCol w:w="1276"/>
        <w:gridCol w:w="992"/>
      </w:tblGrid>
      <w:tr w:rsidR="004F1007" w:rsidRPr="005E26D6" w:rsidTr="004F1007">
        <w:trPr>
          <w:cantSplit/>
          <w:trHeight w:val="471"/>
        </w:trPr>
        <w:tc>
          <w:tcPr>
            <w:tcW w:w="4678" w:type="dxa"/>
            <w:tcBorders>
              <w:top w:val="nil"/>
              <w:left w:val="nil"/>
              <w:bottom w:val="single" w:sz="6" w:space="0" w:color="auto"/>
              <w:right w:val="nil"/>
            </w:tcBorders>
            <w:shd w:val="clear" w:color="auto" w:fill="auto"/>
          </w:tcPr>
          <w:p w:rsidR="004F1007" w:rsidRPr="005E26D6" w:rsidRDefault="004F1007" w:rsidP="00FB718A">
            <w:pPr>
              <w:keepNext/>
              <w:widowControl/>
              <w:ind w:left="-108"/>
              <w:rPr>
                <w:b/>
                <w:sz w:val="20"/>
              </w:rPr>
            </w:pPr>
            <w:r w:rsidRPr="005E26D6">
              <w:rPr>
                <w:b/>
                <w:sz w:val="20"/>
              </w:rPr>
              <w:t>Name, Restriction,</w:t>
            </w:r>
          </w:p>
          <w:p w:rsidR="004F1007" w:rsidRPr="005E26D6" w:rsidRDefault="004F1007" w:rsidP="00FB718A">
            <w:pPr>
              <w:keepNext/>
              <w:widowControl/>
              <w:ind w:left="-108"/>
              <w:rPr>
                <w:b/>
                <w:sz w:val="20"/>
              </w:rPr>
            </w:pPr>
            <w:r w:rsidRPr="005E26D6">
              <w:rPr>
                <w:b/>
                <w:sz w:val="20"/>
              </w:rPr>
              <w:t xml:space="preserve">Manner of administration </w:t>
            </w:r>
          </w:p>
          <w:p w:rsidR="004F1007" w:rsidRPr="005E26D6" w:rsidRDefault="004F1007" w:rsidP="00FB718A">
            <w:pPr>
              <w:keepNext/>
              <w:widowControl/>
              <w:ind w:left="-108"/>
              <w:rPr>
                <w:b/>
                <w:sz w:val="20"/>
              </w:rPr>
            </w:pPr>
            <w:r w:rsidRPr="005E26D6">
              <w:rPr>
                <w:b/>
                <w:sz w:val="20"/>
              </w:rPr>
              <w:t>and form</w:t>
            </w:r>
          </w:p>
        </w:tc>
        <w:tc>
          <w:tcPr>
            <w:tcW w:w="709" w:type="dxa"/>
            <w:tcBorders>
              <w:top w:val="nil"/>
              <w:left w:val="nil"/>
              <w:bottom w:val="single" w:sz="6" w:space="0" w:color="auto"/>
              <w:right w:val="nil"/>
            </w:tcBorders>
            <w:shd w:val="clear" w:color="auto" w:fill="auto"/>
          </w:tcPr>
          <w:p w:rsidR="004F1007" w:rsidRPr="005E26D6" w:rsidRDefault="004F1007" w:rsidP="00FB718A">
            <w:pPr>
              <w:keepNext/>
              <w:widowControl/>
              <w:ind w:left="-108"/>
              <w:rPr>
                <w:b/>
                <w:sz w:val="20"/>
              </w:rPr>
            </w:pPr>
            <w:r w:rsidRPr="005E26D6">
              <w:rPr>
                <w:b/>
                <w:sz w:val="20"/>
              </w:rPr>
              <w:t>Max.</w:t>
            </w:r>
          </w:p>
          <w:p w:rsidR="004F1007" w:rsidRPr="005E26D6" w:rsidRDefault="004F1007" w:rsidP="00FB718A">
            <w:pPr>
              <w:keepNext/>
              <w:widowControl/>
              <w:ind w:left="-108"/>
              <w:rPr>
                <w:b/>
                <w:sz w:val="20"/>
              </w:rPr>
            </w:pPr>
            <w:r w:rsidRPr="005E26D6">
              <w:rPr>
                <w:b/>
                <w:sz w:val="20"/>
              </w:rPr>
              <w:t>Qty</w:t>
            </w:r>
          </w:p>
        </w:tc>
        <w:tc>
          <w:tcPr>
            <w:tcW w:w="708" w:type="dxa"/>
            <w:tcBorders>
              <w:top w:val="nil"/>
              <w:left w:val="nil"/>
              <w:bottom w:val="single" w:sz="6" w:space="0" w:color="auto"/>
              <w:right w:val="nil"/>
            </w:tcBorders>
            <w:shd w:val="clear" w:color="auto" w:fill="auto"/>
          </w:tcPr>
          <w:p w:rsidR="004F1007" w:rsidRPr="005E26D6" w:rsidRDefault="004F1007" w:rsidP="00FB718A">
            <w:pPr>
              <w:keepNext/>
              <w:widowControl/>
              <w:ind w:left="-108"/>
              <w:rPr>
                <w:b/>
                <w:sz w:val="20"/>
              </w:rPr>
            </w:pPr>
            <w:r w:rsidRPr="005E26D6">
              <w:rPr>
                <w:b/>
                <w:sz w:val="20"/>
              </w:rPr>
              <w:t>№.of</w:t>
            </w:r>
          </w:p>
          <w:p w:rsidR="004F1007" w:rsidRPr="005E26D6" w:rsidRDefault="004F1007" w:rsidP="00FB718A">
            <w:pPr>
              <w:keepNext/>
              <w:widowControl/>
              <w:ind w:left="-108"/>
              <w:rPr>
                <w:b/>
                <w:sz w:val="20"/>
              </w:rPr>
            </w:pPr>
            <w:r w:rsidRPr="005E26D6">
              <w:rPr>
                <w:b/>
                <w:sz w:val="20"/>
              </w:rPr>
              <w:t>Rpts</w:t>
            </w:r>
          </w:p>
        </w:tc>
        <w:tc>
          <w:tcPr>
            <w:tcW w:w="2268" w:type="dxa"/>
            <w:gridSpan w:val="2"/>
            <w:tcBorders>
              <w:top w:val="nil"/>
              <w:left w:val="nil"/>
              <w:bottom w:val="single" w:sz="6" w:space="0" w:color="auto"/>
              <w:right w:val="nil"/>
            </w:tcBorders>
            <w:shd w:val="clear" w:color="auto" w:fill="auto"/>
          </w:tcPr>
          <w:p w:rsidR="004F1007" w:rsidRPr="005E26D6" w:rsidRDefault="004F1007" w:rsidP="00FB718A">
            <w:pPr>
              <w:keepNext/>
              <w:widowControl/>
              <w:jc w:val="left"/>
              <w:rPr>
                <w:b/>
                <w:sz w:val="20"/>
                <w:lang w:val="fr-FR"/>
              </w:rPr>
            </w:pPr>
            <w:r w:rsidRPr="005E26D6">
              <w:rPr>
                <w:b/>
                <w:sz w:val="20"/>
              </w:rPr>
              <w:t>Proprietary Name and Manufacturer</w:t>
            </w:r>
          </w:p>
        </w:tc>
      </w:tr>
      <w:tr w:rsidR="004F1007" w:rsidRPr="005E26D6" w:rsidTr="004F1007">
        <w:trPr>
          <w:cantSplit/>
          <w:trHeight w:val="471"/>
        </w:trPr>
        <w:tc>
          <w:tcPr>
            <w:tcW w:w="4678" w:type="dxa"/>
            <w:tcBorders>
              <w:top w:val="single" w:sz="6" w:space="0" w:color="auto"/>
              <w:left w:val="nil"/>
              <w:bottom w:val="nil"/>
              <w:right w:val="nil"/>
            </w:tcBorders>
            <w:shd w:val="clear" w:color="auto" w:fill="auto"/>
            <w:vAlign w:val="center"/>
          </w:tcPr>
          <w:p w:rsidR="004F1007" w:rsidRDefault="004F1007" w:rsidP="00FB718A">
            <w:pPr>
              <w:widowControl/>
              <w:rPr>
                <w:rFonts w:ascii="Arial Narrow" w:hAnsi="Arial Narrow"/>
                <w:sz w:val="20"/>
              </w:rPr>
            </w:pPr>
            <w:r>
              <w:rPr>
                <w:rFonts w:ascii="Arial Narrow" w:hAnsi="Arial Narrow"/>
                <w:sz w:val="20"/>
              </w:rPr>
              <w:t>SITAGLIPTIN</w:t>
            </w:r>
          </w:p>
          <w:p w:rsidR="004F1007" w:rsidRDefault="004F1007" w:rsidP="00FB718A">
            <w:pPr>
              <w:widowControl/>
              <w:rPr>
                <w:rFonts w:ascii="Arial Narrow" w:hAnsi="Arial Narrow"/>
                <w:sz w:val="20"/>
              </w:rPr>
            </w:pPr>
            <w:r>
              <w:rPr>
                <w:rFonts w:ascii="Arial Narrow" w:hAnsi="Arial Narrow"/>
                <w:sz w:val="20"/>
              </w:rPr>
              <w:t>sitagliptin 25 mg tablet, 28</w:t>
            </w:r>
          </w:p>
          <w:p w:rsidR="004F1007" w:rsidRPr="005E26D6" w:rsidRDefault="004F1007" w:rsidP="00FB718A">
            <w:pPr>
              <w:widowControl/>
              <w:rPr>
                <w:rFonts w:ascii="Arial Narrow" w:hAnsi="Arial Narrow"/>
                <w:sz w:val="20"/>
              </w:rPr>
            </w:pPr>
            <w:r>
              <w:rPr>
                <w:rFonts w:ascii="Arial Narrow" w:hAnsi="Arial Narrow"/>
                <w:sz w:val="20"/>
              </w:rPr>
              <w:t>sitagliptin 50 mg tablet, 28</w:t>
            </w:r>
          </w:p>
          <w:p w:rsidR="004F1007" w:rsidRPr="00096207" w:rsidRDefault="004F1007" w:rsidP="00FB718A">
            <w:pPr>
              <w:widowControl/>
              <w:rPr>
                <w:rFonts w:ascii="Arial Narrow" w:hAnsi="Arial Narrow"/>
                <w:sz w:val="20"/>
              </w:rPr>
            </w:pPr>
            <w:r>
              <w:rPr>
                <w:rFonts w:ascii="Arial Narrow" w:hAnsi="Arial Narrow"/>
                <w:sz w:val="20"/>
              </w:rPr>
              <w:t>sitagliptin 100 mg tablet, 28</w:t>
            </w:r>
          </w:p>
        </w:tc>
        <w:tc>
          <w:tcPr>
            <w:tcW w:w="709" w:type="dxa"/>
            <w:tcBorders>
              <w:top w:val="single" w:sz="6" w:space="0" w:color="auto"/>
              <w:left w:val="nil"/>
              <w:bottom w:val="nil"/>
              <w:right w:val="nil"/>
            </w:tcBorders>
            <w:shd w:val="clear" w:color="auto" w:fill="auto"/>
            <w:vAlign w:val="center"/>
          </w:tcPr>
          <w:p w:rsidR="004F1007" w:rsidRPr="005E26D6" w:rsidRDefault="004F1007" w:rsidP="00FB718A">
            <w:pPr>
              <w:keepNext/>
              <w:widowControl/>
              <w:rPr>
                <w:rFonts w:ascii="Arial Narrow" w:hAnsi="Arial Narrow"/>
                <w:sz w:val="20"/>
              </w:rPr>
            </w:pPr>
            <w:r>
              <w:rPr>
                <w:rFonts w:ascii="Arial Narrow" w:hAnsi="Arial Narrow"/>
                <w:sz w:val="20"/>
              </w:rPr>
              <w:t>1</w:t>
            </w:r>
          </w:p>
        </w:tc>
        <w:tc>
          <w:tcPr>
            <w:tcW w:w="708" w:type="dxa"/>
            <w:tcBorders>
              <w:top w:val="single" w:sz="6" w:space="0" w:color="auto"/>
              <w:left w:val="nil"/>
              <w:bottom w:val="nil"/>
              <w:right w:val="nil"/>
            </w:tcBorders>
            <w:shd w:val="clear" w:color="auto" w:fill="auto"/>
            <w:vAlign w:val="center"/>
          </w:tcPr>
          <w:p w:rsidR="004F1007" w:rsidRPr="005E26D6" w:rsidRDefault="004F1007" w:rsidP="00FB718A">
            <w:pPr>
              <w:keepNext/>
              <w:widowControl/>
              <w:ind w:left="-108"/>
              <w:jc w:val="center"/>
              <w:rPr>
                <w:rFonts w:ascii="Arial Narrow" w:hAnsi="Arial Narrow"/>
                <w:sz w:val="20"/>
              </w:rPr>
            </w:pPr>
            <w:r>
              <w:rPr>
                <w:rFonts w:ascii="Arial Narrow" w:hAnsi="Arial Narrow"/>
                <w:sz w:val="20"/>
              </w:rPr>
              <w:t>5</w:t>
            </w:r>
          </w:p>
        </w:tc>
        <w:tc>
          <w:tcPr>
            <w:tcW w:w="1276" w:type="dxa"/>
            <w:tcBorders>
              <w:top w:val="single" w:sz="6" w:space="0" w:color="auto"/>
              <w:left w:val="nil"/>
              <w:bottom w:val="nil"/>
              <w:right w:val="nil"/>
            </w:tcBorders>
            <w:shd w:val="clear" w:color="auto" w:fill="auto"/>
            <w:vAlign w:val="center"/>
          </w:tcPr>
          <w:p w:rsidR="004F1007" w:rsidRPr="00096207" w:rsidRDefault="004F1007" w:rsidP="00FB718A">
            <w:pPr>
              <w:keepNext/>
              <w:widowControl/>
              <w:rPr>
                <w:rFonts w:ascii="Arial Narrow" w:hAnsi="Arial Narrow"/>
                <w:sz w:val="20"/>
                <w:vertAlign w:val="superscript"/>
              </w:rPr>
            </w:pPr>
            <w:r>
              <w:rPr>
                <w:rFonts w:ascii="Arial Narrow" w:hAnsi="Arial Narrow"/>
                <w:sz w:val="20"/>
              </w:rPr>
              <w:t>Januvia</w:t>
            </w:r>
            <w:r w:rsidRPr="005E26D6">
              <w:rPr>
                <w:rFonts w:ascii="Arial Narrow" w:hAnsi="Arial Narrow"/>
                <w:sz w:val="20"/>
                <w:vertAlign w:val="superscript"/>
              </w:rPr>
              <w:t>®</w:t>
            </w:r>
            <w:r w:rsidRPr="005E26D6">
              <w:rPr>
                <w:rFonts w:ascii="Arial Narrow" w:hAnsi="Arial Narrow"/>
                <w:sz w:val="20"/>
              </w:rPr>
              <w:t xml:space="preserve"> </w:t>
            </w:r>
          </w:p>
        </w:tc>
        <w:tc>
          <w:tcPr>
            <w:tcW w:w="992" w:type="dxa"/>
            <w:tcBorders>
              <w:top w:val="single" w:sz="6" w:space="0" w:color="auto"/>
              <w:left w:val="nil"/>
              <w:bottom w:val="nil"/>
              <w:right w:val="nil"/>
            </w:tcBorders>
            <w:shd w:val="clear" w:color="auto" w:fill="auto"/>
            <w:vAlign w:val="center"/>
          </w:tcPr>
          <w:p w:rsidR="004F1007" w:rsidRPr="005E26D6" w:rsidRDefault="004F1007" w:rsidP="00FB718A">
            <w:pPr>
              <w:keepNext/>
              <w:widowControl/>
              <w:jc w:val="center"/>
              <w:rPr>
                <w:rFonts w:ascii="Arial Narrow" w:hAnsi="Arial Narrow"/>
                <w:sz w:val="20"/>
              </w:rPr>
            </w:pPr>
            <w:r>
              <w:rPr>
                <w:rFonts w:ascii="Arial Narrow" w:hAnsi="Arial Narrow"/>
                <w:sz w:val="20"/>
              </w:rPr>
              <w:t>MK</w:t>
            </w:r>
          </w:p>
        </w:tc>
      </w:tr>
    </w:tbl>
    <w:p w:rsidR="004F1007" w:rsidRPr="00552722" w:rsidRDefault="004F1007" w:rsidP="00FB718A">
      <w:pPr>
        <w:widowControl/>
        <w:rPr>
          <w:szCs w:val="22"/>
        </w:rPr>
      </w:pPr>
    </w:p>
    <w:tbl>
      <w:tblPr>
        <w:tblW w:w="8363" w:type="dxa"/>
        <w:tblInd w:w="817" w:type="dxa"/>
        <w:tblLayout w:type="fixed"/>
        <w:tblLook w:val="0000" w:firstRow="0" w:lastRow="0" w:firstColumn="0" w:lastColumn="0" w:noHBand="0" w:noVBand="0"/>
      </w:tblPr>
      <w:tblGrid>
        <w:gridCol w:w="1984"/>
        <w:gridCol w:w="6379"/>
      </w:tblGrid>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5E26D6">
              <w:rPr>
                <w:rFonts w:ascii="Arial Narrow" w:hAnsi="Arial Narrow"/>
                <w:sz w:val="20"/>
              </w:rPr>
              <w:t xml:space="preserve">GENERAL – General Schedule </w:t>
            </w:r>
            <w:r>
              <w:rPr>
                <w:rFonts w:ascii="Arial Narrow" w:hAnsi="Arial Narrow"/>
                <w:sz w:val="20"/>
              </w:rPr>
              <w:t>(GE)</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5E26D6">
              <w:rPr>
                <w:rFonts w:ascii="Arial Narrow" w:hAnsi="Arial Narrow"/>
                <w:sz w:val="20"/>
              </w:rPr>
              <w:fldChar w:fldCharType="begin">
                <w:ffData>
                  <w:name w:val=""/>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Medical Practitioners  </w:t>
            </w:r>
            <w:r w:rsidRPr="005E26D6">
              <w:rPr>
                <w:rFonts w:ascii="Arial Narrow" w:hAnsi="Arial Narrow"/>
                <w:sz w:val="20"/>
              </w:rPr>
              <w:fldChar w:fldCharType="begin">
                <w:ffData>
                  <w:name w:val="Check3"/>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Nurse practitioners  </w:t>
            </w:r>
          </w:p>
          <w:p w:rsidR="004F1007" w:rsidRPr="005E26D6" w:rsidRDefault="004F1007" w:rsidP="00FB718A">
            <w:pPr>
              <w:widowControl/>
              <w:rPr>
                <w:rFonts w:ascii="Arial Narrow" w:hAnsi="Arial Narrow"/>
                <w:sz w:val="20"/>
              </w:rPr>
            </w:pP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69572D">
              <w:rPr>
                <w:rFonts w:ascii="Arial Narrow" w:hAnsi="Arial Narrow"/>
                <w:sz w:val="20"/>
              </w:rPr>
              <w:t>Diabetes mellitus type 2</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69572D">
              <w:rPr>
                <w:rFonts w:ascii="Arial Narrow" w:hAnsi="Arial Narrow"/>
                <w:sz w:val="20"/>
              </w:rPr>
              <w:t>Diabetes mellitus type 2</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Restriction Level / Method:</w:t>
            </w:r>
          </w:p>
          <w:p w:rsidR="004F1007" w:rsidRPr="005E26D6" w:rsidRDefault="004F1007" w:rsidP="00FB718A">
            <w:pPr>
              <w:widowControl/>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Pr>
                <w:rFonts w:ascii="Arial Narrow" w:hAnsi="Arial Narrow"/>
                <w:sz w:val="20"/>
              </w:rPr>
              <w:t>Authority required (Streamlined)</w:t>
            </w:r>
          </w:p>
          <w:p w:rsidR="004F1007" w:rsidRPr="005E26D6" w:rsidRDefault="004F1007" w:rsidP="00FB718A">
            <w:pPr>
              <w:widowControl/>
              <w:rPr>
                <w:rFonts w:ascii="Arial Narrow" w:hAnsi="Arial Narrow"/>
                <w:sz w:val="20"/>
              </w:rPr>
            </w:pP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rsidR="004F1007" w:rsidRPr="00D04087" w:rsidRDefault="004F1007" w:rsidP="00FB718A">
            <w:pPr>
              <w:widowControl/>
              <w:rPr>
                <w:rFonts w:ascii="Arial Narrow" w:hAnsi="Arial Narrow"/>
                <w:sz w:val="20"/>
              </w:rPr>
            </w:pPr>
            <w:r w:rsidRPr="00D04087">
              <w:rPr>
                <w:rFonts w:ascii="Arial Narrow" w:hAnsi="Arial Narrow"/>
                <w:sz w:val="20"/>
              </w:rPr>
              <w:t>The treatment must be in combination with metformin,</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AND</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The treatment must be in combination with a sulfonylurea,</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AND</w:t>
            </w:r>
          </w:p>
          <w:p w:rsidR="004F1007" w:rsidRDefault="004F1007" w:rsidP="00FB718A">
            <w:pPr>
              <w:widowControl/>
              <w:rPr>
                <w:rFonts w:ascii="Arial Narrow" w:hAnsi="Arial Narrow"/>
                <w:sz w:val="20"/>
              </w:rPr>
            </w:pPr>
          </w:p>
          <w:p w:rsidR="004F1007" w:rsidRPr="00A051DF" w:rsidRDefault="004F1007" w:rsidP="00FB718A">
            <w:pPr>
              <w:widowControl/>
              <w:rPr>
                <w:rFonts w:ascii="Arial Narrow" w:hAnsi="Arial Narrow"/>
                <w:sz w:val="20"/>
              </w:rPr>
            </w:pPr>
            <w:r w:rsidRPr="00D04087">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w:t>
            </w:r>
            <w:r w:rsidRPr="000510AE">
              <w:rPr>
                <w:rFonts w:ascii="Arial Narrow" w:hAnsi="Arial Narrow"/>
                <w:strike/>
                <w:sz w:val="20"/>
              </w:rPr>
              <w:t>either metformin or a sulfonylurea or metformin and sitagliptin or a sulfonylurea and sitagli</w:t>
            </w:r>
            <w:r w:rsidRPr="00A051DF">
              <w:rPr>
                <w:rFonts w:ascii="Arial Narrow" w:hAnsi="Arial Narrow"/>
                <w:strike/>
                <w:sz w:val="20"/>
              </w:rPr>
              <w:t>ptin</w:t>
            </w:r>
            <w:r w:rsidRPr="00096207">
              <w:rPr>
                <w:rFonts w:ascii="Arial Narrow" w:hAnsi="Arial Narrow"/>
                <w:sz w:val="20"/>
              </w:rPr>
              <w:t xml:space="preserve"> </w:t>
            </w:r>
            <w:r w:rsidRPr="00096207">
              <w:rPr>
                <w:rFonts w:ascii="Arial Narrow" w:hAnsi="Arial Narrow"/>
                <w:i/>
                <w:sz w:val="20"/>
              </w:rPr>
              <w:t>maximally tolerated doses of metformin and a sulfonylurea;</w:t>
            </w:r>
            <w:r w:rsidRPr="00A051DF">
              <w:rPr>
                <w:rFonts w:ascii="Arial Narrow" w:hAnsi="Arial Narrow"/>
                <w:i/>
                <w:sz w:val="20"/>
              </w:rPr>
              <w:t xml:space="preserve"> </w:t>
            </w:r>
          </w:p>
          <w:p w:rsidR="004F1007" w:rsidRPr="00A051DF" w:rsidRDefault="004F1007" w:rsidP="00FB718A">
            <w:pPr>
              <w:widowControl/>
              <w:rPr>
                <w:rFonts w:ascii="Arial Narrow" w:hAnsi="Arial Narrow"/>
                <w:sz w:val="20"/>
              </w:rPr>
            </w:pPr>
            <w:r w:rsidRPr="00A051DF">
              <w:rPr>
                <w:rFonts w:ascii="Arial Narrow" w:hAnsi="Arial Narrow"/>
                <w:sz w:val="20"/>
              </w:rPr>
              <w:t>OR</w:t>
            </w:r>
          </w:p>
          <w:p w:rsidR="004F1007" w:rsidRDefault="004F1007" w:rsidP="00FB718A">
            <w:pPr>
              <w:widowControl/>
              <w:rPr>
                <w:rFonts w:ascii="Arial Narrow" w:hAnsi="Arial Narrow"/>
                <w:sz w:val="20"/>
              </w:rPr>
            </w:pPr>
            <w:r w:rsidRPr="00A051DF">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w:t>
            </w:r>
            <w:r w:rsidRPr="002C27F3">
              <w:rPr>
                <w:rFonts w:ascii="Arial Narrow" w:hAnsi="Arial Narrow"/>
                <w:sz w:val="20"/>
              </w:rPr>
              <w:t xml:space="preserve">ke peptide-1 or an SGLT2 inhibitor despite treatment with </w:t>
            </w:r>
            <w:r w:rsidRPr="002C27F3">
              <w:rPr>
                <w:rFonts w:ascii="Arial Narrow" w:hAnsi="Arial Narrow"/>
                <w:strike/>
                <w:sz w:val="20"/>
              </w:rPr>
              <w:t>either metformin or a sulfonylurea or metformin and sitagliptin or a sulfonylurea and sitagliptin</w:t>
            </w:r>
            <w:r w:rsidRPr="002C27F3">
              <w:rPr>
                <w:rFonts w:ascii="Arial Narrow" w:hAnsi="Arial Narrow"/>
                <w:sz w:val="20"/>
              </w:rPr>
              <w:t xml:space="preserve"> </w:t>
            </w:r>
            <w:r w:rsidRPr="00096207">
              <w:rPr>
                <w:rFonts w:ascii="Arial Narrow" w:hAnsi="Arial Narrow"/>
                <w:i/>
                <w:sz w:val="20"/>
              </w:rPr>
              <w:t>maximally tolerated doses of metformin and a sulfonylurea.</w:t>
            </w:r>
          </w:p>
          <w:p w:rsidR="005F7D6F" w:rsidRPr="005E26D6" w:rsidRDefault="005F7D6F" w:rsidP="00FB718A">
            <w:pPr>
              <w:widowControl/>
              <w:rPr>
                <w:rFonts w:ascii="Arial Narrow" w:hAnsi="Arial Narrow"/>
                <w:sz w:val="20"/>
              </w:rPr>
            </w:pP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5E26D6">
              <w:rPr>
                <w:rFonts w:ascii="Arial Narrow" w:hAnsi="Arial Narrow"/>
                <w:b/>
                <w:sz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4F1007" w:rsidRDefault="004F1007" w:rsidP="00FB718A">
            <w:pPr>
              <w:widowControl/>
              <w:rPr>
                <w:rFonts w:ascii="Arial Narrow" w:hAnsi="Arial Narrow"/>
                <w:sz w:val="20"/>
              </w:rPr>
            </w:pPr>
            <w:r w:rsidRPr="00D04087">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The HbA1c must be no more than 4 months old at the time treatment with a gliptin, a glitazone, a glucagon-like peptide-1 or an SGLT2 inhibitor was initiated.</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Blood glucose monitoring may be used as an alternative assessment to HbA1c levels in the following circumstances:</w:t>
            </w:r>
          </w:p>
          <w:p w:rsidR="004F1007" w:rsidRPr="00D04087" w:rsidRDefault="004F1007" w:rsidP="00FB718A">
            <w:pPr>
              <w:widowControl/>
              <w:rPr>
                <w:rFonts w:ascii="Arial Narrow" w:hAnsi="Arial Narrow"/>
                <w:sz w:val="20"/>
              </w:rPr>
            </w:pPr>
            <w:r w:rsidRPr="00D04087">
              <w:rPr>
                <w:rFonts w:ascii="Arial Narrow" w:hAnsi="Arial Narrow"/>
                <w:sz w:val="20"/>
              </w:rPr>
              <w:t>(a) A clinical condition with reduced red blood cell survival, including haemolytic anaemias and haemoglobinopathies; and/or</w:t>
            </w:r>
          </w:p>
          <w:p w:rsidR="004F1007" w:rsidRPr="00D04087" w:rsidRDefault="004F1007" w:rsidP="00FB718A">
            <w:pPr>
              <w:widowControl/>
              <w:rPr>
                <w:rFonts w:ascii="Arial Narrow" w:hAnsi="Arial Narrow"/>
                <w:sz w:val="20"/>
              </w:rPr>
            </w:pPr>
            <w:r w:rsidRPr="00D04087">
              <w:rPr>
                <w:rFonts w:ascii="Arial Narrow" w:hAnsi="Arial Narrow"/>
                <w:sz w:val="20"/>
              </w:rPr>
              <w:t>(b) Had red cell transfusion within the previous 3 months.</w:t>
            </w:r>
          </w:p>
          <w:p w:rsidR="004F1007" w:rsidRDefault="004F1007" w:rsidP="00FB718A">
            <w:pPr>
              <w:widowControl/>
              <w:rPr>
                <w:rFonts w:ascii="Arial Narrow" w:hAnsi="Arial Narrow"/>
                <w:sz w:val="20"/>
              </w:rPr>
            </w:pPr>
          </w:p>
          <w:p w:rsidR="004F1007" w:rsidRDefault="004F1007" w:rsidP="00FB718A">
            <w:pPr>
              <w:widowControl/>
              <w:rPr>
                <w:rFonts w:ascii="Arial Narrow" w:hAnsi="Arial Narrow"/>
                <w:sz w:val="20"/>
              </w:rPr>
            </w:pPr>
            <w:r w:rsidRPr="00D04087">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4F1007" w:rsidRDefault="004F1007" w:rsidP="00FB718A">
            <w:pPr>
              <w:widowControl/>
              <w:rPr>
                <w:rFonts w:ascii="Arial Narrow" w:hAnsi="Arial Narrow"/>
                <w:sz w:val="20"/>
              </w:rPr>
            </w:pPr>
          </w:p>
          <w:p w:rsidR="004F1007" w:rsidRPr="005E26D6" w:rsidRDefault="004F1007" w:rsidP="00FB718A">
            <w:pPr>
              <w:widowControl/>
              <w:rPr>
                <w:rFonts w:ascii="Arial Narrow" w:hAnsi="Arial Narrow"/>
                <w:sz w:val="20"/>
              </w:rPr>
            </w:pPr>
            <w:r>
              <w:rPr>
                <w:rFonts w:ascii="Arial Narrow" w:hAnsi="Arial Narrow"/>
                <w:sz w:val="20"/>
              </w:rPr>
              <w:t>A patient whose diabetes was previously demonstrated unable to be controlled with metformin or a sulfonylurea does not need to requalify on this criterion before being eligible for PBS-subsidised treat</w:t>
            </w:r>
            <w:r w:rsidRPr="00A051DF">
              <w:rPr>
                <w:rFonts w:ascii="Arial Narrow" w:hAnsi="Arial Narrow"/>
                <w:sz w:val="20"/>
              </w:rPr>
              <w:t xml:space="preserve">ment with </w:t>
            </w:r>
            <w:r w:rsidRPr="00A051DF">
              <w:rPr>
                <w:rFonts w:ascii="Arial Narrow" w:hAnsi="Arial Narrow"/>
                <w:strike/>
                <w:sz w:val="20"/>
              </w:rPr>
              <w:t xml:space="preserve">sitagliptin </w:t>
            </w:r>
            <w:r w:rsidRPr="00096207">
              <w:rPr>
                <w:rFonts w:ascii="Arial Narrow" w:hAnsi="Arial Narrow"/>
                <w:i/>
                <w:sz w:val="20"/>
              </w:rPr>
              <w:t>this drug</w:t>
            </w:r>
            <w:r>
              <w:rPr>
                <w:rFonts w:ascii="Arial Narrow" w:hAnsi="Arial Narrow"/>
                <w:i/>
                <w:sz w:val="20"/>
              </w:rPr>
              <w:t>.</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Administrative Advice</w:t>
            </w:r>
          </w:p>
          <w:p w:rsidR="004F1007" w:rsidRPr="005E26D6" w:rsidRDefault="004F1007" w:rsidP="00FB718A">
            <w:pPr>
              <w:widowControl/>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4F1007" w:rsidRPr="00D04087" w:rsidRDefault="004F1007" w:rsidP="00FB718A">
            <w:pPr>
              <w:widowControl/>
              <w:rPr>
                <w:rFonts w:ascii="Arial Narrow" w:hAnsi="Arial Narrow"/>
                <w:b/>
                <w:i/>
                <w:sz w:val="20"/>
                <w:u w:val="single"/>
              </w:rPr>
            </w:pPr>
            <w:r w:rsidRPr="00D04087">
              <w:rPr>
                <w:rFonts w:ascii="Arial Narrow" w:hAnsi="Arial Narrow"/>
                <w:b/>
                <w:i/>
                <w:sz w:val="20"/>
                <w:u w:val="single"/>
              </w:rPr>
              <w:t>Note</w:t>
            </w:r>
          </w:p>
          <w:p w:rsidR="004F1007" w:rsidRPr="005E26D6" w:rsidRDefault="004F1007" w:rsidP="005F7D6F">
            <w:pPr>
              <w:widowControl/>
              <w:spacing w:before="75" w:after="75"/>
              <w:ind w:right="75"/>
              <w:rPr>
                <w:rFonts w:ascii="Arial Narrow" w:hAnsi="Arial Narrow"/>
                <w:i/>
                <w:sz w:val="20"/>
              </w:rPr>
            </w:pPr>
            <w:r w:rsidRPr="00773CCB">
              <w:rPr>
                <w:rFonts w:ascii="Arial Narrow" w:hAnsi="Arial Narrow"/>
                <w:i/>
                <w:sz w:val="20"/>
              </w:rPr>
              <w:t>This drug</w:t>
            </w:r>
            <w:r w:rsidRPr="006B736E">
              <w:rPr>
                <w:rFonts w:ascii="Arial Narrow" w:hAnsi="Arial Narrow"/>
                <w:i/>
                <w:sz w:val="20"/>
              </w:rPr>
              <w:t xml:space="preserve"> is not PBS-subsidised for use as monotherapy or in combination with a thiazolidinedione (glitazone), a glucagon-like peptide-1 or an SGLT2 inhibitor.</w:t>
            </w:r>
          </w:p>
        </w:tc>
      </w:tr>
    </w:tbl>
    <w:p w:rsidR="004F1007" w:rsidRDefault="004F1007" w:rsidP="00FB718A">
      <w:pPr>
        <w:widowControl/>
        <w:rPr>
          <w:szCs w:val="22"/>
        </w:rPr>
      </w:pPr>
    </w:p>
    <w:p w:rsidR="004F1007" w:rsidRDefault="004F1007" w:rsidP="00FB718A">
      <w:pPr>
        <w:widowControl/>
        <w:rPr>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708"/>
        <w:gridCol w:w="1276"/>
        <w:gridCol w:w="851"/>
      </w:tblGrid>
      <w:tr w:rsidR="004F1007" w:rsidRPr="005E26D6" w:rsidTr="0070442C">
        <w:trPr>
          <w:cantSplit/>
          <w:trHeight w:val="471"/>
        </w:trPr>
        <w:tc>
          <w:tcPr>
            <w:tcW w:w="4678" w:type="dxa"/>
            <w:tcBorders>
              <w:top w:val="nil"/>
              <w:left w:val="nil"/>
              <w:bottom w:val="single" w:sz="6" w:space="0" w:color="auto"/>
              <w:right w:val="nil"/>
            </w:tcBorders>
            <w:shd w:val="clear" w:color="auto" w:fill="auto"/>
          </w:tcPr>
          <w:p w:rsidR="004F1007" w:rsidRPr="005E26D6" w:rsidRDefault="004F1007" w:rsidP="00FB718A">
            <w:pPr>
              <w:keepNext/>
              <w:widowControl/>
              <w:ind w:left="-108"/>
              <w:rPr>
                <w:b/>
                <w:sz w:val="20"/>
              </w:rPr>
            </w:pPr>
            <w:r w:rsidRPr="005E26D6">
              <w:rPr>
                <w:b/>
                <w:sz w:val="20"/>
              </w:rPr>
              <w:t>Name, Restriction,</w:t>
            </w:r>
          </w:p>
          <w:p w:rsidR="004F1007" w:rsidRPr="005E26D6" w:rsidRDefault="004F1007" w:rsidP="00FB718A">
            <w:pPr>
              <w:keepNext/>
              <w:widowControl/>
              <w:ind w:left="-108"/>
              <w:rPr>
                <w:b/>
                <w:sz w:val="20"/>
              </w:rPr>
            </w:pPr>
            <w:r w:rsidRPr="005E26D6">
              <w:rPr>
                <w:b/>
                <w:sz w:val="20"/>
              </w:rPr>
              <w:t xml:space="preserve">Manner of administration </w:t>
            </w:r>
          </w:p>
          <w:p w:rsidR="004F1007" w:rsidRPr="005E26D6" w:rsidRDefault="004F1007" w:rsidP="00FB718A">
            <w:pPr>
              <w:keepNext/>
              <w:widowControl/>
              <w:ind w:left="-108"/>
              <w:rPr>
                <w:b/>
                <w:sz w:val="20"/>
              </w:rPr>
            </w:pPr>
            <w:r w:rsidRPr="005E26D6">
              <w:rPr>
                <w:b/>
                <w:sz w:val="20"/>
              </w:rPr>
              <w:t>and form</w:t>
            </w:r>
          </w:p>
        </w:tc>
        <w:tc>
          <w:tcPr>
            <w:tcW w:w="709" w:type="dxa"/>
            <w:tcBorders>
              <w:top w:val="nil"/>
              <w:left w:val="nil"/>
              <w:bottom w:val="single" w:sz="6" w:space="0" w:color="auto"/>
              <w:right w:val="nil"/>
            </w:tcBorders>
            <w:shd w:val="clear" w:color="auto" w:fill="auto"/>
          </w:tcPr>
          <w:p w:rsidR="004F1007" w:rsidRPr="005E26D6" w:rsidRDefault="004F1007" w:rsidP="00FB718A">
            <w:pPr>
              <w:keepNext/>
              <w:widowControl/>
              <w:ind w:left="-108"/>
              <w:rPr>
                <w:b/>
                <w:sz w:val="20"/>
              </w:rPr>
            </w:pPr>
            <w:r w:rsidRPr="005E26D6">
              <w:rPr>
                <w:b/>
                <w:sz w:val="20"/>
              </w:rPr>
              <w:t>Max.</w:t>
            </w:r>
          </w:p>
          <w:p w:rsidR="004F1007" w:rsidRPr="005E26D6" w:rsidRDefault="004F1007" w:rsidP="00FB718A">
            <w:pPr>
              <w:keepNext/>
              <w:widowControl/>
              <w:ind w:left="-108"/>
              <w:rPr>
                <w:b/>
                <w:sz w:val="20"/>
              </w:rPr>
            </w:pPr>
            <w:r w:rsidRPr="005E26D6">
              <w:rPr>
                <w:b/>
                <w:sz w:val="20"/>
              </w:rPr>
              <w:t>Qty</w:t>
            </w:r>
          </w:p>
        </w:tc>
        <w:tc>
          <w:tcPr>
            <w:tcW w:w="708" w:type="dxa"/>
            <w:tcBorders>
              <w:top w:val="nil"/>
              <w:left w:val="nil"/>
              <w:bottom w:val="single" w:sz="6" w:space="0" w:color="auto"/>
              <w:right w:val="nil"/>
            </w:tcBorders>
            <w:shd w:val="clear" w:color="auto" w:fill="auto"/>
          </w:tcPr>
          <w:p w:rsidR="004F1007" w:rsidRPr="005E26D6" w:rsidRDefault="004F1007" w:rsidP="00FB718A">
            <w:pPr>
              <w:keepNext/>
              <w:widowControl/>
              <w:ind w:left="-108"/>
              <w:rPr>
                <w:b/>
                <w:sz w:val="20"/>
              </w:rPr>
            </w:pPr>
            <w:r w:rsidRPr="005E26D6">
              <w:rPr>
                <w:b/>
                <w:sz w:val="20"/>
              </w:rPr>
              <w:t>№.of</w:t>
            </w:r>
          </w:p>
          <w:p w:rsidR="004F1007" w:rsidRPr="005E26D6" w:rsidRDefault="004F1007" w:rsidP="00FB718A">
            <w:pPr>
              <w:keepNext/>
              <w:widowControl/>
              <w:ind w:left="-108"/>
              <w:rPr>
                <w:b/>
                <w:sz w:val="20"/>
              </w:rPr>
            </w:pPr>
            <w:r w:rsidRPr="005E26D6">
              <w:rPr>
                <w:b/>
                <w:sz w:val="20"/>
              </w:rPr>
              <w:t>Rpts</w:t>
            </w:r>
          </w:p>
        </w:tc>
        <w:tc>
          <w:tcPr>
            <w:tcW w:w="2127" w:type="dxa"/>
            <w:gridSpan w:val="2"/>
            <w:tcBorders>
              <w:top w:val="nil"/>
              <w:left w:val="nil"/>
              <w:bottom w:val="single" w:sz="6" w:space="0" w:color="auto"/>
              <w:right w:val="nil"/>
            </w:tcBorders>
            <w:shd w:val="clear" w:color="auto" w:fill="auto"/>
          </w:tcPr>
          <w:p w:rsidR="004F1007" w:rsidRPr="005E26D6" w:rsidRDefault="004F1007" w:rsidP="00FB718A">
            <w:pPr>
              <w:keepNext/>
              <w:widowControl/>
              <w:rPr>
                <w:b/>
                <w:sz w:val="20"/>
                <w:lang w:val="fr-FR"/>
              </w:rPr>
            </w:pPr>
            <w:r w:rsidRPr="005E26D6">
              <w:rPr>
                <w:b/>
                <w:sz w:val="20"/>
              </w:rPr>
              <w:t>Proprietary Name and Manufacturer</w:t>
            </w:r>
          </w:p>
        </w:tc>
      </w:tr>
      <w:tr w:rsidR="004F1007" w:rsidRPr="005E26D6" w:rsidTr="0070442C">
        <w:trPr>
          <w:cantSplit/>
          <w:trHeight w:val="471"/>
        </w:trPr>
        <w:tc>
          <w:tcPr>
            <w:tcW w:w="4678" w:type="dxa"/>
            <w:tcBorders>
              <w:top w:val="single" w:sz="6" w:space="0" w:color="auto"/>
              <w:left w:val="nil"/>
              <w:bottom w:val="nil"/>
              <w:right w:val="nil"/>
            </w:tcBorders>
            <w:shd w:val="clear" w:color="auto" w:fill="auto"/>
            <w:vAlign w:val="center"/>
          </w:tcPr>
          <w:p w:rsidR="004F1007" w:rsidRDefault="004F1007" w:rsidP="00FB718A">
            <w:pPr>
              <w:widowControl/>
              <w:rPr>
                <w:rFonts w:ascii="Arial Narrow" w:hAnsi="Arial Narrow"/>
                <w:sz w:val="20"/>
              </w:rPr>
            </w:pPr>
            <w:r>
              <w:rPr>
                <w:rFonts w:ascii="Arial Narrow" w:hAnsi="Arial Narrow"/>
                <w:sz w:val="20"/>
              </w:rPr>
              <w:t>SITAGLIPTIN + METFORMIN</w:t>
            </w:r>
          </w:p>
          <w:p w:rsidR="004F1007" w:rsidRPr="00B20C48" w:rsidRDefault="004F1007" w:rsidP="00FB718A">
            <w:pPr>
              <w:widowControl/>
              <w:rPr>
                <w:rFonts w:ascii="Arial Narrow" w:hAnsi="Arial Narrow"/>
                <w:sz w:val="20"/>
              </w:rPr>
            </w:pPr>
            <w:r w:rsidRPr="00B20C48">
              <w:rPr>
                <w:rFonts w:ascii="Arial Narrow" w:hAnsi="Arial Narrow"/>
                <w:sz w:val="20"/>
              </w:rPr>
              <w:t>sitagliptin 50 mg + metformin hydrochloride 500 mg tablet, 56</w:t>
            </w:r>
          </w:p>
          <w:p w:rsidR="004F1007" w:rsidRDefault="004F1007" w:rsidP="00FB718A">
            <w:pPr>
              <w:widowControl/>
              <w:rPr>
                <w:rFonts w:ascii="Arial Narrow" w:hAnsi="Arial Narrow"/>
                <w:sz w:val="20"/>
              </w:rPr>
            </w:pPr>
            <w:r w:rsidRPr="00B20C48">
              <w:rPr>
                <w:rFonts w:ascii="Arial Narrow" w:hAnsi="Arial Narrow"/>
                <w:sz w:val="20"/>
              </w:rPr>
              <w:t>sitagliptin 50 mg + metformin hydrochloride 850 mg tablet, 56</w:t>
            </w:r>
          </w:p>
          <w:p w:rsidR="004F1007" w:rsidRDefault="004F1007" w:rsidP="00FB718A">
            <w:pPr>
              <w:widowControl/>
              <w:rPr>
                <w:rFonts w:ascii="Arial Narrow" w:hAnsi="Arial Narrow"/>
                <w:sz w:val="20"/>
              </w:rPr>
            </w:pPr>
            <w:r w:rsidRPr="00B20C48">
              <w:rPr>
                <w:rFonts w:ascii="Arial Narrow" w:hAnsi="Arial Narrow"/>
                <w:sz w:val="20"/>
              </w:rPr>
              <w:t>sitagliptin 50 mg + metformin hydrochloride 1 g tablet, 56</w:t>
            </w:r>
          </w:p>
          <w:p w:rsidR="004F1007" w:rsidRDefault="004F1007" w:rsidP="00FB718A">
            <w:pPr>
              <w:widowControl/>
              <w:rPr>
                <w:rFonts w:ascii="Arial Narrow" w:hAnsi="Arial Narrow"/>
                <w:sz w:val="20"/>
              </w:rPr>
            </w:pPr>
          </w:p>
          <w:p w:rsidR="004F1007" w:rsidRPr="00B20C48" w:rsidRDefault="004F1007" w:rsidP="00FB718A">
            <w:pPr>
              <w:widowControl/>
              <w:rPr>
                <w:rFonts w:ascii="Arial Narrow" w:hAnsi="Arial Narrow"/>
                <w:sz w:val="20"/>
              </w:rPr>
            </w:pPr>
            <w:r w:rsidRPr="00B20C48">
              <w:rPr>
                <w:rFonts w:ascii="Arial Narrow" w:hAnsi="Arial Narrow"/>
                <w:sz w:val="20"/>
              </w:rPr>
              <w:t>SITAGLIPTIN + METFORMIN</w:t>
            </w:r>
          </w:p>
          <w:p w:rsidR="004F1007" w:rsidRDefault="004F1007" w:rsidP="00FB718A">
            <w:pPr>
              <w:widowControl/>
              <w:rPr>
                <w:rFonts w:ascii="Arial Narrow" w:hAnsi="Arial Narrow"/>
                <w:sz w:val="20"/>
              </w:rPr>
            </w:pPr>
            <w:r w:rsidRPr="00B20C48">
              <w:rPr>
                <w:rFonts w:ascii="Arial Narrow" w:hAnsi="Arial Narrow"/>
                <w:sz w:val="20"/>
              </w:rPr>
              <w:t>sitagliptin 50 mg + metformin hydrochloride 1 g tablet: modified release, 56</w:t>
            </w:r>
          </w:p>
          <w:p w:rsidR="004F1007" w:rsidRPr="00096207" w:rsidRDefault="004F1007" w:rsidP="00FB718A">
            <w:pPr>
              <w:widowControl/>
              <w:rPr>
                <w:rFonts w:ascii="Arial Narrow" w:hAnsi="Arial Narrow"/>
                <w:sz w:val="20"/>
              </w:rPr>
            </w:pPr>
            <w:r w:rsidRPr="00B20C48">
              <w:rPr>
                <w:rFonts w:ascii="Arial Narrow" w:hAnsi="Arial Narrow"/>
                <w:sz w:val="20"/>
              </w:rPr>
              <w:t>sitagliptin 100 mg + metformin hydrochloride 1 g tablet: modified release, 28</w:t>
            </w:r>
          </w:p>
        </w:tc>
        <w:tc>
          <w:tcPr>
            <w:tcW w:w="709" w:type="dxa"/>
            <w:tcBorders>
              <w:top w:val="single" w:sz="6" w:space="0" w:color="auto"/>
              <w:left w:val="nil"/>
              <w:bottom w:val="nil"/>
              <w:right w:val="nil"/>
            </w:tcBorders>
            <w:shd w:val="clear" w:color="auto" w:fill="auto"/>
            <w:vAlign w:val="center"/>
          </w:tcPr>
          <w:p w:rsidR="004F1007" w:rsidRPr="005E26D6" w:rsidRDefault="004F1007" w:rsidP="00FB718A">
            <w:pPr>
              <w:keepNext/>
              <w:widowControl/>
              <w:rPr>
                <w:rFonts w:ascii="Arial Narrow" w:hAnsi="Arial Narrow"/>
                <w:sz w:val="20"/>
              </w:rPr>
            </w:pPr>
            <w:r>
              <w:rPr>
                <w:rFonts w:ascii="Arial Narrow" w:hAnsi="Arial Narrow"/>
                <w:sz w:val="20"/>
              </w:rPr>
              <w:t>1</w:t>
            </w:r>
          </w:p>
        </w:tc>
        <w:tc>
          <w:tcPr>
            <w:tcW w:w="708" w:type="dxa"/>
            <w:tcBorders>
              <w:top w:val="single" w:sz="6" w:space="0" w:color="auto"/>
              <w:left w:val="nil"/>
              <w:bottom w:val="nil"/>
              <w:right w:val="nil"/>
            </w:tcBorders>
            <w:shd w:val="clear" w:color="auto" w:fill="auto"/>
            <w:vAlign w:val="center"/>
          </w:tcPr>
          <w:p w:rsidR="004F1007" w:rsidRPr="005E26D6" w:rsidRDefault="004F1007" w:rsidP="00FB718A">
            <w:pPr>
              <w:keepNext/>
              <w:widowControl/>
              <w:ind w:left="-108"/>
              <w:jc w:val="center"/>
              <w:rPr>
                <w:rFonts w:ascii="Arial Narrow" w:hAnsi="Arial Narrow"/>
                <w:sz w:val="20"/>
              </w:rPr>
            </w:pPr>
            <w:r>
              <w:rPr>
                <w:rFonts w:ascii="Arial Narrow" w:hAnsi="Arial Narrow"/>
                <w:sz w:val="20"/>
              </w:rPr>
              <w:t>5</w:t>
            </w:r>
          </w:p>
        </w:tc>
        <w:tc>
          <w:tcPr>
            <w:tcW w:w="1276" w:type="dxa"/>
            <w:tcBorders>
              <w:top w:val="single" w:sz="6" w:space="0" w:color="auto"/>
              <w:left w:val="nil"/>
              <w:bottom w:val="nil"/>
              <w:right w:val="nil"/>
            </w:tcBorders>
            <w:shd w:val="clear" w:color="auto" w:fill="auto"/>
            <w:vAlign w:val="center"/>
          </w:tcPr>
          <w:p w:rsidR="004F1007" w:rsidRDefault="004F1007" w:rsidP="00FB718A">
            <w:pPr>
              <w:keepNext/>
              <w:widowControl/>
              <w:rPr>
                <w:rFonts w:ascii="Arial Narrow" w:hAnsi="Arial Narrow"/>
                <w:sz w:val="20"/>
              </w:rPr>
            </w:pPr>
            <w:r>
              <w:rPr>
                <w:rFonts w:ascii="Arial Narrow" w:hAnsi="Arial Narrow"/>
                <w:sz w:val="20"/>
              </w:rPr>
              <w:t>Janumet</w:t>
            </w:r>
            <w:r w:rsidRPr="005E26D6">
              <w:rPr>
                <w:rFonts w:ascii="Arial Narrow" w:hAnsi="Arial Narrow"/>
                <w:sz w:val="20"/>
                <w:vertAlign w:val="superscript"/>
              </w:rPr>
              <w:t>®</w:t>
            </w:r>
            <w:r w:rsidRPr="005E26D6">
              <w:rPr>
                <w:rFonts w:ascii="Arial Narrow" w:hAnsi="Arial Narrow"/>
                <w:sz w:val="20"/>
              </w:rPr>
              <w:t xml:space="preserve"> </w:t>
            </w:r>
          </w:p>
          <w:p w:rsidR="004F1007" w:rsidRPr="005E26D6" w:rsidRDefault="004F1007" w:rsidP="00FB718A">
            <w:pPr>
              <w:keepNext/>
              <w:widowControl/>
              <w:rPr>
                <w:rFonts w:ascii="Arial Narrow" w:hAnsi="Arial Narrow"/>
                <w:sz w:val="20"/>
              </w:rPr>
            </w:pPr>
            <w:r>
              <w:rPr>
                <w:rFonts w:ascii="Arial Narrow" w:hAnsi="Arial Narrow"/>
                <w:sz w:val="20"/>
              </w:rPr>
              <w:t>Janumet XR</w:t>
            </w:r>
            <w:r w:rsidRPr="005E26D6">
              <w:rPr>
                <w:rFonts w:ascii="Arial Narrow" w:hAnsi="Arial Narrow"/>
                <w:sz w:val="20"/>
                <w:vertAlign w:val="superscript"/>
              </w:rPr>
              <w:t>®</w:t>
            </w:r>
            <w:r w:rsidRPr="005E26D6">
              <w:rPr>
                <w:rFonts w:ascii="Arial Narrow" w:hAnsi="Arial Narrow"/>
                <w:sz w:val="20"/>
              </w:rPr>
              <w:t xml:space="preserve">  </w:t>
            </w:r>
          </w:p>
        </w:tc>
        <w:tc>
          <w:tcPr>
            <w:tcW w:w="851" w:type="dxa"/>
            <w:tcBorders>
              <w:top w:val="single" w:sz="6" w:space="0" w:color="auto"/>
              <w:left w:val="nil"/>
              <w:bottom w:val="nil"/>
              <w:right w:val="nil"/>
            </w:tcBorders>
            <w:shd w:val="clear" w:color="auto" w:fill="auto"/>
            <w:vAlign w:val="center"/>
          </w:tcPr>
          <w:p w:rsidR="004F1007" w:rsidRPr="005E26D6" w:rsidRDefault="004F1007" w:rsidP="00FB718A">
            <w:pPr>
              <w:keepNext/>
              <w:widowControl/>
              <w:jc w:val="center"/>
              <w:rPr>
                <w:rFonts w:ascii="Arial Narrow" w:hAnsi="Arial Narrow"/>
                <w:sz w:val="20"/>
              </w:rPr>
            </w:pPr>
            <w:r>
              <w:rPr>
                <w:rFonts w:ascii="Arial Narrow" w:hAnsi="Arial Narrow"/>
                <w:sz w:val="20"/>
              </w:rPr>
              <w:t>MK</w:t>
            </w:r>
          </w:p>
        </w:tc>
      </w:tr>
    </w:tbl>
    <w:p w:rsidR="004F1007" w:rsidRPr="00552722" w:rsidRDefault="004F1007" w:rsidP="00FB718A">
      <w:pPr>
        <w:widowControl/>
        <w:rPr>
          <w:szCs w:val="22"/>
        </w:rPr>
      </w:pPr>
    </w:p>
    <w:tbl>
      <w:tblPr>
        <w:tblW w:w="8222" w:type="dxa"/>
        <w:tblInd w:w="817" w:type="dxa"/>
        <w:tblLayout w:type="fixed"/>
        <w:tblLook w:val="0000" w:firstRow="0" w:lastRow="0" w:firstColumn="0" w:lastColumn="0" w:noHBand="0" w:noVBand="0"/>
      </w:tblPr>
      <w:tblGrid>
        <w:gridCol w:w="1984"/>
        <w:gridCol w:w="6238"/>
      </w:tblGrid>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Category / Program</w:t>
            </w:r>
          </w:p>
        </w:tc>
        <w:tc>
          <w:tcPr>
            <w:tcW w:w="6238"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5E26D6">
              <w:rPr>
                <w:rFonts w:ascii="Arial Narrow" w:hAnsi="Arial Narrow"/>
                <w:sz w:val="20"/>
              </w:rPr>
              <w:t xml:space="preserve">GENERAL – General Schedule </w:t>
            </w:r>
            <w:r>
              <w:rPr>
                <w:rFonts w:ascii="Arial Narrow" w:hAnsi="Arial Narrow"/>
                <w:sz w:val="20"/>
              </w:rPr>
              <w:t>(GE)</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Prescriber type:</w:t>
            </w:r>
          </w:p>
        </w:tc>
        <w:tc>
          <w:tcPr>
            <w:tcW w:w="6238"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5E26D6">
              <w:rPr>
                <w:rFonts w:ascii="Arial Narrow" w:hAnsi="Arial Narrow"/>
                <w:sz w:val="20"/>
              </w:rPr>
              <w:fldChar w:fldCharType="begin">
                <w:ffData>
                  <w:name w:val=""/>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Medical Practitioners  </w:t>
            </w:r>
            <w:r w:rsidRPr="005E26D6">
              <w:rPr>
                <w:rFonts w:ascii="Arial Narrow" w:hAnsi="Arial Narrow"/>
                <w:sz w:val="20"/>
              </w:rPr>
              <w:fldChar w:fldCharType="begin">
                <w:ffData>
                  <w:name w:val="Check3"/>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Nurse practitioners  </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Condition:</w:t>
            </w:r>
          </w:p>
        </w:tc>
        <w:tc>
          <w:tcPr>
            <w:tcW w:w="6238"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69572D">
              <w:rPr>
                <w:rFonts w:ascii="Arial Narrow" w:hAnsi="Arial Narrow"/>
                <w:sz w:val="20"/>
              </w:rPr>
              <w:t>Diabetes mellitus type 2</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PBS Indication:</w:t>
            </w:r>
          </w:p>
        </w:tc>
        <w:tc>
          <w:tcPr>
            <w:tcW w:w="6238"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69572D">
              <w:rPr>
                <w:rFonts w:ascii="Arial Narrow" w:hAnsi="Arial Narrow"/>
                <w:sz w:val="20"/>
              </w:rPr>
              <w:t>Diabetes mellitus type 2</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Restriction Level / Method:</w:t>
            </w:r>
          </w:p>
          <w:p w:rsidR="004F1007" w:rsidRPr="005E26D6" w:rsidRDefault="004F1007" w:rsidP="00FB718A">
            <w:pPr>
              <w:widowControl/>
              <w:rPr>
                <w:rFonts w:ascii="Arial Narrow" w:hAnsi="Arial Narrow"/>
                <w:sz w:val="20"/>
              </w:rPr>
            </w:pPr>
          </w:p>
        </w:tc>
        <w:tc>
          <w:tcPr>
            <w:tcW w:w="6238"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Pr>
                <w:rFonts w:ascii="Arial Narrow" w:hAnsi="Arial Narrow"/>
                <w:sz w:val="20"/>
              </w:rPr>
              <w:t>Authority required (Streamlined)</w:t>
            </w: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Clinical criteria:</w:t>
            </w:r>
          </w:p>
        </w:tc>
        <w:tc>
          <w:tcPr>
            <w:tcW w:w="6238" w:type="dxa"/>
            <w:tcBorders>
              <w:top w:val="single" w:sz="4" w:space="0" w:color="auto"/>
              <w:left w:val="single" w:sz="4" w:space="0" w:color="auto"/>
              <w:bottom w:val="single" w:sz="4" w:space="0" w:color="auto"/>
              <w:right w:val="single" w:sz="4" w:space="0" w:color="auto"/>
            </w:tcBorders>
          </w:tcPr>
          <w:p w:rsidR="004F1007" w:rsidRPr="00096207" w:rsidRDefault="004F1007" w:rsidP="00FB718A">
            <w:pPr>
              <w:widowControl/>
              <w:rPr>
                <w:rFonts w:ascii="Arial Narrow" w:hAnsi="Arial Narrow"/>
                <w:strike/>
                <w:sz w:val="20"/>
              </w:rPr>
            </w:pPr>
            <w:r w:rsidRPr="00096207">
              <w:rPr>
                <w:rFonts w:ascii="Arial Narrow" w:hAnsi="Arial Narrow"/>
                <w:strike/>
                <w:sz w:val="20"/>
              </w:rPr>
              <w:t>The treatment must be in combination with metformin,</w:t>
            </w:r>
          </w:p>
          <w:p w:rsidR="004F1007" w:rsidRPr="00096207" w:rsidRDefault="004F1007" w:rsidP="00FB718A">
            <w:pPr>
              <w:widowControl/>
              <w:rPr>
                <w:rFonts w:ascii="Arial Narrow" w:hAnsi="Arial Narrow"/>
                <w:strike/>
                <w:sz w:val="20"/>
              </w:rPr>
            </w:pPr>
          </w:p>
          <w:p w:rsidR="004F1007" w:rsidRPr="00096207" w:rsidRDefault="004F1007" w:rsidP="00FB718A">
            <w:pPr>
              <w:widowControl/>
              <w:rPr>
                <w:rFonts w:ascii="Arial Narrow" w:hAnsi="Arial Narrow"/>
                <w:strike/>
                <w:sz w:val="20"/>
              </w:rPr>
            </w:pPr>
            <w:r w:rsidRPr="00096207">
              <w:rPr>
                <w:rFonts w:ascii="Arial Narrow" w:hAnsi="Arial Narrow"/>
                <w:strike/>
                <w:sz w:val="20"/>
              </w:rPr>
              <w:t>AND</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The treatment must be in combination with a sulfonylurea,</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AND</w:t>
            </w:r>
          </w:p>
          <w:p w:rsidR="004F1007" w:rsidRDefault="004F1007" w:rsidP="00FB718A">
            <w:pPr>
              <w:widowControl/>
              <w:rPr>
                <w:rFonts w:ascii="Arial Narrow" w:hAnsi="Arial Narrow"/>
                <w:sz w:val="20"/>
              </w:rPr>
            </w:pPr>
          </w:p>
          <w:p w:rsidR="004F1007" w:rsidRPr="00A051DF" w:rsidRDefault="004F1007" w:rsidP="00FB718A">
            <w:pPr>
              <w:widowControl/>
              <w:rPr>
                <w:rFonts w:ascii="Arial Narrow" w:hAnsi="Arial Narrow"/>
                <w:sz w:val="20"/>
              </w:rPr>
            </w:pPr>
            <w:r w:rsidRPr="00D04087">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w:t>
            </w:r>
            <w:r w:rsidRPr="000510AE">
              <w:rPr>
                <w:rFonts w:ascii="Arial Narrow" w:hAnsi="Arial Narrow"/>
                <w:strike/>
                <w:sz w:val="20"/>
              </w:rPr>
              <w:t>either metformin or a sulfonylurea or metformin and sitagliptin or a sulfonylurea and sitagli</w:t>
            </w:r>
            <w:r w:rsidRPr="00A051DF">
              <w:rPr>
                <w:rFonts w:ascii="Arial Narrow" w:hAnsi="Arial Narrow"/>
                <w:strike/>
                <w:sz w:val="20"/>
              </w:rPr>
              <w:t>ptin</w:t>
            </w:r>
            <w:r w:rsidRPr="00096207">
              <w:rPr>
                <w:rFonts w:ascii="Arial Narrow" w:hAnsi="Arial Narrow"/>
                <w:sz w:val="20"/>
              </w:rPr>
              <w:t xml:space="preserve"> </w:t>
            </w:r>
            <w:r w:rsidRPr="00096207">
              <w:rPr>
                <w:rFonts w:ascii="Arial Narrow" w:hAnsi="Arial Narrow"/>
                <w:i/>
                <w:sz w:val="20"/>
              </w:rPr>
              <w:t>maximally tolerated doses of metformin and a sulfonylurea;</w:t>
            </w:r>
            <w:r w:rsidRPr="00A051DF">
              <w:rPr>
                <w:rFonts w:ascii="Arial Narrow" w:hAnsi="Arial Narrow"/>
                <w:i/>
                <w:sz w:val="20"/>
              </w:rPr>
              <w:t xml:space="preserve"> </w:t>
            </w:r>
          </w:p>
          <w:p w:rsidR="004F1007" w:rsidRPr="00A051DF" w:rsidRDefault="004F1007" w:rsidP="00FB718A">
            <w:pPr>
              <w:widowControl/>
              <w:rPr>
                <w:rFonts w:ascii="Arial Narrow" w:hAnsi="Arial Narrow"/>
                <w:sz w:val="20"/>
              </w:rPr>
            </w:pPr>
            <w:r w:rsidRPr="00A051DF">
              <w:rPr>
                <w:rFonts w:ascii="Arial Narrow" w:hAnsi="Arial Narrow"/>
                <w:sz w:val="20"/>
              </w:rPr>
              <w:t>OR</w:t>
            </w:r>
          </w:p>
          <w:p w:rsidR="004F1007" w:rsidRPr="00096207" w:rsidRDefault="004F1007" w:rsidP="00FB718A">
            <w:pPr>
              <w:widowControl/>
              <w:rPr>
                <w:rFonts w:ascii="Arial Narrow" w:hAnsi="Arial Narrow"/>
                <w:sz w:val="20"/>
              </w:rPr>
            </w:pPr>
            <w:r w:rsidRPr="00A051DF">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w:t>
            </w:r>
            <w:r w:rsidRPr="002C27F3">
              <w:rPr>
                <w:rFonts w:ascii="Arial Narrow" w:hAnsi="Arial Narrow"/>
                <w:sz w:val="20"/>
              </w:rPr>
              <w:t xml:space="preserve">ke peptide-1 or an SGLT2 inhibitor despite treatment with </w:t>
            </w:r>
            <w:r w:rsidRPr="002C27F3">
              <w:rPr>
                <w:rFonts w:ascii="Arial Narrow" w:hAnsi="Arial Narrow"/>
                <w:strike/>
                <w:sz w:val="20"/>
              </w:rPr>
              <w:t>either metformin or a sulfonylurea or metformin and sitagliptin or a sulfonylurea and sitagliptin</w:t>
            </w:r>
            <w:r w:rsidRPr="002C27F3">
              <w:rPr>
                <w:rFonts w:ascii="Arial Narrow" w:hAnsi="Arial Narrow"/>
                <w:sz w:val="20"/>
              </w:rPr>
              <w:t xml:space="preserve"> </w:t>
            </w:r>
            <w:r w:rsidRPr="00096207">
              <w:rPr>
                <w:rFonts w:ascii="Arial Narrow" w:hAnsi="Arial Narrow"/>
                <w:i/>
                <w:sz w:val="20"/>
              </w:rPr>
              <w:t>maximally tolerated doses of metformin and a sulfonylurea.</w:t>
            </w:r>
          </w:p>
          <w:p w:rsidR="004F1007" w:rsidRPr="005E26D6" w:rsidRDefault="004F1007" w:rsidP="00FB718A">
            <w:pPr>
              <w:widowControl/>
              <w:rPr>
                <w:rFonts w:ascii="Arial Narrow" w:hAnsi="Arial Narrow"/>
                <w:sz w:val="20"/>
              </w:rPr>
            </w:pP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sz w:val="20"/>
              </w:rPr>
            </w:pPr>
            <w:r w:rsidRPr="005E26D6">
              <w:rPr>
                <w:rFonts w:ascii="Arial Narrow" w:hAnsi="Arial Narrow"/>
                <w:b/>
                <w:sz w:val="20"/>
              </w:rPr>
              <w:t>Prescriber Instructions</w:t>
            </w:r>
          </w:p>
        </w:tc>
        <w:tc>
          <w:tcPr>
            <w:tcW w:w="6238" w:type="dxa"/>
            <w:tcBorders>
              <w:top w:val="single" w:sz="4" w:space="0" w:color="auto"/>
              <w:left w:val="single" w:sz="4" w:space="0" w:color="auto"/>
              <w:bottom w:val="single" w:sz="4" w:space="0" w:color="auto"/>
              <w:right w:val="single" w:sz="4" w:space="0" w:color="auto"/>
            </w:tcBorders>
          </w:tcPr>
          <w:p w:rsidR="004F1007" w:rsidRDefault="004F1007" w:rsidP="00FB718A">
            <w:pPr>
              <w:widowControl/>
              <w:rPr>
                <w:rFonts w:ascii="Arial Narrow" w:hAnsi="Arial Narrow"/>
                <w:sz w:val="20"/>
              </w:rPr>
            </w:pPr>
            <w:r w:rsidRPr="00D04087">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The HbA1c must be no more than 4 months old at the time treatment with a gliptin, a glitazone, a glucagon-like peptide-1 or an SGLT2 inhibitor was initiated.</w:t>
            </w:r>
          </w:p>
          <w:p w:rsidR="004F1007" w:rsidRDefault="004F1007" w:rsidP="00FB718A">
            <w:pPr>
              <w:widowControl/>
              <w:rPr>
                <w:rFonts w:ascii="Arial Narrow" w:hAnsi="Arial Narrow"/>
                <w:sz w:val="20"/>
              </w:rPr>
            </w:pPr>
          </w:p>
          <w:p w:rsidR="004F1007" w:rsidRPr="00D04087" w:rsidRDefault="004F1007" w:rsidP="00FB718A">
            <w:pPr>
              <w:widowControl/>
              <w:rPr>
                <w:rFonts w:ascii="Arial Narrow" w:hAnsi="Arial Narrow"/>
                <w:sz w:val="20"/>
              </w:rPr>
            </w:pPr>
            <w:r w:rsidRPr="00D04087">
              <w:rPr>
                <w:rFonts w:ascii="Arial Narrow" w:hAnsi="Arial Narrow"/>
                <w:sz w:val="20"/>
              </w:rPr>
              <w:t>Blood glucose monitoring may be used as an alternative assessment to HbA1c levels in the following circumstances:</w:t>
            </w:r>
          </w:p>
          <w:p w:rsidR="004F1007" w:rsidRPr="00D04087" w:rsidRDefault="004F1007" w:rsidP="00FB718A">
            <w:pPr>
              <w:widowControl/>
              <w:rPr>
                <w:rFonts w:ascii="Arial Narrow" w:hAnsi="Arial Narrow"/>
                <w:sz w:val="20"/>
              </w:rPr>
            </w:pPr>
            <w:r w:rsidRPr="00D04087">
              <w:rPr>
                <w:rFonts w:ascii="Arial Narrow" w:hAnsi="Arial Narrow"/>
                <w:sz w:val="20"/>
              </w:rPr>
              <w:t>(a) A clinical condition with reduced red blood cell survival, including haemolytic anaemias and haemoglobinopathies; and/or</w:t>
            </w:r>
          </w:p>
          <w:p w:rsidR="004F1007" w:rsidRPr="00D04087" w:rsidRDefault="004F1007" w:rsidP="00FB718A">
            <w:pPr>
              <w:widowControl/>
              <w:rPr>
                <w:rFonts w:ascii="Arial Narrow" w:hAnsi="Arial Narrow"/>
                <w:sz w:val="20"/>
              </w:rPr>
            </w:pPr>
            <w:r w:rsidRPr="00D04087">
              <w:rPr>
                <w:rFonts w:ascii="Arial Narrow" w:hAnsi="Arial Narrow"/>
                <w:sz w:val="20"/>
              </w:rPr>
              <w:t>(b) Had red cell transfusion within the previous 3 months.</w:t>
            </w:r>
          </w:p>
          <w:p w:rsidR="004F1007" w:rsidRDefault="004F1007" w:rsidP="00FB718A">
            <w:pPr>
              <w:widowControl/>
              <w:rPr>
                <w:rFonts w:ascii="Arial Narrow" w:hAnsi="Arial Narrow"/>
                <w:sz w:val="20"/>
              </w:rPr>
            </w:pPr>
          </w:p>
          <w:p w:rsidR="004F1007" w:rsidRDefault="004F1007" w:rsidP="00FB718A">
            <w:pPr>
              <w:widowControl/>
              <w:rPr>
                <w:rFonts w:ascii="Arial Narrow" w:hAnsi="Arial Narrow"/>
                <w:sz w:val="20"/>
              </w:rPr>
            </w:pPr>
            <w:r w:rsidRPr="00D04087">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4F1007" w:rsidRDefault="004F1007" w:rsidP="00FB718A">
            <w:pPr>
              <w:widowControl/>
              <w:rPr>
                <w:rFonts w:ascii="Arial Narrow" w:hAnsi="Arial Narrow"/>
                <w:sz w:val="20"/>
              </w:rPr>
            </w:pPr>
          </w:p>
          <w:p w:rsidR="004F1007" w:rsidRPr="00BE5480" w:rsidRDefault="004F1007" w:rsidP="00FB718A">
            <w:pPr>
              <w:widowControl/>
              <w:rPr>
                <w:rFonts w:ascii="Arial Narrow" w:hAnsi="Arial Narrow"/>
                <w:sz w:val="20"/>
              </w:rPr>
            </w:pPr>
            <w:r>
              <w:rPr>
                <w:rFonts w:ascii="Arial Narrow" w:hAnsi="Arial Narrow"/>
                <w:sz w:val="20"/>
              </w:rPr>
              <w:t>A patient whose diabetes was previously demonstrated unable to be controlled with metformin or a sulfonylurea does not need to requalify on this criterion before being eligible for PBS-subsidised treat</w:t>
            </w:r>
            <w:r w:rsidRPr="00A051DF">
              <w:rPr>
                <w:rFonts w:ascii="Arial Narrow" w:hAnsi="Arial Narrow"/>
                <w:sz w:val="20"/>
              </w:rPr>
              <w:t xml:space="preserve">ment with </w:t>
            </w:r>
            <w:r w:rsidRPr="00A051DF">
              <w:rPr>
                <w:rFonts w:ascii="Arial Narrow" w:hAnsi="Arial Narrow"/>
                <w:strike/>
                <w:sz w:val="20"/>
              </w:rPr>
              <w:t xml:space="preserve">sitagliptin </w:t>
            </w:r>
            <w:r w:rsidRPr="00096207">
              <w:rPr>
                <w:rFonts w:ascii="Arial Narrow" w:hAnsi="Arial Narrow"/>
                <w:i/>
                <w:sz w:val="20"/>
              </w:rPr>
              <w:t>this drug</w:t>
            </w:r>
            <w:r>
              <w:rPr>
                <w:rFonts w:ascii="Arial Narrow" w:hAnsi="Arial Narrow"/>
                <w:i/>
                <w:sz w:val="20"/>
              </w:rPr>
              <w:t>.</w:t>
            </w:r>
          </w:p>
          <w:p w:rsidR="004F1007" w:rsidRPr="005E26D6" w:rsidRDefault="004F1007" w:rsidP="00FB718A">
            <w:pPr>
              <w:widowControl/>
              <w:rPr>
                <w:rFonts w:ascii="Arial Narrow" w:hAnsi="Arial Narrow"/>
                <w:sz w:val="20"/>
              </w:rPr>
            </w:pPr>
          </w:p>
        </w:tc>
      </w:tr>
      <w:tr w:rsidR="004F1007" w:rsidRPr="005E26D6" w:rsidTr="004F1007">
        <w:trPr>
          <w:cantSplit/>
          <w:trHeight w:val="360"/>
        </w:trPr>
        <w:tc>
          <w:tcPr>
            <w:tcW w:w="1984" w:type="dxa"/>
            <w:tcBorders>
              <w:top w:val="single" w:sz="4" w:space="0" w:color="auto"/>
              <w:left w:val="single" w:sz="4" w:space="0" w:color="auto"/>
              <w:bottom w:val="single" w:sz="4" w:space="0" w:color="auto"/>
              <w:right w:val="single" w:sz="4" w:space="0" w:color="auto"/>
            </w:tcBorders>
          </w:tcPr>
          <w:p w:rsidR="004F1007" w:rsidRPr="005E26D6" w:rsidRDefault="004F1007" w:rsidP="00FB718A">
            <w:pPr>
              <w:widowControl/>
              <w:rPr>
                <w:rFonts w:ascii="Arial Narrow" w:hAnsi="Arial Narrow"/>
                <w:b/>
                <w:sz w:val="20"/>
              </w:rPr>
            </w:pPr>
            <w:r w:rsidRPr="005E26D6">
              <w:rPr>
                <w:rFonts w:ascii="Arial Narrow" w:hAnsi="Arial Narrow"/>
                <w:b/>
                <w:sz w:val="20"/>
              </w:rPr>
              <w:t>Administrative Advice</w:t>
            </w:r>
          </w:p>
          <w:p w:rsidR="004F1007" w:rsidRPr="005E26D6" w:rsidRDefault="004F1007" w:rsidP="00FB718A">
            <w:pPr>
              <w:widowControl/>
              <w:rPr>
                <w:rFonts w:ascii="Arial Narrow" w:hAnsi="Arial Narrow"/>
                <w:i/>
                <w:sz w:val="20"/>
              </w:rPr>
            </w:pPr>
          </w:p>
        </w:tc>
        <w:tc>
          <w:tcPr>
            <w:tcW w:w="6238" w:type="dxa"/>
            <w:tcBorders>
              <w:top w:val="single" w:sz="4" w:space="0" w:color="auto"/>
              <w:left w:val="single" w:sz="4" w:space="0" w:color="auto"/>
              <w:bottom w:val="single" w:sz="4" w:space="0" w:color="auto"/>
              <w:right w:val="single" w:sz="4" w:space="0" w:color="auto"/>
            </w:tcBorders>
          </w:tcPr>
          <w:p w:rsidR="004F1007" w:rsidRPr="00D04087" w:rsidRDefault="004F1007" w:rsidP="00FB718A">
            <w:pPr>
              <w:widowControl/>
              <w:rPr>
                <w:rFonts w:ascii="Arial Narrow" w:hAnsi="Arial Narrow"/>
                <w:b/>
                <w:i/>
                <w:sz w:val="20"/>
                <w:u w:val="single"/>
              </w:rPr>
            </w:pPr>
            <w:r w:rsidRPr="00D04087">
              <w:rPr>
                <w:rFonts w:ascii="Arial Narrow" w:hAnsi="Arial Narrow"/>
                <w:b/>
                <w:i/>
                <w:sz w:val="20"/>
                <w:u w:val="single"/>
              </w:rPr>
              <w:t>Note</w:t>
            </w:r>
          </w:p>
          <w:p w:rsidR="004F1007" w:rsidRPr="00026CCA" w:rsidRDefault="004F1007" w:rsidP="00FB718A">
            <w:pPr>
              <w:widowControl/>
              <w:spacing w:before="75" w:after="75"/>
              <w:ind w:right="75"/>
              <w:rPr>
                <w:rFonts w:ascii="Arial Narrow" w:hAnsi="Arial Narrow"/>
                <w:i/>
                <w:sz w:val="20"/>
              </w:rPr>
            </w:pPr>
            <w:r w:rsidRPr="00773CCB">
              <w:rPr>
                <w:rFonts w:ascii="Arial Narrow" w:hAnsi="Arial Narrow"/>
                <w:i/>
                <w:sz w:val="20"/>
              </w:rPr>
              <w:t>This drug</w:t>
            </w:r>
            <w:r w:rsidRPr="006B736E">
              <w:rPr>
                <w:rFonts w:ascii="Arial Narrow" w:hAnsi="Arial Narrow"/>
                <w:i/>
                <w:sz w:val="20"/>
              </w:rPr>
              <w:t xml:space="preserve"> is not PBS-subsidised for use as monotherapy or in combination with a thiazolidinedione (glitazone), a glucagon-like peptide-1 or an SGLT2 inhibitor.</w:t>
            </w:r>
          </w:p>
        </w:tc>
      </w:tr>
    </w:tbl>
    <w:p w:rsidR="004F75DB" w:rsidRPr="00A939CD" w:rsidRDefault="004F75DB" w:rsidP="00FB718A">
      <w:pPr>
        <w:pStyle w:val="PBACHeading1"/>
        <w:numPr>
          <w:ilvl w:val="0"/>
          <w:numId w:val="0"/>
        </w:numPr>
        <w:ind w:left="720"/>
      </w:pPr>
    </w:p>
    <w:p w:rsidR="004F75DB" w:rsidRPr="00223630" w:rsidRDefault="004F75DB" w:rsidP="00FB718A">
      <w:pPr>
        <w:widowControl/>
      </w:pPr>
    </w:p>
    <w:p w:rsidR="002C2775" w:rsidRDefault="00EF7C86" w:rsidP="00FB718A">
      <w:pPr>
        <w:pStyle w:val="ListParagraph"/>
        <w:widowControl/>
        <w:numPr>
          <w:ilvl w:val="1"/>
          <w:numId w:val="5"/>
        </w:numPr>
        <w:rPr>
          <w:szCs w:val="22"/>
        </w:rPr>
      </w:pPr>
      <w:r>
        <w:rPr>
          <w:szCs w:val="22"/>
        </w:rPr>
        <w:t>The listing was requested on a c</w:t>
      </w:r>
      <w:r w:rsidR="004F75DB" w:rsidRPr="004F75DB">
        <w:rPr>
          <w:szCs w:val="22"/>
        </w:rPr>
        <w:t xml:space="preserve">ost-minimisation </w:t>
      </w:r>
      <w:r>
        <w:rPr>
          <w:szCs w:val="22"/>
        </w:rPr>
        <w:t xml:space="preserve">basis </w:t>
      </w:r>
      <w:r w:rsidR="004F75DB" w:rsidRPr="004F75DB">
        <w:rPr>
          <w:szCs w:val="22"/>
        </w:rPr>
        <w:t xml:space="preserve">compared to dapagliflozin, assuming that cost-offsets applied in </w:t>
      </w:r>
      <w:r w:rsidR="007A6DE4">
        <w:rPr>
          <w:szCs w:val="22"/>
        </w:rPr>
        <w:t xml:space="preserve">the </w:t>
      </w:r>
      <w:r w:rsidR="004F75DB" w:rsidRPr="004F75DB">
        <w:rPr>
          <w:szCs w:val="22"/>
        </w:rPr>
        <w:t xml:space="preserve">PBS dual therapy listing will apply to </w:t>
      </w:r>
      <w:r w:rsidR="007A6DE4">
        <w:rPr>
          <w:szCs w:val="22"/>
        </w:rPr>
        <w:t xml:space="preserve">the </w:t>
      </w:r>
      <w:r w:rsidR="004F75DB" w:rsidRPr="004F75DB">
        <w:rPr>
          <w:szCs w:val="22"/>
        </w:rPr>
        <w:t>listing of dapagliflozin and sitagliptin when used in triple oral therapy.</w:t>
      </w:r>
      <w:r w:rsidR="0020385F" w:rsidRPr="004F75DB">
        <w:rPr>
          <w:szCs w:val="22"/>
        </w:rPr>
        <w:t xml:space="preserve"> </w:t>
      </w:r>
    </w:p>
    <w:p w:rsidR="00DF4D9D" w:rsidRDefault="00DF4D9D" w:rsidP="00FB718A">
      <w:pPr>
        <w:pStyle w:val="ListParagraph"/>
        <w:widowControl/>
        <w:rPr>
          <w:szCs w:val="22"/>
        </w:rPr>
      </w:pPr>
    </w:p>
    <w:p w:rsidR="00DF4D9D" w:rsidRPr="007C6C4E" w:rsidRDefault="00AA3C1C" w:rsidP="00FB718A">
      <w:pPr>
        <w:pStyle w:val="ListParagraph"/>
        <w:widowControl/>
        <w:numPr>
          <w:ilvl w:val="1"/>
          <w:numId w:val="5"/>
        </w:numPr>
        <w:rPr>
          <w:szCs w:val="22"/>
        </w:rPr>
      </w:pPr>
      <w:r>
        <w:rPr>
          <w:szCs w:val="22"/>
        </w:rPr>
        <w:t xml:space="preserve">The </w:t>
      </w:r>
      <w:r w:rsidR="00DF4D9D">
        <w:rPr>
          <w:szCs w:val="22"/>
        </w:rPr>
        <w:t>Pre-PBAC response</w:t>
      </w:r>
      <w:r>
        <w:rPr>
          <w:szCs w:val="22"/>
        </w:rPr>
        <w:t xml:space="preserve"> </w:t>
      </w:r>
      <w:r w:rsidR="0034634E">
        <w:rPr>
          <w:szCs w:val="22"/>
        </w:rPr>
        <w:t>raised concerns that the proposed</w:t>
      </w:r>
      <w:r w:rsidR="00DF3115">
        <w:rPr>
          <w:szCs w:val="22"/>
        </w:rPr>
        <w:t xml:space="preserve"> </w:t>
      </w:r>
      <w:r w:rsidR="0034634E">
        <w:rPr>
          <w:szCs w:val="22"/>
        </w:rPr>
        <w:t xml:space="preserve">changes to the </w:t>
      </w:r>
      <w:r w:rsidR="00DF3115">
        <w:rPr>
          <w:szCs w:val="22"/>
        </w:rPr>
        <w:t xml:space="preserve">restriction wording </w:t>
      </w:r>
      <w:r w:rsidR="0034634E">
        <w:rPr>
          <w:szCs w:val="22"/>
        </w:rPr>
        <w:t>do</w:t>
      </w:r>
      <w:r w:rsidR="00DF3115">
        <w:rPr>
          <w:szCs w:val="22"/>
        </w:rPr>
        <w:t xml:space="preserve"> not appear to be equitable or clinically appropriate. </w:t>
      </w:r>
      <w:r>
        <w:rPr>
          <w:szCs w:val="22"/>
        </w:rPr>
        <w:t xml:space="preserve">The current PBS restriction for sitagliptin allows patients uncontrolled on </w:t>
      </w:r>
      <w:r w:rsidR="008207E7">
        <w:rPr>
          <w:szCs w:val="22"/>
        </w:rPr>
        <w:t>MET</w:t>
      </w:r>
      <w:r>
        <w:rPr>
          <w:szCs w:val="22"/>
        </w:rPr>
        <w:t xml:space="preserve"> or </w:t>
      </w:r>
      <w:r w:rsidR="008207E7">
        <w:rPr>
          <w:szCs w:val="22"/>
        </w:rPr>
        <w:t>SU</w:t>
      </w:r>
      <w:r>
        <w:rPr>
          <w:szCs w:val="22"/>
        </w:rPr>
        <w:t xml:space="preserve"> monotherapy to add sitagliptin (dual oral therapy). The sponsor argued that the proposed restriction</w:t>
      </w:r>
      <w:r w:rsidR="009E3A5D">
        <w:rPr>
          <w:szCs w:val="22"/>
        </w:rPr>
        <w:t xml:space="preserve"> wording</w:t>
      </w:r>
      <w:r>
        <w:rPr>
          <w:szCs w:val="22"/>
        </w:rPr>
        <w:t xml:space="preserve"> would </w:t>
      </w:r>
      <w:r w:rsidR="002014BC">
        <w:rPr>
          <w:szCs w:val="22"/>
        </w:rPr>
        <w:t xml:space="preserve">restrict access to triple oral therapy, with sitagliptin, </w:t>
      </w:r>
      <w:r w:rsidR="008207E7">
        <w:rPr>
          <w:szCs w:val="22"/>
        </w:rPr>
        <w:t>MET</w:t>
      </w:r>
      <w:r w:rsidR="002014BC">
        <w:rPr>
          <w:szCs w:val="22"/>
        </w:rPr>
        <w:t xml:space="preserve"> and a </w:t>
      </w:r>
      <w:r w:rsidR="008207E7">
        <w:rPr>
          <w:szCs w:val="22"/>
        </w:rPr>
        <w:t>SU</w:t>
      </w:r>
      <w:r w:rsidR="002014BC">
        <w:rPr>
          <w:szCs w:val="22"/>
        </w:rPr>
        <w:t xml:space="preserve">, to only those patients who have first trialled and failed the combination of </w:t>
      </w:r>
      <w:r w:rsidR="008207E7">
        <w:t>MET</w:t>
      </w:r>
      <w:r w:rsidR="002014BC">
        <w:t xml:space="preserve"> and a </w:t>
      </w:r>
      <w:r w:rsidR="008207E7">
        <w:t>SU</w:t>
      </w:r>
      <w:r w:rsidR="002014BC">
        <w:t>, excluding</w:t>
      </w:r>
      <w:r w:rsidR="0084429B">
        <w:t xml:space="preserve"> those</w:t>
      </w:r>
      <w:r w:rsidR="002014BC">
        <w:t xml:space="preserve"> </w:t>
      </w:r>
      <w:r>
        <w:rPr>
          <w:szCs w:val="22"/>
        </w:rPr>
        <w:t>patients</w:t>
      </w:r>
      <w:r w:rsidR="005E19F2">
        <w:rPr>
          <w:szCs w:val="22"/>
        </w:rPr>
        <w:t xml:space="preserve"> uncontrolled on dual oral therapy</w:t>
      </w:r>
      <w:r w:rsidR="002014BC">
        <w:rPr>
          <w:szCs w:val="22"/>
        </w:rPr>
        <w:t xml:space="preserve"> with sitagliptin</w:t>
      </w:r>
      <w:r>
        <w:rPr>
          <w:szCs w:val="22"/>
        </w:rPr>
        <w:t xml:space="preserve"> from </w:t>
      </w:r>
      <w:r w:rsidR="002014BC">
        <w:rPr>
          <w:szCs w:val="22"/>
        </w:rPr>
        <w:t xml:space="preserve">moving to triple oral therapy. </w:t>
      </w:r>
      <w:r w:rsidR="00F012C1">
        <w:rPr>
          <w:szCs w:val="22"/>
        </w:rPr>
        <w:t xml:space="preserve">The Pre-PBAC response further noted </w:t>
      </w:r>
      <w:r w:rsidR="005E19F2">
        <w:t xml:space="preserve">that the only treatment pathway available to these patients would be to stop sitagliptin treatment, add in a </w:t>
      </w:r>
      <w:r w:rsidR="008207E7">
        <w:t>SU</w:t>
      </w:r>
      <w:r w:rsidR="005E19F2">
        <w:t xml:space="preserve"> or </w:t>
      </w:r>
      <w:r w:rsidR="008207E7">
        <w:t>MET</w:t>
      </w:r>
      <w:r w:rsidR="005E19F2">
        <w:t>, and then add back in sitagliptin</w:t>
      </w:r>
      <w:r w:rsidR="00F012C1">
        <w:t xml:space="preserve">, which would be considered clinically inappropriate. </w:t>
      </w:r>
    </w:p>
    <w:p w:rsidR="00F97A78" w:rsidRDefault="00F97A78" w:rsidP="00FB718A">
      <w:pPr>
        <w:widowControl/>
        <w:rPr>
          <w:szCs w:val="22"/>
        </w:rPr>
      </w:pPr>
    </w:p>
    <w:p w:rsidR="007565B6" w:rsidRDefault="007565B6" w:rsidP="00FB718A">
      <w:pPr>
        <w:pStyle w:val="ListParagraph"/>
        <w:widowControl/>
        <w:ind w:left="709"/>
        <w:rPr>
          <w:i/>
          <w:szCs w:val="22"/>
        </w:rPr>
      </w:pPr>
      <w:r w:rsidRPr="00A15147">
        <w:rPr>
          <w:i/>
          <w:szCs w:val="22"/>
        </w:rPr>
        <w:t>For more detail on PBAC’s view, see section 7 “PBAC outcome”</w:t>
      </w:r>
    </w:p>
    <w:p w:rsidR="00B35AC6" w:rsidRDefault="00B35AC6" w:rsidP="00FB718A">
      <w:pPr>
        <w:widowControl/>
        <w:rPr>
          <w:szCs w:val="22"/>
        </w:rPr>
      </w:pPr>
    </w:p>
    <w:p w:rsidR="00FB718A" w:rsidRPr="004F75DB" w:rsidRDefault="00FB718A" w:rsidP="00FB718A">
      <w:pPr>
        <w:widowControl/>
        <w:rPr>
          <w:szCs w:val="22"/>
        </w:rPr>
      </w:pPr>
    </w:p>
    <w:p w:rsidR="00B50DB8" w:rsidRPr="00407F2D" w:rsidRDefault="00B50DB8" w:rsidP="00FB718A">
      <w:pPr>
        <w:pStyle w:val="PBACHeading1"/>
      </w:pPr>
      <w:bookmarkStart w:id="3" w:name="_Toc419206921"/>
      <w:r w:rsidRPr="00407F2D">
        <w:t>Background</w:t>
      </w:r>
      <w:bookmarkEnd w:id="3"/>
    </w:p>
    <w:p w:rsidR="00B60939" w:rsidRPr="00882085" w:rsidRDefault="00B60939" w:rsidP="00FB718A">
      <w:pPr>
        <w:widowControl/>
        <w:rPr>
          <w:szCs w:val="22"/>
        </w:rPr>
      </w:pPr>
    </w:p>
    <w:p w:rsidR="00B60939" w:rsidRPr="00882085" w:rsidRDefault="00AD5D8E" w:rsidP="00FB718A">
      <w:pPr>
        <w:pStyle w:val="ListParagraph"/>
        <w:widowControl/>
        <w:numPr>
          <w:ilvl w:val="1"/>
          <w:numId w:val="5"/>
        </w:numPr>
      </w:pPr>
      <w:r w:rsidRPr="007C7390">
        <w:rPr>
          <w:b/>
          <w:bCs/>
          <w:szCs w:val="22"/>
        </w:rPr>
        <w:t>TGA status</w:t>
      </w:r>
      <w:r w:rsidR="00ED6C80" w:rsidRPr="007C7390">
        <w:rPr>
          <w:b/>
          <w:bCs/>
          <w:szCs w:val="22"/>
        </w:rPr>
        <w:t xml:space="preserve"> at time of PBAC consideration</w:t>
      </w:r>
      <w:r w:rsidRPr="007C7390">
        <w:rPr>
          <w:b/>
          <w:bCs/>
          <w:szCs w:val="22"/>
        </w:rPr>
        <w:t>:</w:t>
      </w:r>
      <w:r w:rsidRPr="00390081">
        <w:rPr>
          <w:bCs/>
          <w:szCs w:val="22"/>
        </w:rPr>
        <w:t xml:space="preserve"> </w:t>
      </w:r>
      <w:r w:rsidR="00A023DB" w:rsidRPr="00FD7546">
        <w:rPr>
          <w:szCs w:val="22"/>
        </w:rPr>
        <w:t xml:space="preserve">Sitagliptin was </w:t>
      </w:r>
      <w:r w:rsidR="00FD7546" w:rsidRPr="00FD7546">
        <w:rPr>
          <w:szCs w:val="22"/>
        </w:rPr>
        <w:t xml:space="preserve">approved for registration by the TGA on 5 June 2013 as triple combination therapy with </w:t>
      </w:r>
      <w:r w:rsidR="008207E7">
        <w:rPr>
          <w:szCs w:val="22"/>
        </w:rPr>
        <w:t>MET</w:t>
      </w:r>
      <w:r w:rsidR="008207E7" w:rsidRPr="00FD7546">
        <w:rPr>
          <w:szCs w:val="22"/>
        </w:rPr>
        <w:t xml:space="preserve"> </w:t>
      </w:r>
      <w:r w:rsidR="00FD7546" w:rsidRPr="00FD7546">
        <w:rPr>
          <w:szCs w:val="22"/>
        </w:rPr>
        <w:t xml:space="preserve">and a </w:t>
      </w:r>
      <w:r w:rsidR="008207E7">
        <w:rPr>
          <w:szCs w:val="22"/>
        </w:rPr>
        <w:t>SU</w:t>
      </w:r>
      <w:r w:rsidR="008207E7" w:rsidRPr="00FD7546">
        <w:rPr>
          <w:szCs w:val="22"/>
        </w:rPr>
        <w:t xml:space="preserve"> </w:t>
      </w:r>
      <w:r w:rsidR="00FD7546" w:rsidRPr="00FD7546">
        <w:rPr>
          <w:szCs w:val="22"/>
        </w:rPr>
        <w:t>when combination therapy with both agents does not prov</w:t>
      </w:r>
      <w:r w:rsidR="00DD33B3">
        <w:rPr>
          <w:szCs w:val="22"/>
        </w:rPr>
        <w:t>ide adequate glycaemic control.</w:t>
      </w:r>
    </w:p>
    <w:p w:rsidR="00B60939" w:rsidRPr="00882085" w:rsidRDefault="00B60939" w:rsidP="00FB718A">
      <w:pPr>
        <w:pStyle w:val="ListParagraph"/>
        <w:widowControl/>
        <w:rPr>
          <w:szCs w:val="22"/>
        </w:rPr>
      </w:pPr>
    </w:p>
    <w:p w:rsidR="00822AE5" w:rsidRPr="00A96C04" w:rsidRDefault="00B94EBA" w:rsidP="00FB718A">
      <w:pPr>
        <w:pStyle w:val="ListParagraph"/>
        <w:widowControl/>
        <w:numPr>
          <w:ilvl w:val="1"/>
          <w:numId w:val="5"/>
        </w:numPr>
        <w:rPr>
          <w:szCs w:val="22"/>
        </w:rPr>
      </w:pPr>
      <w:r w:rsidRPr="00F40D69">
        <w:rPr>
          <w:szCs w:val="22"/>
        </w:rPr>
        <w:t xml:space="preserve">Sitagliptin was </w:t>
      </w:r>
      <w:r w:rsidR="00F92AE2" w:rsidRPr="00F40D69">
        <w:rPr>
          <w:szCs w:val="22"/>
        </w:rPr>
        <w:t xml:space="preserve">considered </w:t>
      </w:r>
      <w:r w:rsidRPr="00F40D69">
        <w:rPr>
          <w:szCs w:val="22"/>
        </w:rPr>
        <w:t>by the PBAC at the March 2008</w:t>
      </w:r>
      <w:r w:rsidR="00F92AE2" w:rsidRPr="00F40D69">
        <w:rPr>
          <w:szCs w:val="22"/>
        </w:rPr>
        <w:t xml:space="preserve"> meeting</w:t>
      </w:r>
      <w:r w:rsidR="007F6278">
        <w:rPr>
          <w:szCs w:val="22"/>
        </w:rPr>
        <w:t>,</w:t>
      </w:r>
      <w:r w:rsidR="00F92AE2" w:rsidRPr="00F40D69">
        <w:rPr>
          <w:szCs w:val="22"/>
        </w:rPr>
        <w:t xml:space="preserve"> and recommended for listing as an Author</w:t>
      </w:r>
      <w:r w:rsidR="008A2C41" w:rsidRPr="00F40D69">
        <w:rPr>
          <w:szCs w:val="22"/>
        </w:rPr>
        <w:t>ity required</w:t>
      </w:r>
      <w:r w:rsidR="00F40D69" w:rsidRPr="00F40D69">
        <w:rPr>
          <w:szCs w:val="22"/>
        </w:rPr>
        <w:t xml:space="preserve"> (STREAMLINED) benefit for the treatment of T2DM </w:t>
      </w:r>
      <w:r w:rsidR="00F40D69" w:rsidRPr="00F40D69">
        <w:rPr>
          <w:color w:val="222222"/>
          <w:szCs w:val="22"/>
          <w:shd w:val="clear" w:color="auto" w:fill="FFFFFF"/>
        </w:rPr>
        <w:t>as part of dual oral combination therapy with MET or a SU, on the basis of a cost mini</w:t>
      </w:r>
      <w:r w:rsidR="00F40D69">
        <w:rPr>
          <w:color w:val="222222"/>
          <w:szCs w:val="22"/>
          <w:shd w:val="clear" w:color="auto" w:fill="FFFFFF"/>
        </w:rPr>
        <w:t>mi</w:t>
      </w:r>
      <w:r w:rsidR="00F40D69" w:rsidRPr="00F40D69">
        <w:rPr>
          <w:color w:val="222222"/>
          <w:szCs w:val="22"/>
          <w:shd w:val="clear" w:color="auto" w:fill="FFFFFF"/>
        </w:rPr>
        <w:t>sation analysis versus rosiglitazone.</w:t>
      </w:r>
    </w:p>
    <w:p w:rsidR="00A96C04" w:rsidRPr="00A96C04" w:rsidRDefault="00A96C04" w:rsidP="00FB718A">
      <w:pPr>
        <w:pStyle w:val="ListParagraph"/>
        <w:widowControl/>
        <w:rPr>
          <w:szCs w:val="22"/>
        </w:rPr>
      </w:pPr>
    </w:p>
    <w:p w:rsidR="00A96C04" w:rsidRDefault="00A96C04" w:rsidP="00FB718A">
      <w:pPr>
        <w:pStyle w:val="ListParagraph"/>
        <w:widowControl/>
        <w:numPr>
          <w:ilvl w:val="1"/>
          <w:numId w:val="5"/>
        </w:numPr>
        <w:rPr>
          <w:szCs w:val="22"/>
        </w:rPr>
      </w:pPr>
      <w:r>
        <w:rPr>
          <w:szCs w:val="22"/>
        </w:rPr>
        <w:t>Sitagliptin+</w:t>
      </w:r>
      <w:r w:rsidRPr="00A96C04">
        <w:rPr>
          <w:szCs w:val="22"/>
        </w:rPr>
        <w:t xml:space="preserve">MET </w:t>
      </w:r>
      <w:r w:rsidR="00C67187">
        <w:rPr>
          <w:szCs w:val="22"/>
        </w:rPr>
        <w:t xml:space="preserve">XR </w:t>
      </w:r>
      <w:r w:rsidRPr="00A96C04">
        <w:rPr>
          <w:szCs w:val="22"/>
        </w:rPr>
        <w:t xml:space="preserve">was considered by the PBAC at the November 2013 meeting, and recommended </w:t>
      </w:r>
      <w:r w:rsidR="007D6B99" w:rsidRPr="00F40D69">
        <w:rPr>
          <w:szCs w:val="22"/>
        </w:rPr>
        <w:t xml:space="preserve">for listing as an Authority required (STREAMLINED) benefit for the treatment of T2DM </w:t>
      </w:r>
      <w:r w:rsidRPr="00A96C04">
        <w:rPr>
          <w:szCs w:val="22"/>
        </w:rPr>
        <w:t xml:space="preserve">for </w:t>
      </w:r>
      <w:r>
        <w:t xml:space="preserve">patients inadequately controlled on </w:t>
      </w:r>
      <w:r w:rsidR="00824DC5">
        <w:t xml:space="preserve">MET </w:t>
      </w:r>
      <w:r>
        <w:t>alone, on the basis of bioequivalence with the individual components</w:t>
      </w:r>
      <w:r w:rsidR="007D6B99">
        <w:t>.</w:t>
      </w:r>
    </w:p>
    <w:p w:rsidR="00F40D69" w:rsidRPr="00A96C04" w:rsidRDefault="00F40D69" w:rsidP="00FB718A">
      <w:pPr>
        <w:widowControl/>
        <w:rPr>
          <w:szCs w:val="22"/>
        </w:rPr>
      </w:pPr>
    </w:p>
    <w:p w:rsidR="002C2775" w:rsidRDefault="007C7390" w:rsidP="00FB718A">
      <w:pPr>
        <w:pStyle w:val="ListParagraph"/>
        <w:widowControl/>
        <w:numPr>
          <w:ilvl w:val="1"/>
          <w:numId w:val="5"/>
        </w:numPr>
        <w:rPr>
          <w:szCs w:val="22"/>
        </w:rPr>
      </w:pPr>
      <w:r>
        <w:rPr>
          <w:szCs w:val="22"/>
        </w:rPr>
        <w:t xml:space="preserve">This was the PBAC’s first consideration of sitagliptin </w:t>
      </w:r>
      <w:r w:rsidR="00656BEC">
        <w:rPr>
          <w:szCs w:val="22"/>
        </w:rPr>
        <w:t xml:space="preserve">and the sitagliptin/MET FDCs </w:t>
      </w:r>
      <w:r>
        <w:rPr>
          <w:szCs w:val="22"/>
        </w:rPr>
        <w:t xml:space="preserve">for </w:t>
      </w:r>
      <w:r w:rsidR="004F75DB" w:rsidRPr="004F75DB">
        <w:rPr>
          <w:szCs w:val="22"/>
        </w:rPr>
        <w:t xml:space="preserve">triple </w:t>
      </w:r>
      <w:r w:rsidR="008207E7">
        <w:rPr>
          <w:szCs w:val="22"/>
        </w:rPr>
        <w:t xml:space="preserve">oral </w:t>
      </w:r>
      <w:r w:rsidR="004F75DB" w:rsidRPr="004F75DB">
        <w:rPr>
          <w:szCs w:val="22"/>
        </w:rPr>
        <w:t xml:space="preserve">therapy in </w:t>
      </w:r>
      <w:r>
        <w:rPr>
          <w:szCs w:val="22"/>
        </w:rPr>
        <w:t>T2DM</w:t>
      </w:r>
      <w:r w:rsidR="004F75DB" w:rsidRPr="004F75DB">
        <w:rPr>
          <w:szCs w:val="22"/>
        </w:rPr>
        <w:t>.</w:t>
      </w:r>
    </w:p>
    <w:p w:rsidR="00B826C8" w:rsidRDefault="00B826C8" w:rsidP="00FB718A">
      <w:pPr>
        <w:widowControl/>
      </w:pPr>
    </w:p>
    <w:p w:rsidR="00FB718A" w:rsidRDefault="00FB718A" w:rsidP="00FB718A">
      <w:pPr>
        <w:widowControl/>
      </w:pPr>
    </w:p>
    <w:p w:rsidR="00B50DB8" w:rsidRPr="00407F2D" w:rsidRDefault="00B50DB8" w:rsidP="00FB718A">
      <w:pPr>
        <w:pStyle w:val="PBACHeading1"/>
      </w:pPr>
      <w:bookmarkStart w:id="4" w:name="_Toc419206922"/>
      <w:r w:rsidRPr="00407F2D">
        <w:t>Clinical place for the proposed therapy</w:t>
      </w:r>
      <w:bookmarkEnd w:id="4"/>
    </w:p>
    <w:p w:rsidR="00B60939" w:rsidRPr="00882085" w:rsidRDefault="00B60939" w:rsidP="00FB718A">
      <w:pPr>
        <w:widowControl/>
        <w:rPr>
          <w:szCs w:val="22"/>
        </w:rPr>
      </w:pPr>
    </w:p>
    <w:p w:rsidR="00B60939" w:rsidRPr="00B50DB8" w:rsidRDefault="007C7390" w:rsidP="00FB718A">
      <w:pPr>
        <w:pStyle w:val="ListParagraph"/>
        <w:widowControl/>
        <w:numPr>
          <w:ilvl w:val="1"/>
          <w:numId w:val="5"/>
        </w:numPr>
        <w:rPr>
          <w:szCs w:val="22"/>
        </w:rPr>
      </w:pPr>
      <w:r>
        <w:t xml:space="preserve">T2DM </w:t>
      </w:r>
      <w:r w:rsidR="004F75DB">
        <w:t xml:space="preserve">as </w:t>
      </w:r>
      <w:r w:rsidR="004F75DB" w:rsidRPr="00321BBE">
        <w:t xml:space="preserve">triple </w:t>
      </w:r>
      <w:r w:rsidR="008207E7">
        <w:t xml:space="preserve">oral </w:t>
      </w:r>
      <w:r w:rsidR="004F75DB" w:rsidRPr="00321BBE">
        <w:t xml:space="preserve">therapy </w:t>
      </w:r>
      <w:r w:rsidR="00111D2D">
        <w:t xml:space="preserve">in combination </w:t>
      </w:r>
      <w:r w:rsidR="004F75DB" w:rsidRPr="00321BBE">
        <w:t xml:space="preserve">with </w:t>
      </w:r>
      <w:r w:rsidR="00F1776C">
        <w:t>MET</w:t>
      </w:r>
      <w:r w:rsidR="00111D2D">
        <w:t xml:space="preserve"> </w:t>
      </w:r>
      <w:r w:rsidR="004F75DB" w:rsidRPr="00321BBE">
        <w:t xml:space="preserve">and a </w:t>
      </w:r>
      <w:r w:rsidR="00F1776C">
        <w:t>SU</w:t>
      </w:r>
      <w:r w:rsidR="00111D2D">
        <w:t xml:space="preserve"> </w:t>
      </w:r>
      <w:r w:rsidR="004F75DB" w:rsidRPr="00321BBE">
        <w:t>when therapy with both agents does not pro</w:t>
      </w:r>
      <w:r w:rsidR="004F75DB">
        <w:t xml:space="preserve">vide adequate glycaemic control. Alternative agents </w:t>
      </w:r>
      <w:r w:rsidR="00F1776C">
        <w:t>for</w:t>
      </w:r>
      <w:r w:rsidR="004F75DB">
        <w:t xml:space="preserve"> triple therapy</w:t>
      </w:r>
      <w:r w:rsidR="00F1776C">
        <w:t xml:space="preserve"> (+MET+SU)</w:t>
      </w:r>
      <w:r w:rsidR="004F75DB">
        <w:t xml:space="preserve"> include oral therapies pioglitazone</w:t>
      </w:r>
      <w:r w:rsidR="00F1776C">
        <w:t xml:space="preserve">, </w:t>
      </w:r>
      <w:r w:rsidR="004F75DB">
        <w:t>dapagliflozin</w:t>
      </w:r>
      <w:r w:rsidR="00F1776C">
        <w:t xml:space="preserve"> and other DPP-4 inhibitors </w:t>
      </w:r>
      <w:r w:rsidR="004F75DB">
        <w:t xml:space="preserve">or injection therapies </w:t>
      </w:r>
      <w:r w:rsidR="008207E7">
        <w:t>(</w:t>
      </w:r>
      <w:r w:rsidR="004F75DB">
        <w:t>insulin and exenatide</w:t>
      </w:r>
      <w:r w:rsidR="008207E7">
        <w:t>)</w:t>
      </w:r>
      <w:r w:rsidR="004F75DB">
        <w:t>.</w:t>
      </w:r>
    </w:p>
    <w:p w:rsidR="00B826C8" w:rsidRDefault="00B826C8" w:rsidP="00FB718A">
      <w:pPr>
        <w:widowControl/>
        <w:rPr>
          <w:szCs w:val="22"/>
        </w:rPr>
      </w:pPr>
    </w:p>
    <w:p w:rsidR="007565B6" w:rsidRDefault="007565B6" w:rsidP="00FB718A">
      <w:pPr>
        <w:pStyle w:val="ListParagraph"/>
        <w:widowControl/>
        <w:ind w:left="709"/>
        <w:rPr>
          <w:i/>
          <w:szCs w:val="22"/>
        </w:rPr>
      </w:pPr>
      <w:r w:rsidRPr="00A15147">
        <w:rPr>
          <w:i/>
          <w:szCs w:val="22"/>
        </w:rPr>
        <w:t>For more detail on PBAC’s view, see section 7 “PBAC outcome”</w:t>
      </w:r>
    </w:p>
    <w:p w:rsidR="007565B6" w:rsidRDefault="007565B6" w:rsidP="00FB718A">
      <w:pPr>
        <w:widowControl/>
        <w:rPr>
          <w:szCs w:val="22"/>
        </w:rPr>
      </w:pPr>
    </w:p>
    <w:p w:rsidR="00FB718A" w:rsidRPr="002C2775" w:rsidRDefault="00FB718A" w:rsidP="00FB718A">
      <w:pPr>
        <w:widowControl/>
        <w:rPr>
          <w:szCs w:val="22"/>
        </w:rPr>
      </w:pPr>
    </w:p>
    <w:p w:rsidR="00B50DB8" w:rsidRPr="00E87E48" w:rsidRDefault="00B50DB8" w:rsidP="00FB718A">
      <w:pPr>
        <w:pStyle w:val="PBACHeading1"/>
        <w:keepNext/>
      </w:pPr>
      <w:bookmarkStart w:id="5" w:name="_Toc419206923"/>
      <w:r w:rsidRPr="00407F2D">
        <w:t>Comparator</w:t>
      </w:r>
      <w:bookmarkEnd w:id="5"/>
    </w:p>
    <w:p w:rsidR="00B60939" w:rsidRPr="00882085" w:rsidRDefault="00B60939" w:rsidP="00FB718A">
      <w:pPr>
        <w:keepNext/>
        <w:widowControl/>
      </w:pPr>
    </w:p>
    <w:p w:rsidR="002C2775" w:rsidRPr="00B50DB8" w:rsidRDefault="001131D0" w:rsidP="00FB718A">
      <w:pPr>
        <w:pStyle w:val="ListParagraph"/>
        <w:widowControl/>
        <w:numPr>
          <w:ilvl w:val="1"/>
          <w:numId w:val="5"/>
        </w:numPr>
        <w:rPr>
          <w:szCs w:val="22"/>
        </w:rPr>
      </w:pPr>
      <w:r>
        <w:t>The PBAC recommended the listing of d</w:t>
      </w:r>
      <w:r w:rsidR="00482985" w:rsidRPr="00F06A7C">
        <w:t>apagliflozin</w:t>
      </w:r>
      <w:r>
        <w:t xml:space="preserve"> for the treatment of </w:t>
      </w:r>
      <w:r w:rsidR="007C7390">
        <w:t xml:space="preserve">T2DM </w:t>
      </w:r>
      <w:r>
        <w:t xml:space="preserve">in combination with </w:t>
      </w:r>
      <w:r w:rsidR="008207E7">
        <w:t xml:space="preserve">MET </w:t>
      </w:r>
      <w:r>
        <w:t xml:space="preserve">and a </w:t>
      </w:r>
      <w:r w:rsidR="008207E7">
        <w:t xml:space="preserve">SU </w:t>
      </w:r>
      <w:r>
        <w:t>(referred to as triple oral therapy)</w:t>
      </w:r>
      <w:r w:rsidR="00482985">
        <w:t xml:space="preserve"> at the March 2015 meeting</w:t>
      </w:r>
      <w:r>
        <w:t xml:space="preserve">. Therefore dapagliflozin </w:t>
      </w:r>
      <w:r w:rsidR="00482985">
        <w:t xml:space="preserve">was considered an appropriate comparator for a </w:t>
      </w:r>
      <w:r>
        <w:t xml:space="preserve">listing of sitagliptin in combination with </w:t>
      </w:r>
      <w:r w:rsidR="008207E7">
        <w:t xml:space="preserve">MET </w:t>
      </w:r>
      <w:r>
        <w:t xml:space="preserve">and </w:t>
      </w:r>
      <w:r w:rsidR="008207E7">
        <w:t xml:space="preserve">a SU </w:t>
      </w:r>
      <w:r>
        <w:t xml:space="preserve">for </w:t>
      </w:r>
      <w:r w:rsidR="00482985">
        <w:t>triple oral therapy</w:t>
      </w:r>
      <w:r>
        <w:t>.</w:t>
      </w:r>
      <w:r w:rsidR="00482985">
        <w:t xml:space="preserve"> The submission did not include </w:t>
      </w:r>
      <w:r>
        <w:t xml:space="preserve">a comparison of sitagliptin with </w:t>
      </w:r>
      <w:r w:rsidR="00482985">
        <w:t>injection formulations insulin glargine or exenatide</w:t>
      </w:r>
      <w:r w:rsidR="00482985" w:rsidRPr="00F06A7C">
        <w:t xml:space="preserve"> </w:t>
      </w:r>
      <w:r>
        <w:t xml:space="preserve">which might be </w:t>
      </w:r>
      <w:r w:rsidR="00482985">
        <w:t>comparators</w:t>
      </w:r>
      <w:r>
        <w:t xml:space="preserve"> in the absence of listing of dapagliflozin. </w:t>
      </w:r>
    </w:p>
    <w:p w:rsidR="00B826C8" w:rsidRDefault="00B826C8" w:rsidP="00FB718A">
      <w:pPr>
        <w:widowControl/>
        <w:rPr>
          <w:szCs w:val="22"/>
        </w:rPr>
      </w:pPr>
    </w:p>
    <w:p w:rsidR="007565B6" w:rsidRDefault="007565B6" w:rsidP="00FB718A">
      <w:pPr>
        <w:pStyle w:val="ListParagraph"/>
        <w:widowControl/>
        <w:ind w:left="709"/>
        <w:rPr>
          <w:i/>
          <w:szCs w:val="22"/>
        </w:rPr>
      </w:pPr>
      <w:r w:rsidRPr="00A15147">
        <w:rPr>
          <w:i/>
          <w:szCs w:val="22"/>
        </w:rPr>
        <w:t>For more detail on PBAC’s view, see section 7 “PBAC outcome”</w:t>
      </w:r>
    </w:p>
    <w:p w:rsidR="007565B6" w:rsidRDefault="007565B6" w:rsidP="00FB718A">
      <w:pPr>
        <w:widowControl/>
        <w:rPr>
          <w:szCs w:val="22"/>
        </w:rPr>
      </w:pPr>
    </w:p>
    <w:p w:rsidR="00FB718A" w:rsidRPr="00DF5D2B" w:rsidRDefault="00FB718A" w:rsidP="00FB718A">
      <w:pPr>
        <w:widowControl/>
        <w:rPr>
          <w:szCs w:val="22"/>
        </w:rPr>
      </w:pPr>
    </w:p>
    <w:p w:rsidR="00B50DB8" w:rsidRPr="00407F2D" w:rsidRDefault="00BD6CF3" w:rsidP="00FB718A">
      <w:pPr>
        <w:pStyle w:val="PBACHeading1"/>
      </w:pPr>
      <w:bookmarkStart w:id="6" w:name="_Toc419206924"/>
      <w:r>
        <w:t>C</w:t>
      </w:r>
      <w:r w:rsidR="00B50DB8" w:rsidRPr="00407F2D">
        <w:t>onsideration of the evidence</w:t>
      </w:r>
      <w:bookmarkEnd w:id="6"/>
    </w:p>
    <w:p w:rsidR="00B60939" w:rsidRDefault="00B60939" w:rsidP="00FB718A">
      <w:pPr>
        <w:widowControl/>
      </w:pPr>
    </w:p>
    <w:p w:rsidR="007565B6" w:rsidRPr="009B1206" w:rsidRDefault="007565B6" w:rsidP="00FB718A">
      <w:pPr>
        <w:widowControl/>
        <w:spacing w:after="200" w:line="276" w:lineRule="auto"/>
        <w:rPr>
          <w:b/>
          <w:bCs/>
          <w:i/>
          <w:szCs w:val="22"/>
        </w:rPr>
      </w:pPr>
      <w:r w:rsidRPr="009B1206">
        <w:rPr>
          <w:b/>
          <w:bCs/>
          <w:i/>
          <w:szCs w:val="22"/>
        </w:rPr>
        <w:t>Sponsor hearing</w:t>
      </w:r>
    </w:p>
    <w:p w:rsidR="007565B6" w:rsidRPr="009B1206" w:rsidRDefault="007565B6" w:rsidP="00FB718A">
      <w:pPr>
        <w:widowControl/>
        <w:numPr>
          <w:ilvl w:val="1"/>
          <w:numId w:val="5"/>
        </w:numPr>
        <w:contextualSpacing/>
        <w:rPr>
          <w:bCs/>
          <w:szCs w:val="22"/>
        </w:rPr>
      </w:pPr>
      <w:r w:rsidRPr="009B1206">
        <w:rPr>
          <w:bCs/>
          <w:szCs w:val="22"/>
        </w:rPr>
        <w:t>The</w:t>
      </w:r>
      <w:r w:rsidR="00896DEA" w:rsidRPr="009B1206">
        <w:rPr>
          <w:bCs/>
          <w:szCs w:val="22"/>
        </w:rPr>
        <w:t>re was no hearing for this item</w:t>
      </w:r>
      <w:r w:rsidRPr="009B1206">
        <w:rPr>
          <w:bCs/>
          <w:szCs w:val="22"/>
        </w:rPr>
        <w:t>.</w:t>
      </w:r>
    </w:p>
    <w:p w:rsidR="007565B6" w:rsidRPr="009B1206" w:rsidRDefault="007565B6" w:rsidP="00FB718A">
      <w:pPr>
        <w:widowControl/>
        <w:rPr>
          <w:bCs/>
          <w:szCs w:val="22"/>
          <w:highlight w:val="yellow"/>
        </w:rPr>
      </w:pPr>
    </w:p>
    <w:p w:rsidR="007565B6" w:rsidRPr="009B1206" w:rsidRDefault="007565B6" w:rsidP="00FB718A">
      <w:pPr>
        <w:widowControl/>
        <w:spacing w:after="200" w:line="276" w:lineRule="auto"/>
        <w:rPr>
          <w:b/>
          <w:bCs/>
          <w:i/>
          <w:szCs w:val="22"/>
        </w:rPr>
      </w:pPr>
      <w:r w:rsidRPr="009B1206">
        <w:rPr>
          <w:b/>
          <w:bCs/>
          <w:i/>
          <w:szCs w:val="22"/>
        </w:rPr>
        <w:t>Consumer comments</w:t>
      </w:r>
    </w:p>
    <w:p w:rsidR="007565B6" w:rsidRPr="009B1206" w:rsidRDefault="007565B6" w:rsidP="00FB718A">
      <w:pPr>
        <w:widowControl/>
        <w:numPr>
          <w:ilvl w:val="1"/>
          <w:numId w:val="5"/>
        </w:numPr>
        <w:contextualSpacing/>
        <w:rPr>
          <w:bCs/>
          <w:szCs w:val="22"/>
        </w:rPr>
      </w:pPr>
      <w:r w:rsidRPr="009B1206">
        <w:rPr>
          <w:bCs/>
          <w:szCs w:val="22"/>
        </w:rPr>
        <w:t>The PBAC noted that no consumer comments were rec</w:t>
      </w:r>
      <w:r w:rsidR="00896DEA" w:rsidRPr="009B1206">
        <w:rPr>
          <w:bCs/>
          <w:szCs w:val="22"/>
        </w:rPr>
        <w:t>eived for this item</w:t>
      </w:r>
      <w:r w:rsidRPr="009B1206">
        <w:rPr>
          <w:bCs/>
          <w:szCs w:val="22"/>
        </w:rPr>
        <w:t>.</w:t>
      </w:r>
    </w:p>
    <w:p w:rsidR="007565B6" w:rsidRPr="00E80D5E" w:rsidRDefault="007565B6" w:rsidP="00FB718A">
      <w:pPr>
        <w:widowControl/>
        <w:rPr>
          <w:color w:val="FF0000"/>
        </w:rPr>
      </w:pPr>
    </w:p>
    <w:p w:rsidR="00B60939" w:rsidRPr="00EA6A0E" w:rsidRDefault="00B60939" w:rsidP="00FF537F">
      <w:pPr>
        <w:pStyle w:val="Heading2"/>
        <w:keepNext/>
        <w:widowControl/>
        <w:rPr>
          <w:i/>
        </w:rPr>
      </w:pPr>
      <w:bookmarkStart w:id="7" w:name="_Toc419206925"/>
      <w:r w:rsidRPr="00EA6A0E">
        <w:rPr>
          <w:i/>
        </w:rPr>
        <w:t>Clinical trials</w:t>
      </w:r>
      <w:bookmarkEnd w:id="7"/>
    </w:p>
    <w:p w:rsidR="00B60939" w:rsidRPr="00EA6A0E" w:rsidRDefault="00B60939" w:rsidP="00FF537F">
      <w:pPr>
        <w:keepNext/>
        <w:widowControl/>
        <w:rPr>
          <w:szCs w:val="22"/>
        </w:rPr>
      </w:pPr>
    </w:p>
    <w:p w:rsidR="00111D2D" w:rsidRPr="00EA6A0E" w:rsidRDefault="00862502" w:rsidP="00FB718A">
      <w:pPr>
        <w:pStyle w:val="ListParagraph"/>
        <w:widowControl/>
        <w:numPr>
          <w:ilvl w:val="1"/>
          <w:numId w:val="5"/>
        </w:numPr>
      </w:pPr>
      <w:r w:rsidRPr="00EA6A0E">
        <w:t xml:space="preserve">The submission </w:t>
      </w:r>
      <w:r w:rsidR="0003030B" w:rsidRPr="00EA6A0E">
        <w:t xml:space="preserve">was </w:t>
      </w:r>
      <w:r w:rsidRPr="00EA6A0E">
        <w:t xml:space="preserve">based on </w:t>
      </w:r>
      <w:r w:rsidR="00111D2D" w:rsidRPr="00EA6A0E">
        <w:t xml:space="preserve">an indirect comparison with placebo+MET+SU as common comparator: </w:t>
      </w:r>
    </w:p>
    <w:p w:rsidR="00111D2D" w:rsidRPr="00EA6A0E" w:rsidRDefault="00111D2D" w:rsidP="00FB718A">
      <w:pPr>
        <w:pStyle w:val="ListParagraph"/>
        <w:widowControl/>
        <w:numPr>
          <w:ilvl w:val="0"/>
          <w:numId w:val="10"/>
        </w:numPr>
      </w:pPr>
      <w:r w:rsidRPr="00EA6A0E">
        <w:t xml:space="preserve">Sitagliptin+MET+SU versus placebo+MET+SU (meta-analysis </w:t>
      </w:r>
      <w:r w:rsidR="00EF7C86" w:rsidRPr="00EA6A0E">
        <w:t xml:space="preserve">of </w:t>
      </w:r>
      <w:r w:rsidRPr="00EA6A0E">
        <w:t>P035</w:t>
      </w:r>
      <w:r w:rsidR="00EF7C86" w:rsidRPr="00EA6A0E">
        <w:t xml:space="preserve"> &amp;</w:t>
      </w:r>
      <w:r w:rsidRPr="00EA6A0E">
        <w:t xml:space="preserve"> P229).</w:t>
      </w:r>
    </w:p>
    <w:p w:rsidR="00111D2D" w:rsidRPr="00EA6A0E" w:rsidRDefault="00111D2D" w:rsidP="00FB718A">
      <w:pPr>
        <w:pStyle w:val="ListParagraph"/>
        <w:widowControl/>
        <w:numPr>
          <w:ilvl w:val="0"/>
          <w:numId w:val="10"/>
        </w:numPr>
      </w:pPr>
      <w:r w:rsidRPr="00EA6A0E">
        <w:t>Dapagliflozin+MET+SU versus placebo+MET+SU</w:t>
      </w:r>
      <w:r w:rsidR="008E5B33" w:rsidRPr="00EA6A0E">
        <w:t xml:space="preserve"> </w:t>
      </w:r>
      <w:r w:rsidR="00EF7C86" w:rsidRPr="00EA6A0E">
        <w:t>(Matthaei 2015).</w:t>
      </w:r>
    </w:p>
    <w:p w:rsidR="00111D2D" w:rsidRDefault="00111D2D" w:rsidP="00FB718A">
      <w:pPr>
        <w:pStyle w:val="ListParagraph"/>
        <w:widowControl/>
      </w:pPr>
    </w:p>
    <w:p w:rsidR="00111D2D" w:rsidRDefault="00111D2D" w:rsidP="00FB718A">
      <w:pPr>
        <w:pStyle w:val="ListParagraph"/>
        <w:widowControl/>
        <w:numPr>
          <w:ilvl w:val="1"/>
          <w:numId w:val="5"/>
        </w:numPr>
        <w:rPr>
          <w:szCs w:val="22"/>
        </w:rPr>
      </w:pPr>
      <w:r>
        <w:rPr>
          <w:szCs w:val="22"/>
        </w:rPr>
        <w:t xml:space="preserve">Details </w:t>
      </w:r>
      <w:r w:rsidR="00862502" w:rsidRPr="00B50DB8">
        <w:rPr>
          <w:szCs w:val="22"/>
        </w:rPr>
        <w:t xml:space="preserve">of the trials presented in the submission are provided in </w:t>
      </w:r>
      <w:r>
        <w:rPr>
          <w:szCs w:val="22"/>
        </w:rPr>
        <w:t xml:space="preserve">Table 1. </w:t>
      </w:r>
    </w:p>
    <w:p w:rsidR="00111D2D" w:rsidRPr="00111D2D" w:rsidRDefault="00111D2D" w:rsidP="00FB718A">
      <w:pPr>
        <w:pStyle w:val="ListParagraph"/>
        <w:widowControl/>
        <w:rPr>
          <w:szCs w:val="22"/>
        </w:rPr>
      </w:pPr>
    </w:p>
    <w:p w:rsidR="00330F3B" w:rsidRDefault="00330F3B" w:rsidP="00FB718A">
      <w:pPr>
        <w:pStyle w:val="ListParagraph"/>
        <w:keepNext/>
        <w:widowControl/>
        <w:rPr>
          <w:rStyle w:val="CommentReference"/>
        </w:rPr>
      </w:pPr>
      <w:r w:rsidRPr="000812CA">
        <w:rPr>
          <w:rStyle w:val="CommentReference"/>
        </w:rPr>
        <w:t xml:space="preserve">Table </w:t>
      </w:r>
      <w:r>
        <w:rPr>
          <w:rStyle w:val="CommentReference"/>
        </w:rPr>
        <w:t>1</w:t>
      </w:r>
      <w:r w:rsidRPr="000812CA">
        <w:rPr>
          <w:rStyle w:val="CommentReference"/>
        </w:rPr>
        <w:t>: Trials and associated reports presented in the submission</w:t>
      </w:r>
    </w:p>
    <w:tbl>
      <w:tblPr>
        <w:tblW w:w="4594"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0"/>
        <w:gridCol w:w="5813"/>
        <w:gridCol w:w="1682"/>
      </w:tblGrid>
      <w:tr w:rsidR="00330F3B" w:rsidRPr="00BD536C" w:rsidTr="001813C6">
        <w:trPr>
          <w:tblHeader/>
        </w:trPr>
        <w:tc>
          <w:tcPr>
            <w:tcW w:w="509" w:type="pct"/>
            <w:tcBorders>
              <w:top w:val="single" w:sz="4" w:space="0" w:color="auto"/>
              <w:left w:val="single" w:sz="4" w:space="0" w:color="auto"/>
              <w:bottom w:val="single" w:sz="4" w:space="0" w:color="auto"/>
              <w:right w:val="single" w:sz="4" w:space="0" w:color="auto"/>
            </w:tcBorders>
          </w:tcPr>
          <w:p w:rsidR="00330F3B" w:rsidRPr="001813C6" w:rsidRDefault="00330F3B" w:rsidP="00FB718A">
            <w:pPr>
              <w:keepNext/>
              <w:widowControl/>
              <w:jc w:val="left"/>
              <w:rPr>
                <w:rFonts w:ascii="Arial Narrow" w:hAnsi="Arial Narrow"/>
                <w:b/>
                <w:sz w:val="20"/>
              </w:rPr>
            </w:pPr>
            <w:r w:rsidRPr="001813C6">
              <w:rPr>
                <w:rFonts w:ascii="Arial Narrow" w:hAnsi="Arial Narrow"/>
                <w:b/>
                <w:sz w:val="20"/>
              </w:rPr>
              <w:t>Trial ID</w:t>
            </w:r>
          </w:p>
        </w:tc>
        <w:tc>
          <w:tcPr>
            <w:tcW w:w="3483" w:type="pct"/>
            <w:tcBorders>
              <w:top w:val="single" w:sz="4" w:space="0" w:color="auto"/>
              <w:left w:val="single" w:sz="4" w:space="0" w:color="auto"/>
              <w:bottom w:val="single" w:sz="4" w:space="0" w:color="auto"/>
              <w:right w:val="single" w:sz="4" w:space="0" w:color="auto"/>
            </w:tcBorders>
          </w:tcPr>
          <w:p w:rsidR="00330F3B" w:rsidRPr="001813C6" w:rsidRDefault="00330F3B" w:rsidP="00FB718A">
            <w:pPr>
              <w:keepNext/>
              <w:widowControl/>
              <w:jc w:val="left"/>
              <w:rPr>
                <w:rFonts w:ascii="Arial Narrow" w:hAnsi="Arial Narrow"/>
                <w:b/>
                <w:sz w:val="20"/>
              </w:rPr>
            </w:pPr>
            <w:r w:rsidRPr="001813C6">
              <w:rPr>
                <w:rFonts w:ascii="Arial Narrow" w:hAnsi="Arial Narrow"/>
                <w:b/>
                <w:sz w:val="20"/>
              </w:rPr>
              <w:t>Protocol title/ Publication title</w:t>
            </w:r>
          </w:p>
        </w:tc>
        <w:tc>
          <w:tcPr>
            <w:tcW w:w="1008" w:type="pct"/>
            <w:tcBorders>
              <w:top w:val="single" w:sz="4" w:space="0" w:color="auto"/>
              <w:left w:val="single" w:sz="4" w:space="0" w:color="auto"/>
              <w:bottom w:val="single" w:sz="4" w:space="0" w:color="auto"/>
              <w:right w:val="single" w:sz="4" w:space="0" w:color="auto"/>
            </w:tcBorders>
          </w:tcPr>
          <w:p w:rsidR="00330F3B" w:rsidRPr="001813C6" w:rsidRDefault="00330F3B" w:rsidP="00FB718A">
            <w:pPr>
              <w:keepNext/>
              <w:widowControl/>
              <w:jc w:val="left"/>
              <w:rPr>
                <w:rFonts w:ascii="Arial Narrow" w:hAnsi="Arial Narrow"/>
                <w:b/>
                <w:sz w:val="20"/>
              </w:rPr>
            </w:pPr>
            <w:r w:rsidRPr="001813C6">
              <w:rPr>
                <w:rFonts w:ascii="Arial Narrow" w:hAnsi="Arial Narrow"/>
                <w:b/>
                <w:sz w:val="20"/>
              </w:rPr>
              <w:t>Publication citation</w:t>
            </w:r>
          </w:p>
        </w:tc>
      </w:tr>
      <w:tr w:rsidR="00330F3B" w:rsidRPr="00BD536C" w:rsidTr="007A6DE4">
        <w:trPr>
          <w:tblHeader/>
        </w:trPr>
        <w:tc>
          <w:tcPr>
            <w:tcW w:w="5000" w:type="pct"/>
            <w:gridSpan w:val="3"/>
            <w:tcBorders>
              <w:top w:val="single" w:sz="4" w:space="0" w:color="auto"/>
              <w:left w:val="single" w:sz="4" w:space="0" w:color="auto"/>
              <w:bottom w:val="single" w:sz="4" w:space="0" w:color="auto"/>
              <w:right w:val="single" w:sz="4" w:space="0" w:color="auto"/>
            </w:tcBorders>
          </w:tcPr>
          <w:p w:rsidR="00330F3B" w:rsidRPr="001813C6" w:rsidRDefault="00330F3B" w:rsidP="00FB718A">
            <w:pPr>
              <w:keepNext/>
              <w:widowControl/>
              <w:jc w:val="left"/>
              <w:rPr>
                <w:rFonts w:ascii="Arial Narrow" w:hAnsi="Arial Narrow"/>
                <w:b/>
                <w:sz w:val="20"/>
              </w:rPr>
            </w:pPr>
            <w:r w:rsidRPr="001813C6">
              <w:rPr>
                <w:rFonts w:ascii="Arial Narrow" w:hAnsi="Arial Narrow"/>
                <w:b/>
                <w:sz w:val="20"/>
              </w:rPr>
              <w:t>Sitagliptin vs. placebo, both in combination with metformin and a sulfonylurea</w:t>
            </w:r>
          </w:p>
        </w:tc>
      </w:tr>
      <w:tr w:rsidR="00330F3B" w:rsidRPr="00BD536C" w:rsidTr="007A6DE4">
        <w:trPr>
          <w:tblHeader/>
        </w:trPr>
        <w:tc>
          <w:tcPr>
            <w:tcW w:w="509" w:type="pct"/>
            <w:tcBorders>
              <w:top w:val="single" w:sz="4" w:space="0" w:color="auto"/>
              <w:left w:val="single" w:sz="4" w:space="0" w:color="auto"/>
              <w:bottom w:val="nil"/>
              <w:right w:val="single" w:sz="4" w:space="0" w:color="auto"/>
            </w:tcBorders>
          </w:tcPr>
          <w:p w:rsidR="001813C6" w:rsidRPr="001813C6" w:rsidRDefault="001813C6" w:rsidP="00FB718A">
            <w:pPr>
              <w:pStyle w:val="TableText0"/>
              <w:spacing w:before="0" w:after="0"/>
              <w:rPr>
                <w:rFonts w:cs="Arial"/>
                <w:lang w:eastAsia="en-AU"/>
              </w:rPr>
            </w:pPr>
            <w:r w:rsidRPr="001813C6">
              <w:rPr>
                <w:rFonts w:cs="Arial"/>
                <w:lang w:eastAsia="en-AU"/>
              </w:rPr>
              <w:t>P035</w:t>
            </w:r>
          </w:p>
          <w:p w:rsidR="00330F3B" w:rsidRPr="001813C6" w:rsidRDefault="001813C6" w:rsidP="00FB718A">
            <w:pPr>
              <w:keepNext/>
              <w:widowControl/>
              <w:jc w:val="left"/>
              <w:rPr>
                <w:rFonts w:ascii="Arial Narrow" w:hAnsi="Arial Narrow"/>
                <w:b/>
                <w:sz w:val="20"/>
              </w:rPr>
            </w:pPr>
            <w:r w:rsidRPr="001813C6">
              <w:rPr>
                <w:rFonts w:ascii="Arial Narrow" w:hAnsi="Arial Narrow"/>
                <w:sz w:val="20"/>
                <w:lang w:eastAsia="en-AU"/>
              </w:rPr>
              <w:t>(Phase A, Stratum 2</w:t>
            </w:r>
            <w:r w:rsidR="00E26D83">
              <w:rPr>
                <w:rFonts w:ascii="Arial Narrow" w:hAnsi="Arial Narrow"/>
                <w:sz w:val="20"/>
                <w:lang w:eastAsia="en-AU"/>
              </w:rPr>
              <w:t>*</w:t>
            </w:r>
            <w:r w:rsidRPr="001813C6">
              <w:rPr>
                <w:rFonts w:ascii="Arial Narrow" w:hAnsi="Arial Narrow"/>
                <w:sz w:val="20"/>
                <w:lang w:eastAsia="en-AU"/>
              </w:rPr>
              <w:t xml:space="preserve"> patients</w:t>
            </w:r>
            <w:r w:rsidR="005C75CF">
              <w:rPr>
                <w:rFonts w:ascii="Arial Narrow" w:hAnsi="Arial Narrow"/>
                <w:sz w:val="20"/>
                <w:lang w:eastAsia="en-AU"/>
              </w:rPr>
              <w:t>)</w:t>
            </w:r>
          </w:p>
        </w:tc>
        <w:tc>
          <w:tcPr>
            <w:tcW w:w="3483" w:type="pct"/>
            <w:tcBorders>
              <w:top w:val="single" w:sz="4" w:space="0" w:color="auto"/>
              <w:left w:val="single" w:sz="4" w:space="0" w:color="auto"/>
              <w:bottom w:val="nil"/>
              <w:right w:val="single" w:sz="4" w:space="0" w:color="auto"/>
            </w:tcBorders>
          </w:tcPr>
          <w:p w:rsidR="001813C6" w:rsidRPr="00B94BE8" w:rsidRDefault="001813C6" w:rsidP="00FB718A">
            <w:pPr>
              <w:pStyle w:val="TableText0"/>
              <w:spacing w:before="0" w:after="0"/>
              <w:rPr>
                <w:rFonts w:cs="Arial"/>
                <w:lang w:eastAsia="en-AU"/>
              </w:rPr>
            </w:pPr>
            <w:r w:rsidRPr="00B94BE8">
              <w:rPr>
                <w:rFonts w:cs="Arial"/>
                <w:lang w:eastAsia="en-AU"/>
              </w:rPr>
              <w:t>Clinical Study Report Protocol 035V1</w:t>
            </w:r>
          </w:p>
          <w:p w:rsidR="00330F3B" w:rsidRPr="00B94BE8" w:rsidRDefault="001813C6" w:rsidP="00FB718A">
            <w:pPr>
              <w:pStyle w:val="TableText0"/>
              <w:spacing w:before="0" w:after="0"/>
              <w:rPr>
                <w:rFonts w:cs="Arial"/>
                <w:lang w:eastAsia="en-AU"/>
              </w:rPr>
            </w:pPr>
            <w:r w:rsidRPr="00B94BE8">
              <w:t>A Multicentre, Randomised, Double-Blind, Placebo-Controlled Study to Evaluate Safety and Efficacy of the Addition of MK-0431 to Patients With Type 2 Diabetes Mellitus Who Have Inadequate Glycaemic Control on Glimepiride Alone or in Combination With Metformin.</w:t>
            </w:r>
          </w:p>
        </w:tc>
        <w:tc>
          <w:tcPr>
            <w:tcW w:w="1008" w:type="pct"/>
            <w:tcBorders>
              <w:top w:val="single" w:sz="4" w:space="0" w:color="auto"/>
              <w:left w:val="single" w:sz="4" w:space="0" w:color="auto"/>
              <w:bottom w:val="nil"/>
              <w:right w:val="single" w:sz="4" w:space="0" w:color="auto"/>
            </w:tcBorders>
          </w:tcPr>
          <w:p w:rsidR="00330F3B" w:rsidRPr="00E877B8" w:rsidRDefault="00B94BE8" w:rsidP="00FB718A">
            <w:pPr>
              <w:keepNext/>
              <w:widowControl/>
              <w:jc w:val="left"/>
              <w:rPr>
                <w:rFonts w:ascii="Arial Narrow" w:hAnsi="Arial Narrow"/>
                <w:sz w:val="20"/>
              </w:rPr>
            </w:pPr>
            <w:r w:rsidRPr="00E877B8">
              <w:rPr>
                <w:rFonts w:ascii="Arial Narrow" w:hAnsi="Arial Narrow"/>
                <w:sz w:val="20"/>
              </w:rPr>
              <w:t>6 October 2006</w:t>
            </w:r>
          </w:p>
        </w:tc>
      </w:tr>
      <w:tr w:rsidR="00330F3B" w:rsidRPr="00BD536C" w:rsidTr="007A6DE4">
        <w:trPr>
          <w:tblHeader/>
        </w:trPr>
        <w:tc>
          <w:tcPr>
            <w:tcW w:w="509" w:type="pct"/>
            <w:tcBorders>
              <w:top w:val="nil"/>
              <w:left w:val="single" w:sz="4" w:space="0" w:color="auto"/>
              <w:bottom w:val="single" w:sz="4" w:space="0" w:color="auto"/>
              <w:right w:val="single" w:sz="4" w:space="0" w:color="auto"/>
            </w:tcBorders>
          </w:tcPr>
          <w:p w:rsidR="00330F3B" w:rsidRPr="001813C6" w:rsidRDefault="00330F3B" w:rsidP="00FB718A">
            <w:pPr>
              <w:keepNext/>
              <w:widowControl/>
              <w:jc w:val="left"/>
              <w:rPr>
                <w:rFonts w:ascii="Arial Narrow" w:hAnsi="Arial Narrow"/>
                <w:b/>
                <w:sz w:val="20"/>
              </w:rPr>
            </w:pPr>
          </w:p>
        </w:tc>
        <w:tc>
          <w:tcPr>
            <w:tcW w:w="3483" w:type="pct"/>
            <w:tcBorders>
              <w:top w:val="nil"/>
              <w:left w:val="single" w:sz="4" w:space="0" w:color="auto"/>
              <w:bottom w:val="single" w:sz="4" w:space="0" w:color="auto"/>
              <w:right w:val="single" w:sz="4" w:space="0" w:color="auto"/>
            </w:tcBorders>
          </w:tcPr>
          <w:p w:rsidR="00330F3B" w:rsidRPr="001813C6" w:rsidRDefault="001813C6" w:rsidP="00FB718A">
            <w:pPr>
              <w:keepNext/>
              <w:widowControl/>
              <w:jc w:val="left"/>
              <w:rPr>
                <w:rFonts w:ascii="Arial Narrow" w:hAnsi="Arial Narrow"/>
                <w:b/>
                <w:sz w:val="20"/>
              </w:rPr>
            </w:pPr>
            <w:r w:rsidRPr="001813C6">
              <w:rPr>
                <w:rFonts w:ascii="Arial Narrow" w:hAnsi="Arial Narrow"/>
                <w:sz w:val="20"/>
                <w:lang w:eastAsia="en-AU"/>
              </w:rPr>
              <w:t xml:space="preserve">Hermansen </w:t>
            </w:r>
            <w:r w:rsidRPr="001813C6">
              <w:rPr>
                <w:rFonts w:ascii="Arial Narrow" w:hAnsi="Arial Narrow"/>
                <w:sz w:val="20"/>
              </w:rPr>
              <w:t xml:space="preserve">K;  Kipnes, M; Luo, E; Fanurik, D; Khatami, H; and Stein P for the Sitagliptin Study 035 Group (2007) Efficacy and safety of the dipeptidyl peptidase-4 inhibitor, sitagliptin, in patients with type 2 diabetes mellitus inadequately controlled on glimepiride alone or on glimepiride and metformin. </w:t>
            </w:r>
          </w:p>
        </w:tc>
        <w:tc>
          <w:tcPr>
            <w:tcW w:w="1008" w:type="pct"/>
            <w:tcBorders>
              <w:top w:val="nil"/>
              <w:left w:val="single" w:sz="4" w:space="0" w:color="auto"/>
              <w:bottom w:val="single" w:sz="4" w:space="0" w:color="auto"/>
              <w:right w:val="single" w:sz="4" w:space="0" w:color="auto"/>
            </w:tcBorders>
          </w:tcPr>
          <w:p w:rsidR="00330F3B" w:rsidRPr="00B067C6" w:rsidRDefault="001813C6" w:rsidP="00FB718A">
            <w:pPr>
              <w:keepNext/>
              <w:widowControl/>
              <w:jc w:val="left"/>
              <w:rPr>
                <w:rFonts w:ascii="Arial Narrow" w:hAnsi="Arial Narrow"/>
                <w:b/>
                <w:sz w:val="20"/>
                <w:highlight w:val="yellow"/>
              </w:rPr>
            </w:pPr>
            <w:r w:rsidRPr="003361E2">
              <w:rPr>
                <w:rFonts w:ascii="Arial Narrow" w:hAnsi="Arial Narrow"/>
                <w:sz w:val="20"/>
              </w:rPr>
              <w:t>Diabetes, Obesity and Metabolism, 9, 2007, 733–745</w:t>
            </w:r>
          </w:p>
        </w:tc>
      </w:tr>
      <w:tr w:rsidR="00330F3B" w:rsidRPr="00BD536C" w:rsidTr="001813C6">
        <w:trPr>
          <w:tblHeader/>
        </w:trPr>
        <w:tc>
          <w:tcPr>
            <w:tcW w:w="509" w:type="pct"/>
            <w:tcBorders>
              <w:top w:val="single" w:sz="4" w:space="0" w:color="auto"/>
              <w:left w:val="single" w:sz="4" w:space="0" w:color="auto"/>
              <w:bottom w:val="single" w:sz="4" w:space="0" w:color="auto"/>
              <w:right w:val="single" w:sz="4" w:space="0" w:color="auto"/>
            </w:tcBorders>
          </w:tcPr>
          <w:p w:rsidR="00330F3B" w:rsidRPr="001813C6" w:rsidRDefault="001813C6" w:rsidP="00FB718A">
            <w:pPr>
              <w:keepNext/>
              <w:widowControl/>
              <w:jc w:val="left"/>
              <w:rPr>
                <w:rFonts w:ascii="Arial Narrow" w:hAnsi="Arial Narrow"/>
                <w:sz w:val="20"/>
              </w:rPr>
            </w:pPr>
            <w:r w:rsidRPr="001813C6">
              <w:rPr>
                <w:rFonts w:ascii="Arial Narrow" w:hAnsi="Arial Narrow"/>
                <w:sz w:val="20"/>
              </w:rPr>
              <w:t>P229</w:t>
            </w:r>
          </w:p>
        </w:tc>
        <w:tc>
          <w:tcPr>
            <w:tcW w:w="3483" w:type="pct"/>
            <w:tcBorders>
              <w:top w:val="single" w:sz="4" w:space="0" w:color="auto"/>
              <w:left w:val="single" w:sz="4" w:space="0" w:color="auto"/>
              <w:bottom w:val="single" w:sz="4" w:space="0" w:color="auto"/>
              <w:right w:val="single" w:sz="4" w:space="0" w:color="auto"/>
            </w:tcBorders>
          </w:tcPr>
          <w:p w:rsidR="00330F3B" w:rsidRPr="001813C6" w:rsidRDefault="001813C6" w:rsidP="00FB718A">
            <w:pPr>
              <w:keepNext/>
              <w:widowControl/>
              <w:jc w:val="left"/>
              <w:rPr>
                <w:rFonts w:ascii="Arial Narrow" w:hAnsi="Arial Narrow"/>
                <w:b/>
                <w:sz w:val="20"/>
              </w:rPr>
            </w:pPr>
            <w:r w:rsidRPr="001813C6">
              <w:rPr>
                <w:rFonts w:ascii="Arial Narrow" w:hAnsi="Arial Narrow"/>
                <w:sz w:val="20"/>
              </w:rPr>
              <w:t>A Phase III, Randomised, Clinical Trial to Evaluate the Safety and Efficacy of the Addition of Sitagliptin in Patients with Type 2 Diabetes Mellitus Who Have Inadequate Glycaemic Control on a Sulphonylurea in Combination With Metformin.</w:t>
            </w:r>
          </w:p>
        </w:tc>
        <w:tc>
          <w:tcPr>
            <w:tcW w:w="1008" w:type="pct"/>
            <w:tcBorders>
              <w:top w:val="single" w:sz="4" w:space="0" w:color="auto"/>
              <w:left w:val="single" w:sz="4" w:space="0" w:color="auto"/>
              <w:bottom w:val="single" w:sz="4" w:space="0" w:color="auto"/>
              <w:right w:val="single" w:sz="4" w:space="0" w:color="auto"/>
            </w:tcBorders>
          </w:tcPr>
          <w:p w:rsidR="00330F3B" w:rsidRPr="00B94BE8" w:rsidRDefault="00B94BE8" w:rsidP="00FB718A">
            <w:pPr>
              <w:keepNext/>
              <w:widowControl/>
              <w:jc w:val="left"/>
              <w:rPr>
                <w:rFonts w:ascii="Arial Narrow" w:hAnsi="Arial Narrow"/>
                <w:sz w:val="20"/>
                <w:highlight w:val="yellow"/>
              </w:rPr>
            </w:pPr>
            <w:r w:rsidRPr="00B94BE8">
              <w:rPr>
                <w:rFonts w:ascii="Arial Narrow" w:hAnsi="Arial Narrow"/>
                <w:sz w:val="20"/>
              </w:rPr>
              <w:t>14 May 2012</w:t>
            </w:r>
          </w:p>
        </w:tc>
      </w:tr>
      <w:tr w:rsidR="001813C6" w:rsidRPr="00BD536C" w:rsidTr="001813C6">
        <w:trPr>
          <w:tblHeader/>
        </w:trPr>
        <w:tc>
          <w:tcPr>
            <w:tcW w:w="5000" w:type="pct"/>
            <w:gridSpan w:val="3"/>
            <w:tcBorders>
              <w:top w:val="single" w:sz="4" w:space="0" w:color="auto"/>
              <w:left w:val="single" w:sz="4" w:space="0" w:color="auto"/>
              <w:bottom w:val="single" w:sz="4" w:space="0" w:color="auto"/>
              <w:right w:val="single" w:sz="4" w:space="0" w:color="auto"/>
            </w:tcBorders>
          </w:tcPr>
          <w:p w:rsidR="001813C6" w:rsidRPr="00A17220" w:rsidRDefault="001813C6" w:rsidP="00FB718A">
            <w:pPr>
              <w:keepNext/>
              <w:widowControl/>
              <w:jc w:val="left"/>
              <w:rPr>
                <w:rFonts w:ascii="Arial Narrow" w:hAnsi="Arial Narrow"/>
                <w:b/>
                <w:sz w:val="20"/>
              </w:rPr>
            </w:pPr>
            <w:r w:rsidRPr="00BD536C">
              <w:rPr>
                <w:rFonts w:ascii="Arial Narrow" w:hAnsi="Arial Narrow"/>
                <w:b/>
                <w:sz w:val="20"/>
              </w:rPr>
              <w:t>Dapagliflozin vs. placebo, both in combination with metformin and a sulfonylurea</w:t>
            </w:r>
          </w:p>
        </w:tc>
      </w:tr>
      <w:tr w:rsidR="00330F3B" w:rsidRPr="00BD536C" w:rsidTr="001813C6">
        <w:trPr>
          <w:tblHeader/>
        </w:trPr>
        <w:tc>
          <w:tcPr>
            <w:tcW w:w="509" w:type="pct"/>
            <w:tcBorders>
              <w:top w:val="single" w:sz="4" w:space="0" w:color="auto"/>
              <w:left w:val="single" w:sz="4" w:space="0" w:color="auto"/>
              <w:bottom w:val="single" w:sz="4" w:space="0" w:color="auto"/>
              <w:right w:val="single" w:sz="4" w:space="0" w:color="auto"/>
            </w:tcBorders>
          </w:tcPr>
          <w:p w:rsidR="00330F3B" w:rsidRPr="001813C6" w:rsidRDefault="001813C6" w:rsidP="00FB718A">
            <w:pPr>
              <w:keepNext/>
              <w:widowControl/>
              <w:jc w:val="left"/>
              <w:rPr>
                <w:rFonts w:ascii="Arial Narrow" w:hAnsi="Arial Narrow"/>
                <w:sz w:val="20"/>
              </w:rPr>
            </w:pPr>
            <w:r w:rsidRPr="001813C6">
              <w:rPr>
                <w:rFonts w:ascii="Arial Narrow" w:hAnsi="Arial Narrow"/>
                <w:sz w:val="20"/>
              </w:rPr>
              <w:t>Matthaei 2015</w:t>
            </w:r>
          </w:p>
        </w:tc>
        <w:tc>
          <w:tcPr>
            <w:tcW w:w="3483" w:type="pct"/>
            <w:tcBorders>
              <w:top w:val="single" w:sz="4" w:space="0" w:color="auto"/>
              <w:left w:val="single" w:sz="4" w:space="0" w:color="auto"/>
              <w:bottom w:val="single" w:sz="4" w:space="0" w:color="auto"/>
              <w:right w:val="single" w:sz="4" w:space="0" w:color="auto"/>
            </w:tcBorders>
          </w:tcPr>
          <w:p w:rsidR="00330F3B" w:rsidRPr="001813C6" w:rsidRDefault="001813C6" w:rsidP="00FB718A">
            <w:pPr>
              <w:keepNext/>
              <w:widowControl/>
              <w:jc w:val="left"/>
              <w:rPr>
                <w:rFonts w:ascii="Arial Narrow" w:hAnsi="Arial Narrow"/>
                <w:b/>
                <w:sz w:val="20"/>
              </w:rPr>
            </w:pPr>
            <w:r w:rsidRPr="001813C6">
              <w:rPr>
                <w:rStyle w:val="TableText2Char"/>
                <w:rFonts w:ascii="Arial Narrow" w:hAnsi="Arial Narrow"/>
                <w:b w:val="0"/>
                <w:sz w:val="20"/>
              </w:rPr>
              <w:t>Matthaei S</w:t>
            </w:r>
            <w:r w:rsidRPr="001813C6">
              <w:rPr>
                <w:rStyle w:val="TableText2Char"/>
                <w:rFonts w:ascii="Arial Narrow" w:hAnsi="Arial Narrow"/>
                <w:sz w:val="20"/>
              </w:rPr>
              <w:t>,</w:t>
            </w:r>
            <w:r w:rsidRPr="001813C6">
              <w:rPr>
                <w:rFonts w:ascii="Arial Narrow" w:hAnsi="Arial Narrow"/>
                <w:sz w:val="20"/>
              </w:rPr>
              <w:t xml:space="preserve"> Bowering K, Rohwedder K, Grohl A, Parikh S for the Study 05 Group, Dapagliflozin </w:t>
            </w:r>
            <w:r>
              <w:rPr>
                <w:rFonts w:ascii="Arial Narrow" w:hAnsi="Arial Narrow"/>
                <w:sz w:val="20"/>
              </w:rPr>
              <w:t>i</w:t>
            </w:r>
            <w:r w:rsidRPr="001813C6">
              <w:rPr>
                <w:rFonts w:ascii="Arial Narrow" w:hAnsi="Arial Narrow"/>
                <w:sz w:val="20"/>
              </w:rPr>
              <w:t xml:space="preserve">mproves </w:t>
            </w:r>
            <w:r>
              <w:rPr>
                <w:rFonts w:ascii="Arial Narrow" w:hAnsi="Arial Narrow"/>
                <w:sz w:val="20"/>
              </w:rPr>
              <w:t>g</w:t>
            </w:r>
            <w:r w:rsidRPr="001813C6">
              <w:rPr>
                <w:rFonts w:ascii="Arial Narrow" w:hAnsi="Arial Narrow"/>
                <w:sz w:val="20"/>
              </w:rPr>
              <w:t xml:space="preserve">lycaemic </w:t>
            </w:r>
            <w:r>
              <w:rPr>
                <w:rFonts w:ascii="Arial Narrow" w:hAnsi="Arial Narrow"/>
                <w:sz w:val="20"/>
              </w:rPr>
              <w:t>c</w:t>
            </w:r>
            <w:r w:rsidRPr="001813C6">
              <w:rPr>
                <w:rFonts w:ascii="Arial Narrow" w:hAnsi="Arial Narrow"/>
                <w:sz w:val="20"/>
              </w:rPr>
              <w:t xml:space="preserve">ontrol and </w:t>
            </w:r>
            <w:r>
              <w:rPr>
                <w:rFonts w:ascii="Arial Narrow" w:hAnsi="Arial Narrow"/>
                <w:sz w:val="20"/>
              </w:rPr>
              <w:t>r</w:t>
            </w:r>
            <w:r w:rsidRPr="001813C6">
              <w:rPr>
                <w:rFonts w:ascii="Arial Narrow" w:hAnsi="Arial Narrow"/>
                <w:sz w:val="20"/>
              </w:rPr>
              <w:t xml:space="preserve">educes </w:t>
            </w:r>
            <w:r>
              <w:rPr>
                <w:rFonts w:ascii="Arial Narrow" w:hAnsi="Arial Narrow"/>
                <w:sz w:val="20"/>
              </w:rPr>
              <w:t>b</w:t>
            </w:r>
            <w:r w:rsidRPr="001813C6">
              <w:rPr>
                <w:rFonts w:ascii="Arial Narrow" w:hAnsi="Arial Narrow"/>
                <w:sz w:val="20"/>
              </w:rPr>
              <w:t xml:space="preserve">ody </w:t>
            </w:r>
            <w:r>
              <w:rPr>
                <w:rFonts w:ascii="Arial Narrow" w:hAnsi="Arial Narrow"/>
                <w:sz w:val="20"/>
              </w:rPr>
              <w:t>w</w:t>
            </w:r>
            <w:r w:rsidRPr="001813C6">
              <w:rPr>
                <w:rFonts w:ascii="Arial Narrow" w:hAnsi="Arial Narrow"/>
                <w:sz w:val="20"/>
              </w:rPr>
              <w:t xml:space="preserve">eight as </w:t>
            </w:r>
            <w:r>
              <w:rPr>
                <w:rFonts w:ascii="Arial Narrow" w:hAnsi="Arial Narrow"/>
                <w:sz w:val="20"/>
              </w:rPr>
              <w:t>a</w:t>
            </w:r>
            <w:r w:rsidRPr="001813C6">
              <w:rPr>
                <w:rFonts w:ascii="Arial Narrow" w:hAnsi="Arial Narrow"/>
                <w:sz w:val="20"/>
              </w:rPr>
              <w:t xml:space="preserve">dd-on </w:t>
            </w:r>
            <w:r>
              <w:rPr>
                <w:rFonts w:ascii="Arial Narrow" w:hAnsi="Arial Narrow"/>
                <w:sz w:val="20"/>
              </w:rPr>
              <w:t>therapy to m</w:t>
            </w:r>
            <w:r w:rsidRPr="001813C6">
              <w:rPr>
                <w:rFonts w:ascii="Arial Narrow" w:hAnsi="Arial Narrow"/>
                <w:sz w:val="20"/>
              </w:rPr>
              <w:t xml:space="preserve">etformin </w:t>
            </w:r>
            <w:r>
              <w:rPr>
                <w:rFonts w:ascii="Arial Narrow" w:hAnsi="Arial Narrow"/>
                <w:sz w:val="20"/>
              </w:rPr>
              <w:t>p</w:t>
            </w:r>
            <w:r w:rsidRPr="001813C6">
              <w:rPr>
                <w:rFonts w:ascii="Arial Narrow" w:hAnsi="Arial Narrow"/>
                <w:sz w:val="20"/>
              </w:rPr>
              <w:t xml:space="preserve">lus </w:t>
            </w:r>
            <w:r>
              <w:rPr>
                <w:rFonts w:ascii="Arial Narrow" w:hAnsi="Arial Narrow"/>
                <w:sz w:val="20"/>
              </w:rPr>
              <w:t>sulphonylurea: A 24-w</w:t>
            </w:r>
            <w:r w:rsidRPr="001813C6">
              <w:rPr>
                <w:rFonts w:ascii="Arial Narrow" w:hAnsi="Arial Narrow"/>
                <w:sz w:val="20"/>
              </w:rPr>
              <w:t xml:space="preserve">eek </w:t>
            </w:r>
            <w:r>
              <w:rPr>
                <w:rFonts w:ascii="Arial Narrow" w:hAnsi="Arial Narrow"/>
                <w:sz w:val="20"/>
              </w:rPr>
              <w:t>r</w:t>
            </w:r>
            <w:r w:rsidRPr="001813C6">
              <w:rPr>
                <w:rFonts w:ascii="Arial Narrow" w:hAnsi="Arial Narrow"/>
                <w:sz w:val="20"/>
              </w:rPr>
              <w:t xml:space="preserve">andomised, </w:t>
            </w:r>
            <w:r>
              <w:rPr>
                <w:rFonts w:ascii="Arial Narrow" w:hAnsi="Arial Narrow"/>
                <w:sz w:val="20"/>
              </w:rPr>
              <w:t>d</w:t>
            </w:r>
            <w:r w:rsidRPr="001813C6">
              <w:rPr>
                <w:rFonts w:ascii="Arial Narrow" w:hAnsi="Arial Narrow"/>
                <w:sz w:val="20"/>
              </w:rPr>
              <w:t>ouble-</w:t>
            </w:r>
            <w:r>
              <w:rPr>
                <w:rFonts w:ascii="Arial Narrow" w:hAnsi="Arial Narrow"/>
                <w:sz w:val="20"/>
              </w:rPr>
              <w:t>b</w:t>
            </w:r>
            <w:r w:rsidRPr="001813C6">
              <w:rPr>
                <w:rFonts w:ascii="Arial Narrow" w:hAnsi="Arial Narrow"/>
                <w:sz w:val="20"/>
              </w:rPr>
              <w:t xml:space="preserve">lind </w:t>
            </w:r>
            <w:r>
              <w:rPr>
                <w:rFonts w:ascii="Arial Narrow" w:hAnsi="Arial Narrow"/>
                <w:sz w:val="20"/>
              </w:rPr>
              <w:t>c</w:t>
            </w:r>
            <w:r w:rsidRPr="001813C6">
              <w:rPr>
                <w:rFonts w:ascii="Arial Narrow" w:hAnsi="Arial Narrow"/>
                <w:sz w:val="20"/>
              </w:rPr>
              <w:t xml:space="preserve">linical </w:t>
            </w:r>
            <w:r>
              <w:rPr>
                <w:rFonts w:ascii="Arial Narrow" w:hAnsi="Arial Narrow"/>
                <w:sz w:val="20"/>
              </w:rPr>
              <w:t>t</w:t>
            </w:r>
            <w:r w:rsidRPr="001813C6">
              <w:rPr>
                <w:rFonts w:ascii="Arial Narrow" w:hAnsi="Arial Narrow"/>
                <w:sz w:val="20"/>
              </w:rPr>
              <w:t>rial</w:t>
            </w:r>
            <w:r>
              <w:rPr>
                <w:rFonts w:ascii="Arial Narrow" w:hAnsi="Arial Narrow"/>
                <w:sz w:val="20"/>
              </w:rPr>
              <w:t>.</w:t>
            </w:r>
          </w:p>
        </w:tc>
        <w:tc>
          <w:tcPr>
            <w:tcW w:w="1008" w:type="pct"/>
            <w:tcBorders>
              <w:top w:val="single" w:sz="4" w:space="0" w:color="auto"/>
              <w:left w:val="single" w:sz="4" w:space="0" w:color="auto"/>
              <w:bottom w:val="single" w:sz="4" w:space="0" w:color="auto"/>
              <w:right w:val="single" w:sz="4" w:space="0" w:color="auto"/>
            </w:tcBorders>
          </w:tcPr>
          <w:p w:rsidR="00E877B8" w:rsidRDefault="00E877B8" w:rsidP="00FB718A">
            <w:pPr>
              <w:keepNext/>
              <w:widowControl/>
              <w:jc w:val="left"/>
              <w:rPr>
                <w:rFonts w:ascii="Arial Narrow" w:hAnsi="Arial Narrow"/>
                <w:sz w:val="20"/>
              </w:rPr>
            </w:pPr>
            <w:r w:rsidRPr="00E877B8">
              <w:rPr>
                <w:rFonts w:ascii="Arial Narrow" w:hAnsi="Arial Narrow"/>
                <w:sz w:val="20"/>
              </w:rPr>
              <w:t xml:space="preserve">Diabetes Care; Published online ahead of print </w:t>
            </w:r>
          </w:p>
          <w:p w:rsidR="00330F3B" w:rsidRPr="00E877B8" w:rsidRDefault="00E877B8" w:rsidP="00FB718A">
            <w:pPr>
              <w:keepNext/>
              <w:widowControl/>
              <w:jc w:val="left"/>
              <w:rPr>
                <w:rFonts w:ascii="Arial Narrow" w:hAnsi="Arial Narrow"/>
                <w:sz w:val="20"/>
              </w:rPr>
            </w:pPr>
            <w:r>
              <w:rPr>
                <w:rFonts w:ascii="Arial Narrow" w:hAnsi="Arial Narrow"/>
                <w:sz w:val="20"/>
              </w:rPr>
              <w:t>1</w:t>
            </w:r>
            <w:r w:rsidRPr="00E877B8">
              <w:rPr>
                <w:rFonts w:ascii="Arial Narrow" w:hAnsi="Arial Narrow"/>
                <w:sz w:val="20"/>
              </w:rPr>
              <w:t>5 January 2015</w:t>
            </w:r>
          </w:p>
        </w:tc>
      </w:tr>
    </w:tbl>
    <w:p w:rsidR="00E26D83" w:rsidRDefault="00E26D83" w:rsidP="00FB718A">
      <w:pPr>
        <w:pStyle w:val="TableFooter"/>
        <w:keepNext/>
        <w:widowControl/>
        <w:ind w:firstLine="720"/>
      </w:pPr>
      <w:r>
        <w:t>*Stratum 2 were taking metformin+sulfonylurea; Stratum 1 were taking sulfonylurea alone</w:t>
      </w:r>
      <w:r w:rsidR="00B826C8">
        <w:t>.</w:t>
      </w:r>
    </w:p>
    <w:p w:rsidR="00330F3B" w:rsidRPr="00D13A3E" w:rsidRDefault="00330F3B" w:rsidP="00FB718A">
      <w:pPr>
        <w:pStyle w:val="TableFooter"/>
        <w:widowControl/>
        <w:ind w:firstLine="720"/>
      </w:pPr>
      <w:r w:rsidRPr="00597377">
        <w:t>Source: Table B.</w:t>
      </w:r>
      <w:r w:rsidR="00597377" w:rsidRPr="00597377">
        <w:t>2-2</w:t>
      </w:r>
      <w:r w:rsidRPr="00597377">
        <w:t>,</w:t>
      </w:r>
      <w:r w:rsidR="00597377" w:rsidRPr="00597377">
        <w:t xml:space="preserve"> page 57 of the submission</w:t>
      </w:r>
      <w:r w:rsidRPr="00597377">
        <w:t xml:space="preserve"> </w:t>
      </w:r>
    </w:p>
    <w:p w:rsidR="00330F3B" w:rsidRPr="00114D15" w:rsidRDefault="00330F3B" w:rsidP="00FB718A">
      <w:pPr>
        <w:pStyle w:val="ListParagraph"/>
        <w:widowControl/>
        <w:rPr>
          <w:smallCaps/>
        </w:rPr>
      </w:pPr>
    </w:p>
    <w:p w:rsidR="007F1017" w:rsidRDefault="008F120A" w:rsidP="00FB718A">
      <w:pPr>
        <w:pStyle w:val="ListParagraph"/>
        <w:widowControl/>
        <w:numPr>
          <w:ilvl w:val="1"/>
          <w:numId w:val="5"/>
        </w:numPr>
        <w:rPr>
          <w:szCs w:val="22"/>
        </w:rPr>
      </w:pPr>
      <w:r w:rsidRPr="00A01D8E">
        <w:rPr>
          <w:szCs w:val="22"/>
        </w:rPr>
        <w:t xml:space="preserve">The key features of the </w:t>
      </w:r>
      <w:r w:rsidR="00A01D8E" w:rsidRPr="00A01D8E">
        <w:rPr>
          <w:szCs w:val="22"/>
        </w:rPr>
        <w:t>randomised trial</w:t>
      </w:r>
      <w:r w:rsidRPr="00A01D8E">
        <w:rPr>
          <w:szCs w:val="22"/>
        </w:rPr>
        <w:t xml:space="preserve">s are summarised in </w:t>
      </w:r>
      <w:r w:rsidR="00A01D8E" w:rsidRPr="00A01D8E">
        <w:rPr>
          <w:szCs w:val="22"/>
        </w:rPr>
        <w:t>Table 2.</w:t>
      </w:r>
    </w:p>
    <w:p w:rsidR="00A01D8E" w:rsidRPr="00A01D8E" w:rsidRDefault="00A01D8E" w:rsidP="00FB718A">
      <w:pPr>
        <w:pStyle w:val="ListParagraph"/>
        <w:widowControl/>
        <w:rPr>
          <w:szCs w:val="22"/>
        </w:rPr>
      </w:pPr>
    </w:p>
    <w:p w:rsidR="001813C6" w:rsidRDefault="001813C6" w:rsidP="00FB718A">
      <w:pPr>
        <w:pStyle w:val="ListParagraph"/>
        <w:keepNext/>
        <w:widowControl/>
        <w:rPr>
          <w:rStyle w:val="CommentReference"/>
        </w:rPr>
      </w:pPr>
      <w:r>
        <w:rPr>
          <w:rStyle w:val="CommentReference"/>
        </w:rPr>
        <w:t>Table</w:t>
      </w:r>
      <w:r w:rsidR="00A01D8E">
        <w:rPr>
          <w:rStyle w:val="CommentReference"/>
        </w:rPr>
        <w:t xml:space="preserve"> 2</w:t>
      </w:r>
      <w:r>
        <w:rPr>
          <w:rStyle w:val="CommentReference"/>
        </w:rPr>
        <w:t xml:space="preserve">: </w:t>
      </w:r>
      <w:r w:rsidRPr="00A13948">
        <w:rPr>
          <w:rStyle w:val="CommentReference"/>
        </w:rPr>
        <w:t>Key features of the included evidence – indirect comparison</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 indirect comparison"/>
        <w:tblDescription w:val="The table shows the key featuers of the included evidence"/>
      </w:tblPr>
      <w:tblGrid>
        <w:gridCol w:w="848"/>
        <w:gridCol w:w="709"/>
        <w:gridCol w:w="1418"/>
        <w:gridCol w:w="992"/>
        <w:gridCol w:w="3120"/>
        <w:gridCol w:w="1137"/>
      </w:tblGrid>
      <w:tr w:rsidR="00A01D8E" w:rsidRPr="00E2771E" w:rsidTr="00CD464D">
        <w:trPr>
          <w:tblHeader/>
        </w:trPr>
        <w:tc>
          <w:tcPr>
            <w:tcW w:w="516" w:type="pct"/>
            <w:shd w:val="clear" w:color="auto" w:fill="auto"/>
            <w:vAlign w:val="center"/>
          </w:tcPr>
          <w:p w:rsidR="001813C6" w:rsidRPr="00E2771E" w:rsidRDefault="001813C6" w:rsidP="00FB718A">
            <w:pPr>
              <w:keepNext/>
              <w:keepLines/>
              <w:widowControl/>
              <w:contextualSpacing/>
              <w:jc w:val="left"/>
              <w:rPr>
                <w:rFonts w:ascii="Arial Narrow" w:hAnsi="Arial Narrow"/>
                <w:b/>
                <w:sz w:val="20"/>
                <w:szCs w:val="16"/>
                <w:lang w:val="en-US"/>
              </w:rPr>
            </w:pPr>
            <w:r w:rsidRPr="00E2771E">
              <w:rPr>
                <w:rFonts w:ascii="Arial Narrow" w:hAnsi="Arial Narrow"/>
                <w:b/>
                <w:sz w:val="20"/>
                <w:szCs w:val="16"/>
                <w:lang w:val="en-US"/>
              </w:rPr>
              <w:t>Trial</w:t>
            </w:r>
          </w:p>
        </w:tc>
        <w:tc>
          <w:tcPr>
            <w:tcW w:w="431" w:type="pct"/>
            <w:shd w:val="clear" w:color="auto" w:fill="auto"/>
            <w:vAlign w:val="center"/>
          </w:tcPr>
          <w:p w:rsidR="001813C6" w:rsidRPr="00E2771E" w:rsidRDefault="001813C6" w:rsidP="00FB718A">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N</w:t>
            </w:r>
          </w:p>
        </w:tc>
        <w:tc>
          <w:tcPr>
            <w:tcW w:w="862" w:type="pct"/>
            <w:shd w:val="clear" w:color="auto" w:fill="auto"/>
            <w:vAlign w:val="center"/>
          </w:tcPr>
          <w:p w:rsidR="001813C6" w:rsidRPr="00E2771E" w:rsidRDefault="001813C6" w:rsidP="00FB718A">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Design/ duration</w:t>
            </w:r>
          </w:p>
        </w:tc>
        <w:tc>
          <w:tcPr>
            <w:tcW w:w="603" w:type="pct"/>
            <w:shd w:val="clear" w:color="auto" w:fill="auto"/>
            <w:vAlign w:val="center"/>
          </w:tcPr>
          <w:p w:rsidR="001813C6" w:rsidRPr="00E2771E" w:rsidRDefault="001813C6" w:rsidP="00FB718A">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1896" w:type="pct"/>
            <w:shd w:val="clear" w:color="auto" w:fill="auto"/>
            <w:vAlign w:val="center"/>
          </w:tcPr>
          <w:p w:rsidR="001813C6" w:rsidRPr="00E2771E" w:rsidRDefault="001813C6" w:rsidP="00FB718A">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691" w:type="pct"/>
            <w:shd w:val="clear" w:color="auto" w:fill="auto"/>
            <w:vAlign w:val="center"/>
          </w:tcPr>
          <w:p w:rsidR="001813C6" w:rsidRPr="00E2771E" w:rsidRDefault="001813C6" w:rsidP="00FB718A">
            <w:pPr>
              <w:keepNext/>
              <w:keepLines/>
              <w:widowControl/>
              <w:contextualSpacing/>
              <w:jc w:val="center"/>
              <w:rPr>
                <w:rFonts w:ascii="Arial Narrow" w:hAnsi="Arial Narrow"/>
                <w:b/>
                <w:sz w:val="20"/>
                <w:szCs w:val="16"/>
                <w:lang w:val="en-US"/>
              </w:rPr>
            </w:pPr>
            <w:r w:rsidRPr="00E2771E">
              <w:rPr>
                <w:rFonts w:ascii="Arial Narrow" w:hAnsi="Arial Narrow"/>
                <w:b/>
                <w:sz w:val="20"/>
                <w:szCs w:val="16"/>
                <w:lang w:val="en-US"/>
              </w:rPr>
              <w:t>Outcome(s)</w:t>
            </w:r>
          </w:p>
        </w:tc>
      </w:tr>
      <w:tr w:rsidR="001813C6" w:rsidRPr="00E2771E" w:rsidTr="001813C6">
        <w:trPr>
          <w:tblHeader/>
        </w:trPr>
        <w:tc>
          <w:tcPr>
            <w:tcW w:w="5000" w:type="pct"/>
            <w:gridSpan w:val="6"/>
            <w:shd w:val="clear" w:color="auto" w:fill="auto"/>
            <w:vAlign w:val="center"/>
          </w:tcPr>
          <w:p w:rsidR="001813C6" w:rsidRPr="00E2771E" w:rsidRDefault="001813C6" w:rsidP="00FB718A">
            <w:pPr>
              <w:keepNext/>
              <w:keepLines/>
              <w:widowControl/>
              <w:contextualSpacing/>
              <w:jc w:val="left"/>
              <w:rPr>
                <w:rFonts w:ascii="Arial Narrow" w:hAnsi="Arial Narrow"/>
                <w:b/>
                <w:sz w:val="20"/>
                <w:szCs w:val="16"/>
                <w:lang w:val="en-US"/>
              </w:rPr>
            </w:pPr>
            <w:r>
              <w:rPr>
                <w:rFonts w:ascii="Arial Narrow" w:hAnsi="Arial Narrow"/>
                <w:b/>
                <w:sz w:val="20"/>
                <w:szCs w:val="16"/>
                <w:lang w:val="en-US"/>
              </w:rPr>
              <w:t xml:space="preserve">Sitagliptin </w:t>
            </w:r>
            <w:r w:rsidR="003B2B96">
              <w:rPr>
                <w:rFonts w:ascii="Arial Narrow" w:hAnsi="Arial Narrow"/>
                <w:b/>
                <w:sz w:val="20"/>
                <w:szCs w:val="16"/>
                <w:lang w:val="en-US"/>
              </w:rPr>
              <w:t xml:space="preserve">100mg </w:t>
            </w:r>
            <w:r>
              <w:rPr>
                <w:rFonts w:ascii="Arial Narrow" w:hAnsi="Arial Narrow"/>
                <w:b/>
                <w:sz w:val="20"/>
                <w:szCs w:val="16"/>
                <w:lang w:val="en-US"/>
              </w:rPr>
              <w:t>vs placebo</w:t>
            </w:r>
            <w:r w:rsidR="002305EB">
              <w:rPr>
                <w:rFonts w:ascii="Arial Narrow" w:hAnsi="Arial Narrow"/>
                <w:b/>
                <w:sz w:val="20"/>
                <w:szCs w:val="16"/>
                <w:lang w:val="en-US"/>
              </w:rPr>
              <w:t xml:space="preserve"> </w:t>
            </w:r>
            <w:r w:rsidR="002305EB" w:rsidRPr="00B826C8">
              <w:rPr>
                <w:rStyle w:val="CommentReference"/>
              </w:rPr>
              <w:t>as add-on therapy to metformin and sulfonylurea</w:t>
            </w:r>
          </w:p>
        </w:tc>
      </w:tr>
      <w:tr w:rsidR="001813C6" w:rsidRPr="00E2771E" w:rsidTr="00CD464D">
        <w:trPr>
          <w:tblHeader/>
        </w:trPr>
        <w:tc>
          <w:tcPr>
            <w:tcW w:w="516" w:type="pct"/>
            <w:shd w:val="clear" w:color="auto" w:fill="auto"/>
            <w:vAlign w:val="center"/>
          </w:tcPr>
          <w:p w:rsidR="001813C6" w:rsidRPr="00A01D8E" w:rsidRDefault="00A01D8E" w:rsidP="00FB718A">
            <w:pPr>
              <w:keepNext/>
              <w:keepLines/>
              <w:widowControl/>
              <w:contextualSpacing/>
              <w:jc w:val="left"/>
              <w:rPr>
                <w:rFonts w:ascii="Arial Narrow" w:hAnsi="Arial Narrow"/>
                <w:sz w:val="20"/>
                <w:szCs w:val="16"/>
                <w:lang w:val="en-US"/>
              </w:rPr>
            </w:pPr>
            <w:r w:rsidRPr="00A01D8E">
              <w:rPr>
                <w:rFonts w:ascii="Arial Narrow" w:hAnsi="Arial Narrow"/>
                <w:sz w:val="20"/>
                <w:szCs w:val="16"/>
                <w:lang w:val="en-US"/>
              </w:rPr>
              <w:t>P035</w:t>
            </w:r>
          </w:p>
        </w:tc>
        <w:tc>
          <w:tcPr>
            <w:tcW w:w="431" w:type="pct"/>
            <w:shd w:val="clear" w:color="auto" w:fill="auto"/>
            <w:vAlign w:val="center"/>
          </w:tcPr>
          <w:p w:rsidR="001813C6" w:rsidRP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229</w:t>
            </w:r>
          </w:p>
        </w:tc>
        <w:tc>
          <w:tcPr>
            <w:tcW w:w="862" w:type="pct"/>
            <w:shd w:val="clear" w:color="auto" w:fill="auto"/>
            <w:vAlign w:val="center"/>
          </w:tcPr>
          <w:p w:rsidR="001813C6"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RCT, DB, MC</w:t>
            </w:r>
          </w:p>
          <w:p w:rsidR="00A01D8E" w:rsidRP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24 weeks</w:t>
            </w:r>
          </w:p>
        </w:tc>
        <w:tc>
          <w:tcPr>
            <w:tcW w:w="603" w:type="pct"/>
            <w:shd w:val="clear" w:color="auto" w:fill="auto"/>
            <w:vAlign w:val="center"/>
          </w:tcPr>
          <w:p w:rsidR="001813C6" w:rsidRPr="00A01D8E" w:rsidRDefault="00A01D8E" w:rsidP="00FB718A">
            <w:pPr>
              <w:keepNext/>
              <w:keepLines/>
              <w:widowControl/>
              <w:contextualSpacing/>
              <w:jc w:val="center"/>
              <w:rPr>
                <w:rFonts w:ascii="Arial Narrow" w:hAnsi="Arial Narrow"/>
                <w:sz w:val="20"/>
                <w:szCs w:val="16"/>
                <w:lang w:val="en-US"/>
              </w:rPr>
            </w:pPr>
            <w:r w:rsidRPr="00A01D8E">
              <w:rPr>
                <w:rFonts w:ascii="Arial Narrow" w:hAnsi="Arial Narrow"/>
                <w:sz w:val="20"/>
                <w:szCs w:val="16"/>
                <w:lang w:val="en-US"/>
              </w:rPr>
              <w:t>Low</w:t>
            </w:r>
          </w:p>
        </w:tc>
        <w:tc>
          <w:tcPr>
            <w:tcW w:w="1896" w:type="pct"/>
            <w:shd w:val="clear" w:color="auto" w:fill="auto"/>
            <w:vAlign w:val="center"/>
          </w:tcPr>
          <w:p w:rsidR="00A01D8E" w:rsidRPr="00C318C2" w:rsidRDefault="00A01D8E" w:rsidP="00FB718A">
            <w:pPr>
              <w:keepNext/>
              <w:keepLines/>
              <w:widowControl/>
              <w:jc w:val="left"/>
              <w:rPr>
                <w:rFonts w:ascii="Arial Narrow" w:hAnsi="Arial Narrow"/>
                <w:sz w:val="20"/>
                <w:lang w:val="en-US"/>
              </w:rPr>
            </w:pPr>
            <w:r>
              <w:rPr>
                <w:rFonts w:ascii="Arial Narrow" w:hAnsi="Arial Narrow"/>
                <w:sz w:val="20"/>
              </w:rPr>
              <w:t>T2DM a</w:t>
            </w:r>
            <w:r w:rsidRPr="00C318C2">
              <w:rPr>
                <w:rFonts w:ascii="Arial Narrow" w:hAnsi="Arial Narrow"/>
                <w:sz w:val="20"/>
              </w:rPr>
              <w:t xml:space="preserve">ged ≥18 and ≤75 years </w:t>
            </w:r>
          </w:p>
          <w:p w:rsidR="00A01D8E" w:rsidRDefault="00A01D8E" w:rsidP="00FB718A">
            <w:pPr>
              <w:keepNext/>
              <w:keepLines/>
              <w:widowControl/>
              <w:contextualSpacing/>
              <w:jc w:val="left"/>
              <w:rPr>
                <w:rFonts w:ascii="Arial Narrow" w:hAnsi="Arial Narrow"/>
                <w:sz w:val="20"/>
                <w:lang w:val="en-US"/>
              </w:rPr>
            </w:pPr>
            <w:r w:rsidRPr="00C318C2">
              <w:rPr>
                <w:rFonts w:ascii="Arial Narrow" w:hAnsi="Arial Narrow"/>
                <w:sz w:val="20"/>
                <w:lang w:val="en-US"/>
              </w:rPr>
              <w:t>HbA1c ≥7.5% and ≤10.5%</w:t>
            </w:r>
          </w:p>
          <w:p w:rsidR="001813C6" w:rsidRPr="00A01D8E" w:rsidRDefault="00A01D8E" w:rsidP="00FB718A">
            <w:pPr>
              <w:keepNext/>
              <w:keepLines/>
              <w:widowControl/>
              <w:contextualSpacing/>
              <w:jc w:val="left"/>
              <w:rPr>
                <w:rFonts w:ascii="Arial Narrow" w:hAnsi="Arial Narrow"/>
                <w:sz w:val="20"/>
                <w:szCs w:val="16"/>
                <w:lang w:val="en-US"/>
              </w:rPr>
            </w:pPr>
            <w:r w:rsidRPr="00C318C2">
              <w:rPr>
                <w:rFonts w:ascii="Arial Narrow" w:hAnsi="Arial Narrow"/>
                <w:sz w:val="20"/>
                <w:lang w:val="en-US"/>
              </w:rPr>
              <w:t>Glimepiride ≥4 mg/day + metformin ≥1500 mg/day</w:t>
            </w:r>
            <w:r>
              <w:rPr>
                <w:rFonts w:ascii="Arial Narrow" w:hAnsi="Arial Narrow"/>
                <w:sz w:val="20"/>
                <w:lang w:val="en-US"/>
              </w:rPr>
              <w:t>; open-label rescue pioglitazone</w:t>
            </w:r>
          </w:p>
        </w:tc>
        <w:tc>
          <w:tcPr>
            <w:tcW w:w="691" w:type="pct"/>
            <w:shd w:val="clear" w:color="auto" w:fill="auto"/>
            <w:vAlign w:val="center"/>
          </w:tcPr>
          <w:p w:rsid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 xml:space="preserve">HbA1c, FPG, </w:t>
            </w:r>
          </w:p>
          <w:p w:rsidR="001813C6" w:rsidRP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2-hour PPG</w:t>
            </w:r>
          </w:p>
        </w:tc>
      </w:tr>
      <w:tr w:rsidR="001813C6" w:rsidRPr="00E2771E" w:rsidTr="00CD464D">
        <w:trPr>
          <w:tblHeader/>
        </w:trPr>
        <w:tc>
          <w:tcPr>
            <w:tcW w:w="516" w:type="pct"/>
            <w:shd w:val="clear" w:color="auto" w:fill="auto"/>
            <w:vAlign w:val="center"/>
          </w:tcPr>
          <w:p w:rsidR="001813C6" w:rsidRPr="00A01D8E" w:rsidRDefault="00A01D8E" w:rsidP="00FB718A">
            <w:pPr>
              <w:keepNext/>
              <w:keepLines/>
              <w:widowControl/>
              <w:contextualSpacing/>
              <w:jc w:val="left"/>
              <w:rPr>
                <w:rFonts w:ascii="Arial Narrow" w:hAnsi="Arial Narrow"/>
                <w:sz w:val="20"/>
                <w:szCs w:val="16"/>
                <w:lang w:val="en-US"/>
              </w:rPr>
            </w:pPr>
            <w:r w:rsidRPr="00A01D8E">
              <w:rPr>
                <w:rFonts w:ascii="Arial Narrow" w:hAnsi="Arial Narrow"/>
                <w:sz w:val="20"/>
                <w:szCs w:val="16"/>
                <w:lang w:val="en-US"/>
              </w:rPr>
              <w:t>P229</w:t>
            </w:r>
          </w:p>
        </w:tc>
        <w:tc>
          <w:tcPr>
            <w:tcW w:w="431" w:type="pct"/>
            <w:shd w:val="clear" w:color="auto" w:fill="auto"/>
            <w:vAlign w:val="center"/>
          </w:tcPr>
          <w:p w:rsidR="001813C6" w:rsidRP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427</w:t>
            </w:r>
          </w:p>
        </w:tc>
        <w:tc>
          <w:tcPr>
            <w:tcW w:w="862" w:type="pct"/>
            <w:shd w:val="clear" w:color="auto" w:fill="auto"/>
            <w:vAlign w:val="center"/>
          </w:tcPr>
          <w:p w:rsidR="001813C6"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RCT, DB, MC</w:t>
            </w:r>
          </w:p>
          <w:p w:rsidR="00A01D8E" w:rsidRP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24 weeks</w:t>
            </w:r>
          </w:p>
        </w:tc>
        <w:tc>
          <w:tcPr>
            <w:tcW w:w="603" w:type="pct"/>
            <w:shd w:val="clear" w:color="auto" w:fill="auto"/>
            <w:vAlign w:val="center"/>
          </w:tcPr>
          <w:p w:rsidR="001813C6" w:rsidRPr="00A01D8E" w:rsidRDefault="00A01D8E" w:rsidP="00FB718A">
            <w:pPr>
              <w:keepNext/>
              <w:keepLines/>
              <w:widowControl/>
              <w:contextualSpacing/>
              <w:jc w:val="center"/>
              <w:rPr>
                <w:rFonts w:ascii="Arial Narrow" w:hAnsi="Arial Narrow"/>
                <w:sz w:val="20"/>
                <w:szCs w:val="16"/>
                <w:lang w:val="en-US"/>
              </w:rPr>
            </w:pPr>
            <w:r w:rsidRPr="00A01D8E">
              <w:rPr>
                <w:rFonts w:ascii="Arial Narrow" w:hAnsi="Arial Narrow"/>
                <w:sz w:val="20"/>
                <w:szCs w:val="16"/>
                <w:lang w:val="en-US"/>
              </w:rPr>
              <w:t>Low</w:t>
            </w:r>
          </w:p>
        </w:tc>
        <w:tc>
          <w:tcPr>
            <w:tcW w:w="1896" w:type="pct"/>
            <w:shd w:val="clear" w:color="auto" w:fill="auto"/>
            <w:vAlign w:val="center"/>
          </w:tcPr>
          <w:p w:rsidR="00A01D8E" w:rsidRPr="00C318C2" w:rsidRDefault="00A01D8E" w:rsidP="00FB718A">
            <w:pPr>
              <w:keepNext/>
              <w:keepLines/>
              <w:widowControl/>
              <w:jc w:val="left"/>
              <w:rPr>
                <w:rFonts w:ascii="Arial Narrow" w:hAnsi="Arial Narrow"/>
                <w:sz w:val="20"/>
                <w:lang w:val="en-US"/>
              </w:rPr>
            </w:pPr>
            <w:r>
              <w:rPr>
                <w:rFonts w:ascii="Arial Narrow" w:hAnsi="Arial Narrow"/>
                <w:sz w:val="20"/>
              </w:rPr>
              <w:t>T2DM  age</w:t>
            </w:r>
            <w:r w:rsidRPr="00C318C2">
              <w:rPr>
                <w:rFonts w:ascii="Arial Narrow" w:hAnsi="Arial Narrow"/>
                <w:sz w:val="20"/>
              </w:rPr>
              <w:t xml:space="preserve">d ≥18 and ≤78 years </w:t>
            </w:r>
          </w:p>
          <w:p w:rsidR="001813C6" w:rsidRDefault="00A01D8E" w:rsidP="00FB718A">
            <w:pPr>
              <w:keepNext/>
              <w:keepLines/>
              <w:widowControl/>
              <w:contextualSpacing/>
              <w:jc w:val="left"/>
              <w:rPr>
                <w:rFonts w:ascii="Arial Narrow" w:hAnsi="Arial Narrow"/>
                <w:sz w:val="20"/>
                <w:lang w:val="en-US"/>
              </w:rPr>
            </w:pPr>
            <w:r w:rsidRPr="00C318C2">
              <w:rPr>
                <w:rFonts w:ascii="Arial Narrow" w:hAnsi="Arial Narrow"/>
                <w:sz w:val="20"/>
                <w:lang w:val="en-US"/>
              </w:rPr>
              <w:t>HbA1c ≥7.5% and ≤10.5%</w:t>
            </w:r>
          </w:p>
          <w:p w:rsidR="00A01D8E" w:rsidRPr="00C318C2" w:rsidRDefault="00A01D8E" w:rsidP="00FB718A">
            <w:pPr>
              <w:keepNext/>
              <w:keepLines/>
              <w:widowControl/>
              <w:jc w:val="left"/>
              <w:rPr>
                <w:rFonts w:ascii="Arial Narrow" w:hAnsi="Arial Narrow"/>
                <w:sz w:val="20"/>
                <w:lang w:val="en-US"/>
              </w:rPr>
            </w:pPr>
            <w:r w:rsidRPr="00C318C2">
              <w:rPr>
                <w:rFonts w:ascii="Arial Narrow" w:hAnsi="Arial Narrow"/>
                <w:sz w:val="20"/>
                <w:lang w:val="en-US"/>
              </w:rPr>
              <w:t>Glimepiride ≥2 mg/day or gliclazide ≥60 mg daily of modified release formulation or ≥160 mg/day non-modified release formulation + metformin ≥1500 mg/day</w:t>
            </w:r>
          </w:p>
          <w:p w:rsidR="00A01D8E" w:rsidRPr="00A01D8E" w:rsidRDefault="00A01D8E" w:rsidP="00FB718A">
            <w:pPr>
              <w:keepNext/>
              <w:keepLines/>
              <w:widowControl/>
              <w:contextualSpacing/>
              <w:jc w:val="left"/>
              <w:rPr>
                <w:rFonts w:ascii="Arial Narrow" w:hAnsi="Arial Narrow"/>
                <w:sz w:val="20"/>
                <w:szCs w:val="16"/>
                <w:lang w:val="en-US"/>
              </w:rPr>
            </w:pPr>
            <w:r w:rsidRPr="00C318C2">
              <w:rPr>
                <w:rFonts w:ascii="Arial Narrow" w:hAnsi="Arial Narrow"/>
                <w:sz w:val="20"/>
                <w:lang w:val="en-US"/>
              </w:rPr>
              <w:t xml:space="preserve">Open-label </w:t>
            </w:r>
            <w:r>
              <w:rPr>
                <w:rFonts w:ascii="Arial Narrow" w:hAnsi="Arial Narrow"/>
                <w:sz w:val="20"/>
                <w:lang w:val="en-US"/>
              </w:rPr>
              <w:t xml:space="preserve">rescue </w:t>
            </w:r>
            <w:r w:rsidRPr="00C318C2">
              <w:rPr>
                <w:rFonts w:ascii="Arial Narrow" w:hAnsi="Arial Narrow"/>
                <w:sz w:val="20"/>
                <w:lang w:val="en-US"/>
              </w:rPr>
              <w:t>pioglitazone</w:t>
            </w:r>
          </w:p>
        </w:tc>
        <w:tc>
          <w:tcPr>
            <w:tcW w:w="691" w:type="pct"/>
            <w:shd w:val="clear" w:color="auto" w:fill="auto"/>
            <w:vAlign w:val="center"/>
          </w:tcPr>
          <w:p w:rsid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 xml:space="preserve">HbA1c, FPG, </w:t>
            </w:r>
          </w:p>
          <w:p w:rsidR="001813C6" w:rsidRPr="00A01D8E" w:rsidRDefault="00A01D8E"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2-hour PPG</w:t>
            </w:r>
          </w:p>
        </w:tc>
      </w:tr>
      <w:tr w:rsidR="00CD464D" w:rsidRPr="00E2771E" w:rsidTr="00CD464D">
        <w:trPr>
          <w:tblHeader/>
        </w:trPr>
        <w:tc>
          <w:tcPr>
            <w:tcW w:w="516" w:type="pct"/>
            <w:shd w:val="clear" w:color="auto" w:fill="auto"/>
            <w:vAlign w:val="center"/>
          </w:tcPr>
          <w:p w:rsidR="00CD464D" w:rsidRPr="00A01D8E" w:rsidRDefault="00CD464D" w:rsidP="00FB718A">
            <w:pPr>
              <w:keepNext/>
              <w:keepLines/>
              <w:widowControl/>
              <w:contextualSpacing/>
              <w:jc w:val="left"/>
              <w:rPr>
                <w:rFonts w:ascii="Arial Narrow" w:hAnsi="Arial Narrow"/>
                <w:sz w:val="20"/>
                <w:szCs w:val="16"/>
                <w:lang w:val="en-US"/>
              </w:rPr>
            </w:pPr>
            <w:r>
              <w:rPr>
                <w:rFonts w:ascii="Arial Narrow" w:hAnsi="Arial Narrow"/>
                <w:sz w:val="20"/>
                <w:szCs w:val="16"/>
                <w:lang w:val="en-US"/>
              </w:rPr>
              <w:t>Meta-analysis</w:t>
            </w:r>
          </w:p>
        </w:tc>
        <w:tc>
          <w:tcPr>
            <w:tcW w:w="431" w:type="pct"/>
            <w:shd w:val="clear" w:color="auto" w:fill="auto"/>
            <w:vAlign w:val="center"/>
          </w:tcPr>
          <w:p w:rsidR="00CD464D" w:rsidRDefault="00CD464D"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656</w:t>
            </w:r>
          </w:p>
        </w:tc>
        <w:tc>
          <w:tcPr>
            <w:tcW w:w="3362" w:type="pct"/>
            <w:gridSpan w:val="3"/>
            <w:shd w:val="clear" w:color="auto" w:fill="auto"/>
            <w:vAlign w:val="center"/>
          </w:tcPr>
          <w:p w:rsidR="00CD464D" w:rsidRDefault="00CD464D" w:rsidP="00FB718A">
            <w:pPr>
              <w:keepNext/>
              <w:keepLines/>
              <w:widowControl/>
              <w:jc w:val="left"/>
              <w:rPr>
                <w:rFonts w:ascii="Arial Narrow" w:hAnsi="Arial Narrow"/>
                <w:sz w:val="20"/>
              </w:rPr>
            </w:pPr>
            <w:r>
              <w:rPr>
                <w:rFonts w:ascii="Arial Narrow" w:hAnsi="Arial Narrow"/>
                <w:sz w:val="20"/>
              </w:rPr>
              <w:t>Included P035, P229</w:t>
            </w:r>
          </w:p>
        </w:tc>
        <w:tc>
          <w:tcPr>
            <w:tcW w:w="691" w:type="pct"/>
            <w:shd w:val="clear" w:color="auto" w:fill="auto"/>
            <w:vAlign w:val="center"/>
          </w:tcPr>
          <w:p w:rsidR="00CD464D" w:rsidRDefault="00CD464D"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HbA1c</w:t>
            </w:r>
          </w:p>
        </w:tc>
      </w:tr>
      <w:tr w:rsidR="001813C6" w:rsidRPr="00E2771E" w:rsidTr="00CD464D">
        <w:tc>
          <w:tcPr>
            <w:tcW w:w="5000" w:type="pct"/>
            <w:gridSpan w:val="6"/>
            <w:shd w:val="clear" w:color="auto" w:fill="auto"/>
            <w:vAlign w:val="center"/>
          </w:tcPr>
          <w:p w:rsidR="001813C6" w:rsidRPr="00E2771E" w:rsidRDefault="001813C6" w:rsidP="00FB718A">
            <w:pPr>
              <w:keepNext/>
              <w:keepLines/>
              <w:widowControl/>
              <w:contextualSpacing/>
              <w:jc w:val="left"/>
              <w:rPr>
                <w:rFonts w:ascii="Arial Narrow" w:hAnsi="Arial Narrow"/>
                <w:b/>
                <w:sz w:val="20"/>
                <w:szCs w:val="16"/>
                <w:lang w:val="en-US"/>
              </w:rPr>
            </w:pPr>
            <w:r w:rsidRPr="00E574BA">
              <w:rPr>
                <w:rFonts w:ascii="Arial Narrow" w:hAnsi="Arial Narrow"/>
                <w:b/>
                <w:sz w:val="20"/>
              </w:rPr>
              <w:t>Dapagliflozin</w:t>
            </w:r>
            <w:r w:rsidR="003B2B96">
              <w:rPr>
                <w:rFonts w:ascii="Arial Narrow" w:hAnsi="Arial Narrow"/>
                <w:b/>
                <w:sz w:val="20"/>
              </w:rPr>
              <w:t xml:space="preserve"> 10mg</w:t>
            </w:r>
            <w:r w:rsidRPr="00E574BA">
              <w:rPr>
                <w:rFonts w:ascii="Arial Narrow" w:hAnsi="Arial Narrow"/>
                <w:b/>
                <w:sz w:val="20"/>
              </w:rPr>
              <w:t xml:space="preserve"> vs placebo</w:t>
            </w:r>
            <w:r w:rsidR="002305EB">
              <w:rPr>
                <w:rFonts w:ascii="Arial Narrow" w:hAnsi="Arial Narrow"/>
                <w:b/>
                <w:sz w:val="20"/>
              </w:rPr>
              <w:t xml:space="preserve"> </w:t>
            </w:r>
            <w:r w:rsidR="002305EB" w:rsidRPr="00B826C8">
              <w:rPr>
                <w:rStyle w:val="CommentReference"/>
              </w:rPr>
              <w:t>as add-on therapy to metformin and sulfonylurea</w:t>
            </w:r>
          </w:p>
        </w:tc>
      </w:tr>
      <w:tr w:rsidR="00A01D8E" w:rsidRPr="00E2771E" w:rsidTr="00CD464D">
        <w:tc>
          <w:tcPr>
            <w:tcW w:w="516" w:type="pct"/>
            <w:shd w:val="clear" w:color="auto" w:fill="auto"/>
            <w:vAlign w:val="center"/>
          </w:tcPr>
          <w:p w:rsidR="001813C6" w:rsidRPr="00A01D8E" w:rsidRDefault="00A01D8E" w:rsidP="00FB718A">
            <w:pPr>
              <w:pStyle w:val="TableText0"/>
              <w:keepLines/>
              <w:spacing w:before="0" w:after="0"/>
              <w:contextualSpacing/>
              <w:rPr>
                <w:rFonts w:cs="Arial"/>
              </w:rPr>
            </w:pPr>
            <w:r w:rsidRPr="00A01D8E">
              <w:rPr>
                <w:rFonts w:cs="Arial"/>
              </w:rPr>
              <w:t>Matthaei</w:t>
            </w:r>
          </w:p>
          <w:p w:rsidR="001813C6" w:rsidRPr="00E2771E" w:rsidRDefault="001813C6" w:rsidP="00FB718A">
            <w:pPr>
              <w:keepNext/>
              <w:keepLines/>
              <w:widowControl/>
              <w:contextualSpacing/>
              <w:jc w:val="left"/>
              <w:rPr>
                <w:rFonts w:ascii="Arial Narrow" w:hAnsi="Arial Narrow"/>
                <w:sz w:val="20"/>
                <w:szCs w:val="16"/>
                <w:lang w:val="en-US"/>
              </w:rPr>
            </w:pPr>
          </w:p>
        </w:tc>
        <w:tc>
          <w:tcPr>
            <w:tcW w:w="431" w:type="pct"/>
            <w:shd w:val="clear" w:color="auto" w:fill="auto"/>
            <w:vAlign w:val="center"/>
          </w:tcPr>
          <w:p w:rsidR="001813C6" w:rsidRPr="00E2771E" w:rsidRDefault="001813C6" w:rsidP="00FB718A">
            <w:pPr>
              <w:keepNext/>
              <w:keepLines/>
              <w:widowControl/>
              <w:contextualSpacing/>
              <w:jc w:val="center"/>
              <w:rPr>
                <w:rFonts w:ascii="Arial Narrow" w:hAnsi="Arial Narrow"/>
                <w:sz w:val="20"/>
                <w:szCs w:val="16"/>
                <w:lang w:val="en-US"/>
              </w:rPr>
            </w:pPr>
            <w:r>
              <w:rPr>
                <w:rFonts w:ascii="Arial Narrow" w:hAnsi="Arial Narrow"/>
                <w:sz w:val="20"/>
                <w:szCs w:val="16"/>
                <w:lang w:val="en-US"/>
              </w:rPr>
              <w:t>218</w:t>
            </w:r>
          </w:p>
        </w:tc>
        <w:tc>
          <w:tcPr>
            <w:tcW w:w="862" w:type="pct"/>
            <w:shd w:val="clear" w:color="auto" w:fill="auto"/>
            <w:vAlign w:val="center"/>
          </w:tcPr>
          <w:p w:rsidR="001813C6" w:rsidRPr="00E2771E" w:rsidRDefault="001813C6" w:rsidP="00FB718A">
            <w:pPr>
              <w:keepNext/>
              <w:keepLines/>
              <w:widowControl/>
              <w:contextualSpacing/>
              <w:jc w:val="center"/>
              <w:rPr>
                <w:rFonts w:ascii="Arial Narrow" w:hAnsi="Arial Narrow"/>
                <w:sz w:val="20"/>
                <w:szCs w:val="16"/>
                <w:lang w:val="en-US"/>
              </w:rPr>
            </w:pPr>
            <w:r w:rsidRPr="00926740">
              <w:rPr>
                <w:rFonts w:ascii="Arial Narrow" w:hAnsi="Arial Narrow"/>
                <w:sz w:val="20"/>
              </w:rPr>
              <w:t>R</w:t>
            </w:r>
            <w:r>
              <w:rPr>
                <w:rFonts w:ascii="Arial Narrow" w:hAnsi="Arial Narrow"/>
                <w:sz w:val="20"/>
              </w:rPr>
              <w:t>CT, DB, MC</w:t>
            </w:r>
            <w:r w:rsidRPr="00E574BA">
              <w:rPr>
                <w:rFonts w:ascii="Arial Narrow" w:hAnsi="Arial Narrow"/>
                <w:sz w:val="20"/>
                <w:lang w:val="en-US"/>
              </w:rPr>
              <w:t xml:space="preserve"> </w:t>
            </w:r>
            <w:r w:rsidRPr="00E574BA">
              <w:rPr>
                <w:rFonts w:ascii="Arial Narrow" w:hAnsi="Arial Narrow"/>
                <w:sz w:val="20"/>
                <w:lang w:val="en-US"/>
              </w:rPr>
              <w:br/>
            </w:r>
            <w:r>
              <w:rPr>
                <w:rFonts w:ascii="Arial Narrow" w:hAnsi="Arial Narrow"/>
                <w:sz w:val="20"/>
                <w:lang w:val="en-US"/>
              </w:rPr>
              <w:t xml:space="preserve">24 </w:t>
            </w:r>
            <w:r w:rsidR="00A01D8E">
              <w:rPr>
                <w:rFonts w:ascii="Arial Narrow" w:hAnsi="Arial Narrow"/>
                <w:sz w:val="20"/>
                <w:lang w:val="en-US"/>
              </w:rPr>
              <w:t>weeks</w:t>
            </w:r>
          </w:p>
        </w:tc>
        <w:tc>
          <w:tcPr>
            <w:tcW w:w="603" w:type="pct"/>
            <w:shd w:val="clear" w:color="auto" w:fill="auto"/>
            <w:vAlign w:val="center"/>
          </w:tcPr>
          <w:p w:rsidR="001813C6" w:rsidRPr="00E2771E" w:rsidRDefault="001813C6" w:rsidP="00FB718A">
            <w:pPr>
              <w:keepNext/>
              <w:keepLines/>
              <w:widowControl/>
              <w:contextualSpacing/>
              <w:jc w:val="center"/>
              <w:rPr>
                <w:rFonts w:ascii="Arial Narrow" w:hAnsi="Arial Narrow"/>
                <w:sz w:val="20"/>
                <w:szCs w:val="16"/>
                <w:lang w:val="en-US"/>
              </w:rPr>
            </w:pPr>
            <w:r w:rsidRPr="00E2771E">
              <w:rPr>
                <w:rFonts w:ascii="Arial Narrow" w:hAnsi="Arial Narrow"/>
                <w:sz w:val="20"/>
                <w:szCs w:val="16"/>
                <w:lang w:val="en-US"/>
              </w:rPr>
              <w:t>Low</w:t>
            </w:r>
          </w:p>
        </w:tc>
        <w:tc>
          <w:tcPr>
            <w:tcW w:w="1896" w:type="pct"/>
            <w:shd w:val="clear" w:color="auto" w:fill="auto"/>
            <w:vAlign w:val="center"/>
          </w:tcPr>
          <w:p w:rsidR="00A01D8E" w:rsidRPr="00C318C2" w:rsidRDefault="00A01D8E" w:rsidP="00FB718A">
            <w:pPr>
              <w:keepNext/>
              <w:keepLines/>
              <w:widowControl/>
              <w:jc w:val="left"/>
              <w:rPr>
                <w:rFonts w:ascii="Arial Narrow" w:hAnsi="Arial Narrow"/>
                <w:sz w:val="20"/>
                <w:lang w:val="en-US"/>
              </w:rPr>
            </w:pPr>
            <w:r>
              <w:rPr>
                <w:rFonts w:ascii="Arial Narrow" w:hAnsi="Arial Narrow"/>
                <w:sz w:val="20"/>
              </w:rPr>
              <w:t>T2DM a</w:t>
            </w:r>
            <w:r w:rsidRPr="00C318C2">
              <w:rPr>
                <w:rFonts w:ascii="Arial Narrow" w:hAnsi="Arial Narrow"/>
                <w:sz w:val="20"/>
              </w:rPr>
              <w:t>ged ≥18 with T2DM</w:t>
            </w:r>
            <w:r w:rsidRPr="00C318C2">
              <w:rPr>
                <w:rFonts w:ascii="Arial Narrow" w:hAnsi="Arial Narrow"/>
                <w:sz w:val="20"/>
                <w:lang w:val="en-US"/>
              </w:rPr>
              <w:t xml:space="preserve"> </w:t>
            </w:r>
          </w:p>
          <w:p w:rsidR="00A01D8E" w:rsidRDefault="00A01D8E" w:rsidP="00FB718A">
            <w:pPr>
              <w:keepNext/>
              <w:keepLines/>
              <w:widowControl/>
              <w:contextualSpacing/>
              <w:jc w:val="left"/>
              <w:rPr>
                <w:rFonts w:ascii="Arial Narrow" w:hAnsi="Arial Narrow"/>
                <w:sz w:val="20"/>
                <w:lang w:val="en-US"/>
              </w:rPr>
            </w:pPr>
            <w:r w:rsidRPr="00C318C2">
              <w:rPr>
                <w:rFonts w:ascii="Arial Narrow" w:hAnsi="Arial Narrow"/>
                <w:sz w:val="20"/>
                <w:lang w:val="en-US"/>
              </w:rPr>
              <w:t xml:space="preserve">HbA1c ≥7.0% and ≤10.5% </w:t>
            </w:r>
          </w:p>
          <w:p w:rsidR="001813C6" w:rsidRPr="00E2771E" w:rsidRDefault="00A01D8E" w:rsidP="00FB718A">
            <w:pPr>
              <w:keepNext/>
              <w:keepLines/>
              <w:widowControl/>
              <w:contextualSpacing/>
              <w:jc w:val="left"/>
              <w:rPr>
                <w:rFonts w:ascii="Arial Narrow" w:hAnsi="Arial Narrow"/>
                <w:sz w:val="20"/>
                <w:szCs w:val="16"/>
                <w:lang w:val="en-US"/>
              </w:rPr>
            </w:pPr>
            <w:r>
              <w:rPr>
                <w:rFonts w:ascii="Arial Narrow" w:hAnsi="Arial Narrow"/>
                <w:sz w:val="20"/>
                <w:lang w:val="en-US"/>
              </w:rPr>
              <w:t xml:space="preserve">Stable metformin </w:t>
            </w:r>
            <w:r w:rsidR="001813C6" w:rsidRPr="00D2185D">
              <w:rPr>
                <w:rFonts w:ascii="Arial Narrow" w:hAnsi="Arial Narrow"/>
                <w:sz w:val="20"/>
                <w:lang w:val="en-US"/>
              </w:rPr>
              <w:t>≥1500mg/day and maxim</w:t>
            </w:r>
            <w:r w:rsidR="001813C6">
              <w:rPr>
                <w:rFonts w:ascii="Arial Narrow" w:hAnsi="Arial Narrow"/>
                <w:sz w:val="20"/>
                <w:lang w:val="en-US"/>
              </w:rPr>
              <w:t>um tolerated</w:t>
            </w:r>
            <w:r w:rsidR="00CD464D">
              <w:rPr>
                <w:rFonts w:ascii="Arial Narrow" w:hAnsi="Arial Narrow"/>
                <w:sz w:val="20"/>
                <w:lang w:val="en-US"/>
              </w:rPr>
              <w:t xml:space="preserve"> dose of sulfonylurea </w:t>
            </w:r>
            <w:r w:rsidR="001813C6">
              <w:rPr>
                <w:rFonts w:ascii="Arial Narrow" w:hAnsi="Arial Narrow"/>
                <w:sz w:val="20"/>
                <w:lang w:val="en-US"/>
              </w:rPr>
              <w:t>(at least 50% of maximum dose)</w:t>
            </w:r>
          </w:p>
        </w:tc>
        <w:tc>
          <w:tcPr>
            <w:tcW w:w="691" w:type="pct"/>
            <w:shd w:val="clear" w:color="auto" w:fill="auto"/>
            <w:vAlign w:val="center"/>
          </w:tcPr>
          <w:p w:rsidR="001813C6" w:rsidRPr="00E2771E" w:rsidRDefault="001813C6" w:rsidP="00FB718A">
            <w:pPr>
              <w:keepNext/>
              <w:keepLines/>
              <w:widowControl/>
              <w:contextualSpacing/>
              <w:jc w:val="center"/>
              <w:rPr>
                <w:rFonts w:ascii="Arial Narrow" w:hAnsi="Arial Narrow"/>
                <w:sz w:val="20"/>
                <w:szCs w:val="16"/>
                <w:lang w:val="en-US"/>
              </w:rPr>
            </w:pPr>
            <w:r>
              <w:rPr>
                <w:rFonts w:ascii="Arial Narrow" w:hAnsi="Arial Narrow"/>
                <w:sz w:val="20"/>
                <w:lang w:val="en-US"/>
              </w:rPr>
              <w:t>HbA1c</w:t>
            </w:r>
            <w:r w:rsidR="00A01D8E">
              <w:rPr>
                <w:rFonts w:ascii="Arial Narrow" w:hAnsi="Arial Narrow"/>
                <w:sz w:val="20"/>
                <w:lang w:val="en-US"/>
              </w:rPr>
              <w:t>, FPG</w:t>
            </w:r>
          </w:p>
        </w:tc>
      </w:tr>
    </w:tbl>
    <w:p w:rsidR="001813C6" w:rsidRDefault="001813C6" w:rsidP="00FB718A">
      <w:pPr>
        <w:pStyle w:val="TableFooter"/>
        <w:widowControl/>
        <w:ind w:left="720"/>
      </w:pPr>
      <w:r>
        <w:t>Abbreviation</w:t>
      </w:r>
      <w:r w:rsidR="008109AE">
        <w:t>s</w:t>
      </w:r>
      <w:r>
        <w:t xml:space="preserve">: </w:t>
      </w:r>
      <w:r w:rsidRPr="009A6831">
        <w:t>DB</w:t>
      </w:r>
      <w:r w:rsidR="00CD464D">
        <w:t xml:space="preserve"> double</w:t>
      </w:r>
      <w:r w:rsidR="008109AE">
        <w:t>-</w:t>
      </w:r>
      <w:r w:rsidR="00CD464D">
        <w:t xml:space="preserve">blind; </w:t>
      </w:r>
      <w:r w:rsidR="007A6DE4">
        <w:t xml:space="preserve">FPG fasting plasma glucose; HbA1c </w:t>
      </w:r>
      <w:r w:rsidR="007A6DE4" w:rsidRPr="0090259B">
        <w:t>Glycosylated haemoglobin</w:t>
      </w:r>
      <w:r w:rsidR="007A6DE4">
        <w:t xml:space="preserve">; </w:t>
      </w:r>
      <w:r w:rsidR="00CD464D">
        <w:t>MC m</w:t>
      </w:r>
      <w:r w:rsidRPr="009A6831">
        <w:t>ulti-centre</w:t>
      </w:r>
      <w:r w:rsidR="00400E3F">
        <w:t>; PPG post-prandial glucose</w:t>
      </w:r>
      <w:r w:rsidR="00BA2F79">
        <w:t xml:space="preserve">; </w:t>
      </w:r>
      <w:r w:rsidR="007A6DE4">
        <w:t xml:space="preserve">RCT randomised controlled trial; </w:t>
      </w:r>
      <w:r w:rsidR="00BA2F79">
        <w:t>T2DM type 2 diabetes mellitus.</w:t>
      </w:r>
    </w:p>
    <w:p w:rsidR="00CD464D" w:rsidRDefault="00CD464D" w:rsidP="00FB718A">
      <w:pPr>
        <w:pStyle w:val="TableFooter"/>
        <w:widowControl/>
        <w:ind w:firstLine="720"/>
      </w:pPr>
      <w:r>
        <w:t xml:space="preserve">Source: </w:t>
      </w:r>
      <w:r w:rsidRPr="00B826C8">
        <w:t>Table B.2-3, pp 58-61 of the submission</w:t>
      </w:r>
    </w:p>
    <w:p w:rsidR="00CD464D" w:rsidRDefault="00CD464D" w:rsidP="00FB718A">
      <w:pPr>
        <w:pStyle w:val="ListParagraph"/>
        <w:widowControl/>
      </w:pPr>
    </w:p>
    <w:p w:rsidR="007565B6" w:rsidRPr="00D13A3E" w:rsidRDefault="007565B6" w:rsidP="00FB718A">
      <w:pPr>
        <w:pStyle w:val="ListParagraph"/>
        <w:widowControl/>
      </w:pPr>
    </w:p>
    <w:p w:rsidR="00B60939" w:rsidRPr="002C2775" w:rsidRDefault="00B60939" w:rsidP="00FB718A">
      <w:pPr>
        <w:pStyle w:val="Heading2"/>
        <w:widowControl/>
        <w:rPr>
          <w:i/>
        </w:rPr>
      </w:pPr>
      <w:bookmarkStart w:id="8" w:name="_Toc419206926"/>
      <w:r w:rsidRPr="002C2775">
        <w:rPr>
          <w:i/>
        </w:rPr>
        <w:t>Comparative effectiveness</w:t>
      </w:r>
      <w:bookmarkEnd w:id="8"/>
    </w:p>
    <w:p w:rsidR="00B60939" w:rsidRPr="00882085" w:rsidRDefault="00B826C8" w:rsidP="00FB718A">
      <w:pPr>
        <w:widowControl/>
        <w:rPr>
          <w:szCs w:val="22"/>
        </w:rPr>
      </w:pPr>
      <w:r>
        <w:rPr>
          <w:szCs w:val="22"/>
        </w:rPr>
        <w:tab/>
      </w:r>
    </w:p>
    <w:p w:rsidR="00B60939" w:rsidRPr="00400E3F" w:rsidRDefault="00400E3F" w:rsidP="00FB718A">
      <w:pPr>
        <w:pStyle w:val="ListParagraph"/>
        <w:widowControl/>
        <w:numPr>
          <w:ilvl w:val="1"/>
          <w:numId w:val="5"/>
        </w:numPr>
        <w:rPr>
          <w:szCs w:val="22"/>
        </w:rPr>
      </w:pPr>
      <w:r w:rsidRPr="00400E3F">
        <w:rPr>
          <w:szCs w:val="22"/>
        </w:rPr>
        <w:t xml:space="preserve">The results of the indirect comparison are shown in Table 3. </w:t>
      </w:r>
    </w:p>
    <w:p w:rsidR="00400E3F" w:rsidRPr="00882085" w:rsidRDefault="00400E3F" w:rsidP="00FB718A">
      <w:pPr>
        <w:pStyle w:val="ListParagraph"/>
        <w:widowControl/>
        <w:rPr>
          <w:szCs w:val="22"/>
        </w:rPr>
      </w:pPr>
    </w:p>
    <w:p w:rsidR="00CD464D" w:rsidRPr="00B826C8" w:rsidRDefault="00CD464D" w:rsidP="00FB718A">
      <w:pPr>
        <w:pStyle w:val="ListParagraph"/>
        <w:widowControl/>
        <w:rPr>
          <w:rStyle w:val="CommentReference"/>
        </w:rPr>
      </w:pPr>
      <w:r w:rsidRPr="00B826C8">
        <w:rPr>
          <w:rStyle w:val="CommentReference"/>
        </w:rPr>
        <w:t xml:space="preserve">Table </w:t>
      </w:r>
      <w:r w:rsidR="00400E3F" w:rsidRPr="00B826C8">
        <w:rPr>
          <w:rStyle w:val="CommentReference"/>
        </w:rPr>
        <w:t>3</w:t>
      </w:r>
      <w:r w:rsidRPr="00B826C8">
        <w:rPr>
          <w:rStyle w:val="CommentReference"/>
        </w:rPr>
        <w:t>: Mean change in HbA1c from baseline to week 24: sitagliptin vs placebo, dapagliflozin vs placebo as add-</w:t>
      </w:r>
      <w:r w:rsidR="00DC4C3D" w:rsidRPr="00B826C8">
        <w:rPr>
          <w:rStyle w:val="CommentReference"/>
        </w:rPr>
        <w:t>on therapy to metformin and sulf</w:t>
      </w:r>
      <w:r w:rsidRPr="00B826C8">
        <w:rPr>
          <w:rStyle w:val="CommentReference"/>
        </w:rPr>
        <w:t>onylurea</w:t>
      </w:r>
    </w:p>
    <w:tbl>
      <w:tblPr>
        <w:tblW w:w="45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Mean change in HbA1c from baseline to week 24: sitagliptin vs placebo, dapagliflozin vs placebo as add-on therapy to metformin and sulfonylurea"/>
        <w:tblDescription w:val="The table shows the mean change in HbA1c from baseline to week 24: sitagliptin vs placebo, dapagliflozin vs placebo as add-on therapy to metformin and sulfonylurea"/>
      </w:tblPr>
      <w:tblGrid>
        <w:gridCol w:w="708"/>
        <w:gridCol w:w="1986"/>
        <w:gridCol w:w="992"/>
        <w:gridCol w:w="1559"/>
        <w:gridCol w:w="1559"/>
        <w:gridCol w:w="1549"/>
      </w:tblGrid>
      <w:tr w:rsidR="00CD464D" w:rsidRPr="00FF22C9" w:rsidTr="00DC4C3D">
        <w:trPr>
          <w:trHeight w:val="458"/>
        </w:trPr>
        <w:tc>
          <w:tcPr>
            <w:tcW w:w="424" w:type="pct"/>
            <w:vMerge w:val="restart"/>
            <w:vAlign w:val="center"/>
          </w:tcPr>
          <w:p w:rsidR="00CD464D" w:rsidRPr="00FF22C9" w:rsidRDefault="00CD464D" w:rsidP="00FB718A">
            <w:pPr>
              <w:keepNext/>
              <w:keepLines/>
              <w:widowControl/>
              <w:contextualSpacing/>
              <w:jc w:val="left"/>
              <w:rPr>
                <w:rFonts w:ascii="Arial Narrow" w:hAnsi="Arial Narrow" w:cs="Times New Roman"/>
                <w:sz w:val="20"/>
              </w:rPr>
            </w:pPr>
            <w:r w:rsidRPr="00FF22C9">
              <w:rPr>
                <w:rFonts w:ascii="Arial Narrow" w:hAnsi="Arial Narrow" w:cs="Times New Roman"/>
                <w:b/>
                <w:sz w:val="20"/>
              </w:rPr>
              <w:t>Trial ID</w:t>
            </w:r>
          </w:p>
        </w:tc>
        <w:tc>
          <w:tcPr>
            <w:tcW w:w="1189" w:type="pct"/>
            <w:vMerge w:val="restart"/>
            <w:vAlign w:val="center"/>
          </w:tcPr>
          <w:p w:rsidR="00CD464D" w:rsidRPr="00FF22C9" w:rsidRDefault="00CD464D" w:rsidP="00FB718A">
            <w:pPr>
              <w:keepNext/>
              <w:keepLines/>
              <w:widowControl/>
              <w:ind w:right="-108"/>
              <w:contextualSpacing/>
              <w:jc w:val="center"/>
              <w:rPr>
                <w:rFonts w:ascii="Arial Narrow" w:hAnsi="Arial Narrow" w:cs="Times New Roman"/>
                <w:b/>
                <w:sz w:val="20"/>
              </w:rPr>
            </w:pPr>
            <w:r w:rsidRPr="00FF22C9">
              <w:rPr>
                <w:rFonts w:ascii="Arial Narrow" w:hAnsi="Arial Narrow" w:cs="Times New Roman"/>
                <w:b/>
                <w:sz w:val="20"/>
              </w:rPr>
              <w:t>Comparison</w:t>
            </w:r>
          </w:p>
        </w:tc>
        <w:tc>
          <w:tcPr>
            <w:tcW w:w="594" w:type="pct"/>
            <w:vMerge w:val="restart"/>
            <w:vAlign w:val="center"/>
          </w:tcPr>
          <w:p w:rsidR="00CD464D" w:rsidRPr="00591CA8" w:rsidRDefault="00CD464D" w:rsidP="00FB718A">
            <w:pPr>
              <w:keepNext/>
              <w:keepLines/>
              <w:widowControl/>
              <w:contextualSpacing/>
              <w:jc w:val="center"/>
              <w:rPr>
                <w:rFonts w:ascii="Arial Narrow" w:hAnsi="Arial Narrow" w:cs="Times New Roman"/>
                <w:b/>
                <w:sz w:val="20"/>
              </w:rPr>
            </w:pPr>
            <w:r w:rsidRPr="00591CA8">
              <w:rPr>
                <w:rFonts w:ascii="Arial Narrow" w:hAnsi="Arial Narrow" w:cs="Times New Roman"/>
                <w:b/>
                <w:sz w:val="20"/>
              </w:rPr>
              <w:t>Week</w:t>
            </w:r>
            <w:r>
              <w:rPr>
                <w:rFonts w:ascii="Arial Narrow" w:hAnsi="Arial Narrow" w:cs="Times New Roman"/>
                <w:b/>
                <w:sz w:val="20"/>
              </w:rPr>
              <w:t>; population</w:t>
            </w:r>
            <w:r w:rsidRPr="00591CA8">
              <w:rPr>
                <w:rFonts w:ascii="Arial Narrow" w:hAnsi="Arial Narrow" w:cs="Times New Roman"/>
                <w:b/>
                <w:sz w:val="20"/>
              </w:rPr>
              <w:t xml:space="preserve"> </w:t>
            </w:r>
          </w:p>
        </w:tc>
        <w:tc>
          <w:tcPr>
            <w:tcW w:w="1866" w:type="pct"/>
            <w:gridSpan w:val="2"/>
            <w:tcBorders>
              <w:bottom w:val="single" w:sz="4" w:space="0" w:color="auto"/>
            </w:tcBorders>
            <w:vAlign w:val="center"/>
          </w:tcPr>
          <w:p w:rsidR="00CD464D" w:rsidRDefault="00CD464D" w:rsidP="00FB718A">
            <w:pPr>
              <w:keepNext/>
              <w:keepLines/>
              <w:widowControl/>
              <w:contextualSpacing/>
              <w:jc w:val="center"/>
              <w:rPr>
                <w:rFonts w:ascii="Arial Narrow" w:hAnsi="Arial Narrow"/>
                <w:b/>
                <w:sz w:val="20"/>
              </w:rPr>
            </w:pPr>
            <w:r w:rsidRPr="006C7FA0">
              <w:rPr>
                <w:rFonts w:ascii="Arial Narrow" w:hAnsi="Arial Narrow"/>
                <w:b/>
                <w:sz w:val="20"/>
              </w:rPr>
              <w:t xml:space="preserve">LS mean change from </w:t>
            </w:r>
          </w:p>
          <w:p w:rsidR="00CD464D" w:rsidRPr="00FF22C9" w:rsidRDefault="00CD464D" w:rsidP="00FB718A">
            <w:pPr>
              <w:keepNext/>
              <w:keepLines/>
              <w:widowControl/>
              <w:contextualSpacing/>
              <w:jc w:val="center"/>
              <w:rPr>
                <w:rFonts w:ascii="Arial Narrow" w:hAnsi="Arial Narrow" w:cs="Times New Roman"/>
                <w:sz w:val="20"/>
              </w:rPr>
            </w:pPr>
            <w:r w:rsidRPr="006C7FA0">
              <w:rPr>
                <w:rFonts w:ascii="Arial Narrow" w:hAnsi="Arial Narrow"/>
                <w:b/>
                <w:sz w:val="20"/>
              </w:rPr>
              <w:t>baseline (</w:t>
            </w:r>
            <w:r w:rsidR="00DC4C3D">
              <w:rPr>
                <w:rFonts w:ascii="Arial Narrow" w:hAnsi="Arial Narrow"/>
                <w:b/>
                <w:sz w:val="20"/>
              </w:rPr>
              <w:t>95% CI</w:t>
            </w:r>
            <w:r w:rsidRPr="006C7FA0">
              <w:rPr>
                <w:rFonts w:ascii="Arial Narrow" w:hAnsi="Arial Narrow"/>
                <w:b/>
                <w:sz w:val="20"/>
              </w:rPr>
              <w:t>)</w:t>
            </w:r>
          </w:p>
        </w:tc>
        <w:tc>
          <w:tcPr>
            <w:tcW w:w="927" w:type="pct"/>
            <w:vMerge w:val="restart"/>
            <w:vAlign w:val="center"/>
          </w:tcPr>
          <w:p w:rsidR="00CD464D" w:rsidRPr="00FF22C9" w:rsidRDefault="00CD464D" w:rsidP="00FB718A">
            <w:pPr>
              <w:keepNext/>
              <w:keepLines/>
              <w:widowControl/>
              <w:contextualSpacing/>
              <w:jc w:val="center"/>
              <w:rPr>
                <w:rFonts w:ascii="Arial Narrow" w:hAnsi="Arial Narrow" w:cs="Times New Roman"/>
                <w:b/>
                <w:sz w:val="20"/>
              </w:rPr>
            </w:pPr>
            <w:r w:rsidRPr="00FF22C9">
              <w:rPr>
                <w:rFonts w:ascii="Arial Narrow" w:hAnsi="Arial Narrow" w:cs="Times New Roman"/>
                <w:b/>
                <w:sz w:val="20"/>
              </w:rPr>
              <w:t>Difference in</w:t>
            </w:r>
          </w:p>
          <w:p w:rsidR="00CD464D" w:rsidRPr="00FF22C9" w:rsidRDefault="00CD464D" w:rsidP="00FB718A">
            <w:pPr>
              <w:keepNext/>
              <w:keepLines/>
              <w:widowControl/>
              <w:contextualSpacing/>
              <w:jc w:val="center"/>
              <w:rPr>
                <w:rFonts w:ascii="Arial Narrow" w:hAnsi="Arial Narrow" w:cs="Times New Roman"/>
                <w:b/>
                <w:sz w:val="20"/>
              </w:rPr>
            </w:pPr>
            <w:r w:rsidRPr="00FF22C9">
              <w:rPr>
                <w:rFonts w:ascii="Arial Narrow" w:hAnsi="Arial Narrow" w:cs="Times New Roman"/>
                <w:b/>
                <w:sz w:val="20"/>
              </w:rPr>
              <w:t>LS mean change (95% CI)</w:t>
            </w:r>
          </w:p>
        </w:tc>
      </w:tr>
      <w:tr w:rsidR="00DC4C3D" w:rsidRPr="00FF22C9" w:rsidTr="00DC4C3D">
        <w:trPr>
          <w:trHeight w:val="58"/>
        </w:trPr>
        <w:tc>
          <w:tcPr>
            <w:tcW w:w="424" w:type="pct"/>
            <w:vMerge/>
            <w:tcBorders>
              <w:bottom w:val="single" w:sz="4" w:space="0" w:color="auto"/>
            </w:tcBorders>
            <w:vAlign w:val="center"/>
          </w:tcPr>
          <w:p w:rsidR="00CD464D" w:rsidRPr="00FF22C9" w:rsidRDefault="00CD464D" w:rsidP="00FB718A">
            <w:pPr>
              <w:keepNext/>
              <w:keepLines/>
              <w:widowControl/>
              <w:contextualSpacing/>
              <w:jc w:val="left"/>
              <w:rPr>
                <w:rFonts w:ascii="Arial Narrow" w:hAnsi="Arial Narrow" w:cs="Times New Roman"/>
                <w:b/>
                <w:sz w:val="20"/>
              </w:rPr>
            </w:pPr>
          </w:p>
        </w:tc>
        <w:tc>
          <w:tcPr>
            <w:tcW w:w="1189" w:type="pct"/>
            <w:vMerge/>
            <w:tcBorders>
              <w:bottom w:val="single" w:sz="4" w:space="0" w:color="auto"/>
            </w:tcBorders>
            <w:vAlign w:val="center"/>
          </w:tcPr>
          <w:p w:rsidR="00CD464D" w:rsidRPr="00FF22C9" w:rsidRDefault="00CD464D" w:rsidP="00FB718A">
            <w:pPr>
              <w:keepNext/>
              <w:keepLines/>
              <w:widowControl/>
              <w:ind w:right="-108"/>
              <w:contextualSpacing/>
              <w:jc w:val="center"/>
              <w:rPr>
                <w:rFonts w:ascii="Arial Narrow" w:hAnsi="Arial Narrow" w:cs="Times New Roman"/>
                <w:b/>
                <w:sz w:val="20"/>
              </w:rPr>
            </w:pPr>
          </w:p>
        </w:tc>
        <w:tc>
          <w:tcPr>
            <w:tcW w:w="594" w:type="pct"/>
            <w:vMerge/>
            <w:tcBorders>
              <w:bottom w:val="single" w:sz="4" w:space="0" w:color="auto"/>
            </w:tcBorders>
            <w:vAlign w:val="center"/>
          </w:tcPr>
          <w:p w:rsidR="00CD464D" w:rsidRPr="00FF22C9" w:rsidRDefault="00CD464D" w:rsidP="00FB718A">
            <w:pPr>
              <w:keepNext/>
              <w:keepLines/>
              <w:widowControl/>
              <w:ind w:right="-108"/>
              <w:contextualSpacing/>
              <w:jc w:val="center"/>
              <w:rPr>
                <w:rFonts w:ascii="Arial Narrow" w:hAnsi="Arial Narrow" w:cs="Times New Roman"/>
                <w:b/>
                <w:sz w:val="20"/>
              </w:rPr>
            </w:pPr>
          </w:p>
        </w:tc>
        <w:tc>
          <w:tcPr>
            <w:tcW w:w="933" w:type="pct"/>
            <w:tcBorders>
              <w:bottom w:val="single" w:sz="4" w:space="0" w:color="auto"/>
            </w:tcBorders>
            <w:vAlign w:val="center"/>
          </w:tcPr>
          <w:p w:rsidR="00CD464D" w:rsidRPr="00FF22C9" w:rsidRDefault="00CD464D" w:rsidP="00FB718A">
            <w:pPr>
              <w:keepNext/>
              <w:keepLines/>
              <w:widowControl/>
              <w:ind w:right="-108"/>
              <w:contextualSpacing/>
              <w:jc w:val="center"/>
              <w:rPr>
                <w:rFonts w:ascii="Arial Narrow" w:hAnsi="Arial Narrow" w:cs="Times New Roman"/>
                <w:b/>
                <w:sz w:val="20"/>
              </w:rPr>
            </w:pPr>
            <w:r w:rsidRPr="00FF22C9">
              <w:rPr>
                <w:rFonts w:ascii="Arial Narrow" w:hAnsi="Arial Narrow" w:cs="Times New Roman"/>
                <w:b/>
                <w:sz w:val="20"/>
              </w:rPr>
              <w:t xml:space="preserve">Active </w:t>
            </w:r>
            <w:r w:rsidR="00DC4C3D">
              <w:rPr>
                <w:rFonts w:ascii="Arial Narrow" w:hAnsi="Arial Narrow" w:cs="Times New Roman"/>
                <w:b/>
                <w:sz w:val="20"/>
              </w:rPr>
              <w:t>treatment</w:t>
            </w:r>
          </w:p>
        </w:tc>
        <w:tc>
          <w:tcPr>
            <w:tcW w:w="933" w:type="pct"/>
            <w:tcBorders>
              <w:bottom w:val="single" w:sz="4" w:space="0" w:color="auto"/>
            </w:tcBorders>
            <w:vAlign w:val="center"/>
          </w:tcPr>
          <w:p w:rsidR="00CD464D" w:rsidRPr="00FF22C9" w:rsidRDefault="00CD464D" w:rsidP="00FB718A">
            <w:pPr>
              <w:keepNext/>
              <w:keepLines/>
              <w:widowControl/>
              <w:ind w:right="-108"/>
              <w:contextualSpacing/>
              <w:jc w:val="center"/>
              <w:rPr>
                <w:rFonts w:ascii="Arial Narrow" w:hAnsi="Arial Narrow" w:cs="Times New Roman"/>
                <w:b/>
                <w:sz w:val="20"/>
              </w:rPr>
            </w:pPr>
            <w:r>
              <w:rPr>
                <w:rFonts w:ascii="Arial Narrow" w:hAnsi="Arial Narrow" w:cs="Times New Roman"/>
                <w:b/>
                <w:sz w:val="20"/>
              </w:rPr>
              <w:t>Placebo</w:t>
            </w:r>
          </w:p>
        </w:tc>
        <w:tc>
          <w:tcPr>
            <w:tcW w:w="927" w:type="pct"/>
            <w:vMerge/>
            <w:tcBorders>
              <w:bottom w:val="single" w:sz="4" w:space="0" w:color="auto"/>
            </w:tcBorders>
            <w:vAlign w:val="center"/>
          </w:tcPr>
          <w:p w:rsidR="00CD464D" w:rsidRPr="00FF22C9" w:rsidRDefault="00CD464D" w:rsidP="00FB718A">
            <w:pPr>
              <w:keepNext/>
              <w:keepLines/>
              <w:widowControl/>
              <w:contextualSpacing/>
              <w:jc w:val="center"/>
              <w:rPr>
                <w:rFonts w:ascii="Arial Narrow" w:hAnsi="Arial Narrow" w:cs="Times New Roman"/>
                <w:b/>
                <w:sz w:val="20"/>
              </w:rPr>
            </w:pPr>
          </w:p>
        </w:tc>
      </w:tr>
      <w:tr w:rsidR="00DC4C3D" w:rsidRPr="00FF22C9" w:rsidTr="00DC4C3D">
        <w:tc>
          <w:tcPr>
            <w:tcW w:w="424" w:type="pct"/>
            <w:vAlign w:val="center"/>
          </w:tcPr>
          <w:p w:rsidR="00CD464D" w:rsidRPr="00FF22C9" w:rsidRDefault="00CD464D" w:rsidP="00FB718A">
            <w:pPr>
              <w:keepNext/>
              <w:keepLines/>
              <w:widowControl/>
              <w:contextualSpacing/>
              <w:jc w:val="left"/>
              <w:rPr>
                <w:rFonts w:ascii="Arial Narrow" w:hAnsi="Arial Narrow" w:cs="Times New Roman"/>
                <w:sz w:val="20"/>
              </w:rPr>
            </w:pPr>
            <w:r>
              <w:rPr>
                <w:rFonts w:ascii="Arial Narrow" w:hAnsi="Arial Narrow" w:cs="Times New Roman"/>
                <w:sz w:val="20"/>
              </w:rPr>
              <w:t>P035</w:t>
            </w:r>
          </w:p>
        </w:tc>
        <w:tc>
          <w:tcPr>
            <w:tcW w:w="1189" w:type="pct"/>
            <w:vAlign w:val="center"/>
          </w:tcPr>
          <w:p w:rsidR="00CD464D" w:rsidRPr="00FF22C9" w:rsidRDefault="00DC4C3D" w:rsidP="00FB718A">
            <w:pPr>
              <w:keepNext/>
              <w:keepLines/>
              <w:widowControl/>
              <w:contextualSpacing/>
              <w:jc w:val="left"/>
              <w:rPr>
                <w:rFonts w:ascii="Arial Narrow" w:hAnsi="Arial Narrow" w:cs="Times New Roman"/>
                <w:sz w:val="20"/>
              </w:rPr>
            </w:pPr>
            <w:r>
              <w:rPr>
                <w:rFonts w:ascii="Arial Narrow" w:hAnsi="Arial Narrow" w:cs="Times New Roman"/>
                <w:sz w:val="20"/>
              </w:rPr>
              <w:t>Sitagliptin vs placebo</w:t>
            </w:r>
          </w:p>
        </w:tc>
        <w:tc>
          <w:tcPr>
            <w:tcW w:w="594" w:type="pct"/>
            <w:vAlign w:val="center"/>
          </w:tcPr>
          <w:p w:rsidR="00CD464D" w:rsidRDefault="00DC4C3D" w:rsidP="00FB718A">
            <w:pPr>
              <w:keepNext/>
              <w:keepLines/>
              <w:widowControl/>
              <w:contextualSpacing/>
              <w:jc w:val="center"/>
              <w:rPr>
                <w:rFonts w:ascii="Arial Narrow" w:hAnsi="Arial Narrow" w:cs="Times New Roman"/>
                <w:sz w:val="20"/>
              </w:rPr>
            </w:pPr>
            <w:r>
              <w:rPr>
                <w:rFonts w:ascii="Arial Narrow" w:hAnsi="Arial Narrow" w:cs="Times New Roman"/>
                <w:sz w:val="20"/>
              </w:rPr>
              <w:t>24</w:t>
            </w:r>
            <w:r w:rsidR="002305EB">
              <w:rPr>
                <w:rFonts w:ascii="Arial Narrow" w:hAnsi="Arial Narrow" w:cs="Times New Roman"/>
                <w:sz w:val="20"/>
              </w:rPr>
              <w:t>;</w:t>
            </w:r>
            <w:r w:rsidR="009C1894">
              <w:rPr>
                <w:rFonts w:ascii="Arial Narrow" w:hAnsi="Arial Narrow" w:cs="Times New Roman"/>
                <w:sz w:val="20"/>
              </w:rPr>
              <w:t xml:space="preserve"> APT</w:t>
            </w:r>
          </w:p>
        </w:tc>
        <w:tc>
          <w:tcPr>
            <w:tcW w:w="933" w:type="pct"/>
            <w:vAlign w:val="bottom"/>
          </w:tcPr>
          <w:p w:rsidR="00CD464D" w:rsidRPr="006C7FA0" w:rsidRDefault="00DC4C3D" w:rsidP="00FB718A">
            <w:pPr>
              <w:keepNext/>
              <w:keepLines/>
              <w:widowControl/>
              <w:contextualSpacing/>
              <w:jc w:val="center"/>
              <w:rPr>
                <w:rFonts w:ascii="Arial Narrow" w:hAnsi="Arial Narrow"/>
                <w:sz w:val="20"/>
              </w:rPr>
            </w:pPr>
            <w:r w:rsidRPr="00F76611">
              <w:rPr>
                <w:rFonts w:ascii="Arial Narrow" w:hAnsi="Arial Narrow" w:cs="Times New Roman"/>
                <w:sz w:val="20"/>
              </w:rPr>
              <w:t>-0.59 (-0.74, -0.44)</w:t>
            </w:r>
          </w:p>
        </w:tc>
        <w:tc>
          <w:tcPr>
            <w:tcW w:w="933" w:type="pct"/>
            <w:vAlign w:val="bottom"/>
          </w:tcPr>
          <w:p w:rsidR="00CD464D" w:rsidRPr="006C7FA0" w:rsidRDefault="00DC4C3D" w:rsidP="00FB718A">
            <w:pPr>
              <w:keepNext/>
              <w:keepLines/>
              <w:widowControl/>
              <w:contextualSpacing/>
              <w:jc w:val="center"/>
              <w:rPr>
                <w:rFonts w:ascii="Arial Narrow" w:hAnsi="Arial Narrow"/>
                <w:sz w:val="20"/>
              </w:rPr>
            </w:pPr>
            <w:r w:rsidRPr="00F76611">
              <w:rPr>
                <w:rFonts w:ascii="Arial Narrow" w:hAnsi="Arial Narrow" w:cs="Times New Roman"/>
                <w:sz w:val="20"/>
              </w:rPr>
              <w:t>0.30 (0.14, 0.45)</w:t>
            </w:r>
          </w:p>
        </w:tc>
        <w:tc>
          <w:tcPr>
            <w:tcW w:w="927" w:type="pct"/>
            <w:vAlign w:val="bottom"/>
          </w:tcPr>
          <w:p w:rsidR="00CD464D" w:rsidRPr="006C7FA0" w:rsidRDefault="00DC4C3D" w:rsidP="00FB718A">
            <w:pPr>
              <w:keepNext/>
              <w:keepLines/>
              <w:widowControl/>
              <w:contextualSpacing/>
              <w:jc w:val="center"/>
              <w:rPr>
                <w:rFonts w:ascii="Arial Narrow" w:hAnsi="Arial Narrow"/>
                <w:sz w:val="20"/>
              </w:rPr>
            </w:pPr>
            <w:r w:rsidRPr="00F76611">
              <w:rPr>
                <w:rFonts w:ascii="Arial Narrow" w:hAnsi="Arial Narrow" w:cs="Times New Roman"/>
                <w:snapToGrid/>
                <w:sz w:val="20"/>
              </w:rPr>
              <w:t xml:space="preserve">-0.89 </w:t>
            </w:r>
            <w:r w:rsidRPr="00F76611">
              <w:rPr>
                <w:rFonts w:ascii="Arial Narrow" w:hAnsi="Arial Narrow" w:cs="Times New Roman"/>
                <w:snapToGrid/>
                <w:sz w:val="20"/>
                <w:lang w:eastAsia="en-AU"/>
              </w:rPr>
              <w:t>(-1.10, -0.68)</w:t>
            </w:r>
          </w:p>
        </w:tc>
      </w:tr>
      <w:tr w:rsidR="00DC4C3D" w:rsidRPr="00FF22C9" w:rsidTr="00DC4C3D">
        <w:tc>
          <w:tcPr>
            <w:tcW w:w="424" w:type="pct"/>
            <w:vAlign w:val="center"/>
          </w:tcPr>
          <w:p w:rsidR="00CD464D" w:rsidRPr="00FF22C9" w:rsidRDefault="00DC4C3D" w:rsidP="00FB718A">
            <w:pPr>
              <w:keepNext/>
              <w:keepLines/>
              <w:widowControl/>
              <w:contextualSpacing/>
              <w:jc w:val="left"/>
              <w:rPr>
                <w:rFonts w:ascii="Arial Narrow" w:hAnsi="Arial Narrow" w:cs="Times New Roman"/>
                <w:sz w:val="20"/>
              </w:rPr>
            </w:pPr>
            <w:r>
              <w:rPr>
                <w:rFonts w:ascii="Arial Narrow" w:hAnsi="Arial Narrow" w:cs="Times New Roman"/>
                <w:sz w:val="20"/>
              </w:rPr>
              <w:t>P229</w:t>
            </w:r>
          </w:p>
        </w:tc>
        <w:tc>
          <w:tcPr>
            <w:tcW w:w="1189" w:type="pct"/>
            <w:vAlign w:val="center"/>
          </w:tcPr>
          <w:p w:rsidR="00CD464D" w:rsidRPr="00FF22C9" w:rsidRDefault="0003030B" w:rsidP="00FB718A">
            <w:pPr>
              <w:keepNext/>
              <w:keepLines/>
              <w:widowControl/>
              <w:contextualSpacing/>
              <w:jc w:val="left"/>
              <w:rPr>
                <w:rFonts w:ascii="Arial Narrow" w:hAnsi="Arial Narrow" w:cs="Times New Roman"/>
                <w:sz w:val="20"/>
              </w:rPr>
            </w:pPr>
            <w:r w:rsidRPr="0003030B">
              <w:rPr>
                <w:rFonts w:ascii="Arial Narrow" w:hAnsi="Arial Narrow" w:cs="Times New Roman"/>
                <w:sz w:val="20"/>
              </w:rPr>
              <w:t>Sitagliptin vs placebo</w:t>
            </w:r>
          </w:p>
        </w:tc>
        <w:tc>
          <w:tcPr>
            <w:tcW w:w="594" w:type="pct"/>
            <w:vAlign w:val="center"/>
          </w:tcPr>
          <w:p w:rsidR="00CD464D" w:rsidRDefault="00DC4C3D" w:rsidP="00FB718A">
            <w:pPr>
              <w:keepNext/>
              <w:keepLines/>
              <w:widowControl/>
              <w:contextualSpacing/>
              <w:jc w:val="center"/>
              <w:rPr>
                <w:rFonts w:ascii="Arial Narrow" w:hAnsi="Arial Narrow" w:cs="Times New Roman"/>
                <w:sz w:val="20"/>
              </w:rPr>
            </w:pPr>
            <w:r>
              <w:rPr>
                <w:rFonts w:ascii="Arial Narrow" w:hAnsi="Arial Narrow" w:cs="Times New Roman"/>
                <w:sz w:val="20"/>
              </w:rPr>
              <w:t>24</w:t>
            </w:r>
            <w:r w:rsidR="002305EB">
              <w:rPr>
                <w:rFonts w:ascii="Arial Narrow" w:hAnsi="Arial Narrow" w:cs="Times New Roman"/>
                <w:sz w:val="20"/>
              </w:rPr>
              <w:t>;</w:t>
            </w:r>
            <w:r>
              <w:rPr>
                <w:rFonts w:ascii="Arial Narrow" w:hAnsi="Arial Narrow" w:cs="Times New Roman"/>
                <w:sz w:val="20"/>
              </w:rPr>
              <w:t xml:space="preserve"> FAS</w:t>
            </w:r>
          </w:p>
        </w:tc>
        <w:tc>
          <w:tcPr>
            <w:tcW w:w="933" w:type="pct"/>
            <w:vAlign w:val="bottom"/>
          </w:tcPr>
          <w:p w:rsidR="00CD464D" w:rsidRPr="006C7FA0" w:rsidRDefault="00DC4C3D" w:rsidP="00FB718A">
            <w:pPr>
              <w:keepNext/>
              <w:keepLines/>
              <w:widowControl/>
              <w:contextualSpacing/>
              <w:jc w:val="center"/>
              <w:rPr>
                <w:rFonts w:ascii="Arial Narrow" w:hAnsi="Arial Narrow"/>
                <w:sz w:val="20"/>
              </w:rPr>
            </w:pPr>
            <w:r>
              <w:rPr>
                <w:rFonts w:ascii="Arial Narrow" w:hAnsi="Arial Narrow" w:cs="Times New Roman"/>
                <w:sz w:val="20"/>
              </w:rPr>
              <w:t>-</w:t>
            </w:r>
            <w:r w:rsidRPr="00F76611">
              <w:rPr>
                <w:rFonts w:ascii="Arial Narrow" w:hAnsi="Arial Narrow" w:cs="Times New Roman"/>
                <w:sz w:val="20"/>
              </w:rPr>
              <w:t>0.84 (-0.97, -0.71)</w:t>
            </w:r>
          </w:p>
        </w:tc>
        <w:tc>
          <w:tcPr>
            <w:tcW w:w="933" w:type="pct"/>
            <w:vAlign w:val="bottom"/>
          </w:tcPr>
          <w:p w:rsidR="00CD464D" w:rsidRPr="006C7FA0" w:rsidRDefault="00DC4C3D" w:rsidP="00FB718A">
            <w:pPr>
              <w:keepNext/>
              <w:keepLines/>
              <w:widowControl/>
              <w:contextualSpacing/>
              <w:jc w:val="center"/>
              <w:rPr>
                <w:rFonts w:ascii="Arial Narrow" w:hAnsi="Arial Narrow"/>
                <w:sz w:val="20"/>
              </w:rPr>
            </w:pPr>
            <w:r w:rsidRPr="00F76611">
              <w:rPr>
                <w:rFonts w:ascii="Arial Narrow" w:hAnsi="Arial Narrow" w:cs="Times New Roman"/>
                <w:sz w:val="20"/>
              </w:rPr>
              <w:t>-0.16 (-0.28, -0.03)</w:t>
            </w:r>
          </w:p>
        </w:tc>
        <w:tc>
          <w:tcPr>
            <w:tcW w:w="927" w:type="pct"/>
            <w:vAlign w:val="bottom"/>
          </w:tcPr>
          <w:p w:rsidR="00CD464D" w:rsidRPr="006C7FA0" w:rsidRDefault="00DC4C3D" w:rsidP="00FB718A">
            <w:pPr>
              <w:keepNext/>
              <w:keepLines/>
              <w:widowControl/>
              <w:contextualSpacing/>
              <w:jc w:val="center"/>
              <w:rPr>
                <w:rFonts w:ascii="Arial Narrow" w:hAnsi="Arial Narrow"/>
                <w:sz w:val="20"/>
              </w:rPr>
            </w:pPr>
            <w:r w:rsidRPr="00F76611">
              <w:rPr>
                <w:rFonts w:ascii="Arial Narrow" w:hAnsi="Arial Narrow" w:cs="Times New Roman"/>
                <w:snapToGrid/>
                <w:sz w:val="20"/>
              </w:rPr>
              <w:t xml:space="preserve">-0.68 </w:t>
            </w:r>
            <w:r w:rsidRPr="00F76611">
              <w:rPr>
                <w:rFonts w:ascii="Arial Narrow" w:hAnsi="Arial Narrow" w:cs="Times New Roman"/>
                <w:snapToGrid/>
                <w:sz w:val="20"/>
                <w:lang w:eastAsia="en-AU"/>
              </w:rPr>
              <w:t>(-0.87, -0.50)</w:t>
            </w:r>
          </w:p>
        </w:tc>
      </w:tr>
      <w:tr w:rsidR="00400E3F" w:rsidRPr="00FF22C9" w:rsidTr="00400E3F">
        <w:tc>
          <w:tcPr>
            <w:tcW w:w="424" w:type="pct"/>
            <w:vAlign w:val="center"/>
          </w:tcPr>
          <w:p w:rsidR="00400E3F" w:rsidRDefault="00400E3F" w:rsidP="00FB718A">
            <w:pPr>
              <w:keepNext/>
              <w:keepLines/>
              <w:widowControl/>
              <w:contextualSpacing/>
              <w:jc w:val="left"/>
              <w:rPr>
                <w:rFonts w:ascii="Arial Narrow" w:hAnsi="Arial Narrow" w:cs="Times New Roman"/>
                <w:sz w:val="20"/>
              </w:rPr>
            </w:pPr>
            <w:r>
              <w:rPr>
                <w:rFonts w:ascii="Arial Narrow" w:hAnsi="Arial Narrow" w:cs="Times New Roman"/>
                <w:sz w:val="20"/>
              </w:rPr>
              <w:t>M</w:t>
            </w:r>
            <w:r w:rsidR="0003030B">
              <w:rPr>
                <w:rFonts w:ascii="Arial Narrow" w:hAnsi="Arial Narrow" w:cs="Times New Roman"/>
                <w:sz w:val="20"/>
              </w:rPr>
              <w:t>eta</w:t>
            </w:r>
            <w:r>
              <w:rPr>
                <w:rFonts w:ascii="Arial Narrow" w:hAnsi="Arial Narrow" w:cs="Times New Roman"/>
                <w:sz w:val="20"/>
              </w:rPr>
              <w:t>-A</w:t>
            </w:r>
          </w:p>
        </w:tc>
        <w:tc>
          <w:tcPr>
            <w:tcW w:w="1189" w:type="pct"/>
            <w:vAlign w:val="center"/>
          </w:tcPr>
          <w:p w:rsidR="00400E3F" w:rsidRPr="00FF22C9" w:rsidRDefault="00400E3F" w:rsidP="00FB718A">
            <w:pPr>
              <w:keepNext/>
              <w:keepLines/>
              <w:widowControl/>
              <w:contextualSpacing/>
              <w:jc w:val="left"/>
              <w:rPr>
                <w:rFonts w:ascii="Arial Narrow" w:hAnsi="Arial Narrow" w:cs="Times New Roman"/>
                <w:sz w:val="20"/>
              </w:rPr>
            </w:pPr>
            <w:r>
              <w:rPr>
                <w:rFonts w:ascii="Arial Narrow" w:hAnsi="Arial Narrow" w:cs="Times New Roman"/>
                <w:sz w:val="20"/>
              </w:rPr>
              <w:t>Sitagliptin vs placebo</w:t>
            </w:r>
          </w:p>
        </w:tc>
        <w:tc>
          <w:tcPr>
            <w:tcW w:w="594" w:type="pct"/>
            <w:vAlign w:val="center"/>
          </w:tcPr>
          <w:p w:rsidR="00400E3F" w:rsidRDefault="00400E3F" w:rsidP="00FB718A">
            <w:pPr>
              <w:keepNext/>
              <w:keepLines/>
              <w:widowControl/>
              <w:contextualSpacing/>
              <w:jc w:val="center"/>
              <w:rPr>
                <w:rFonts w:ascii="Arial Narrow" w:hAnsi="Arial Narrow" w:cs="Times New Roman"/>
                <w:sz w:val="20"/>
              </w:rPr>
            </w:pPr>
            <w:r>
              <w:rPr>
                <w:rFonts w:ascii="Arial Narrow" w:hAnsi="Arial Narrow" w:cs="Times New Roman"/>
                <w:sz w:val="20"/>
              </w:rPr>
              <w:t xml:space="preserve">24 </w:t>
            </w:r>
          </w:p>
        </w:tc>
        <w:tc>
          <w:tcPr>
            <w:tcW w:w="1866" w:type="pct"/>
            <w:gridSpan w:val="2"/>
            <w:vAlign w:val="bottom"/>
          </w:tcPr>
          <w:p w:rsidR="00400E3F" w:rsidRPr="00F76611" w:rsidRDefault="00400E3F" w:rsidP="00FB718A">
            <w:pPr>
              <w:keepNext/>
              <w:keepLines/>
              <w:widowControl/>
              <w:contextualSpacing/>
              <w:jc w:val="center"/>
              <w:rPr>
                <w:rFonts w:ascii="Arial Narrow" w:hAnsi="Arial Narrow" w:cs="Times New Roman"/>
                <w:sz w:val="20"/>
              </w:rPr>
            </w:pPr>
            <w:r>
              <w:rPr>
                <w:rFonts w:ascii="Arial Narrow" w:hAnsi="Arial Narrow" w:cs="Times New Roman"/>
                <w:sz w:val="20"/>
              </w:rPr>
              <w:t>Pooled estimate trials P035, P229</w:t>
            </w:r>
          </w:p>
        </w:tc>
        <w:tc>
          <w:tcPr>
            <w:tcW w:w="927" w:type="pct"/>
            <w:vAlign w:val="bottom"/>
          </w:tcPr>
          <w:p w:rsidR="00400E3F" w:rsidRPr="00F76611" w:rsidRDefault="00400E3F" w:rsidP="00FB718A">
            <w:pPr>
              <w:keepNext/>
              <w:keepLines/>
              <w:widowControl/>
              <w:contextualSpacing/>
              <w:jc w:val="center"/>
              <w:rPr>
                <w:rFonts w:ascii="Arial Narrow" w:hAnsi="Arial Narrow" w:cs="Times New Roman"/>
                <w:snapToGrid/>
                <w:sz w:val="20"/>
              </w:rPr>
            </w:pPr>
            <w:r>
              <w:rPr>
                <w:rFonts w:ascii="Arial Narrow" w:hAnsi="Arial Narrow"/>
                <w:sz w:val="20"/>
              </w:rPr>
              <w:t>-0.78 (-0.92, -0.64)</w:t>
            </w:r>
          </w:p>
        </w:tc>
      </w:tr>
      <w:tr w:rsidR="00DC4C3D" w:rsidRPr="00FF22C9" w:rsidTr="00DC4C3D">
        <w:tc>
          <w:tcPr>
            <w:tcW w:w="424" w:type="pct"/>
            <w:vAlign w:val="center"/>
          </w:tcPr>
          <w:p w:rsidR="00CD464D" w:rsidRPr="00FF22C9" w:rsidRDefault="00DC4C3D" w:rsidP="00FB718A">
            <w:pPr>
              <w:keepNext/>
              <w:keepLines/>
              <w:widowControl/>
              <w:contextualSpacing/>
              <w:jc w:val="left"/>
              <w:rPr>
                <w:rFonts w:ascii="Arial Narrow" w:hAnsi="Arial Narrow" w:cs="Times New Roman"/>
                <w:sz w:val="20"/>
              </w:rPr>
            </w:pPr>
            <w:r>
              <w:rPr>
                <w:rFonts w:ascii="Arial Narrow" w:hAnsi="Arial Narrow" w:cs="Times New Roman"/>
                <w:sz w:val="20"/>
              </w:rPr>
              <w:t>Matthaei</w:t>
            </w:r>
          </w:p>
        </w:tc>
        <w:tc>
          <w:tcPr>
            <w:tcW w:w="1189" w:type="pct"/>
            <w:vAlign w:val="center"/>
          </w:tcPr>
          <w:p w:rsidR="00CD464D" w:rsidRPr="00FF22C9" w:rsidRDefault="00CD464D" w:rsidP="00FB718A">
            <w:pPr>
              <w:keepNext/>
              <w:keepLines/>
              <w:widowControl/>
              <w:contextualSpacing/>
              <w:jc w:val="left"/>
              <w:rPr>
                <w:rFonts w:ascii="Arial Narrow" w:hAnsi="Arial Narrow" w:cs="Times New Roman"/>
                <w:sz w:val="20"/>
              </w:rPr>
            </w:pPr>
            <w:r w:rsidRPr="00FF22C9">
              <w:rPr>
                <w:rFonts w:ascii="Arial Narrow" w:hAnsi="Arial Narrow" w:cs="Times New Roman"/>
                <w:sz w:val="20"/>
              </w:rPr>
              <w:t xml:space="preserve">Dapagliflozin vs </w:t>
            </w:r>
            <w:r w:rsidR="00DC4C3D">
              <w:rPr>
                <w:rFonts w:ascii="Arial Narrow" w:hAnsi="Arial Narrow" w:cs="Times New Roman"/>
                <w:sz w:val="20"/>
              </w:rPr>
              <w:t>p</w:t>
            </w:r>
            <w:r w:rsidRPr="00FF22C9">
              <w:rPr>
                <w:rFonts w:ascii="Arial Narrow" w:hAnsi="Arial Narrow" w:cs="Times New Roman"/>
                <w:sz w:val="20"/>
              </w:rPr>
              <w:t>lacebo</w:t>
            </w:r>
          </w:p>
        </w:tc>
        <w:tc>
          <w:tcPr>
            <w:tcW w:w="594" w:type="pct"/>
            <w:vAlign w:val="center"/>
          </w:tcPr>
          <w:p w:rsidR="00CD464D" w:rsidRPr="00FF22C9" w:rsidRDefault="00CD464D" w:rsidP="00FB718A">
            <w:pPr>
              <w:keepNext/>
              <w:keepLines/>
              <w:widowControl/>
              <w:contextualSpacing/>
              <w:jc w:val="center"/>
              <w:rPr>
                <w:rFonts w:ascii="Arial Narrow" w:hAnsi="Arial Narrow" w:cs="Times New Roman"/>
                <w:sz w:val="20"/>
              </w:rPr>
            </w:pPr>
            <w:r>
              <w:rPr>
                <w:rFonts w:ascii="Arial Narrow" w:hAnsi="Arial Narrow" w:cs="Times New Roman"/>
                <w:sz w:val="20"/>
              </w:rPr>
              <w:t>24</w:t>
            </w:r>
            <w:r w:rsidR="002305EB">
              <w:rPr>
                <w:rFonts w:ascii="Arial Narrow" w:hAnsi="Arial Narrow" w:cs="Times New Roman"/>
                <w:sz w:val="20"/>
              </w:rPr>
              <w:t>;</w:t>
            </w:r>
            <w:r>
              <w:rPr>
                <w:rFonts w:ascii="Arial Narrow" w:hAnsi="Arial Narrow" w:cs="Times New Roman"/>
                <w:sz w:val="20"/>
              </w:rPr>
              <w:t xml:space="preserve"> FAS</w:t>
            </w:r>
          </w:p>
        </w:tc>
        <w:tc>
          <w:tcPr>
            <w:tcW w:w="933" w:type="pct"/>
            <w:vAlign w:val="bottom"/>
          </w:tcPr>
          <w:p w:rsidR="00CD464D" w:rsidRPr="00FF22C9" w:rsidRDefault="00CD464D" w:rsidP="00FB718A">
            <w:pPr>
              <w:keepNext/>
              <w:keepLines/>
              <w:widowControl/>
              <w:contextualSpacing/>
              <w:jc w:val="center"/>
              <w:rPr>
                <w:rFonts w:ascii="Arial Narrow" w:hAnsi="Arial Narrow" w:cs="Times New Roman"/>
                <w:sz w:val="20"/>
              </w:rPr>
            </w:pPr>
            <w:r w:rsidRPr="006C7FA0">
              <w:rPr>
                <w:rFonts w:ascii="Arial Narrow" w:hAnsi="Arial Narrow"/>
                <w:sz w:val="20"/>
              </w:rPr>
              <w:t>-0.86 (</w:t>
            </w:r>
            <w:r w:rsidR="00DC4C3D">
              <w:rPr>
                <w:rFonts w:ascii="Arial Narrow" w:hAnsi="Arial Narrow"/>
                <w:sz w:val="20"/>
              </w:rPr>
              <w:t>-1.0, -0.72</w:t>
            </w:r>
            <w:r w:rsidRPr="006C7FA0">
              <w:rPr>
                <w:rFonts w:ascii="Arial Narrow" w:hAnsi="Arial Narrow"/>
                <w:sz w:val="20"/>
              </w:rPr>
              <w:t>)</w:t>
            </w:r>
          </w:p>
        </w:tc>
        <w:tc>
          <w:tcPr>
            <w:tcW w:w="933" w:type="pct"/>
            <w:vAlign w:val="bottom"/>
          </w:tcPr>
          <w:p w:rsidR="00CD464D" w:rsidRPr="00FF22C9" w:rsidRDefault="00CD464D" w:rsidP="00FB718A">
            <w:pPr>
              <w:keepNext/>
              <w:keepLines/>
              <w:widowControl/>
              <w:contextualSpacing/>
              <w:jc w:val="center"/>
              <w:rPr>
                <w:rFonts w:ascii="Arial Narrow" w:hAnsi="Arial Narrow" w:cs="Times New Roman"/>
                <w:sz w:val="20"/>
              </w:rPr>
            </w:pPr>
            <w:r w:rsidRPr="006C7FA0">
              <w:rPr>
                <w:rFonts w:ascii="Arial Narrow" w:hAnsi="Arial Narrow"/>
                <w:sz w:val="20"/>
              </w:rPr>
              <w:t>-0.17 (</w:t>
            </w:r>
            <w:r w:rsidR="00DC4C3D">
              <w:rPr>
                <w:rFonts w:ascii="Arial Narrow" w:hAnsi="Arial Narrow"/>
                <w:sz w:val="20"/>
              </w:rPr>
              <w:t>-0.31, -0.02</w:t>
            </w:r>
            <w:r w:rsidRPr="006C7FA0">
              <w:rPr>
                <w:rFonts w:ascii="Arial Narrow" w:hAnsi="Arial Narrow"/>
                <w:sz w:val="20"/>
              </w:rPr>
              <w:t>)</w:t>
            </w:r>
          </w:p>
        </w:tc>
        <w:tc>
          <w:tcPr>
            <w:tcW w:w="927" w:type="pct"/>
            <w:vAlign w:val="bottom"/>
          </w:tcPr>
          <w:p w:rsidR="00CD464D" w:rsidRPr="00FF22C9" w:rsidRDefault="00CD464D" w:rsidP="00FB718A">
            <w:pPr>
              <w:keepNext/>
              <w:keepLines/>
              <w:widowControl/>
              <w:contextualSpacing/>
              <w:jc w:val="center"/>
              <w:rPr>
                <w:rFonts w:ascii="Arial Narrow" w:hAnsi="Arial Narrow" w:cs="Times New Roman"/>
                <w:sz w:val="20"/>
              </w:rPr>
            </w:pPr>
            <w:r w:rsidRPr="006C7FA0">
              <w:rPr>
                <w:rFonts w:ascii="Arial Narrow" w:hAnsi="Arial Narrow"/>
                <w:sz w:val="20"/>
              </w:rPr>
              <w:t>-0.69 (-0.89, -0.49)</w:t>
            </w:r>
          </w:p>
        </w:tc>
      </w:tr>
      <w:tr w:rsidR="00CD464D" w:rsidRPr="00FF22C9" w:rsidTr="00DC4C3D">
        <w:tc>
          <w:tcPr>
            <w:tcW w:w="1613" w:type="pct"/>
            <w:gridSpan w:val="2"/>
            <w:tcBorders>
              <w:bottom w:val="single" w:sz="4" w:space="0" w:color="auto"/>
              <w:right w:val="nil"/>
            </w:tcBorders>
            <w:shd w:val="clear" w:color="auto" w:fill="F2F2F2" w:themeFill="background1" w:themeFillShade="F2"/>
            <w:vAlign w:val="center"/>
          </w:tcPr>
          <w:p w:rsidR="00CD464D" w:rsidRPr="00FF22C9" w:rsidRDefault="00CD464D" w:rsidP="00FB718A">
            <w:pPr>
              <w:keepNext/>
              <w:keepLines/>
              <w:widowControl/>
              <w:contextualSpacing/>
              <w:jc w:val="left"/>
              <w:rPr>
                <w:rFonts w:ascii="Arial Narrow" w:hAnsi="Arial Narrow" w:cs="Times New Roman"/>
                <w:sz w:val="20"/>
              </w:rPr>
            </w:pPr>
            <w:r w:rsidRPr="00FF22C9">
              <w:rPr>
                <w:rFonts w:ascii="Arial Narrow" w:hAnsi="Arial Narrow" w:cs="Times New Roman"/>
                <w:b/>
                <w:sz w:val="20"/>
              </w:rPr>
              <w:t>Indirect comparisons</w:t>
            </w:r>
          </w:p>
        </w:tc>
        <w:tc>
          <w:tcPr>
            <w:tcW w:w="594" w:type="pct"/>
            <w:tcBorders>
              <w:left w:val="nil"/>
              <w:bottom w:val="single" w:sz="4" w:space="0" w:color="auto"/>
              <w:right w:val="nil"/>
            </w:tcBorders>
            <w:shd w:val="clear" w:color="auto" w:fill="F2F2F2" w:themeFill="background1" w:themeFillShade="F2"/>
            <w:vAlign w:val="center"/>
          </w:tcPr>
          <w:p w:rsidR="00CD464D" w:rsidRPr="00FF22C9" w:rsidRDefault="00CD464D" w:rsidP="00FB718A">
            <w:pPr>
              <w:keepNext/>
              <w:keepLines/>
              <w:widowControl/>
              <w:contextualSpacing/>
              <w:jc w:val="left"/>
              <w:rPr>
                <w:rFonts w:ascii="Arial Narrow" w:hAnsi="Arial Narrow" w:cs="Times New Roman"/>
                <w:sz w:val="20"/>
              </w:rPr>
            </w:pPr>
          </w:p>
        </w:tc>
        <w:tc>
          <w:tcPr>
            <w:tcW w:w="1866" w:type="pct"/>
            <w:gridSpan w:val="2"/>
            <w:tcBorders>
              <w:left w:val="nil"/>
              <w:bottom w:val="single" w:sz="4" w:space="0" w:color="auto"/>
              <w:right w:val="nil"/>
            </w:tcBorders>
            <w:shd w:val="clear" w:color="auto" w:fill="F2F2F2" w:themeFill="background1" w:themeFillShade="F2"/>
            <w:vAlign w:val="center"/>
          </w:tcPr>
          <w:p w:rsidR="00CD464D" w:rsidRPr="00FF22C9" w:rsidRDefault="00CD464D" w:rsidP="00FB718A">
            <w:pPr>
              <w:keepNext/>
              <w:keepLines/>
              <w:widowControl/>
              <w:contextualSpacing/>
              <w:jc w:val="left"/>
              <w:rPr>
                <w:rFonts w:ascii="Arial Narrow" w:hAnsi="Arial Narrow" w:cs="Times New Roman"/>
                <w:sz w:val="20"/>
              </w:rPr>
            </w:pPr>
          </w:p>
        </w:tc>
        <w:tc>
          <w:tcPr>
            <w:tcW w:w="927" w:type="pct"/>
            <w:tcBorders>
              <w:left w:val="nil"/>
              <w:bottom w:val="single" w:sz="4" w:space="0" w:color="auto"/>
            </w:tcBorders>
            <w:shd w:val="clear" w:color="auto" w:fill="F2F2F2" w:themeFill="background1" w:themeFillShade="F2"/>
            <w:vAlign w:val="center"/>
          </w:tcPr>
          <w:p w:rsidR="00CD464D" w:rsidRPr="00FF22C9" w:rsidRDefault="00CD464D" w:rsidP="00FB718A">
            <w:pPr>
              <w:keepNext/>
              <w:keepLines/>
              <w:widowControl/>
              <w:contextualSpacing/>
              <w:jc w:val="left"/>
              <w:rPr>
                <w:rFonts w:ascii="Arial Narrow" w:hAnsi="Arial Narrow" w:cs="Times New Roman"/>
                <w:sz w:val="20"/>
              </w:rPr>
            </w:pPr>
          </w:p>
        </w:tc>
      </w:tr>
      <w:tr w:rsidR="00CD464D" w:rsidRPr="005D48CE" w:rsidTr="00DC4C3D">
        <w:trPr>
          <w:trHeight w:val="203"/>
        </w:trPr>
        <w:tc>
          <w:tcPr>
            <w:tcW w:w="1613" w:type="pct"/>
            <w:gridSpan w:val="2"/>
            <w:tcBorders>
              <w:bottom w:val="single" w:sz="4" w:space="0" w:color="auto"/>
              <w:right w:val="nil"/>
            </w:tcBorders>
            <w:vAlign w:val="center"/>
          </w:tcPr>
          <w:p w:rsidR="00CD464D" w:rsidRPr="00FF22C9" w:rsidRDefault="00400E3F" w:rsidP="00FB718A">
            <w:pPr>
              <w:keepNext/>
              <w:keepLines/>
              <w:widowControl/>
              <w:contextualSpacing/>
              <w:jc w:val="left"/>
              <w:rPr>
                <w:rFonts w:ascii="Arial Narrow" w:hAnsi="Arial Narrow" w:cs="Times New Roman"/>
                <w:sz w:val="20"/>
              </w:rPr>
            </w:pPr>
            <w:r>
              <w:rPr>
                <w:rFonts w:ascii="Arial Narrow" w:hAnsi="Arial Narrow" w:cs="Times New Roman"/>
                <w:sz w:val="20"/>
              </w:rPr>
              <w:t xml:space="preserve">Sitagliptin (pooled) vs dapagliflozin </w:t>
            </w:r>
          </w:p>
        </w:tc>
        <w:tc>
          <w:tcPr>
            <w:tcW w:w="594" w:type="pct"/>
            <w:tcBorders>
              <w:left w:val="nil"/>
              <w:bottom w:val="single" w:sz="4" w:space="0" w:color="auto"/>
              <w:right w:val="nil"/>
            </w:tcBorders>
            <w:vAlign w:val="center"/>
          </w:tcPr>
          <w:p w:rsidR="00CD464D" w:rsidRPr="00FF22C9" w:rsidRDefault="00CD464D" w:rsidP="00FB718A">
            <w:pPr>
              <w:keepNext/>
              <w:keepLines/>
              <w:widowControl/>
              <w:contextualSpacing/>
              <w:jc w:val="center"/>
              <w:rPr>
                <w:rFonts w:ascii="Arial Narrow" w:hAnsi="Arial Narrow" w:cs="Times New Roman"/>
                <w:sz w:val="20"/>
              </w:rPr>
            </w:pPr>
          </w:p>
        </w:tc>
        <w:tc>
          <w:tcPr>
            <w:tcW w:w="1866" w:type="pct"/>
            <w:gridSpan w:val="2"/>
            <w:tcBorders>
              <w:left w:val="nil"/>
              <w:bottom w:val="single" w:sz="4" w:space="0" w:color="auto"/>
            </w:tcBorders>
            <w:vAlign w:val="center"/>
          </w:tcPr>
          <w:p w:rsidR="00CD464D" w:rsidRPr="00FF22C9" w:rsidRDefault="00CD464D" w:rsidP="00FB718A">
            <w:pPr>
              <w:keepNext/>
              <w:keepLines/>
              <w:widowControl/>
              <w:contextualSpacing/>
              <w:jc w:val="right"/>
              <w:rPr>
                <w:rFonts w:ascii="Arial Narrow" w:hAnsi="Arial Narrow" w:cs="Times New Roman"/>
                <w:sz w:val="20"/>
              </w:rPr>
            </w:pPr>
          </w:p>
        </w:tc>
        <w:tc>
          <w:tcPr>
            <w:tcW w:w="927" w:type="pct"/>
            <w:tcBorders>
              <w:bottom w:val="single" w:sz="4" w:space="0" w:color="auto"/>
            </w:tcBorders>
            <w:vAlign w:val="center"/>
          </w:tcPr>
          <w:p w:rsidR="00CD464D" w:rsidRPr="005D48CE" w:rsidRDefault="00400E3F" w:rsidP="00FB718A">
            <w:pPr>
              <w:keepNext/>
              <w:keepLines/>
              <w:widowControl/>
              <w:contextualSpacing/>
              <w:jc w:val="center"/>
              <w:rPr>
                <w:rFonts w:ascii="Arial Narrow" w:hAnsi="Arial Narrow" w:cs="Times New Roman"/>
                <w:sz w:val="20"/>
              </w:rPr>
            </w:pPr>
            <w:r>
              <w:rPr>
                <w:rFonts w:ascii="Arial Narrow" w:hAnsi="Arial Narrow"/>
                <w:sz w:val="20"/>
              </w:rPr>
              <w:t>- 0.09 (-0.33, 0.15)</w:t>
            </w:r>
          </w:p>
        </w:tc>
      </w:tr>
      <w:tr w:rsidR="00400E3F" w:rsidRPr="005D48CE" w:rsidTr="00DC4C3D">
        <w:trPr>
          <w:trHeight w:val="203"/>
        </w:trPr>
        <w:tc>
          <w:tcPr>
            <w:tcW w:w="1613" w:type="pct"/>
            <w:gridSpan w:val="2"/>
            <w:tcBorders>
              <w:bottom w:val="single" w:sz="4" w:space="0" w:color="auto"/>
              <w:right w:val="nil"/>
            </w:tcBorders>
            <w:vAlign w:val="center"/>
          </w:tcPr>
          <w:p w:rsidR="00400E3F" w:rsidRDefault="00400E3F" w:rsidP="00FB718A">
            <w:pPr>
              <w:keepNext/>
              <w:keepLines/>
              <w:widowControl/>
              <w:contextualSpacing/>
              <w:jc w:val="left"/>
              <w:rPr>
                <w:rFonts w:ascii="Arial Narrow" w:hAnsi="Arial Narrow" w:cs="Times New Roman"/>
                <w:sz w:val="20"/>
              </w:rPr>
            </w:pPr>
            <w:r>
              <w:rPr>
                <w:rFonts w:ascii="Arial Narrow" w:hAnsi="Arial Narrow" w:cs="Times New Roman"/>
                <w:sz w:val="20"/>
              </w:rPr>
              <w:t>Sitagliptin (P035) vs dapagliflozin</w:t>
            </w:r>
          </w:p>
        </w:tc>
        <w:tc>
          <w:tcPr>
            <w:tcW w:w="594" w:type="pct"/>
            <w:tcBorders>
              <w:left w:val="nil"/>
              <w:bottom w:val="single" w:sz="4" w:space="0" w:color="auto"/>
              <w:right w:val="nil"/>
            </w:tcBorders>
            <w:vAlign w:val="center"/>
          </w:tcPr>
          <w:p w:rsidR="00400E3F" w:rsidRPr="00FF22C9" w:rsidRDefault="00400E3F" w:rsidP="00FB718A">
            <w:pPr>
              <w:keepNext/>
              <w:keepLines/>
              <w:widowControl/>
              <w:contextualSpacing/>
              <w:jc w:val="center"/>
              <w:rPr>
                <w:rFonts w:ascii="Arial Narrow" w:hAnsi="Arial Narrow" w:cs="Times New Roman"/>
                <w:sz w:val="20"/>
              </w:rPr>
            </w:pPr>
          </w:p>
        </w:tc>
        <w:tc>
          <w:tcPr>
            <w:tcW w:w="1866" w:type="pct"/>
            <w:gridSpan w:val="2"/>
            <w:tcBorders>
              <w:left w:val="nil"/>
              <w:bottom w:val="single" w:sz="4" w:space="0" w:color="auto"/>
            </w:tcBorders>
            <w:vAlign w:val="center"/>
          </w:tcPr>
          <w:p w:rsidR="00400E3F" w:rsidRPr="00FF22C9" w:rsidRDefault="00400E3F" w:rsidP="00FB718A">
            <w:pPr>
              <w:keepNext/>
              <w:keepLines/>
              <w:widowControl/>
              <w:contextualSpacing/>
              <w:jc w:val="right"/>
              <w:rPr>
                <w:rFonts w:ascii="Arial Narrow" w:hAnsi="Arial Narrow" w:cs="Times New Roman"/>
                <w:sz w:val="20"/>
              </w:rPr>
            </w:pPr>
          </w:p>
        </w:tc>
        <w:tc>
          <w:tcPr>
            <w:tcW w:w="927" w:type="pct"/>
            <w:tcBorders>
              <w:bottom w:val="single" w:sz="4" w:space="0" w:color="auto"/>
            </w:tcBorders>
            <w:vAlign w:val="center"/>
          </w:tcPr>
          <w:p w:rsidR="00400E3F" w:rsidRPr="005D48CE" w:rsidRDefault="00400E3F" w:rsidP="00FB718A">
            <w:pPr>
              <w:keepNext/>
              <w:keepLines/>
              <w:widowControl/>
              <w:contextualSpacing/>
              <w:jc w:val="center"/>
              <w:rPr>
                <w:rFonts w:ascii="Arial Narrow" w:hAnsi="Arial Narrow"/>
                <w:sz w:val="20"/>
              </w:rPr>
            </w:pPr>
            <w:r>
              <w:rPr>
                <w:rFonts w:ascii="Arial Narrow" w:hAnsi="Arial Narrow"/>
                <w:sz w:val="20"/>
              </w:rPr>
              <w:t>- 0.20 (-0.49</w:t>
            </w:r>
            <w:r w:rsidRPr="003B4C89">
              <w:rPr>
                <w:rFonts w:ascii="Arial Narrow" w:hAnsi="Arial Narrow"/>
                <w:sz w:val="20"/>
              </w:rPr>
              <w:t>, 0.0</w:t>
            </w:r>
            <w:r>
              <w:rPr>
                <w:rFonts w:ascii="Arial Narrow" w:hAnsi="Arial Narrow"/>
                <w:sz w:val="20"/>
              </w:rPr>
              <w:t>9</w:t>
            </w:r>
            <w:r w:rsidRPr="003B4C89">
              <w:rPr>
                <w:rFonts w:ascii="Arial Narrow" w:hAnsi="Arial Narrow"/>
                <w:sz w:val="20"/>
              </w:rPr>
              <w:t>)</w:t>
            </w:r>
          </w:p>
        </w:tc>
      </w:tr>
      <w:tr w:rsidR="00400E3F" w:rsidRPr="005D48CE" w:rsidTr="00DC4C3D">
        <w:trPr>
          <w:trHeight w:val="203"/>
        </w:trPr>
        <w:tc>
          <w:tcPr>
            <w:tcW w:w="1613" w:type="pct"/>
            <w:gridSpan w:val="2"/>
            <w:tcBorders>
              <w:bottom w:val="single" w:sz="4" w:space="0" w:color="auto"/>
              <w:right w:val="nil"/>
            </w:tcBorders>
            <w:vAlign w:val="center"/>
          </w:tcPr>
          <w:p w:rsidR="00400E3F" w:rsidRDefault="00400E3F" w:rsidP="00FB718A">
            <w:pPr>
              <w:keepNext/>
              <w:keepLines/>
              <w:widowControl/>
              <w:contextualSpacing/>
              <w:jc w:val="left"/>
              <w:rPr>
                <w:rFonts w:ascii="Arial Narrow" w:hAnsi="Arial Narrow" w:cs="Times New Roman"/>
                <w:sz w:val="20"/>
              </w:rPr>
            </w:pPr>
            <w:r>
              <w:rPr>
                <w:rFonts w:ascii="Arial Narrow" w:hAnsi="Arial Narrow" w:cs="Times New Roman"/>
                <w:sz w:val="20"/>
              </w:rPr>
              <w:t>Sitagliptin (P229) vs dapagliflozin</w:t>
            </w:r>
          </w:p>
        </w:tc>
        <w:tc>
          <w:tcPr>
            <w:tcW w:w="594" w:type="pct"/>
            <w:tcBorders>
              <w:left w:val="nil"/>
              <w:bottom w:val="single" w:sz="4" w:space="0" w:color="auto"/>
              <w:right w:val="nil"/>
            </w:tcBorders>
            <w:vAlign w:val="center"/>
          </w:tcPr>
          <w:p w:rsidR="00400E3F" w:rsidRPr="00FF22C9" w:rsidRDefault="00400E3F" w:rsidP="00FB718A">
            <w:pPr>
              <w:keepNext/>
              <w:keepLines/>
              <w:widowControl/>
              <w:contextualSpacing/>
              <w:jc w:val="center"/>
              <w:rPr>
                <w:rFonts w:ascii="Arial Narrow" w:hAnsi="Arial Narrow" w:cs="Times New Roman"/>
                <w:sz w:val="20"/>
              </w:rPr>
            </w:pPr>
          </w:p>
        </w:tc>
        <w:tc>
          <w:tcPr>
            <w:tcW w:w="1866" w:type="pct"/>
            <w:gridSpan w:val="2"/>
            <w:tcBorders>
              <w:left w:val="nil"/>
              <w:bottom w:val="single" w:sz="4" w:space="0" w:color="auto"/>
            </w:tcBorders>
            <w:vAlign w:val="center"/>
          </w:tcPr>
          <w:p w:rsidR="00400E3F" w:rsidRPr="00FF22C9" w:rsidRDefault="00400E3F" w:rsidP="00FB718A">
            <w:pPr>
              <w:keepNext/>
              <w:keepLines/>
              <w:widowControl/>
              <w:contextualSpacing/>
              <w:jc w:val="right"/>
              <w:rPr>
                <w:rFonts w:ascii="Arial Narrow" w:hAnsi="Arial Narrow" w:cs="Times New Roman"/>
                <w:sz w:val="20"/>
              </w:rPr>
            </w:pPr>
          </w:p>
        </w:tc>
        <w:tc>
          <w:tcPr>
            <w:tcW w:w="927" w:type="pct"/>
            <w:tcBorders>
              <w:bottom w:val="single" w:sz="4" w:space="0" w:color="auto"/>
            </w:tcBorders>
            <w:vAlign w:val="center"/>
          </w:tcPr>
          <w:p w:rsidR="00400E3F" w:rsidRPr="005D48CE" w:rsidRDefault="00400E3F" w:rsidP="00FB718A">
            <w:pPr>
              <w:keepNext/>
              <w:keepLines/>
              <w:widowControl/>
              <w:contextualSpacing/>
              <w:jc w:val="center"/>
              <w:rPr>
                <w:rFonts w:ascii="Arial Narrow" w:hAnsi="Arial Narrow"/>
                <w:sz w:val="20"/>
              </w:rPr>
            </w:pPr>
            <w:r w:rsidRPr="003B4C89">
              <w:rPr>
                <w:rFonts w:ascii="Arial Narrow" w:hAnsi="Arial Narrow"/>
                <w:sz w:val="20"/>
              </w:rPr>
              <w:t>0.01 (-0.26, 0.28)</w:t>
            </w:r>
          </w:p>
        </w:tc>
      </w:tr>
    </w:tbl>
    <w:p w:rsidR="00CD464D" w:rsidRPr="0090259B" w:rsidRDefault="00CD464D" w:rsidP="00FB718A">
      <w:pPr>
        <w:pStyle w:val="TableFooter"/>
        <w:widowControl/>
        <w:ind w:left="720"/>
      </w:pPr>
      <w:r w:rsidRPr="0090259B">
        <w:t>Source</w:t>
      </w:r>
      <w:r w:rsidRPr="00194739">
        <w:t>: Table B.</w:t>
      </w:r>
      <w:r w:rsidR="00400E3F" w:rsidRPr="00194739">
        <w:t>6-</w:t>
      </w:r>
      <w:r w:rsidR="00194739" w:rsidRPr="00194739">
        <w:t>1</w:t>
      </w:r>
      <w:r w:rsidR="00400E3F" w:rsidRPr="00194739">
        <w:t>, B.6-2</w:t>
      </w:r>
      <w:r w:rsidRPr="00194739">
        <w:t>, p</w:t>
      </w:r>
      <w:r w:rsidR="00400E3F" w:rsidRPr="00194739">
        <w:t>p 88-90</w:t>
      </w:r>
      <w:r w:rsidRPr="00194739">
        <w:t xml:space="preserve"> of the submission</w:t>
      </w:r>
    </w:p>
    <w:p w:rsidR="00CD464D" w:rsidRDefault="00CD464D" w:rsidP="00FB718A">
      <w:pPr>
        <w:pStyle w:val="TableFooter"/>
        <w:widowControl/>
        <w:ind w:left="720"/>
      </w:pPr>
      <w:r>
        <w:t xml:space="preserve">Abbreviations: </w:t>
      </w:r>
      <w:r w:rsidR="007A6DE4">
        <w:t xml:space="preserve">APT All patients treated; </w:t>
      </w:r>
      <w:r w:rsidR="007A6DE4" w:rsidRPr="0090259B">
        <w:t>CI, Confidence interval;</w:t>
      </w:r>
      <w:r w:rsidR="007A6DE4">
        <w:t xml:space="preserve"> FAS full analysis set; </w:t>
      </w:r>
      <w:r w:rsidR="007A6DE4" w:rsidRPr="0090259B">
        <w:t xml:space="preserve">HbA1c, Glycosylated haemoglobin; </w:t>
      </w:r>
      <w:r w:rsidR="00DC4C3D">
        <w:t xml:space="preserve">LS least squares; </w:t>
      </w:r>
      <w:r w:rsidRPr="0090259B">
        <w:t xml:space="preserve"> </w:t>
      </w:r>
      <w:r w:rsidR="00400E3F">
        <w:t>M</w:t>
      </w:r>
      <w:r w:rsidR="0003030B">
        <w:t>eta</w:t>
      </w:r>
      <w:r w:rsidR="00400E3F">
        <w:t>-A meta-analy</w:t>
      </w:r>
      <w:r w:rsidR="00EF7C86">
        <w:t>sis of trials P035 and</w:t>
      </w:r>
      <w:r w:rsidR="00400E3F">
        <w:t xml:space="preserve"> P229</w:t>
      </w:r>
    </w:p>
    <w:p w:rsidR="00400E3F" w:rsidRPr="003B4C89" w:rsidRDefault="00400E3F" w:rsidP="00FB718A">
      <w:pPr>
        <w:widowControl/>
        <w:rPr>
          <w:rFonts w:ascii="Arial Narrow" w:hAnsi="Arial Narrow"/>
          <w:sz w:val="18"/>
          <w:szCs w:val="18"/>
        </w:rPr>
      </w:pPr>
    </w:p>
    <w:p w:rsidR="00400E3F" w:rsidRPr="00D17B90" w:rsidRDefault="00400E3F" w:rsidP="00FB718A">
      <w:pPr>
        <w:pStyle w:val="ListParagraph"/>
        <w:widowControl/>
        <w:numPr>
          <w:ilvl w:val="1"/>
          <w:numId w:val="5"/>
        </w:numPr>
        <w:rPr>
          <w:szCs w:val="22"/>
        </w:rPr>
      </w:pPr>
      <w:r w:rsidRPr="00D17B90">
        <w:rPr>
          <w:szCs w:val="22"/>
        </w:rPr>
        <w:t xml:space="preserve">The results of the indirect analyses </w:t>
      </w:r>
      <w:r w:rsidR="0003030B" w:rsidRPr="00D17B90">
        <w:rPr>
          <w:szCs w:val="22"/>
        </w:rPr>
        <w:t xml:space="preserve">were </w:t>
      </w:r>
      <w:r w:rsidRPr="00D17B90">
        <w:rPr>
          <w:szCs w:val="22"/>
        </w:rPr>
        <w:t xml:space="preserve">consistent with no statistically significant differences between sitagliptin and dapagliflozin in reduction in HbA1c at 24 weeks. The observed differences </w:t>
      </w:r>
      <w:r w:rsidR="0003030B" w:rsidRPr="00D17B90">
        <w:rPr>
          <w:szCs w:val="22"/>
        </w:rPr>
        <w:t xml:space="preserve">were </w:t>
      </w:r>
      <w:r w:rsidRPr="00D17B90">
        <w:rPr>
          <w:szCs w:val="22"/>
        </w:rPr>
        <w:t xml:space="preserve">within the </w:t>
      </w:r>
      <w:r w:rsidR="002305EB" w:rsidRPr="00D17B90">
        <w:rPr>
          <w:szCs w:val="22"/>
        </w:rPr>
        <w:t>minimally important clinical difference (</w:t>
      </w:r>
      <w:r w:rsidRPr="00D17B90">
        <w:rPr>
          <w:szCs w:val="22"/>
        </w:rPr>
        <w:t>MCID</w:t>
      </w:r>
      <w:r w:rsidR="002305EB" w:rsidRPr="00D17B90">
        <w:rPr>
          <w:szCs w:val="22"/>
        </w:rPr>
        <w:t>)</w:t>
      </w:r>
      <w:r w:rsidRPr="00D17B90">
        <w:rPr>
          <w:szCs w:val="22"/>
        </w:rPr>
        <w:t xml:space="preserve"> of 0.3% - 0.4%</w:t>
      </w:r>
      <w:r w:rsidR="008109AE" w:rsidRPr="00D17B90">
        <w:rPr>
          <w:szCs w:val="22"/>
        </w:rPr>
        <w:t xml:space="preserve"> previously accepted by the PBAC </w:t>
      </w:r>
      <w:r w:rsidR="005D58BC" w:rsidRPr="00D17B90">
        <w:rPr>
          <w:szCs w:val="22"/>
        </w:rPr>
        <w:t xml:space="preserve">(Dapagliflozin </w:t>
      </w:r>
      <w:r w:rsidR="00111A4D">
        <w:rPr>
          <w:szCs w:val="22"/>
        </w:rPr>
        <w:t xml:space="preserve">PSD, </w:t>
      </w:r>
      <w:r w:rsidR="005D58BC" w:rsidRPr="00D17B90">
        <w:rPr>
          <w:szCs w:val="22"/>
        </w:rPr>
        <w:t>March</w:t>
      </w:r>
      <w:r w:rsidR="00674A95" w:rsidRPr="00D17B90">
        <w:rPr>
          <w:szCs w:val="22"/>
        </w:rPr>
        <w:t xml:space="preserve"> 2015 </w:t>
      </w:r>
      <w:r w:rsidR="00D814FE" w:rsidRPr="00D17B90">
        <w:rPr>
          <w:szCs w:val="22"/>
        </w:rPr>
        <w:t>meeting</w:t>
      </w:r>
      <w:r w:rsidR="00674A95" w:rsidRPr="00D17B90">
        <w:rPr>
          <w:szCs w:val="22"/>
        </w:rPr>
        <w:t>)</w:t>
      </w:r>
      <w:r w:rsidR="008109AE" w:rsidRPr="00D17B90">
        <w:rPr>
          <w:szCs w:val="22"/>
        </w:rPr>
        <w:t>.</w:t>
      </w:r>
    </w:p>
    <w:p w:rsidR="00674A95" w:rsidRPr="005E2964" w:rsidRDefault="00674A95" w:rsidP="00FB718A">
      <w:pPr>
        <w:widowControl/>
        <w:ind w:left="709"/>
        <w:rPr>
          <w:i/>
          <w:sz w:val="18"/>
        </w:rPr>
      </w:pPr>
    </w:p>
    <w:p w:rsidR="00674A95" w:rsidRPr="00EE45BC" w:rsidRDefault="004C00EA" w:rsidP="00FB718A">
      <w:pPr>
        <w:pStyle w:val="ListParagraph"/>
        <w:widowControl/>
        <w:numPr>
          <w:ilvl w:val="1"/>
          <w:numId w:val="5"/>
        </w:numPr>
      </w:pPr>
      <w:r>
        <w:t>No evidence wa</w:t>
      </w:r>
      <w:r w:rsidR="00674A95" w:rsidRPr="00EE45BC">
        <w:t xml:space="preserve">s presented supporting the comparative efficacy of sitagliptin </w:t>
      </w:r>
      <w:r w:rsidR="00EE45BC" w:rsidRPr="00EE45BC">
        <w:t>25</w:t>
      </w:r>
      <w:r w:rsidR="00674A95" w:rsidRPr="00EE45BC">
        <w:t xml:space="preserve">mg and </w:t>
      </w:r>
      <w:r w:rsidR="00EE45BC" w:rsidRPr="00EE45BC">
        <w:t>50</w:t>
      </w:r>
      <w:r w:rsidR="00674A95" w:rsidRPr="00EE45BC">
        <w:t xml:space="preserve">mg strengths or </w:t>
      </w:r>
      <w:r w:rsidR="00EE45BC" w:rsidRPr="00EE45BC">
        <w:t>sitagliptin/</w:t>
      </w:r>
      <w:r w:rsidR="00824DC5">
        <w:t>MET</w:t>
      </w:r>
      <w:r w:rsidR="00824DC5" w:rsidRPr="00EE45BC">
        <w:t xml:space="preserve"> </w:t>
      </w:r>
      <w:r w:rsidR="001052DD">
        <w:t>FDCs</w:t>
      </w:r>
      <w:r w:rsidR="00EE45BC" w:rsidRPr="00EE45BC">
        <w:t xml:space="preserve"> </w:t>
      </w:r>
      <w:r w:rsidR="00EE45BC">
        <w:t>(</w:t>
      </w:r>
      <w:r w:rsidR="00EE45BC" w:rsidRPr="00EE45BC">
        <w:t>immediate and extended r</w:t>
      </w:r>
      <w:r>
        <w:t>elease). The submission requested</w:t>
      </w:r>
      <w:r w:rsidR="00EE45BC" w:rsidRPr="00EE45BC">
        <w:t xml:space="preserve"> </w:t>
      </w:r>
      <w:r w:rsidR="00EE45BC">
        <w:t>the</w:t>
      </w:r>
      <w:r w:rsidR="00EE45BC" w:rsidRPr="00EE45BC">
        <w:t xml:space="preserve"> PBAC </w:t>
      </w:r>
      <w:r w:rsidR="00EE45BC">
        <w:t xml:space="preserve">recommend </w:t>
      </w:r>
      <w:r w:rsidR="00EE45BC" w:rsidRPr="00EE45BC">
        <w:t xml:space="preserve">these products on the basis of previous </w:t>
      </w:r>
      <w:r w:rsidR="00EE45BC">
        <w:t xml:space="preserve">decisions accepting the clinical need for the lower dose strengths and place in therapy of the </w:t>
      </w:r>
      <w:r w:rsidR="001052DD">
        <w:t>FDCs</w:t>
      </w:r>
      <w:r w:rsidR="00EE45BC">
        <w:t>.</w:t>
      </w:r>
    </w:p>
    <w:p w:rsidR="003361E2" w:rsidRDefault="003361E2" w:rsidP="00FB718A">
      <w:pPr>
        <w:widowControl/>
        <w:rPr>
          <w:sz w:val="18"/>
        </w:rPr>
      </w:pPr>
    </w:p>
    <w:p w:rsidR="007565B6" w:rsidRDefault="007565B6" w:rsidP="00FB718A">
      <w:pPr>
        <w:pStyle w:val="ListParagraph"/>
        <w:widowControl/>
        <w:ind w:left="709"/>
        <w:rPr>
          <w:i/>
          <w:szCs w:val="22"/>
        </w:rPr>
      </w:pPr>
      <w:r w:rsidRPr="00A15147">
        <w:rPr>
          <w:i/>
          <w:szCs w:val="22"/>
        </w:rPr>
        <w:t>For more detail on PBAC’s view, see section 7 “PBAC outcome”</w:t>
      </w:r>
    </w:p>
    <w:p w:rsidR="007565B6" w:rsidRPr="005E2964" w:rsidRDefault="007565B6" w:rsidP="00FB718A">
      <w:pPr>
        <w:widowControl/>
        <w:rPr>
          <w:sz w:val="18"/>
        </w:rPr>
      </w:pPr>
    </w:p>
    <w:p w:rsidR="00B60939" w:rsidRPr="002C2775" w:rsidRDefault="00B60939" w:rsidP="00FB718A">
      <w:pPr>
        <w:pStyle w:val="Heading2"/>
        <w:widowControl/>
        <w:rPr>
          <w:i/>
        </w:rPr>
      </w:pPr>
      <w:bookmarkStart w:id="9" w:name="_Toc419206927"/>
      <w:r w:rsidRPr="002C2775">
        <w:rPr>
          <w:i/>
        </w:rPr>
        <w:t>Comparative harms</w:t>
      </w:r>
      <w:bookmarkEnd w:id="9"/>
    </w:p>
    <w:p w:rsidR="00B60939" w:rsidRPr="00882085" w:rsidRDefault="00B60939" w:rsidP="00FB718A">
      <w:pPr>
        <w:widowControl/>
        <w:ind w:left="720" w:hanging="720"/>
        <w:rPr>
          <w:szCs w:val="22"/>
        </w:rPr>
      </w:pPr>
    </w:p>
    <w:p w:rsidR="00B60939" w:rsidRPr="00CD359E" w:rsidRDefault="00CD359E" w:rsidP="00FB718A">
      <w:pPr>
        <w:pStyle w:val="ListParagraph"/>
        <w:widowControl/>
        <w:numPr>
          <w:ilvl w:val="1"/>
          <w:numId w:val="5"/>
        </w:numPr>
        <w:rPr>
          <w:szCs w:val="22"/>
        </w:rPr>
      </w:pPr>
      <w:r w:rsidRPr="00CD359E">
        <w:t xml:space="preserve">A summary of </w:t>
      </w:r>
      <w:r>
        <w:t xml:space="preserve">key </w:t>
      </w:r>
      <w:r w:rsidRPr="00CD359E">
        <w:t xml:space="preserve">adverse events </w:t>
      </w:r>
      <w:r>
        <w:t xml:space="preserve">reported in the trials </w:t>
      </w:r>
      <w:r w:rsidRPr="00CD359E">
        <w:t>is provided in Table 4.</w:t>
      </w:r>
    </w:p>
    <w:p w:rsidR="00CD359E" w:rsidRPr="005E2964" w:rsidRDefault="00CD359E" w:rsidP="00FB718A">
      <w:pPr>
        <w:pStyle w:val="PBACHeading1"/>
        <w:numPr>
          <w:ilvl w:val="0"/>
          <w:numId w:val="0"/>
        </w:numPr>
        <w:ind w:left="720" w:hanging="720"/>
        <w:rPr>
          <w:sz w:val="18"/>
        </w:rPr>
      </w:pPr>
    </w:p>
    <w:p w:rsidR="00CD359E" w:rsidRPr="00B94CAD" w:rsidRDefault="00CD359E" w:rsidP="00FB718A">
      <w:pPr>
        <w:keepNext/>
        <w:widowControl/>
        <w:ind w:firstLine="720"/>
        <w:rPr>
          <w:rFonts w:ascii="Arial Narrow" w:hAnsi="Arial Narrow"/>
          <w:b/>
          <w:sz w:val="20"/>
        </w:rPr>
      </w:pPr>
      <w:r w:rsidRPr="00B94CAD">
        <w:rPr>
          <w:rFonts w:ascii="Arial Narrow" w:hAnsi="Arial Narrow"/>
          <w:b/>
          <w:sz w:val="20"/>
        </w:rPr>
        <w:t xml:space="preserve">Table </w:t>
      </w:r>
      <w:r>
        <w:rPr>
          <w:rFonts w:ascii="Arial Narrow" w:hAnsi="Arial Narrow"/>
          <w:b/>
          <w:sz w:val="20"/>
        </w:rPr>
        <w:t>4</w:t>
      </w:r>
      <w:r w:rsidR="008109AE">
        <w:rPr>
          <w:rFonts w:ascii="Arial Narrow" w:hAnsi="Arial Narrow"/>
          <w:b/>
          <w:sz w:val="20"/>
        </w:rPr>
        <w:t>:</w:t>
      </w:r>
      <w:r w:rsidR="00846C4E">
        <w:rPr>
          <w:rFonts w:ascii="Arial Narrow" w:hAnsi="Arial Narrow"/>
          <w:b/>
          <w:sz w:val="20"/>
        </w:rPr>
        <w:t xml:space="preserve"> </w:t>
      </w:r>
      <w:r w:rsidRPr="00B94CAD">
        <w:rPr>
          <w:rFonts w:ascii="Arial Narrow" w:hAnsi="Arial Narrow"/>
          <w:b/>
          <w:sz w:val="20"/>
        </w:rPr>
        <w:t>Summary of adverse events</w:t>
      </w:r>
      <w:r>
        <w:rPr>
          <w:rFonts w:ascii="Arial Narrow" w:hAnsi="Arial Narrow"/>
          <w:b/>
          <w:sz w:val="20"/>
        </w:rPr>
        <w:t xml:space="preserve"> reported in sitagliptin and dapagliflozin trials</w:t>
      </w:r>
    </w:p>
    <w:tbl>
      <w:tblPr>
        <w:tblW w:w="8363" w:type="dxa"/>
        <w:tblInd w:w="81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Caption w:val="Table 4: Summary of adverse events reported in sitagliptin and dapagliflozin trials"/>
        <w:tblDescription w:val="The table shows the summary of adverse events reported in sitagliptin and dapagliflozin trials"/>
      </w:tblPr>
      <w:tblGrid>
        <w:gridCol w:w="2835"/>
        <w:gridCol w:w="992"/>
        <w:gridCol w:w="993"/>
        <w:gridCol w:w="850"/>
        <w:gridCol w:w="851"/>
        <w:gridCol w:w="992"/>
        <w:gridCol w:w="850"/>
      </w:tblGrid>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p>
        </w:tc>
        <w:tc>
          <w:tcPr>
            <w:tcW w:w="1985" w:type="dxa"/>
            <w:gridSpan w:val="2"/>
            <w:shd w:val="clear" w:color="auto" w:fill="auto"/>
            <w:vAlign w:val="center"/>
          </w:tcPr>
          <w:p w:rsidR="00CD359E" w:rsidRPr="00B34038" w:rsidRDefault="00CD359E" w:rsidP="00FB718A">
            <w:pPr>
              <w:keepNext/>
              <w:widowControl/>
              <w:jc w:val="center"/>
              <w:rPr>
                <w:rFonts w:ascii="Arial Narrow" w:hAnsi="Arial Narrow"/>
                <w:b/>
                <w:sz w:val="20"/>
              </w:rPr>
            </w:pPr>
            <w:r w:rsidRPr="00B34038">
              <w:rPr>
                <w:rFonts w:ascii="Arial Narrow" w:hAnsi="Arial Narrow"/>
                <w:b/>
                <w:sz w:val="20"/>
              </w:rPr>
              <w:t>P035 (Stratum 2)*</w:t>
            </w:r>
          </w:p>
        </w:tc>
        <w:tc>
          <w:tcPr>
            <w:tcW w:w="1701" w:type="dxa"/>
            <w:gridSpan w:val="2"/>
            <w:shd w:val="clear" w:color="auto" w:fill="auto"/>
            <w:vAlign w:val="center"/>
          </w:tcPr>
          <w:p w:rsidR="00CD359E" w:rsidRPr="00B34038" w:rsidRDefault="00CD359E" w:rsidP="00FB718A">
            <w:pPr>
              <w:keepNext/>
              <w:widowControl/>
              <w:jc w:val="center"/>
              <w:rPr>
                <w:rFonts w:ascii="Arial Narrow" w:hAnsi="Arial Narrow"/>
                <w:b/>
                <w:sz w:val="20"/>
              </w:rPr>
            </w:pPr>
            <w:r w:rsidRPr="00B34038">
              <w:rPr>
                <w:rFonts w:ascii="Arial Narrow" w:hAnsi="Arial Narrow"/>
                <w:b/>
                <w:sz w:val="20"/>
              </w:rPr>
              <w:t>P229 (Phase A)*</w:t>
            </w:r>
          </w:p>
        </w:tc>
        <w:tc>
          <w:tcPr>
            <w:tcW w:w="1842" w:type="dxa"/>
            <w:gridSpan w:val="2"/>
            <w:shd w:val="clear" w:color="auto" w:fill="auto"/>
            <w:vAlign w:val="center"/>
          </w:tcPr>
          <w:p w:rsidR="00CD359E" w:rsidRPr="00B34038" w:rsidRDefault="00CD359E" w:rsidP="00FB718A">
            <w:pPr>
              <w:keepNext/>
              <w:widowControl/>
              <w:jc w:val="center"/>
              <w:rPr>
                <w:rFonts w:ascii="Arial Narrow" w:hAnsi="Arial Narrow"/>
                <w:b/>
                <w:sz w:val="20"/>
              </w:rPr>
            </w:pPr>
            <w:r w:rsidRPr="00B34038">
              <w:rPr>
                <w:rFonts w:ascii="Arial Narrow" w:hAnsi="Arial Narrow"/>
                <w:b/>
                <w:sz w:val="20"/>
              </w:rPr>
              <w:t>Matthaei 2015</w:t>
            </w:r>
          </w:p>
        </w:tc>
      </w:tr>
      <w:tr w:rsidR="00CD359E" w:rsidRPr="00B34038" w:rsidTr="00DD2220">
        <w:tc>
          <w:tcPr>
            <w:tcW w:w="2835" w:type="dxa"/>
            <w:shd w:val="clear" w:color="auto" w:fill="auto"/>
            <w:vAlign w:val="center"/>
          </w:tcPr>
          <w:p w:rsidR="00CD359E" w:rsidRPr="00DD2220" w:rsidRDefault="00CD359E" w:rsidP="00FB718A">
            <w:pPr>
              <w:keepNext/>
              <w:widowControl/>
              <w:rPr>
                <w:rFonts w:ascii="Arial Narrow" w:hAnsi="Arial Narrow"/>
                <w:b/>
                <w:sz w:val="20"/>
              </w:rPr>
            </w:pPr>
            <w:r w:rsidRPr="00DD2220">
              <w:rPr>
                <w:rFonts w:ascii="Arial Narrow" w:hAnsi="Arial Narrow"/>
                <w:b/>
                <w:sz w:val="20"/>
              </w:rPr>
              <w:t>Number (%) of patients</w:t>
            </w:r>
          </w:p>
        </w:tc>
        <w:tc>
          <w:tcPr>
            <w:tcW w:w="992" w:type="dxa"/>
            <w:shd w:val="clear" w:color="auto" w:fill="auto"/>
            <w:vAlign w:val="center"/>
          </w:tcPr>
          <w:p w:rsidR="00CD359E" w:rsidRPr="00DD2220" w:rsidRDefault="00CD359E" w:rsidP="00FB718A">
            <w:pPr>
              <w:keepNext/>
              <w:widowControl/>
              <w:jc w:val="center"/>
              <w:rPr>
                <w:rFonts w:ascii="Arial Narrow" w:hAnsi="Arial Narrow"/>
                <w:b/>
                <w:sz w:val="20"/>
              </w:rPr>
            </w:pPr>
            <w:r w:rsidRPr="00DD2220">
              <w:rPr>
                <w:rFonts w:ascii="Arial Narrow" w:hAnsi="Arial Narrow"/>
                <w:b/>
                <w:sz w:val="20"/>
              </w:rPr>
              <w:t>SITA</w:t>
            </w:r>
          </w:p>
        </w:tc>
        <w:tc>
          <w:tcPr>
            <w:tcW w:w="993" w:type="dxa"/>
            <w:shd w:val="clear" w:color="auto" w:fill="auto"/>
            <w:vAlign w:val="center"/>
          </w:tcPr>
          <w:p w:rsidR="00CD359E" w:rsidRPr="00DD2220" w:rsidRDefault="00CD359E" w:rsidP="00FB718A">
            <w:pPr>
              <w:keepNext/>
              <w:widowControl/>
              <w:jc w:val="center"/>
              <w:rPr>
                <w:rFonts w:ascii="Arial Narrow" w:hAnsi="Arial Narrow"/>
                <w:b/>
                <w:sz w:val="20"/>
              </w:rPr>
            </w:pPr>
            <w:r w:rsidRPr="00DD2220">
              <w:rPr>
                <w:rFonts w:ascii="Arial Narrow" w:hAnsi="Arial Narrow"/>
                <w:b/>
                <w:sz w:val="20"/>
              </w:rPr>
              <w:t>Placebo</w:t>
            </w:r>
          </w:p>
        </w:tc>
        <w:tc>
          <w:tcPr>
            <w:tcW w:w="850" w:type="dxa"/>
            <w:shd w:val="clear" w:color="auto" w:fill="auto"/>
            <w:vAlign w:val="center"/>
          </w:tcPr>
          <w:p w:rsidR="00CD359E" w:rsidRPr="00DD2220" w:rsidRDefault="00CD359E" w:rsidP="00FB718A">
            <w:pPr>
              <w:keepNext/>
              <w:widowControl/>
              <w:jc w:val="center"/>
              <w:rPr>
                <w:rFonts w:ascii="Arial Narrow" w:hAnsi="Arial Narrow"/>
                <w:b/>
                <w:sz w:val="20"/>
              </w:rPr>
            </w:pPr>
            <w:r w:rsidRPr="00DD2220">
              <w:rPr>
                <w:rFonts w:ascii="Arial Narrow" w:hAnsi="Arial Narrow"/>
                <w:b/>
                <w:sz w:val="20"/>
              </w:rPr>
              <w:t>SITA</w:t>
            </w:r>
          </w:p>
        </w:tc>
        <w:tc>
          <w:tcPr>
            <w:tcW w:w="851" w:type="dxa"/>
            <w:shd w:val="clear" w:color="auto" w:fill="auto"/>
            <w:vAlign w:val="center"/>
          </w:tcPr>
          <w:p w:rsidR="00CD359E" w:rsidRPr="00DD2220" w:rsidRDefault="00CD359E" w:rsidP="00FB718A">
            <w:pPr>
              <w:keepNext/>
              <w:widowControl/>
              <w:jc w:val="center"/>
              <w:rPr>
                <w:rFonts w:ascii="Arial Narrow" w:hAnsi="Arial Narrow"/>
                <w:b/>
                <w:sz w:val="20"/>
              </w:rPr>
            </w:pPr>
            <w:r w:rsidRPr="00DD2220">
              <w:rPr>
                <w:rFonts w:ascii="Arial Narrow" w:hAnsi="Arial Narrow"/>
                <w:b/>
                <w:sz w:val="20"/>
              </w:rPr>
              <w:t>Placebo</w:t>
            </w:r>
          </w:p>
        </w:tc>
        <w:tc>
          <w:tcPr>
            <w:tcW w:w="992" w:type="dxa"/>
            <w:shd w:val="clear" w:color="auto" w:fill="auto"/>
            <w:vAlign w:val="center"/>
          </w:tcPr>
          <w:p w:rsidR="00CD359E" w:rsidRPr="00DD2220" w:rsidRDefault="00CD359E" w:rsidP="00FB718A">
            <w:pPr>
              <w:keepNext/>
              <w:widowControl/>
              <w:jc w:val="center"/>
              <w:rPr>
                <w:rFonts w:ascii="Arial Narrow" w:hAnsi="Arial Narrow"/>
                <w:b/>
                <w:sz w:val="20"/>
              </w:rPr>
            </w:pPr>
            <w:r w:rsidRPr="00DD2220">
              <w:rPr>
                <w:rFonts w:ascii="Arial Narrow" w:hAnsi="Arial Narrow"/>
                <w:b/>
                <w:sz w:val="20"/>
              </w:rPr>
              <w:t>DAPA</w:t>
            </w:r>
          </w:p>
        </w:tc>
        <w:tc>
          <w:tcPr>
            <w:tcW w:w="850" w:type="dxa"/>
            <w:shd w:val="clear" w:color="auto" w:fill="auto"/>
            <w:vAlign w:val="center"/>
          </w:tcPr>
          <w:p w:rsidR="00CD359E" w:rsidRPr="00DD2220" w:rsidRDefault="00CD359E" w:rsidP="00FB718A">
            <w:pPr>
              <w:keepNext/>
              <w:widowControl/>
              <w:jc w:val="center"/>
              <w:rPr>
                <w:rFonts w:ascii="Arial Narrow" w:hAnsi="Arial Narrow"/>
                <w:b/>
                <w:sz w:val="20"/>
              </w:rPr>
            </w:pPr>
            <w:r w:rsidRPr="00DD2220">
              <w:rPr>
                <w:rFonts w:ascii="Arial Narrow" w:hAnsi="Arial Narrow"/>
                <w:b/>
                <w:sz w:val="20"/>
              </w:rPr>
              <w:t>Placebo</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With ≥1 adverse events</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73 (62.9)</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60 (53.1)</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91(43.3)</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81 38.2)</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53 (48.6)</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56 51.4)</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Drug-related adverse events</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21 (18.1)</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8 (7.1)</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13 (6.2)</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5 (2.4)</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18 (16.5)</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8 (7.3)</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Serious adverse events</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7 (6.0)</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(1.8)</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(1.0)</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6 (2.8)</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6 (5.5)</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Deaths</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(0.5)</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 xml:space="preserve">Discontinued due adverse events </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(1.7)</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(1.8)</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(1.0)</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3 (1.4)</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(1.8)</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3 (2.8)</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Drug-related discontinuations</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(0.5)</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(0.5)</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 xml:space="preserve">Discontinued serious </w:t>
            </w:r>
            <w:r w:rsidR="00DD2220">
              <w:rPr>
                <w:rFonts w:ascii="Arial Narrow" w:hAnsi="Arial Narrow"/>
                <w:sz w:val="20"/>
              </w:rPr>
              <w:t>e</w:t>
            </w:r>
            <w:r w:rsidRPr="00B34038">
              <w:rPr>
                <w:rFonts w:ascii="Arial Narrow" w:hAnsi="Arial Narrow"/>
                <w:sz w:val="20"/>
              </w:rPr>
              <w:t>vents</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tc>
        <w:tc>
          <w:tcPr>
            <w:tcW w:w="993"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0 (0.0)</w:t>
            </w:r>
          </w:p>
        </w:tc>
        <w:tc>
          <w:tcPr>
            <w:tcW w:w="851"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(0.5)</w:t>
            </w:r>
          </w:p>
        </w:tc>
        <w:tc>
          <w:tcPr>
            <w:tcW w:w="992"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850" w:type="dxa"/>
            <w:shd w:val="clear" w:color="auto" w:fill="auto"/>
            <w:vAlign w:val="center"/>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Hypoglycaemia</w:t>
            </w:r>
          </w:p>
          <w:p w:rsidR="00CD359E" w:rsidRPr="00B34038" w:rsidRDefault="00CD359E" w:rsidP="00FB718A">
            <w:pPr>
              <w:keepNext/>
              <w:widowControl/>
              <w:jc w:val="right"/>
              <w:rPr>
                <w:rFonts w:ascii="Arial Narrow" w:hAnsi="Arial Narrow"/>
                <w:sz w:val="20"/>
              </w:rPr>
            </w:pPr>
            <w:r w:rsidRPr="00B34038">
              <w:rPr>
                <w:rFonts w:ascii="Arial Narrow" w:hAnsi="Arial Narrow"/>
                <w:sz w:val="20"/>
              </w:rPr>
              <w:t>Overall</w:t>
            </w:r>
          </w:p>
          <w:p w:rsidR="00CD359E" w:rsidRPr="00B34038" w:rsidRDefault="00CD359E" w:rsidP="00FB718A">
            <w:pPr>
              <w:keepNext/>
              <w:widowControl/>
              <w:jc w:val="right"/>
              <w:rPr>
                <w:rFonts w:ascii="Arial Narrow" w:hAnsi="Arial Narrow"/>
                <w:sz w:val="20"/>
              </w:rPr>
            </w:pPr>
            <w:r w:rsidRPr="00B34038">
              <w:rPr>
                <w:rFonts w:ascii="Arial Narrow" w:hAnsi="Arial Narrow"/>
                <w:sz w:val="20"/>
              </w:rPr>
              <w:t>Requiring  non-medical assistance</w:t>
            </w:r>
          </w:p>
          <w:p w:rsidR="00CD359E" w:rsidRPr="00B34038" w:rsidRDefault="00CD359E" w:rsidP="00FB718A">
            <w:pPr>
              <w:keepNext/>
              <w:widowControl/>
              <w:jc w:val="right"/>
              <w:rPr>
                <w:rFonts w:ascii="Arial Narrow" w:hAnsi="Arial Narrow"/>
                <w:sz w:val="20"/>
              </w:rPr>
            </w:pPr>
            <w:r w:rsidRPr="00B34038">
              <w:rPr>
                <w:rFonts w:ascii="Arial Narrow" w:hAnsi="Arial Narrow"/>
                <w:sz w:val="20"/>
              </w:rPr>
              <w:t>Requiring medical assistance</w:t>
            </w:r>
          </w:p>
        </w:tc>
        <w:tc>
          <w:tcPr>
            <w:tcW w:w="992" w:type="dxa"/>
            <w:shd w:val="clear" w:color="auto" w:fill="auto"/>
          </w:tcPr>
          <w:p w:rsidR="00CD359E" w:rsidRPr="00B34038" w:rsidRDefault="00CD359E" w:rsidP="00FB718A">
            <w:pPr>
              <w:keepNext/>
              <w:widowControl/>
              <w:jc w:val="center"/>
              <w:rPr>
                <w:rFonts w:ascii="Arial Narrow" w:hAnsi="Arial Narrow"/>
                <w:sz w:val="20"/>
              </w:rPr>
            </w:pP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19 (16.4)</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(1.7)</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tc>
        <w:tc>
          <w:tcPr>
            <w:tcW w:w="993" w:type="dxa"/>
            <w:shd w:val="clear" w:color="auto" w:fill="auto"/>
          </w:tcPr>
          <w:p w:rsidR="00CD359E" w:rsidRPr="00B34038" w:rsidRDefault="00CD359E" w:rsidP="00FB718A">
            <w:pPr>
              <w:keepNext/>
              <w:widowControl/>
              <w:jc w:val="center"/>
              <w:rPr>
                <w:rFonts w:ascii="Arial Narrow" w:hAnsi="Arial Narrow"/>
                <w:sz w:val="20"/>
              </w:rPr>
            </w:pP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tc>
        <w:tc>
          <w:tcPr>
            <w:tcW w:w="850" w:type="dxa"/>
            <w:shd w:val="clear" w:color="auto" w:fill="auto"/>
          </w:tcPr>
          <w:p w:rsidR="00CD359E" w:rsidRPr="00B34038" w:rsidRDefault="00CD359E" w:rsidP="00FB718A">
            <w:pPr>
              <w:keepNext/>
              <w:widowControl/>
              <w:jc w:val="center"/>
              <w:rPr>
                <w:rFonts w:ascii="Arial Narrow" w:hAnsi="Arial Narrow"/>
                <w:sz w:val="20"/>
              </w:rPr>
            </w:pP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31(14.8)</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(0.5)</w:t>
            </w:r>
          </w:p>
        </w:tc>
        <w:tc>
          <w:tcPr>
            <w:tcW w:w="851" w:type="dxa"/>
            <w:shd w:val="clear" w:color="auto" w:fill="auto"/>
          </w:tcPr>
          <w:p w:rsidR="00CD359E" w:rsidRPr="00B34038" w:rsidRDefault="00CD359E" w:rsidP="00FB718A">
            <w:pPr>
              <w:keepNext/>
              <w:widowControl/>
              <w:jc w:val="center"/>
              <w:rPr>
                <w:rFonts w:ascii="Arial Narrow" w:hAnsi="Arial Narrow"/>
                <w:sz w:val="20"/>
              </w:rPr>
            </w:pP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10 (4.7)</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tc>
        <w:tc>
          <w:tcPr>
            <w:tcW w:w="992" w:type="dxa"/>
            <w:shd w:val="clear" w:color="auto" w:fill="auto"/>
          </w:tcPr>
          <w:p w:rsidR="00EF7C86" w:rsidRDefault="00EF7C86" w:rsidP="00FB718A">
            <w:pPr>
              <w:keepNext/>
              <w:widowControl/>
              <w:jc w:val="center"/>
              <w:rPr>
                <w:rFonts w:ascii="Arial Narrow" w:hAnsi="Arial Narrow"/>
                <w:sz w:val="20"/>
              </w:rPr>
            </w:pPr>
          </w:p>
          <w:p w:rsidR="00CD359E" w:rsidRPr="00B34038" w:rsidRDefault="002D3E54" w:rsidP="00FB718A">
            <w:pPr>
              <w:keepNext/>
              <w:widowControl/>
              <w:jc w:val="center"/>
              <w:rPr>
                <w:rFonts w:ascii="Arial Narrow" w:hAnsi="Arial Narrow"/>
                <w:sz w:val="20"/>
              </w:rPr>
            </w:pPr>
            <w:r>
              <w:rPr>
                <w:rFonts w:ascii="Arial Narrow" w:hAnsi="Arial Narrow"/>
                <w:sz w:val="20"/>
              </w:rPr>
              <w:t>1</w:t>
            </w:r>
            <w:r w:rsidR="00CD359E" w:rsidRPr="00B34038">
              <w:rPr>
                <w:rFonts w:ascii="Arial Narrow" w:hAnsi="Arial Narrow"/>
                <w:sz w:val="20"/>
              </w:rPr>
              <w:t>4 (12.8)</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tc>
        <w:tc>
          <w:tcPr>
            <w:tcW w:w="850" w:type="dxa"/>
            <w:shd w:val="clear" w:color="auto" w:fill="auto"/>
          </w:tcPr>
          <w:p w:rsidR="00CD359E" w:rsidRPr="00B34038" w:rsidRDefault="00CD359E" w:rsidP="00FB718A">
            <w:pPr>
              <w:keepNext/>
              <w:widowControl/>
              <w:jc w:val="center"/>
              <w:rPr>
                <w:rFonts w:ascii="Arial Narrow" w:hAnsi="Arial Narrow"/>
                <w:sz w:val="20"/>
              </w:rPr>
            </w:pP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4 (3.7)</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0</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Genital infection overall</w:t>
            </w:r>
          </w:p>
          <w:p w:rsidR="00CD359E" w:rsidRPr="00B34038" w:rsidRDefault="00CD359E" w:rsidP="00FB718A">
            <w:pPr>
              <w:keepNext/>
              <w:widowControl/>
              <w:jc w:val="right"/>
              <w:rPr>
                <w:rFonts w:ascii="Arial Narrow" w:hAnsi="Arial Narrow"/>
                <w:sz w:val="20"/>
              </w:rPr>
            </w:pPr>
            <w:r w:rsidRPr="00B34038">
              <w:rPr>
                <w:rFonts w:ascii="Arial Narrow" w:hAnsi="Arial Narrow"/>
                <w:sz w:val="20"/>
              </w:rPr>
              <w:t>Men</w:t>
            </w:r>
          </w:p>
          <w:p w:rsidR="00CD359E" w:rsidRPr="00B34038" w:rsidRDefault="00CD359E" w:rsidP="00FB718A">
            <w:pPr>
              <w:keepNext/>
              <w:widowControl/>
              <w:jc w:val="right"/>
              <w:rPr>
                <w:rFonts w:ascii="Arial Narrow" w:hAnsi="Arial Narrow"/>
                <w:sz w:val="20"/>
              </w:rPr>
            </w:pPr>
            <w:r w:rsidRPr="00B34038">
              <w:rPr>
                <w:rFonts w:ascii="Arial Narrow" w:hAnsi="Arial Narrow"/>
                <w:sz w:val="20"/>
              </w:rPr>
              <w:t>Women</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993"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851"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6 (5.5)</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1/46 (2.2)</w:t>
            </w:r>
          </w:p>
          <w:p w:rsidR="00CD359E" w:rsidRPr="00B34038" w:rsidRDefault="00CD359E" w:rsidP="00FB718A">
            <w:pPr>
              <w:keepNext/>
              <w:widowControl/>
              <w:jc w:val="center"/>
              <w:rPr>
                <w:rFonts w:ascii="Arial Narrow" w:hAnsi="Arial Narrow"/>
                <w:sz w:val="20"/>
              </w:rPr>
            </w:pPr>
            <w:r w:rsidRPr="00B34038">
              <w:rPr>
                <w:rFonts w:ascii="Arial Narrow" w:hAnsi="Arial Narrow"/>
                <w:sz w:val="20"/>
              </w:rPr>
              <w:t>5/63 (7.9)</w:t>
            </w:r>
          </w:p>
        </w:tc>
        <w:tc>
          <w:tcPr>
            <w:tcW w:w="850" w:type="dxa"/>
            <w:shd w:val="clear" w:color="auto" w:fill="auto"/>
          </w:tcPr>
          <w:p w:rsidR="00CD359E" w:rsidRDefault="00CD359E" w:rsidP="00FB718A">
            <w:pPr>
              <w:keepNext/>
              <w:widowControl/>
              <w:jc w:val="center"/>
              <w:rPr>
                <w:rFonts w:ascii="Arial Narrow" w:hAnsi="Arial Narrow"/>
                <w:sz w:val="20"/>
              </w:rPr>
            </w:pPr>
            <w:r w:rsidRPr="00B34038">
              <w:rPr>
                <w:rFonts w:ascii="Arial Narrow" w:hAnsi="Arial Narrow"/>
                <w:sz w:val="20"/>
              </w:rPr>
              <w:t>0</w:t>
            </w:r>
          </w:p>
          <w:p w:rsidR="00DD2220" w:rsidRDefault="00DD2220" w:rsidP="00FB718A">
            <w:pPr>
              <w:keepNext/>
              <w:widowControl/>
              <w:jc w:val="center"/>
              <w:rPr>
                <w:rFonts w:ascii="Arial Narrow" w:hAnsi="Arial Narrow"/>
                <w:sz w:val="20"/>
              </w:rPr>
            </w:pPr>
            <w:r>
              <w:rPr>
                <w:rFonts w:ascii="Arial Narrow" w:hAnsi="Arial Narrow"/>
                <w:sz w:val="20"/>
              </w:rPr>
              <w:t>0</w:t>
            </w:r>
          </w:p>
          <w:p w:rsidR="00DD2220" w:rsidRPr="00B34038" w:rsidRDefault="00DD2220" w:rsidP="00FB718A">
            <w:pPr>
              <w:keepNext/>
              <w:widowControl/>
              <w:jc w:val="center"/>
              <w:rPr>
                <w:rFonts w:ascii="Arial Narrow" w:hAnsi="Arial Narrow"/>
                <w:sz w:val="20"/>
              </w:rPr>
            </w:pPr>
            <w:r>
              <w:rPr>
                <w:rFonts w:ascii="Arial Narrow" w:hAnsi="Arial Narrow"/>
                <w:sz w:val="20"/>
              </w:rPr>
              <w:t>0</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Urinary tract infection</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(1.7)</w:t>
            </w:r>
          </w:p>
        </w:tc>
        <w:tc>
          <w:tcPr>
            <w:tcW w:w="993"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851"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5 (4.6)</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7 (6.4)</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Bronchitis</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(1.7)</w:t>
            </w:r>
          </w:p>
        </w:tc>
        <w:tc>
          <w:tcPr>
            <w:tcW w:w="993"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2 (1.8)</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3 (1.4)</w:t>
            </w:r>
          </w:p>
        </w:tc>
        <w:tc>
          <w:tcPr>
            <w:tcW w:w="851"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(0.5)</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5 (4.6)</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 (0.9)</w:t>
            </w:r>
          </w:p>
        </w:tc>
      </w:tr>
      <w:tr w:rsidR="00CD359E" w:rsidRPr="00B34038" w:rsidTr="00DD2220">
        <w:tc>
          <w:tcPr>
            <w:tcW w:w="2835" w:type="dxa"/>
            <w:shd w:val="clear" w:color="auto" w:fill="auto"/>
            <w:vAlign w:val="center"/>
          </w:tcPr>
          <w:p w:rsidR="00CD359E" w:rsidRPr="00B34038" w:rsidRDefault="00CD359E" w:rsidP="00FB718A">
            <w:pPr>
              <w:keepNext/>
              <w:widowControl/>
              <w:rPr>
                <w:rFonts w:ascii="Arial Narrow" w:hAnsi="Arial Narrow"/>
                <w:sz w:val="20"/>
              </w:rPr>
            </w:pPr>
            <w:r w:rsidRPr="00B34038">
              <w:rPr>
                <w:rFonts w:ascii="Arial Narrow" w:hAnsi="Arial Narrow"/>
                <w:sz w:val="20"/>
              </w:rPr>
              <w:t>Upper respiratory tract infection</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8 (6.9)</w:t>
            </w:r>
          </w:p>
        </w:tc>
        <w:tc>
          <w:tcPr>
            <w:tcW w:w="993"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9 (8.0)</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8 (3.8)</w:t>
            </w:r>
          </w:p>
        </w:tc>
        <w:tc>
          <w:tcPr>
            <w:tcW w:w="851"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12 (5.7)</w:t>
            </w:r>
          </w:p>
        </w:tc>
        <w:tc>
          <w:tcPr>
            <w:tcW w:w="992"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c>
          <w:tcPr>
            <w:tcW w:w="850" w:type="dxa"/>
            <w:shd w:val="clear" w:color="auto" w:fill="auto"/>
          </w:tcPr>
          <w:p w:rsidR="00CD359E" w:rsidRPr="00B34038" w:rsidRDefault="00CD359E" w:rsidP="00FB718A">
            <w:pPr>
              <w:keepNext/>
              <w:widowControl/>
              <w:jc w:val="center"/>
              <w:rPr>
                <w:rFonts w:ascii="Arial Narrow" w:hAnsi="Arial Narrow"/>
                <w:sz w:val="20"/>
              </w:rPr>
            </w:pPr>
            <w:r w:rsidRPr="00B34038">
              <w:rPr>
                <w:rFonts w:ascii="Arial Narrow" w:hAnsi="Arial Narrow"/>
                <w:sz w:val="20"/>
              </w:rPr>
              <w:t>NR</w:t>
            </w:r>
          </w:p>
        </w:tc>
      </w:tr>
    </w:tbl>
    <w:p w:rsidR="00EF7C86" w:rsidRDefault="00EF7C86" w:rsidP="00FB718A">
      <w:pPr>
        <w:keepNext/>
        <w:widowControl/>
        <w:ind w:left="720"/>
        <w:rPr>
          <w:rFonts w:ascii="Arial Narrow" w:hAnsi="Arial Narrow"/>
          <w:sz w:val="18"/>
          <w:szCs w:val="18"/>
        </w:rPr>
      </w:pPr>
      <w:r>
        <w:rPr>
          <w:rFonts w:ascii="Arial Narrow" w:hAnsi="Arial Narrow"/>
          <w:sz w:val="18"/>
          <w:szCs w:val="18"/>
        </w:rPr>
        <w:t>Abbreviations: SITA sitagliptin; DAPA dapagliflozin</w:t>
      </w:r>
    </w:p>
    <w:p w:rsidR="00CD359E" w:rsidRPr="00CD359E" w:rsidRDefault="00CD359E" w:rsidP="00FB718A">
      <w:pPr>
        <w:keepNext/>
        <w:widowControl/>
        <w:ind w:left="720"/>
        <w:rPr>
          <w:rFonts w:ascii="Arial Narrow" w:hAnsi="Arial Narrow"/>
          <w:sz w:val="18"/>
          <w:szCs w:val="18"/>
        </w:rPr>
      </w:pPr>
      <w:r w:rsidRPr="00CD359E">
        <w:rPr>
          <w:rFonts w:ascii="Arial Narrow" w:hAnsi="Arial Narrow"/>
          <w:sz w:val="18"/>
          <w:szCs w:val="18"/>
        </w:rPr>
        <w:t>*P035 Phase A, Stratum 2 excluding data after initiation of glycaemic rescue therapy; P229 Phase A, excluding data after initiation of glycaemic rescue therapy</w:t>
      </w:r>
    </w:p>
    <w:p w:rsidR="00CD359E" w:rsidRPr="00CD359E" w:rsidRDefault="00CD359E" w:rsidP="00FB718A">
      <w:pPr>
        <w:widowControl/>
        <w:ind w:firstLine="720"/>
        <w:rPr>
          <w:rFonts w:ascii="Arial Narrow" w:hAnsi="Arial Narrow"/>
          <w:sz w:val="18"/>
          <w:szCs w:val="18"/>
        </w:rPr>
      </w:pPr>
      <w:r w:rsidRPr="00CD359E">
        <w:rPr>
          <w:rFonts w:ascii="Arial Narrow" w:hAnsi="Arial Narrow"/>
          <w:sz w:val="18"/>
          <w:szCs w:val="18"/>
        </w:rPr>
        <w:t>Source: Tables B.6-5, B.6-10, B.6-11, B.6-12 pages 96, 99,100 of the submission</w:t>
      </w:r>
    </w:p>
    <w:p w:rsidR="00CD359E" w:rsidRPr="005E2964" w:rsidRDefault="00CD359E" w:rsidP="00FB718A">
      <w:pPr>
        <w:pStyle w:val="BodyText"/>
        <w:widowControl/>
        <w:rPr>
          <w:sz w:val="18"/>
        </w:rPr>
      </w:pPr>
    </w:p>
    <w:p w:rsidR="00CD359E" w:rsidRPr="00280B11" w:rsidRDefault="00CD359E" w:rsidP="00FB718A">
      <w:pPr>
        <w:pStyle w:val="ListParagraph"/>
        <w:widowControl/>
        <w:numPr>
          <w:ilvl w:val="1"/>
          <w:numId w:val="5"/>
        </w:numPr>
      </w:pPr>
      <w:r w:rsidRPr="00280B11">
        <w:t xml:space="preserve">Both sitagliptin and dapagliflozin were associated with more hypoglycaemia than placebo. Generally the hypoglycaemia did not require either non-medical or medical assistance. </w:t>
      </w:r>
      <w:r>
        <w:t>Dapagliflozin was associated with more genital tract</w:t>
      </w:r>
      <w:r w:rsidR="007A6DE4">
        <w:t xml:space="preserve"> and urinary tract</w:t>
      </w:r>
      <w:r>
        <w:t xml:space="preserve"> infections than placebo.</w:t>
      </w:r>
    </w:p>
    <w:p w:rsidR="00CD359E" w:rsidRDefault="00CD359E" w:rsidP="00FB718A">
      <w:pPr>
        <w:pStyle w:val="PBACHeading1"/>
        <w:numPr>
          <w:ilvl w:val="0"/>
          <w:numId w:val="0"/>
        </w:numPr>
        <w:ind w:left="720" w:hanging="720"/>
        <w:rPr>
          <w:sz w:val="18"/>
          <w:szCs w:val="20"/>
        </w:rPr>
      </w:pPr>
    </w:p>
    <w:p w:rsidR="007565B6" w:rsidRDefault="007565B6" w:rsidP="00FB718A">
      <w:pPr>
        <w:pStyle w:val="ListParagraph"/>
        <w:widowControl/>
        <w:ind w:left="709"/>
        <w:rPr>
          <w:i/>
          <w:szCs w:val="22"/>
        </w:rPr>
      </w:pPr>
      <w:r w:rsidRPr="00A15147">
        <w:rPr>
          <w:i/>
          <w:szCs w:val="22"/>
        </w:rPr>
        <w:t>For more detail on PBAC’s view, see section 7 “PBAC outcome”</w:t>
      </w:r>
    </w:p>
    <w:p w:rsidR="007565B6" w:rsidRPr="005E2964" w:rsidRDefault="007565B6" w:rsidP="00FB718A">
      <w:pPr>
        <w:pStyle w:val="PBACHeading1"/>
        <w:numPr>
          <w:ilvl w:val="0"/>
          <w:numId w:val="0"/>
        </w:numPr>
        <w:ind w:left="720" w:hanging="720"/>
        <w:rPr>
          <w:sz w:val="18"/>
          <w:szCs w:val="20"/>
        </w:rPr>
      </w:pPr>
    </w:p>
    <w:p w:rsidR="007F1017" w:rsidRPr="002C2775" w:rsidRDefault="007F1017" w:rsidP="00FB718A">
      <w:pPr>
        <w:pStyle w:val="Heading2"/>
        <w:widowControl/>
        <w:rPr>
          <w:i/>
          <w:szCs w:val="22"/>
        </w:rPr>
      </w:pPr>
      <w:bookmarkStart w:id="10" w:name="_Toc419206928"/>
      <w:r w:rsidRPr="002C2775">
        <w:rPr>
          <w:i/>
        </w:rPr>
        <w:t>Benefits/harms</w:t>
      </w:r>
      <w:bookmarkEnd w:id="10"/>
    </w:p>
    <w:p w:rsidR="007F1017" w:rsidRPr="005E2964" w:rsidRDefault="007F1017" w:rsidP="00FB718A">
      <w:pPr>
        <w:pStyle w:val="ListParagraph"/>
        <w:widowControl/>
        <w:ind w:left="0"/>
        <w:rPr>
          <w:sz w:val="20"/>
          <w:szCs w:val="22"/>
        </w:rPr>
      </w:pPr>
    </w:p>
    <w:p w:rsidR="00851EDC" w:rsidRPr="00851EDC" w:rsidRDefault="00EC00C9" w:rsidP="00FB718A">
      <w:pPr>
        <w:pStyle w:val="ListParagraph"/>
        <w:widowControl/>
        <w:numPr>
          <w:ilvl w:val="1"/>
          <w:numId w:val="5"/>
        </w:numPr>
        <w:autoSpaceDE w:val="0"/>
        <w:autoSpaceDN w:val="0"/>
        <w:adjustRightInd w:val="0"/>
        <w:ind w:left="709"/>
        <w:rPr>
          <w:lang w:val="en-US"/>
        </w:rPr>
      </w:pPr>
      <w:r w:rsidRPr="00CF6EE4">
        <w:t xml:space="preserve">On the basis </w:t>
      </w:r>
      <w:r w:rsidR="00851EDC">
        <w:t xml:space="preserve">the </w:t>
      </w:r>
      <w:r w:rsidR="00851EDC" w:rsidRPr="00851EDC">
        <w:rPr>
          <w:lang w:val="en-US"/>
        </w:rPr>
        <w:t>indirect</w:t>
      </w:r>
      <w:r w:rsidR="00851EDC">
        <w:rPr>
          <w:lang w:val="en-US"/>
        </w:rPr>
        <w:t xml:space="preserve"> </w:t>
      </w:r>
      <w:r w:rsidR="00851EDC" w:rsidRPr="00851EDC">
        <w:rPr>
          <w:lang w:val="en-US"/>
        </w:rPr>
        <w:t xml:space="preserve">evidence presented </w:t>
      </w:r>
      <w:r w:rsidR="0003030B">
        <w:rPr>
          <w:lang w:val="en-US"/>
        </w:rPr>
        <w:t>in</w:t>
      </w:r>
      <w:r w:rsidR="0003030B" w:rsidRPr="00851EDC">
        <w:rPr>
          <w:lang w:val="en-US"/>
        </w:rPr>
        <w:t xml:space="preserve"> </w:t>
      </w:r>
      <w:r w:rsidR="00851EDC" w:rsidRPr="00851EDC">
        <w:rPr>
          <w:lang w:val="en-US"/>
        </w:rPr>
        <w:t xml:space="preserve">the submission, the comparison of </w:t>
      </w:r>
      <w:r w:rsidR="00851EDC">
        <w:rPr>
          <w:lang w:val="en-US"/>
        </w:rPr>
        <w:t xml:space="preserve">sitagliptin </w:t>
      </w:r>
      <w:r w:rsidR="00851EDC" w:rsidRPr="00851EDC">
        <w:rPr>
          <w:lang w:val="en-US"/>
        </w:rPr>
        <w:t xml:space="preserve">and </w:t>
      </w:r>
      <w:r w:rsidR="00851EDC">
        <w:rPr>
          <w:lang w:val="en-US"/>
        </w:rPr>
        <w:t>dapagliflozin</w:t>
      </w:r>
      <w:r w:rsidR="00851EDC" w:rsidRPr="00851EDC">
        <w:rPr>
          <w:lang w:val="en-US"/>
        </w:rPr>
        <w:t xml:space="preserve"> resulted in:</w:t>
      </w:r>
    </w:p>
    <w:p w:rsidR="004D502B" w:rsidRDefault="0003030B" w:rsidP="00FB718A">
      <w:pPr>
        <w:pStyle w:val="ListParagraph"/>
        <w:widowControl/>
        <w:numPr>
          <w:ilvl w:val="0"/>
          <w:numId w:val="4"/>
        </w:numPr>
        <w:autoSpaceDE w:val="0"/>
        <w:autoSpaceDN w:val="0"/>
        <w:adjustRightInd w:val="0"/>
        <w:ind w:left="993" w:hanging="284"/>
        <w:rPr>
          <w:lang w:val="en-US"/>
        </w:rPr>
      </w:pPr>
      <w:r>
        <w:rPr>
          <w:lang w:val="en-US"/>
        </w:rPr>
        <w:t xml:space="preserve">No clinically important difference between sitagliptin and dapagliflozin in terms of </w:t>
      </w:r>
      <w:r w:rsidR="00851EDC" w:rsidRPr="00523C28">
        <w:rPr>
          <w:lang w:val="en-US"/>
        </w:rPr>
        <w:t xml:space="preserve">reduction in </w:t>
      </w:r>
      <w:r w:rsidR="00851EDC">
        <w:rPr>
          <w:lang w:val="en-US"/>
        </w:rPr>
        <w:t>HbA1c</w:t>
      </w:r>
      <w:r w:rsidR="00851EDC" w:rsidRPr="00523C28">
        <w:rPr>
          <w:lang w:val="en-US"/>
        </w:rPr>
        <w:t xml:space="preserve"> </w:t>
      </w:r>
      <w:r w:rsidR="002B76C5">
        <w:rPr>
          <w:lang w:val="en-US"/>
        </w:rPr>
        <w:t xml:space="preserve">during </w:t>
      </w:r>
      <w:r w:rsidR="00851EDC" w:rsidRPr="00523C28">
        <w:rPr>
          <w:lang w:val="en-US"/>
        </w:rPr>
        <w:t xml:space="preserve">a </w:t>
      </w:r>
      <w:r w:rsidR="00851EDC">
        <w:rPr>
          <w:lang w:val="en-US"/>
        </w:rPr>
        <w:t>maximum</w:t>
      </w:r>
      <w:r w:rsidR="00851EDC" w:rsidRPr="00523C28">
        <w:rPr>
          <w:lang w:val="en-US"/>
        </w:rPr>
        <w:t xml:space="preserve"> duration of exposure of </w:t>
      </w:r>
      <w:r w:rsidR="00851EDC">
        <w:rPr>
          <w:lang w:val="en-US"/>
        </w:rPr>
        <w:t>24 weeks.</w:t>
      </w:r>
      <w:r w:rsidR="00851EDC" w:rsidRPr="00523C28">
        <w:rPr>
          <w:lang w:val="en-US"/>
        </w:rPr>
        <w:t xml:space="preserve">  </w:t>
      </w:r>
      <w:r w:rsidR="005C75CF">
        <w:rPr>
          <w:lang w:val="en-US"/>
        </w:rPr>
        <w:t>A</w:t>
      </w:r>
      <w:r w:rsidR="00851EDC" w:rsidRPr="00523C28">
        <w:rPr>
          <w:lang w:val="en-US"/>
        </w:rPr>
        <w:t xml:space="preserve"> reduction of </w:t>
      </w:r>
      <w:r w:rsidR="00851EDC">
        <w:rPr>
          <w:lang w:val="en-US"/>
        </w:rPr>
        <w:t xml:space="preserve">0.3%-0.4% in HbA1c is the MCID. </w:t>
      </w:r>
    </w:p>
    <w:p w:rsidR="004D502B" w:rsidRPr="004D502B" w:rsidRDefault="004D502B" w:rsidP="00FB718A">
      <w:pPr>
        <w:pStyle w:val="ListParagraph"/>
        <w:widowControl/>
        <w:numPr>
          <w:ilvl w:val="0"/>
          <w:numId w:val="4"/>
        </w:numPr>
        <w:autoSpaceDE w:val="0"/>
        <w:autoSpaceDN w:val="0"/>
        <w:adjustRightInd w:val="0"/>
        <w:ind w:left="993" w:hanging="284"/>
        <w:rPr>
          <w:lang w:val="en-US"/>
        </w:rPr>
      </w:pPr>
      <w:r w:rsidRPr="004D502B">
        <w:rPr>
          <w:color w:val="000000"/>
          <w:szCs w:val="22"/>
        </w:rPr>
        <w:t xml:space="preserve">There were no statistically significant differences in the proportion of patients experiencing at least one adverse event, or </w:t>
      </w:r>
      <w:r>
        <w:rPr>
          <w:color w:val="000000"/>
          <w:szCs w:val="22"/>
        </w:rPr>
        <w:t>any hypoglycaemic event</w:t>
      </w:r>
      <w:r w:rsidR="005C75CF">
        <w:rPr>
          <w:color w:val="000000"/>
          <w:szCs w:val="22"/>
        </w:rPr>
        <w:t xml:space="preserve"> </w:t>
      </w:r>
      <w:r>
        <w:rPr>
          <w:color w:val="000000"/>
          <w:szCs w:val="22"/>
        </w:rPr>
        <w:t xml:space="preserve">between those treated with sitagliptin + </w:t>
      </w:r>
      <w:r w:rsidR="00BB42D2">
        <w:rPr>
          <w:color w:val="000000"/>
          <w:szCs w:val="22"/>
        </w:rPr>
        <w:t xml:space="preserve">MET </w:t>
      </w:r>
      <w:r>
        <w:rPr>
          <w:color w:val="000000"/>
          <w:szCs w:val="22"/>
        </w:rPr>
        <w:t xml:space="preserve">+ </w:t>
      </w:r>
      <w:r w:rsidR="00BB42D2">
        <w:rPr>
          <w:color w:val="000000"/>
          <w:szCs w:val="22"/>
        </w:rPr>
        <w:t xml:space="preserve">SU </w:t>
      </w:r>
      <w:r>
        <w:rPr>
          <w:color w:val="000000"/>
          <w:szCs w:val="22"/>
        </w:rPr>
        <w:t xml:space="preserve">and those treated with </w:t>
      </w:r>
      <w:r w:rsidRPr="004D502B">
        <w:rPr>
          <w:color w:val="000000"/>
          <w:szCs w:val="22"/>
        </w:rPr>
        <w:t xml:space="preserve">dapagliflozin </w:t>
      </w:r>
      <w:r w:rsidRPr="004D502B">
        <w:rPr>
          <w:lang w:val="en-US"/>
        </w:rPr>
        <w:t>+</w:t>
      </w:r>
      <w:r>
        <w:rPr>
          <w:lang w:val="en-US"/>
        </w:rPr>
        <w:t xml:space="preserve"> </w:t>
      </w:r>
      <w:r w:rsidR="00BB42D2">
        <w:rPr>
          <w:lang w:val="en-US"/>
        </w:rPr>
        <w:t xml:space="preserve">MET </w:t>
      </w:r>
      <w:r>
        <w:rPr>
          <w:lang w:val="en-US"/>
        </w:rPr>
        <w:t xml:space="preserve">+ </w:t>
      </w:r>
      <w:r w:rsidR="00BB42D2">
        <w:rPr>
          <w:lang w:val="en-US"/>
        </w:rPr>
        <w:t>SU</w:t>
      </w:r>
      <w:r>
        <w:rPr>
          <w:lang w:val="en-US"/>
        </w:rPr>
        <w:t>.</w:t>
      </w:r>
    </w:p>
    <w:p w:rsidR="00FC1884" w:rsidRDefault="00FC1884" w:rsidP="00FB718A">
      <w:pPr>
        <w:pStyle w:val="ListParagraph"/>
        <w:widowControl/>
        <w:rPr>
          <w:szCs w:val="22"/>
        </w:rPr>
      </w:pPr>
    </w:p>
    <w:p w:rsidR="00D637A0" w:rsidRPr="00D17B90" w:rsidRDefault="00C82A51" w:rsidP="00FB718A">
      <w:pPr>
        <w:pStyle w:val="ListParagraph"/>
        <w:widowControl/>
        <w:numPr>
          <w:ilvl w:val="1"/>
          <w:numId w:val="5"/>
        </w:numPr>
        <w:rPr>
          <w:szCs w:val="22"/>
        </w:rPr>
      </w:pPr>
      <w:r w:rsidRPr="00D17B90">
        <w:rPr>
          <w:szCs w:val="22"/>
        </w:rPr>
        <w:t xml:space="preserve">Results of the recently reported </w:t>
      </w:r>
      <w:r w:rsidRPr="00D17B90">
        <w:t xml:space="preserve">Saxagliptin Assessment of Vascular Outcomes Recorded in Patients with Diabetes Mellitus study (SAVOR; N=16,492), suggested a 27% increase in the rate of hospitalisations for heart failure in patients treated with saxagliptin compared to placebo. However, a subsequent FDA review of these data (14 April 2015) found the cardiovascular risk of saxagliptin was acceptable. </w:t>
      </w:r>
      <w:r w:rsidR="00D637A0" w:rsidRPr="00D17B90">
        <w:t>Results of the Trial Evaluating Cardiovascular Outcomes with Sitagliptin study (TECOS;</w:t>
      </w:r>
      <w:r w:rsidR="00D637A0" w:rsidRPr="00C82A51">
        <w:rPr>
          <w:i/>
        </w:rPr>
        <w:t xml:space="preserve"> </w:t>
      </w:r>
      <w:r w:rsidR="00D637A0" w:rsidRPr="00D17B90">
        <w:t>NCT00790205) released 28 April 2015 (http://www.merck.com/mrl /clinical_trials/outcomes_study.html) showed no increase in hospitalisations for heart failure associated with use of sitagliptin.</w:t>
      </w:r>
      <w:r w:rsidRPr="00D17B90">
        <w:t xml:space="preserve"> There are no current TGA safety alerts for sitagliptin.</w:t>
      </w:r>
    </w:p>
    <w:p w:rsidR="00D05847" w:rsidRPr="00D17B90" w:rsidRDefault="00D05847" w:rsidP="00FB718A">
      <w:pPr>
        <w:pStyle w:val="ListParagraph"/>
        <w:widowControl/>
        <w:rPr>
          <w:szCs w:val="22"/>
        </w:rPr>
      </w:pPr>
    </w:p>
    <w:p w:rsidR="006E1444" w:rsidRPr="00434431" w:rsidRDefault="006E1444" w:rsidP="006E1444">
      <w:pPr>
        <w:pStyle w:val="ListParagraph"/>
        <w:widowControl/>
        <w:numPr>
          <w:ilvl w:val="1"/>
          <w:numId w:val="5"/>
        </w:numPr>
        <w:rPr>
          <w:szCs w:val="22"/>
        </w:rPr>
      </w:pPr>
      <w:r w:rsidRPr="00F156D1">
        <w:rPr>
          <w:szCs w:val="22"/>
        </w:rPr>
        <w:t xml:space="preserve">On 15 May 2015, the FDA issued a </w:t>
      </w:r>
      <w:r w:rsidRPr="00060CAC">
        <w:rPr>
          <w:szCs w:val="22"/>
        </w:rPr>
        <w:t xml:space="preserve">warning </w:t>
      </w:r>
      <w:r w:rsidRPr="00F156D1">
        <w:rPr>
          <w:szCs w:val="22"/>
        </w:rPr>
        <w:t>that use of SGLT2 inhibitors (canagliflozin, dapagliflozin, and empagliflozin) may lead to ketoacidosis, a serious condition where the body produces high levels of blood acids called ketones, whi</w:t>
      </w:r>
      <w:r>
        <w:rPr>
          <w:szCs w:val="22"/>
        </w:rPr>
        <w:t xml:space="preserve">ch may require hospitalization (click on the following link: </w:t>
      </w:r>
      <w:r w:rsidRPr="005F42C6">
        <w:rPr>
          <w:szCs w:val="22"/>
        </w:rPr>
        <w:t>FDA warning</w:t>
      </w:r>
      <w:r>
        <w:rPr>
          <w:szCs w:val="22"/>
        </w:rPr>
        <w:t>)</w:t>
      </w:r>
      <w:r w:rsidRPr="00F156D1">
        <w:rPr>
          <w:szCs w:val="22"/>
        </w:rPr>
        <w:t>.</w:t>
      </w:r>
      <w:r>
        <w:rPr>
          <w:szCs w:val="22"/>
        </w:rPr>
        <w:t xml:space="preserve"> </w:t>
      </w:r>
      <w:r w:rsidRPr="00552352">
        <w:rPr>
          <w:szCs w:val="22"/>
        </w:rPr>
        <w:t xml:space="preserve">The European Medicines Agency’s Pharmacovigilance Risk Assessment Committee has recently commenced a </w:t>
      </w:r>
      <w:r w:rsidRPr="00060CAC">
        <w:rPr>
          <w:szCs w:val="22"/>
        </w:rPr>
        <w:t>review of SGLT2 inhibitors</w:t>
      </w:r>
      <w:r w:rsidRPr="00552352">
        <w:rPr>
          <w:szCs w:val="22"/>
        </w:rPr>
        <w:t xml:space="preserve"> </w:t>
      </w:r>
      <w:r w:rsidRPr="00552352">
        <w:rPr>
          <w:color w:val="000000"/>
          <w:szCs w:val="22"/>
          <w:shd w:val="clear" w:color="auto" w:fill="FFFFFF"/>
        </w:rPr>
        <w:t>to evaluate the risk of diabetic ketoacidosis</w:t>
      </w:r>
      <w:r>
        <w:rPr>
          <w:color w:val="000000"/>
          <w:szCs w:val="22"/>
          <w:shd w:val="clear" w:color="auto" w:fill="FFFFFF"/>
        </w:rPr>
        <w:t xml:space="preserve"> (click on the following link: </w:t>
      </w:r>
      <w:r w:rsidRPr="005F42C6">
        <w:rPr>
          <w:szCs w:val="22"/>
        </w:rPr>
        <w:t>EMA review</w:t>
      </w:r>
      <w:r>
        <w:rPr>
          <w:color w:val="000000"/>
          <w:szCs w:val="22"/>
          <w:shd w:val="clear" w:color="auto" w:fill="FFFFFF"/>
        </w:rPr>
        <w:t>)</w:t>
      </w:r>
      <w:r w:rsidRPr="00552352">
        <w:rPr>
          <w:color w:val="000000"/>
          <w:szCs w:val="22"/>
          <w:shd w:val="clear" w:color="auto" w:fill="FFFFFF"/>
        </w:rPr>
        <w:t xml:space="preserve">. </w:t>
      </w:r>
    </w:p>
    <w:p w:rsidR="007565B6" w:rsidRPr="00851EDC" w:rsidRDefault="007565B6" w:rsidP="00FB718A">
      <w:pPr>
        <w:pStyle w:val="ListParagraph"/>
        <w:widowControl/>
        <w:autoSpaceDE w:val="0"/>
        <w:autoSpaceDN w:val="0"/>
        <w:adjustRightInd w:val="0"/>
        <w:ind w:left="709"/>
        <w:rPr>
          <w:lang w:val="en-US"/>
        </w:rPr>
      </w:pPr>
    </w:p>
    <w:p w:rsidR="00B60939" w:rsidRPr="002C2775" w:rsidRDefault="00B60939" w:rsidP="00FB718A">
      <w:pPr>
        <w:pStyle w:val="Heading2"/>
        <w:widowControl/>
        <w:rPr>
          <w:i/>
        </w:rPr>
      </w:pPr>
      <w:bookmarkStart w:id="11" w:name="_Toc419206929"/>
      <w:r w:rsidRPr="002C2775">
        <w:rPr>
          <w:i/>
        </w:rPr>
        <w:t>Clinical claim</w:t>
      </w:r>
      <w:bookmarkEnd w:id="11"/>
    </w:p>
    <w:p w:rsidR="00B60939" w:rsidRPr="00882085" w:rsidRDefault="00B60939" w:rsidP="00FB718A">
      <w:pPr>
        <w:widowControl/>
        <w:ind w:left="720" w:hanging="720"/>
        <w:rPr>
          <w:szCs w:val="22"/>
        </w:rPr>
      </w:pPr>
    </w:p>
    <w:p w:rsidR="004D502B" w:rsidRPr="004D502B" w:rsidRDefault="004D502B" w:rsidP="00FB718A">
      <w:pPr>
        <w:pStyle w:val="ListParagraph"/>
        <w:widowControl/>
        <w:numPr>
          <w:ilvl w:val="1"/>
          <w:numId w:val="5"/>
        </w:numPr>
        <w:rPr>
          <w:i/>
        </w:rPr>
      </w:pPr>
      <w:r w:rsidRPr="00D13A3E">
        <w:t xml:space="preserve">The submission </w:t>
      </w:r>
      <w:r w:rsidR="0003030B" w:rsidRPr="00D13A3E">
        <w:t>describe</w:t>
      </w:r>
      <w:r w:rsidR="0003030B">
        <w:t>d</w:t>
      </w:r>
      <w:r w:rsidR="0003030B" w:rsidRPr="00D13A3E">
        <w:t xml:space="preserve"> </w:t>
      </w:r>
      <w:r>
        <w:t xml:space="preserve">sitagliptin </w:t>
      </w:r>
      <w:r w:rsidRPr="00D13A3E">
        <w:t xml:space="preserve">as non-inferior in terms of comparative effectiveness and </w:t>
      </w:r>
      <w:r>
        <w:t xml:space="preserve">similar </w:t>
      </w:r>
      <w:r w:rsidRPr="008A5874">
        <w:t xml:space="preserve">in terms of comparative safety over </w:t>
      </w:r>
      <w:r>
        <w:t xml:space="preserve">dapagliflozin. </w:t>
      </w:r>
      <w:r w:rsidRPr="00D17B90">
        <w:t xml:space="preserve">This claim </w:t>
      </w:r>
      <w:r w:rsidR="0003030B" w:rsidRPr="00D17B90">
        <w:t xml:space="preserve">was </w:t>
      </w:r>
      <w:r w:rsidRPr="00D17B90">
        <w:t>adequately supported.</w:t>
      </w:r>
    </w:p>
    <w:p w:rsidR="004D502B" w:rsidRDefault="004D502B" w:rsidP="00FB718A">
      <w:pPr>
        <w:widowControl/>
        <w:numPr>
          <w:ilvl w:val="0"/>
          <w:numId w:val="2"/>
        </w:numPr>
      </w:pPr>
      <w:r>
        <w:t>Sitagliptin and dapagliflozin produce</w:t>
      </w:r>
      <w:r w:rsidR="0003030B">
        <w:t>d</w:t>
      </w:r>
      <w:r>
        <w:t xml:space="preserve"> comparable reductions in HbA1c when used in conjunction with </w:t>
      </w:r>
      <w:r w:rsidR="007B2DD6">
        <w:t xml:space="preserve">MET </w:t>
      </w:r>
      <w:r>
        <w:t xml:space="preserve">and </w:t>
      </w:r>
      <w:r w:rsidR="007B2DD6">
        <w:t xml:space="preserve">a SU </w:t>
      </w:r>
      <w:r>
        <w:t xml:space="preserve">in </w:t>
      </w:r>
      <w:r w:rsidR="007C7390">
        <w:t>T2DM</w:t>
      </w:r>
      <w:r>
        <w:t>;</w:t>
      </w:r>
    </w:p>
    <w:p w:rsidR="00A04ADD" w:rsidRPr="004D502B" w:rsidRDefault="004D502B" w:rsidP="00FB718A">
      <w:pPr>
        <w:widowControl/>
        <w:numPr>
          <w:ilvl w:val="0"/>
          <w:numId w:val="2"/>
        </w:numPr>
      </w:pPr>
      <w:r>
        <w:t>Rates of adverse events and ser</w:t>
      </w:r>
      <w:r w:rsidR="00A04ADD">
        <w:t xml:space="preserve">ious adverse events </w:t>
      </w:r>
      <w:r w:rsidR="0003030B">
        <w:t xml:space="preserve">were </w:t>
      </w:r>
      <w:r w:rsidR="00A04ADD">
        <w:t xml:space="preserve">similar; </w:t>
      </w:r>
      <w:r w:rsidR="007A6DE4">
        <w:t xml:space="preserve">dapagliflozin </w:t>
      </w:r>
      <w:r w:rsidR="0003030B">
        <w:t xml:space="preserve">was </w:t>
      </w:r>
      <w:r w:rsidR="00A04ADD">
        <w:t xml:space="preserve">associated with </w:t>
      </w:r>
      <w:r w:rsidR="007A6DE4">
        <w:t xml:space="preserve">more </w:t>
      </w:r>
      <w:r w:rsidR="00A04ADD">
        <w:t>genital infections requiring management and treatment.</w:t>
      </w:r>
    </w:p>
    <w:p w:rsidR="00A04ADD" w:rsidRDefault="00A04ADD" w:rsidP="00FB718A">
      <w:pPr>
        <w:widowControl/>
      </w:pPr>
    </w:p>
    <w:p w:rsidR="007C6C4E" w:rsidRDefault="007C6C4E" w:rsidP="00FB718A">
      <w:pPr>
        <w:pStyle w:val="ListParagraph"/>
        <w:widowControl/>
        <w:numPr>
          <w:ilvl w:val="1"/>
          <w:numId w:val="5"/>
        </w:numPr>
      </w:pPr>
      <w:r w:rsidRPr="00D13A3E">
        <w:t>The</w:t>
      </w:r>
      <w:r>
        <w:t xml:space="preserve"> PBAC considered that the claim of non-inferior </w:t>
      </w:r>
      <w:r w:rsidR="00B17C37" w:rsidRPr="00D13A3E">
        <w:t>comparative effectiveness</w:t>
      </w:r>
      <w:r w:rsidR="00B17C37">
        <w:t xml:space="preserve"> to dapagliflozin was reasonable</w:t>
      </w:r>
      <w:r>
        <w:t>.</w:t>
      </w:r>
    </w:p>
    <w:p w:rsidR="00A76422" w:rsidRDefault="00A76422" w:rsidP="00FB718A">
      <w:pPr>
        <w:pStyle w:val="ListParagraph"/>
        <w:widowControl/>
      </w:pPr>
    </w:p>
    <w:p w:rsidR="00A76422" w:rsidRDefault="00873E73" w:rsidP="00FB718A">
      <w:pPr>
        <w:pStyle w:val="ListParagraph"/>
        <w:widowControl/>
        <w:numPr>
          <w:ilvl w:val="1"/>
          <w:numId w:val="5"/>
        </w:numPr>
      </w:pPr>
      <w:r>
        <w:t xml:space="preserve">The PBAC noted that </w:t>
      </w:r>
      <w:r w:rsidR="00E80D5E" w:rsidRPr="00E767A5">
        <w:rPr>
          <w:szCs w:val="22"/>
        </w:rPr>
        <w:t>s</w:t>
      </w:r>
      <w:r w:rsidR="00E80D5E">
        <w:rPr>
          <w:szCs w:val="22"/>
        </w:rPr>
        <w:t>itagliptin</w:t>
      </w:r>
      <w:r w:rsidR="00E80D5E" w:rsidRPr="00E767A5">
        <w:rPr>
          <w:szCs w:val="22"/>
        </w:rPr>
        <w:t xml:space="preserve"> has a different </w:t>
      </w:r>
      <w:r>
        <w:rPr>
          <w:szCs w:val="22"/>
        </w:rPr>
        <w:t xml:space="preserve">safety profile to dapagliflozin but considered </w:t>
      </w:r>
      <w:r w:rsidR="00A76422">
        <w:t xml:space="preserve">the claim of similar </w:t>
      </w:r>
      <w:r w:rsidR="00A76422" w:rsidRPr="008A5874">
        <w:t>comparative safety</w:t>
      </w:r>
      <w:r w:rsidR="00A76422">
        <w:t xml:space="preserve"> to dapagliflozin was reasonable.</w:t>
      </w:r>
    </w:p>
    <w:p w:rsidR="00A76422" w:rsidRPr="004D502B" w:rsidRDefault="00A76422" w:rsidP="00FB718A">
      <w:pPr>
        <w:pStyle w:val="ListParagraph"/>
        <w:widowControl/>
      </w:pPr>
    </w:p>
    <w:p w:rsidR="007565B6" w:rsidRDefault="007565B6" w:rsidP="00FB718A">
      <w:pPr>
        <w:pStyle w:val="ListParagraph"/>
        <w:widowControl/>
        <w:ind w:left="709"/>
        <w:rPr>
          <w:i/>
          <w:szCs w:val="22"/>
        </w:rPr>
      </w:pPr>
      <w:r w:rsidRPr="00A15147">
        <w:rPr>
          <w:i/>
          <w:szCs w:val="22"/>
        </w:rPr>
        <w:t>For more detail on PBAC’s view, see section 7 “PBAC outcome”</w:t>
      </w:r>
    </w:p>
    <w:p w:rsidR="007565B6" w:rsidRDefault="007565B6" w:rsidP="00FB718A">
      <w:pPr>
        <w:widowControl/>
      </w:pPr>
    </w:p>
    <w:p w:rsidR="00B60939" w:rsidRPr="002C2775" w:rsidRDefault="00B60939" w:rsidP="00FB718A">
      <w:pPr>
        <w:pStyle w:val="Heading2"/>
        <w:keepNext/>
        <w:widowControl/>
        <w:rPr>
          <w:i/>
        </w:rPr>
      </w:pPr>
      <w:bookmarkStart w:id="12" w:name="_Toc419206930"/>
      <w:r w:rsidRPr="002C2775">
        <w:rPr>
          <w:i/>
        </w:rPr>
        <w:t>Economic analysis</w:t>
      </w:r>
      <w:bookmarkEnd w:id="12"/>
    </w:p>
    <w:p w:rsidR="00B60939" w:rsidRPr="00882085" w:rsidRDefault="00B60939" w:rsidP="00FB718A">
      <w:pPr>
        <w:keepNext/>
        <w:widowControl/>
        <w:ind w:left="720" w:hanging="720"/>
        <w:rPr>
          <w:szCs w:val="22"/>
        </w:rPr>
      </w:pPr>
    </w:p>
    <w:p w:rsidR="00A86E8B" w:rsidRPr="000079F1" w:rsidRDefault="00A86E8B" w:rsidP="00FB718A">
      <w:pPr>
        <w:pStyle w:val="ListParagraph"/>
        <w:widowControl/>
        <w:numPr>
          <w:ilvl w:val="1"/>
          <w:numId w:val="5"/>
        </w:numPr>
        <w:rPr>
          <w:szCs w:val="22"/>
        </w:rPr>
      </w:pPr>
      <w:r w:rsidRPr="00DE14BC">
        <w:t>Cost-minimisation analysis</w:t>
      </w:r>
      <w:r w:rsidR="00833B05" w:rsidRPr="00DE14BC">
        <w:t xml:space="preserve">.  </w:t>
      </w:r>
      <w:r w:rsidRPr="001222FC">
        <w:t xml:space="preserve">The equi-effective doses are </w:t>
      </w:r>
      <w:r w:rsidR="00A04ADD">
        <w:t>s</w:t>
      </w:r>
      <w:r w:rsidR="00DE14BC">
        <w:t xml:space="preserve">itagliptin 100mg once daily </w:t>
      </w:r>
      <w:r w:rsidRPr="001222FC">
        <w:t xml:space="preserve">and </w:t>
      </w:r>
      <w:r w:rsidR="00DE14BC">
        <w:t xml:space="preserve">dapagliflozin 10mg daily. </w:t>
      </w:r>
      <w:r w:rsidR="00DE14BC" w:rsidRPr="004D502B">
        <w:t>T</w:t>
      </w:r>
      <w:r w:rsidRPr="004D502B">
        <w:t>he</w:t>
      </w:r>
      <w:r w:rsidR="00A04ADD">
        <w:t>se</w:t>
      </w:r>
      <w:r w:rsidRPr="004D502B">
        <w:t xml:space="preserve"> estimates </w:t>
      </w:r>
      <w:r w:rsidR="0003030B">
        <w:t>we</w:t>
      </w:r>
      <w:r w:rsidR="0003030B" w:rsidRPr="004D502B">
        <w:t xml:space="preserve">re </w:t>
      </w:r>
      <w:r w:rsidR="00DE14BC" w:rsidRPr="004D502B">
        <w:t xml:space="preserve">trial based and agreed by the PBAC when </w:t>
      </w:r>
      <w:r w:rsidR="0003030B">
        <w:t xml:space="preserve">dapagliflozin was </w:t>
      </w:r>
      <w:r w:rsidR="007A6DE4">
        <w:t xml:space="preserve">recommended </w:t>
      </w:r>
      <w:r w:rsidR="00A04ADD">
        <w:t xml:space="preserve">for </w:t>
      </w:r>
      <w:r w:rsidR="00DE14BC" w:rsidRPr="004D502B">
        <w:t xml:space="preserve">dual therapy in </w:t>
      </w:r>
      <w:r w:rsidR="007C7390">
        <w:t xml:space="preserve">T2DM </w:t>
      </w:r>
      <w:r w:rsidR="0003030B" w:rsidRPr="004316B4">
        <w:t xml:space="preserve">(dapagliflozin PSD, </w:t>
      </w:r>
      <w:r w:rsidR="004316B4" w:rsidRPr="004316B4">
        <w:t>July 2013</w:t>
      </w:r>
      <w:r w:rsidR="0003030B" w:rsidRPr="004316B4">
        <w:t>)</w:t>
      </w:r>
      <w:r w:rsidR="00DE14BC" w:rsidRPr="004316B4">
        <w:t>.</w:t>
      </w:r>
    </w:p>
    <w:p w:rsidR="000079F1" w:rsidRPr="004316B4" w:rsidRDefault="000079F1" w:rsidP="00FB718A">
      <w:pPr>
        <w:pStyle w:val="ListParagraph"/>
        <w:widowControl/>
        <w:rPr>
          <w:szCs w:val="22"/>
        </w:rPr>
      </w:pPr>
    </w:p>
    <w:p w:rsidR="00A86E8B" w:rsidRPr="00A86E8B" w:rsidRDefault="00A86E8B" w:rsidP="00FB718A">
      <w:pPr>
        <w:widowControl/>
      </w:pPr>
    </w:p>
    <w:p w:rsidR="00B826C8" w:rsidRDefault="00C25D9C" w:rsidP="00FB718A">
      <w:pPr>
        <w:widowControl/>
      </w:pPr>
      <w:r w:rsidRPr="00750186">
        <w:rPr>
          <w:b/>
        </w:rPr>
        <w:t>Drug cost/patient/</w:t>
      </w:r>
      <w:r w:rsidR="0070442C">
        <w:rPr>
          <w:b/>
        </w:rPr>
        <w:t>year</w:t>
      </w:r>
      <w:r w:rsidRPr="0076382A">
        <w:t xml:space="preserve"> </w:t>
      </w:r>
    </w:p>
    <w:p w:rsidR="00B826C8" w:rsidRDefault="00B826C8" w:rsidP="00FB718A">
      <w:pPr>
        <w:widowControl/>
      </w:pPr>
    </w:p>
    <w:p w:rsidR="00C25D9C" w:rsidRPr="00FF537F" w:rsidRDefault="0070442C" w:rsidP="00FB718A">
      <w:pPr>
        <w:pStyle w:val="ListParagraph"/>
        <w:widowControl/>
        <w:numPr>
          <w:ilvl w:val="1"/>
          <w:numId w:val="5"/>
        </w:numPr>
        <w:rPr>
          <w:i/>
          <w:szCs w:val="22"/>
        </w:rPr>
      </w:pPr>
      <w:r w:rsidRPr="00FF537F">
        <w:t xml:space="preserve">At the DPMQ </w:t>
      </w:r>
      <w:r w:rsidR="006B26F0" w:rsidRPr="00FF537F">
        <w:t>requested in the submission</w:t>
      </w:r>
      <w:r w:rsidR="00FF537F">
        <w:t xml:space="preserve"> (as per the then current listed DPMQ for sitagliptin)</w:t>
      </w:r>
      <w:r w:rsidR="006B26F0" w:rsidRPr="00FF537F">
        <w:t xml:space="preserve">, </w:t>
      </w:r>
      <w:r w:rsidRPr="00FF537F">
        <w:t>of $59.20 for a 28 tablet pack of 25</w:t>
      </w:r>
      <w:r w:rsidR="008D48D1" w:rsidRPr="00FF537F">
        <w:t xml:space="preserve"> </w:t>
      </w:r>
      <w:r w:rsidRPr="00FF537F">
        <w:t>mg, 50</w:t>
      </w:r>
      <w:r w:rsidR="008D48D1" w:rsidRPr="00FF537F">
        <w:t xml:space="preserve"> </w:t>
      </w:r>
      <w:r w:rsidRPr="00FF537F">
        <w:t>mg or 100</w:t>
      </w:r>
      <w:r w:rsidR="008D48D1" w:rsidRPr="00FF537F">
        <w:t> </w:t>
      </w:r>
      <w:r w:rsidRPr="00FF537F">
        <w:t>mg sitagliptin, the drug cost/patient/year was $771.97</w:t>
      </w:r>
      <w:r w:rsidR="006B26F0" w:rsidRPr="00FF537F">
        <w:t xml:space="preserve"> </w:t>
      </w:r>
      <w:r w:rsidRPr="00FF537F">
        <w:t>(assuming 13.04 packs per year). The drug cost/patient/year for the sitagliptin</w:t>
      </w:r>
      <w:r w:rsidR="007B2DD6" w:rsidRPr="00FF537F">
        <w:t>+MET</w:t>
      </w:r>
      <w:r w:rsidRPr="00FF537F">
        <w:t xml:space="preserve"> fixed dose combinations ranged from $796.09 to $818.52 (with requested DPMQs ranging from $61.05 to $62.77, depending on combination dose strengths, and assuming 13.04 packs per year). By comparison, the drug cost/patient/year for a 28 tablet pack of dapagliflozin 10 mg was $764.93 (at the DPMQ of $58.66, assuming 13.04 packs per year).</w:t>
      </w:r>
      <w:r w:rsidR="006B26F0" w:rsidRPr="00FF537F">
        <w:t xml:space="preserve"> </w:t>
      </w:r>
      <w:r w:rsidR="003F4232" w:rsidRPr="00FF537F">
        <w:t>The difference in price between sitagliptin and dapagliflozin ($0.46</w:t>
      </w:r>
      <w:r w:rsidR="00FF537F" w:rsidRPr="00FF537F">
        <w:t xml:space="preserve"> at ex</w:t>
      </w:r>
      <w:r w:rsidR="00FF537F" w:rsidRPr="00FF537F">
        <w:noBreakHyphen/>
      </w:r>
      <w:r w:rsidR="003F4232" w:rsidRPr="00FF537F">
        <w:t>manufacturer prices) is due to the cost associated with monitoring and treating higher rates of adverse events such as genital mycotic infections and urinary tract infections with dapagliflozin.</w:t>
      </w:r>
    </w:p>
    <w:p w:rsidR="00C25D9C" w:rsidRDefault="00C25D9C" w:rsidP="00FB718A">
      <w:pPr>
        <w:widowControl/>
      </w:pPr>
    </w:p>
    <w:p w:rsidR="00B60939" w:rsidRPr="002C2775" w:rsidRDefault="00B60939" w:rsidP="00FB718A">
      <w:pPr>
        <w:pStyle w:val="Heading2"/>
        <w:keepNext/>
        <w:widowControl/>
        <w:rPr>
          <w:i/>
        </w:rPr>
      </w:pPr>
      <w:bookmarkStart w:id="13" w:name="_Toc419206931"/>
      <w:r w:rsidRPr="002C2775">
        <w:rPr>
          <w:i/>
        </w:rPr>
        <w:t>Estimated PBS usage &amp; financial implications</w:t>
      </w:r>
      <w:bookmarkEnd w:id="13"/>
    </w:p>
    <w:p w:rsidR="00B60939" w:rsidRPr="00882085" w:rsidRDefault="00B60939" w:rsidP="00FB718A">
      <w:pPr>
        <w:keepNext/>
        <w:widowControl/>
        <w:ind w:left="720" w:hanging="720"/>
        <w:rPr>
          <w:b/>
          <w:i/>
          <w:szCs w:val="22"/>
        </w:rPr>
      </w:pPr>
    </w:p>
    <w:p w:rsidR="004D502B" w:rsidRPr="00D05847" w:rsidRDefault="004D502B" w:rsidP="00FB718A">
      <w:pPr>
        <w:pStyle w:val="ListParagraph"/>
        <w:widowControl/>
        <w:numPr>
          <w:ilvl w:val="1"/>
          <w:numId w:val="5"/>
        </w:numPr>
        <w:rPr>
          <w:szCs w:val="22"/>
        </w:rPr>
      </w:pPr>
      <w:r w:rsidRPr="004D502B">
        <w:t xml:space="preserve">This submission </w:t>
      </w:r>
      <w:r w:rsidR="00AD5D8E">
        <w:t xml:space="preserve">was not </w:t>
      </w:r>
      <w:r w:rsidR="00C25D9C" w:rsidRPr="00F553C0">
        <w:t>considered by DUSC</w:t>
      </w:r>
      <w:r w:rsidR="00C25D9C" w:rsidRPr="004D502B">
        <w:t xml:space="preserve">. </w:t>
      </w:r>
      <w:r w:rsidR="00A04ADD">
        <w:t>A</w:t>
      </w:r>
      <w:r w:rsidRPr="004D502B">
        <w:t xml:space="preserve"> market share approach </w:t>
      </w:r>
      <w:r w:rsidR="00770E38">
        <w:t xml:space="preserve">was </w:t>
      </w:r>
      <w:r w:rsidR="00A04ADD">
        <w:t xml:space="preserve">used. </w:t>
      </w:r>
      <w:r w:rsidRPr="004D502B">
        <w:t xml:space="preserve">Data from a 10% Medicare sample </w:t>
      </w:r>
      <w:r w:rsidR="00A04ADD">
        <w:t>provide</w:t>
      </w:r>
      <w:r w:rsidR="00770E38">
        <w:t>d</w:t>
      </w:r>
      <w:r w:rsidR="00A04ADD">
        <w:t xml:space="preserve"> t</w:t>
      </w:r>
      <w:r w:rsidRPr="004D502B">
        <w:t>he basis of market project</w:t>
      </w:r>
      <w:r w:rsidR="00A04ADD">
        <w:t xml:space="preserve">ions, </w:t>
      </w:r>
      <w:r w:rsidRPr="004D502B">
        <w:t xml:space="preserve">patterns of use of sitagliptin </w:t>
      </w:r>
      <w:r w:rsidR="00DB5829">
        <w:t>fixed dose combination</w:t>
      </w:r>
      <w:r w:rsidRPr="004D502B">
        <w:t xml:space="preserve"> products and likely substitution patterns.</w:t>
      </w:r>
      <w:r w:rsidR="00A04ADD" w:rsidRPr="00A04ADD">
        <w:t xml:space="preserve"> </w:t>
      </w:r>
      <w:r w:rsidR="00A04ADD" w:rsidRPr="00D625A0">
        <w:t xml:space="preserve">The estimates </w:t>
      </w:r>
      <w:r w:rsidR="00770E38">
        <w:t>we</w:t>
      </w:r>
      <w:r w:rsidR="00770E38" w:rsidRPr="00D625A0">
        <w:t xml:space="preserve">re </w:t>
      </w:r>
      <w:r w:rsidR="00A04ADD" w:rsidRPr="00D625A0">
        <w:t>based on assumptions about the relative costs of dapagliflozin and sitagliptin and uptake patterns of triple oral therapy in clinical practice.</w:t>
      </w:r>
      <w:r w:rsidR="00EC1E6D">
        <w:t xml:space="preserve">  Estimates of numbers of patients, numbers of units and net costs to PBS/RPBS/MBS are shown in Table </w:t>
      </w:r>
      <w:r w:rsidR="00846C4E">
        <w:t>5</w:t>
      </w:r>
      <w:r w:rsidR="00EC1E6D">
        <w:t>.</w:t>
      </w:r>
    </w:p>
    <w:p w:rsidR="00D05847" w:rsidRPr="00A04ADD" w:rsidRDefault="00D05847" w:rsidP="00FB718A">
      <w:pPr>
        <w:pStyle w:val="ListParagraph"/>
        <w:widowControl/>
        <w:rPr>
          <w:szCs w:val="22"/>
        </w:rPr>
      </w:pPr>
    </w:p>
    <w:p w:rsidR="00C25D9C" w:rsidRPr="00321691" w:rsidRDefault="00C25D9C" w:rsidP="00FB718A">
      <w:pPr>
        <w:keepNext/>
        <w:widowControl/>
        <w:ind w:firstLine="709"/>
        <w:rPr>
          <w:rStyle w:val="CommentReference"/>
          <w:szCs w:val="20"/>
        </w:rPr>
      </w:pPr>
      <w:r w:rsidRPr="00321691">
        <w:rPr>
          <w:rStyle w:val="CommentReference"/>
          <w:szCs w:val="20"/>
        </w:rPr>
        <w:t xml:space="preserve">Table </w:t>
      </w:r>
      <w:r w:rsidR="00846C4E">
        <w:rPr>
          <w:rStyle w:val="CommentReference"/>
          <w:szCs w:val="20"/>
        </w:rPr>
        <w:t>5</w:t>
      </w:r>
      <w:r w:rsidRPr="00321691">
        <w:rPr>
          <w:rStyle w:val="CommentReference"/>
          <w:szCs w:val="20"/>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Estimated use and financial implications "/>
        <w:tblDescription w:val="The redacted table above shows that at year 5, the estimated number of packs was between 10,000 - 50,000 and the net cost to the PBS/RPBS would be less than $10 million."/>
      </w:tblPr>
      <w:tblGrid>
        <w:gridCol w:w="3402"/>
        <w:gridCol w:w="992"/>
        <w:gridCol w:w="992"/>
        <w:gridCol w:w="993"/>
        <w:gridCol w:w="993"/>
        <w:gridCol w:w="975"/>
      </w:tblGrid>
      <w:tr w:rsidR="00623AE0" w:rsidRPr="00321691" w:rsidTr="00623AE0">
        <w:trPr>
          <w:tblHeader/>
        </w:trPr>
        <w:tc>
          <w:tcPr>
            <w:tcW w:w="2038" w:type="pct"/>
            <w:shd w:val="clear" w:color="auto" w:fill="auto"/>
            <w:vAlign w:val="center"/>
          </w:tcPr>
          <w:p w:rsidR="00C25D9C" w:rsidRPr="00321691" w:rsidRDefault="00C25D9C" w:rsidP="00FB718A">
            <w:pPr>
              <w:keepNext/>
              <w:widowControl/>
              <w:tabs>
                <w:tab w:val="left" w:pos="142"/>
              </w:tabs>
              <w:jc w:val="left"/>
              <w:rPr>
                <w:rFonts w:ascii="Arial Narrow" w:hAnsi="Arial Narrow"/>
                <w:b/>
                <w:sz w:val="20"/>
              </w:rPr>
            </w:pPr>
          </w:p>
        </w:tc>
        <w:tc>
          <w:tcPr>
            <w:tcW w:w="594" w:type="pct"/>
            <w:shd w:val="clear" w:color="auto" w:fill="auto"/>
            <w:vAlign w:val="center"/>
          </w:tcPr>
          <w:p w:rsidR="00C25D9C" w:rsidRPr="00321691" w:rsidRDefault="00C25D9C" w:rsidP="00FB718A">
            <w:pPr>
              <w:keepNext/>
              <w:widowControl/>
              <w:jc w:val="center"/>
              <w:rPr>
                <w:rFonts w:ascii="Arial Narrow" w:hAnsi="Arial Narrow"/>
                <w:b/>
                <w:sz w:val="20"/>
              </w:rPr>
            </w:pPr>
            <w:r w:rsidRPr="00321691">
              <w:rPr>
                <w:rFonts w:ascii="Arial Narrow" w:hAnsi="Arial Narrow"/>
                <w:b/>
                <w:sz w:val="20"/>
              </w:rPr>
              <w:t>Year 1</w:t>
            </w:r>
          </w:p>
        </w:tc>
        <w:tc>
          <w:tcPr>
            <w:tcW w:w="594" w:type="pct"/>
            <w:shd w:val="clear" w:color="auto" w:fill="auto"/>
            <w:vAlign w:val="center"/>
          </w:tcPr>
          <w:p w:rsidR="00C25D9C" w:rsidRPr="00321691" w:rsidRDefault="00C25D9C" w:rsidP="00FB718A">
            <w:pPr>
              <w:keepNext/>
              <w:widowControl/>
              <w:jc w:val="center"/>
              <w:rPr>
                <w:rFonts w:ascii="Arial Narrow" w:hAnsi="Arial Narrow"/>
                <w:b/>
                <w:sz w:val="20"/>
              </w:rPr>
            </w:pPr>
            <w:r w:rsidRPr="00321691">
              <w:rPr>
                <w:rFonts w:ascii="Arial Narrow" w:hAnsi="Arial Narrow"/>
                <w:b/>
                <w:sz w:val="20"/>
              </w:rPr>
              <w:t>Year 2</w:t>
            </w:r>
          </w:p>
        </w:tc>
        <w:tc>
          <w:tcPr>
            <w:tcW w:w="595" w:type="pct"/>
            <w:shd w:val="clear" w:color="auto" w:fill="auto"/>
            <w:vAlign w:val="center"/>
          </w:tcPr>
          <w:p w:rsidR="00C25D9C" w:rsidRPr="00321691" w:rsidRDefault="00C25D9C" w:rsidP="00FB718A">
            <w:pPr>
              <w:keepNext/>
              <w:widowControl/>
              <w:jc w:val="center"/>
              <w:rPr>
                <w:rFonts w:ascii="Arial Narrow" w:hAnsi="Arial Narrow"/>
                <w:b/>
                <w:sz w:val="20"/>
              </w:rPr>
            </w:pPr>
            <w:r w:rsidRPr="00321691">
              <w:rPr>
                <w:rFonts w:ascii="Arial Narrow" w:hAnsi="Arial Narrow"/>
                <w:b/>
                <w:sz w:val="20"/>
              </w:rPr>
              <w:t>Year 3</w:t>
            </w:r>
          </w:p>
        </w:tc>
        <w:tc>
          <w:tcPr>
            <w:tcW w:w="595" w:type="pct"/>
            <w:shd w:val="clear" w:color="auto" w:fill="auto"/>
            <w:vAlign w:val="center"/>
          </w:tcPr>
          <w:p w:rsidR="00C25D9C" w:rsidRPr="00321691" w:rsidRDefault="00C25D9C" w:rsidP="00FB718A">
            <w:pPr>
              <w:keepNext/>
              <w:widowControl/>
              <w:jc w:val="center"/>
              <w:rPr>
                <w:rFonts w:ascii="Arial Narrow" w:hAnsi="Arial Narrow"/>
                <w:b/>
                <w:sz w:val="20"/>
              </w:rPr>
            </w:pPr>
            <w:r w:rsidRPr="00321691">
              <w:rPr>
                <w:rFonts w:ascii="Arial Narrow" w:hAnsi="Arial Narrow"/>
                <w:b/>
                <w:sz w:val="20"/>
              </w:rPr>
              <w:t>Year 4</w:t>
            </w:r>
          </w:p>
        </w:tc>
        <w:tc>
          <w:tcPr>
            <w:tcW w:w="584" w:type="pct"/>
            <w:shd w:val="clear" w:color="auto" w:fill="auto"/>
            <w:vAlign w:val="center"/>
          </w:tcPr>
          <w:p w:rsidR="00C25D9C" w:rsidRPr="00321691" w:rsidRDefault="00C25D9C" w:rsidP="00FB718A">
            <w:pPr>
              <w:keepNext/>
              <w:widowControl/>
              <w:jc w:val="center"/>
              <w:rPr>
                <w:rFonts w:ascii="Arial Narrow" w:hAnsi="Arial Narrow"/>
                <w:b/>
                <w:sz w:val="20"/>
              </w:rPr>
            </w:pPr>
            <w:r w:rsidRPr="00321691">
              <w:rPr>
                <w:rFonts w:ascii="Arial Narrow" w:hAnsi="Arial Narrow"/>
                <w:b/>
                <w:sz w:val="20"/>
              </w:rPr>
              <w:t>Year 5</w:t>
            </w:r>
          </w:p>
        </w:tc>
      </w:tr>
      <w:tr w:rsidR="00C25D9C" w:rsidRPr="00321691" w:rsidTr="005D044D">
        <w:tc>
          <w:tcPr>
            <w:tcW w:w="5000" w:type="pct"/>
            <w:gridSpan w:val="6"/>
            <w:shd w:val="clear" w:color="auto" w:fill="auto"/>
            <w:vAlign w:val="center"/>
          </w:tcPr>
          <w:p w:rsidR="00C25D9C" w:rsidRPr="00321691" w:rsidRDefault="00C25D9C" w:rsidP="00FB718A">
            <w:pPr>
              <w:keepNext/>
              <w:widowControl/>
              <w:jc w:val="left"/>
              <w:rPr>
                <w:rFonts w:ascii="Arial Narrow" w:hAnsi="Arial Narrow"/>
                <w:b/>
                <w:bCs/>
                <w:color w:val="000000"/>
                <w:sz w:val="20"/>
              </w:rPr>
            </w:pPr>
            <w:r w:rsidRPr="00321691">
              <w:rPr>
                <w:rFonts w:ascii="Arial Narrow" w:hAnsi="Arial Narrow"/>
                <w:b/>
                <w:bCs/>
                <w:color w:val="000000"/>
                <w:sz w:val="20"/>
              </w:rPr>
              <w:t>Estimated extent of use</w:t>
            </w:r>
            <w:r w:rsidR="00D625A0" w:rsidRPr="00321691">
              <w:rPr>
                <w:rFonts w:ascii="Arial Narrow" w:hAnsi="Arial Narrow"/>
                <w:b/>
                <w:bCs/>
                <w:color w:val="000000"/>
                <w:sz w:val="20"/>
              </w:rPr>
              <w:t xml:space="preserve"> (numbers of patients)</w:t>
            </w:r>
          </w:p>
        </w:tc>
      </w:tr>
      <w:tr w:rsidR="00623AE0" w:rsidRPr="00321691" w:rsidTr="00623AE0">
        <w:tc>
          <w:tcPr>
            <w:tcW w:w="2038" w:type="pct"/>
            <w:shd w:val="clear" w:color="auto" w:fill="auto"/>
            <w:vAlign w:val="center"/>
          </w:tcPr>
          <w:p w:rsidR="00C25D9C" w:rsidRPr="00321691" w:rsidRDefault="00C25D9C" w:rsidP="00FB718A">
            <w:pPr>
              <w:keepNext/>
              <w:widowControl/>
              <w:tabs>
                <w:tab w:val="left" w:pos="142"/>
              </w:tabs>
              <w:jc w:val="left"/>
              <w:rPr>
                <w:rFonts w:ascii="Arial Narrow" w:hAnsi="Arial Narrow"/>
                <w:sz w:val="20"/>
              </w:rPr>
            </w:pPr>
            <w:r w:rsidRPr="00321691">
              <w:rPr>
                <w:rFonts w:ascii="Arial Narrow" w:hAnsi="Arial Narrow"/>
                <w:sz w:val="20"/>
              </w:rPr>
              <w:t>Number treated</w:t>
            </w:r>
            <w:r w:rsidR="00623AE0" w:rsidRPr="00321691">
              <w:rPr>
                <w:rFonts w:ascii="Arial Narrow" w:hAnsi="Arial Narrow"/>
                <w:sz w:val="20"/>
              </w:rPr>
              <w:t xml:space="preserve"> (current triple with SITA</w:t>
            </w:r>
            <w:r w:rsidR="008C4A1D" w:rsidRPr="00321691">
              <w:rPr>
                <w:rFonts w:ascii="Arial Narrow" w:hAnsi="Arial Narrow"/>
                <w:sz w:val="20"/>
              </w:rPr>
              <w:t>)</w:t>
            </w:r>
          </w:p>
        </w:tc>
        <w:tc>
          <w:tcPr>
            <w:tcW w:w="594" w:type="pct"/>
            <w:shd w:val="clear" w:color="auto" w:fill="auto"/>
            <w:vAlign w:val="center"/>
          </w:tcPr>
          <w:p w:rsidR="00C25D9C"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C25D9C"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C25D9C"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C25D9C"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4" w:type="pct"/>
            <w:shd w:val="clear" w:color="auto" w:fill="auto"/>
            <w:vAlign w:val="center"/>
          </w:tcPr>
          <w:p w:rsidR="00C25D9C"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623AE0" w:rsidRPr="00321691" w:rsidTr="00623AE0">
        <w:tc>
          <w:tcPr>
            <w:tcW w:w="2038" w:type="pct"/>
            <w:shd w:val="clear" w:color="auto" w:fill="auto"/>
            <w:vAlign w:val="center"/>
          </w:tcPr>
          <w:p w:rsidR="00623AE0" w:rsidRPr="00321691" w:rsidRDefault="00623AE0" w:rsidP="00FB718A">
            <w:pPr>
              <w:keepNext/>
              <w:widowControl/>
              <w:tabs>
                <w:tab w:val="left" w:pos="142"/>
              </w:tabs>
              <w:jc w:val="left"/>
              <w:rPr>
                <w:rFonts w:ascii="Arial Narrow" w:hAnsi="Arial Narrow"/>
                <w:sz w:val="20"/>
              </w:rPr>
            </w:pPr>
            <w:r w:rsidRPr="00321691">
              <w:rPr>
                <w:rFonts w:ascii="Arial Narrow" w:hAnsi="Arial Narrow"/>
                <w:sz w:val="20"/>
              </w:rPr>
              <w:t xml:space="preserve">Market share of new triple </w:t>
            </w:r>
            <w:r w:rsidR="008C4A1D" w:rsidRPr="00321691">
              <w:rPr>
                <w:rFonts w:ascii="Arial Narrow" w:hAnsi="Arial Narrow"/>
                <w:sz w:val="20"/>
              </w:rPr>
              <w:t>(add to MET+SU)</w:t>
            </w:r>
          </w:p>
        </w:tc>
        <w:tc>
          <w:tcPr>
            <w:tcW w:w="594" w:type="pct"/>
            <w:shd w:val="clear" w:color="auto" w:fill="auto"/>
            <w:vAlign w:val="center"/>
          </w:tcPr>
          <w:p w:rsidR="00623AE0"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623AE0" w:rsidRPr="00E658BD">
              <w:rPr>
                <w:rFonts w:ascii="Arial Narrow" w:hAnsi="Arial Narrow"/>
                <w:bCs/>
                <w:color w:val="000000"/>
                <w:sz w:val="20"/>
              </w:rPr>
              <w:t>%</w:t>
            </w:r>
          </w:p>
        </w:tc>
        <w:tc>
          <w:tcPr>
            <w:tcW w:w="594" w:type="pct"/>
            <w:shd w:val="clear" w:color="auto" w:fill="auto"/>
            <w:vAlign w:val="center"/>
          </w:tcPr>
          <w:p w:rsidR="00623AE0"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623AE0" w:rsidRPr="00E658BD">
              <w:rPr>
                <w:rFonts w:ascii="Arial Narrow" w:hAnsi="Arial Narrow"/>
                <w:bCs/>
                <w:color w:val="000000"/>
                <w:sz w:val="20"/>
              </w:rPr>
              <w:t>%</w:t>
            </w:r>
          </w:p>
        </w:tc>
        <w:tc>
          <w:tcPr>
            <w:tcW w:w="595" w:type="pct"/>
            <w:shd w:val="clear" w:color="auto" w:fill="auto"/>
            <w:vAlign w:val="center"/>
          </w:tcPr>
          <w:p w:rsidR="00623AE0"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623AE0" w:rsidRPr="00E658BD">
              <w:rPr>
                <w:rFonts w:ascii="Arial Narrow" w:hAnsi="Arial Narrow"/>
                <w:bCs/>
                <w:color w:val="000000"/>
                <w:sz w:val="20"/>
              </w:rPr>
              <w:t>%</w:t>
            </w:r>
          </w:p>
        </w:tc>
        <w:tc>
          <w:tcPr>
            <w:tcW w:w="595" w:type="pct"/>
            <w:shd w:val="clear" w:color="auto" w:fill="auto"/>
            <w:vAlign w:val="center"/>
          </w:tcPr>
          <w:p w:rsidR="00623AE0"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623AE0" w:rsidRPr="00E658BD">
              <w:rPr>
                <w:rFonts w:ascii="Arial Narrow" w:hAnsi="Arial Narrow"/>
                <w:bCs/>
                <w:color w:val="000000"/>
                <w:sz w:val="20"/>
              </w:rPr>
              <w:t>%</w:t>
            </w:r>
          </w:p>
        </w:tc>
        <w:tc>
          <w:tcPr>
            <w:tcW w:w="584" w:type="pct"/>
            <w:shd w:val="clear" w:color="auto" w:fill="auto"/>
            <w:vAlign w:val="center"/>
          </w:tcPr>
          <w:p w:rsidR="00623AE0"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623AE0" w:rsidRPr="00E658BD">
              <w:rPr>
                <w:rFonts w:ascii="Arial Narrow" w:hAnsi="Arial Narrow"/>
                <w:bCs/>
                <w:color w:val="000000"/>
                <w:sz w:val="20"/>
              </w:rPr>
              <w:t>%</w:t>
            </w:r>
          </w:p>
        </w:tc>
      </w:tr>
      <w:tr w:rsidR="008C4A1D" w:rsidRPr="00321691" w:rsidTr="00623AE0">
        <w:tc>
          <w:tcPr>
            <w:tcW w:w="2038" w:type="pct"/>
            <w:shd w:val="clear" w:color="auto" w:fill="auto"/>
            <w:vAlign w:val="center"/>
          </w:tcPr>
          <w:p w:rsidR="008C4A1D" w:rsidRPr="00321691" w:rsidRDefault="008C4A1D" w:rsidP="00FB718A">
            <w:pPr>
              <w:keepNext/>
              <w:widowControl/>
              <w:tabs>
                <w:tab w:val="left" w:pos="142"/>
              </w:tabs>
              <w:jc w:val="left"/>
              <w:rPr>
                <w:rFonts w:ascii="Arial Narrow" w:hAnsi="Arial Narrow"/>
                <w:sz w:val="20"/>
              </w:rPr>
            </w:pPr>
            <w:r w:rsidRPr="00321691">
              <w:rPr>
                <w:rFonts w:ascii="Arial Narrow" w:hAnsi="Arial Narrow"/>
                <w:sz w:val="20"/>
              </w:rPr>
              <w:t>New to triple therapy with SITA</w:t>
            </w:r>
          </w:p>
        </w:tc>
        <w:tc>
          <w:tcPr>
            <w:tcW w:w="594"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4"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8C4A1D" w:rsidRPr="00321691" w:rsidTr="00623AE0">
        <w:tc>
          <w:tcPr>
            <w:tcW w:w="2038" w:type="pct"/>
            <w:shd w:val="clear" w:color="auto" w:fill="auto"/>
            <w:vAlign w:val="center"/>
          </w:tcPr>
          <w:p w:rsidR="008C4A1D" w:rsidRPr="00321691" w:rsidRDefault="008C4A1D" w:rsidP="00FB718A">
            <w:pPr>
              <w:keepNext/>
              <w:widowControl/>
              <w:tabs>
                <w:tab w:val="left" w:pos="142"/>
              </w:tabs>
              <w:jc w:val="left"/>
              <w:rPr>
                <w:rFonts w:ascii="Arial Narrow" w:hAnsi="Arial Narrow"/>
                <w:sz w:val="20"/>
              </w:rPr>
            </w:pPr>
            <w:r w:rsidRPr="00321691">
              <w:rPr>
                <w:rFonts w:ascii="Arial Narrow" w:hAnsi="Arial Narrow"/>
                <w:sz w:val="20"/>
              </w:rPr>
              <w:t xml:space="preserve">Market share triple (add SU to MET+SITA)  </w:t>
            </w:r>
          </w:p>
        </w:tc>
        <w:tc>
          <w:tcPr>
            <w:tcW w:w="594" w:type="pct"/>
            <w:shd w:val="clear" w:color="auto" w:fill="auto"/>
            <w:vAlign w:val="center"/>
          </w:tcPr>
          <w:p w:rsidR="008C4A1D"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8C4A1D" w:rsidRPr="00E658BD">
              <w:rPr>
                <w:rFonts w:ascii="Arial Narrow" w:hAnsi="Arial Narrow"/>
                <w:bCs/>
                <w:color w:val="000000"/>
                <w:sz w:val="20"/>
              </w:rPr>
              <w:t>%</w:t>
            </w:r>
          </w:p>
        </w:tc>
        <w:tc>
          <w:tcPr>
            <w:tcW w:w="594" w:type="pct"/>
            <w:shd w:val="clear" w:color="auto" w:fill="auto"/>
            <w:vAlign w:val="center"/>
          </w:tcPr>
          <w:p w:rsidR="008C4A1D"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8C4A1D" w:rsidRPr="00E658BD">
              <w:rPr>
                <w:rFonts w:ascii="Arial Narrow" w:hAnsi="Arial Narrow"/>
                <w:bCs/>
                <w:color w:val="000000"/>
                <w:sz w:val="20"/>
              </w:rPr>
              <w:t>%</w:t>
            </w:r>
          </w:p>
        </w:tc>
        <w:tc>
          <w:tcPr>
            <w:tcW w:w="595" w:type="pct"/>
            <w:shd w:val="clear" w:color="auto" w:fill="auto"/>
            <w:vAlign w:val="center"/>
          </w:tcPr>
          <w:p w:rsidR="008C4A1D"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8C4A1D" w:rsidRPr="00E658BD">
              <w:rPr>
                <w:rFonts w:ascii="Arial Narrow" w:hAnsi="Arial Narrow"/>
                <w:bCs/>
                <w:color w:val="000000"/>
                <w:sz w:val="20"/>
              </w:rPr>
              <w:t>%</w:t>
            </w:r>
          </w:p>
        </w:tc>
        <w:tc>
          <w:tcPr>
            <w:tcW w:w="595" w:type="pct"/>
            <w:shd w:val="clear" w:color="auto" w:fill="auto"/>
            <w:vAlign w:val="center"/>
          </w:tcPr>
          <w:p w:rsidR="008C4A1D"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8C4A1D" w:rsidRPr="00E658BD">
              <w:rPr>
                <w:rFonts w:ascii="Arial Narrow" w:hAnsi="Arial Narrow"/>
                <w:bCs/>
                <w:color w:val="000000"/>
                <w:sz w:val="20"/>
              </w:rPr>
              <w:t>%</w:t>
            </w:r>
          </w:p>
        </w:tc>
        <w:tc>
          <w:tcPr>
            <w:tcW w:w="584" w:type="pct"/>
            <w:shd w:val="clear" w:color="auto" w:fill="auto"/>
            <w:vAlign w:val="center"/>
          </w:tcPr>
          <w:p w:rsidR="008C4A1D" w:rsidRPr="00E658BD" w:rsidRDefault="005F42C6" w:rsidP="00FB718A">
            <w:pPr>
              <w:keepNext/>
              <w:widowControl/>
              <w:jc w:val="center"/>
              <w:rPr>
                <w:rFonts w:ascii="Arial Narrow" w:hAnsi="Arial Narrow"/>
                <w:bCs/>
                <w:color w:val="000000"/>
                <w:sz w:val="20"/>
              </w:rPr>
            </w:pPr>
            <w:r>
              <w:rPr>
                <w:rFonts w:ascii="Arial Narrow" w:hAnsi="Arial Narrow"/>
                <w:bCs/>
                <w:noProof/>
                <w:color w:val="000000"/>
                <w:sz w:val="20"/>
                <w:highlight w:val="black"/>
              </w:rPr>
              <w:t>''''''''''</w:t>
            </w:r>
            <w:r w:rsidR="008C4A1D" w:rsidRPr="00E658BD">
              <w:rPr>
                <w:rFonts w:ascii="Arial Narrow" w:hAnsi="Arial Narrow"/>
                <w:bCs/>
                <w:color w:val="000000"/>
                <w:sz w:val="20"/>
              </w:rPr>
              <w:t>%</w:t>
            </w:r>
          </w:p>
        </w:tc>
      </w:tr>
      <w:tr w:rsidR="008C4A1D" w:rsidRPr="00321691" w:rsidTr="00623AE0">
        <w:tc>
          <w:tcPr>
            <w:tcW w:w="2038" w:type="pct"/>
            <w:shd w:val="clear" w:color="auto" w:fill="auto"/>
            <w:vAlign w:val="center"/>
          </w:tcPr>
          <w:p w:rsidR="008C4A1D" w:rsidRPr="00321691" w:rsidRDefault="008C4A1D" w:rsidP="00FB718A">
            <w:pPr>
              <w:keepNext/>
              <w:widowControl/>
              <w:tabs>
                <w:tab w:val="left" w:pos="142"/>
              </w:tabs>
              <w:jc w:val="left"/>
              <w:rPr>
                <w:rFonts w:ascii="Arial Narrow" w:hAnsi="Arial Narrow"/>
                <w:sz w:val="20"/>
              </w:rPr>
            </w:pPr>
            <w:r w:rsidRPr="00321691">
              <w:rPr>
                <w:rFonts w:ascii="Arial Narrow" w:hAnsi="Arial Narrow"/>
                <w:sz w:val="20"/>
              </w:rPr>
              <w:t>New to triple therapy with SU added</w:t>
            </w:r>
          </w:p>
        </w:tc>
        <w:tc>
          <w:tcPr>
            <w:tcW w:w="594"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4" w:type="pct"/>
            <w:shd w:val="clear" w:color="auto" w:fill="auto"/>
            <w:vAlign w:val="center"/>
          </w:tcPr>
          <w:p w:rsidR="008C4A1D"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623AE0" w:rsidRPr="00321691" w:rsidTr="00623AE0">
        <w:tc>
          <w:tcPr>
            <w:tcW w:w="2038" w:type="pct"/>
            <w:shd w:val="clear" w:color="auto" w:fill="auto"/>
            <w:vAlign w:val="center"/>
          </w:tcPr>
          <w:p w:rsidR="00623AE0" w:rsidRPr="00321691" w:rsidRDefault="00D625A0" w:rsidP="00FB718A">
            <w:pPr>
              <w:keepNext/>
              <w:widowControl/>
              <w:tabs>
                <w:tab w:val="left" w:pos="142"/>
              </w:tabs>
              <w:jc w:val="left"/>
              <w:rPr>
                <w:rFonts w:ascii="Arial Narrow" w:hAnsi="Arial Narrow"/>
                <w:sz w:val="20"/>
              </w:rPr>
            </w:pPr>
            <w:r w:rsidRPr="00321691">
              <w:rPr>
                <w:rFonts w:ascii="Arial Narrow" w:hAnsi="Arial Narrow"/>
                <w:sz w:val="20"/>
              </w:rPr>
              <w:t>Total n</w:t>
            </w:r>
            <w:r w:rsidR="00623AE0" w:rsidRPr="00321691">
              <w:rPr>
                <w:rFonts w:ascii="Arial Narrow" w:hAnsi="Arial Narrow"/>
                <w:sz w:val="20"/>
              </w:rPr>
              <w:t>ew to triple therapy with SITA</w:t>
            </w:r>
          </w:p>
        </w:tc>
        <w:tc>
          <w:tcPr>
            <w:tcW w:w="594" w:type="pct"/>
            <w:shd w:val="clear" w:color="auto" w:fill="auto"/>
            <w:vAlign w:val="center"/>
          </w:tcPr>
          <w:p w:rsidR="00623AE0"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4" w:type="pct"/>
            <w:shd w:val="clear" w:color="auto" w:fill="auto"/>
            <w:vAlign w:val="center"/>
          </w:tcPr>
          <w:p w:rsidR="00623AE0"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623AE0"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95" w:type="pct"/>
            <w:shd w:val="clear" w:color="auto" w:fill="auto"/>
            <w:vAlign w:val="center"/>
          </w:tcPr>
          <w:p w:rsidR="00623AE0"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584" w:type="pct"/>
            <w:shd w:val="clear" w:color="auto" w:fill="auto"/>
            <w:vAlign w:val="center"/>
          </w:tcPr>
          <w:p w:rsidR="00623AE0" w:rsidRPr="005F42C6" w:rsidRDefault="005F42C6" w:rsidP="00FB718A">
            <w:pPr>
              <w:keepNext/>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623AE0" w:rsidRPr="00321691" w:rsidTr="00623AE0">
        <w:tc>
          <w:tcPr>
            <w:tcW w:w="2038" w:type="pct"/>
            <w:shd w:val="clear" w:color="auto" w:fill="auto"/>
            <w:vAlign w:val="center"/>
          </w:tcPr>
          <w:p w:rsidR="00623AE0" w:rsidRPr="00321691" w:rsidRDefault="00623AE0" w:rsidP="00FB718A">
            <w:pPr>
              <w:keepNext/>
              <w:widowControl/>
              <w:tabs>
                <w:tab w:val="left" w:pos="142"/>
              </w:tabs>
              <w:jc w:val="left"/>
              <w:rPr>
                <w:rFonts w:ascii="Arial Narrow" w:hAnsi="Arial Narrow"/>
                <w:b/>
                <w:sz w:val="20"/>
              </w:rPr>
            </w:pPr>
            <w:r w:rsidRPr="00321691">
              <w:rPr>
                <w:rFonts w:ascii="Arial Narrow" w:hAnsi="Arial Narrow"/>
                <w:b/>
                <w:sz w:val="20"/>
              </w:rPr>
              <w:t>Scripts</w:t>
            </w:r>
            <w:r w:rsidRPr="00321691">
              <w:rPr>
                <w:rFonts w:ascii="Arial Narrow" w:hAnsi="Arial Narrow"/>
                <w:b/>
                <w:sz w:val="20"/>
                <w:vertAlign w:val="superscript"/>
              </w:rPr>
              <w:t>a</w:t>
            </w:r>
            <w:r w:rsidR="00321691" w:rsidRPr="00321691">
              <w:rPr>
                <w:rFonts w:ascii="Arial Narrow" w:hAnsi="Arial Narrow"/>
                <w:b/>
                <w:sz w:val="20"/>
              </w:rPr>
              <w:t xml:space="preserve"> Estimated units of use</w:t>
            </w:r>
          </w:p>
        </w:tc>
        <w:tc>
          <w:tcPr>
            <w:tcW w:w="594" w:type="pct"/>
            <w:shd w:val="clear" w:color="auto" w:fill="auto"/>
            <w:vAlign w:val="center"/>
          </w:tcPr>
          <w:p w:rsidR="00623AE0" w:rsidRPr="00E658BD" w:rsidRDefault="00623AE0" w:rsidP="00FB718A">
            <w:pPr>
              <w:keepNext/>
              <w:widowControl/>
              <w:jc w:val="center"/>
              <w:rPr>
                <w:rFonts w:ascii="Arial Narrow" w:hAnsi="Arial Narrow"/>
                <w:bCs/>
                <w:color w:val="000000"/>
                <w:sz w:val="20"/>
              </w:rPr>
            </w:pPr>
          </w:p>
        </w:tc>
        <w:tc>
          <w:tcPr>
            <w:tcW w:w="594" w:type="pct"/>
            <w:shd w:val="clear" w:color="auto" w:fill="auto"/>
            <w:vAlign w:val="center"/>
          </w:tcPr>
          <w:p w:rsidR="00623AE0" w:rsidRPr="00E658BD" w:rsidRDefault="00623AE0" w:rsidP="00FB718A">
            <w:pPr>
              <w:keepNext/>
              <w:widowControl/>
              <w:jc w:val="center"/>
              <w:rPr>
                <w:rFonts w:ascii="Arial Narrow" w:hAnsi="Arial Narrow"/>
                <w:bCs/>
                <w:color w:val="000000"/>
                <w:sz w:val="20"/>
              </w:rPr>
            </w:pPr>
          </w:p>
        </w:tc>
        <w:tc>
          <w:tcPr>
            <w:tcW w:w="595" w:type="pct"/>
            <w:shd w:val="clear" w:color="auto" w:fill="auto"/>
            <w:vAlign w:val="center"/>
          </w:tcPr>
          <w:p w:rsidR="00623AE0" w:rsidRPr="00E658BD" w:rsidRDefault="00623AE0" w:rsidP="00FB718A">
            <w:pPr>
              <w:keepNext/>
              <w:widowControl/>
              <w:jc w:val="center"/>
              <w:rPr>
                <w:rFonts w:ascii="Arial Narrow" w:hAnsi="Arial Narrow"/>
                <w:bCs/>
                <w:color w:val="000000"/>
                <w:sz w:val="20"/>
              </w:rPr>
            </w:pPr>
          </w:p>
        </w:tc>
        <w:tc>
          <w:tcPr>
            <w:tcW w:w="595" w:type="pct"/>
            <w:shd w:val="clear" w:color="auto" w:fill="auto"/>
            <w:vAlign w:val="center"/>
          </w:tcPr>
          <w:p w:rsidR="00623AE0" w:rsidRPr="00E658BD" w:rsidRDefault="00623AE0" w:rsidP="00FB718A">
            <w:pPr>
              <w:keepNext/>
              <w:widowControl/>
              <w:jc w:val="center"/>
              <w:rPr>
                <w:rFonts w:ascii="Arial Narrow" w:hAnsi="Arial Narrow"/>
                <w:bCs/>
                <w:color w:val="000000"/>
                <w:sz w:val="20"/>
              </w:rPr>
            </w:pPr>
          </w:p>
        </w:tc>
        <w:tc>
          <w:tcPr>
            <w:tcW w:w="584" w:type="pct"/>
            <w:shd w:val="clear" w:color="auto" w:fill="auto"/>
            <w:vAlign w:val="center"/>
          </w:tcPr>
          <w:p w:rsidR="00623AE0" w:rsidRPr="00E658BD" w:rsidRDefault="00623AE0" w:rsidP="00FB718A">
            <w:pPr>
              <w:keepNext/>
              <w:widowControl/>
              <w:jc w:val="center"/>
              <w:rPr>
                <w:rFonts w:ascii="Arial Narrow" w:hAnsi="Arial Narrow"/>
                <w:bCs/>
                <w:color w:val="000000"/>
                <w:sz w:val="20"/>
              </w:rPr>
            </w:pPr>
          </w:p>
        </w:tc>
      </w:tr>
      <w:tr w:rsidR="00321691" w:rsidRPr="00321691" w:rsidTr="00E626A2">
        <w:tc>
          <w:tcPr>
            <w:tcW w:w="2038" w:type="pct"/>
            <w:shd w:val="clear" w:color="auto" w:fill="auto"/>
            <w:vAlign w:val="bottom"/>
          </w:tcPr>
          <w:p w:rsidR="00321691" w:rsidRPr="00321691" w:rsidRDefault="00321691" w:rsidP="00FB718A">
            <w:pPr>
              <w:keepNext/>
              <w:widowControl/>
              <w:tabs>
                <w:tab w:val="left" w:pos="142"/>
              </w:tabs>
              <w:jc w:val="left"/>
              <w:rPr>
                <w:rFonts w:ascii="Arial Narrow" w:hAnsi="Arial Narrow"/>
                <w:sz w:val="20"/>
              </w:rPr>
            </w:pPr>
            <w:r w:rsidRPr="00321691">
              <w:rPr>
                <w:rFonts w:ascii="Arial Narrow" w:hAnsi="Arial Narrow"/>
                <w:sz w:val="20"/>
              </w:rPr>
              <w:t>Total increased units (</w:t>
            </w:r>
            <w:r w:rsidR="006E3884">
              <w:rPr>
                <w:rFonts w:ascii="Arial Narrow" w:hAnsi="Arial Narrow"/>
                <w:sz w:val="20"/>
              </w:rPr>
              <w:t xml:space="preserve">increased </w:t>
            </w:r>
            <w:r w:rsidRPr="00321691">
              <w:rPr>
                <w:rFonts w:ascii="Arial Narrow" w:hAnsi="Arial Narrow"/>
                <w:sz w:val="20"/>
              </w:rPr>
              <w:t>SITA, SU)</w:t>
            </w:r>
          </w:p>
        </w:tc>
        <w:tc>
          <w:tcPr>
            <w:tcW w:w="59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21691" w:rsidRPr="00321691" w:rsidTr="00E626A2">
        <w:tc>
          <w:tcPr>
            <w:tcW w:w="2038" w:type="pct"/>
            <w:shd w:val="clear" w:color="auto" w:fill="auto"/>
            <w:vAlign w:val="bottom"/>
          </w:tcPr>
          <w:p w:rsidR="00321691" w:rsidRPr="00321691" w:rsidRDefault="00321691" w:rsidP="00FB718A">
            <w:pPr>
              <w:keepNext/>
              <w:widowControl/>
              <w:tabs>
                <w:tab w:val="left" w:pos="142"/>
              </w:tabs>
              <w:jc w:val="left"/>
              <w:rPr>
                <w:rFonts w:ascii="Arial Narrow" w:hAnsi="Arial Narrow"/>
                <w:sz w:val="20"/>
              </w:rPr>
            </w:pPr>
            <w:r w:rsidRPr="00321691">
              <w:rPr>
                <w:rFonts w:ascii="Arial Narrow" w:hAnsi="Arial Narrow"/>
                <w:sz w:val="20"/>
              </w:rPr>
              <w:t>Total decreased units (reduced DAPA, MET)</w:t>
            </w:r>
          </w:p>
        </w:tc>
        <w:tc>
          <w:tcPr>
            <w:tcW w:w="59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21691" w:rsidRPr="00321691" w:rsidTr="00E626A2">
        <w:tc>
          <w:tcPr>
            <w:tcW w:w="2038" w:type="pct"/>
            <w:shd w:val="clear" w:color="auto" w:fill="auto"/>
            <w:vAlign w:val="bottom"/>
          </w:tcPr>
          <w:p w:rsidR="00321691" w:rsidRPr="00321691" w:rsidRDefault="00321691" w:rsidP="00FB718A">
            <w:pPr>
              <w:keepNext/>
              <w:widowControl/>
              <w:tabs>
                <w:tab w:val="left" w:pos="142"/>
              </w:tabs>
              <w:jc w:val="left"/>
              <w:rPr>
                <w:rFonts w:ascii="Arial Narrow" w:hAnsi="Arial Narrow"/>
                <w:sz w:val="20"/>
              </w:rPr>
            </w:pPr>
            <w:r w:rsidRPr="00321691">
              <w:rPr>
                <w:rFonts w:ascii="Arial Narrow" w:hAnsi="Arial Narrow"/>
                <w:b/>
                <w:sz w:val="20"/>
              </w:rPr>
              <w:t xml:space="preserve">Net change </w:t>
            </w:r>
            <w:r>
              <w:rPr>
                <w:rFonts w:ascii="Arial Narrow" w:hAnsi="Arial Narrow"/>
                <w:b/>
                <w:sz w:val="20"/>
              </w:rPr>
              <w:t xml:space="preserve">units </w:t>
            </w:r>
            <w:r w:rsidRPr="00321691">
              <w:rPr>
                <w:rFonts w:ascii="Arial Narrow" w:hAnsi="Arial Narrow"/>
                <w:b/>
                <w:sz w:val="20"/>
              </w:rPr>
              <w:t>(increased – decreased)</w:t>
            </w:r>
          </w:p>
        </w:tc>
        <w:tc>
          <w:tcPr>
            <w:tcW w:w="59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95"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584" w:type="pct"/>
            <w:shd w:val="clear" w:color="auto" w:fill="auto"/>
            <w:vAlign w:val="bottom"/>
          </w:tcPr>
          <w:p w:rsidR="00321691" w:rsidRPr="005F42C6" w:rsidRDefault="005F42C6" w:rsidP="00FB718A">
            <w:pPr>
              <w:keepNext/>
              <w:widowControl/>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321691" w:rsidRPr="00321691" w:rsidTr="005D044D">
        <w:tc>
          <w:tcPr>
            <w:tcW w:w="5000" w:type="pct"/>
            <w:gridSpan w:val="6"/>
            <w:shd w:val="clear" w:color="auto" w:fill="auto"/>
            <w:vAlign w:val="center"/>
          </w:tcPr>
          <w:p w:rsidR="00321691" w:rsidRPr="00E658BD" w:rsidRDefault="00321691" w:rsidP="00FB718A">
            <w:pPr>
              <w:keepNext/>
              <w:widowControl/>
              <w:jc w:val="left"/>
              <w:rPr>
                <w:rFonts w:ascii="Arial Narrow" w:hAnsi="Arial Narrow"/>
                <w:b/>
                <w:bCs/>
                <w:color w:val="000000"/>
                <w:sz w:val="20"/>
              </w:rPr>
            </w:pPr>
            <w:r w:rsidRPr="00E658BD">
              <w:rPr>
                <w:rFonts w:ascii="Arial Narrow" w:hAnsi="Arial Narrow"/>
                <w:b/>
                <w:bCs/>
                <w:color w:val="000000"/>
                <w:sz w:val="20"/>
              </w:rPr>
              <w:t>Estimated net cost to PBS/RPBS/MBS</w:t>
            </w:r>
          </w:p>
        </w:tc>
      </w:tr>
      <w:tr w:rsidR="00321691" w:rsidRPr="00321691" w:rsidTr="00623AE0">
        <w:tc>
          <w:tcPr>
            <w:tcW w:w="2038" w:type="pct"/>
            <w:shd w:val="clear" w:color="auto" w:fill="auto"/>
            <w:vAlign w:val="center"/>
          </w:tcPr>
          <w:p w:rsidR="00321691" w:rsidRPr="00321691" w:rsidRDefault="00321691" w:rsidP="00FB718A">
            <w:pPr>
              <w:keepNext/>
              <w:widowControl/>
              <w:tabs>
                <w:tab w:val="left" w:pos="142"/>
              </w:tabs>
              <w:jc w:val="left"/>
              <w:rPr>
                <w:rFonts w:ascii="Arial Narrow" w:hAnsi="Arial Narrow"/>
                <w:sz w:val="20"/>
              </w:rPr>
            </w:pPr>
            <w:r w:rsidRPr="00321691">
              <w:rPr>
                <w:rFonts w:ascii="Arial Narrow" w:hAnsi="Arial Narrow"/>
                <w:sz w:val="20"/>
              </w:rPr>
              <w:t>Net cost to PBS/RPBS</w:t>
            </w:r>
          </w:p>
        </w:tc>
        <w:tc>
          <w:tcPr>
            <w:tcW w:w="594"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4"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5"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5"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84"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r>
      <w:tr w:rsidR="00321691" w:rsidRPr="00321691" w:rsidTr="00623AE0">
        <w:tc>
          <w:tcPr>
            <w:tcW w:w="2038" w:type="pct"/>
            <w:shd w:val="clear" w:color="auto" w:fill="auto"/>
            <w:vAlign w:val="center"/>
          </w:tcPr>
          <w:p w:rsidR="00321691" w:rsidRPr="00321691" w:rsidRDefault="00321691" w:rsidP="00FB718A">
            <w:pPr>
              <w:keepNext/>
              <w:widowControl/>
              <w:tabs>
                <w:tab w:val="left" w:pos="142"/>
              </w:tabs>
              <w:jc w:val="left"/>
              <w:rPr>
                <w:rFonts w:ascii="Arial Narrow" w:hAnsi="Arial Narrow"/>
                <w:sz w:val="20"/>
              </w:rPr>
            </w:pPr>
            <w:r w:rsidRPr="00321691">
              <w:rPr>
                <w:rFonts w:ascii="Arial Narrow" w:hAnsi="Arial Narrow"/>
                <w:sz w:val="20"/>
              </w:rPr>
              <w:t>Net cost to MBS*</w:t>
            </w:r>
          </w:p>
        </w:tc>
        <w:tc>
          <w:tcPr>
            <w:tcW w:w="594"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4"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5"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5"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84" w:type="pct"/>
            <w:shd w:val="clear" w:color="auto" w:fill="auto"/>
            <w:vAlign w:val="bottom"/>
          </w:tcPr>
          <w:p w:rsidR="00321691" w:rsidRPr="00E658BD" w:rsidRDefault="00321691" w:rsidP="00FB718A">
            <w:pPr>
              <w:keepNext/>
              <w:widowControl/>
              <w:jc w:val="center"/>
              <w:rPr>
                <w:rFonts w:ascii="Arial Narrow" w:hAnsi="Arial Narrow"/>
                <w:bCs/>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r>
      <w:tr w:rsidR="00321691" w:rsidRPr="00321691" w:rsidTr="005D044D">
        <w:tc>
          <w:tcPr>
            <w:tcW w:w="5000" w:type="pct"/>
            <w:gridSpan w:val="6"/>
            <w:shd w:val="clear" w:color="auto" w:fill="auto"/>
            <w:vAlign w:val="center"/>
          </w:tcPr>
          <w:p w:rsidR="00321691" w:rsidRPr="00E658BD" w:rsidRDefault="00321691" w:rsidP="00FB718A">
            <w:pPr>
              <w:keepNext/>
              <w:widowControl/>
              <w:jc w:val="left"/>
              <w:rPr>
                <w:rFonts w:ascii="Arial Narrow" w:hAnsi="Arial Narrow"/>
                <w:b/>
                <w:color w:val="000000"/>
                <w:sz w:val="20"/>
              </w:rPr>
            </w:pPr>
            <w:r w:rsidRPr="00E658BD">
              <w:rPr>
                <w:rFonts w:ascii="Arial Narrow" w:hAnsi="Arial Narrow"/>
                <w:b/>
                <w:color w:val="000000"/>
                <w:sz w:val="20"/>
              </w:rPr>
              <w:t>Estimated total net cost</w:t>
            </w:r>
          </w:p>
        </w:tc>
      </w:tr>
      <w:tr w:rsidR="00321691" w:rsidRPr="00321691" w:rsidTr="00D625A0">
        <w:tc>
          <w:tcPr>
            <w:tcW w:w="2038" w:type="pct"/>
            <w:shd w:val="clear" w:color="auto" w:fill="auto"/>
            <w:vAlign w:val="center"/>
          </w:tcPr>
          <w:p w:rsidR="00321691" w:rsidRPr="00321691" w:rsidRDefault="00321691" w:rsidP="00FB718A">
            <w:pPr>
              <w:keepNext/>
              <w:widowControl/>
              <w:tabs>
                <w:tab w:val="left" w:pos="142"/>
              </w:tabs>
              <w:jc w:val="left"/>
              <w:rPr>
                <w:rFonts w:ascii="Arial Narrow" w:hAnsi="Arial Narrow"/>
                <w:b/>
                <w:sz w:val="20"/>
              </w:rPr>
            </w:pPr>
            <w:r w:rsidRPr="00321691">
              <w:rPr>
                <w:rFonts w:ascii="Arial Narrow" w:hAnsi="Arial Narrow"/>
                <w:b/>
                <w:bCs/>
                <w:color w:val="000000"/>
                <w:sz w:val="20"/>
              </w:rPr>
              <w:t>Net cost to PBS/RPBS/MBS</w:t>
            </w:r>
          </w:p>
        </w:tc>
        <w:tc>
          <w:tcPr>
            <w:tcW w:w="594" w:type="pct"/>
            <w:shd w:val="clear" w:color="auto" w:fill="auto"/>
            <w:vAlign w:val="bottom"/>
          </w:tcPr>
          <w:p w:rsidR="00321691" w:rsidRPr="00E658BD" w:rsidRDefault="00321691" w:rsidP="00FB718A">
            <w:pPr>
              <w:keepNext/>
              <w:widowControl/>
              <w:jc w:val="center"/>
              <w:rPr>
                <w:rFonts w:ascii="Arial Narrow" w:hAnsi="Arial Narrow"/>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4" w:type="pct"/>
            <w:shd w:val="clear" w:color="auto" w:fill="auto"/>
            <w:vAlign w:val="bottom"/>
          </w:tcPr>
          <w:p w:rsidR="00321691" w:rsidRPr="00E658BD" w:rsidRDefault="00321691" w:rsidP="00FB718A">
            <w:pPr>
              <w:keepNext/>
              <w:widowControl/>
              <w:jc w:val="center"/>
              <w:rPr>
                <w:rFonts w:ascii="Arial Narrow" w:hAnsi="Arial Narrow"/>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5" w:type="pct"/>
            <w:shd w:val="clear" w:color="auto" w:fill="auto"/>
            <w:vAlign w:val="bottom"/>
          </w:tcPr>
          <w:p w:rsidR="00321691" w:rsidRPr="00E658BD" w:rsidRDefault="00321691" w:rsidP="00FB718A">
            <w:pPr>
              <w:keepNext/>
              <w:widowControl/>
              <w:jc w:val="center"/>
              <w:rPr>
                <w:rFonts w:ascii="Arial Narrow" w:hAnsi="Arial Narrow"/>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95" w:type="pct"/>
            <w:shd w:val="clear" w:color="auto" w:fill="auto"/>
            <w:vAlign w:val="bottom"/>
          </w:tcPr>
          <w:p w:rsidR="00321691" w:rsidRPr="00E658BD" w:rsidRDefault="00321691" w:rsidP="00FB718A">
            <w:pPr>
              <w:keepNext/>
              <w:widowControl/>
              <w:jc w:val="center"/>
              <w:rPr>
                <w:rFonts w:ascii="Arial Narrow" w:hAnsi="Arial Narrow"/>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c>
          <w:tcPr>
            <w:tcW w:w="584" w:type="pct"/>
            <w:shd w:val="clear" w:color="auto" w:fill="auto"/>
            <w:vAlign w:val="bottom"/>
          </w:tcPr>
          <w:p w:rsidR="00321691" w:rsidRPr="00E658BD" w:rsidRDefault="00321691" w:rsidP="00FB718A">
            <w:pPr>
              <w:keepNext/>
              <w:widowControl/>
              <w:jc w:val="center"/>
              <w:rPr>
                <w:rFonts w:ascii="Arial Narrow" w:hAnsi="Arial Narrow"/>
                <w:color w:val="000000"/>
                <w:sz w:val="20"/>
              </w:rPr>
            </w:pPr>
            <w:r w:rsidRPr="00E658BD">
              <w:rPr>
                <w:rFonts w:ascii="Arial Narrow" w:hAnsi="Arial Narrow"/>
                <w:sz w:val="20"/>
              </w:rPr>
              <w:t>$</w:t>
            </w:r>
            <w:r w:rsidR="005F42C6">
              <w:rPr>
                <w:rFonts w:ascii="Arial Narrow" w:hAnsi="Arial Narrow"/>
                <w:noProof/>
                <w:color w:val="000000"/>
                <w:sz w:val="20"/>
                <w:highlight w:val="black"/>
              </w:rPr>
              <w:t>''''''''''''''''</w:t>
            </w:r>
          </w:p>
        </w:tc>
      </w:tr>
    </w:tbl>
    <w:p w:rsidR="00C25D9C" w:rsidRPr="00A04ADD" w:rsidRDefault="00C25D9C" w:rsidP="00FB718A">
      <w:pPr>
        <w:pStyle w:val="TableFooter"/>
        <w:keepNext/>
        <w:widowControl/>
        <w:ind w:firstLine="720"/>
        <w:rPr>
          <w:szCs w:val="18"/>
        </w:rPr>
      </w:pPr>
      <w:r w:rsidRPr="00321691">
        <w:rPr>
          <w:sz w:val="20"/>
          <w:vertAlign w:val="superscript"/>
        </w:rPr>
        <w:t>a</w:t>
      </w:r>
      <w:r w:rsidRPr="00321691">
        <w:rPr>
          <w:sz w:val="20"/>
        </w:rPr>
        <w:t xml:space="preserve"> </w:t>
      </w:r>
      <w:r w:rsidR="00D625A0" w:rsidRPr="00A04ADD">
        <w:rPr>
          <w:szCs w:val="18"/>
        </w:rPr>
        <w:t>Scripts are distributed across sitagliptin, sitagliptin+metformin, sitagliptin+metformin XR items</w:t>
      </w:r>
    </w:p>
    <w:p w:rsidR="00EF7C86" w:rsidRDefault="00FE1CC7" w:rsidP="00FB718A">
      <w:pPr>
        <w:pStyle w:val="TableFooter"/>
        <w:keepNext/>
        <w:widowControl/>
        <w:ind w:left="720"/>
        <w:rPr>
          <w:szCs w:val="18"/>
        </w:rPr>
      </w:pPr>
      <w:r w:rsidRPr="00A04ADD">
        <w:rPr>
          <w:szCs w:val="18"/>
        </w:rPr>
        <w:t>*Submission assumes small cost savings due to fewer genital mycotic infections with decreased dapagliflozin use</w:t>
      </w:r>
      <w:r w:rsidR="00D625A0" w:rsidRPr="00A04ADD">
        <w:rPr>
          <w:szCs w:val="18"/>
        </w:rPr>
        <w:t>, however these are ignored in calculation of net costs to PBS/RPBS</w:t>
      </w:r>
    </w:p>
    <w:p w:rsidR="00FE1CC7" w:rsidRPr="00A04ADD" w:rsidRDefault="00EF7C86" w:rsidP="00FB718A">
      <w:pPr>
        <w:pStyle w:val="TableFooter"/>
        <w:keepNext/>
        <w:widowControl/>
        <w:ind w:left="720"/>
        <w:rPr>
          <w:szCs w:val="18"/>
        </w:rPr>
      </w:pPr>
      <w:r>
        <w:rPr>
          <w:szCs w:val="18"/>
        </w:rPr>
        <w:t>Abbreviations: SITA sitagliptin; MET metformin; SU sulfonylurea; DAPA dapagliflozin</w:t>
      </w:r>
      <w:r w:rsidR="00FE1CC7" w:rsidRPr="00A04ADD">
        <w:rPr>
          <w:szCs w:val="18"/>
        </w:rPr>
        <w:t xml:space="preserve"> </w:t>
      </w:r>
    </w:p>
    <w:p w:rsidR="00C25D9C" w:rsidRDefault="00C25D9C" w:rsidP="00FB718A">
      <w:pPr>
        <w:pStyle w:val="TableFooter"/>
        <w:widowControl/>
        <w:ind w:firstLine="720"/>
        <w:rPr>
          <w:szCs w:val="18"/>
        </w:rPr>
      </w:pPr>
      <w:r w:rsidRPr="00A04ADD">
        <w:rPr>
          <w:szCs w:val="18"/>
        </w:rPr>
        <w:t>Source: Table</w:t>
      </w:r>
      <w:r w:rsidR="00C85B67" w:rsidRPr="00A04ADD">
        <w:rPr>
          <w:szCs w:val="18"/>
        </w:rPr>
        <w:t xml:space="preserve"> E.12-1</w:t>
      </w:r>
      <w:r w:rsidRPr="00A04ADD">
        <w:rPr>
          <w:szCs w:val="18"/>
        </w:rPr>
        <w:t>p</w:t>
      </w:r>
      <w:r w:rsidR="00C85B67" w:rsidRPr="00A04ADD">
        <w:rPr>
          <w:szCs w:val="18"/>
        </w:rPr>
        <w:t xml:space="preserve"> 143 </w:t>
      </w:r>
      <w:r w:rsidRPr="00A04ADD">
        <w:rPr>
          <w:szCs w:val="18"/>
        </w:rPr>
        <w:t>of the submission</w:t>
      </w:r>
      <w:r w:rsidR="00C85B67" w:rsidRPr="00A04ADD">
        <w:rPr>
          <w:szCs w:val="18"/>
        </w:rPr>
        <w:t>; Excel Worksheets Net cost to PBS, Cost to Govt for MBS [file Triple Section E]</w:t>
      </w:r>
    </w:p>
    <w:p w:rsidR="000079F1" w:rsidRDefault="000079F1" w:rsidP="00FB718A">
      <w:pPr>
        <w:pStyle w:val="TableFooter"/>
        <w:widowControl/>
        <w:ind w:firstLine="720"/>
        <w:rPr>
          <w:szCs w:val="18"/>
        </w:rPr>
      </w:pPr>
    </w:p>
    <w:p w:rsidR="000079F1" w:rsidRPr="000079F1" w:rsidRDefault="00FF537F" w:rsidP="00FB718A">
      <w:pPr>
        <w:pStyle w:val="ListParagraph"/>
        <w:widowControl/>
        <w:numPr>
          <w:ilvl w:val="1"/>
          <w:numId w:val="5"/>
        </w:numPr>
        <w:rPr>
          <w:szCs w:val="22"/>
        </w:rPr>
      </w:pPr>
      <w:r>
        <w:rPr>
          <w:szCs w:val="22"/>
        </w:rPr>
        <w:t>The redacted table above shows that a</w:t>
      </w:r>
      <w:r w:rsidR="000079F1" w:rsidRPr="000079F1">
        <w:rPr>
          <w:szCs w:val="22"/>
        </w:rPr>
        <w:t xml:space="preserve">t year 5, the estimated number of </w:t>
      </w:r>
      <w:r>
        <w:rPr>
          <w:szCs w:val="22"/>
        </w:rPr>
        <w:t>packs</w:t>
      </w:r>
      <w:r w:rsidRPr="000079F1">
        <w:rPr>
          <w:szCs w:val="22"/>
        </w:rPr>
        <w:t xml:space="preserve"> </w:t>
      </w:r>
      <w:r w:rsidR="000079F1" w:rsidRPr="000079F1">
        <w:rPr>
          <w:szCs w:val="22"/>
        </w:rPr>
        <w:t xml:space="preserve">was </w:t>
      </w:r>
      <w:r w:rsidR="00B65B50">
        <w:rPr>
          <w:bCs/>
          <w:color w:val="000000"/>
          <w:szCs w:val="22"/>
        </w:rPr>
        <w:t xml:space="preserve">between </w:t>
      </w:r>
      <w:r w:rsidR="00B65B50" w:rsidRPr="003455AD">
        <w:rPr>
          <w:bCs/>
          <w:color w:val="000000"/>
          <w:szCs w:val="22"/>
        </w:rPr>
        <w:t>10,000</w:t>
      </w:r>
      <w:r w:rsidR="00B65B50">
        <w:rPr>
          <w:bCs/>
          <w:color w:val="000000"/>
          <w:szCs w:val="22"/>
        </w:rPr>
        <w:t xml:space="preserve"> - 50,000</w:t>
      </w:r>
      <w:r w:rsidR="000079F1" w:rsidRPr="000079F1">
        <w:rPr>
          <w:bCs/>
          <w:color w:val="000000"/>
          <w:szCs w:val="22"/>
        </w:rPr>
        <w:t xml:space="preserve"> and the net cost to the PBS/RPBS would be </w:t>
      </w:r>
      <w:r w:rsidR="00B65B50">
        <w:rPr>
          <w:bCs/>
          <w:color w:val="000000"/>
          <w:szCs w:val="22"/>
        </w:rPr>
        <w:t>less than $10</w:t>
      </w:r>
      <w:r>
        <w:rPr>
          <w:bCs/>
          <w:color w:val="000000"/>
          <w:szCs w:val="22"/>
        </w:rPr>
        <w:t> </w:t>
      </w:r>
      <w:r w:rsidR="00B65B50">
        <w:rPr>
          <w:bCs/>
          <w:color w:val="000000"/>
          <w:szCs w:val="22"/>
        </w:rPr>
        <w:t>million</w:t>
      </w:r>
      <w:r w:rsidR="000079F1" w:rsidRPr="000079F1">
        <w:rPr>
          <w:szCs w:val="22"/>
        </w:rPr>
        <w:t>.</w:t>
      </w:r>
    </w:p>
    <w:p w:rsidR="004316B4" w:rsidRDefault="004316B4" w:rsidP="00FB718A">
      <w:pPr>
        <w:widowControl/>
      </w:pPr>
    </w:p>
    <w:p w:rsidR="007565B6" w:rsidRPr="00F012C1" w:rsidRDefault="007565B6" w:rsidP="00FB718A">
      <w:pPr>
        <w:keepNext/>
        <w:widowControl/>
        <w:numPr>
          <w:ilvl w:val="0"/>
          <w:numId w:val="5"/>
        </w:numPr>
        <w:rPr>
          <w:b/>
          <w:bCs/>
          <w:szCs w:val="22"/>
        </w:rPr>
      </w:pPr>
      <w:r w:rsidRPr="00F012C1">
        <w:rPr>
          <w:b/>
          <w:bCs/>
          <w:szCs w:val="22"/>
        </w:rPr>
        <w:t>PBAC Outcome</w:t>
      </w:r>
    </w:p>
    <w:p w:rsidR="007565B6" w:rsidRPr="006C307E" w:rsidRDefault="007565B6" w:rsidP="00FB718A">
      <w:pPr>
        <w:keepNext/>
        <w:widowControl/>
        <w:contextualSpacing/>
        <w:rPr>
          <w:b/>
          <w:bCs/>
          <w:szCs w:val="22"/>
          <w:highlight w:val="yellow"/>
          <w:lang w:val="en-GB"/>
        </w:rPr>
      </w:pPr>
    </w:p>
    <w:p w:rsidR="00F012C1" w:rsidRDefault="00F012C1" w:rsidP="00FB718A">
      <w:pPr>
        <w:widowControl/>
        <w:numPr>
          <w:ilvl w:val="1"/>
          <w:numId w:val="5"/>
        </w:numPr>
        <w:contextualSpacing/>
        <w:rPr>
          <w:bCs/>
          <w:szCs w:val="22"/>
          <w:lang w:val="en-GB"/>
        </w:rPr>
      </w:pPr>
      <w:r>
        <w:rPr>
          <w:bCs/>
          <w:szCs w:val="22"/>
          <w:lang w:val="en-GB"/>
        </w:rPr>
        <w:t>The PBAC recommended the listing of sitagliptin</w:t>
      </w:r>
      <w:r w:rsidR="00EA6A0E">
        <w:rPr>
          <w:bCs/>
          <w:szCs w:val="22"/>
          <w:lang w:val="en-GB"/>
        </w:rPr>
        <w:t xml:space="preserve"> and the sitagliptin/</w:t>
      </w:r>
      <w:r w:rsidR="005B53B0">
        <w:rPr>
          <w:bCs/>
          <w:szCs w:val="22"/>
          <w:lang w:val="en-GB"/>
        </w:rPr>
        <w:t xml:space="preserve">MET </w:t>
      </w:r>
      <w:r w:rsidR="008437BD">
        <w:rPr>
          <w:bCs/>
          <w:szCs w:val="22"/>
          <w:lang w:val="en-GB"/>
        </w:rPr>
        <w:t xml:space="preserve">FDCs </w:t>
      </w:r>
      <w:r>
        <w:rPr>
          <w:bCs/>
          <w:szCs w:val="22"/>
          <w:lang w:val="en-GB"/>
        </w:rPr>
        <w:t xml:space="preserve">for the treatment of </w:t>
      </w:r>
      <w:r w:rsidR="008207E7">
        <w:rPr>
          <w:bCs/>
          <w:szCs w:val="22"/>
          <w:lang w:val="en-GB"/>
        </w:rPr>
        <w:t xml:space="preserve">T2DM </w:t>
      </w:r>
      <w:r>
        <w:rPr>
          <w:bCs/>
          <w:szCs w:val="22"/>
          <w:lang w:val="en-GB"/>
        </w:rPr>
        <w:t xml:space="preserve">in combination with </w:t>
      </w:r>
      <w:r w:rsidR="005B53B0">
        <w:rPr>
          <w:bCs/>
          <w:szCs w:val="22"/>
          <w:lang w:val="en-GB"/>
        </w:rPr>
        <w:t xml:space="preserve">MET </w:t>
      </w:r>
      <w:r>
        <w:rPr>
          <w:bCs/>
          <w:szCs w:val="22"/>
          <w:lang w:val="en-GB"/>
        </w:rPr>
        <w:t>and</w:t>
      </w:r>
      <w:r w:rsidR="00484293">
        <w:rPr>
          <w:bCs/>
          <w:szCs w:val="22"/>
          <w:lang w:val="en-GB"/>
        </w:rPr>
        <w:t xml:space="preserve"> a</w:t>
      </w:r>
      <w:r>
        <w:rPr>
          <w:bCs/>
          <w:szCs w:val="22"/>
          <w:lang w:val="en-GB"/>
        </w:rPr>
        <w:t xml:space="preserve"> </w:t>
      </w:r>
      <w:r w:rsidR="005B53B0">
        <w:rPr>
          <w:bCs/>
          <w:szCs w:val="22"/>
          <w:lang w:val="en-GB"/>
        </w:rPr>
        <w:t xml:space="preserve">SU </w:t>
      </w:r>
      <w:r>
        <w:rPr>
          <w:bCs/>
          <w:szCs w:val="22"/>
          <w:lang w:val="en-GB"/>
        </w:rPr>
        <w:t>(triple oral therapy). The recommendation was formed on the basis of a cost minimisation analysis compared with dapagliflozin</w:t>
      </w:r>
      <w:r w:rsidR="005B53B0">
        <w:rPr>
          <w:bCs/>
          <w:szCs w:val="22"/>
          <w:lang w:val="en-GB"/>
        </w:rPr>
        <w:t xml:space="preserve"> in combination with MET and a SU</w:t>
      </w:r>
      <w:r>
        <w:rPr>
          <w:bCs/>
          <w:szCs w:val="22"/>
          <w:lang w:val="en-GB"/>
        </w:rPr>
        <w:t>. The equi-effective doses are sitagliptin 100mg and dapagliflozin 10mg.</w:t>
      </w:r>
    </w:p>
    <w:p w:rsidR="003A736C" w:rsidRPr="003A736C" w:rsidRDefault="003A736C" w:rsidP="00FB718A">
      <w:pPr>
        <w:widowControl/>
        <w:rPr>
          <w:bCs/>
          <w:szCs w:val="22"/>
          <w:lang w:val="en-GB"/>
        </w:rPr>
      </w:pPr>
    </w:p>
    <w:p w:rsidR="00484293" w:rsidRPr="00C67187" w:rsidRDefault="00484293" w:rsidP="00FB718A">
      <w:pPr>
        <w:widowControl/>
        <w:numPr>
          <w:ilvl w:val="1"/>
          <w:numId w:val="5"/>
        </w:numPr>
        <w:contextualSpacing/>
        <w:rPr>
          <w:bCs/>
          <w:szCs w:val="22"/>
          <w:lang w:val="en-GB"/>
        </w:rPr>
      </w:pPr>
      <w:r>
        <w:rPr>
          <w:bCs/>
          <w:szCs w:val="22"/>
          <w:lang w:val="en-GB"/>
        </w:rPr>
        <w:t xml:space="preserve">The </w:t>
      </w:r>
      <w:r w:rsidRPr="00484293">
        <w:rPr>
          <w:rFonts w:cs="Times New Roman"/>
          <w:szCs w:val="22"/>
          <w:lang w:eastAsia="en-AU"/>
        </w:rPr>
        <w:t xml:space="preserve">PBAC accepted that </w:t>
      </w:r>
      <w:r>
        <w:rPr>
          <w:rFonts w:cs="Times New Roman"/>
          <w:szCs w:val="22"/>
          <w:lang w:eastAsia="en-AU"/>
        </w:rPr>
        <w:t xml:space="preserve">sitagliptin </w:t>
      </w:r>
      <w:r w:rsidRPr="00484293">
        <w:rPr>
          <w:rFonts w:cs="Times New Roman"/>
          <w:szCs w:val="22"/>
          <w:lang w:eastAsia="en-AU"/>
        </w:rPr>
        <w:t xml:space="preserve">used in combination with </w:t>
      </w:r>
      <w:r w:rsidR="005B53B0">
        <w:rPr>
          <w:rFonts w:cs="Times New Roman"/>
          <w:szCs w:val="22"/>
          <w:lang w:eastAsia="en-AU"/>
        </w:rPr>
        <w:t>MET</w:t>
      </w:r>
      <w:r w:rsidR="005B53B0" w:rsidRPr="00484293">
        <w:rPr>
          <w:rFonts w:cs="Times New Roman"/>
          <w:szCs w:val="22"/>
          <w:lang w:eastAsia="en-AU"/>
        </w:rPr>
        <w:t xml:space="preserve"> </w:t>
      </w:r>
      <w:r w:rsidRPr="00484293">
        <w:rPr>
          <w:rFonts w:cs="Times New Roman"/>
          <w:szCs w:val="22"/>
          <w:lang w:eastAsia="en-AU"/>
        </w:rPr>
        <w:t xml:space="preserve">and a </w:t>
      </w:r>
      <w:r w:rsidR="005B53B0">
        <w:rPr>
          <w:rFonts w:cs="Times New Roman"/>
          <w:szCs w:val="22"/>
          <w:lang w:eastAsia="en-AU"/>
        </w:rPr>
        <w:t>SU</w:t>
      </w:r>
      <w:r>
        <w:rPr>
          <w:rFonts w:cs="Times New Roman"/>
          <w:szCs w:val="22"/>
          <w:lang w:eastAsia="en-AU"/>
        </w:rPr>
        <w:t xml:space="preserve">, or </w:t>
      </w:r>
      <w:r>
        <w:rPr>
          <w:bCs/>
          <w:szCs w:val="22"/>
          <w:lang w:val="en-GB"/>
        </w:rPr>
        <w:t>sitagliptin/</w:t>
      </w:r>
      <w:r w:rsidR="005B53B0">
        <w:rPr>
          <w:bCs/>
          <w:szCs w:val="22"/>
          <w:lang w:val="en-GB"/>
        </w:rPr>
        <w:t xml:space="preserve">MET </w:t>
      </w:r>
      <w:r>
        <w:rPr>
          <w:bCs/>
          <w:szCs w:val="22"/>
          <w:lang w:val="en-GB"/>
        </w:rPr>
        <w:t xml:space="preserve">FDC in combination with a </w:t>
      </w:r>
      <w:r w:rsidR="005B53B0">
        <w:rPr>
          <w:rFonts w:cs="Times New Roman"/>
          <w:szCs w:val="22"/>
          <w:lang w:eastAsia="en-AU"/>
        </w:rPr>
        <w:t>SU</w:t>
      </w:r>
      <w:r>
        <w:rPr>
          <w:rFonts w:cs="Times New Roman"/>
          <w:szCs w:val="22"/>
          <w:lang w:eastAsia="en-AU"/>
        </w:rPr>
        <w:t>,</w:t>
      </w:r>
      <w:r w:rsidRPr="00484293">
        <w:rPr>
          <w:rFonts w:cs="Times New Roman"/>
          <w:szCs w:val="22"/>
          <w:lang w:eastAsia="en-AU"/>
        </w:rPr>
        <w:t xml:space="preserve"> is non-inferior to </w:t>
      </w:r>
      <w:r>
        <w:rPr>
          <w:rFonts w:cs="Times New Roman"/>
          <w:szCs w:val="22"/>
          <w:lang w:eastAsia="en-AU"/>
        </w:rPr>
        <w:t xml:space="preserve">dapagliflozin </w:t>
      </w:r>
      <w:r w:rsidRPr="00484293">
        <w:rPr>
          <w:rFonts w:cs="Times New Roman"/>
          <w:szCs w:val="22"/>
          <w:lang w:eastAsia="en-AU"/>
        </w:rPr>
        <w:t xml:space="preserve">in combination with </w:t>
      </w:r>
      <w:r w:rsidR="005B53B0">
        <w:rPr>
          <w:rFonts w:cs="Times New Roman"/>
          <w:szCs w:val="22"/>
          <w:lang w:eastAsia="en-AU"/>
        </w:rPr>
        <w:t>MET</w:t>
      </w:r>
      <w:r w:rsidR="005B53B0" w:rsidRPr="00484293">
        <w:rPr>
          <w:rFonts w:cs="Times New Roman"/>
          <w:szCs w:val="22"/>
          <w:lang w:eastAsia="en-AU"/>
        </w:rPr>
        <w:t xml:space="preserve"> </w:t>
      </w:r>
      <w:r w:rsidRPr="00484293">
        <w:rPr>
          <w:rFonts w:cs="Times New Roman"/>
          <w:szCs w:val="22"/>
          <w:lang w:eastAsia="en-AU"/>
        </w:rPr>
        <w:t xml:space="preserve">and a </w:t>
      </w:r>
      <w:r w:rsidR="005B53B0">
        <w:rPr>
          <w:rFonts w:cs="Times New Roman"/>
          <w:szCs w:val="22"/>
          <w:lang w:eastAsia="en-AU"/>
        </w:rPr>
        <w:t>SU</w:t>
      </w:r>
      <w:r w:rsidR="005B788D">
        <w:rPr>
          <w:rFonts w:cs="Times New Roman"/>
          <w:szCs w:val="22"/>
          <w:lang w:eastAsia="en-AU"/>
        </w:rPr>
        <w:t xml:space="preserve"> in terms of clinical effectiveness and safety</w:t>
      </w:r>
      <w:r w:rsidRPr="00484293">
        <w:rPr>
          <w:rFonts w:cs="Times New Roman"/>
          <w:szCs w:val="22"/>
          <w:lang w:eastAsia="en-AU"/>
        </w:rPr>
        <w:t xml:space="preserve">. </w:t>
      </w:r>
    </w:p>
    <w:p w:rsidR="00C67187" w:rsidRDefault="00C67187" w:rsidP="00FB718A">
      <w:pPr>
        <w:pStyle w:val="ListParagraph"/>
        <w:widowControl/>
        <w:rPr>
          <w:bCs/>
          <w:szCs w:val="22"/>
          <w:lang w:val="en-GB"/>
        </w:rPr>
      </w:pPr>
    </w:p>
    <w:p w:rsidR="00C67187" w:rsidRPr="00C67187" w:rsidRDefault="00C67187" w:rsidP="00FB718A">
      <w:pPr>
        <w:widowControl/>
        <w:numPr>
          <w:ilvl w:val="1"/>
          <w:numId w:val="5"/>
        </w:numPr>
        <w:contextualSpacing/>
        <w:rPr>
          <w:bCs/>
          <w:szCs w:val="22"/>
          <w:lang w:val="en-GB"/>
        </w:rPr>
      </w:pPr>
      <w:r>
        <w:rPr>
          <w:bCs/>
          <w:szCs w:val="22"/>
          <w:lang w:val="en-GB"/>
        </w:rPr>
        <w:t xml:space="preserve">The PBAC recalled that it </w:t>
      </w:r>
      <w:r>
        <w:t>recommended the sitag</w:t>
      </w:r>
      <w:r w:rsidR="00FB718A">
        <w:t>liptin/MET FDCs at its November </w:t>
      </w:r>
      <w:r>
        <w:t xml:space="preserve">2013 meeting, on the basis that the FDCs were </w:t>
      </w:r>
      <w:r w:rsidRPr="001052DD">
        <w:rPr>
          <w:color w:val="222222"/>
          <w:szCs w:val="22"/>
          <w:shd w:val="clear" w:color="auto" w:fill="FFFFFF"/>
        </w:rPr>
        <w:t>similar in efficacy and safety to the co-administration of the same doses of the individual components.</w:t>
      </w:r>
      <w:r>
        <w:rPr>
          <w:rFonts w:ascii="Open Sans" w:hAnsi="Open Sans"/>
          <w:color w:val="222222"/>
          <w:sz w:val="20"/>
          <w:shd w:val="clear" w:color="auto" w:fill="FFFFFF"/>
        </w:rPr>
        <w:t> </w:t>
      </w:r>
    </w:p>
    <w:p w:rsidR="00484293" w:rsidRDefault="00484293" w:rsidP="00FB718A">
      <w:pPr>
        <w:pStyle w:val="ListParagraph"/>
        <w:widowControl/>
        <w:rPr>
          <w:bCs/>
          <w:szCs w:val="22"/>
          <w:lang w:val="en-GB"/>
        </w:rPr>
      </w:pPr>
    </w:p>
    <w:p w:rsidR="00DF3115" w:rsidRDefault="00DF3115" w:rsidP="00FB718A">
      <w:pPr>
        <w:widowControl/>
        <w:numPr>
          <w:ilvl w:val="1"/>
          <w:numId w:val="5"/>
        </w:numPr>
        <w:contextualSpacing/>
        <w:rPr>
          <w:bCs/>
          <w:szCs w:val="22"/>
          <w:lang w:val="en-GB"/>
        </w:rPr>
      </w:pPr>
      <w:r>
        <w:rPr>
          <w:bCs/>
          <w:szCs w:val="22"/>
          <w:lang w:val="en-GB"/>
        </w:rPr>
        <w:t xml:space="preserve">The PBAC acknowledged the sponsor’s comments </w:t>
      </w:r>
      <w:r w:rsidR="006A0C6F">
        <w:rPr>
          <w:bCs/>
          <w:szCs w:val="22"/>
          <w:lang w:val="en-GB"/>
        </w:rPr>
        <w:t>regarding</w:t>
      </w:r>
      <w:r>
        <w:rPr>
          <w:bCs/>
          <w:szCs w:val="22"/>
          <w:lang w:val="en-GB"/>
        </w:rPr>
        <w:t xml:space="preserve"> the proposed changes to the restriction wording and agreed that the original wording requested by the sponsor was </w:t>
      </w:r>
      <w:r w:rsidR="006A0C6F">
        <w:rPr>
          <w:bCs/>
          <w:szCs w:val="22"/>
          <w:lang w:val="en-GB"/>
        </w:rPr>
        <w:t xml:space="preserve">clinically </w:t>
      </w:r>
      <w:r>
        <w:rPr>
          <w:bCs/>
          <w:szCs w:val="22"/>
          <w:lang w:val="en-GB"/>
        </w:rPr>
        <w:t xml:space="preserve">appropriate. The PBAC further </w:t>
      </w:r>
      <w:r w:rsidR="008437BD">
        <w:rPr>
          <w:bCs/>
          <w:szCs w:val="22"/>
          <w:lang w:val="en-GB"/>
        </w:rPr>
        <w:t xml:space="preserve">recommended </w:t>
      </w:r>
      <w:r w:rsidR="006A0C6F">
        <w:rPr>
          <w:bCs/>
          <w:szCs w:val="22"/>
          <w:lang w:val="en-GB"/>
        </w:rPr>
        <w:t>that</w:t>
      </w:r>
      <w:r w:rsidR="002B7A18">
        <w:rPr>
          <w:bCs/>
          <w:szCs w:val="22"/>
          <w:lang w:val="en-GB"/>
        </w:rPr>
        <w:t xml:space="preserve"> the</w:t>
      </w:r>
      <w:r w:rsidR="006A0C6F">
        <w:rPr>
          <w:bCs/>
          <w:szCs w:val="22"/>
          <w:lang w:val="en-GB"/>
        </w:rPr>
        <w:t xml:space="preserve"> restriction wording for other</w:t>
      </w:r>
      <w:r w:rsidR="00EB4464" w:rsidRPr="00EB4464">
        <w:rPr>
          <w:bCs/>
          <w:szCs w:val="22"/>
          <w:lang w:val="en-GB"/>
        </w:rPr>
        <w:t xml:space="preserve"> </w:t>
      </w:r>
      <w:r w:rsidR="00EB4464">
        <w:rPr>
          <w:bCs/>
          <w:szCs w:val="22"/>
          <w:lang w:val="en-GB"/>
        </w:rPr>
        <w:t>DPP-4 inhibitors and SGLT2 inhibitors</w:t>
      </w:r>
      <w:r w:rsidR="00EB4464" w:rsidDel="00EB4464">
        <w:rPr>
          <w:bCs/>
          <w:szCs w:val="22"/>
          <w:lang w:val="en-GB"/>
        </w:rPr>
        <w:t xml:space="preserve"> </w:t>
      </w:r>
      <w:r w:rsidR="006A0C6F">
        <w:rPr>
          <w:bCs/>
          <w:szCs w:val="22"/>
          <w:lang w:val="en-GB"/>
        </w:rPr>
        <w:t xml:space="preserve">listed for triple oral therapy in </w:t>
      </w:r>
      <w:r w:rsidR="008207E7">
        <w:rPr>
          <w:bCs/>
          <w:szCs w:val="22"/>
          <w:lang w:val="en-GB"/>
        </w:rPr>
        <w:t xml:space="preserve">T2DM </w:t>
      </w:r>
      <w:r w:rsidR="002B7A18">
        <w:rPr>
          <w:bCs/>
          <w:szCs w:val="22"/>
          <w:lang w:val="en-GB"/>
        </w:rPr>
        <w:t xml:space="preserve">should be </w:t>
      </w:r>
      <w:r w:rsidR="006A0C6F">
        <w:rPr>
          <w:bCs/>
          <w:szCs w:val="22"/>
          <w:lang w:val="en-GB"/>
        </w:rPr>
        <w:t xml:space="preserve">changed for consistency with the sitagliptin listing. </w:t>
      </w:r>
      <w:r w:rsidR="00437272">
        <w:rPr>
          <w:bCs/>
          <w:szCs w:val="22"/>
          <w:lang w:val="en-GB"/>
        </w:rPr>
        <w:t>The PBAC recommended the following wording to replace the words at the end of this clinical criterion: “…</w:t>
      </w:r>
      <w:r w:rsidR="00437272" w:rsidRPr="00437272">
        <w:rPr>
          <w:bCs/>
          <w:szCs w:val="22"/>
          <w:lang w:val="en-GB"/>
        </w:rPr>
        <w:t xml:space="preserve">despite treatment with either metformin or a </w:t>
      </w:r>
      <w:r w:rsidR="007B2DD6">
        <w:rPr>
          <w:bCs/>
          <w:szCs w:val="22"/>
          <w:lang w:val="en-GB"/>
        </w:rPr>
        <w:t>SU</w:t>
      </w:r>
      <w:r w:rsidR="007B2DD6" w:rsidRPr="00437272">
        <w:rPr>
          <w:bCs/>
          <w:szCs w:val="22"/>
          <w:lang w:val="en-GB"/>
        </w:rPr>
        <w:t xml:space="preserve"> </w:t>
      </w:r>
      <w:r w:rsidR="00437272" w:rsidRPr="00437272">
        <w:rPr>
          <w:bCs/>
          <w:szCs w:val="22"/>
          <w:lang w:val="en-GB"/>
        </w:rPr>
        <w:t xml:space="preserve">or metformin and </w:t>
      </w:r>
      <w:r w:rsidR="00437272" w:rsidRPr="00437272">
        <w:rPr>
          <w:bCs/>
          <w:strike/>
          <w:szCs w:val="22"/>
          <w:lang w:val="en-GB"/>
        </w:rPr>
        <w:t>sitagliptin</w:t>
      </w:r>
      <w:r w:rsidR="00437272" w:rsidRPr="00437272">
        <w:rPr>
          <w:bCs/>
          <w:szCs w:val="22"/>
          <w:lang w:val="en-GB"/>
        </w:rPr>
        <w:t xml:space="preserve"> </w:t>
      </w:r>
      <w:r w:rsidR="00437272" w:rsidRPr="00437272">
        <w:rPr>
          <w:bCs/>
          <w:i/>
          <w:szCs w:val="22"/>
          <w:lang w:val="en-GB"/>
        </w:rPr>
        <w:t>this drug</w:t>
      </w:r>
      <w:r w:rsidR="00437272" w:rsidRPr="00437272">
        <w:rPr>
          <w:bCs/>
          <w:szCs w:val="22"/>
          <w:lang w:val="en-GB"/>
        </w:rPr>
        <w:t xml:space="preserve"> or a </w:t>
      </w:r>
      <w:r w:rsidR="007B2DD6">
        <w:rPr>
          <w:bCs/>
          <w:szCs w:val="22"/>
          <w:lang w:val="en-GB"/>
        </w:rPr>
        <w:t>SU</w:t>
      </w:r>
      <w:r w:rsidR="007B2DD6" w:rsidRPr="00437272">
        <w:rPr>
          <w:bCs/>
          <w:szCs w:val="22"/>
          <w:lang w:val="en-GB"/>
        </w:rPr>
        <w:t xml:space="preserve"> </w:t>
      </w:r>
      <w:r w:rsidR="00437272" w:rsidRPr="00437272">
        <w:rPr>
          <w:bCs/>
          <w:szCs w:val="22"/>
          <w:lang w:val="en-GB"/>
        </w:rPr>
        <w:t xml:space="preserve">and </w:t>
      </w:r>
      <w:r w:rsidR="00437272" w:rsidRPr="00437272">
        <w:rPr>
          <w:bCs/>
          <w:strike/>
          <w:szCs w:val="22"/>
          <w:lang w:val="en-GB"/>
        </w:rPr>
        <w:t>sitagliptin</w:t>
      </w:r>
      <w:r w:rsidR="00437272" w:rsidRPr="00437272">
        <w:rPr>
          <w:bCs/>
          <w:szCs w:val="22"/>
          <w:lang w:val="en-GB"/>
        </w:rPr>
        <w:t xml:space="preserve"> </w:t>
      </w:r>
      <w:r w:rsidR="00437272" w:rsidRPr="00437272">
        <w:rPr>
          <w:bCs/>
          <w:i/>
          <w:szCs w:val="22"/>
          <w:lang w:val="en-GB"/>
        </w:rPr>
        <w:t>this drug</w:t>
      </w:r>
      <w:r w:rsidR="00437272">
        <w:rPr>
          <w:bCs/>
          <w:szCs w:val="22"/>
          <w:lang w:val="en-GB"/>
        </w:rPr>
        <w:t xml:space="preserve">”. The changes to the wording requested by the submission (with suggested additions in italics and deletions crossed out with strikethrough) would allow for this criterion to be used in the restriction for all triple oral therapy T2DM drugs. </w:t>
      </w:r>
    </w:p>
    <w:p w:rsidR="00DF3115" w:rsidRDefault="00DF3115" w:rsidP="00FB718A">
      <w:pPr>
        <w:pStyle w:val="ListParagraph"/>
        <w:widowControl/>
        <w:rPr>
          <w:bCs/>
          <w:szCs w:val="22"/>
          <w:lang w:val="en-GB"/>
        </w:rPr>
      </w:pPr>
    </w:p>
    <w:p w:rsidR="006A0C6F" w:rsidRDefault="006A0C6F" w:rsidP="00FB718A">
      <w:pPr>
        <w:widowControl/>
        <w:numPr>
          <w:ilvl w:val="1"/>
          <w:numId w:val="5"/>
        </w:numPr>
        <w:contextualSpacing/>
        <w:rPr>
          <w:bCs/>
          <w:szCs w:val="22"/>
          <w:lang w:val="en-GB"/>
        </w:rPr>
      </w:pPr>
      <w:r>
        <w:rPr>
          <w:bCs/>
          <w:szCs w:val="22"/>
          <w:lang w:val="en-GB"/>
        </w:rPr>
        <w:t xml:space="preserve">The PBAC considered there was a clinical place for sitagliptin in triple oral therapy, noting that it may delay the introduction of insulin. </w:t>
      </w:r>
      <w:r w:rsidR="00DE26F7">
        <w:rPr>
          <w:bCs/>
          <w:szCs w:val="22"/>
          <w:lang w:val="en-GB"/>
        </w:rPr>
        <w:t xml:space="preserve">As </w:t>
      </w:r>
      <w:r w:rsidR="00FB718A">
        <w:rPr>
          <w:bCs/>
          <w:szCs w:val="22"/>
          <w:lang w:val="en-GB"/>
        </w:rPr>
        <w:t>an aside,</w:t>
      </w:r>
      <w:r w:rsidR="00DE26F7">
        <w:rPr>
          <w:bCs/>
          <w:szCs w:val="22"/>
          <w:lang w:val="en-GB"/>
        </w:rPr>
        <w:t xml:space="preserve"> the PBAC </w:t>
      </w:r>
      <w:r w:rsidR="00FB718A">
        <w:rPr>
          <w:bCs/>
          <w:szCs w:val="22"/>
          <w:lang w:val="en-GB"/>
        </w:rPr>
        <w:t>noted that it did not see a clinical need for any future submissions request</w:t>
      </w:r>
      <w:r w:rsidR="009913EA">
        <w:rPr>
          <w:bCs/>
          <w:szCs w:val="22"/>
          <w:lang w:val="en-GB"/>
        </w:rPr>
        <w:t>ing</w:t>
      </w:r>
      <w:r w:rsidR="00FB718A">
        <w:rPr>
          <w:bCs/>
          <w:szCs w:val="22"/>
          <w:lang w:val="en-GB"/>
        </w:rPr>
        <w:t xml:space="preserve"> listing for </w:t>
      </w:r>
      <w:r w:rsidR="002B7A18">
        <w:rPr>
          <w:bCs/>
          <w:szCs w:val="22"/>
          <w:lang w:val="en-GB"/>
        </w:rPr>
        <w:t xml:space="preserve">sitagliptin in combination with </w:t>
      </w:r>
      <w:r w:rsidR="007B2DD6">
        <w:rPr>
          <w:bCs/>
          <w:szCs w:val="22"/>
          <w:lang w:val="en-GB"/>
        </w:rPr>
        <w:t>MET</w:t>
      </w:r>
      <w:r w:rsidR="002B7A18">
        <w:rPr>
          <w:bCs/>
          <w:szCs w:val="22"/>
          <w:lang w:val="en-GB"/>
        </w:rPr>
        <w:t xml:space="preserve">, a </w:t>
      </w:r>
      <w:r w:rsidR="007B2DD6">
        <w:rPr>
          <w:bCs/>
          <w:szCs w:val="22"/>
          <w:lang w:val="en-GB"/>
        </w:rPr>
        <w:t xml:space="preserve">SU </w:t>
      </w:r>
      <w:r w:rsidR="002B7A18">
        <w:rPr>
          <w:bCs/>
          <w:szCs w:val="22"/>
          <w:lang w:val="en-GB"/>
        </w:rPr>
        <w:t>and insulin</w:t>
      </w:r>
      <w:r w:rsidR="00DE26F7">
        <w:rPr>
          <w:bCs/>
          <w:szCs w:val="22"/>
          <w:lang w:val="en-GB"/>
        </w:rPr>
        <w:t xml:space="preserve"> (triple oral therapy and insulin)</w:t>
      </w:r>
      <w:r w:rsidR="002B7A18">
        <w:rPr>
          <w:bCs/>
          <w:szCs w:val="22"/>
          <w:lang w:val="en-GB"/>
        </w:rPr>
        <w:t>.</w:t>
      </w:r>
    </w:p>
    <w:p w:rsidR="006A0C6F" w:rsidRDefault="006A0C6F" w:rsidP="00FB718A">
      <w:pPr>
        <w:pStyle w:val="ListParagraph"/>
        <w:widowControl/>
        <w:rPr>
          <w:bCs/>
          <w:szCs w:val="22"/>
          <w:lang w:val="en-GB"/>
        </w:rPr>
      </w:pPr>
    </w:p>
    <w:p w:rsidR="002B2B0D" w:rsidRPr="00FB718A" w:rsidRDefault="002B2B0D" w:rsidP="00FB718A">
      <w:pPr>
        <w:widowControl/>
        <w:numPr>
          <w:ilvl w:val="1"/>
          <w:numId w:val="5"/>
        </w:numPr>
        <w:contextualSpacing/>
        <w:rPr>
          <w:bCs/>
          <w:szCs w:val="22"/>
          <w:lang w:val="en-GB"/>
        </w:rPr>
      </w:pPr>
      <w:r>
        <w:rPr>
          <w:bCs/>
          <w:szCs w:val="22"/>
          <w:lang w:val="en-GB"/>
        </w:rPr>
        <w:t>The PBAC recalled that dapagliflozin was recommended for listing for triple oral therapy in March 2015. Dapagliflozin was recommended on the basis of a cost analysis compared with insulin (including drug acquisition costs and costs of healthcare resource consumption).</w:t>
      </w:r>
      <w:r w:rsidR="00FB718A">
        <w:rPr>
          <w:bCs/>
          <w:szCs w:val="22"/>
          <w:lang w:val="en-GB"/>
        </w:rPr>
        <w:t xml:space="preserve"> The PBAC considered that dapagliflozin (in combination with MET and a SU) was the appropriate comparator. </w:t>
      </w:r>
    </w:p>
    <w:p w:rsidR="007B445E" w:rsidRDefault="007B445E" w:rsidP="00FB718A">
      <w:pPr>
        <w:pStyle w:val="ListParagraph"/>
        <w:widowControl/>
        <w:rPr>
          <w:bCs/>
          <w:szCs w:val="22"/>
          <w:lang w:val="en-GB"/>
        </w:rPr>
      </w:pPr>
    </w:p>
    <w:p w:rsidR="007565B6" w:rsidRPr="000D7864" w:rsidRDefault="007B445E" w:rsidP="00FB718A">
      <w:pPr>
        <w:widowControl/>
        <w:numPr>
          <w:ilvl w:val="1"/>
          <w:numId w:val="5"/>
        </w:numPr>
        <w:contextualSpacing/>
        <w:rPr>
          <w:bCs/>
          <w:szCs w:val="22"/>
          <w:lang w:val="en-GB"/>
        </w:rPr>
      </w:pPr>
      <w:r>
        <w:rPr>
          <w:bCs/>
          <w:szCs w:val="22"/>
          <w:lang w:val="en-GB"/>
        </w:rPr>
        <w:t xml:space="preserve">The PBAC </w:t>
      </w:r>
      <w:r w:rsidRPr="007B445E">
        <w:rPr>
          <w:rFonts w:cs="Times New Roman"/>
          <w:szCs w:val="22"/>
          <w:lang w:eastAsia="en-AU"/>
        </w:rPr>
        <w:t xml:space="preserve">considered that </w:t>
      </w:r>
      <w:r>
        <w:rPr>
          <w:rFonts w:cs="Times New Roman"/>
          <w:szCs w:val="22"/>
          <w:lang w:eastAsia="en-AU"/>
        </w:rPr>
        <w:t xml:space="preserve">sitagliptin </w:t>
      </w:r>
      <w:r w:rsidRPr="007B445E">
        <w:rPr>
          <w:rFonts w:cs="Times New Roman"/>
          <w:szCs w:val="22"/>
          <w:lang w:eastAsia="en-AU"/>
        </w:rPr>
        <w:t xml:space="preserve">has a different, but not worse, safety profile than </w:t>
      </w:r>
      <w:r>
        <w:rPr>
          <w:rFonts w:cs="Times New Roman"/>
          <w:szCs w:val="22"/>
          <w:lang w:eastAsia="en-AU"/>
        </w:rPr>
        <w:t>dapagliflozin</w:t>
      </w:r>
      <w:r w:rsidRPr="007B445E">
        <w:rPr>
          <w:rFonts w:cs="Times New Roman"/>
          <w:szCs w:val="22"/>
          <w:lang w:eastAsia="en-AU"/>
        </w:rPr>
        <w:t xml:space="preserve"> as measured by the occurrence of adverse events, significant adverse events and discontinuations due to adverse events.</w:t>
      </w:r>
      <w:r>
        <w:rPr>
          <w:rFonts w:cs="Times New Roman"/>
          <w:szCs w:val="22"/>
          <w:lang w:eastAsia="en-AU"/>
        </w:rPr>
        <w:t xml:space="preserve"> </w:t>
      </w:r>
    </w:p>
    <w:p w:rsidR="000D7864" w:rsidRDefault="000D7864" w:rsidP="00FB718A">
      <w:pPr>
        <w:pStyle w:val="ListParagraph"/>
        <w:widowControl/>
        <w:rPr>
          <w:bCs/>
          <w:szCs w:val="22"/>
          <w:lang w:val="en-GB"/>
        </w:rPr>
      </w:pPr>
    </w:p>
    <w:p w:rsidR="00A90935" w:rsidRPr="00A90935" w:rsidRDefault="000D7864" w:rsidP="00FB718A">
      <w:pPr>
        <w:widowControl/>
        <w:numPr>
          <w:ilvl w:val="1"/>
          <w:numId w:val="5"/>
        </w:numPr>
        <w:contextualSpacing/>
        <w:rPr>
          <w:bCs/>
          <w:szCs w:val="22"/>
          <w:lang w:val="en-GB"/>
        </w:rPr>
      </w:pPr>
      <w:r>
        <w:t xml:space="preserve">The PBAC </w:t>
      </w:r>
      <w:r w:rsidR="00A90935">
        <w:t xml:space="preserve">advised </w:t>
      </w:r>
      <w:r w:rsidR="00A15147">
        <w:t>the Minister that</w:t>
      </w:r>
      <w:r w:rsidR="00A90935">
        <w:t xml:space="preserve"> under Section 101(3BA) of the National Health Act 1953:</w:t>
      </w:r>
    </w:p>
    <w:p w:rsidR="00A90935" w:rsidRPr="00A90935" w:rsidRDefault="000D7864" w:rsidP="00FB718A">
      <w:pPr>
        <w:widowControl/>
        <w:numPr>
          <w:ilvl w:val="1"/>
          <w:numId w:val="17"/>
        </w:numPr>
        <w:ind w:left="993" w:hanging="284"/>
        <w:contextualSpacing/>
        <w:rPr>
          <w:bCs/>
          <w:szCs w:val="22"/>
          <w:lang w:val="en-GB"/>
        </w:rPr>
      </w:pPr>
      <w:r>
        <w:t>sitagliptin should be treated as interchangeable on an individual patient basis with</w:t>
      </w:r>
      <w:r w:rsidR="00A90935">
        <w:t xml:space="preserve"> saxagliptin</w:t>
      </w:r>
      <w:r w:rsidR="001A5827">
        <w:t xml:space="preserve"> for triple oral therapy for T2DM</w:t>
      </w:r>
      <w:r w:rsidR="00A90935">
        <w:t>; and</w:t>
      </w:r>
    </w:p>
    <w:p w:rsidR="00534825" w:rsidRPr="000D7864" w:rsidRDefault="00A90935" w:rsidP="00FB718A">
      <w:pPr>
        <w:widowControl/>
        <w:numPr>
          <w:ilvl w:val="1"/>
          <w:numId w:val="17"/>
        </w:numPr>
        <w:ind w:left="993" w:hanging="284"/>
        <w:contextualSpacing/>
        <w:rPr>
          <w:bCs/>
          <w:szCs w:val="22"/>
          <w:lang w:val="en-GB"/>
        </w:rPr>
      </w:pPr>
      <w:r>
        <w:t>sitagliptin/MET FDC should be treated as interchangeable on an individual patient basis with saxagliptin/MET</w:t>
      </w:r>
      <w:r w:rsidR="00A15147">
        <w:t xml:space="preserve"> FDC</w:t>
      </w:r>
      <w:r w:rsidR="001A5827">
        <w:t xml:space="preserve"> for triple oral therapy for T2DM</w:t>
      </w:r>
      <w:r>
        <w:t>.</w:t>
      </w:r>
    </w:p>
    <w:p w:rsidR="000D7864" w:rsidRPr="000D7864" w:rsidRDefault="000D7864" w:rsidP="00FB718A">
      <w:pPr>
        <w:widowControl/>
        <w:contextualSpacing/>
        <w:rPr>
          <w:bCs/>
          <w:szCs w:val="22"/>
          <w:lang w:val="en-GB"/>
        </w:rPr>
      </w:pPr>
    </w:p>
    <w:p w:rsidR="00534825" w:rsidRDefault="00534825" w:rsidP="00FB718A">
      <w:pPr>
        <w:pStyle w:val="ListParagraph"/>
        <w:widowControl/>
        <w:numPr>
          <w:ilvl w:val="1"/>
          <w:numId w:val="5"/>
        </w:numPr>
        <w:snapToGrid w:val="0"/>
        <w:rPr>
          <w:rFonts w:cs="Times New Roman"/>
          <w:szCs w:val="22"/>
          <w:lang w:eastAsia="en-AU"/>
        </w:rPr>
      </w:pPr>
      <w:r w:rsidRPr="00F906FE">
        <w:rPr>
          <w:rFonts w:cs="Times New Roman"/>
          <w:szCs w:val="22"/>
          <w:lang w:eastAsia="en-AU"/>
        </w:rPr>
        <w:t xml:space="preserve">The PBAC </w:t>
      </w:r>
      <w:r>
        <w:rPr>
          <w:rFonts w:cs="Times New Roman"/>
          <w:szCs w:val="22"/>
          <w:lang w:eastAsia="en-AU"/>
        </w:rPr>
        <w:t>advis</w:t>
      </w:r>
      <w:r w:rsidRPr="00F906FE">
        <w:rPr>
          <w:rFonts w:cs="Times New Roman"/>
          <w:szCs w:val="22"/>
          <w:lang w:eastAsia="en-AU"/>
        </w:rPr>
        <w:t>ed that the NOTE</w:t>
      </w:r>
      <w:r w:rsidR="00910FF6">
        <w:rPr>
          <w:rFonts w:cs="Times New Roman"/>
          <w:szCs w:val="22"/>
          <w:lang w:eastAsia="en-AU"/>
        </w:rPr>
        <w:t xml:space="preserve"> in the current restriction </w:t>
      </w:r>
      <w:r w:rsidR="001630E9">
        <w:rPr>
          <w:rFonts w:cs="Times New Roman"/>
          <w:szCs w:val="22"/>
          <w:lang w:eastAsia="en-AU"/>
        </w:rPr>
        <w:t>for</w:t>
      </w:r>
      <w:r>
        <w:rPr>
          <w:rFonts w:cs="Times New Roman"/>
          <w:szCs w:val="22"/>
          <w:lang w:eastAsia="en-AU"/>
        </w:rPr>
        <w:t xml:space="preserve"> sitagliptin and</w:t>
      </w:r>
      <w:r w:rsidR="00910FF6">
        <w:rPr>
          <w:rFonts w:cs="Times New Roman"/>
          <w:szCs w:val="22"/>
          <w:lang w:eastAsia="en-AU"/>
        </w:rPr>
        <w:t xml:space="preserve"> the</w:t>
      </w:r>
      <w:r>
        <w:rPr>
          <w:rFonts w:cs="Times New Roman"/>
          <w:szCs w:val="22"/>
          <w:lang w:eastAsia="en-AU"/>
        </w:rPr>
        <w:t xml:space="preserve"> </w:t>
      </w:r>
      <w:r>
        <w:rPr>
          <w:bCs/>
          <w:szCs w:val="22"/>
          <w:lang w:val="en-GB"/>
        </w:rPr>
        <w:t>sitagliptin</w:t>
      </w:r>
      <w:r w:rsidR="00000705">
        <w:rPr>
          <w:bCs/>
          <w:szCs w:val="22"/>
          <w:lang w:val="en-GB"/>
        </w:rPr>
        <w:t>/</w:t>
      </w:r>
      <w:r w:rsidR="007B2DD6">
        <w:rPr>
          <w:bCs/>
          <w:szCs w:val="22"/>
          <w:lang w:val="en-GB"/>
        </w:rPr>
        <w:t>MET</w:t>
      </w:r>
      <w:r>
        <w:rPr>
          <w:bCs/>
          <w:szCs w:val="22"/>
          <w:lang w:val="en-GB"/>
        </w:rPr>
        <w:t xml:space="preserve"> FDC</w:t>
      </w:r>
      <w:r w:rsidR="00910FF6">
        <w:rPr>
          <w:bCs/>
          <w:szCs w:val="22"/>
          <w:lang w:val="en-GB"/>
        </w:rPr>
        <w:t>s</w:t>
      </w:r>
      <w:r>
        <w:rPr>
          <w:rFonts w:cs="Times New Roman"/>
          <w:szCs w:val="22"/>
          <w:lang w:eastAsia="en-AU"/>
        </w:rPr>
        <w:t xml:space="preserve"> </w:t>
      </w:r>
      <w:r w:rsidR="00910FF6">
        <w:rPr>
          <w:rFonts w:cs="Times New Roman"/>
          <w:szCs w:val="22"/>
          <w:lang w:eastAsia="en-AU"/>
        </w:rPr>
        <w:t xml:space="preserve">in </w:t>
      </w:r>
      <w:r>
        <w:rPr>
          <w:rFonts w:cs="Times New Roman"/>
          <w:szCs w:val="22"/>
          <w:lang w:eastAsia="en-AU"/>
        </w:rPr>
        <w:t>dual therapy will need to be amended to allow for triple oral combination therapy.</w:t>
      </w:r>
    </w:p>
    <w:p w:rsidR="00534825" w:rsidRPr="00534825" w:rsidRDefault="00534825" w:rsidP="00FB718A">
      <w:pPr>
        <w:widowControl/>
        <w:snapToGrid w:val="0"/>
        <w:rPr>
          <w:rFonts w:cs="Times New Roman"/>
          <w:szCs w:val="22"/>
          <w:lang w:eastAsia="en-AU"/>
        </w:rPr>
      </w:pPr>
    </w:p>
    <w:p w:rsidR="00534825" w:rsidRDefault="00534825" w:rsidP="00FB718A">
      <w:pPr>
        <w:pStyle w:val="ListParagraph"/>
        <w:widowControl/>
        <w:numPr>
          <w:ilvl w:val="1"/>
          <w:numId w:val="5"/>
        </w:numPr>
        <w:snapToGrid w:val="0"/>
        <w:rPr>
          <w:rFonts w:cs="Times New Roman"/>
          <w:szCs w:val="22"/>
          <w:lang w:eastAsia="en-AU"/>
        </w:rPr>
      </w:pPr>
      <w:r>
        <w:rPr>
          <w:rFonts w:cs="Times New Roman"/>
          <w:szCs w:val="22"/>
          <w:lang w:eastAsia="en-AU"/>
        </w:rPr>
        <w:t xml:space="preserve">The PBAC advised that sitagliptin and </w:t>
      </w:r>
      <w:r w:rsidR="00437272">
        <w:rPr>
          <w:rFonts w:cs="Times New Roman"/>
          <w:szCs w:val="22"/>
          <w:lang w:eastAsia="en-AU"/>
        </w:rPr>
        <w:t xml:space="preserve">the </w:t>
      </w:r>
      <w:r>
        <w:rPr>
          <w:rFonts w:cs="Times New Roman"/>
          <w:szCs w:val="22"/>
          <w:lang w:eastAsia="en-AU"/>
        </w:rPr>
        <w:t>sitagliptin/</w:t>
      </w:r>
      <w:r w:rsidR="00437272">
        <w:rPr>
          <w:rFonts w:cs="Times New Roman"/>
          <w:szCs w:val="22"/>
          <w:lang w:eastAsia="en-AU"/>
        </w:rPr>
        <w:t xml:space="preserve">MET </w:t>
      </w:r>
      <w:r>
        <w:rPr>
          <w:rFonts w:cs="Times New Roman"/>
          <w:szCs w:val="22"/>
          <w:lang w:eastAsia="en-AU"/>
        </w:rPr>
        <w:t>FDC</w:t>
      </w:r>
      <w:r w:rsidR="00437272">
        <w:rPr>
          <w:rFonts w:cs="Times New Roman"/>
          <w:szCs w:val="22"/>
          <w:lang w:eastAsia="en-AU"/>
        </w:rPr>
        <w:t>s</w:t>
      </w:r>
      <w:r>
        <w:rPr>
          <w:rFonts w:cs="Times New Roman"/>
          <w:szCs w:val="22"/>
          <w:lang w:eastAsia="en-AU"/>
        </w:rPr>
        <w:t xml:space="preserve"> </w:t>
      </w:r>
      <w:r w:rsidR="00437272">
        <w:rPr>
          <w:rFonts w:cs="Times New Roman"/>
          <w:szCs w:val="22"/>
          <w:lang w:eastAsia="en-AU"/>
        </w:rPr>
        <w:t xml:space="preserve">are </w:t>
      </w:r>
      <w:r>
        <w:rPr>
          <w:rFonts w:cs="Times New Roman"/>
          <w:szCs w:val="22"/>
          <w:lang w:eastAsia="en-AU"/>
        </w:rPr>
        <w:t>suitable for prescribing by nurse practitioners within collaborative arrangements.</w:t>
      </w:r>
    </w:p>
    <w:p w:rsidR="00534825" w:rsidRPr="00534825" w:rsidRDefault="00534825" w:rsidP="00FB718A">
      <w:pPr>
        <w:widowControl/>
        <w:snapToGrid w:val="0"/>
        <w:rPr>
          <w:rFonts w:cs="Times New Roman"/>
          <w:szCs w:val="22"/>
          <w:lang w:eastAsia="en-AU"/>
        </w:rPr>
      </w:pPr>
    </w:p>
    <w:p w:rsidR="00534825" w:rsidRPr="007B445E" w:rsidRDefault="00534825" w:rsidP="00FB718A">
      <w:pPr>
        <w:widowControl/>
        <w:numPr>
          <w:ilvl w:val="1"/>
          <w:numId w:val="5"/>
        </w:numPr>
        <w:contextualSpacing/>
        <w:rPr>
          <w:bCs/>
          <w:szCs w:val="22"/>
          <w:lang w:val="en-GB"/>
        </w:rPr>
      </w:pPr>
      <w:r>
        <w:rPr>
          <w:bCs/>
          <w:szCs w:val="22"/>
          <w:lang w:val="en-GB"/>
        </w:rPr>
        <w:t xml:space="preserve">The </w:t>
      </w:r>
      <w:r>
        <w:rPr>
          <w:rFonts w:cs="Times New Roman"/>
          <w:szCs w:val="22"/>
          <w:lang w:eastAsia="en-AU"/>
        </w:rPr>
        <w:t>PBAC recommended that the Safety Net 20 Day Rule should apply.</w:t>
      </w:r>
    </w:p>
    <w:p w:rsidR="002C4B11" w:rsidRDefault="002C4B11" w:rsidP="00FB718A">
      <w:pPr>
        <w:widowControl/>
        <w:rPr>
          <w:b/>
          <w:bCs/>
          <w:szCs w:val="22"/>
          <w:highlight w:val="yellow"/>
          <w:lang w:val="en-GB"/>
        </w:rPr>
      </w:pPr>
    </w:p>
    <w:p w:rsidR="002C4B11" w:rsidRPr="006C307E" w:rsidRDefault="002C4B11" w:rsidP="00FB718A">
      <w:pPr>
        <w:widowControl/>
        <w:rPr>
          <w:b/>
          <w:bCs/>
          <w:szCs w:val="22"/>
          <w:highlight w:val="yellow"/>
          <w:lang w:val="en-GB"/>
        </w:rPr>
      </w:pPr>
    </w:p>
    <w:p w:rsidR="007565B6" w:rsidRPr="00FB55F3" w:rsidRDefault="007565B6" w:rsidP="00FB718A">
      <w:pPr>
        <w:widowControl/>
        <w:rPr>
          <w:b/>
          <w:bCs/>
          <w:szCs w:val="22"/>
          <w:lang w:val="en-GB"/>
        </w:rPr>
      </w:pPr>
      <w:r w:rsidRPr="00FB55F3">
        <w:rPr>
          <w:b/>
          <w:bCs/>
          <w:szCs w:val="22"/>
          <w:lang w:val="en-GB"/>
        </w:rPr>
        <w:t>Outcome:</w:t>
      </w:r>
    </w:p>
    <w:p w:rsidR="007565B6" w:rsidRDefault="007565B6" w:rsidP="00FB718A">
      <w:pPr>
        <w:widowControl/>
        <w:rPr>
          <w:bCs/>
          <w:szCs w:val="22"/>
          <w:lang w:val="en-GB"/>
        </w:rPr>
      </w:pPr>
      <w:r w:rsidRPr="00FB55F3">
        <w:rPr>
          <w:bCs/>
          <w:szCs w:val="22"/>
          <w:lang w:val="en-GB"/>
        </w:rPr>
        <w:t>Recommended</w:t>
      </w:r>
    </w:p>
    <w:p w:rsidR="00000705" w:rsidRPr="00000705" w:rsidRDefault="00000705" w:rsidP="00FB718A">
      <w:pPr>
        <w:widowControl/>
        <w:rPr>
          <w:bCs/>
          <w:szCs w:val="22"/>
          <w:lang w:val="en-GB"/>
        </w:rPr>
      </w:pPr>
    </w:p>
    <w:p w:rsidR="00FB718A" w:rsidRPr="007F6D9D" w:rsidRDefault="00FB718A" w:rsidP="00FB718A">
      <w:pPr>
        <w:widowControl/>
        <w:rPr>
          <w:bCs/>
          <w:szCs w:val="22"/>
          <w:highlight w:val="yellow"/>
        </w:rPr>
      </w:pPr>
    </w:p>
    <w:p w:rsidR="007565B6" w:rsidRPr="000D7864" w:rsidRDefault="007565B6" w:rsidP="00FB718A">
      <w:pPr>
        <w:widowControl/>
        <w:numPr>
          <w:ilvl w:val="0"/>
          <w:numId w:val="5"/>
        </w:numPr>
        <w:rPr>
          <w:b/>
          <w:bCs/>
          <w:i/>
          <w:szCs w:val="22"/>
          <w:lang w:val="en-GB"/>
        </w:rPr>
      </w:pPr>
      <w:r w:rsidRPr="000D7864">
        <w:rPr>
          <w:b/>
          <w:bCs/>
          <w:szCs w:val="22"/>
          <w:lang w:val="en-GB"/>
        </w:rPr>
        <w:t>Recommended listing</w:t>
      </w:r>
    </w:p>
    <w:p w:rsidR="007565B6" w:rsidRPr="000D7864" w:rsidRDefault="007565B6" w:rsidP="00FB718A">
      <w:pPr>
        <w:widowControl/>
        <w:rPr>
          <w:b/>
          <w:bCs/>
          <w:i/>
          <w:szCs w:val="22"/>
          <w:lang w:val="en-GB"/>
        </w:rPr>
      </w:pPr>
    </w:p>
    <w:p w:rsidR="00C67187" w:rsidRPr="004918B8" w:rsidRDefault="00C67187" w:rsidP="00FB718A">
      <w:pPr>
        <w:widowControl/>
        <w:numPr>
          <w:ilvl w:val="1"/>
          <w:numId w:val="5"/>
        </w:numPr>
        <w:contextualSpacing/>
        <w:rPr>
          <w:b/>
          <w:bCs/>
          <w:szCs w:val="22"/>
        </w:rPr>
      </w:pPr>
      <w:r w:rsidRPr="004918B8">
        <w:rPr>
          <w:bCs/>
          <w:szCs w:val="22"/>
        </w:rPr>
        <w:t>A</w:t>
      </w:r>
      <w:r>
        <w:rPr>
          <w:bCs/>
          <w:szCs w:val="22"/>
        </w:rPr>
        <w:t>mend existing listing as follows:</w:t>
      </w:r>
      <w:r w:rsidRPr="004918B8">
        <w:rPr>
          <w:bCs/>
          <w:szCs w:val="22"/>
        </w:rPr>
        <w:t xml:space="preserve"> </w:t>
      </w:r>
    </w:p>
    <w:p w:rsidR="007565B6" w:rsidRPr="006C307E" w:rsidRDefault="007565B6" w:rsidP="00FB718A">
      <w:pPr>
        <w:widowControl/>
        <w:rPr>
          <w:b/>
          <w:bCs/>
          <w:szCs w:val="22"/>
          <w:highlight w:val="yellow"/>
        </w:rPr>
      </w:pPr>
    </w:p>
    <w:tbl>
      <w:tblPr>
        <w:tblW w:w="8363"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708"/>
        <w:gridCol w:w="1276"/>
        <w:gridCol w:w="992"/>
      </w:tblGrid>
      <w:tr w:rsidR="000D7864" w:rsidRPr="005E26D6" w:rsidTr="00DE26F7">
        <w:trPr>
          <w:cantSplit/>
          <w:trHeight w:val="471"/>
        </w:trPr>
        <w:tc>
          <w:tcPr>
            <w:tcW w:w="4678" w:type="dxa"/>
            <w:tcBorders>
              <w:top w:val="nil"/>
              <w:left w:val="nil"/>
              <w:bottom w:val="single" w:sz="6" w:space="0" w:color="auto"/>
              <w:right w:val="nil"/>
            </w:tcBorders>
            <w:shd w:val="clear" w:color="auto" w:fill="auto"/>
          </w:tcPr>
          <w:p w:rsidR="000D7864" w:rsidRPr="005E26D6" w:rsidRDefault="000D7864" w:rsidP="00FB718A">
            <w:pPr>
              <w:keepNext/>
              <w:widowControl/>
              <w:ind w:left="-108"/>
              <w:rPr>
                <w:b/>
                <w:sz w:val="20"/>
              </w:rPr>
            </w:pPr>
            <w:r w:rsidRPr="005E26D6">
              <w:rPr>
                <w:b/>
                <w:sz w:val="20"/>
              </w:rPr>
              <w:t>Name, Restriction,</w:t>
            </w:r>
          </w:p>
          <w:p w:rsidR="000D7864" w:rsidRPr="005E26D6" w:rsidRDefault="000D7864" w:rsidP="00FB718A">
            <w:pPr>
              <w:keepNext/>
              <w:widowControl/>
              <w:ind w:left="-108"/>
              <w:rPr>
                <w:b/>
                <w:sz w:val="20"/>
              </w:rPr>
            </w:pPr>
            <w:r w:rsidRPr="005E26D6">
              <w:rPr>
                <w:b/>
                <w:sz w:val="20"/>
              </w:rPr>
              <w:t xml:space="preserve">Manner of administration </w:t>
            </w:r>
          </w:p>
          <w:p w:rsidR="000D7864" w:rsidRPr="005E26D6" w:rsidRDefault="000D7864" w:rsidP="00FB718A">
            <w:pPr>
              <w:keepNext/>
              <w:widowControl/>
              <w:ind w:left="-108"/>
              <w:rPr>
                <w:b/>
                <w:sz w:val="20"/>
              </w:rPr>
            </w:pPr>
            <w:r w:rsidRPr="005E26D6">
              <w:rPr>
                <w:b/>
                <w:sz w:val="20"/>
              </w:rPr>
              <w:t>and form</w:t>
            </w:r>
          </w:p>
        </w:tc>
        <w:tc>
          <w:tcPr>
            <w:tcW w:w="709" w:type="dxa"/>
            <w:tcBorders>
              <w:top w:val="nil"/>
              <w:left w:val="nil"/>
              <w:bottom w:val="single" w:sz="6" w:space="0" w:color="auto"/>
              <w:right w:val="nil"/>
            </w:tcBorders>
            <w:shd w:val="clear" w:color="auto" w:fill="auto"/>
          </w:tcPr>
          <w:p w:rsidR="000D7864" w:rsidRPr="005E26D6" w:rsidRDefault="000D7864" w:rsidP="00FB718A">
            <w:pPr>
              <w:keepNext/>
              <w:widowControl/>
              <w:ind w:left="-108"/>
              <w:rPr>
                <w:b/>
                <w:sz w:val="20"/>
              </w:rPr>
            </w:pPr>
            <w:r w:rsidRPr="005E26D6">
              <w:rPr>
                <w:b/>
                <w:sz w:val="20"/>
              </w:rPr>
              <w:t>Max.</w:t>
            </w:r>
          </w:p>
          <w:p w:rsidR="000D7864" w:rsidRPr="005E26D6" w:rsidRDefault="000D7864" w:rsidP="00FB718A">
            <w:pPr>
              <w:keepNext/>
              <w:widowControl/>
              <w:ind w:left="-108"/>
              <w:rPr>
                <w:b/>
                <w:sz w:val="20"/>
              </w:rPr>
            </w:pPr>
            <w:r w:rsidRPr="005E26D6">
              <w:rPr>
                <w:b/>
                <w:sz w:val="20"/>
              </w:rPr>
              <w:t>Qty</w:t>
            </w:r>
          </w:p>
        </w:tc>
        <w:tc>
          <w:tcPr>
            <w:tcW w:w="708" w:type="dxa"/>
            <w:tcBorders>
              <w:top w:val="nil"/>
              <w:left w:val="nil"/>
              <w:bottom w:val="single" w:sz="6" w:space="0" w:color="auto"/>
              <w:right w:val="nil"/>
            </w:tcBorders>
            <w:shd w:val="clear" w:color="auto" w:fill="auto"/>
          </w:tcPr>
          <w:p w:rsidR="000D7864" w:rsidRPr="005E26D6" w:rsidRDefault="000D7864" w:rsidP="00FB718A">
            <w:pPr>
              <w:keepNext/>
              <w:widowControl/>
              <w:ind w:left="-108"/>
              <w:rPr>
                <w:b/>
                <w:sz w:val="20"/>
              </w:rPr>
            </w:pPr>
            <w:r w:rsidRPr="005E26D6">
              <w:rPr>
                <w:b/>
                <w:sz w:val="20"/>
              </w:rPr>
              <w:t>№.of</w:t>
            </w:r>
          </w:p>
          <w:p w:rsidR="000D7864" w:rsidRPr="005E26D6" w:rsidRDefault="000D7864" w:rsidP="00FB718A">
            <w:pPr>
              <w:keepNext/>
              <w:widowControl/>
              <w:ind w:left="-108"/>
              <w:rPr>
                <w:b/>
                <w:sz w:val="20"/>
              </w:rPr>
            </w:pPr>
            <w:r w:rsidRPr="005E26D6">
              <w:rPr>
                <w:b/>
                <w:sz w:val="20"/>
              </w:rPr>
              <w:t>Rpts</w:t>
            </w:r>
          </w:p>
        </w:tc>
        <w:tc>
          <w:tcPr>
            <w:tcW w:w="2268" w:type="dxa"/>
            <w:gridSpan w:val="2"/>
            <w:tcBorders>
              <w:top w:val="nil"/>
              <w:left w:val="nil"/>
              <w:bottom w:val="single" w:sz="6" w:space="0" w:color="auto"/>
              <w:right w:val="nil"/>
            </w:tcBorders>
            <w:shd w:val="clear" w:color="auto" w:fill="auto"/>
          </w:tcPr>
          <w:p w:rsidR="000D7864" w:rsidRPr="005E26D6" w:rsidRDefault="000D7864" w:rsidP="00FB718A">
            <w:pPr>
              <w:keepNext/>
              <w:widowControl/>
              <w:jc w:val="left"/>
              <w:rPr>
                <w:b/>
                <w:sz w:val="20"/>
                <w:lang w:val="fr-FR"/>
              </w:rPr>
            </w:pPr>
            <w:r w:rsidRPr="005E26D6">
              <w:rPr>
                <w:b/>
                <w:sz w:val="20"/>
              </w:rPr>
              <w:t>Proprietary Name and Manufacturer</w:t>
            </w:r>
          </w:p>
        </w:tc>
      </w:tr>
      <w:tr w:rsidR="000D7864" w:rsidRPr="005E26D6" w:rsidTr="00DE26F7">
        <w:trPr>
          <w:cantSplit/>
          <w:trHeight w:val="471"/>
        </w:trPr>
        <w:tc>
          <w:tcPr>
            <w:tcW w:w="4678" w:type="dxa"/>
            <w:tcBorders>
              <w:top w:val="single" w:sz="6" w:space="0" w:color="auto"/>
              <w:left w:val="nil"/>
              <w:bottom w:val="nil"/>
              <w:right w:val="nil"/>
            </w:tcBorders>
            <w:shd w:val="clear" w:color="auto" w:fill="auto"/>
            <w:vAlign w:val="center"/>
          </w:tcPr>
          <w:p w:rsidR="000D7864" w:rsidRDefault="000D7864" w:rsidP="00FB718A">
            <w:pPr>
              <w:widowControl/>
              <w:rPr>
                <w:rFonts w:ascii="Arial Narrow" w:hAnsi="Arial Narrow"/>
                <w:sz w:val="20"/>
              </w:rPr>
            </w:pPr>
            <w:r>
              <w:rPr>
                <w:rFonts w:ascii="Arial Narrow" w:hAnsi="Arial Narrow"/>
                <w:sz w:val="20"/>
              </w:rPr>
              <w:t>SITAGLIPTIN</w:t>
            </w:r>
          </w:p>
          <w:p w:rsidR="000D7864" w:rsidRDefault="000D7864" w:rsidP="00FB718A">
            <w:pPr>
              <w:widowControl/>
              <w:rPr>
                <w:rFonts w:ascii="Arial Narrow" w:hAnsi="Arial Narrow"/>
                <w:sz w:val="20"/>
              </w:rPr>
            </w:pPr>
            <w:r>
              <w:rPr>
                <w:rFonts w:ascii="Arial Narrow" w:hAnsi="Arial Narrow"/>
                <w:sz w:val="20"/>
              </w:rPr>
              <w:t>sitagliptin 25 mg tablet, 28</w:t>
            </w:r>
          </w:p>
          <w:p w:rsidR="000D7864" w:rsidRPr="005E26D6" w:rsidRDefault="000D7864" w:rsidP="00FB718A">
            <w:pPr>
              <w:widowControl/>
              <w:rPr>
                <w:rFonts w:ascii="Arial Narrow" w:hAnsi="Arial Narrow"/>
                <w:sz w:val="20"/>
              </w:rPr>
            </w:pPr>
            <w:r>
              <w:rPr>
                <w:rFonts w:ascii="Arial Narrow" w:hAnsi="Arial Narrow"/>
                <w:sz w:val="20"/>
              </w:rPr>
              <w:t>sitagliptin 50 mg tablet, 28</w:t>
            </w:r>
          </w:p>
          <w:p w:rsidR="000D7864" w:rsidRPr="00096207" w:rsidRDefault="000D7864" w:rsidP="00FB718A">
            <w:pPr>
              <w:widowControl/>
              <w:rPr>
                <w:rFonts w:ascii="Arial Narrow" w:hAnsi="Arial Narrow"/>
                <w:sz w:val="20"/>
              </w:rPr>
            </w:pPr>
            <w:r>
              <w:rPr>
                <w:rFonts w:ascii="Arial Narrow" w:hAnsi="Arial Narrow"/>
                <w:sz w:val="20"/>
              </w:rPr>
              <w:t>sitagliptin 100 mg tablet, 28</w:t>
            </w:r>
          </w:p>
        </w:tc>
        <w:tc>
          <w:tcPr>
            <w:tcW w:w="709" w:type="dxa"/>
            <w:tcBorders>
              <w:top w:val="single" w:sz="6" w:space="0" w:color="auto"/>
              <w:left w:val="nil"/>
              <w:bottom w:val="nil"/>
              <w:right w:val="nil"/>
            </w:tcBorders>
            <w:shd w:val="clear" w:color="auto" w:fill="auto"/>
            <w:vAlign w:val="center"/>
          </w:tcPr>
          <w:p w:rsidR="000D7864" w:rsidRPr="005E26D6" w:rsidRDefault="000D7864" w:rsidP="00FB718A">
            <w:pPr>
              <w:keepNext/>
              <w:widowControl/>
              <w:rPr>
                <w:rFonts w:ascii="Arial Narrow" w:hAnsi="Arial Narrow"/>
                <w:sz w:val="20"/>
              </w:rPr>
            </w:pPr>
            <w:r>
              <w:rPr>
                <w:rFonts w:ascii="Arial Narrow" w:hAnsi="Arial Narrow"/>
                <w:sz w:val="20"/>
              </w:rPr>
              <w:t>1</w:t>
            </w:r>
          </w:p>
        </w:tc>
        <w:tc>
          <w:tcPr>
            <w:tcW w:w="708" w:type="dxa"/>
            <w:tcBorders>
              <w:top w:val="single" w:sz="6" w:space="0" w:color="auto"/>
              <w:left w:val="nil"/>
              <w:bottom w:val="nil"/>
              <w:right w:val="nil"/>
            </w:tcBorders>
            <w:shd w:val="clear" w:color="auto" w:fill="auto"/>
            <w:vAlign w:val="center"/>
          </w:tcPr>
          <w:p w:rsidR="000D7864" w:rsidRPr="005E26D6" w:rsidRDefault="000D7864" w:rsidP="00FB718A">
            <w:pPr>
              <w:keepNext/>
              <w:widowControl/>
              <w:ind w:left="-108"/>
              <w:jc w:val="center"/>
              <w:rPr>
                <w:rFonts w:ascii="Arial Narrow" w:hAnsi="Arial Narrow"/>
                <w:sz w:val="20"/>
              </w:rPr>
            </w:pPr>
            <w:r>
              <w:rPr>
                <w:rFonts w:ascii="Arial Narrow" w:hAnsi="Arial Narrow"/>
                <w:sz w:val="20"/>
              </w:rPr>
              <w:t>5</w:t>
            </w:r>
          </w:p>
        </w:tc>
        <w:tc>
          <w:tcPr>
            <w:tcW w:w="1276" w:type="dxa"/>
            <w:tcBorders>
              <w:top w:val="single" w:sz="6" w:space="0" w:color="auto"/>
              <w:left w:val="nil"/>
              <w:bottom w:val="nil"/>
              <w:right w:val="nil"/>
            </w:tcBorders>
            <w:shd w:val="clear" w:color="auto" w:fill="auto"/>
            <w:vAlign w:val="center"/>
          </w:tcPr>
          <w:p w:rsidR="000D7864" w:rsidRPr="00096207" w:rsidRDefault="000D7864" w:rsidP="00FB718A">
            <w:pPr>
              <w:keepNext/>
              <w:widowControl/>
              <w:rPr>
                <w:rFonts w:ascii="Arial Narrow" w:hAnsi="Arial Narrow"/>
                <w:sz w:val="20"/>
                <w:vertAlign w:val="superscript"/>
              </w:rPr>
            </w:pPr>
            <w:r>
              <w:rPr>
                <w:rFonts w:ascii="Arial Narrow" w:hAnsi="Arial Narrow"/>
                <w:sz w:val="20"/>
              </w:rPr>
              <w:t>Januvia</w:t>
            </w:r>
            <w:r w:rsidRPr="005E26D6">
              <w:rPr>
                <w:rFonts w:ascii="Arial Narrow" w:hAnsi="Arial Narrow"/>
                <w:sz w:val="20"/>
                <w:vertAlign w:val="superscript"/>
              </w:rPr>
              <w:t>®</w:t>
            </w:r>
            <w:r w:rsidRPr="005E26D6">
              <w:rPr>
                <w:rFonts w:ascii="Arial Narrow" w:hAnsi="Arial Narrow"/>
                <w:sz w:val="20"/>
              </w:rPr>
              <w:t xml:space="preserve"> </w:t>
            </w:r>
          </w:p>
        </w:tc>
        <w:tc>
          <w:tcPr>
            <w:tcW w:w="992" w:type="dxa"/>
            <w:tcBorders>
              <w:top w:val="single" w:sz="6" w:space="0" w:color="auto"/>
              <w:left w:val="nil"/>
              <w:bottom w:val="nil"/>
              <w:right w:val="nil"/>
            </w:tcBorders>
            <w:shd w:val="clear" w:color="auto" w:fill="auto"/>
            <w:vAlign w:val="center"/>
          </w:tcPr>
          <w:p w:rsidR="000D7864" w:rsidRPr="005E26D6" w:rsidRDefault="000D7864" w:rsidP="00FB718A">
            <w:pPr>
              <w:keepNext/>
              <w:widowControl/>
              <w:jc w:val="center"/>
              <w:rPr>
                <w:rFonts w:ascii="Arial Narrow" w:hAnsi="Arial Narrow"/>
                <w:sz w:val="20"/>
              </w:rPr>
            </w:pPr>
            <w:r>
              <w:rPr>
                <w:rFonts w:ascii="Arial Narrow" w:hAnsi="Arial Narrow"/>
                <w:sz w:val="20"/>
              </w:rPr>
              <w:t>MK</w:t>
            </w:r>
          </w:p>
        </w:tc>
      </w:tr>
    </w:tbl>
    <w:p w:rsidR="000D7864" w:rsidRPr="00552722" w:rsidRDefault="000D7864" w:rsidP="00FB718A">
      <w:pPr>
        <w:widowControl/>
        <w:rPr>
          <w:szCs w:val="22"/>
        </w:rPr>
      </w:pPr>
    </w:p>
    <w:tbl>
      <w:tblPr>
        <w:tblW w:w="8363" w:type="dxa"/>
        <w:tblInd w:w="817" w:type="dxa"/>
        <w:tblLayout w:type="fixed"/>
        <w:tblLook w:val="0000" w:firstRow="0" w:lastRow="0" w:firstColumn="0" w:lastColumn="0" w:noHBand="0" w:noVBand="0"/>
      </w:tblPr>
      <w:tblGrid>
        <w:gridCol w:w="1984"/>
        <w:gridCol w:w="6379"/>
      </w:tblGrid>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5E26D6">
              <w:rPr>
                <w:rFonts w:ascii="Arial Narrow" w:hAnsi="Arial Narrow"/>
                <w:sz w:val="20"/>
              </w:rPr>
              <w:t xml:space="preserve">GENERAL – General Schedule </w:t>
            </w:r>
            <w:r>
              <w:rPr>
                <w:rFonts w:ascii="Arial Narrow" w:hAnsi="Arial Narrow"/>
                <w:sz w:val="20"/>
              </w:rPr>
              <w:t>(GE)</w:t>
            </w: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5E26D6">
              <w:rPr>
                <w:rFonts w:ascii="Arial Narrow" w:hAnsi="Arial Narrow"/>
                <w:sz w:val="20"/>
              </w:rPr>
              <w:fldChar w:fldCharType="begin">
                <w:ffData>
                  <w:name w:val=""/>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Medical Practitioners  </w:t>
            </w:r>
            <w:r w:rsidRPr="005E26D6">
              <w:rPr>
                <w:rFonts w:ascii="Arial Narrow" w:hAnsi="Arial Narrow"/>
                <w:sz w:val="20"/>
              </w:rPr>
              <w:fldChar w:fldCharType="begin">
                <w:ffData>
                  <w:name w:val="Check3"/>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Nurse practitioners  </w:t>
            </w:r>
          </w:p>
          <w:p w:rsidR="000D7864" w:rsidRPr="005E26D6" w:rsidRDefault="000D7864" w:rsidP="00FB718A">
            <w:pPr>
              <w:widowControl/>
              <w:rPr>
                <w:rFonts w:ascii="Arial Narrow" w:hAnsi="Arial Narrow"/>
                <w:sz w:val="20"/>
              </w:rPr>
            </w:pP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69572D">
              <w:rPr>
                <w:rFonts w:ascii="Arial Narrow" w:hAnsi="Arial Narrow"/>
                <w:sz w:val="20"/>
              </w:rPr>
              <w:t>Diabetes mellitus type 2</w:t>
            </w: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69572D">
              <w:rPr>
                <w:rFonts w:ascii="Arial Narrow" w:hAnsi="Arial Narrow"/>
                <w:sz w:val="20"/>
              </w:rPr>
              <w:t>Diabetes mellitus type 2</w:t>
            </w: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jc w:val="left"/>
              <w:rPr>
                <w:rFonts w:ascii="Arial Narrow" w:hAnsi="Arial Narrow"/>
                <w:b/>
                <w:sz w:val="20"/>
              </w:rPr>
            </w:pPr>
            <w:r w:rsidRPr="005E26D6">
              <w:rPr>
                <w:rFonts w:ascii="Arial Narrow" w:hAnsi="Arial Narrow"/>
                <w:b/>
                <w:sz w:val="20"/>
              </w:rPr>
              <w:t>Restriction Level / Method:</w:t>
            </w:r>
          </w:p>
          <w:p w:rsidR="000D7864" w:rsidRPr="005E26D6" w:rsidRDefault="000D7864" w:rsidP="00FB718A">
            <w:pPr>
              <w:widowControl/>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Pr>
                <w:rFonts w:ascii="Arial Narrow" w:hAnsi="Arial Narrow"/>
                <w:sz w:val="20"/>
              </w:rPr>
              <w:t>Authority required (Streamlined)</w:t>
            </w:r>
          </w:p>
          <w:p w:rsidR="000D7864" w:rsidRPr="005E26D6" w:rsidRDefault="000D7864" w:rsidP="00FB718A">
            <w:pPr>
              <w:widowControl/>
              <w:rPr>
                <w:rFonts w:ascii="Arial Narrow" w:hAnsi="Arial Narrow"/>
                <w:sz w:val="20"/>
              </w:rPr>
            </w:pP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0D7864" w:rsidRPr="00D04087" w:rsidRDefault="000D7864" w:rsidP="00FB718A">
            <w:pPr>
              <w:widowControl/>
              <w:rPr>
                <w:rFonts w:ascii="Arial Narrow" w:hAnsi="Arial Narrow"/>
                <w:sz w:val="20"/>
              </w:rPr>
            </w:pPr>
            <w:r w:rsidRPr="00D04087">
              <w:rPr>
                <w:rFonts w:ascii="Arial Narrow" w:hAnsi="Arial Narrow"/>
                <w:sz w:val="20"/>
              </w:rPr>
              <w:t>The treatment must be in combination with metformin,</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AND</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The treatment must be in combination with a sulfonylurea,</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AND</w:t>
            </w:r>
          </w:p>
          <w:p w:rsidR="000D7864" w:rsidRDefault="000D7864" w:rsidP="00FB718A">
            <w:pPr>
              <w:widowControl/>
              <w:rPr>
                <w:rFonts w:ascii="Arial Narrow" w:hAnsi="Arial Narrow"/>
                <w:sz w:val="20"/>
              </w:rPr>
            </w:pPr>
          </w:p>
          <w:p w:rsidR="000D7864" w:rsidRDefault="000D7864" w:rsidP="00FB718A">
            <w:pPr>
              <w:widowControl/>
              <w:rPr>
                <w:rFonts w:ascii="Arial Narrow" w:hAnsi="Arial Narrow"/>
                <w:sz w:val="20"/>
              </w:rPr>
            </w:pPr>
            <w:r w:rsidRPr="00D04087">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w:t>
            </w:r>
            <w:r w:rsidRPr="00437272">
              <w:rPr>
                <w:rFonts w:ascii="Arial Narrow" w:hAnsi="Arial Narrow"/>
                <w:sz w:val="20"/>
              </w:rPr>
              <w:t xml:space="preserve">despite treatment with either metformin </w:t>
            </w:r>
            <w:r w:rsidR="00FB718A">
              <w:rPr>
                <w:rFonts w:ascii="Arial Narrow" w:hAnsi="Arial Narrow"/>
                <w:sz w:val="20"/>
              </w:rPr>
              <w:t>and</w:t>
            </w:r>
            <w:r w:rsidR="00FB718A" w:rsidRPr="00437272">
              <w:rPr>
                <w:rFonts w:ascii="Arial Narrow" w:hAnsi="Arial Narrow"/>
                <w:sz w:val="20"/>
              </w:rPr>
              <w:t xml:space="preserve"> </w:t>
            </w:r>
            <w:r w:rsidRPr="00437272">
              <w:rPr>
                <w:rFonts w:ascii="Arial Narrow" w:hAnsi="Arial Narrow"/>
                <w:sz w:val="20"/>
              </w:rPr>
              <w:t>a sulfonylurea</w:t>
            </w:r>
            <w:r w:rsidR="00FB718A">
              <w:rPr>
                <w:rFonts w:ascii="Arial Narrow" w:hAnsi="Arial Narrow"/>
                <w:sz w:val="20"/>
              </w:rPr>
              <w:t>,</w:t>
            </w:r>
            <w:r w:rsidRPr="00437272">
              <w:rPr>
                <w:rFonts w:ascii="Arial Narrow" w:hAnsi="Arial Narrow"/>
                <w:sz w:val="20"/>
              </w:rPr>
              <w:t xml:space="preserve"> or metformin and </w:t>
            </w:r>
            <w:r w:rsidR="008F6B03" w:rsidRPr="00437272">
              <w:rPr>
                <w:rFonts w:ascii="Arial Narrow" w:hAnsi="Arial Narrow"/>
                <w:sz w:val="20"/>
              </w:rPr>
              <w:t>this drug</w:t>
            </w:r>
            <w:r w:rsidR="00FB718A">
              <w:rPr>
                <w:rFonts w:ascii="Arial Narrow" w:hAnsi="Arial Narrow"/>
                <w:sz w:val="20"/>
              </w:rPr>
              <w:t>,</w:t>
            </w:r>
            <w:r w:rsidRPr="00437272">
              <w:rPr>
                <w:rFonts w:ascii="Arial Narrow" w:hAnsi="Arial Narrow"/>
                <w:sz w:val="20"/>
              </w:rPr>
              <w:t xml:space="preserve"> or a sulfonylurea and </w:t>
            </w:r>
            <w:r w:rsidR="008F6B03" w:rsidRPr="00437272">
              <w:rPr>
                <w:rFonts w:ascii="Arial Narrow" w:hAnsi="Arial Narrow"/>
                <w:sz w:val="20"/>
              </w:rPr>
              <w:t>this drug;</w:t>
            </w:r>
          </w:p>
          <w:p w:rsidR="00C67187" w:rsidRPr="00A051DF" w:rsidRDefault="00C67187" w:rsidP="00FB718A">
            <w:pPr>
              <w:widowControl/>
              <w:rPr>
                <w:rFonts w:ascii="Arial Narrow" w:hAnsi="Arial Narrow"/>
                <w:sz w:val="20"/>
              </w:rPr>
            </w:pPr>
          </w:p>
          <w:p w:rsidR="000D7864" w:rsidRDefault="000D7864" w:rsidP="00FB718A">
            <w:pPr>
              <w:widowControl/>
              <w:rPr>
                <w:rFonts w:ascii="Arial Narrow" w:hAnsi="Arial Narrow"/>
                <w:sz w:val="20"/>
              </w:rPr>
            </w:pPr>
            <w:r w:rsidRPr="00A051DF">
              <w:rPr>
                <w:rFonts w:ascii="Arial Narrow" w:hAnsi="Arial Narrow"/>
                <w:sz w:val="20"/>
              </w:rPr>
              <w:t>OR</w:t>
            </w:r>
          </w:p>
          <w:p w:rsidR="00C67187" w:rsidRPr="00A051DF" w:rsidRDefault="00C67187" w:rsidP="00FB718A">
            <w:pPr>
              <w:widowControl/>
              <w:rPr>
                <w:rFonts w:ascii="Arial Narrow" w:hAnsi="Arial Narrow"/>
                <w:sz w:val="20"/>
              </w:rPr>
            </w:pPr>
          </w:p>
          <w:p w:rsidR="000D7864" w:rsidRPr="00096207" w:rsidRDefault="000D7864" w:rsidP="00FB718A">
            <w:pPr>
              <w:widowControl/>
              <w:rPr>
                <w:rFonts w:ascii="Arial Narrow" w:hAnsi="Arial Narrow"/>
                <w:sz w:val="20"/>
              </w:rPr>
            </w:pPr>
            <w:r w:rsidRPr="00A051DF">
              <w:rPr>
                <w:rFonts w:ascii="Arial Narrow" w:hAnsi="Arial Narrow"/>
                <w:sz w:val="20"/>
              </w:rPr>
              <w:t>Patient must have, or have had, where HbA1c measurement is clinically inappropriate, blood glucose levels greater than 10 mmol per L in more than 20% of tests over a 2 week period prior to initiation with a gliptin, a glitazone, a glucagon-li</w:t>
            </w:r>
            <w:r w:rsidRPr="002C27F3">
              <w:rPr>
                <w:rFonts w:ascii="Arial Narrow" w:hAnsi="Arial Narrow"/>
                <w:sz w:val="20"/>
              </w:rPr>
              <w:t xml:space="preserve">ke peptide-1 or an SGLT2 inhibitor despite treatment with </w:t>
            </w:r>
            <w:r w:rsidRPr="008F6B03">
              <w:rPr>
                <w:rFonts w:ascii="Arial Narrow" w:hAnsi="Arial Narrow"/>
                <w:sz w:val="20"/>
              </w:rPr>
              <w:t xml:space="preserve">either metformin </w:t>
            </w:r>
            <w:r w:rsidR="00FB718A">
              <w:rPr>
                <w:rFonts w:ascii="Arial Narrow" w:hAnsi="Arial Narrow"/>
                <w:sz w:val="20"/>
              </w:rPr>
              <w:t>and</w:t>
            </w:r>
            <w:r w:rsidR="00FB718A" w:rsidRPr="008F6B03">
              <w:rPr>
                <w:rFonts w:ascii="Arial Narrow" w:hAnsi="Arial Narrow"/>
                <w:sz w:val="20"/>
              </w:rPr>
              <w:t xml:space="preserve"> </w:t>
            </w:r>
            <w:r w:rsidRPr="008F6B03">
              <w:rPr>
                <w:rFonts w:ascii="Arial Narrow" w:hAnsi="Arial Narrow"/>
                <w:sz w:val="20"/>
              </w:rPr>
              <w:t>a sulfonylu</w:t>
            </w:r>
            <w:r w:rsidRPr="00437272">
              <w:rPr>
                <w:rFonts w:ascii="Arial Narrow" w:hAnsi="Arial Narrow"/>
                <w:sz w:val="20"/>
              </w:rPr>
              <w:t>rea</w:t>
            </w:r>
            <w:r w:rsidR="00FB718A">
              <w:rPr>
                <w:rFonts w:ascii="Arial Narrow" w:hAnsi="Arial Narrow"/>
                <w:sz w:val="20"/>
              </w:rPr>
              <w:t>,</w:t>
            </w:r>
            <w:r w:rsidRPr="00437272">
              <w:rPr>
                <w:rFonts w:ascii="Arial Narrow" w:hAnsi="Arial Narrow"/>
                <w:sz w:val="20"/>
              </w:rPr>
              <w:t xml:space="preserve"> or metformin and </w:t>
            </w:r>
            <w:r w:rsidR="008F6B03" w:rsidRPr="00437272">
              <w:rPr>
                <w:rFonts w:ascii="Arial Narrow" w:hAnsi="Arial Narrow"/>
                <w:sz w:val="20"/>
              </w:rPr>
              <w:t>this drug</w:t>
            </w:r>
            <w:r w:rsidR="00FB718A">
              <w:rPr>
                <w:rFonts w:ascii="Arial Narrow" w:hAnsi="Arial Narrow"/>
                <w:sz w:val="20"/>
              </w:rPr>
              <w:t>,</w:t>
            </w:r>
            <w:r w:rsidR="008F6B03" w:rsidRPr="00437272">
              <w:rPr>
                <w:rFonts w:ascii="Arial Narrow" w:hAnsi="Arial Narrow"/>
                <w:sz w:val="20"/>
              </w:rPr>
              <w:t xml:space="preserve"> </w:t>
            </w:r>
            <w:r w:rsidRPr="00437272">
              <w:rPr>
                <w:rFonts w:ascii="Arial Narrow" w:hAnsi="Arial Narrow"/>
                <w:sz w:val="20"/>
              </w:rPr>
              <w:t xml:space="preserve">or a sulfonylurea and </w:t>
            </w:r>
            <w:r w:rsidR="008F6B03" w:rsidRPr="00437272">
              <w:rPr>
                <w:rFonts w:ascii="Arial Narrow" w:hAnsi="Arial Narrow"/>
                <w:sz w:val="20"/>
              </w:rPr>
              <w:t>this drug.</w:t>
            </w:r>
          </w:p>
          <w:p w:rsidR="000D7864" w:rsidRPr="005E26D6" w:rsidRDefault="000D7864" w:rsidP="00FB718A">
            <w:pPr>
              <w:widowControl/>
              <w:rPr>
                <w:rFonts w:ascii="Arial Narrow" w:hAnsi="Arial Narrow"/>
                <w:sz w:val="20"/>
              </w:rPr>
            </w:pP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5E26D6">
              <w:rPr>
                <w:rFonts w:ascii="Arial Narrow" w:hAnsi="Arial Narrow"/>
                <w:b/>
                <w:sz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0D7864" w:rsidRDefault="000D7864" w:rsidP="00FB718A">
            <w:pPr>
              <w:widowControl/>
              <w:rPr>
                <w:rFonts w:ascii="Arial Narrow" w:hAnsi="Arial Narrow"/>
                <w:sz w:val="20"/>
              </w:rPr>
            </w:pPr>
            <w:r w:rsidRPr="00D04087">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The HbA1c must be no more than 4 months old at the time treatment with a gliptin, a glitazone, a glucagon-like peptide-1 or an SGLT2 inhibitor was initiated.</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Blood glucose monitoring may be used as an alternative assessment to HbA1c levels in the following circumstances:</w:t>
            </w:r>
          </w:p>
          <w:p w:rsidR="000D7864" w:rsidRPr="00D04087" w:rsidRDefault="000D7864" w:rsidP="00FB718A">
            <w:pPr>
              <w:widowControl/>
              <w:rPr>
                <w:rFonts w:ascii="Arial Narrow" w:hAnsi="Arial Narrow"/>
                <w:sz w:val="20"/>
              </w:rPr>
            </w:pPr>
            <w:r w:rsidRPr="00D04087">
              <w:rPr>
                <w:rFonts w:ascii="Arial Narrow" w:hAnsi="Arial Narrow"/>
                <w:sz w:val="20"/>
              </w:rPr>
              <w:t>(a) A clinical condition with reduced red blood cell survival, including haemolytic anaemias and haemoglobinopathies; and/or</w:t>
            </w:r>
          </w:p>
          <w:p w:rsidR="000D7864" w:rsidRPr="00D04087" w:rsidRDefault="000D7864" w:rsidP="00FB718A">
            <w:pPr>
              <w:widowControl/>
              <w:rPr>
                <w:rFonts w:ascii="Arial Narrow" w:hAnsi="Arial Narrow"/>
                <w:sz w:val="20"/>
              </w:rPr>
            </w:pPr>
            <w:r w:rsidRPr="00D04087">
              <w:rPr>
                <w:rFonts w:ascii="Arial Narrow" w:hAnsi="Arial Narrow"/>
                <w:sz w:val="20"/>
              </w:rPr>
              <w:t>(b) Had red cell transfusion within the previous 3 months.</w:t>
            </w:r>
          </w:p>
          <w:p w:rsidR="000D7864" w:rsidRDefault="000D7864" w:rsidP="00FB718A">
            <w:pPr>
              <w:widowControl/>
              <w:rPr>
                <w:rFonts w:ascii="Arial Narrow" w:hAnsi="Arial Narrow"/>
                <w:sz w:val="20"/>
              </w:rPr>
            </w:pPr>
          </w:p>
          <w:p w:rsidR="000D7864" w:rsidRDefault="000D7864" w:rsidP="00FB718A">
            <w:pPr>
              <w:widowControl/>
              <w:rPr>
                <w:rFonts w:ascii="Arial Narrow" w:hAnsi="Arial Narrow"/>
                <w:sz w:val="20"/>
              </w:rPr>
            </w:pPr>
            <w:r w:rsidRPr="00D04087">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0D7864" w:rsidRDefault="000D7864" w:rsidP="00FB718A">
            <w:pPr>
              <w:widowControl/>
              <w:rPr>
                <w:rFonts w:ascii="Arial Narrow" w:hAnsi="Arial Narrow"/>
                <w:sz w:val="20"/>
              </w:rPr>
            </w:pPr>
          </w:p>
          <w:p w:rsidR="000D7864" w:rsidRPr="00BE5480" w:rsidRDefault="000D7864" w:rsidP="00FB718A">
            <w:pPr>
              <w:widowControl/>
              <w:rPr>
                <w:rFonts w:ascii="Arial Narrow" w:hAnsi="Arial Narrow"/>
                <w:sz w:val="20"/>
              </w:rPr>
            </w:pPr>
            <w:r>
              <w:rPr>
                <w:rFonts w:ascii="Arial Narrow" w:hAnsi="Arial Narrow"/>
                <w:sz w:val="20"/>
              </w:rPr>
              <w:t>A patient whose diabetes was previously demonstrated unable to be controlled with metformin or a sulfonylurea does not need to requalify on this criterion before being eligible for PBS-subsidised treat</w:t>
            </w:r>
            <w:r w:rsidRPr="00A051DF">
              <w:rPr>
                <w:rFonts w:ascii="Arial Narrow" w:hAnsi="Arial Narrow"/>
                <w:sz w:val="20"/>
              </w:rPr>
              <w:t xml:space="preserve">ment with </w:t>
            </w:r>
            <w:r w:rsidRPr="00437272">
              <w:rPr>
                <w:rFonts w:ascii="Arial Narrow" w:hAnsi="Arial Narrow"/>
                <w:sz w:val="20"/>
              </w:rPr>
              <w:t>this drug</w:t>
            </w:r>
            <w:r>
              <w:rPr>
                <w:rFonts w:ascii="Arial Narrow" w:hAnsi="Arial Narrow"/>
                <w:i/>
                <w:sz w:val="20"/>
              </w:rPr>
              <w:t>.</w:t>
            </w:r>
          </w:p>
          <w:p w:rsidR="000D7864" w:rsidRPr="005E26D6" w:rsidRDefault="000D7864" w:rsidP="00FB718A">
            <w:pPr>
              <w:widowControl/>
              <w:rPr>
                <w:rFonts w:ascii="Arial Narrow" w:hAnsi="Arial Narrow"/>
                <w:sz w:val="20"/>
              </w:rPr>
            </w:pPr>
          </w:p>
        </w:tc>
      </w:tr>
      <w:tr w:rsidR="000D7864" w:rsidRPr="005E26D6" w:rsidTr="008F6B03">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Administrative Advice</w:t>
            </w:r>
          </w:p>
          <w:p w:rsidR="000D7864" w:rsidRPr="005E26D6" w:rsidRDefault="000D7864" w:rsidP="00FB718A">
            <w:pPr>
              <w:widowControl/>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0D7864" w:rsidRPr="00437272" w:rsidRDefault="000D7864" w:rsidP="00FB718A">
            <w:pPr>
              <w:widowControl/>
              <w:rPr>
                <w:rFonts w:ascii="Arial Narrow" w:hAnsi="Arial Narrow"/>
                <w:b/>
                <w:sz w:val="20"/>
                <w:u w:val="single"/>
              </w:rPr>
            </w:pPr>
            <w:r w:rsidRPr="00437272">
              <w:rPr>
                <w:rFonts w:ascii="Arial Narrow" w:hAnsi="Arial Narrow"/>
                <w:b/>
                <w:sz w:val="20"/>
                <w:u w:val="single"/>
              </w:rPr>
              <w:t>Note</w:t>
            </w:r>
          </w:p>
          <w:p w:rsidR="000D7864" w:rsidRPr="00437272" w:rsidRDefault="000D7864" w:rsidP="00FB718A">
            <w:pPr>
              <w:widowControl/>
              <w:spacing w:before="75" w:after="75"/>
              <w:ind w:right="75"/>
              <w:rPr>
                <w:rFonts w:ascii="Arial Narrow" w:hAnsi="Arial Narrow"/>
                <w:sz w:val="20"/>
              </w:rPr>
            </w:pPr>
            <w:r w:rsidRPr="00437272">
              <w:rPr>
                <w:rFonts w:ascii="Arial Narrow" w:hAnsi="Arial Narrow"/>
                <w:sz w:val="20"/>
              </w:rPr>
              <w:t>This drug is not PBS-subsidised for use as monotherapy or in combination with a thiazolidinedione (glitazone), a glucagon-like peptide-1 or an SGLT2 inhibitor.</w:t>
            </w:r>
          </w:p>
          <w:p w:rsidR="000D7864" w:rsidRPr="005E26D6" w:rsidRDefault="000D7864" w:rsidP="00FB718A">
            <w:pPr>
              <w:widowControl/>
              <w:rPr>
                <w:rFonts w:ascii="Arial Narrow" w:hAnsi="Arial Narrow"/>
                <w:i/>
                <w:sz w:val="20"/>
              </w:rPr>
            </w:pPr>
          </w:p>
        </w:tc>
      </w:tr>
    </w:tbl>
    <w:p w:rsidR="000D7864" w:rsidRDefault="000D7864" w:rsidP="00FB718A">
      <w:pPr>
        <w:widowControl/>
        <w:rPr>
          <w:szCs w:val="22"/>
        </w:rPr>
      </w:pPr>
    </w:p>
    <w:p w:rsidR="000D7864" w:rsidRDefault="000D7864" w:rsidP="00FB718A">
      <w:pPr>
        <w:widowControl/>
        <w:rPr>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708"/>
        <w:gridCol w:w="1276"/>
        <w:gridCol w:w="851"/>
      </w:tblGrid>
      <w:tr w:rsidR="000D7864" w:rsidRPr="005E26D6" w:rsidTr="00DE26F7">
        <w:trPr>
          <w:cantSplit/>
          <w:trHeight w:val="471"/>
        </w:trPr>
        <w:tc>
          <w:tcPr>
            <w:tcW w:w="4678" w:type="dxa"/>
            <w:tcBorders>
              <w:top w:val="nil"/>
              <w:left w:val="nil"/>
              <w:bottom w:val="single" w:sz="6" w:space="0" w:color="auto"/>
              <w:right w:val="nil"/>
            </w:tcBorders>
            <w:shd w:val="clear" w:color="auto" w:fill="auto"/>
          </w:tcPr>
          <w:p w:rsidR="000D7864" w:rsidRPr="005E26D6" w:rsidRDefault="000D7864" w:rsidP="00FB718A">
            <w:pPr>
              <w:keepNext/>
              <w:widowControl/>
              <w:ind w:left="-108"/>
              <w:rPr>
                <w:b/>
                <w:sz w:val="20"/>
              </w:rPr>
            </w:pPr>
            <w:r w:rsidRPr="005E26D6">
              <w:rPr>
                <w:b/>
                <w:sz w:val="20"/>
              </w:rPr>
              <w:t>Name, Restriction,</w:t>
            </w:r>
          </w:p>
          <w:p w:rsidR="000D7864" w:rsidRPr="005E26D6" w:rsidRDefault="000D7864" w:rsidP="00FB718A">
            <w:pPr>
              <w:keepNext/>
              <w:widowControl/>
              <w:ind w:left="-108"/>
              <w:rPr>
                <w:b/>
                <w:sz w:val="20"/>
              </w:rPr>
            </w:pPr>
            <w:r w:rsidRPr="005E26D6">
              <w:rPr>
                <w:b/>
                <w:sz w:val="20"/>
              </w:rPr>
              <w:t xml:space="preserve">Manner of administration </w:t>
            </w:r>
          </w:p>
          <w:p w:rsidR="000D7864" w:rsidRPr="005E26D6" w:rsidRDefault="000D7864" w:rsidP="00FB718A">
            <w:pPr>
              <w:keepNext/>
              <w:widowControl/>
              <w:ind w:left="-108"/>
              <w:rPr>
                <w:b/>
                <w:sz w:val="20"/>
              </w:rPr>
            </w:pPr>
            <w:r w:rsidRPr="005E26D6">
              <w:rPr>
                <w:b/>
                <w:sz w:val="20"/>
              </w:rPr>
              <w:t>and form</w:t>
            </w:r>
          </w:p>
        </w:tc>
        <w:tc>
          <w:tcPr>
            <w:tcW w:w="709" w:type="dxa"/>
            <w:tcBorders>
              <w:top w:val="nil"/>
              <w:left w:val="nil"/>
              <w:bottom w:val="single" w:sz="6" w:space="0" w:color="auto"/>
              <w:right w:val="nil"/>
            </w:tcBorders>
            <w:shd w:val="clear" w:color="auto" w:fill="auto"/>
          </w:tcPr>
          <w:p w:rsidR="000D7864" w:rsidRPr="005E26D6" w:rsidRDefault="000D7864" w:rsidP="00FB718A">
            <w:pPr>
              <w:keepNext/>
              <w:widowControl/>
              <w:ind w:left="-108"/>
              <w:rPr>
                <w:b/>
                <w:sz w:val="20"/>
              </w:rPr>
            </w:pPr>
            <w:r w:rsidRPr="005E26D6">
              <w:rPr>
                <w:b/>
                <w:sz w:val="20"/>
              </w:rPr>
              <w:t>Max.</w:t>
            </w:r>
          </w:p>
          <w:p w:rsidR="000D7864" w:rsidRPr="005E26D6" w:rsidRDefault="000D7864" w:rsidP="00FB718A">
            <w:pPr>
              <w:keepNext/>
              <w:widowControl/>
              <w:ind w:left="-108"/>
              <w:rPr>
                <w:b/>
                <w:sz w:val="20"/>
              </w:rPr>
            </w:pPr>
            <w:r w:rsidRPr="005E26D6">
              <w:rPr>
                <w:b/>
                <w:sz w:val="20"/>
              </w:rPr>
              <w:t>Qty</w:t>
            </w:r>
          </w:p>
        </w:tc>
        <w:tc>
          <w:tcPr>
            <w:tcW w:w="708" w:type="dxa"/>
            <w:tcBorders>
              <w:top w:val="nil"/>
              <w:left w:val="nil"/>
              <w:bottom w:val="single" w:sz="6" w:space="0" w:color="auto"/>
              <w:right w:val="nil"/>
            </w:tcBorders>
            <w:shd w:val="clear" w:color="auto" w:fill="auto"/>
          </w:tcPr>
          <w:p w:rsidR="000D7864" w:rsidRPr="005E26D6" w:rsidRDefault="000D7864" w:rsidP="00FB718A">
            <w:pPr>
              <w:keepNext/>
              <w:widowControl/>
              <w:ind w:left="-108"/>
              <w:rPr>
                <w:b/>
                <w:sz w:val="20"/>
              </w:rPr>
            </w:pPr>
            <w:r w:rsidRPr="005E26D6">
              <w:rPr>
                <w:b/>
                <w:sz w:val="20"/>
              </w:rPr>
              <w:t>№.of</w:t>
            </w:r>
          </w:p>
          <w:p w:rsidR="000D7864" w:rsidRPr="005E26D6" w:rsidRDefault="000D7864" w:rsidP="00FB718A">
            <w:pPr>
              <w:keepNext/>
              <w:widowControl/>
              <w:ind w:left="-108"/>
              <w:rPr>
                <w:b/>
                <w:sz w:val="20"/>
              </w:rPr>
            </w:pPr>
            <w:r w:rsidRPr="005E26D6">
              <w:rPr>
                <w:b/>
                <w:sz w:val="20"/>
              </w:rPr>
              <w:t>Rpts</w:t>
            </w:r>
          </w:p>
        </w:tc>
        <w:tc>
          <w:tcPr>
            <w:tcW w:w="2127" w:type="dxa"/>
            <w:gridSpan w:val="2"/>
            <w:tcBorders>
              <w:top w:val="nil"/>
              <w:left w:val="nil"/>
              <w:bottom w:val="single" w:sz="6" w:space="0" w:color="auto"/>
              <w:right w:val="nil"/>
            </w:tcBorders>
            <w:shd w:val="clear" w:color="auto" w:fill="auto"/>
          </w:tcPr>
          <w:p w:rsidR="000D7864" w:rsidRPr="005E26D6" w:rsidRDefault="000D7864" w:rsidP="00FB718A">
            <w:pPr>
              <w:keepNext/>
              <w:widowControl/>
              <w:rPr>
                <w:b/>
                <w:sz w:val="20"/>
                <w:lang w:val="fr-FR"/>
              </w:rPr>
            </w:pPr>
            <w:r w:rsidRPr="005E26D6">
              <w:rPr>
                <w:b/>
                <w:sz w:val="20"/>
              </w:rPr>
              <w:t>Proprietary Name and Manufacturer</w:t>
            </w:r>
          </w:p>
        </w:tc>
      </w:tr>
      <w:tr w:rsidR="000D7864" w:rsidRPr="005E26D6" w:rsidTr="00DE26F7">
        <w:trPr>
          <w:cantSplit/>
          <w:trHeight w:val="471"/>
        </w:trPr>
        <w:tc>
          <w:tcPr>
            <w:tcW w:w="4678" w:type="dxa"/>
            <w:tcBorders>
              <w:top w:val="single" w:sz="6" w:space="0" w:color="auto"/>
              <w:left w:val="nil"/>
              <w:bottom w:val="nil"/>
              <w:right w:val="nil"/>
            </w:tcBorders>
            <w:shd w:val="clear" w:color="auto" w:fill="auto"/>
            <w:vAlign w:val="center"/>
          </w:tcPr>
          <w:p w:rsidR="000D7864" w:rsidRDefault="000D7864" w:rsidP="00FB718A">
            <w:pPr>
              <w:widowControl/>
              <w:rPr>
                <w:rFonts w:ascii="Arial Narrow" w:hAnsi="Arial Narrow"/>
                <w:sz w:val="20"/>
              </w:rPr>
            </w:pPr>
            <w:r>
              <w:rPr>
                <w:rFonts w:ascii="Arial Narrow" w:hAnsi="Arial Narrow"/>
                <w:sz w:val="20"/>
              </w:rPr>
              <w:t>SITAGLIPTIN + METFORMIN</w:t>
            </w:r>
          </w:p>
          <w:p w:rsidR="000D7864" w:rsidRPr="00B20C48" w:rsidRDefault="000D7864" w:rsidP="00FB718A">
            <w:pPr>
              <w:widowControl/>
              <w:rPr>
                <w:rFonts w:ascii="Arial Narrow" w:hAnsi="Arial Narrow"/>
                <w:sz w:val="20"/>
              </w:rPr>
            </w:pPr>
            <w:r w:rsidRPr="00B20C48">
              <w:rPr>
                <w:rFonts w:ascii="Arial Narrow" w:hAnsi="Arial Narrow"/>
                <w:sz w:val="20"/>
              </w:rPr>
              <w:t>sitagliptin 50 mg + metformin hydrochloride 500 mg tablet, 56</w:t>
            </w:r>
          </w:p>
          <w:p w:rsidR="000D7864" w:rsidRDefault="000D7864" w:rsidP="00FB718A">
            <w:pPr>
              <w:widowControl/>
              <w:rPr>
                <w:rFonts w:ascii="Arial Narrow" w:hAnsi="Arial Narrow"/>
                <w:sz w:val="20"/>
              </w:rPr>
            </w:pPr>
            <w:r w:rsidRPr="00B20C48">
              <w:rPr>
                <w:rFonts w:ascii="Arial Narrow" w:hAnsi="Arial Narrow"/>
                <w:sz w:val="20"/>
              </w:rPr>
              <w:t>sitagliptin 50 mg + metformin hydrochloride 850 mg tablet, 56</w:t>
            </w:r>
          </w:p>
          <w:p w:rsidR="000D7864" w:rsidRDefault="000D7864" w:rsidP="00FB718A">
            <w:pPr>
              <w:widowControl/>
              <w:rPr>
                <w:rFonts w:ascii="Arial Narrow" w:hAnsi="Arial Narrow"/>
                <w:sz w:val="20"/>
              </w:rPr>
            </w:pPr>
            <w:r w:rsidRPr="00B20C48">
              <w:rPr>
                <w:rFonts w:ascii="Arial Narrow" w:hAnsi="Arial Narrow"/>
                <w:sz w:val="20"/>
              </w:rPr>
              <w:t>sitagliptin 50 mg + metformin hydrochloride 1 g tablet, 56</w:t>
            </w:r>
          </w:p>
          <w:p w:rsidR="000D7864" w:rsidRDefault="000D7864" w:rsidP="00FB718A">
            <w:pPr>
              <w:widowControl/>
              <w:rPr>
                <w:rFonts w:ascii="Arial Narrow" w:hAnsi="Arial Narrow"/>
                <w:sz w:val="20"/>
              </w:rPr>
            </w:pPr>
          </w:p>
          <w:p w:rsidR="000D7864" w:rsidRPr="00B20C48" w:rsidRDefault="000D7864" w:rsidP="00FB718A">
            <w:pPr>
              <w:widowControl/>
              <w:rPr>
                <w:rFonts w:ascii="Arial Narrow" w:hAnsi="Arial Narrow"/>
                <w:sz w:val="20"/>
              </w:rPr>
            </w:pPr>
            <w:r w:rsidRPr="00B20C48">
              <w:rPr>
                <w:rFonts w:ascii="Arial Narrow" w:hAnsi="Arial Narrow"/>
                <w:sz w:val="20"/>
              </w:rPr>
              <w:t>SITAGLIPTIN + METFORMIN</w:t>
            </w:r>
          </w:p>
          <w:p w:rsidR="000D7864" w:rsidRDefault="000D7864" w:rsidP="00FB718A">
            <w:pPr>
              <w:widowControl/>
              <w:rPr>
                <w:rFonts w:ascii="Arial Narrow" w:hAnsi="Arial Narrow"/>
                <w:sz w:val="20"/>
              </w:rPr>
            </w:pPr>
            <w:r w:rsidRPr="00B20C48">
              <w:rPr>
                <w:rFonts w:ascii="Arial Narrow" w:hAnsi="Arial Narrow"/>
                <w:sz w:val="20"/>
              </w:rPr>
              <w:t>sitagliptin 50 mg + metformin hydrochloride 1 g tablet: modified release, 56</w:t>
            </w:r>
          </w:p>
          <w:p w:rsidR="000D7864" w:rsidRPr="00096207" w:rsidRDefault="000D7864" w:rsidP="00FB718A">
            <w:pPr>
              <w:widowControl/>
              <w:rPr>
                <w:rFonts w:ascii="Arial Narrow" w:hAnsi="Arial Narrow"/>
                <w:sz w:val="20"/>
              </w:rPr>
            </w:pPr>
            <w:r w:rsidRPr="00B20C48">
              <w:rPr>
                <w:rFonts w:ascii="Arial Narrow" w:hAnsi="Arial Narrow"/>
                <w:sz w:val="20"/>
              </w:rPr>
              <w:t>sitagliptin 100 mg + metformin hydrochloride 1 g tablet: modified release, 28</w:t>
            </w:r>
          </w:p>
        </w:tc>
        <w:tc>
          <w:tcPr>
            <w:tcW w:w="709" w:type="dxa"/>
            <w:tcBorders>
              <w:top w:val="single" w:sz="6" w:space="0" w:color="auto"/>
              <w:left w:val="nil"/>
              <w:bottom w:val="nil"/>
              <w:right w:val="nil"/>
            </w:tcBorders>
            <w:shd w:val="clear" w:color="auto" w:fill="auto"/>
            <w:vAlign w:val="center"/>
          </w:tcPr>
          <w:p w:rsidR="000D7864" w:rsidRPr="005E26D6" w:rsidRDefault="000D7864" w:rsidP="00FB718A">
            <w:pPr>
              <w:keepNext/>
              <w:widowControl/>
              <w:rPr>
                <w:rFonts w:ascii="Arial Narrow" w:hAnsi="Arial Narrow"/>
                <w:sz w:val="20"/>
              </w:rPr>
            </w:pPr>
            <w:r>
              <w:rPr>
                <w:rFonts w:ascii="Arial Narrow" w:hAnsi="Arial Narrow"/>
                <w:sz w:val="20"/>
              </w:rPr>
              <w:t>1</w:t>
            </w:r>
          </w:p>
        </w:tc>
        <w:tc>
          <w:tcPr>
            <w:tcW w:w="708" w:type="dxa"/>
            <w:tcBorders>
              <w:top w:val="single" w:sz="6" w:space="0" w:color="auto"/>
              <w:left w:val="nil"/>
              <w:bottom w:val="nil"/>
              <w:right w:val="nil"/>
            </w:tcBorders>
            <w:shd w:val="clear" w:color="auto" w:fill="auto"/>
            <w:vAlign w:val="center"/>
          </w:tcPr>
          <w:p w:rsidR="000D7864" w:rsidRPr="005E26D6" w:rsidRDefault="000D7864" w:rsidP="00FB718A">
            <w:pPr>
              <w:keepNext/>
              <w:widowControl/>
              <w:ind w:left="-108"/>
              <w:jc w:val="center"/>
              <w:rPr>
                <w:rFonts w:ascii="Arial Narrow" w:hAnsi="Arial Narrow"/>
                <w:sz w:val="20"/>
              </w:rPr>
            </w:pPr>
            <w:r>
              <w:rPr>
                <w:rFonts w:ascii="Arial Narrow" w:hAnsi="Arial Narrow"/>
                <w:sz w:val="20"/>
              </w:rPr>
              <w:t>5</w:t>
            </w:r>
          </w:p>
        </w:tc>
        <w:tc>
          <w:tcPr>
            <w:tcW w:w="1276" w:type="dxa"/>
            <w:tcBorders>
              <w:top w:val="single" w:sz="6" w:space="0" w:color="auto"/>
              <w:left w:val="nil"/>
              <w:bottom w:val="nil"/>
              <w:right w:val="nil"/>
            </w:tcBorders>
            <w:shd w:val="clear" w:color="auto" w:fill="auto"/>
            <w:vAlign w:val="center"/>
          </w:tcPr>
          <w:p w:rsidR="000D7864" w:rsidRDefault="000D7864" w:rsidP="00FB718A">
            <w:pPr>
              <w:keepNext/>
              <w:widowControl/>
              <w:rPr>
                <w:rFonts w:ascii="Arial Narrow" w:hAnsi="Arial Narrow"/>
                <w:sz w:val="20"/>
              </w:rPr>
            </w:pPr>
            <w:r>
              <w:rPr>
                <w:rFonts w:ascii="Arial Narrow" w:hAnsi="Arial Narrow"/>
                <w:sz w:val="20"/>
              </w:rPr>
              <w:t>Janumet</w:t>
            </w:r>
            <w:r w:rsidRPr="005E26D6">
              <w:rPr>
                <w:rFonts w:ascii="Arial Narrow" w:hAnsi="Arial Narrow"/>
                <w:sz w:val="20"/>
                <w:vertAlign w:val="superscript"/>
              </w:rPr>
              <w:t>®</w:t>
            </w:r>
            <w:r w:rsidRPr="005E26D6">
              <w:rPr>
                <w:rFonts w:ascii="Arial Narrow" w:hAnsi="Arial Narrow"/>
                <w:sz w:val="20"/>
              </w:rPr>
              <w:t xml:space="preserve"> </w:t>
            </w:r>
          </w:p>
          <w:p w:rsidR="000D7864" w:rsidRPr="005E26D6" w:rsidRDefault="000D7864" w:rsidP="00FB718A">
            <w:pPr>
              <w:keepNext/>
              <w:widowControl/>
              <w:rPr>
                <w:rFonts w:ascii="Arial Narrow" w:hAnsi="Arial Narrow"/>
                <w:sz w:val="20"/>
              </w:rPr>
            </w:pPr>
            <w:r>
              <w:rPr>
                <w:rFonts w:ascii="Arial Narrow" w:hAnsi="Arial Narrow"/>
                <w:sz w:val="20"/>
              </w:rPr>
              <w:t>Janumet XR</w:t>
            </w:r>
            <w:r w:rsidRPr="005E26D6">
              <w:rPr>
                <w:rFonts w:ascii="Arial Narrow" w:hAnsi="Arial Narrow"/>
                <w:sz w:val="20"/>
                <w:vertAlign w:val="superscript"/>
              </w:rPr>
              <w:t>®</w:t>
            </w:r>
            <w:r w:rsidRPr="005E26D6">
              <w:rPr>
                <w:rFonts w:ascii="Arial Narrow" w:hAnsi="Arial Narrow"/>
                <w:sz w:val="20"/>
              </w:rPr>
              <w:t xml:space="preserve">  </w:t>
            </w:r>
          </w:p>
        </w:tc>
        <w:tc>
          <w:tcPr>
            <w:tcW w:w="851" w:type="dxa"/>
            <w:tcBorders>
              <w:top w:val="single" w:sz="6" w:space="0" w:color="auto"/>
              <w:left w:val="nil"/>
              <w:bottom w:val="nil"/>
              <w:right w:val="nil"/>
            </w:tcBorders>
            <w:shd w:val="clear" w:color="auto" w:fill="auto"/>
            <w:vAlign w:val="center"/>
          </w:tcPr>
          <w:p w:rsidR="000D7864" w:rsidRPr="005E26D6" w:rsidRDefault="000D7864" w:rsidP="00FB718A">
            <w:pPr>
              <w:keepNext/>
              <w:widowControl/>
              <w:jc w:val="center"/>
              <w:rPr>
                <w:rFonts w:ascii="Arial Narrow" w:hAnsi="Arial Narrow"/>
                <w:sz w:val="20"/>
              </w:rPr>
            </w:pPr>
            <w:r>
              <w:rPr>
                <w:rFonts w:ascii="Arial Narrow" w:hAnsi="Arial Narrow"/>
                <w:sz w:val="20"/>
              </w:rPr>
              <w:t>MK</w:t>
            </w:r>
          </w:p>
        </w:tc>
      </w:tr>
    </w:tbl>
    <w:p w:rsidR="000D7864" w:rsidRPr="00552722" w:rsidRDefault="000D7864" w:rsidP="00FB718A">
      <w:pPr>
        <w:widowControl/>
        <w:rPr>
          <w:szCs w:val="22"/>
        </w:rPr>
      </w:pPr>
    </w:p>
    <w:tbl>
      <w:tblPr>
        <w:tblW w:w="8222" w:type="dxa"/>
        <w:tblInd w:w="817" w:type="dxa"/>
        <w:tblLayout w:type="fixed"/>
        <w:tblLook w:val="0000" w:firstRow="0" w:lastRow="0" w:firstColumn="0" w:lastColumn="0" w:noHBand="0" w:noVBand="0"/>
      </w:tblPr>
      <w:tblGrid>
        <w:gridCol w:w="1984"/>
        <w:gridCol w:w="6238"/>
      </w:tblGrid>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Category / Program</w:t>
            </w:r>
          </w:p>
        </w:tc>
        <w:tc>
          <w:tcPr>
            <w:tcW w:w="6238"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5E26D6">
              <w:rPr>
                <w:rFonts w:ascii="Arial Narrow" w:hAnsi="Arial Narrow"/>
                <w:sz w:val="20"/>
              </w:rPr>
              <w:t xml:space="preserve">GENERAL – General Schedule </w:t>
            </w:r>
            <w:r>
              <w:rPr>
                <w:rFonts w:ascii="Arial Narrow" w:hAnsi="Arial Narrow"/>
                <w:sz w:val="20"/>
              </w:rPr>
              <w:t>(GE)</w:t>
            </w: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Prescriber type:</w:t>
            </w:r>
          </w:p>
        </w:tc>
        <w:tc>
          <w:tcPr>
            <w:tcW w:w="6238"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5E26D6">
              <w:rPr>
                <w:rFonts w:ascii="Arial Narrow" w:hAnsi="Arial Narrow"/>
                <w:sz w:val="20"/>
              </w:rPr>
              <w:fldChar w:fldCharType="begin">
                <w:ffData>
                  <w:name w:val=""/>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Medical Practitioners  </w:t>
            </w:r>
            <w:r w:rsidRPr="005E26D6">
              <w:rPr>
                <w:rFonts w:ascii="Arial Narrow" w:hAnsi="Arial Narrow"/>
                <w:sz w:val="20"/>
              </w:rPr>
              <w:fldChar w:fldCharType="begin">
                <w:ffData>
                  <w:name w:val="Check3"/>
                  <w:enabled/>
                  <w:calcOnExit w:val="0"/>
                  <w:checkBox>
                    <w:sizeAuto/>
                    <w:default w:val="1"/>
                  </w:checkBox>
                </w:ffData>
              </w:fldChar>
            </w:r>
            <w:r w:rsidRPr="005E26D6">
              <w:rPr>
                <w:rFonts w:ascii="Arial Narrow" w:hAnsi="Arial Narrow"/>
                <w:sz w:val="20"/>
              </w:rPr>
              <w:instrText xml:space="preserve"> FORMCHECKBOX </w:instrText>
            </w:r>
            <w:r w:rsidR="00867ED0">
              <w:rPr>
                <w:rFonts w:ascii="Arial Narrow" w:hAnsi="Arial Narrow"/>
                <w:sz w:val="20"/>
              </w:rPr>
            </w:r>
            <w:r w:rsidR="00867ED0">
              <w:rPr>
                <w:rFonts w:ascii="Arial Narrow" w:hAnsi="Arial Narrow"/>
                <w:sz w:val="20"/>
              </w:rPr>
              <w:fldChar w:fldCharType="separate"/>
            </w:r>
            <w:r w:rsidRPr="005E26D6">
              <w:rPr>
                <w:rFonts w:ascii="Arial Narrow" w:hAnsi="Arial Narrow"/>
                <w:sz w:val="20"/>
              </w:rPr>
              <w:fldChar w:fldCharType="end"/>
            </w:r>
            <w:r w:rsidRPr="005E26D6">
              <w:rPr>
                <w:rFonts w:ascii="Arial Narrow" w:hAnsi="Arial Narrow"/>
                <w:sz w:val="20"/>
              </w:rPr>
              <w:t xml:space="preserve">Nurse practitioners  </w:t>
            </w: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Condition:</w:t>
            </w:r>
          </w:p>
        </w:tc>
        <w:tc>
          <w:tcPr>
            <w:tcW w:w="6238"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69572D">
              <w:rPr>
                <w:rFonts w:ascii="Arial Narrow" w:hAnsi="Arial Narrow"/>
                <w:sz w:val="20"/>
              </w:rPr>
              <w:t>Diabetes mellitus type 2</w:t>
            </w: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PBS Indication:</w:t>
            </w:r>
          </w:p>
        </w:tc>
        <w:tc>
          <w:tcPr>
            <w:tcW w:w="6238"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69572D">
              <w:rPr>
                <w:rFonts w:ascii="Arial Narrow" w:hAnsi="Arial Narrow"/>
                <w:sz w:val="20"/>
              </w:rPr>
              <w:t>Diabetes mellitus type 2</w:t>
            </w: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jc w:val="left"/>
              <w:rPr>
                <w:rFonts w:ascii="Arial Narrow" w:hAnsi="Arial Narrow"/>
                <w:b/>
                <w:sz w:val="20"/>
              </w:rPr>
            </w:pPr>
            <w:r w:rsidRPr="005E26D6">
              <w:rPr>
                <w:rFonts w:ascii="Arial Narrow" w:hAnsi="Arial Narrow"/>
                <w:b/>
                <w:sz w:val="20"/>
              </w:rPr>
              <w:t>Restriction Level / Method:</w:t>
            </w:r>
          </w:p>
          <w:p w:rsidR="000D7864" w:rsidRPr="005E26D6" w:rsidRDefault="000D7864" w:rsidP="00FB718A">
            <w:pPr>
              <w:widowControl/>
              <w:rPr>
                <w:rFonts w:ascii="Arial Narrow" w:hAnsi="Arial Narrow"/>
                <w:sz w:val="20"/>
              </w:rPr>
            </w:pPr>
          </w:p>
        </w:tc>
        <w:tc>
          <w:tcPr>
            <w:tcW w:w="6238"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Pr>
                <w:rFonts w:ascii="Arial Narrow" w:hAnsi="Arial Narrow"/>
                <w:sz w:val="20"/>
              </w:rPr>
              <w:t>Authority required (Streamlined)</w:t>
            </w: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Clinical criteria:</w:t>
            </w:r>
          </w:p>
        </w:tc>
        <w:tc>
          <w:tcPr>
            <w:tcW w:w="6238" w:type="dxa"/>
            <w:tcBorders>
              <w:top w:val="single" w:sz="4" w:space="0" w:color="auto"/>
              <w:left w:val="single" w:sz="4" w:space="0" w:color="auto"/>
              <w:bottom w:val="single" w:sz="4" w:space="0" w:color="auto"/>
              <w:right w:val="single" w:sz="4" w:space="0" w:color="auto"/>
            </w:tcBorders>
          </w:tcPr>
          <w:p w:rsidR="000D7864" w:rsidRPr="00D04087" w:rsidRDefault="000D7864" w:rsidP="00FB718A">
            <w:pPr>
              <w:widowControl/>
              <w:rPr>
                <w:rFonts w:ascii="Arial Narrow" w:hAnsi="Arial Narrow"/>
                <w:sz w:val="20"/>
              </w:rPr>
            </w:pPr>
            <w:r w:rsidRPr="00D04087">
              <w:rPr>
                <w:rFonts w:ascii="Arial Narrow" w:hAnsi="Arial Narrow"/>
                <w:sz w:val="20"/>
              </w:rPr>
              <w:t>The treatment must be in combination with a sulfonylurea,</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AND</w:t>
            </w:r>
          </w:p>
          <w:p w:rsidR="000D7864" w:rsidRDefault="000D7864" w:rsidP="00FB718A">
            <w:pPr>
              <w:widowControl/>
              <w:rPr>
                <w:rFonts w:ascii="Arial Narrow" w:hAnsi="Arial Narrow"/>
                <w:sz w:val="20"/>
              </w:rPr>
            </w:pPr>
          </w:p>
          <w:p w:rsidR="008F6B03" w:rsidRPr="00437272" w:rsidRDefault="008F6B03" w:rsidP="00FB718A">
            <w:pPr>
              <w:widowControl/>
              <w:rPr>
                <w:rFonts w:ascii="Arial Narrow" w:hAnsi="Arial Narrow"/>
                <w:sz w:val="20"/>
              </w:rPr>
            </w:pPr>
            <w:r w:rsidRPr="00D04087">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w:t>
            </w:r>
            <w:r w:rsidRPr="008F6B03">
              <w:rPr>
                <w:rFonts w:ascii="Arial Narrow" w:hAnsi="Arial Narrow"/>
                <w:sz w:val="20"/>
              </w:rPr>
              <w:t xml:space="preserve">either metformin </w:t>
            </w:r>
            <w:r w:rsidR="003545FB">
              <w:rPr>
                <w:rFonts w:ascii="Arial Narrow" w:hAnsi="Arial Narrow"/>
                <w:sz w:val="20"/>
              </w:rPr>
              <w:t>and</w:t>
            </w:r>
            <w:r w:rsidR="003545FB" w:rsidRPr="008F6B03">
              <w:rPr>
                <w:rFonts w:ascii="Arial Narrow" w:hAnsi="Arial Narrow"/>
                <w:sz w:val="20"/>
              </w:rPr>
              <w:t xml:space="preserve"> </w:t>
            </w:r>
            <w:r w:rsidRPr="008F6B03">
              <w:rPr>
                <w:rFonts w:ascii="Arial Narrow" w:hAnsi="Arial Narrow"/>
                <w:sz w:val="20"/>
              </w:rPr>
              <w:t>a sulfonylurea</w:t>
            </w:r>
            <w:r w:rsidR="003545FB">
              <w:rPr>
                <w:rFonts w:ascii="Arial Narrow" w:hAnsi="Arial Narrow"/>
                <w:sz w:val="20"/>
              </w:rPr>
              <w:t>,</w:t>
            </w:r>
            <w:r w:rsidRPr="008F6B03">
              <w:rPr>
                <w:rFonts w:ascii="Arial Narrow" w:hAnsi="Arial Narrow"/>
                <w:sz w:val="20"/>
              </w:rPr>
              <w:t xml:space="preserve"> or metformin and </w:t>
            </w:r>
            <w:r w:rsidRPr="00437272">
              <w:rPr>
                <w:rFonts w:ascii="Arial Narrow" w:hAnsi="Arial Narrow"/>
                <w:sz w:val="20"/>
              </w:rPr>
              <w:t>this drug</w:t>
            </w:r>
            <w:r w:rsidR="003545FB">
              <w:rPr>
                <w:rFonts w:ascii="Arial Narrow" w:hAnsi="Arial Narrow"/>
                <w:sz w:val="20"/>
              </w:rPr>
              <w:t>,</w:t>
            </w:r>
            <w:r w:rsidRPr="00437272">
              <w:rPr>
                <w:rFonts w:ascii="Arial Narrow" w:hAnsi="Arial Narrow"/>
                <w:sz w:val="20"/>
              </w:rPr>
              <w:t xml:space="preserve"> or a sulfonylurea and this drug;</w:t>
            </w:r>
          </w:p>
          <w:p w:rsidR="008F6B03" w:rsidRPr="00437272" w:rsidRDefault="008F6B03" w:rsidP="00FB718A">
            <w:pPr>
              <w:widowControl/>
              <w:rPr>
                <w:rFonts w:ascii="Arial Narrow" w:hAnsi="Arial Narrow"/>
                <w:sz w:val="20"/>
              </w:rPr>
            </w:pPr>
            <w:r w:rsidRPr="00437272">
              <w:rPr>
                <w:rFonts w:ascii="Arial Narrow" w:hAnsi="Arial Narrow"/>
                <w:sz w:val="20"/>
              </w:rPr>
              <w:t>OR</w:t>
            </w:r>
          </w:p>
          <w:p w:rsidR="008F6B03" w:rsidRPr="00437272" w:rsidRDefault="008F6B03" w:rsidP="00FB718A">
            <w:pPr>
              <w:widowControl/>
              <w:rPr>
                <w:rFonts w:ascii="Arial Narrow" w:hAnsi="Arial Narrow"/>
                <w:sz w:val="20"/>
              </w:rPr>
            </w:pPr>
            <w:r w:rsidRPr="00437272">
              <w:rPr>
                <w:rFonts w:ascii="Arial Narrow" w:hAnsi="Arial Narrow"/>
                <w:sz w:val="20"/>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either metformin </w:t>
            </w:r>
            <w:r w:rsidR="003545FB">
              <w:rPr>
                <w:rFonts w:ascii="Arial Narrow" w:hAnsi="Arial Narrow"/>
                <w:sz w:val="20"/>
              </w:rPr>
              <w:t>and</w:t>
            </w:r>
            <w:r w:rsidR="003545FB" w:rsidRPr="00437272">
              <w:rPr>
                <w:rFonts w:ascii="Arial Narrow" w:hAnsi="Arial Narrow"/>
                <w:sz w:val="20"/>
              </w:rPr>
              <w:t xml:space="preserve"> </w:t>
            </w:r>
            <w:r w:rsidRPr="00437272">
              <w:rPr>
                <w:rFonts w:ascii="Arial Narrow" w:hAnsi="Arial Narrow"/>
                <w:sz w:val="20"/>
              </w:rPr>
              <w:t>a sulfonylurea</w:t>
            </w:r>
            <w:r w:rsidR="003545FB">
              <w:rPr>
                <w:rFonts w:ascii="Arial Narrow" w:hAnsi="Arial Narrow"/>
                <w:sz w:val="20"/>
              </w:rPr>
              <w:t>,</w:t>
            </w:r>
            <w:r w:rsidRPr="00437272">
              <w:rPr>
                <w:rFonts w:ascii="Arial Narrow" w:hAnsi="Arial Narrow"/>
                <w:sz w:val="20"/>
              </w:rPr>
              <w:t xml:space="preserve"> or metformin and this drug</w:t>
            </w:r>
            <w:r w:rsidR="003545FB">
              <w:rPr>
                <w:rFonts w:ascii="Arial Narrow" w:hAnsi="Arial Narrow"/>
                <w:sz w:val="20"/>
              </w:rPr>
              <w:t>,</w:t>
            </w:r>
            <w:r w:rsidRPr="00437272">
              <w:rPr>
                <w:rFonts w:ascii="Arial Narrow" w:hAnsi="Arial Narrow"/>
                <w:sz w:val="20"/>
              </w:rPr>
              <w:t xml:space="preserve"> or a sulfonylurea and this drug.</w:t>
            </w:r>
          </w:p>
          <w:p w:rsidR="000D7864" w:rsidRPr="005E26D6" w:rsidRDefault="000D7864" w:rsidP="00FB718A">
            <w:pPr>
              <w:widowControl/>
              <w:rPr>
                <w:rFonts w:ascii="Arial Narrow" w:hAnsi="Arial Narrow"/>
                <w:sz w:val="20"/>
              </w:rPr>
            </w:pP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sz w:val="20"/>
              </w:rPr>
            </w:pPr>
            <w:r w:rsidRPr="005E26D6">
              <w:rPr>
                <w:rFonts w:ascii="Arial Narrow" w:hAnsi="Arial Narrow"/>
                <w:b/>
                <w:sz w:val="20"/>
              </w:rPr>
              <w:t>Prescriber Instructions</w:t>
            </w:r>
          </w:p>
        </w:tc>
        <w:tc>
          <w:tcPr>
            <w:tcW w:w="6238" w:type="dxa"/>
            <w:tcBorders>
              <w:top w:val="single" w:sz="4" w:space="0" w:color="auto"/>
              <w:left w:val="single" w:sz="4" w:space="0" w:color="auto"/>
              <w:bottom w:val="single" w:sz="4" w:space="0" w:color="auto"/>
              <w:right w:val="single" w:sz="4" w:space="0" w:color="auto"/>
            </w:tcBorders>
          </w:tcPr>
          <w:p w:rsidR="000D7864" w:rsidRDefault="000D7864" w:rsidP="00FB718A">
            <w:pPr>
              <w:widowControl/>
              <w:rPr>
                <w:rFonts w:ascii="Arial Narrow" w:hAnsi="Arial Narrow"/>
                <w:sz w:val="20"/>
              </w:rPr>
            </w:pPr>
            <w:r w:rsidRPr="00D04087">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The HbA1c must be no more than 4 months old at the time treatment with a gliptin, a glitazone, a glucagon-like peptide-1 or an SGLT2 inhibitor was initiated.</w:t>
            </w:r>
          </w:p>
          <w:p w:rsidR="000D7864" w:rsidRDefault="000D7864" w:rsidP="00FB718A">
            <w:pPr>
              <w:widowControl/>
              <w:rPr>
                <w:rFonts w:ascii="Arial Narrow" w:hAnsi="Arial Narrow"/>
                <w:sz w:val="20"/>
              </w:rPr>
            </w:pPr>
          </w:p>
          <w:p w:rsidR="000D7864" w:rsidRPr="00D04087" w:rsidRDefault="000D7864" w:rsidP="00FB718A">
            <w:pPr>
              <w:widowControl/>
              <w:rPr>
                <w:rFonts w:ascii="Arial Narrow" w:hAnsi="Arial Narrow"/>
                <w:sz w:val="20"/>
              </w:rPr>
            </w:pPr>
            <w:r w:rsidRPr="00D04087">
              <w:rPr>
                <w:rFonts w:ascii="Arial Narrow" w:hAnsi="Arial Narrow"/>
                <w:sz w:val="20"/>
              </w:rPr>
              <w:t>Blood glucose monitoring may be used as an alternative assessment to HbA1c levels in the following circumstances:</w:t>
            </w:r>
          </w:p>
          <w:p w:rsidR="000D7864" w:rsidRPr="00D04087" w:rsidRDefault="000D7864" w:rsidP="00FB718A">
            <w:pPr>
              <w:widowControl/>
              <w:rPr>
                <w:rFonts w:ascii="Arial Narrow" w:hAnsi="Arial Narrow"/>
                <w:sz w:val="20"/>
              </w:rPr>
            </w:pPr>
            <w:r w:rsidRPr="00D04087">
              <w:rPr>
                <w:rFonts w:ascii="Arial Narrow" w:hAnsi="Arial Narrow"/>
                <w:sz w:val="20"/>
              </w:rPr>
              <w:t>(a) A clinical condition with reduced red blood cell survival, including haemolytic anaemias and haemoglobinopathies; and/or</w:t>
            </w:r>
          </w:p>
          <w:p w:rsidR="000D7864" w:rsidRPr="00D04087" w:rsidRDefault="000D7864" w:rsidP="00FB718A">
            <w:pPr>
              <w:widowControl/>
              <w:rPr>
                <w:rFonts w:ascii="Arial Narrow" w:hAnsi="Arial Narrow"/>
                <w:sz w:val="20"/>
              </w:rPr>
            </w:pPr>
            <w:r w:rsidRPr="00D04087">
              <w:rPr>
                <w:rFonts w:ascii="Arial Narrow" w:hAnsi="Arial Narrow"/>
                <w:sz w:val="20"/>
              </w:rPr>
              <w:t>(b) Had red cell transfusion within the previous 3 months.</w:t>
            </w:r>
          </w:p>
          <w:p w:rsidR="000D7864" w:rsidRDefault="000D7864" w:rsidP="00FB718A">
            <w:pPr>
              <w:widowControl/>
              <w:rPr>
                <w:rFonts w:ascii="Arial Narrow" w:hAnsi="Arial Narrow"/>
                <w:sz w:val="20"/>
              </w:rPr>
            </w:pPr>
          </w:p>
          <w:p w:rsidR="000D7864" w:rsidRDefault="000D7864" w:rsidP="00FB718A">
            <w:pPr>
              <w:widowControl/>
              <w:rPr>
                <w:rFonts w:ascii="Arial Narrow" w:hAnsi="Arial Narrow"/>
                <w:sz w:val="20"/>
              </w:rPr>
            </w:pPr>
            <w:r w:rsidRPr="00D04087">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0D7864" w:rsidRDefault="000D7864" w:rsidP="00FB718A">
            <w:pPr>
              <w:widowControl/>
              <w:rPr>
                <w:rFonts w:ascii="Arial Narrow" w:hAnsi="Arial Narrow"/>
                <w:sz w:val="20"/>
              </w:rPr>
            </w:pPr>
          </w:p>
          <w:p w:rsidR="000D7864" w:rsidRPr="00BE5480" w:rsidRDefault="000D7864" w:rsidP="00FB718A">
            <w:pPr>
              <w:widowControl/>
              <w:rPr>
                <w:rFonts w:ascii="Arial Narrow" w:hAnsi="Arial Narrow"/>
                <w:sz w:val="20"/>
              </w:rPr>
            </w:pPr>
            <w:r>
              <w:rPr>
                <w:rFonts w:ascii="Arial Narrow" w:hAnsi="Arial Narrow"/>
                <w:sz w:val="20"/>
              </w:rPr>
              <w:t>A patient whose diabetes was previously demonstrated unable to be controlled with metformin or a sulfonylurea does not need to requalify on this criterion before being eligible for PBS-subsidised treat</w:t>
            </w:r>
            <w:r w:rsidRPr="00A051DF">
              <w:rPr>
                <w:rFonts w:ascii="Arial Narrow" w:hAnsi="Arial Narrow"/>
                <w:sz w:val="20"/>
              </w:rPr>
              <w:t xml:space="preserve">ment with </w:t>
            </w:r>
            <w:r w:rsidRPr="00437272">
              <w:rPr>
                <w:rFonts w:ascii="Arial Narrow" w:hAnsi="Arial Narrow"/>
                <w:sz w:val="20"/>
              </w:rPr>
              <w:t xml:space="preserve">this </w:t>
            </w:r>
            <w:r w:rsidR="00726436">
              <w:rPr>
                <w:rFonts w:ascii="Arial Narrow" w:hAnsi="Arial Narrow"/>
                <w:sz w:val="20"/>
              </w:rPr>
              <w:t>fixed dose combination</w:t>
            </w:r>
            <w:r>
              <w:rPr>
                <w:rFonts w:ascii="Arial Narrow" w:hAnsi="Arial Narrow"/>
                <w:i/>
                <w:sz w:val="20"/>
              </w:rPr>
              <w:t>.</w:t>
            </w:r>
          </w:p>
          <w:p w:rsidR="000D7864" w:rsidRPr="005E26D6" w:rsidRDefault="000D7864" w:rsidP="00FB718A">
            <w:pPr>
              <w:widowControl/>
              <w:rPr>
                <w:rFonts w:ascii="Arial Narrow" w:hAnsi="Arial Narrow"/>
                <w:sz w:val="20"/>
              </w:rPr>
            </w:pPr>
          </w:p>
        </w:tc>
      </w:tr>
      <w:tr w:rsidR="000D7864" w:rsidRPr="005E26D6" w:rsidTr="00DE26F7">
        <w:trPr>
          <w:cantSplit/>
          <w:trHeight w:val="360"/>
        </w:trPr>
        <w:tc>
          <w:tcPr>
            <w:tcW w:w="1984" w:type="dxa"/>
            <w:tcBorders>
              <w:top w:val="single" w:sz="4" w:space="0" w:color="auto"/>
              <w:left w:val="single" w:sz="4" w:space="0" w:color="auto"/>
              <w:bottom w:val="single" w:sz="4" w:space="0" w:color="auto"/>
              <w:right w:val="single" w:sz="4" w:space="0" w:color="auto"/>
            </w:tcBorders>
          </w:tcPr>
          <w:p w:rsidR="000D7864" w:rsidRPr="005E26D6" w:rsidRDefault="000D7864" w:rsidP="00FB718A">
            <w:pPr>
              <w:widowControl/>
              <w:rPr>
                <w:rFonts w:ascii="Arial Narrow" w:hAnsi="Arial Narrow"/>
                <w:b/>
                <w:sz w:val="20"/>
              </w:rPr>
            </w:pPr>
            <w:r w:rsidRPr="005E26D6">
              <w:rPr>
                <w:rFonts w:ascii="Arial Narrow" w:hAnsi="Arial Narrow"/>
                <w:b/>
                <w:sz w:val="20"/>
              </w:rPr>
              <w:t>Administrative Advice</w:t>
            </w:r>
          </w:p>
          <w:p w:rsidR="000D7864" w:rsidRPr="005E26D6" w:rsidRDefault="000D7864" w:rsidP="00FB718A">
            <w:pPr>
              <w:widowControl/>
              <w:rPr>
                <w:rFonts w:ascii="Arial Narrow" w:hAnsi="Arial Narrow"/>
                <w:i/>
                <w:sz w:val="20"/>
              </w:rPr>
            </w:pPr>
          </w:p>
        </w:tc>
        <w:tc>
          <w:tcPr>
            <w:tcW w:w="6238" w:type="dxa"/>
            <w:tcBorders>
              <w:top w:val="single" w:sz="4" w:space="0" w:color="auto"/>
              <w:left w:val="single" w:sz="4" w:space="0" w:color="auto"/>
              <w:bottom w:val="single" w:sz="4" w:space="0" w:color="auto"/>
              <w:right w:val="single" w:sz="4" w:space="0" w:color="auto"/>
            </w:tcBorders>
          </w:tcPr>
          <w:p w:rsidR="000D7864" w:rsidRPr="00437272" w:rsidRDefault="000D7864" w:rsidP="00FB718A">
            <w:pPr>
              <w:widowControl/>
              <w:rPr>
                <w:rFonts w:ascii="Arial Narrow" w:hAnsi="Arial Narrow"/>
                <w:b/>
                <w:sz w:val="20"/>
                <w:u w:val="single"/>
              </w:rPr>
            </w:pPr>
            <w:r w:rsidRPr="00437272">
              <w:rPr>
                <w:rFonts w:ascii="Arial Narrow" w:hAnsi="Arial Narrow"/>
                <w:b/>
                <w:sz w:val="20"/>
                <w:u w:val="single"/>
              </w:rPr>
              <w:t>Note</w:t>
            </w:r>
          </w:p>
          <w:p w:rsidR="000D7864" w:rsidRPr="00026CCA" w:rsidRDefault="000D7864" w:rsidP="00FB718A">
            <w:pPr>
              <w:widowControl/>
              <w:spacing w:before="75" w:after="75"/>
              <w:ind w:right="75"/>
              <w:rPr>
                <w:rFonts w:ascii="Arial Narrow" w:hAnsi="Arial Narrow"/>
                <w:i/>
                <w:sz w:val="20"/>
              </w:rPr>
            </w:pPr>
            <w:r w:rsidRPr="00437272">
              <w:rPr>
                <w:rFonts w:ascii="Arial Narrow" w:hAnsi="Arial Narrow"/>
                <w:sz w:val="20"/>
              </w:rPr>
              <w:t>This drug is not PBS-subsidised for use as monotherapy or in combination with a thiazolidinedione (glitazone), a glucagon-like peptide-1 or an SGLT2 inhibitor.</w:t>
            </w:r>
          </w:p>
        </w:tc>
      </w:tr>
    </w:tbl>
    <w:p w:rsidR="00C25D9C" w:rsidRDefault="00C25D9C" w:rsidP="00FB718A">
      <w:pPr>
        <w:widowControl/>
        <w:ind w:left="720"/>
        <w:rPr>
          <w:szCs w:val="22"/>
        </w:rPr>
      </w:pPr>
    </w:p>
    <w:p w:rsidR="007565B6" w:rsidRPr="00317692" w:rsidRDefault="007062ED" w:rsidP="007062ED">
      <w:pPr>
        <w:pStyle w:val="PBACHeading1"/>
      </w:pPr>
      <w:r w:rsidRPr="00317692">
        <w:t xml:space="preserve">Context for Decision </w:t>
      </w:r>
    </w:p>
    <w:p w:rsidR="007062ED" w:rsidRDefault="007062ED" w:rsidP="007062ED">
      <w:pPr>
        <w:pStyle w:val="PBACHeading1"/>
        <w:numPr>
          <w:ilvl w:val="0"/>
          <w:numId w:val="0"/>
        </w:numPr>
      </w:pPr>
    </w:p>
    <w:p w:rsidR="00317692" w:rsidRPr="00317692" w:rsidRDefault="00317692" w:rsidP="00317692">
      <w:pPr>
        <w:pStyle w:val="PBACHeading1"/>
        <w:numPr>
          <w:ilvl w:val="0"/>
          <w:numId w:val="0"/>
        </w:numPr>
        <w:ind w:left="720"/>
        <w:rPr>
          <w:b w:val="0"/>
        </w:rPr>
      </w:pPr>
      <w:r w:rsidRPr="00317692">
        <w:rPr>
          <w:b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17692" w:rsidRDefault="00317692" w:rsidP="00317692">
      <w:pPr>
        <w:pStyle w:val="PBACHeading1"/>
        <w:numPr>
          <w:ilvl w:val="0"/>
          <w:numId w:val="0"/>
        </w:numPr>
        <w:ind w:left="720"/>
      </w:pPr>
    </w:p>
    <w:p w:rsidR="00317692" w:rsidRDefault="00317692" w:rsidP="00317692">
      <w:pPr>
        <w:pStyle w:val="PBACHeading1"/>
      </w:pPr>
      <w:r>
        <w:t xml:space="preserve">Sponsor’s Comment </w:t>
      </w:r>
    </w:p>
    <w:p w:rsidR="00317692" w:rsidRDefault="00317692" w:rsidP="00317692">
      <w:pPr>
        <w:pStyle w:val="PBACHeading1"/>
        <w:numPr>
          <w:ilvl w:val="0"/>
          <w:numId w:val="0"/>
        </w:numPr>
        <w:ind w:left="720"/>
      </w:pPr>
    </w:p>
    <w:p w:rsidR="00317692" w:rsidRPr="00317692" w:rsidRDefault="00DD33B3" w:rsidP="00317692">
      <w:pPr>
        <w:pStyle w:val="PBACHeading1"/>
        <w:numPr>
          <w:ilvl w:val="0"/>
          <w:numId w:val="0"/>
        </w:numPr>
        <w:ind w:left="720"/>
        <w:rPr>
          <w:b w:val="0"/>
        </w:rPr>
      </w:pPr>
      <w:r>
        <w:rPr>
          <w:b w:val="0"/>
        </w:rPr>
        <w:t xml:space="preserve">The sponsor had no comment. </w:t>
      </w:r>
    </w:p>
    <w:sectPr w:rsidR="00317692" w:rsidRPr="00317692" w:rsidSect="0076382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C6" w:rsidRDefault="005F42C6" w:rsidP="00124A51">
      <w:r>
        <w:separator/>
      </w:r>
    </w:p>
  </w:endnote>
  <w:endnote w:type="continuationSeparator" w:id="0">
    <w:p w:rsidR="005F42C6" w:rsidRDefault="005F42C6"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C6" w:rsidRDefault="005F4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50" w:rsidRDefault="00B65B50" w:rsidP="00CE5823">
    <w:pPr>
      <w:ind w:right="360"/>
      <w:jc w:val="center"/>
      <w:rPr>
        <w:b/>
        <w:sz w:val="20"/>
      </w:rPr>
    </w:pPr>
  </w:p>
  <w:p w:rsidR="00B65B50" w:rsidRPr="00651169" w:rsidRDefault="00B65B50" w:rsidP="007565B6">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867ED0">
      <w:rPr>
        <w:noProof/>
        <w:sz w:val="20"/>
      </w:rPr>
      <w:t>1</w:t>
    </w:r>
    <w:r w:rsidRPr="00651169">
      <w:rPr>
        <w:noProof/>
        <w:sz w:val="20"/>
      </w:rPr>
      <w:fldChar w:fldCharType="end"/>
    </w:r>
  </w:p>
  <w:p w:rsidR="00B65B50" w:rsidRPr="00CE5823" w:rsidRDefault="00B65B50" w:rsidP="00CE5823">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C6" w:rsidRDefault="005F4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C6" w:rsidRDefault="005F42C6" w:rsidP="00124A51">
      <w:r>
        <w:separator/>
      </w:r>
    </w:p>
  </w:footnote>
  <w:footnote w:type="continuationSeparator" w:id="0">
    <w:p w:rsidR="005F42C6" w:rsidRDefault="005F42C6"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C6" w:rsidRDefault="005F4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50" w:rsidRPr="00DF217D" w:rsidRDefault="00B65B50" w:rsidP="007565B6">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B65B50" w:rsidRDefault="00B65B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C6" w:rsidRDefault="005F42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C2D22"/>
    <w:multiLevelType w:val="hybridMultilevel"/>
    <w:tmpl w:val="687E1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9E76D05"/>
    <w:multiLevelType w:val="hybridMultilevel"/>
    <w:tmpl w:val="2E58344C"/>
    <w:lvl w:ilvl="0" w:tplc="DB2E09B8">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285041AE"/>
    <w:multiLevelType w:val="hybridMultilevel"/>
    <w:tmpl w:val="C6183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4">
    <w:nsid w:val="2AF8142E"/>
    <w:multiLevelType w:val="hybridMultilevel"/>
    <w:tmpl w:val="0178C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E327DB7"/>
    <w:multiLevelType w:val="hybridMultilevel"/>
    <w:tmpl w:val="B5D653A2"/>
    <w:lvl w:ilvl="0" w:tplc="6238855A">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B977C4"/>
    <w:multiLevelType w:val="hybridMultilevel"/>
    <w:tmpl w:val="BAC6CA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7C34E2"/>
    <w:multiLevelType w:val="hybridMultilevel"/>
    <w:tmpl w:val="C9DEC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9">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5CD7781C"/>
    <w:multiLevelType w:val="hybridMultilevel"/>
    <w:tmpl w:val="3BC09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611686"/>
    <w:multiLevelType w:val="hybridMultilevel"/>
    <w:tmpl w:val="664E4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9680F07"/>
    <w:multiLevelType w:val="hybridMultilevel"/>
    <w:tmpl w:val="42EA60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53261D3"/>
    <w:multiLevelType w:val="hybridMultilevel"/>
    <w:tmpl w:val="5BF066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784D033C"/>
    <w:multiLevelType w:val="multilevel"/>
    <w:tmpl w:val="A23A0F3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F3740C8"/>
    <w:multiLevelType w:val="hybridMultilevel"/>
    <w:tmpl w:val="48A40F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0"/>
  </w:num>
  <w:num w:numId="5">
    <w:abstractNumId w:val="14"/>
  </w:num>
  <w:num w:numId="6">
    <w:abstractNumId w:val="15"/>
  </w:num>
  <w:num w:numId="7">
    <w:abstractNumId w:val="5"/>
  </w:num>
  <w:num w:numId="8">
    <w:abstractNumId w:val="10"/>
  </w:num>
  <w:num w:numId="9">
    <w:abstractNumId w:val="1"/>
  </w:num>
  <w:num w:numId="10">
    <w:abstractNumId w:val="13"/>
  </w:num>
  <w:num w:numId="11">
    <w:abstractNumId w:val="11"/>
  </w:num>
  <w:num w:numId="12">
    <w:abstractNumId w:val="2"/>
  </w:num>
  <w:num w:numId="13">
    <w:abstractNumId w:val="9"/>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05"/>
    <w:rsid w:val="00000790"/>
    <w:rsid w:val="0000110B"/>
    <w:rsid w:val="00003499"/>
    <w:rsid w:val="00003EB0"/>
    <w:rsid w:val="000079F1"/>
    <w:rsid w:val="00012FFB"/>
    <w:rsid w:val="00013247"/>
    <w:rsid w:val="00015886"/>
    <w:rsid w:val="000162EF"/>
    <w:rsid w:val="0002225F"/>
    <w:rsid w:val="00023763"/>
    <w:rsid w:val="0003030B"/>
    <w:rsid w:val="00035F5E"/>
    <w:rsid w:val="00037FF1"/>
    <w:rsid w:val="00040895"/>
    <w:rsid w:val="0004343A"/>
    <w:rsid w:val="00043C37"/>
    <w:rsid w:val="000546D7"/>
    <w:rsid w:val="00071248"/>
    <w:rsid w:val="000720B9"/>
    <w:rsid w:val="00075092"/>
    <w:rsid w:val="000812CA"/>
    <w:rsid w:val="000900D4"/>
    <w:rsid w:val="00090C7E"/>
    <w:rsid w:val="00093583"/>
    <w:rsid w:val="000A1C5A"/>
    <w:rsid w:val="000B3281"/>
    <w:rsid w:val="000B3576"/>
    <w:rsid w:val="000C6972"/>
    <w:rsid w:val="000C7D59"/>
    <w:rsid w:val="000D1BFC"/>
    <w:rsid w:val="000D54F8"/>
    <w:rsid w:val="000D62CC"/>
    <w:rsid w:val="000D7864"/>
    <w:rsid w:val="000E0BF2"/>
    <w:rsid w:val="000F0072"/>
    <w:rsid w:val="000F4BB8"/>
    <w:rsid w:val="000F7127"/>
    <w:rsid w:val="00100F8A"/>
    <w:rsid w:val="0010165C"/>
    <w:rsid w:val="001048BD"/>
    <w:rsid w:val="001052DD"/>
    <w:rsid w:val="00105391"/>
    <w:rsid w:val="0011032E"/>
    <w:rsid w:val="00110EF6"/>
    <w:rsid w:val="00111A4D"/>
    <w:rsid w:val="00111D2D"/>
    <w:rsid w:val="001131D0"/>
    <w:rsid w:val="0011348B"/>
    <w:rsid w:val="00114421"/>
    <w:rsid w:val="00115218"/>
    <w:rsid w:val="00117283"/>
    <w:rsid w:val="00121799"/>
    <w:rsid w:val="001222FC"/>
    <w:rsid w:val="00124A51"/>
    <w:rsid w:val="00126621"/>
    <w:rsid w:val="0012729C"/>
    <w:rsid w:val="001301E9"/>
    <w:rsid w:val="0013272D"/>
    <w:rsid w:val="0013470E"/>
    <w:rsid w:val="00134E93"/>
    <w:rsid w:val="00137645"/>
    <w:rsid w:val="0014015A"/>
    <w:rsid w:val="00140E99"/>
    <w:rsid w:val="0014264D"/>
    <w:rsid w:val="001427BE"/>
    <w:rsid w:val="00145540"/>
    <w:rsid w:val="001456B0"/>
    <w:rsid w:val="0014573C"/>
    <w:rsid w:val="00153B45"/>
    <w:rsid w:val="0015588E"/>
    <w:rsid w:val="00157130"/>
    <w:rsid w:val="00162467"/>
    <w:rsid w:val="00162485"/>
    <w:rsid w:val="00162913"/>
    <w:rsid w:val="001630E9"/>
    <w:rsid w:val="00163EFF"/>
    <w:rsid w:val="001661FB"/>
    <w:rsid w:val="00166416"/>
    <w:rsid w:val="00166A0F"/>
    <w:rsid w:val="0017108D"/>
    <w:rsid w:val="00172A6C"/>
    <w:rsid w:val="00173B04"/>
    <w:rsid w:val="00175523"/>
    <w:rsid w:val="0017636D"/>
    <w:rsid w:val="00176529"/>
    <w:rsid w:val="00177196"/>
    <w:rsid w:val="00180FC9"/>
    <w:rsid w:val="001813C6"/>
    <w:rsid w:val="0018752F"/>
    <w:rsid w:val="00193349"/>
    <w:rsid w:val="00194739"/>
    <w:rsid w:val="00195222"/>
    <w:rsid w:val="001975D8"/>
    <w:rsid w:val="001A564E"/>
    <w:rsid w:val="001A5827"/>
    <w:rsid w:val="001B3443"/>
    <w:rsid w:val="001B5628"/>
    <w:rsid w:val="001B5CD5"/>
    <w:rsid w:val="001C02EE"/>
    <w:rsid w:val="001C30FC"/>
    <w:rsid w:val="001C6E66"/>
    <w:rsid w:val="001D4BC8"/>
    <w:rsid w:val="001E238E"/>
    <w:rsid w:val="001E2B1E"/>
    <w:rsid w:val="001E52EB"/>
    <w:rsid w:val="001E6E20"/>
    <w:rsid w:val="001E740C"/>
    <w:rsid w:val="001F1235"/>
    <w:rsid w:val="001F1CB3"/>
    <w:rsid w:val="001F1DA8"/>
    <w:rsid w:val="001F4A54"/>
    <w:rsid w:val="001F7361"/>
    <w:rsid w:val="002014BC"/>
    <w:rsid w:val="002022A1"/>
    <w:rsid w:val="0020385F"/>
    <w:rsid w:val="00204E19"/>
    <w:rsid w:val="00207021"/>
    <w:rsid w:val="00207D00"/>
    <w:rsid w:val="002105C1"/>
    <w:rsid w:val="002173AE"/>
    <w:rsid w:val="00223B49"/>
    <w:rsid w:val="00224DD4"/>
    <w:rsid w:val="00225F3F"/>
    <w:rsid w:val="002305EB"/>
    <w:rsid w:val="002309CC"/>
    <w:rsid w:val="0023154D"/>
    <w:rsid w:val="00231FB5"/>
    <w:rsid w:val="002321AE"/>
    <w:rsid w:val="00250D9E"/>
    <w:rsid w:val="00254DCF"/>
    <w:rsid w:val="0025534B"/>
    <w:rsid w:val="00255680"/>
    <w:rsid w:val="00255BB7"/>
    <w:rsid w:val="002560B5"/>
    <w:rsid w:val="00256A51"/>
    <w:rsid w:val="00260814"/>
    <w:rsid w:val="00262A87"/>
    <w:rsid w:val="00271ABF"/>
    <w:rsid w:val="00275C5A"/>
    <w:rsid w:val="00277EF0"/>
    <w:rsid w:val="00280B11"/>
    <w:rsid w:val="00281014"/>
    <w:rsid w:val="00291DB5"/>
    <w:rsid w:val="0029482E"/>
    <w:rsid w:val="002952AD"/>
    <w:rsid w:val="002A14AB"/>
    <w:rsid w:val="002A2C37"/>
    <w:rsid w:val="002A667F"/>
    <w:rsid w:val="002B1C1F"/>
    <w:rsid w:val="002B2B0D"/>
    <w:rsid w:val="002B432F"/>
    <w:rsid w:val="002B44DA"/>
    <w:rsid w:val="002B6CCE"/>
    <w:rsid w:val="002B76C5"/>
    <w:rsid w:val="002B7A18"/>
    <w:rsid w:val="002C2775"/>
    <w:rsid w:val="002C27C1"/>
    <w:rsid w:val="002C4B11"/>
    <w:rsid w:val="002C6678"/>
    <w:rsid w:val="002D3E54"/>
    <w:rsid w:val="002D7ACA"/>
    <w:rsid w:val="002E7AF9"/>
    <w:rsid w:val="002F2B95"/>
    <w:rsid w:val="00301017"/>
    <w:rsid w:val="0030786C"/>
    <w:rsid w:val="0031031A"/>
    <w:rsid w:val="00310981"/>
    <w:rsid w:val="003127E0"/>
    <w:rsid w:val="00314B29"/>
    <w:rsid w:val="00315498"/>
    <w:rsid w:val="00317692"/>
    <w:rsid w:val="00321691"/>
    <w:rsid w:val="00321BBE"/>
    <w:rsid w:val="00327D7D"/>
    <w:rsid w:val="00330F3B"/>
    <w:rsid w:val="003361E2"/>
    <w:rsid w:val="003366C9"/>
    <w:rsid w:val="003371B0"/>
    <w:rsid w:val="00343C8C"/>
    <w:rsid w:val="003455AD"/>
    <w:rsid w:val="0034634E"/>
    <w:rsid w:val="00347876"/>
    <w:rsid w:val="003545FB"/>
    <w:rsid w:val="0035620E"/>
    <w:rsid w:val="00361980"/>
    <w:rsid w:val="003712DA"/>
    <w:rsid w:val="00372E43"/>
    <w:rsid w:val="00376364"/>
    <w:rsid w:val="0038365C"/>
    <w:rsid w:val="003943B0"/>
    <w:rsid w:val="00395800"/>
    <w:rsid w:val="00396FD0"/>
    <w:rsid w:val="003A1A7A"/>
    <w:rsid w:val="003A736C"/>
    <w:rsid w:val="003B1DCE"/>
    <w:rsid w:val="003B2B96"/>
    <w:rsid w:val="003B2EE6"/>
    <w:rsid w:val="003B4C89"/>
    <w:rsid w:val="003B5B61"/>
    <w:rsid w:val="003C6D11"/>
    <w:rsid w:val="003D0776"/>
    <w:rsid w:val="003D1828"/>
    <w:rsid w:val="003D2422"/>
    <w:rsid w:val="003D4A46"/>
    <w:rsid w:val="003E00BF"/>
    <w:rsid w:val="003F0B57"/>
    <w:rsid w:val="003F14D4"/>
    <w:rsid w:val="003F1DEA"/>
    <w:rsid w:val="003F4156"/>
    <w:rsid w:val="003F4232"/>
    <w:rsid w:val="003F52F4"/>
    <w:rsid w:val="00400E3F"/>
    <w:rsid w:val="00410708"/>
    <w:rsid w:val="00410EC7"/>
    <w:rsid w:val="00412253"/>
    <w:rsid w:val="00413C46"/>
    <w:rsid w:val="00414476"/>
    <w:rsid w:val="00416BE3"/>
    <w:rsid w:val="00417546"/>
    <w:rsid w:val="00420B9F"/>
    <w:rsid w:val="00424369"/>
    <w:rsid w:val="00425209"/>
    <w:rsid w:val="00425FDF"/>
    <w:rsid w:val="004316B4"/>
    <w:rsid w:val="004319F8"/>
    <w:rsid w:val="004324F0"/>
    <w:rsid w:val="00433044"/>
    <w:rsid w:val="00435AA3"/>
    <w:rsid w:val="00437272"/>
    <w:rsid w:val="004443A7"/>
    <w:rsid w:val="004443F7"/>
    <w:rsid w:val="004464EB"/>
    <w:rsid w:val="00451CA0"/>
    <w:rsid w:val="00455D45"/>
    <w:rsid w:val="00457DF2"/>
    <w:rsid w:val="00464595"/>
    <w:rsid w:val="00474CCE"/>
    <w:rsid w:val="00475E95"/>
    <w:rsid w:val="00482985"/>
    <w:rsid w:val="00484293"/>
    <w:rsid w:val="004855D1"/>
    <w:rsid w:val="004867E2"/>
    <w:rsid w:val="00491B3A"/>
    <w:rsid w:val="00492CFD"/>
    <w:rsid w:val="004962D2"/>
    <w:rsid w:val="004A0DA1"/>
    <w:rsid w:val="004A648C"/>
    <w:rsid w:val="004A6597"/>
    <w:rsid w:val="004A6B96"/>
    <w:rsid w:val="004B1053"/>
    <w:rsid w:val="004B1CB4"/>
    <w:rsid w:val="004B2F18"/>
    <w:rsid w:val="004B3DDB"/>
    <w:rsid w:val="004B44FD"/>
    <w:rsid w:val="004B469B"/>
    <w:rsid w:val="004B5CFC"/>
    <w:rsid w:val="004B6484"/>
    <w:rsid w:val="004C00EA"/>
    <w:rsid w:val="004C2789"/>
    <w:rsid w:val="004C4AED"/>
    <w:rsid w:val="004C7BE2"/>
    <w:rsid w:val="004D1269"/>
    <w:rsid w:val="004D27E9"/>
    <w:rsid w:val="004D4CAD"/>
    <w:rsid w:val="004D502B"/>
    <w:rsid w:val="004E0EB8"/>
    <w:rsid w:val="004E1FAA"/>
    <w:rsid w:val="004E2ADC"/>
    <w:rsid w:val="004E43B2"/>
    <w:rsid w:val="004E67D8"/>
    <w:rsid w:val="004F1007"/>
    <w:rsid w:val="004F1D02"/>
    <w:rsid w:val="004F2679"/>
    <w:rsid w:val="004F2913"/>
    <w:rsid w:val="004F75DB"/>
    <w:rsid w:val="004F7865"/>
    <w:rsid w:val="00506928"/>
    <w:rsid w:val="0051238D"/>
    <w:rsid w:val="005152B5"/>
    <w:rsid w:val="00521319"/>
    <w:rsid w:val="00521A9C"/>
    <w:rsid w:val="00522B1F"/>
    <w:rsid w:val="00523C28"/>
    <w:rsid w:val="005248C4"/>
    <w:rsid w:val="00524C86"/>
    <w:rsid w:val="00530729"/>
    <w:rsid w:val="005313D3"/>
    <w:rsid w:val="0053418C"/>
    <w:rsid w:val="00534825"/>
    <w:rsid w:val="00535E36"/>
    <w:rsid w:val="00535FB0"/>
    <w:rsid w:val="00541032"/>
    <w:rsid w:val="00550B3D"/>
    <w:rsid w:val="00552BD3"/>
    <w:rsid w:val="00555109"/>
    <w:rsid w:val="00556179"/>
    <w:rsid w:val="00562720"/>
    <w:rsid w:val="0056696F"/>
    <w:rsid w:val="00574496"/>
    <w:rsid w:val="00575D8D"/>
    <w:rsid w:val="00576972"/>
    <w:rsid w:val="00583699"/>
    <w:rsid w:val="00592C34"/>
    <w:rsid w:val="00594A52"/>
    <w:rsid w:val="00597377"/>
    <w:rsid w:val="005A00B8"/>
    <w:rsid w:val="005A3045"/>
    <w:rsid w:val="005A67D7"/>
    <w:rsid w:val="005A7C22"/>
    <w:rsid w:val="005B3F0E"/>
    <w:rsid w:val="005B53B0"/>
    <w:rsid w:val="005B5857"/>
    <w:rsid w:val="005B788D"/>
    <w:rsid w:val="005C1B83"/>
    <w:rsid w:val="005C346B"/>
    <w:rsid w:val="005C75CF"/>
    <w:rsid w:val="005D044D"/>
    <w:rsid w:val="005D18AD"/>
    <w:rsid w:val="005D58BC"/>
    <w:rsid w:val="005D644E"/>
    <w:rsid w:val="005D70F0"/>
    <w:rsid w:val="005E19F2"/>
    <w:rsid w:val="005E2964"/>
    <w:rsid w:val="005E3C6E"/>
    <w:rsid w:val="005E73C0"/>
    <w:rsid w:val="005E7F0B"/>
    <w:rsid w:val="005F2706"/>
    <w:rsid w:val="005F42C6"/>
    <w:rsid w:val="005F6A8F"/>
    <w:rsid w:val="005F7D6F"/>
    <w:rsid w:val="00600169"/>
    <w:rsid w:val="00601852"/>
    <w:rsid w:val="00602771"/>
    <w:rsid w:val="00607669"/>
    <w:rsid w:val="0061061F"/>
    <w:rsid w:val="00611A37"/>
    <w:rsid w:val="00612F97"/>
    <w:rsid w:val="00616802"/>
    <w:rsid w:val="00617E12"/>
    <w:rsid w:val="00621477"/>
    <w:rsid w:val="006226CC"/>
    <w:rsid w:val="00623184"/>
    <w:rsid w:val="00623AE0"/>
    <w:rsid w:val="00631D6B"/>
    <w:rsid w:val="00632B26"/>
    <w:rsid w:val="0063479F"/>
    <w:rsid w:val="006364A1"/>
    <w:rsid w:val="00637BFD"/>
    <w:rsid w:val="00640770"/>
    <w:rsid w:val="006471CC"/>
    <w:rsid w:val="0065079F"/>
    <w:rsid w:val="00652638"/>
    <w:rsid w:val="00653D4D"/>
    <w:rsid w:val="0065527F"/>
    <w:rsid w:val="00656BEC"/>
    <w:rsid w:val="00663835"/>
    <w:rsid w:val="0067390D"/>
    <w:rsid w:val="00673C64"/>
    <w:rsid w:val="00674A95"/>
    <w:rsid w:val="00674E42"/>
    <w:rsid w:val="006750E7"/>
    <w:rsid w:val="00682112"/>
    <w:rsid w:val="00682A62"/>
    <w:rsid w:val="006872BA"/>
    <w:rsid w:val="006879AA"/>
    <w:rsid w:val="006917D7"/>
    <w:rsid w:val="00692E9A"/>
    <w:rsid w:val="00694F44"/>
    <w:rsid w:val="006A0C6F"/>
    <w:rsid w:val="006A1EEE"/>
    <w:rsid w:val="006B26F0"/>
    <w:rsid w:val="006B535B"/>
    <w:rsid w:val="006B77C0"/>
    <w:rsid w:val="006C21DC"/>
    <w:rsid w:val="006C26C8"/>
    <w:rsid w:val="006C2A8E"/>
    <w:rsid w:val="006D3A5F"/>
    <w:rsid w:val="006D3C7D"/>
    <w:rsid w:val="006D5905"/>
    <w:rsid w:val="006D5D5F"/>
    <w:rsid w:val="006D7CBA"/>
    <w:rsid w:val="006E1444"/>
    <w:rsid w:val="006E2D42"/>
    <w:rsid w:val="006E3884"/>
    <w:rsid w:val="006E38B9"/>
    <w:rsid w:val="006E46C2"/>
    <w:rsid w:val="006E5AA6"/>
    <w:rsid w:val="006E7811"/>
    <w:rsid w:val="006F1048"/>
    <w:rsid w:val="006F63A5"/>
    <w:rsid w:val="00700C0F"/>
    <w:rsid w:val="0070276E"/>
    <w:rsid w:val="00702F8F"/>
    <w:rsid w:val="0070442C"/>
    <w:rsid w:val="00706262"/>
    <w:rsid w:val="007062ED"/>
    <w:rsid w:val="00711A36"/>
    <w:rsid w:val="00713075"/>
    <w:rsid w:val="00714555"/>
    <w:rsid w:val="007172AD"/>
    <w:rsid w:val="0072416F"/>
    <w:rsid w:val="00726436"/>
    <w:rsid w:val="007269CA"/>
    <w:rsid w:val="00735328"/>
    <w:rsid w:val="0073685B"/>
    <w:rsid w:val="007444AF"/>
    <w:rsid w:val="00750186"/>
    <w:rsid w:val="00754C77"/>
    <w:rsid w:val="007565B6"/>
    <w:rsid w:val="00761805"/>
    <w:rsid w:val="0076382A"/>
    <w:rsid w:val="00770E38"/>
    <w:rsid w:val="00777830"/>
    <w:rsid w:val="00787D92"/>
    <w:rsid w:val="0079502F"/>
    <w:rsid w:val="007A0A12"/>
    <w:rsid w:val="007A3568"/>
    <w:rsid w:val="007A6DE4"/>
    <w:rsid w:val="007B251D"/>
    <w:rsid w:val="007B2DD6"/>
    <w:rsid w:val="007B445E"/>
    <w:rsid w:val="007B706E"/>
    <w:rsid w:val="007B77D1"/>
    <w:rsid w:val="007C100E"/>
    <w:rsid w:val="007C361D"/>
    <w:rsid w:val="007C6006"/>
    <w:rsid w:val="007C6726"/>
    <w:rsid w:val="007C6C4E"/>
    <w:rsid w:val="007C7390"/>
    <w:rsid w:val="007D0B38"/>
    <w:rsid w:val="007D0EA1"/>
    <w:rsid w:val="007D244C"/>
    <w:rsid w:val="007D6B99"/>
    <w:rsid w:val="007E0E9B"/>
    <w:rsid w:val="007F1017"/>
    <w:rsid w:val="007F4224"/>
    <w:rsid w:val="007F4A3F"/>
    <w:rsid w:val="007F6004"/>
    <w:rsid w:val="007F6278"/>
    <w:rsid w:val="00803CF9"/>
    <w:rsid w:val="00805142"/>
    <w:rsid w:val="00806232"/>
    <w:rsid w:val="00807A8B"/>
    <w:rsid w:val="008109AE"/>
    <w:rsid w:val="00812149"/>
    <w:rsid w:val="008166EF"/>
    <w:rsid w:val="008168BA"/>
    <w:rsid w:val="008207E7"/>
    <w:rsid w:val="00822AE5"/>
    <w:rsid w:val="00823289"/>
    <w:rsid w:val="00824DC5"/>
    <w:rsid w:val="008264EB"/>
    <w:rsid w:val="008304BA"/>
    <w:rsid w:val="0083146D"/>
    <w:rsid w:val="00831904"/>
    <w:rsid w:val="0083282C"/>
    <w:rsid w:val="00833B05"/>
    <w:rsid w:val="00840CA2"/>
    <w:rsid w:val="008428A9"/>
    <w:rsid w:val="008437BD"/>
    <w:rsid w:val="0084429B"/>
    <w:rsid w:val="00844D7C"/>
    <w:rsid w:val="0084552A"/>
    <w:rsid w:val="00846C4E"/>
    <w:rsid w:val="00851EDC"/>
    <w:rsid w:val="00854BA3"/>
    <w:rsid w:val="00856E9A"/>
    <w:rsid w:val="00857572"/>
    <w:rsid w:val="00862502"/>
    <w:rsid w:val="0086292E"/>
    <w:rsid w:val="00863C1D"/>
    <w:rsid w:val="00867ED0"/>
    <w:rsid w:val="00873E73"/>
    <w:rsid w:val="00882874"/>
    <w:rsid w:val="00883787"/>
    <w:rsid w:val="00886409"/>
    <w:rsid w:val="00893BBA"/>
    <w:rsid w:val="00894489"/>
    <w:rsid w:val="008963A5"/>
    <w:rsid w:val="00896DEA"/>
    <w:rsid w:val="00897A7D"/>
    <w:rsid w:val="008A2C41"/>
    <w:rsid w:val="008A3C3E"/>
    <w:rsid w:val="008A5874"/>
    <w:rsid w:val="008A79DE"/>
    <w:rsid w:val="008B0A47"/>
    <w:rsid w:val="008B4AF7"/>
    <w:rsid w:val="008B7D7E"/>
    <w:rsid w:val="008C4A1D"/>
    <w:rsid w:val="008C753F"/>
    <w:rsid w:val="008C7ECB"/>
    <w:rsid w:val="008D2D18"/>
    <w:rsid w:val="008D48D1"/>
    <w:rsid w:val="008D7E64"/>
    <w:rsid w:val="008E06AD"/>
    <w:rsid w:val="008E1B9E"/>
    <w:rsid w:val="008E1FCC"/>
    <w:rsid w:val="008E3DDA"/>
    <w:rsid w:val="008E4FF1"/>
    <w:rsid w:val="008E5B33"/>
    <w:rsid w:val="008F120A"/>
    <w:rsid w:val="008F130F"/>
    <w:rsid w:val="008F48EB"/>
    <w:rsid w:val="008F4F0B"/>
    <w:rsid w:val="008F6B03"/>
    <w:rsid w:val="008F6CA7"/>
    <w:rsid w:val="009062A5"/>
    <w:rsid w:val="00910FF6"/>
    <w:rsid w:val="00911272"/>
    <w:rsid w:val="00914B8A"/>
    <w:rsid w:val="00922410"/>
    <w:rsid w:val="0092270B"/>
    <w:rsid w:val="00926B03"/>
    <w:rsid w:val="00927C12"/>
    <w:rsid w:val="00931645"/>
    <w:rsid w:val="00931F56"/>
    <w:rsid w:val="009407A5"/>
    <w:rsid w:val="00943E9D"/>
    <w:rsid w:val="0095668E"/>
    <w:rsid w:val="00960FA5"/>
    <w:rsid w:val="00961C61"/>
    <w:rsid w:val="00962CB9"/>
    <w:rsid w:val="00963A79"/>
    <w:rsid w:val="00964312"/>
    <w:rsid w:val="00966330"/>
    <w:rsid w:val="00982CC5"/>
    <w:rsid w:val="00983B97"/>
    <w:rsid w:val="00983E57"/>
    <w:rsid w:val="009913EA"/>
    <w:rsid w:val="00996B1A"/>
    <w:rsid w:val="009A1522"/>
    <w:rsid w:val="009B1206"/>
    <w:rsid w:val="009B3E26"/>
    <w:rsid w:val="009B7617"/>
    <w:rsid w:val="009C1894"/>
    <w:rsid w:val="009C4B0A"/>
    <w:rsid w:val="009C72A2"/>
    <w:rsid w:val="009C7C42"/>
    <w:rsid w:val="009D5B91"/>
    <w:rsid w:val="009E04A7"/>
    <w:rsid w:val="009E34DC"/>
    <w:rsid w:val="009E3A5D"/>
    <w:rsid w:val="009E4C07"/>
    <w:rsid w:val="009E5BE2"/>
    <w:rsid w:val="009F0F60"/>
    <w:rsid w:val="009F279E"/>
    <w:rsid w:val="00A01A86"/>
    <w:rsid w:val="00A01D8E"/>
    <w:rsid w:val="00A023DB"/>
    <w:rsid w:val="00A03D43"/>
    <w:rsid w:val="00A04380"/>
    <w:rsid w:val="00A04ADD"/>
    <w:rsid w:val="00A1037C"/>
    <w:rsid w:val="00A13948"/>
    <w:rsid w:val="00A15147"/>
    <w:rsid w:val="00A16313"/>
    <w:rsid w:val="00A26A14"/>
    <w:rsid w:val="00A27AEC"/>
    <w:rsid w:val="00A35B38"/>
    <w:rsid w:val="00A35D16"/>
    <w:rsid w:val="00A36563"/>
    <w:rsid w:val="00A377A6"/>
    <w:rsid w:val="00A42516"/>
    <w:rsid w:val="00A43C59"/>
    <w:rsid w:val="00A45E66"/>
    <w:rsid w:val="00A50ECD"/>
    <w:rsid w:val="00A52729"/>
    <w:rsid w:val="00A53675"/>
    <w:rsid w:val="00A54056"/>
    <w:rsid w:val="00A56369"/>
    <w:rsid w:val="00A56B6A"/>
    <w:rsid w:val="00A578DC"/>
    <w:rsid w:val="00A64EC5"/>
    <w:rsid w:val="00A6725B"/>
    <w:rsid w:val="00A704C1"/>
    <w:rsid w:val="00A71AF8"/>
    <w:rsid w:val="00A727D2"/>
    <w:rsid w:val="00A73D14"/>
    <w:rsid w:val="00A74D7B"/>
    <w:rsid w:val="00A76422"/>
    <w:rsid w:val="00A821B3"/>
    <w:rsid w:val="00A86E8B"/>
    <w:rsid w:val="00A90935"/>
    <w:rsid w:val="00A93072"/>
    <w:rsid w:val="00A959D8"/>
    <w:rsid w:val="00A95C35"/>
    <w:rsid w:val="00A96C04"/>
    <w:rsid w:val="00AA03B9"/>
    <w:rsid w:val="00AA3C1C"/>
    <w:rsid w:val="00AA48E6"/>
    <w:rsid w:val="00AA77A4"/>
    <w:rsid w:val="00AB042A"/>
    <w:rsid w:val="00AB2D34"/>
    <w:rsid w:val="00AB3430"/>
    <w:rsid w:val="00AB7CFA"/>
    <w:rsid w:val="00AC636D"/>
    <w:rsid w:val="00AD0AAE"/>
    <w:rsid w:val="00AD1C6E"/>
    <w:rsid w:val="00AD5D8E"/>
    <w:rsid w:val="00AD77B3"/>
    <w:rsid w:val="00AE6739"/>
    <w:rsid w:val="00AF43B0"/>
    <w:rsid w:val="00B067C6"/>
    <w:rsid w:val="00B06ACA"/>
    <w:rsid w:val="00B07CDC"/>
    <w:rsid w:val="00B17C37"/>
    <w:rsid w:val="00B24832"/>
    <w:rsid w:val="00B321ED"/>
    <w:rsid w:val="00B33EF4"/>
    <w:rsid w:val="00B34038"/>
    <w:rsid w:val="00B35AC6"/>
    <w:rsid w:val="00B4276F"/>
    <w:rsid w:val="00B42851"/>
    <w:rsid w:val="00B50DB8"/>
    <w:rsid w:val="00B51D51"/>
    <w:rsid w:val="00B5293D"/>
    <w:rsid w:val="00B53905"/>
    <w:rsid w:val="00B54B5B"/>
    <w:rsid w:val="00B5562E"/>
    <w:rsid w:val="00B57000"/>
    <w:rsid w:val="00B60939"/>
    <w:rsid w:val="00B60AFD"/>
    <w:rsid w:val="00B62715"/>
    <w:rsid w:val="00B65B50"/>
    <w:rsid w:val="00B675B8"/>
    <w:rsid w:val="00B7115C"/>
    <w:rsid w:val="00B74139"/>
    <w:rsid w:val="00B76EBD"/>
    <w:rsid w:val="00B818A4"/>
    <w:rsid w:val="00B826C8"/>
    <w:rsid w:val="00B86101"/>
    <w:rsid w:val="00B8649C"/>
    <w:rsid w:val="00B92D0B"/>
    <w:rsid w:val="00B94945"/>
    <w:rsid w:val="00B94BE8"/>
    <w:rsid w:val="00B94CAD"/>
    <w:rsid w:val="00B94EBA"/>
    <w:rsid w:val="00BA2F79"/>
    <w:rsid w:val="00BB42D2"/>
    <w:rsid w:val="00BB5132"/>
    <w:rsid w:val="00BB7405"/>
    <w:rsid w:val="00BC1067"/>
    <w:rsid w:val="00BD6CF3"/>
    <w:rsid w:val="00BE0752"/>
    <w:rsid w:val="00BE2180"/>
    <w:rsid w:val="00BE4275"/>
    <w:rsid w:val="00BE43D5"/>
    <w:rsid w:val="00BF08CB"/>
    <w:rsid w:val="00BF2433"/>
    <w:rsid w:val="00BF3655"/>
    <w:rsid w:val="00BF61C9"/>
    <w:rsid w:val="00C01E11"/>
    <w:rsid w:val="00C05247"/>
    <w:rsid w:val="00C2502A"/>
    <w:rsid w:val="00C25418"/>
    <w:rsid w:val="00C25979"/>
    <w:rsid w:val="00C25D9C"/>
    <w:rsid w:val="00C31649"/>
    <w:rsid w:val="00C318C2"/>
    <w:rsid w:val="00C3421A"/>
    <w:rsid w:val="00C40385"/>
    <w:rsid w:val="00C4768F"/>
    <w:rsid w:val="00C47CAB"/>
    <w:rsid w:val="00C52DD2"/>
    <w:rsid w:val="00C64234"/>
    <w:rsid w:val="00C65576"/>
    <w:rsid w:val="00C66165"/>
    <w:rsid w:val="00C67187"/>
    <w:rsid w:val="00C71D67"/>
    <w:rsid w:val="00C750C8"/>
    <w:rsid w:val="00C76405"/>
    <w:rsid w:val="00C81234"/>
    <w:rsid w:val="00C8213F"/>
    <w:rsid w:val="00C82A51"/>
    <w:rsid w:val="00C85B67"/>
    <w:rsid w:val="00C8797A"/>
    <w:rsid w:val="00C87F96"/>
    <w:rsid w:val="00C938CF"/>
    <w:rsid w:val="00C96B41"/>
    <w:rsid w:val="00C97D27"/>
    <w:rsid w:val="00CA0988"/>
    <w:rsid w:val="00CA0FC3"/>
    <w:rsid w:val="00CA160B"/>
    <w:rsid w:val="00CA3AFC"/>
    <w:rsid w:val="00CA5245"/>
    <w:rsid w:val="00CA7B09"/>
    <w:rsid w:val="00CB20F5"/>
    <w:rsid w:val="00CB5B1A"/>
    <w:rsid w:val="00CC23BD"/>
    <w:rsid w:val="00CC58EE"/>
    <w:rsid w:val="00CD359E"/>
    <w:rsid w:val="00CD3E2C"/>
    <w:rsid w:val="00CD464D"/>
    <w:rsid w:val="00CD4F73"/>
    <w:rsid w:val="00CD6ADC"/>
    <w:rsid w:val="00CE5823"/>
    <w:rsid w:val="00CE6274"/>
    <w:rsid w:val="00CF0764"/>
    <w:rsid w:val="00CF456B"/>
    <w:rsid w:val="00CF5A22"/>
    <w:rsid w:val="00D02414"/>
    <w:rsid w:val="00D0262E"/>
    <w:rsid w:val="00D05847"/>
    <w:rsid w:val="00D110BD"/>
    <w:rsid w:val="00D15B66"/>
    <w:rsid w:val="00D17B90"/>
    <w:rsid w:val="00D17D6C"/>
    <w:rsid w:val="00D31940"/>
    <w:rsid w:val="00D357FF"/>
    <w:rsid w:val="00D46E21"/>
    <w:rsid w:val="00D51769"/>
    <w:rsid w:val="00D56C28"/>
    <w:rsid w:val="00D625A0"/>
    <w:rsid w:val="00D637A0"/>
    <w:rsid w:val="00D63C37"/>
    <w:rsid w:val="00D640B8"/>
    <w:rsid w:val="00D76A44"/>
    <w:rsid w:val="00D77FB7"/>
    <w:rsid w:val="00D814FE"/>
    <w:rsid w:val="00D82BC7"/>
    <w:rsid w:val="00D83F3C"/>
    <w:rsid w:val="00D848EE"/>
    <w:rsid w:val="00D86C07"/>
    <w:rsid w:val="00D90A95"/>
    <w:rsid w:val="00D90D02"/>
    <w:rsid w:val="00D929BF"/>
    <w:rsid w:val="00D93753"/>
    <w:rsid w:val="00DA3D6F"/>
    <w:rsid w:val="00DA77A5"/>
    <w:rsid w:val="00DB5829"/>
    <w:rsid w:val="00DB59E5"/>
    <w:rsid w:val="00DB76A0"/>
    <w:rsid w:val="00DC4C3D"/>
    <w:rsid w:val="00DC5501"/>
    <w:rsid w:val="00DD2220"/>
    <w:rsid w:val="00DD2DB6"/>
    <w:rsid w:val="00DD33B3"/>
    <w:rsid w:val="00DD3F28"/>
    <w:rsid w:val="00DD4537"/>
    <w:rsid w:val="00DD4E15"/>
    <w:rsid w:val="00DE040A"/>
    <w:rsid w:val="00DE14BC"/>
    <w:rsid w:val="00DE26F7"/>
    <w:rsid w:val="00DE2B1F"/>
    <w:rsid w:val="00DE4FCB"/>
    <w:rsid w:val="00DF3115"/>
    <w:rsid w:val="00DF4D9D"/>
    <w:rsid w:val="00DF5D2B"/>
    <w:rsid w:val="00E016FC"/>
    <w:rsid w:val="00E02C08"/>
    <w:rsid w:val="00E02F57"/>
    <w:rsid w:val="00E04F64"/>
    <w:rsid w:val="00E10149"/>
    <w:rsid w:val="00E11CE0"/>
    <w:rsid w:val="00E16372"/>
    <w:rsid w:val="00E20ED6"/>
    <w:rsid w:val="00E21358"/>
    <w:rsid w:val="00E223BC"/>
    <w:rsid w:val="00E2249B"/>
    <w:rsid w:val="00E22A0D"/>
    <w:rsid w:val="00E26D83"/>
    <w:rsid w:val="00E2771E"/>
    <w:rsid w:val="00E37569"/>
    <w:rsid w:val="00E41E30"/>
    <w:rsid w:val="00E43D70"/>
    <w:rsid w:val="00E47B2C"/>
    <w:rsid w:val="00E51560"/>
    <w:rsid w:val="00E55424"/>
    <w:rsid w:val="00E55BB5"/>
    <w:rsid w:val="00E625D0"/>
    <w:rsid w:val="00E626A2"/>
    <w:rsid w:val="00E658BD"/>
    <w:rsid w:val="00E65E79"/>
    <w:rsid w:val="00E67416"/>
    <w:rsid w:val="00E718B6"/>
    <w:rsid w:val="00E73581"/>
    <w:rsid w:val="00E807C4"/>
    <w:rsid w:val="00E80D5E"/>
    <w:rsid w:val="00E81CBB"/>
    <w:rsid w:val="00E83BDF"/>
    <w:rsid w:val="00E877B8"/>
    <w:rsid w:val="00E87E48"/>
    <w:rsid w:val="00EA3864"/>
    <w:rsid w:val="00EA4B0C"/>
    <w:rsid w:val="00EA6A0E"/>
    <w:rsid w:val="00EA7FDD"/>
    <w:rsid w:val="00EB15B6"/>
    <w:rsid w:val="00EB4464"/>
    <w:rsid w:val="00EB4916"/>
    <w:rsid w:val="00EB510F"/>
    <w:rsid w:val="00EB7207"/>
    <w:rsid w:val="00EB73D2"/>
    <w:rsid w:val="00EC00C9"/>
    <w:rsid w:val="00EC1E6D"/>
    <w:rsid w:val="00EC5681"/>
    <w:rsid w:val="00EC6991"/>
    <w:rsid w:val="00ED0385"/>
    <w:rsid w:val="00ED173E"/>
    <w:rsid w:val="00ED362D"/>
    <w:rsid w:val="00ED5226"/>
    <w:rsid w:val="00ED6C80"/>
    <w:rsid w:val="00EE07D3"/>
    <w:rsid w:val="00EE34B1"/>
    <w:rsid w:val="00EE38EA"/>
    <w:rsid w:val="00EE45BC"/>
    <w:rsid w:val="00EE4C04"/>
    <w:rsid w:val="00EF7C86"/>
    <w:rsid w:val="00F012C1"/>
    <w:rsid w:val="00F0401C"/>
    <w:rsid w:val="00F067A2"/>
    <w:rsid w:val="00F06A7C"/>
    <w:rsid w:val="00F15894"/>
    <w:rsid w:val="00F1776C"/>
    <w:rsid w:val="00F24837"/>
    <w:rsid w:val="00F2575F"/>
    <w:rsid w:val="00F33DE9"/>
    <w:rsid w:val="00F34237"/>
    <w:rsid w:val="00F3619A"/>
    <w:rsid w:val="00F40D69"/>
    <w:rsid w:val="00F417B2"/>
    <w:rsid w:val="00F445FD"/>
    <w:rsid w:val="00F44B01"/>
    <w:rsid w:val="00F46CB6"/>
    <w:rsid w:val="00F51B5C"/>
    <w:rsid w:val="00F553C0"/>
    <w:rsid w:val="00F55E73"/>
    <w:rsid w:val="00F56112"/>
    <w:rsid w:val="00F56435"/>
    <w:rsid w:val="00F60092"/>
    <w:rsid w:val="00F66D9B"/>
    <w:rsid w:val="00F76611"/>
    <w:rsid w:val="00F80E5D"/>
    <w:rsid w:val="00F851CE"/>
    <w:rsid w:val="00F85705"/>
    <w:rsid w:val="00F92AE2"/>
    <w:rsid w:val="00F93936"/>
    <w:rsid w:val="00F97A78"/>
    <w:rsid w:val="00FA24E7"/>
    <w:rsid w:val="00FA298A"/>
    <w:rsid w:val="00FA3FDB"/>
    <w:rsid w:val="00FA4F51"/>
    <w:rsid w:val="00FA7C9D"/>
    <w:rsid w:val="00FB2FCB"/>
    <w:rsid w:val="00FB464D"/>
    <w:rsid w:val="00FB4E98"/>
    <w:rsid w:val="00FB55F3"/>
    <w:rsid w:val="00FB69E5"/>
    <w:rsid w:val="00FB718A"/>
    <w:rsid w:val="00FB7D7D"/>
    <w:rsid w:val="00FC1074"/>
    <w:rsid w:val="00FC1884"/>
    <w:rsid w:val="00FC40C2"/>
    <w:rsid w:val="00FC6BA0"/>
    <w:rsid w:val="00FD1FB6"/>
    <w:rsid w:val="00FD2100"/>
    <w:rsid w:val="00FD2D16"/>
    <w:rsid w:val="00FD446D"/>
    <w:rsid w:val="00FD6938"/>
    <w:rsid w:val="00FD7546"/>
    <w:rsid w:val="00FD781E"/>
    <w:rsid w:val="00FE1CC7"/>
    <w:rsid w:val="00FE30FF"/>
    <w:rsid w:val="00FF1F3E"/>
    <w:rsid w:val="00FF3393"/>
    <w:rsid w:val="00FF3DCF"/>
    <w:rsid w:val="00FF537F"/>
    <w:rsid w:val="00FF5655"/>
    <w:rsid w:val="00FF5AA3"/>
    <w:rsid w:val="00FF5A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TableText1">
    <w:name w:val="Table Text"/>
    <w:basedOn w:val="Normal"/>
    <w:link w:val="TableTextChar1"/>
    <w:qFormat/>
    <w:rsid w:val="00961C61"/>
    <w:pPr>
      <w:widowControl/>
      <w:jc w:val="left"/>
    </w:pPr>
    <w:rPr>
      <w:rFonts w:eastAsia="SimSun" w:cs="Times New Roman"/>
      <w:snapToGrid/>
      <w:sz w:val="20"/>
      <w:lang w:eastAsia="zh-CN"/>
    </w:rPr>
  </w:style>
  <w:style w:type="character" w:customStyle="1" w:styleId="TableTextChar1">
    <w:name w:val="Table Text Char"/>
    <w:link w:val="TableText1"/>
    <w:rsid w:val="00961C61"/>
    <w:rPr>
      <w:rFonts w:ascii="Arial" w:eastAsia="SimSun" w:hAnsi="Arial"/>
      <w:lang w:eastAsia="zh-CN"/>
    </w:rPr>
  </w:style>
  <w:style w:type="paragraph" w:styleId="FootnoteText">
    <w:name w:val="footnote text"/>
    <w:basedOn w:val="Normal"/>
    <w:link w:val="FootnoteTextChar"/>
    <w:semiHidden/>
    <w:unhideWhenUsed/>
    <w:rsid w:val="00321BBE"/>
    <w:rPr>
      <w:sz w:val="20"/>
    </w:rPr>
  </w:style>
  <w:style w:type="character" w:customStyle="1" w:styleId="FootnoteTextChar">
    <w:name w:val="Footnote Text Char"/>
    <w:basedOn w:val="DefaultParagraphFont"/>
    <w:link w:val="FootnoteText"/>
    <w:semiHidden/>
    <w:rsid w:val="00321BBE"/>
    <w:rPr>
      <w:rFonts w:ascii="Arial" w:hAnsi="Arial" w:cs="Arial"/>
      <w:snapToGrid w:val="0"/>
      <w:lang w:eastAsia="en-US"/>
    </w:rPr>
  </w:style>
  <w:style w:type="character" w:styleId="FootnoteReference">
    <w:name w:val="footnote reference"/>
    <w:rsid w:val="00321BBE"/>
    <w:rPr>
      <w:vertAlign w:val="superscript"/>
    </w:rPr>
  </w:style>
  <w:style w:type="character" w:customStyle="1" w:styleId="ListParagraphChar">
    <w:name w:val="List Paragraph Char"/>
    <w:link w:val="ListParagraph"/>
    <w:uiPriority w:val="72"/>
    <w:rsid w:val="00D02414"/>
    <w:rPr>
      <w:rFonts w:ascii="Arial" w:hAnsi="Arial" w:cs="Arial"/>
      <w:snapToGrid w:val="0"/>
      <w:sz w:val="22"/>
      <w:lang w:eastAsia="en-US"/>
    </w:rPr>
  </w:style>
  <w:style w:type="paragraph" w:customStyle="1" w:styleId="Bulletedbodytext">
    <w:name w:val="Bulleted body text"/>
    <w:basedOn w:val="BodyText"/>
    <w:link w:val="BulletedbodytextChar"/>
    <w:uiPriority w:val="99"/>
    <w:qFormat/>
    <w:rsid w:val="00ED5226"/>
    <w:pPr>
      <w:widowControl/>
      <w:spacing w:after="120" w:line="360" w:lineRule="auto"/>
      <w:ind w:left="470" w:hanging="357"/>
    </w:pPr>
    <w:rPr>
      <w:snapToGrid/>
      <w:sz w:val="20"/>
      <w:szCs w:val="24"/>
      <w:lang w:val="en-US"/>
    </w:rPr>
  </w:style>
  <w:style w:type="character" w:customStyle="1" w:styleId="BulletedbodytextChar">
    <w:name w:val="Bulleted body text Char"/>
    <w:link w:val="Bulletedbodytext"/>
    <w:uiPriority w:val="99"/>
    <w:rsid w:val="00ED5226"/>
    <w:rPr>
      <w:rFonts w:ascii="Arial" w:hAnsi="Arial" w:cs="Arial"/>
      <w:szCs w:val="24"/>
      <w:lang w:val="en-US" w:eastAsia="en-US"/>
    </w:rPr>
  </w:style>
  <w:style w:type="character" w:customStyle="1" w:styleId="Bodytext3Char0">
    <w:name w:val="Body text 3 Char"/>
    <w:link w:val="BodyText31"/>
    <w:rsid w:val="00ED5226"/>
    <w:rPr>
      <w:rFonts w:ascii="Arial" w:hAnsi="Arial"/>
      <w:i/>
      <w:szCs w:val="28"/>
      <w:lang w:val="en-US" w:eastAsia="en-US"/>
    </w:rPr>
  </w:style>
  <w:style w:type="paragraph" w:customStyle="1" w:styleId="BodyText31">
    <w:name w:val="Body Text 31"/>
    <w:basedOn w:val="BodyText"/>
    <w:next w:val="BodyText"/>
    <w:link w:val="Bodytext3Char0"/>
    <w:qFormat/>
    <w:rsid w:val="00ED5226"/>
    <w:pPr>
      <w:widowControl/>
      <w:spacing w:after="120" w:line="360" w:lineRule="auto"/>
    </w:pPr>
    <w:rPr>
      <w:rFonts w:cs="Times New Roman"/>
      <w:i/>
      <w:snapToGrid/>
      <w:sz w:val="20"/>
      <w:szCs w:val="28"/>
      <w:lang w:val="en-US"/>
    </w:rPr>
  </w:style>
  <w:style w:type="paragraph" w:customStyle="1" w:styleId="BodytextBullet">
    <w:name w:val="Body text Bullet"/>
    <w:basedOn w:val="BodyText"/>
    <w:qFormat/>
    <w:rsid w:val="00ED5226"/>
    <w:pPr>
      <w:widowControl/>
      <w:numPr>
        <w:numId w:val="7"/>
      </w:numPr>
      <w:spacing w:after="120" w:line="360" w:lineRule="auto"/>
    </w:pPr>
    <w:rPr>
      <w:snapToGrid/>
      <w:sz w:val="20"/>
      <w:szCs w:val="24"/>
      <w:lang w:val="en-US"/>
    </w:rPr>
  </w:style>
  <w:style w:type="character" w:customStyle="1" w:styleId="BodyText2Char2">
    <w:name w:val="Body Text 2 Char2"/>
    <w:rsid w:val="00ED5226"/>
    <w:rPr>
      <w:rFonts w:ascii="Arial" w:hAnsi="Arial" w:cs="Arial" w:hint="default"/>
      <w:b/>
      <w:bCs w:val="0"/>
      <w:szCs w:val="24"/>
      <w:lang w:val="en-AU" w:eastAsia="en-US" w:bidi="ar-SA"/>
    </w:rPr>
  </w:style>
  <w:style w:type="paragraph" w:customStyle="1" w:styleId="TableText2">
    <w:name w:val="Table Text 2"/>
    <w:basedOn w:val="Normal"/>
    <w:next w:val="TableText1"/>
    <w:link w:val="TableText2Char"/>
    <w:qFormat/>
    <w:rsid w:val="00556179"/>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556179"/>
    <w:rPr>
      <w:rFonts w:ascii="Arial" w:hAnsi="Arial"/>
      <w:b/>
      <w:bCs/>
      <w:sz w:val="18"/>
    </w:rPr>
  </w:style>
  <w:style w:type="table" w:customStyle="1" w:styleId="TableGrid1">
    <w:name w:val="Table Grid1"/>
    <w:basedOn w:val="TableNormal"/>
    <w:next w:val="TableGrid"/>
    <w:uiPriority w:val="59"/>
    <w:rsid w:val="00AC63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link w:val="TableText0"/>
    <w:rsid w:val="00A26A14"/>
    <w:rPr>
      <w:rFonts w:ascii="Arial Narrow" w:hAnsi="Arial Narrow" w:cs="Arial Narrow"/>
      <w:lang w:eastAsia="en-US"/>
    </w:rPr>
  </w:style>
  <w:style w:type="paragraph" w:customStyle="1" w:styleId="COMtbl-HEADLeftAligned">
    <w:name w:val="COMtbl-HEAD Left Aligned"/>
    <w:basedOn w:val="Normal"/>
    <w:qFormat/>
    <w:rsid w:val="00A26A14"/>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A26A14"/>
    <w:pPr>
      <w:jc w:val="center"/>
    </w:pPr>
  </w:style>
  <w:style w:type="paragraph" w:customStyle="1" w:styleId="COMTbl-cap">
    <w:name w:val="COMTbl-cap"/>
    <w:basedOn w:val="Normal"/>
    <w:link w:val="COMTbl-capChar"/>
    <w:qFormat/>
    <w:rsid w:val="00A26A14"/>
    <w:pPr>
      <w:keepNext/>
    </w:pPr>
    <w:rPr>
      <w:rFonts w:ascii="Arial Narrow" w:hAnsi="Arial Narrow"/>
      <w:b/>
      <w:sz w:val="20"/>
    </w:rPr>
  </w:style>
  <w:style w:type="character" w:customStyle="1" w:styleId="COMTbl-capChar">
    <w:name w:val="COMTbl-cap Char"/>
    <w:basedOn w:val="DefaultParagraphFont"/>
    <w:link w:val="COMTbl-cap"/>
    <w:rsid w:val="00A26A14"/>
    <w:rPr>
      <w:rFonts w:ascii="Arial Narrow" w:hAnsi="Arial Narrow" w:cs="Arial"/>
      <w:b/>
      <w:snapToGrid w:val="0"/>
      <w:lang w:eastAsia="en-US"/>
    </w:rPr>
  </w:style>
  <w:style w:type="paragraph" w:customStyle="1" w:styleId="TableNotes4">
    <w:name w:val="Table Notes4"/>
    <w:basedOn w:val="Normal"/>
    <w:next w:val="Normal"/>
    <w:rsid w:val="009C7C42"/>
    <w:pPr>
      <w:keepLines/>
      <w:widowControl/>
      <w:tabs>
        <w:tab w:val="left" w:pos="1134"/>
      </w:tabs>
      <w:ind w:left="1140" w:hanging="1140"/>
    </w:pPr>
    <w:rPr>
      <w:rFonts w:cs="Arial Narrow"/>
      <w:snapToGrid/>
      <w:sz w:val="16"/>
      <w:szCs w:val="18"/>
    </w:rPr>
  </w:style>
  <w:style w:type="paragraph" w:customStyle="1" w:styleId="Tableleft">
    <w:name w:val="Table left"/>
    <w:basedOn w:val="TableText0"/>
    <w:link w:val="TableleftChar"/>
    <w:rsid w:val="00330F3B"/>
    <w:pPr>
      <w:keepNext w:val="0"/>
      <w:jc w:val="both"/>
    </w:pPr>
    <w:rPr>
      <w:rFonts w:ascii="Arial" w:hAnsi="Arial"/>
      <w:sz w:val="18"/>
    </w:rPr>
  </w:style>
  <w:style w:type="character" w:customStyle="1" w:styleId="TableleftChar">
    <w:name w:val="Table left Char"/>
    <w:basedOn w:val="DefaultParagraphFont"/>
    <w:link w:val="Tableleft"/>
    <w:rsid w:val="00330F3B"/>
    <w:rPr>
      <w:rFonts w:ascii="Arial" w:hAnsi="Arial" w:cs="Arial Narrow"/>
      <w:sz w:val="18"/>
      <w:lang w:eastAsia="en-US"/>
    </w:rPr>
  </w:style>
  <w:style w:type="character" w:customStyle="1" w:styleId="TableFooterChar">
    <w:name w:val="Table Footer Char"/>
    <w:link w:val="TableFooter"/>
    <w:rsid w:val="00330F3B"/>
    <w:rPr>
      <w:rFonts w:ascii="Arial Narrow" w:hAnsi="Arial Narrow" w:cs="Arial"/>
      <w:snapToGrid w:val="0"/>
      <w:sz w:val="18"/>
      <w:lang w:eastAsia="en-US"/>
    </w:rPr>
  </w:style>
  <w:style w:type="character" w:styleId="IntenseReference">
    <w:name w:val="Intense Reference"/>
    <w:basedOn w:val="DefaultParagraphFont"/>
    <w:uiPriority w:val="32"/>
    <w:qFormat/>
    <w:rsid w:val="00CD464D"/>
    <w:rPr>
      <w:b/>
      <w:bCs/>
      <w:i/>
      <w:smallCaps/>
      <w:color w:val="C0504D" w:themeColor="accent2"/>
      <w:spacing w:val="5"/>
      <w:u w:val="non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E2964"/>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6E14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paragraph" w:customStyle="1" w:styleId="TableText1">
    <w:name w:val="Table Text"/>
    <w:basedOn w:val="Normal"/>
    <w:link w:val="TableTextChar1"/>
    <w:qFormat/>
    <w:rsid w:val="00961C61"/>
    <w:pPr>
      <w:widowControl/>
      <w:jc w:val="left"/>
    </w:pPr>
    <w:rPr>
      <w:rFonts w:eastAsia="SimSun" w:cs="Times New Roman"/>
      <w:snapToGrid/>
      <w:sz w:val="20"/>
      <w:lang w:eastAsia="zh-CN"/>
    </w:rPr>
  </w:style>
  <w:style w:type="character" w:customStyle="1" w:styleId="TableTextChar1">
    <w:name w:val="Table Text Char"/>
    <w:link w:val="TableText1"/>
    <w:rsid w:val="00961C61"/>
    <w:rPr>
      <w:rFonts w:ascii="Arial" w:eastAsia="SimSun" w:hAnsi="Arial"/>
      <w:lang w:eastAsia="zh-CN"/>
    </w:rPr>
  </w:style>
  <w:style w:type="paragraph" w:styleId="FootnoteText">
    <w:name w:val="footnote text"/>
    <w:basedOn w:val="Normal"/>
    <w:link w:val="FootnoteTextChar"/>
    <w:semiHidden/>
    <w:unhideWhenUsed/>
    <w:rsid w:val="00321BBE"/>
    <w:rPr>
      <w:sz w:val="20"/>
    </w:rPr>
  </w:style>
  <w:style w:type="character" w:customStyle="1" w:styleId="FootnoteTextChar">
    <w:name w:val="Footnote Text Char"/>
    <w:basedOn w:val="DefaultParagraphFont"/>
    <w:link w:val="FootnoteText"/>
    <w:semiHidden/>
    <w:rsid w:val="00321BBE"/>
    <w:rPr>
      <w:rFonts w:ascii="Arial" w:hAnsi="Arial" w:cs="Arial"/>
      <w:snapToGrid w:val="0"/>
      <w:lang w:eastAsia="en-US"/>
    </w:rPr>
  </w:style>
  <w:style w:type="character" w:styleId="FootnoteReference">
    <w:name w:val="footnote reference"/>
    <w:rsid w:val="00321BBE"/>
    <w:rPr>
      <w:vertAlign w:val="superscript"/>
    </w:rPr>
  </w:style>
  <w:style w:type="character" w:customStyle="1" w:styleId="ListParagraphChar">
    <w:name w:val="List Paragraph Char"/>
    <w:link w:val="ListParagraph"/>
    <w:uiPriority w:val="72"/>
    <w:rsid w:val="00D02414"/>
    <w:rPr>
      <w:rFonts w:ascii="Arial" w:hAnsi="Arial" w:cs="Arial"/>
      <w:snapToGrid w:val="0"/>
      <w:sz w:val="22"/>
      <w:lang w:eastAsia="en-US"/>
    </w:rPr>
  </w:style>
  <w:style w:type="paragraph" w:customStyle="1" w:styleId="Bulletedbodytext">
    <w:name w:val="Bulleted body text"/>
    <w:basedOn w:val="BodyText"/>
    <w:link w:val="BulletedbodytextChar"/>
    <w:uiPriority w:val="99"/>
    <w:qFormat/>
    <w:rsid w:val="00ED5226"/>
    <w:pPr>
      <w:widowControl/>
      <w:spacing w:after="120" w:line="360" w:lineRule="auto"/>
      <w:ind w:left="470" w:hanging="357"/>
    </w:pPr>
    <w:rPr>
      <w:snapToGrid/>
      <w:sz w:val="20"/>
      <w:szCs w:val="24"/>
      <w:lang w:val="en-US"/>
    </w:rPr>
  </w:style>
  <w:style w:type="character" w:customStyle="1" w:styleId="BulletedbodytextChar">
    <w:name w:val="Bulleted body text Char"/>
    <w:link w:val="Bulletedbodytext"/>
    <w:uiPriority w:val="99"/>
    <w:rsid w:val="00ED5226"/>
    <w:rPr>
      <w:rFonts w:ascii="Arial" w:hAnsi="Arial" w:cs="Arial"/>
      <w:szCs w:val="24"/>
      <w:lang w:val="en-US" w:eastAsia="en-US"/>
    </w:rPr>
  </w:style>
  <w:style w:type="character" w:customStyle="1" w:styleId="Bodytext3Char0">
    <w:name w:val="Body text 3 Char"/>
    <w:link w:val="BodyText31"/>
    <w:rsid w:val="00ED5226"/>
    <w:rPr>
      <w:rFonts w:ascii="Arial" w:hAnsi="Arial"/>
      <w:i/>
      <w:szCs w:val="28"/>
      <w:lang w:val="en-US" w:eastAsia="en-US"/>
    </w:rPr>
  </w:style>
  <w:style w:type="paragraph" w:customStyle="1" w:styleId="BodyText31">
    <w:name w:val="Body Text 31"/>
    <w:basedOn w:val="BodyText"/>
    <w:next w:val="BodyText"/>
    <w:link w:val="Bodytext3Char0"/>
    <w:qFormat/>
    <w:rsid w:val="00ED5226"/>
    <w:pPr>
      <w:widowControl/>
      <w:spacing w:after="120" w:line="360" w:lineRule="auto"/>
    </w:pPr>
    <w:rPr>
      <w:rFonts w:cs="Times New Roman"/>
      <w:i/>
      <w:snapToGrid/>
      <w:sz w:val="20"/>
      <w:szCs w:val="28"/>
      <w:lang w:val="en-US"/>
    </w:rPr>
  </w:style>
  <w:style w:type="paragraph" w:customStyle="1" w:styleId="BodytextBullet">
    <w:name w:val="Body text Bullet"/>
    <w:basedOn w:val="BodyText"/>
    <w:qFormat/>
    <w:rsid w:val="00ED5226"/>
    <w:pPr>
      <w:widowControl/>
      <w:numPr>
        <w:numId w:val="7"/>
      </w:numPr>
      <w:spacing w:after="120" w:line="360" w:lineRule="auto"/>
    </w:pPr>
    <w:rPr>
      <w:snapToGrid/>
      <w:sz w:val="20"/>
      <w:szCs w:val="24"/>
      <w:lang w:val="en-US"/>
    </w:rPr>
  </w:style>
  <w:style w:type="character" w:customStyle="1" w:styleId="BodyText2Char2">
    <w:name w:val="Body Text 2 Char2"/>
    <w:rsid w:val="00ED5226"/>
    <w:rPr>
      <w:rFonts w:ascii="Arial" w:hAnsi="Arial" w:cs="Arial" w:hint="default"/>
      <w:b/>
      <w:bCs w:val="0"/>
      <w:szCs w:val="24"/>
      <w:lang w:val="en-AU" w:eastAsia="en-US" w:bidi="ar-SA"/>
    </w:rPr>
  </w:style>
  <w:style w:type="paragraph" w:customStyle="1" w:styleId="TableText2">
    <w:name w:val="Table Text 2"/>
    <w:basedOn w:val="Normal"/>
    <w:next w:val="TableText1"/>
    <w:link w:val="TableText2Char"/>
    <w:qFormat/>
    <w:rsid w:val="00556179"/>
    <w:pPr>
      <w:widowControl/>
      <w:spacing w:before="40" w:after="20"/>
      <w:jc w:val="left"/>
    </w:pPr>
    <w:rPr>
      <w:rFonts w:cs="Times New Roman"/>
      <w:b/>
      <w:bCs/>
      <w:snapToGrid/>
      <w:sz w:val="18"/>
      <w:lang w:eastAsia="en-AU"/>
    </w:rPr>
  </w:style>
  <w:style w:type="character" w:customStyle="1" w:styleId="TableText2Char">
    <w:name w:val="Table Text 2 Char"/>
    <w:link w:val="TableText2"/>
    <w:rsid w:val="00556179"/>
    <w:rPr>
      <w:rFonts w:ascii="Arial" w:hAnsi="Arial"/>
      <w:b/>
      <w:bCs/>
      <w:sz w:val="18"/>
    </w:rPr>
  </w:style>
  <w:style w:type="table" w:customStyle="1" w:styleId="TableGrid1">
    <w:name w:val="Table Grid1"/>
    <w:basedOn w:val="TableNormal"/>
    <w:next w:val="TableGrid"/>
    <w:uiPriority w:val="59"/>
    <w:rsid w:val="00AC63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link w:val="TableText0"/>
    <w:rsid w:val="00A26A14"/>
    <w:rPr>
      <w:rFonts w:ascii="Arial Narrow" w:hAnsi="Arial Narrow" w:cs="Arial Narrow"/>
      <w:lang w:eastAsia="en-US"/>
    </w:rPr>
  </w:style>
  <w:style w:type="paragraph" w:customStyle="1" w:styleId="COMtbl-HEADLeftAligned">
    <w:name w:val="COMtbl-HEAD Left Aligned"/>
    <w:basedOn w:val="Normal"/>
    <w:qFormat/>
    <w:rsid w:val="00A26A14"/>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A26A14"/>
    <w:pPr>
      <w:jc w:val="center"/>
    </w:pPr>
  </w:style>
  <w:style w:type="paragraph" w:customStyle="1" w:styleId="COMTbl-cap">
    <w:name w:val="COMTbl-cap"/>
    <w:basedOn w:val="Normal"/>
    <w:link w:val="COMTbl-capChar"/>
    <w:qFormat/>
    <w:rsid w:val="00A26A14"/>
    <w:pPr>
      <w:keepNext/>
    </w:pPr>
    <w:rPr>
      <w:rFonts w:ascii="Arial Narrow" w:hAnsi="Arial Narrow"/>
      <w:b/>
      <w:sz w:val="20"/>
    </w:rPr>
  </w:style>
  <w:style w:type="character" w:customStyle="1" w:styleId="COMTbl-capChar">
    <w:name w:val="COMTbl-cap Char"/>
    <w:basedOn w:val="DefaultParagraphFont"/>
    <w:link w:val="COMTbl-cap"/>
    <w:rsid w:val="00A26A14"/>
    <w:rPr>
      <w:rFonts w:ascii="Arial Narrow" w:hAnsi="Arial Narrow" w:cs="Arial"/>
      <w:b/>
      <w:snapToGrid w:val="0"/>
      <w:lang w:eastAsia="en-US"/>
    </w:rPr>
  </w:style>
  <w:style w:type="paragraph" w:customStyle="1" w:styleId="TableNotes4">
    <w:name w:val="Table Notes4"/>
    <w:basedOn w:val="Normal"/>
    <w:next w:val="Normal"/>
    <w:rsid w:val="009C7C42"/>
    <w:pPr>
      <w:keepLines/>
      <w:widowControl/>
      <w:tabs>
        <w:tab w:val="left" w:pos="1134"/>
      </w:tabs>
      <w:ind w:left="1140" w:hanging="1140"/>
    </w:pPr>
    <w:rPr>
      <w:rFonts w:cs="Arial Narrow"/>
      <w:snapToGrid/>
      <w:sz w:val="16"/>
      <w:szCs w:val="18"/>
    </w:rPr>
  </w:style>
  <w:style w:type="paragraph" w:customStyle="1" w:styleId="Tableleft">
    <w:name w:val="Table left"/>
    <w:basedOn w:val="TableText0"/>
    <w:link w:val="TableleftChar"/>
    <w:rsid w:val="00330F3B"/>
    <w:pPr>
      <w:keepNext w:val="0"/>
      <w:jc w:val="both"/>
    </w:pPr>
    <w:rPr>
      <w:rFonts w:ascii="Arial" w:hAnsi="Arial"/>
      <w:sz w:val="18"/>
    </w:rPr>
  </w:style>
  <w:style w:type="character" w:customStyle="1" w:styleId="TableleftChar">
    <w:name w:val="Table left Char"/>
    <w:basedOn w:val="DefaultParagraphFont"/>
    <w:link w:val="Tableleft"/>
    <w:rsid w:val="00330F3B"/>
    <w:rPr>
      <w:rFonts w:ascii="Arial" w:hAnsi="Arial" w:cs="Arial Narrow"/>
      <w:sz w:val="18"/>
      <w:lang w:eastAsia="en-US"/>
    </w:rPr>
  </w:style>
  <w:style w:type="character" w:customStyle="1" w:styleId="TableFooterChar">
    <w:name w:val="Table Footer Char"/>
    <w:link w:val="TableFooter"/>
    <w:rsid w:val="00330F3B"/>
    <w:rPr>
      <w:rFonts w:ascii="Arial Narrow" w:hAnsi="Arial Narrow" w:cs="Arial"/>
      <w:snapToGrid w:val="0"/>
      <w:sz w:val="18"/>
      <w:lang w:eastAsia="en-US"/>
    </w:rPr>
  </w:style>
  <w:style w:type="character" w:styleId="IntenseReference">
    <w:name w:val="Intense Reference"/>
    <w:basedOn w:val="DefaultParagraphFont"/>
    <w:uiPriority w:val="32"/>
    <w:qFormat/>
    <w:rsid w:val="00CD464D"/>
    <w:rPr>
      <w:b/>
      <w:bCs/>
      <w:i/>
      <w:smallCaps/>
      <w:color w:val="C0504D" w:themeColor="accent2"/>
      <w:spacing w:val="5"/>
      <w:u w:val="none"/>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E2964"/>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6E14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5413">
      <w:bodyDiv w:val="1"/>
      <w:marLeft w:val="0"/>
      <w:marRight w:val="0"/>
      <w:marTop w:val="0"/>
      <w:marBottom w:val="0"/>
      <w:divBdr>
        <w:top w:val="none" w:sz="0" w:space="0" w:color="auto"/>
        <w:left w:val="none" w:sz="0" w:space="0" w:color="auto"/>
        <w:bottom w:val="none" w:sz="0" w:space="0" w:color="auto"/>
        <w:right w:val="none" w:sz="0" w:space="0" w:color="auto"/>
      </w:divBdr>
    </w:div>
    <w:div w:id="608586452">
      <w:bodyDiv w:val="1"/>
      <w:marLeft w:val="0"/>
      <w:marRight w:val="0"/>
      <w:marTop w:val="0"/>
      <w:marBottom w:val="0"/>
      <w:divBdr>
        <w:top w:val="none" w:sz="0" w:space="0" w:color="auto"/>
        <w:left w:val="none" w:sz="0" w:space="0" w:color="auto"/>
        <w:bottom w:val="none" w:sz="0" w:space="0" w:color="auto"/>
        <w:right w:val="none" w:sz="0" w:space="0" w:color="auto"/>
      </w:divBdr>
    </w:div>
    <w:div w:id="796071227">
      <w:bodyDiv w:val="1"/>
      <w:marLeft w:val="0"/>
      <w:marRight w:val="0"/>
      <w:marTop w:val="0"/>
      <w:marBottom w:val="0"/>
      <w:divBdr>
        <w:top w:val="none" w:sz="0" w:space="0" w:color="auto"/>
        <w:left w:val="none" w:sz="0" w:space="0" w:color="auto"/>
        <w:bottom w:val="none" w:sz="0" w:space="0" w:color="auto"/>
        <w:right w:val="none" w:sz="0" w:space="0" w:color="auto"/>
      </w:divBdr>
    </w:div>
    <w:div w:id="8748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DBBB-8AF4-4CAF-AE62-91AF032F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5116</Words>
  <Characters>29137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2015-10-16T04:52:00Z</dcterms:created>
  <dcterms:modified xsi:type="dcterms:W3CDTF">2015-10-16T04:53:00Z</dcterms:modified>
</cp:coreProperties>
</file>