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6BAA" w:rsidRDefault="00996BAA" w:rsidP="0068211C">
      <w:pPr>
        <w:rPr>
          <w:rFonts w:ascii="Arial" w:hAnsi="Arial"/>
          <w:b/>
        </w:rPr>
      </w:pPr>
      <w:bookmarkStart w:id="0" w:name="_GoBack"/>
      <w:bookmarkEnd w:id="0"/>
    </w:p>
    <w:p w:rsidR="00C27B58" w:rsidRDefault="00A85F99" w:rsidP="0068211C">
      <w:pPr>
        <w:ind w:left="720" w:hanging="720"/>
        <w:rPr>
          <w:rFonts w:ascii="Arial" w:hAnsi="Arial"/>
          <w:b/>
          <w:sz w:val="28"/>
          <w:szCs w:val="28"/>
        </w:rPr>
      </w:pPr>
      <w:r>
        <w:rPr>
          <w:rFonts w:ascii="Arial" w:hAnsi="Arial"/>
          <w:b/>
          <w:sz w:val="28"/>
          <w:szCs w:val="28"/>
        </w:rPr>
        <w:t>6.13</w:t>
      </w:r>
      <w:r w:rsidR="007C0F57" w:rsidRPr="006D6EC7">
        <w:rPr>
          <w:rFonts w:ascii="Arial" w:hAnsi="Arial"/>
          <w:b/>
          <w:sz w:val="28"/>
          <w:szCs w:val="28"/>
        </w:rPr>
        <w:tab/>
      </w:r>
      <w:r w:rsidR="00FB69B7">
        <w:rPr>
          <w:rFonts w:ascii="Arial" w:hAnsi="Arial"/>
          <w:b/>
          <w:sz w:val="28"/>
          <w:szCs w:val="28"/>
        </w:rPr>
        <w:t>SAXAGLIPTIN AND METFORMIN XR</w:t>
      </w:r>
    </w:p>
    <w:p w:rsidR="00C27B58" w:rsidRDefault="00E343FF" w:rsidP="0068211C">
      <w:pPr>
        <w:ind w:left="720"/>
        <w:rPr>
          <w:rFonts w:ascii="Arial" w:hAnsi="Arial"/>
          <w:b/>
          <w:sz w:val="28"/>
          <w:szCs w:val="28"/>
        </w:rPr>
      </w:pPr>
      <w:r>
        <w:rPr>
          <w:rFonts w:ascii="Arial" w:hAnsi="Arial"/>
          <w:b/>
          <w:sz w:val="28"/>
          <w:szCs w:val="28"/>
        </w:rPr>
        <w:t>5</w:t>
      </w:r>
      <w:r w:rsidR="000F5E5E">
        <w:rPr>
          <w:rFonts w:ascii="Arial" w:hAnsi="Arial"/>
          <w:b/>
          <w:sz w:val="28"/>
          <w:szCs w:val="28"/>
        </w:rPr>
        <w:t xml:space="preserve"> </w:t>
      </w:r>
      <w:r>
        <w:rPr>
          <w:rFonts w:ascii="Arial" w:hAnsi="Arial"/>
          <w:b/>
          <w:sz w:val="28"/>
          <w:szCs w:val="28"/>
        </w:rPr>
        <w:t>mg/500</w:t>
      </w:r>
      <w:r w:rsidR="000F5E5E">
        <w:rPr>
          <w:rFonts w:ascii="Arial" w:hAnsi="Arial"/>
          <w:b/>
          <w:sz w:val="28"/>
          <w:szCs w:val="28"/>
        </w:rPr>
        <w:t xml:space="preserve"> </w:t>
      </w:r>
      <w:r>
        <w:rPr>
          <w:rFonts w:ascii="Arial" w:hAnsi="Arial"/>
          <w:b/>
          <w:sz w:val="28"/>
          <w:szCs w:val="28"/>
        </w:rPr>
        <w:t>mg</w:t>
      </w:r>
      <w:r w:rsidR="000F5E5E">
        <w:rPr>
          <w:rFonts w:ascii="Arial" w:hAnsi="Arial"/>
          <w:b/>
          <w:sz w:val="28"/>
          <w:szCs w:val="28"/>
        </w:rPr>
        <w:t xml:space="preserve"> tablet, 28;</w:t>
      </w:r>
      <w:r>
        <w:rPr>
          <w:rFonts w:ascii="Arial" w:hAnsi="Arial"/>
          <w:b/>
          <w:sz w:val="28"/>
          <w:szCs w:val="28"/>
        </w:rPr>
        <w:t xml:space="preserve"> 5</w:t>
      </w:r>
      <w:r w:rsidR="000F5E5E">
        <w:rPr>
          <w:rFonts w:ascii="Arial" w:hAnsi="Arial"/>
          <w:b/>
          <w:sz w:val="28"/>
          <w:szCs w:val="28"/>
        </w:rPr>
        <w:t xml:space="preserve"> </w:t>
      </w:r>
      <w:r>
        <w:rPr>
          <w:rFonts w:ascii="Arial" w:hAnsi="Arial"/>
          <w:b/>
          <w:sz w:val="28"/>
          <w:szCs w:val="28"/>
        </w:rPr>
        <w:t>mg/1000</w:t>
      </w:r>
      <w:r w:rsidR="000F5E5E">
        <w:rPr>
          <w:rFonts w:ascii="Arial" w:hAnsi="Arial"/>
          <w:b/>
          <w:sz w:val="28"/>
          <w:szCs w:val="28"/>
        </w:rPr>
        <w:t xml:space="preserve"> </w:t>
      </w:r>
      <w:r>
        <w:rPr>
          <w:rFonts w:ascii="Arial" w:hAnsi="Arial"/>
          <w:b/>
          <w:sz w:val="28"/>
          <w:szCs w:val="28"/>
        </w:rPr>
        <w:t>mg</w:t>
      </w:r>
      <w:r w:rsidR="000F5E5E">
        <w:rPr>
          <w:rFonts w:ascii="Arial" w:hAnsi="Arial"/>
          <w:b/>
          <w:sz w:val="28"/>
          <w:szCs w:val="28"/>
        </w:rPr>
        <w:t xml:space="preserve"> tablet, 28;</w:t>
      </w:r>
      <w:r w:rsidR="00E77F26">
        <w:rPr>
          <w:rFonts w:ascii="Arial" w:hAnsi="Arial"/>
          <w:b/>
          <w:sz w:val="28"/>
          <w:szCs w:val="28"/>
        </w:rPr>
        <w:t xml:space="preserve"> 2.5</w:t>
      </w:r>
      <w:r w:rsidR="000F5E5E">
        <w:rPr>
          <w:rFonts w:ascii="Arial" w:hAnsi="Arial"/>
          <w:b/>
          <w:sz w:val="28"/>
          <w:szCs w:val="28"/>
        </w:rPr>
        <w:t> </w:t>
      </w:r>
      <w:r w:rsidR="00E77F26">
        <w:rPr>
          <w:rFonts w:ascii="Arial" w:hAnsi="Arial"/>
          <w:b/>
          <w:sz w:val="28"/>
          <w:szCs w:val="28"/>
        </w:rPr>
        <w:t>mg/1000</w:t>
      </w:r>
      <w:r w:rsidR="000F5E5E">
        <w:rPr>
          <w:rFonts w:ascii="Arial" w:hAnsi="Arial"/>
          <w:b/>
          <w:sz w:val="28"/>
          <w:szCs w:val="28"/>
        </w:rPr>
        <w:t xml:space="preserve"> </w:t>
      </w:r>
      <w:r w:rsidR="00E77F26">
        <w:rPr>
          <w:rFonts w:ascii="Arial" w:hAnsi="Arial"/>
          <w:b/>
          <w:sz w:val="28"/>
          <w:szCs w:val="28"/>
        </w:rPr>
        <w:t>mg</w:t>
      </w:r>
      <w:r w:rsidR="000F5E5E">
        <w:rPr>
          <w:rFonts w:ascii="Arial" w:hAnsi="Arial"/>
          <w:b/>
          <w:sz w:val="28"/>
          <w:szCs w:val="28"/>
        </w:rPr>
        <w:t xml:space="preserve"> tablet</w:t>
      </w:r>
      <w:r w:rsidR="00E77F26">
        <w:rPr>
          <w:rFonts w:ascii="Arial" w:hAnsi="Arial"/>
          <w:b/>
          <w:sz w:val="28"/>
          <w:szCs w:val="28"/>
        </w:rPr>
        <w:t>,</w:t>
      </w:r>
      <w:r w:rsidR="000F5E5E">
        <w:rPr>
          <w:rFonts w:ascii="Arial" w:hAnsi="Arial"/>
          <w:b/>
          <w:sz w:val="28"/>
          <w:szCs w:val="28"/>
        </w:rPr>
        <w:t xml:space="preserve"> 56</w:t>
      </w:r>
    </w:p>
    <w:p w:rsidR="00D3280C" w:rsidRPr="006D6EC7" w:rsidRDefault="00450434" w:rsidP="0068211C">
      <w:pPr>
        <w:ind w:left="720"/>
        <w:rPr>
          <w:rFonts w:ascii="Arial" w:hAnsi="Arial"/>
          <w:b/>
          <w:sz w:val="28"/>
          <w:szCs w:val="28"/>
        </w:rPr>
      </w:pPr>
      <w:r>
        <w:rPr>
          <w:rFonts w:ascii="Arial" w:hAnsi="Arial"/>
          <w:b/>
          <w:sz w:val="28"/>
          <w:szCs w:val="28"/>
        </w:rPr>
        <w:t>KOMBIGLYZE</w:t>
      </w:r>
      <w:r w:rsidR="0004240E" w:rsidRPr="006D6EC7">
        <w:rPr>
          <w:rFonts w:ascii="Arial" w:hAnsi="Arial"/>
          <w:b/>
          <w:sz w:val="28"/>
          <w:szCs w:val="28"/>
          <w:vertAlign w:val="superscript"/>
        </w:rPr>
        <w:t>®</w:t>
      </w:r>
      <w:r w:rsidR="00EF44A0">
        <w:rPr>
          <w:rFonts w:ascii="Arial" w:hAnsi="Arial"/>
          <w:b/>
          <w:sz w:val="28"/>
          <w:szCs w:val="28"/>
        </w:rPr>
        <w:t xml:space="preserve">, </w:t>
      </w:r>
      <w:r w:rsidR="00E343FF">
        <w:rPr>
          <w:rFonts w:ascii="Arial" w:hAnsi="Arial"/>
          <w:b/>
          <w:sz w:val="28"/>
          <w:szCs w:val="28"/>
        </w:rPr>
        <w:t>AstraZeneca</w:t>
      </w:r>
    </w:p>
    <w:p w:rsidR="00CE10C4" w:rsidRDefault="00CE10C4" w:rsidP="0068211C">
      <w:pPr>
        <w:pStyle w:val="NoSpacing"/>
      </w:pPr>
    </w:p>
    <w:p w:rsidR="00C27B58" w:rsidRDefault="00C27B58" w:rsidP="0068211C">
      <w:pPr>
        <w:pStyle w:val="NoSpacing"/>
      </w:pPr>
    </w:p>
    <w:p w:rsidR="00CE10C4" w:rsidRPr="00882085" w:rsidRDefault="00CE10C4" w:rsidP="0068211C">
      <w:pPr>
        <w:pStyle w:val="ListParagraph"/>
        <w:numPr>
          <w:ilvl w:val="0"/>
          <w:numId w:val="1"/>
        </w:numPr>
        <w:jc w:val="both"/>
        <w:rPr>
          <w:rFonts w:ascii="Arial" w:hAnsi="Arial"/>
          <w:b/>
          <w:sz w:val="22"/>
          <w:szCs w:val="22"/>
        </w:rPr>
      </w:pPr>
      <w:r w:rsidRPr="00882085">
        <w:rPr>
          <w:rFonts w:ascii="Arial" w:hAnsi="Arial"/>
          <w:b/>
          <w:sz w:val="22"/>
          <w:szCs w:val="22"/>
        </w:rPr>
        <w:t xml:space="preserve">Purpose of </w:t>
      </w:r>
      <w:r w:rsidR="0004240E" w:rsidRPr="00882085">
        <w:rPr>
          <w:rFonts w:ascii="Arial" w:hAnsi="Arial"/>
          <w:b/>
          <w:sz w:val="22"/>
          <w:szCs w:val="22"/>
        </w:rPr>
        <w:t>Application</w:t>
      </w:r>
    </w:p>
    <w:p w:rsidR="006A12A5" w:rsidRPr="00882085" w:rsidRDefault="006A12A5" w:rsidP="0068211C">
      <w:pPr>
        <w:jc w:val="both"/>
        <w:rPr>
          <w:rFonts w:ascii="Arial" w:hAnsi="Arial"/>
          <w:sz w:val="22"/>
          <w:szCs w:val="22"/>
        </w:rPr>
      </w:pPr>
    </w:p>
    <w:p w:rsidR="00F9629A" w:rsidRPr="004F4DA3" w:rsidRDefault="00EF44A0" w:rsidP="0068211C">
      <w:pPr>
        <w:pStyle w:val="ListParagraph"/>
        <w:numPr>
          <w:ilvl w:val="1"/>
          <w:numId w:val="1"/>
        </w:numPr>
        <w:jc w:val="both"/>
        <w:rPr>
          <w:rFonts w:ascii="Arial" w:hAnsi="Arial"/>
          <w:b/>
          <w:sz w:val="22"/>
          <w:szCs w:val="22"/>
        </w:rPr>
      </w:pPr>
      <w:r>
        <w:rPr>
          <w:rFonts w:ascii="Arial" w:hAnsi="Arial"/>
          <w:sz w:val="22"/>
          <w:szCs w:val="22"/>
        </w:rPr>
        <w:t xml:space="preserve">The minor submission </w:t>
      </w:r>
      <w:r w:rsidR="0033055E">
        <w:rPr>
          <w:rFonts w:ascii="Arial" w:hAnsi="Arial"/>
          <w:sz w:val="22"/>
          <w:szCs w:val="22"/>
        </w:rPr>
        <w:t>requested</w:t>
      </w:r>
      <w:r w:rsidR="00E343FF">
        <w:rPr>
          <w:rFonts w:ascii="Arial" w:hAnsi="Arial"/>
          <w:sz w:val="22"/>
          <w:szCs w:val="22"/>
        </w:rPr>
        <w:t xml:space="preserve"> that the PBS </w:t>
      </w:r>
      <w:r w:rsidR="00DC04CE">
        <w:rPr>
          <w:rFonts w:ascii="Arial" w:hAnsi="Arial"/>
          <w:sz w:val="22"/>
          <w:szCs w:val="22"/>
        </w:rPr>
        <w:t xml:space="preserve">indication for </w:t>
      </w:r>
      <w:proofErr w:type="spellStart"/>
      <w:r w:rsidR="00450434">
        <w:rPr>
          <w:rFonts w:ascii="Arial" w:hAnsi="Arial"/>
          <w:sz w:val="22"/>
          <w:szCs w:val="22"/>
        </w:rPr>
        <w:t>saxagliptin+metformin</w:t>
      </w:r>
      <w:proofErr w:type="spellEnd"/>
      <w:r w:rsidR="005D0807">
        <w:rPr>
          <w:rFonts w:ascii="Arial" w:hAnsi="Arial"/>
          <w:sz w:val="22"/>
          <w:szCs w:val="22"/>
        </w:rPr>
        <w:t xml:space="preserve"> (MET)</w:t>
      </w:r>
      <w:r w:rsidR="00450434">
        <w:rPr>
          <w:rFonts w:ascii="Arial" w:hAnsi="Arial"/>
          <w:sz w:val="22"/>
          <w:szCs w:val="22"/>
        </w:rPr>
        <w:t xml:space="preserve"> XR (</w:t>
      </w:r>
      <w:r w:rsidR="00450434" w:rsidRPr="00450434">
        <w:rPr>
          <w:rFonts w:ascii="Arial" w:hAnsi="Arial"/>
          <w:sz w:val="22"/>
          <w:szCs w:val="22"/>
        </w:rPr>
        <w:t>KOMBIGLYZE</w:t>
      </w:r>
      <w:r w:rsidR="00450434" w:rsidRPr="00450434">
        <w:rPr>
          <w:rFonts w:ascii="Arial" w:hAnsi="Arial"/>
          <w:sz w:val="22"/>
          <w:szCs w:val="22"/>
          <w:vertAlign w:val="superscript"/>
        </w:rPr>
        <w:t>®</w:t>
      </w:r>
      <w:r w:rsidR="008C7375">
        <w:rPr>
          <w:rFonts w:ascii="Arial" w:hAnsi="Arial"/>
          <w:sz w:val="22"/>
          <w:szCs w:val="22"/>
          <w:vertAlign w:val="superscript"/>
        </w:rPr>
        <w:t xml:space="preserve"> </w:t>
      </w:r>
      <w:r w:rsidR="008C7375">
        <w:rPr>
          <w:rFonts w:ascii="Arial" w:hAnsi="Arial"/>
          <w:sz w:val="22"/>
          <w:szCs w:val="22"/>
        </w:rPr>
        <w:t>XR</w:t>
      </w:r>
      <w:r w:rsidR="00450434" w:rsidRPr="00450434">
        <w:rPr>
          <w:rFonts w:ascii="Arial" w:hAnsi="Arial"/>
          <w:sz w:val="22"/>
          <w:szCs w:val="22"/>
        </w:rPr>
        <w:t>)</w:t>
      </w:r>
      <w:r w:rsidR="00450434">
        <w:rPr>
          <w:rFonts w:ascii="Arial" w:hAnsi="Arial"/>
          <w:b/>
          <w:sz w:val="28"/>
          <w:szCs w:val="28"/>
        </w:rPr>
        <w:t xml:space="preserve"> </w:t>
      </w:r>
      <w:r w:rsidR="00450434">
        <w:rPr>
          <w:rFonts w:ascii="Arial" w:hAnsi="Arial"/>
          <w:sz w:val="22"/>
          <w:szCs w:val="22"/>
        </w:rPr>
        <w:t>be extended to include use with a sulfonylurea</w:t>
      </w:r>
      <w:r w:rsidR="005D0807">
        <w:rPr>
          <w:rFonts w:ascii="Arial" w:hAnsi="Arial"/>
          <w:sz w:val="22"/>
          <w:szCs w:val="22"/>
        </w:rPr>
        <w:t xml:space="preserve"> (SU)</w:t>
      </w:r>
      <w:r w:rsidR="00450434">
        <w:rPr>
          <w:rFonts w:ascii="Arial" w:hAnsi="Arial"/>
          <w:sz w:val="22"/>
          <w:szCs w:val="22"/>
        </w:rPr>
        <w:t xml:space="preserve"> (triple oral therapy)</w:t>
      </w:r>
      <w:r w:rsidR="0068211C">
        <w:rPr>
          <w:rFonts w:ascii="Arial" w:hAnsi="Arial"/>
          <w:sz w:val="22"/>
          <w:szCs w:val="22"/>
        </w:rPr>
        <w:t xml:space="preserve"> for the treatment of type 2 diabetes mellitus (T2DM)</w:t>
      </w:r>
      <w:r w:rsidR="004F4DA3">
        <w:rPr>
          <w:rFonts w:ascii="Arial" w:hAnsi="Arial"/>
          <w:sz w:val="22"/>
          <w:szCs w:val="22"/>
        </w:rPr>
        <w:t>.</w:t>
      </w:r>
      <w:r w:rsidR="00252290">
        <w:rPr>
          <w:rFonts w:ascii="Arial" w:hAnsi="Arial"/>
          <w:sz w:val="22"/>
          <w:szCs w:val="22"/>
        </w:rPr>
        <w:t xml:space="preserve"> </w:t>
      </w:r>
      <w:r w:rsidR="00450434">
        <w:rPr>
          <w:rFonts w:ascii="Arial" w:hAnsi="Arial"/>
          <w:sz w:val="22"/>
          <w:szCs w:val="22"/>
        </w:rPr>
        <w:t xml:space="preserve">This would align the PBS listings for </w:t>
      </w:r>
      <w:proofErr w:type="spellStart"/>
      <w:r w:rsidR="00123AB8">
        <w:rPr>
          <w:rFonts w:ascii="Arial" w:hAnsi="Arial"/>
          <w:sz w:val="22"/>
          <w:szCs w:val="22"/>
        </w:rPr>
        <w:t>saxagliptin</w:t>
      </w:r>
      <w:proofErr w:type="spellEnd"/>
      <w:r w:rsidR="00123AB8">
        <w:rPr>
          <w:rFonts w:ascii="Arial" w:hAnsi="Arial"/>
          <w:sz w:val="22"/>
          <w:szCs w:val="22"/>
        </w:rPr>
        <w:t xml:space="preserve"> </w:t>
      </w:r>
      <w:r w:rsidR="00450434">
        <w:rPr>
          <w:rFonts w:ascii="Arial" w:hAnsi="Arial"/>
          <w:sz w:val="22"/>
          <w:szCs w:val="22"/>
        </w:rPr>
        <w:t xml:space="preserve">and the </w:t>
      </w:r>
      <w:proofErr w:type="spellStart"/>
      <w:r w:rsidR="00450434">
        <w:rPr>
          <w:rFonts w:ascii="Arial" w:hAnsi="Arial"/>
          <w:sz w:val="22"/>
          <w:szCs w:val="22"/>
        </w:rPr>
        <w:t>saxagliptin+</w:t>
      </w:r>
      <w:r w:rsidR="005D0807">
        <w:rPr>
          <w:rFonts w:ascii="Arial" w:hAnsi="Arial"/>
          <w:sz w:val="22"/>
          <w:szCs w:val="22"/>
        </w:rPr>
        <w:t>MET</w:t>
      </w:r>
      <w:proofErr w:type="spellEnd"/>
      <w:r w:rsidR="005D0807">
        <w:rPr>
          <w:rFonts w:ascii="Arial" w:hAnsi="Arial"/>
          <w:sz w:val="22"/>
          <w:szCs w:val="22"/>
        </w:rPr>
        <w:t xml:space="preserve"> </w:t>
      </w:r>
      <w:r w:rsidR="000F5E5E">
        <w:rPr>
          <w:rFonts w:ascii="Arial" w:hAnsi="Arial"/>
          <w:sz w:val="22"/>
          <w:szCs w:val="22"/>
        </w:rPr>
        <w:t>fixed dose combination (</w:t>
      </w:r>
      <w:r w:rsidR="00B1516F">
        <w:rPr>
          <w:rFonts w:ascii="Arial" w:hAnsi="Arial"/>
          <w:sz w:val="22"/>
          <w:szCs w:val="22"/>
        </w:rPr>
        <w:t>FDC</w:t>
      </w:r>
      <w:r w:rsidR="000F5E5E">
        <w:rPr>
          <w:rFonts w:ascii="Arial" w:hAnsi="Arial"/>
          <w:sz w:val="22"/>
          <w:szCs w:val="22"/>
        </w:rPr>
        <w:t>)</w:t>
      </w:r>
      <w:r w:rsidR="00450434">
        <w:rPr>
          <w:rFonts w:ascii="Arial" w:hAnsi="Arial"/>
          <w:sz w:val="22"/>
          <w:szCs w:val="22"/>
        </w:rPr>
        <w:t>.</w:t>
      </w:r>
    </w:p>
    <w:p w:rsidR="00EF44A0" w:rsidRDefault="00EF44A0" w:rsidP="0068211C">
      <w:pPr>
        <w:pStyle w:val="NoSpacing"/>
      </w:pPr>
    </w:p>
    <w:p w:rsidR="00C644EF" w:rsidRPr="00C27B58" w:rsidRDefault="00C644EF" w:rsidP="0068211C">
      <w:pPr>
        <w:pStyle w:val="NoSpacing"/>
      </w:pPr>
    </w:p>
    <w:p w:rsidR="00614159" w:rsidRPr="00882085" w:rsidRDefault="006A12A5" w:rsidP="0068211C">
      <w:pPr>
        <w:pStyle w:val="ListParagraph"/>
        <w:keepNext/>
        <w:numPr>
          <w:ilvl w:val="0"/>
          <w:numId w:val="1"/>
        </w:numPr>
        <w:jc w:val="both"/>
        <w:rPr>
          <w:rFonts w:ascii="Arial" w:hAnsi="Arial"/>
          <w:b/>
          <w:sz w:val="22"/>
          <w:szCs w:val="22"/>
        </w:rPr>
      </w:pPr>
      <w:r w:rsidRPr="00882085">
        <w:rPr>
          <w:rFonts w:ascii="Arial" w:hAnsi="Arial"/>
          <w:b/>
          <w:sz w:val="22"/>
          <w:szCs w:val="22"/>
        </w:rPr>
        <w:t>Requested listing</w:t>
      </w:r>
    </w:p>
    <w:p w:rsidR="006A12A5" w:rsidRPr="00882085" w:rsidRDefault="006A12A5" w:rsidP="0068211C">
      <w:pPr>
        <w:keepNext/>
        <w:jc w:val="both"/>
        <w:rPr>
          <w:rFonts w:ascii="Arial" w:hAnsi="Arial"/>
          <w:b/>
          <w:sz w:val="22"/>
          <w:szCs w:val="22"/>
        </w:rPr>
      </w:pPr>
    </w:p>
    <w:p w:rsidR="00826F6D" w:rsidRPr="000C1C07" w:rsidRDefault="00522387" w:rsidP="0068211C">
      <w:pPr>
        <w:pStyle w:val="ListParagraph"/>
        <w:numPr>
          <w:ilvl w:val="1"/>
          <w:numId w:val="1"/>
        </w:numPr>
        <w:jc w:val="both"/>
        <w:rPr>
          <w:rFonts w:ascii="Arial" w:hAnsi="Arial"/>
          <w:sz w:val="22"/>
          <w:szCs w:val="22"/>
        </w:rPr>
      </w:pPr>
      <w:r w:rsidRPr="0068211C">
        <w:rPr>
          <w:rFonts w:ascii="Arial" w:hAnsi="Arial" w:cs="Arial"/>
          <w:sz w:val="22"/>
        </w:rPr>
        <w:t>Suggestions and additions proposed by the Secretariat to the requested listing are added in italics.</w:t>
      </w:r>
    </w:p>
    <w:p w:rsidR="000C1C07" w:rsidRPr="0068211C" w:rsidRDefault="000C1C07" w:rsidP="000C1C07">
      <w:pPr>
        <w:pStyle w:val="ListParagraph"/>
        <w:jc w:val="both"/>
        <w:rPr>
          <w:rFonts w:ascii="Arial" w:hAnsi="Arial"/>
          <w:sz w:val="22"/>
          <w:szCs w:val="22"/>
        </w:rPr>
      </w:pPr>
    </w:p>
    <w:tbl>
      <w:tblPr>
        <w:tblW w:w="8363" w:type="dxa"/>
        <w:tblInd w:w="817" w:type="dxa"/>
        <w:tblLayout w:type="fixed"/>
        <w:tblLook w:val="0000" w:firstRow="0" w:lastRow="0" w:firstColumn="0" w:lastColumn="0" w:noHBand="0" w:noVBand="0"/>
      </w:tblPr>
      <w:tblGrid>
        <w:gridCol w:w="1985"/>
        <w:gridCol w:w="992"/>
        <w:gridCol w:w="850"/>
        <w:gridCol w:w="709"/>
        <w:gridCol w:w="1418"/>
        <w:gridCol w:w="1417"/>
        <w:gridCol w:w="992"/>
      </w:tblGrid>
      <w:tr w:rsidR="00826F6D" w:rsidRPr="0039782C" w:rsidTr="00AC0579">
        <w:trPr>
          <w:trHeight w:val="471"/>
        </w:trPr>
        <w:tc>
          <w:tcPr>
            <w:tcW w:w="2977" w:type="dxa"/>
            <w:gridSpan w:val="2"/>
            <w:tcBorders>
              <w:bottom w:val="single" w:sz="4" w:space="0" w:color="auto"/>
            </w:tcBorders>
          </w:tcPr>
          <w:p w:rsidR="00826F6D" w:rsidRPr="0039782C" w:rsidRDefault="00826F6D" w:rsidP="0068211C">
            <w:pPr>
              <w:keepNext/>
              <w:ind w:left="-108"/>
              <w:rPr>
                <w:rFonts w:ascii="Arial Narrow" w:hAnsi="Arial Narrow" w:cs="Arial"/>
                <w:b/>
                <w:sz w:val="20"/>
                <w:szCs w:val="20"/>
              </w:rPr>
            </w:pPr>
            <w:r w:rsidRPr="0039782C">
              <w:rPr>
                <w:rFonts w:ascii="Arial Narrow" w:hAnsi="Arial Narrow" w:cs="Arial"/>
                <w:b/>
                <w:sz w:val="20"/>
                <w:szCs w:val="20"/>
              </w:rPr>
              <w:t>Name, Restriction,</w:t>
            </w:r>
          </w:p>
          <w:p w:rsidR="00826F6D" w:rsidRPr="0039782C" w:rsidRDefault="00826F6D" w:rsidP="0068211C">
            <w:pPr>
              <w:keepNext/>
              <w:ind w:left="-108"/>
              <w:rPr>
                <w:rFonts w:ascii="Arial Narrow" w:hAnsi="Arial Narrow" w:cs="Arial"/>
                <w:b/>
                <w:sz w:val="20"/>
                <w:szCs w:val="20"/>
              </w:rPr>
            </w:pPr>
            <w:r w:rsidRPr="0039782C">
              <w:rPr>
                <w:rFonts w:ascii="Arial Narrow" w:hAnsi="Arial Narrow" w:cs="Arial"/>
                <w:b/>
                <w:sz w:val="20"/>
                <w:szCs w:val="20"/>
              </w:rPr>
              <w:t>Manner of administration and form</w:t>
            </w:r>
          </w:p>
        </w:tc>
        <w:tc>
          <w:tcPr>
            <w:tcW w:w="850" w:type="dxa"/>
            <w:tcBorders>
              <w:bottom w:val="single" w:sz="4" w:space="0" w:color="auto"/>
            </w:tcBorders>
          </w:tcPr>
          <w:p w:rsidR="00826F6D" w:rsidRPr="0039782C" w:rsidRDefault="00826F6D" w:rsidP="0068211C">
            <w:pPr>
              <w:keepNext/>
              <w:ind w:left="-108"/>
              <w:jc w:val="center"/>
              <w:rPr>
                <w:rFonts w:ascii="Arial Narrow" w:hAnsi="Arial Narrow" w:cs="Arial"/>
                <w:b/>
                <w:sz w:val="20"/>
                <w:szCs w:val="20"/>
              </w:rPr>
            </w:pPr>
            <w:r w:rsidRPr="0039782C">
              <w:rPr>
                <w:rFonts w:ascii="Arial Narrow" w:hAnsi="Arial Narrow" w:cs="Arial"/>
                <w:b/>
                <w:sz w:val="20"/>
                <w:szCs w:val="20"/>
              </w:rPr>
              <w:t>Max.</w:t>
            </w:r>
          </w:p>
          <w:p w:rsidR="00826F6D" w:rsidRPr="0039782C" w:rsidRDefault="00826F6D" w:rsidP="0068211C">
            <w:pPr>
              <w:keepNext/>
              <w:ind w:left="-108"/>
              <w:jc w:val="center"/>
              <w:rPr>
                <w:rFonts w:ascii="Arial Narrow" w:hAnsi="Arial Narrow" w:cs="Arial"/>
                <w:b/>
                <w:sz w:val="20"/>
                <w:szCs w:val="20"/>
              </w:rPr>
            </w:pPr>
            <w:r w:rsidRPr="0039782C">
              <w:rPr>
                <w:rFonts w:ascii="Arial Narrow" w:hAnsi="Arial Narrow" w:cs="Arial"/>
                <w:b/>
                <w:sz w:val="20"/>
                <w:szCs w:val="20"/>
              </w:rPr>
              <w:t>Qty</w:t>
            </w:r>
          </w:p>
        </w:tc>
        <w:tc>
          <w:tcPr>
            <w:tcW w:w="709" w:type="dxa"/>
            <w:tcBorders>
              <w:bottom w:val="single" w:sz="4" w:space="0" w:color="auto"/>
            </w:tcBorders>
          </w:tcPr>
          <w:p w:rsidR="00826F6D" w:rsidRPr="0039782C" w:rsidRDefault="00826F6D" w:rsidP="0068211C">
            <w:pPr>
              <w:keepNext/>
              <w:ind w:left="-108"/>
              <w:rPr>
                <w:rFonts w:ascii="Arial Narrow" w:hAnsi="Arial Narrow" w:cs="Arial"/>
                <w:b/>
                <w:sz w:val="20"/>
                <w:szCs w:val="20"/>
              </w:rPr>
            </w:pPr>
            <w:r w:rsidRPr="0039782C">
              <w:rPr>
                <w:rFonts w:ascii="Arial Narrow" w:hAnsi="Arial Narrow" w:cs="Arial"/>
                <w:b/>
                <w:sz w:val="20"/>
                <w:szCs w:val="20"/>
              </w:rPr>
              <w:t>№.of</w:t>
            </w:r>
          </w:p>
          <w:p w:rsidR="00826F6D" w:rsidRPr="0039782C" w:rsidRDefault="00826F6D" w:rsidP="0068211C">
            <w:pPr>
              <w:keepNext/>
              <w:ind w:left="-108"/>
              <w:rPr>
                <w:rFonts w:ascii="Arial Narrow" w:hAnsi="Arial Narrow" w:cs="Arial"/>
                <w:b/>
                <w:sz w:val="20"/>
                <w:szCs w:val="20"/>
              </w:rPr>
            </w:pPr>
            <w:r w:rsidRPr="0039782C">
              <w:rPr>
                <w:rFonts w:ascii="Arial Narrow" w:hAnsi="Arial Narrow" w:cs="Arial"/>
                <w:b/>
                <w:sz w:val="20"/>
                <w:szCs w:val="20"/>
              </w:rPr>
              <w:t>Rpts</w:t>
            </w:r>
          </w:p>
        </w:tc>
        <w:tc>
          <w:tcPr>
            <w:tcW w:w="1418" w:type="dxa"/>
            <w:tcBorders>
              <w:bottom w:val="single" w:sz="4" w:space="0" w:color="auto"/>
            </w:tcBorders>
          </w:tcPr>
          <w:p w:rsidR="00826F6D" w:rsidRPr="0039782C" w:rsidRDefault="00826F6D" w:rsidP="0068211C">
            <w:pPr>
              <w:keepNext/>
              <w:ind w:left="-108"/>
              <w:rPr>
                <w:rFonts w:ascii="Arial Narrow" w:hAnsi="Arial Narrow" w:cs="Arial"/>
                <w:b/>
                <w:sz w:val="20"/>
                <w:szCs w:val="20"/>
              </w:rPr>
            </w:pPr>
            <w:r w:rsidRPr="0039782C">
              <w:rPr>
                <w:rFonts w:ascii="Arial Narrow" w:hAnsi="Arial Narrow" w:cs="Arial"/>
                <w:b/>
                <w:sz w:val="20"/>
                <w:szCs w:val="20"/>
              </w:rPr>
              <w:t>Dispensed Price for Max. Qty</w:t>
            </w:r>
          </w:p>
        </w:tc>
        <w:tc>
          <w:tcPr>
            <w:tcW w:w="2409" w:type="dxa"/>
            <w:gridSpan w:val="2"/>
            <w:tcBorders>
              <w:bottom w:val="single" w:sz="4" w:space="0" w:color="auto"/>
            </w:tcBorders>
          </w:tcPr>
          <w:p w:rsidR="00826F6D" w:rsidRPr="0039782C" w:rsidRDefault="00826F6D" w:rsidP="0068211C">
            <w:pPr>
              <w:keepNext/>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4231FE" w:rsidRPr="00260CE3" w:rsidTr="00AC0579">
        <w:trPr>
          <w:trHeight w:val="321"/>
        </w:trPr>
        <w:tc>
          <w:tcPr>
            <w:tcW w:w="2977" w:type="dxa"/>
            <w:gridSpan w:val="2"/>
            <w:tcBorders>
              <w:top w:val="single" w:sz="4" w:space="0" w:color="auto"/>
            </w:tcBorders>
          </w:tcPr>
          <w:p w:rsidR="004231FE" w:rsidRPr="00260CE3" w:rsidRDefault="004231FE" w:rsidP="00AC0579">
            <w:pPr>
              <w:keepNext/>
              <w:jc w:val="both"/>
              <w:rPr>
                <w:rFonts w:ascii="Arial Narrow" w:hAnsi="Arial Narrow" w:cs="Arial"/>
                <w:sz w:val="20"/>
                <w:szCs w:val="20"/>
              </w:rPr>
            </w:pPr>
            <w:r>
              <w:rPr>
                <w:rFonts w:ascii="Arial Narrow" w:hAnsi="Arial Narrow" w:cs="Arial"/>
                <w:sz w:val="20"/>
                <w:szCs w:val="20"/>
              </w:rPr>
              <w:t>SAXAGLIPTIN+METFORMIN</w:t>
            </w:r>
          </w:p>
        </w:tc>
        <w:tc>
          <w:tcPr>
            <w:tcW w:w="850" w:type="dxa"/>
            <w:tcBorders>
              <w:top w:val="single" w:sz="4" w:space="0" w:color="auto"/>
            </w:tcBorders>
          </w:tcPr>
          <w:p w:rsidR="004231FE" w:rsidRPr="00260CE3" w:rsidRDefault="004231FE" w:rsidP="00AC0579">
            <w:pPr>
              <w:keepNext/>
              <w:rPr>
                <w:rFonts w:ascii="Arial Narrow" w:hAnsi="Arial Narrow" w:cs="Arial"/>
                <w:sz w:val="20"/>
                <w:szCs w:val="20"/>
              </w:rPr>
            </w:pPr>
          </w:p>
        </w:tc>
        <w:tc>
          <w:tcPr>
            <w:tcW w:w="709" w:type="dxa"/>
            <w:tcBorders>
              <w:top w:val="single" w:sz="4" w:space="0" w:color="auto"/>
            </w:tcBorders>
          </w:tcPr>
          <w:p w:rsidR="004231FE" w:rsidRPr="00260CE3" w:rsidRDefault="004231FE" w:rsidP="00AC0579">
            <w:pPr>
              <w:keepNext/>
              <w:jc w:val="both"/>
              <w:rPr>
                <w:rFonts w:ascii="Arial Narrow" w:hAnsi="Arial Narrow" w:cs="Arial"/>
                <w:sz w:val="20"/>
                <w:szCs w:val="20"/>
              </w:rPr>
            </w:pPr>
          </w:p>
        </w:tc>
        <w:tc>
          <w:tcPr>
            <w:tcW w:w="1418" w:type="dxa"/>
            <w:tcBorders>
              <w:top w:val="single" w:sz="4" w:space="0" w:color="auto"/>
            </w:tcBorders>
          </w:tcPr>
          <w:p w:rsidR="004231FE" w:rsidRPr="00260CE3" w:rsidRDefault="004231FE" w:rsidP="00AC0579">
            <w:pPr>
              <w:keepNext/>
              <w:jc w:val="both"/>
              <w:rPr>
                <w:rFonts w:ascii="Arial Narrow" w:hAnsi="Arial Narrow" w:cs="Arial"/>
                <w:sz w:val="20"/>
                <w:szCs w:val="20"/>
              </w:rPr>
            </w:pPr>
          </w:p>
        </w:tc>
        <w:tc>
          <w:tcPr>
            <w:tcW w:w="1417" w:type="dxa"/>
            <w:tcBorders>
              <w:top w:val="single" w:sz="4" w:space="0" w:color="auto"/>
            </w:tcBorders>
          </w:tcPr>
          <w:p w:rsidR="004231FE" w:rsidRPr="00260CE3" w:rsidRDefault="004231FE" w:rsidP="00AC0579">
            <w:pPr>
              <w:keepNext/>
              <w:rPr>
                <w:rFonts w:ascii="Arial Narrow" w:hAnsi="Arial Narrow" w:cs="Arial"/>
                <w:sz w:val="20"/>
                <w:szCs w:val="20"/>
              </w:rPr>
            </w:pPr>
            <w:proofErr w:type="spellStart"/>
            <w:r>
              <w:rPr>
                <w:rFonts w:ascii="Arial Narrow" w:hAnsi="Arial Narrow" w:cs="Arial"/>
                <w:sz w:val="20"/>
                <w:szCs w:val="20"/>
              </w:rPr>
              <w:t>Kombiglyze</w:t>
            </w:r>
            <w:proofErr w:type="spellEnd"/>
            <w:r>
              <w:rPr>
                <w:rFonts w:ascii="Arial Narrow" w:hAnsi="Arial Narrow" w:cs="Arial"/>
                <w:sz w:val="20"/>
                <w:szCs w:val="20"/>
              </w:rPr>
              <w:t xml:space="preserve"> XR</w:t>
            </w:r>
          </w:p>
        </w:tc>
        <w:tc>
          <w:tcPr>
            <w:tcW w:w="992" w:type="dxa"/>
            <w:tcBorders>
              <w:top w:val="single" w:sz="4" w:space="0" w:color="auto"/>
            </w:tcBorders>
          </w:tcPr>
          <w:p w:rsidR="004231FE" w:rsidRPr="00260CE3" w:rsidRDefault="004231FE" w:rsidP="00AC0579">
            <w:pPr>
              <w:keepNext/>
              <w:rPr>
                <w:rFonts w:ascii="Arial Narrow" w:hAnsi="Arial Narrow" w:cs="Arial"/>
                <w:sz w:val="20"/>
                <w:szCs w:val="20"/>
              </w:rPr>
            </w:pPr>
            <w:r>
              <w:rPr>
                <w:rFonts w:ascii="Arial Narrow" w:hAnsi="Arial Narrow" w:cs="Arial"/>
                <w:sz w:val="20"/>
                <w:szCs w:val="20"/>
              </w:rPr>
              <w:t>AZ</w:t>
            </w:r>
          </w:p>
        </w:tc>
      </w:tr>
      <w:tr w:rsidR="00AC0579" w:rsidRPr="00260CE3" w:rsidTr="00AC0579">
        <w:trPr>
          <w:trHeight w:val="577"/>
        </w:trPr>
        <w:tc>
          <w:tcPr>
            <w:tcW w:w="2977" w:type="dxa"/>
            <w:gridSpan w:val="2"/>
          </w:tcPr>
          <w:p w:rsidR="00AC0579" w:rsidRDefault="00AC0579" w:rsidP="0068211C">
            <w:pPr>
              <w:keepNext/>
              <w:jc w:val="both"/>
              <w:rPr>
                <w:rFonts w:ascii="Arial Narrow" w:hAnsi="Arial Narrow" w:cs="Arial"/>
                <w:sz w:val="20"/>
                <w:szCs w:val="20"/>
              </w:rPr>
            </w:pPr>
            <w:proofErr w:type="spellStart"/>
            <w:r>
              <w:rPr>
                <w:rFonts w:ascii="Arial Narrow" w:hAnsi="Arial Narrow" w:cs="Arial"/>
                <w:sz w:val="20"/>
                <w:szCs w:val="20"/>
              </w:rPr>
              <w:t>saxagl</w:t>
            </w:r>
            <w:r w:rsidR="00752787">
              <w:rPr>
                <w:rFonts w:ascii="Arial Narrow" w:hAnsi="Arial Narrow" w:cs="Arial"/>
                <w:sz w:val="20"/>
                <w:szCs w:val="20"/>
              </w:rPr>
              <w:t>i</w:t>
            </w:r>
            <w:r>
              <w:rPr>
                <w:rFonts w:ascii="Arial Narrow" w:hAnsi="Arial Narrow" w:cs="Arial"/>
                <w:sz w:val="20"/>
                <w:szCs w:val="20"/>
              </w:rPr>
              <w:t>ptin</w:t>
            </w:r>
            <w:proofErr w:type="spellEnd"/>
            <w:r>
              <w:rPr>
                <w:rFonts w:ascii="Arial Narrow" w:hAnsi="Arial Narrow" w:cs="Arial"/>
                <w:sz w:val="20"/>
                <w:szCs w:val="20"/>
              </w:rPr>
              <w:t xml:space="preserve"> 5 mg + metformin hydrochloride 500 mg tablet: modified release, 28</w:t>
            </w:r>
          </w:p>
        </w:tc>
        <w:tc>
          <w:tcPr>
            <w:tcW w:w="850" w:type="dxa"/>
          </w:tcPr>
          <w:p w:rsidR="00AC0579" w:rsidRPr="00260CE3" w:rsidRDefault="00AC0579" w:rsidP="0068211C">
            <w:pPr>
              <w:keepNext/>
              <w:ind w:left="-108"/>
              <w:jc w:val="center"/>
              <w:rPr>
                <w:rFonts w:ascii="Arial Narrow" w:hAnsi="Arial Narrow" w:cs="Arial"/>
                <w:sz w:val="20"/>
                <w:szCs w:val="20"/>
              </w:rPr>
            </w:pPr>
            <w:r>
              <w:rPr>
                <w:rFonts w:ascii="Arial Narrow" w:hAnsi="Arial Narrow" w:cs="Arial"/>
                <w:sz w:val="20"/>
                <w:szCs w:val="20"/>
              </w:rPr>
              <w:t>1</w:t>
            </w:r>
          </w:p>
        </w:tc>
        <w:tc>
          <w:tcPr>
            <w:tcW w:w="709" w:type="dxa"/>
          </w:tcPr>
          <w:p w:rsidR="00AC0579" w:rsidRPr="00260CE3" w:rsidRDefault="00AC0579" w:rsidP="0068211C">
            <w:pPr>
              <w:keepNext/>
              <w:ind w:left="-108"/>
              <w:jc w:val="both"/>
              <w:rPr>
                <w:rFonts w:ascii="Arial Narrow" w:hAnsi="Arial Narrow" w:cs="Arial"/>
                <w:sz w:val="20"/>
                <w:szCs w:val="20"/>
              </w:rPr>
            </w:pPr>
            <w:r>
              <w:rPr>
                <w:rFonts w:ascii="Arial Narrow" w:hAnsi="Arial Narrow" w:cs="Arial"/>
                <w:sz w:val="20"/>
                <w:szCs w:val="20"/>
              </w:rPr>
              <w:t>5</w:t>
            </w:r>
          </w:p>
        </w:tc>
        <w:tc>
          <w:tcPr>
            <w:tcW w:w="1418" w:type="dxa"/>
          </w:tcPr>
          <w:p w:rsidR="00AC0579" w:rsidRDefault="00AC0579" w:rsidP="00AC0579">
            <w:pPr>
              <w:keepNext/>
              <w:ind w:left="-108"/>
              <w:jc w:val="both"/>
              <w:rPr>
                <w:rFonts w:ascii="Arial Narrow" w:hAnsi="Arial Narrow" w:cs="Arial"/>
                <w:sz w:val="20"/>
                <w:szCs w:val="20"/>
              </w:rPr>
            </w:pPr>
            <w:r w:rsidRPr="00260CE3">
              <w:rPr>
                <w:rFonts w:ascii="Arial Narrow" w:hAnsi="Arial Narrow" w:cs="Arial"/>
                <w:sz w:val="20"/>
                <w:szCs w:val="20"/>
              </w:rPr>
              <w:t>$</w:t>
            </w:r>
            <w:r w:rsidR="00192A94">
              <w:rPr>
                <w:rFonts w:ascii="Arial Narrow" w:hAnsi="Arial Narrow" w:cs="Arial"/>
                <w:noProof/>
                <w:color w:val="000000"/>
                <w:sz w:val="20"/>
                <w:szCs w:val="20"/>
                <w:highlight w:val="black"/>
              </w:rPr>
              <w:t>'''''''''''''''</w:t>
            </w:r>
          </w:p>
          <w:p w:rsidR="00AC0579" w:rsidRPr="00260CE3" w:rsidRDefault="00AC0579" w:rsidP="00123AB8">
            <w:pPr>
              <w:keepNext/>
              <w:ind w:left="-108"/>
              <w:jc w:val="both"/>
              <w:rPr>
                <w:rFonts w:ascii="Arial Narrow" w:hAnsi="Arial Narrow" w:cs="Arial"/>
                <w:sz w:val="20"/>
                <w:szCs w:val="20"/>
              </w:rPr>
            </w:pPr>
          </w:p>
        </w:tc>
        <w:tc>
          <w:tcPr>
            <w:tcW w:w="1417" w:type="dxa"/>
          </w:tcPr>
          <w:p w:rsidR="00AC0579" w:rsidRDefault="00AC0579" w:rsidP="00AC0579">
            <w:pPr>
              <w:keepNext/>
              <w:rPr>
                <w:rFonts w:ascii="Arial Narrow" w:hAnsi="Arial Narrow" w:cs="Arial"/>
                <w:sz w:val="20"/>
                <w:szCs w:val="20"/>
              </w:rPr>
            </w:pPr>
          </w:p>
        </w:tc>
        <w:tc>
          <w:tcPr>
            <w:tcW w:w="992" w:type="dxa"/>
          </w:tcPr>
          <w:p w:rsidR="00AC0579" w:rsidRDefault="00AC0579" w:rsidP="00AC0579">
            <w:pPr>
              <w:keepNext/>
              <w:rPr>
                <w:rFonts w:ascii="Arial Narrow" w:hAnsi="Arial Narrow" w:cs="Arial"/>
                <w:sz w:val="20"/>
                <w:szCs w:val="20"/>
              </w:rPr>
            </w:pPr>
          </w:p>
        </w:tc>
      </w:tr>
      <w:tr w:rsidR="00AC0579" w:rsidRPr="00260CE3" w:rsidTr="00AC0579">
        <w:trPr>
          <w:trHeight w:val="577"/>
        </w:trPr>
        <w:tc>
          <w:tcPr>
            <w:tcW w:w="2977" w:type="dxa"/>
            <w:gridSpan w:val="2"/>
          </w:tcPr>
          <w:p w:rsidR="00AC0579" w:rsidRDefault="00AC0579" w:rsidP="0068211C">
            <w:pPr>
              <w:keepNext/>
              <w:jc w:val="both"/>
              <w:rPr>
                <w:rFonts w:ascii="Arial Narrow" w:hAnsi="Arial Narrow" w:cs="Arial"/>
                <w:sz w:val="20"/>
                <w:szCs w:val="20"/>
              </w:rPr>
            </w:pPr>
            <w:proofErr w:type="spellStart"/>
            <w:r>
              <w:rPr>
                <w:rFonts w:ascii="Arial Narrow" w:hAnsi="Arial Narrow" w:cs="Arial"/>
                <w:sz w:val="20"/>
                <w:szCs w:val="20"/>
              </w:rPr>
              <w:t>saxagl</w:t>
            </w:r>
            <w:r w:rsidR="00752787">
              <w:rPr>
                <w:rFonts w:ascii="Arial Narrow" w:hAnsi="Arial Narrow" w:cs="Arial"/>
                <w:sz w:val="20"/>
                <w:szCs w:val="20"/>
              </w:rPr>
              <w:t>i</w:t>
            </w:r>
            <w:r>
              <w:rPr>
                <w:rFonts w:ascii="Arial Narrow" w:hAnsi="Arial Narrow" w:cs="Arial"/>
                <w:sz w:val="20"/>
                <w:szCs w:val="20"/>
              </w:rPr>
              <w:t>ptin</w:t>
            </w:r>
            <w:proofErr w:type="spellEnd"/>
            <w:r>
              <w:rPr>
                <w:rFonts w:ascii="Arial Narrow" w:hAnsi="Arial Narrow" w:cs="Arial"/>
                <w:sz w:val="20"/>
                <w:szCs w:val="20"/>
              </w:rPr>
              <w:t xml:space="preserve"> 5 mg + metformin hydrochloride 1 g tablet: modified release, 28</w:t>
            </w:r>
          </w:p>
        </w:tc>
        <w:tc>
          <w:tcPr>
            <w:tcW w:w="850" w:type="dxa"/>
          </w:tcPr>
          <w:p w:rsidR="00AC0579" w:rsidRPr="00260CE3" w:rsidRDefault="00AC0579" w:rsidP="0068211C">
            <w:pPr>
              <w:keepNext/>
              <w:ind w:left="-108"/>
              <w:jc w:val="center"/>
              <w:rPr>
                <w:rFonts w:ascii="Arial Narrow" w:hAnsi="Arial Narrow" w:cs="Arial"/>
                <w:sz w:val="20"/>
                <w:szCs w:val="20"/>
              </w:rPr>
            </w:pPr>
            <w:r>
              <w:rPr>
                <w:rFonts w:ascii="Arial Narrow" w:hAnsi="Arial Narrow" w:cs="Arial"/>
                <w:sz w:val="20"/>
                <w:szCs w:val="20"/>
              </w:rPr>
              <w:t>1</w:t>
            </w:r>
          </w:p>
        </w:tc>
        <w:tc>
          <w:tcPr>
            <w:tcW w:w="709" w:type="dxa"/>
          </w:tcPr>
          <w:p w:rsidR="00AC0579" w:rsidRPr="00260CE3" w:rsidRDefault="00AC0579" w:rsidP="0068211C">
            <w:pPr>
              <w:keepNext/>
              <w:ind w:left="-108"/>
              <w:jc w:val="both"/>
              <w:rPr>
                <w:rFonts w:ascii="Arial Narrow" w:hAnsi="Arial Narrow" w:cs="Arial"/>
                <w:sz w:val="20"/>
                <w:szCs w:val="20"/>
              </w:rPr>
            </w:pPr>
            <w:r>
              <w:rPr>
                <w:rFonts w:ascii="Arial Narrow" w:hAnsi="Arial Narrow" w:cs="Arial"/>
                <w:sz w:val="20"/>
                <w:szCs w:val="20"/>
              </w:rPr>
              <w:t>5</w:t>
            </w:r>
          </w:p>
        </w:tc>
        <w:tc>
          <w:tcPr>
            <w:tcW w:w="1418" w:type="dxa"/>
          </w:tcPr>
          <w:p w:rsidR="00AC0579" w:rsidRDefault="00AC0579" w:rsidP="00AC0579">
            <w:pPr>
              <w:keepNext/>
              <w:ind w:left="-108"/>
              <w:jc w:val="both"/>
              <w:rPr>
                <w:rFonts w:ascii="Arial Narrow" w:hAnsi="Arial Narrow" w:cs="Arial"/>
                <w:sz w:val="20"/>
                <w:szCs w:val="20"/>
              </w:rPr>
            </w:pPr>
            <w:r>
              <w:rPr>
                <w:rFonts w:ascii="Arial Narrow" w:hAnsi="Arial Narrow" w:cs="Arial"/>
                <w:sz w:val="20"/>
                <w:szCs w:val="20"/>
              </w:rPr>
              <w:t>$</w:t>
            </w:r>
            <w:r w:rsidR="00192A94">
              <w:rPr>
                <w:rFonts w:ascii="Arial Narrow" w:hAnsi="Arial Narrow" w:cs="Arial"/>
                <w:noProof/>
                <w:color w:val="000000"/>
                <w:sz w:val="20"/>
                <w:szCs w:val="20"/>
                <w:highlight w:val="black"/>
              </w:rPr>
              <w:t>''''''''''''</w:t>
            </w:r>
          </w:p>
          <w:p w:rsidR="00AC0579" w:rsidRPr="00260CE3" w:rsidRDefault="00AC0579" w:rsidP="00AC0579">
            <w:pPr>
              <w:keepNext/>
              <w:jc w:val="both"/>
              <w:rPr>
                <w:rFonts w:ascii="Arial Narrow" w:hAnsi="Arial Narrow" w:cs="Arial"/>
                <w:sz w:val="20"/>
                <w:szCs w:val="20"/>
              </w:rPr>
            </w:pPr>
          </w:p>
        </w:tc>
        <w:tc>
          <w:tcPr>
            <w:tcW w:w="1417" w:type="dxa"/>
          </w:tcPr>
          <w:p w:rsidR="00AC0579" w:rsidRDefault="00AC0579" w:rsidP="00AC0579">
            <w:pPr>
              <w:keepNext/>
              <w:rPr>
                <w:rFonts w:ascii="Arial Narrow" w:hAnsi="Arial Narrow" w:cs="Arial"/>
                <w:sz w:val="20"/>
                <w:szCs w:val="20"/>
              </w:rPr>
            </w:pPr>
          </w:p>
        </w:tc>
        <w:tc>
          <w:tcPr>
            <w:tcW w:w="992" w:type="dxa"/>
          </w:tcPr>
          <w:p w:rsidR="00AC0579" w:rsidRDefault="00AC0579" w:rsidP="00AC0579">
            <w:pPr>
              <w:keepNext/>
              <w:rPr>
                <w:rFonts w:ascii="Arial Narrow" w:hAnsi="Arial Narrow" w:cs="Arial"/>
                <w:sz w:val="20"/>
                <w:szCs w:val="20"/>
              </w:rPr>
            </w:pPr>
          </w:p>
        </w:tc>
      </w:tr>
      <w:tr w:rsidR="00AC0579" w:rsidRPr="00260CE3" w:rsidTr="00AC0579">
        <w:trPr>
          <w:trHeight w:val="577"/>
        </w:trPr>
        <w:tc>
          <w:tcPr>
            <w:tcW w:w="2977" w:type="dxa"/>
            <w:gridSpan w:val="2"/>
            <w:tcBorders>
              <w:bottom w:val="single" w:sz="4" w:space="0" w:color="auto"/>
            </w:tcBorders>
          </w:tcPr>
          <w:p w:rsidR="00AC0579" w:rsidRDefault="00AC0579" w:rsidP="0068211C">
            <w:pPr>
              <w:keepNext/>
              <w:jc w:val="both"/>
              <w:rPr>
                <w:rFonts w:ascii="Arial Narrow" w:hAnsi="Arial Narrow" w:cs="Arial"/>
                <w:sz w:val="20"/>
                <w:szCs w:val="20"/>
              </w:rPr>
            </w:pPr>
            <w:proofErr w:type="spellStart"/>
            <w:r>
              <w:rPr>
                <w:rFonts w:ascii="Arial Narrow" w:hAnsi="Arial Narrow" w:cs="Arial"/>
                <w:sz w:val="20"/>
                <w:szCs w:val="20"/>
              </w:rPr>
              <w:t>saxagl</w:t>
            </w:r>
            <w:r w:rsidR="00752787">
              <w:rPr>
                <w:rFonts w:ascii="Arial Narrow" w:hAnsi="Arial Narrow" w:cs="Arial"/>
                <w:sz w:val="20"/>
                <w:szCs w:val="20"/>
              </w:rPr>
              <w:t>i</w:t>
            </w:r>
            <w:r>
              <w:rPr>
                <w:rFonts w:ascii="Arial Narrow" w:hAnsi="Arial Narrow" w:cs="Arial"/>
                <w:sz w:val="20"/>
                <w:szCs w:val="20"/>
              </w:rPr>
              <w:t>ptin</w:t>
            </w:r>
            <w:proofErr w:type="spellEnd"/>
            <w:r>
              <w:rPr>
                <w:rFonts w:ascii="Arial Narrow" w:hAnsi="Arial Narrow" w:cs="Arial"/>
                <w:sz w:val="20"/>
                <w:szCs w:val="20"/>
              </w:rPr>
              <w:t xml:space="preserve"> 2.5 mg + metformin hydrochloride 1 g tablet: modified release, 56</w:t>
            </w:r>
          </w:p>
        </w:tc>
        <w:tc>
          <w:tcPr>
            <w:tcW w:w="850" w:type="dxa"/>
            <w:tcBorders>
              <w:bottom w:val="single" w:sz="4" w:space="0" w:color="auto"/>
            </w:tcBorders>
          </w:tcPr>
          <w:p w:rsidR="00AC0579" w:rsidRPr="00260CE3" w:rsidRDefault="00AC0579" w:rsidP="0068211C">
            <w:pPr>
              <w:keepNext/>
              <w:ind w:left="-108"/>
              <w:jc w:val="center"/>
              <w:rPr>
                <w:rFonts w:ascii="Arial Narrow" w:hAnsi="Arial Narrow" w:cs="Arial"/>
                <w:sz w:val="20"/>
                <w:szCs w:val="20"/>
              </w:rPr>
            </w:pPr>
            <w:r>
              <w:rPr>
                <w:rFonts w:ascii="Arial Narrow" w:hAnsi="Arial Narrow" w:cs="Arial"/>
                <w:sz w:val="20"/>
                <w:szCs w:val="20"/>
              </w:rPr>
              <w:t>1</w:t>
            </w:r>
          </w:p>
        </w:tc>
        <w:tc>
          <w:tcPr>
            <w:tcW w:w="709" w:type="dxa"/>
            <w:tcBorders>
              <w:bottom w:val="single" w:sz="4" w:space="0" w:color="auto"/>
            </w:tcBorders>
          </w:tcPr>
          <w:p w:rsidR="00AC0579" w:rsidRPr="00260CE3" w:rsidRDefault="00AC0579" w:rsidP="0068211C">
            <w:pPr>
              <w:keepNext/>
              <w:ind w:left="-108"/>
              <w:jc w:val="both"/>
              <w:rPr>
                <w:rFonts w:ascii="Arial Narrow" w:hAnsi="Arial Narrow" w:cs="Arial"/>
                <w:sz w:val="20"/>
                <w:szCs w:val="20"/>
              </w:rPr>
            </w:pPr>
            <w:r>
              <w:rPr>
                <w:rFonts w:ascii="Arial Narrow" w:hAnsi="Arial Narrow" w:cs="Arial"/>
                <w:sz w:val="20"/>
                <w:szCs w:val="20"/>
              </w:rPr>
              <w:t>5</w:t>
            </w:r>
          </w:p>
        </w:tc>
        <w:tc>
          <w:tcPr>
            <w:tcW w:w="1418" w:type="dxa"/>
            <w:tcBorders>
              <w:bottom w:val="single" w:sz="4" w:space="0" w:color="auto"/>
            </w:tcBorders>
          </w:tcPr>
          <w:p w:rsidR="00AC0579" w:rsidRPr="00260CE3" w:rsidRDefault="00AC0579" w:rsidP="0068211C">
            <w:pPr>
              <w:keepNext/>
              <w:ind w:left="-108"/>
              <w:jc w:val="both"/>
              <w:rPr>
                <w:rFonts w:ascii="Arial Narrow" w:hAnsi="Arial Narrow" w:cs="Arial"/>
                <w:sz w:val="20"/>
                <w:szCs w:val="20"/>
              </w:rPr>
            </w:pPr>
            <w:r>
              <w:rPr>
                <w:rFonts w:ascii="Arial Narrow" w:hAnsi="Arial Narrow" w:cs="Arial"/>
                <w:sz w:val="20"/>
                <w:szCs w:val="20"/>
              </w:rPr>
              <w:t>$</w:t>
            </w:r>
            <w:r w:rsidR="00192A94">
              <w:rPr>
                <w:rFonts w:ascii="Arial Narrow" w:hAnsi="Arial Narrow" w:cs="Arial"/>
                <w:noProof/>
                <w:color w:val="000000"/>
                <w:sz w:val="20"/>
                <w:szCs w:val="20"/>
                <w:highlight w:val="black"/>
              </w:rPr>
              <w:t>''''''''''''''</w:t>
            </w:r>
          </w:p>
        </w:tc>
        <w:tc>
          <w:tcPr>
            <w:tcW w:w="1417" w:type="dxa"/>
            <w:tcBorders>
              <w:bottom w:val="single" w:sz="4" w:space="0" w:color="auto"/>
            </w:tcBorders>
          </w:tcPr>
          <w:p w:rsidR="00AC0579" w:rsidRDefault="00AC0579" w:rsidP="00AC0579">
            <w:pPr>
              <w:keepNext/>
              <w:rPr>
                <w:rFonts w:ascii="Arial Narrow" w:hAnsi="Arial Narrow" w:cs="Arial"/>
                <w:sz w:val="20"/>
                <w:szCs w:val="20"/>
              </w:rPr>
            </w:pPr>
          </w:p>
        </w:tc>
        <w:tc>
          <w:tcPr>
            <w:tcW w:w="992" w:type="dxa"/>
            <w:tcBorders>
              <w:bottom w:val="single" w:sz="4" w:space="0" w:color="auto"/>
            </w:tcBorders>
          </w:tcPr>
          <w:p w:rsidR="00AC0579" w:rsidRDefault="00AC0579" w:rsidP="00AC0579">
            <w:pPr>
              <w:keepNext/>
              <w:rPr>
                <w:rFonts w:ascii="Arial Narrow" w:hAnsi="Arial Narrow" w:cs="Arial"/>
                <w:sz w:val="20"/>
                <w:szCs w:val="20"/>
              </w:rPr>
            </w:pPr>
          </w:p>
        </w:tc>
      </w:tr>
      <w:tr w:rsidR="00826F6D" w:rsidRPr="00260CE3" w:rsidTr="00AC0579">
        <w:trPr>
          <w:trHeight w:val="360"/>
        </w:trPr>
        <w:tc>
          <w:tcPr>
            <w:tcW w:w="1985" w:type="dxa"/>
            <w:tcBorders>
              <w:top w:val="single" w:sz="4" w:space="0" w:color="auto"/>
              <w:left w:val="single" w:sz="4" w:space="0" w:color="auto"/>
              <w:bottom w:val="single" w:sz="4" w:space="0" w:color="auto"/>
              <w:right w:val="single" w:sz="4" w:space="0" w:color="auto"/>
            </w:tcBorders>
          </w:tcPr>
          <w:p w:rsidR="00826F6D" w:rsidRPr="00260CE3" w:rsidRDefault="00826F6D" w:rsidP="0068211C">
            <w:pPr>
              <w:rPr>
                <w:rFonts w:ascii="Arial Narrow" w:hAnsi="Arial Narrow" w:cs="Arial"/>
                <w:b/>
                <w:sz w:val="20"/>
                <w:szCs w:val="20"/>
              </w:rPr>
            </w:pPr>
            <w:r w:rsidRPr="00260CE3">
              <w:rPr>
                <w:rFonts w:ascii="Arial Narrow" w:hAnsi="Arial Narrow" w:cs="Arial"/>
                <w:b/>
                <w:sz w:val="20"/>
                <w:szCs w:val="20"/>
              </w:rPr>
              <w:t xml:space="preserve">Category / </w:t>
            </w:r>
          </w:p>
          <w:p w:rsidR="00826F6D" w:rsidRPr="00260CE3" w:rsidRDefault="00826F6D" w:rsidP="0068211C">
            <w:pPr>
              <w:rPr>
                <w:rFonts w:ascii="Arial Narrow" w:hAnsi="Arial Narrow" w:cs="Arial"/>
                <w:b/>
                <w:sz w:val="20"/>
                <w:szCs w:val="20"/>
              </w:rPr>
            </w:pPr>
            <w:r w:rsidRPr="00260CE3">
              <w:rPr>
                <w:rFonts w:ascii="Arial Narrow" w:hAnsi="Arial Narrow" w:cs="Arial"/>
                <w:b/>
                <w:sz w:val="20"/>
                <w:szCs w:val="20"/>
              </w:rPr>
              <w:t>Program</w:t>
            </w:r>
          </w:p>
        </w:tc>
        <w:tc>
          <w:tcPr>
            <w:tcW w:w="6378" w:type="dxa"/>
            <w:gridSpan w:val="6"/>
            <w:tcBorders>
              <w:top w:val="single" w:sz="4" w:space="0" w:color="auto"/>
              <w:left w:val="single" w:sz="4" w:space="0" w:color="auto"/>
              <w:bottom w:val="single" w:sz="4" w:space="0" w:color="auto"/>
              <w:right w:val="single" w:sz="4" w:space="0" w:color="auto"/>
            </w:tcBorders>
          </w:tcPr>
          <w:p w:rsidR="00826F6D" w:rsidRPr="00260CE3" w:rsidRDefault="00826F6D" w:rsidP="0068211C">
            <w:pPr>
              <w:rPr>
                <w:rFonts w:ascii="Arial Narrow" w:hAnsi="Arial Narrow" w:cs="Arial"/>
                <w:sz w:val="20"/>
                <w:szCs w:val="20"/>
              </w:rPr>
            </w:pPr>
            <w:r w:rsidRPr="00260CE3">
              <w:rPr>
                <w:rFonts w:ascii="Arial Narrow" w:hAnsi="Arial Narrow" w:cs="Arial"/>
                <w:sz w:val="20"/>
                <w:szCs w:val="20"/>
              </w:rPr>
              <w:t>GENERAL – General Schedule (Code GE)</w:t>
            </w:r>
          </w:p>
          <w:p w:rsidR="00826F6D" w:rsidRPr="00260CE3" w:rsidRDefault="00826F6D" w:rsidP="0068211C">
            <w:pPr>
              <w:rPr>
                <w:rFonts w:ascii="Arial Narrow" w:hAnsi="Arial Narrow" w:cs="Arial"/>
                <w:sz w:val="20"/>
                <w:szCs w:val="20"/>
              </w:rPr>
            </w:pPr>
          </w:p>
        </w:tc>
      </w:tr>
      <w:tr w:rsidR="00E77F26" w:rsidRPr="00260CE3" w:rsidTr="0068211C">
        <w:trPr>
          <w:trHeight w:val="360"/>
        </w:trPr>
        <w:tc>
          <w:tcPr>
            <w:tcW w:w="1985" w:type="dxa"/>
            <w:tcBorders>
              <w:top w:val="single" w:sz="4" w:space="0" w:color="auto"/>
              <w:left w:val="single" w:sz="4" w:space="0" w:color="auto"/>
              <w:bottom w:val="single" w:sz="4" w:space="0" w:color="auto"/>
              <w:right w:val="single" w:sz="4" w:space="0" w:color="auto"/>
            </w:tcBorders>
          </w:tcPr>
          <w:p w:rsidR="00E77F26" w:rsidRPr="00260CE3" w:rsidRDefault="00E77F26" w:rsidP="0068211C">
            <w:pPr>
              <w:rPr>
                <w:rFonts w:ascii="Arial Narrow" w:hAnsi="Arial Narrow" w:cs="Arial"/>
                <w:b/>
                <w:sz w:val="20"/>
                <w:szCs w:val="20"/>
              </w:rPr>
            </w:pPr>
            <w:r w:rsidRPr="00260CE3">
              <w:rPr>
                <w:rFonts w:ascii="Arial Narrow" w:hAnsi="Arial Narrow" w:cs="Arial"/>
                <w:b/>
                <w:sz w:val="20"/>
                <w:szCs w:val="20"/>
              </w:rPr>
              <w:t>Prescriber type:</w:t>
            </w:r>
          </w:p>
        </w:tc>
        <w:tc>
          <w:tcPr>
            <w:tcW w:w="6378" w:type="dxa"/>
            <w:gridSpan w:val="6"/>
            <w:tcBorders>
              <w:top w:val="single" w:sz="4" w:space="0" w:color="auto"/>
              <w:left w:val="single" w:sz="4" w:space="0" w:color="auto"/>
              <w:bottom w:val="single" w:sz="4" w:space="0" w:color="auto"/>
              <w:right w:val="single" w:sz="4" w:space="0" w:color="auto"/>
            </w:tcBorders>
          </w:tcPr>
          <w:p w:rsidR="00E77F26" w:rsidRPr="00260CE3" w:rsidRDefault="00E77F26" w:rsidP="0068211C">
            <w:pPr>
              <w:rPr>
                <w:rFonts w:ascii="Arial Narrow" w:hAnsi="Arial Narrow" w:cs="Arial"/>
                <w:sz w:val="20"/>
                <w:szCs w:val="20"/>
              </w:rPr>
            </w:pPr>
            <w:r w:rsidRPr="00D72941">
              <w:rPr>
                <w:rFonts w:ascii="Arial Narrow" w:hAnsi="Arial Narrow"/>
                <w:sz w:val="20"/>
              </w:rPr>
              <w:fldChar w:fldCharType="begin">
                <w:ffData>
                  <w:name w:val=""/>
                  <w:enabled/>
                  <w:calcOnExit w:val="0"/>
                  <w:checkBox>
                    <w:sizeAuto/>
                    <w:default w:val="1"/>
                  </w:checkBox>
                </w:ffData>
              </w:fldChar>
            </w:r>
            <w:r w:rsidRPr="00D72941">
              <w:rPr>
                <w:rFonts w:ascii="Arial Narrow" w:hAnsi="Arial Narrow"/>
                <w:sz w:val="20"/>
              </w:rPr>
              <w:instrText xml:space="preserve"> FORMCHECKBOX </w:instrText>
            </w:r>
            <w:r w:rsidR="006C05DF">
              <w:rPr>
                <w:rFonts w:ascii="Arial Narrow" w:hAnsi="Arial Narrow"/>
                <w:sz w:val="20"/>
              </w:rPr>
            </w:r>
            <w:r w:rsidR="006C05DF">
              <w:rPr>
                <w:rFonts w:ascii="Arial Narrow" w:hAnsi="Arial Narrow"/>
                <w:sz w:val="20"/>
              </w:rPr>
              <w:fldChar w:fldCharType="separate"/>
            </w:r>
            <w:r w:rsidRPr="00D72941">
              <w:rPr>
                <w:rFonts w:ascii="Arial Narrow" w:hAnsi="Arial Narrow"/>
                <w:sz w:val="20"/>
              </w:rPr>
              <w:fldChar w:fldCharType="end"/>
            </w:r>
            <w:r w:rsidRPr="00D72941">
              <w:rPr>
                <w:rFonts w:ascii="Arial Narrow" w:hAnsi="Arial Narrow"/>
                <w:sz w:val="20"/>
              </w:rPr>
              <w:t xml:space="preserve">Medical Practitioners  </w:t>
            </w:r>
            <w:r w:rsidRPr="00D72941">
              <w:rPr>
                <w:rFonts w:ascii="Arial Narrow" w:hAnsi="Arial Narrow"/>
                <w:sz w:val="20"/>
              </w:rPr>
              <w:fldChar w:fldCharType="begin">
                <w:ffData>
                  <w:name w:val="Check3"/>
                  <w:enabled/>
                  <w:calcOnExit w:val="0"/>
                  <w:checkBox>
                    <w:sizeAuto/>
                    <w:default w:val="1"/>
                  </w:checkBox>
                </w:ffData>
              </w:fldChar>
            </w:r>
            <w:r w:rsidRPr="00D72941">
              <w:rPr>
                <w:rFonts w:ascii="Arial Narrow" w:hAnsi="Arial Narrow"/>
                <w:sz w:val="20"/>
              </w:rPr>
              <w:instrText xml:space="preserve"> FORMCHECKBOX </w:instrText>
            </w:r>
            <w:r w:rsidR="006C05DF">
              <w:rPr>
                <w:rFonts w:ascii="Arial Narrow" w:hAnsi="Arial Narrow"/>
                <w:sz w:val="20"/>
              </w:rPr>
            </w:r>
            <w:r w:rsidR="006C05DF">
              <w:rPr>
                <w:rFonts w:ascii="Arial Narrow" w:hAnsi="Arial Narrow"/>
                <w:sz w:val="20"/>
              </w:rPr>
              <w:fldChar w:fldCharType="separate"/>
            </w:r>
            <w:r w:rsidRPr="00D72941">
              <w:rPr>
                <w:rFonts w:ascii="Arial Narrow" w:hAnsi="Arial Narrow"/>
                <w:sz w:val="20"/>
              </w:rPr>
              <w:fldChar w:fldCharType="end"/>
            </w:r>
            <w:r w:rsidRPr="00D72941">
              <w:rPr>
                <w:rFonts w:ascii="Arial Narrow" w:hAnsi="Arial Narrow"/>
                <w:sz w:val="20"/>
              </w:rPr>
              <w:t xml:space="preserve">Nurse practitioners  </w:t>
            </w:r>
          </w:p>
        </w:tc>
      </w:tr>
      <w:tr w:rsidR="00E77F26" w:rsidRPr="00260CE3" w:rsidTr="0068211C">
        <w:trPr>
          <w:trHeight w:val="360"/>
        </w:trPr>
        <w:tc>
          <w:tcPr>
            <w:tcW w:w="1985" w:type="dxa"/>
            <w:tcBorders>
              <w:top w:val="single" w:sz="4" w:space="0" w:color="auto"/>
              <w:left w:val="single" w:sz="4" w:space="0" w:color="auto"/>
              <w:bottom w:val="single" w:sz="4" w:space="0" w:color="auto"/>
              <w:right w:val="single" w:sz="4" w:space="0" w:color="auto"/>
            </w:tcBorders>
          </w:tcPr>
          <w:p w:rsidR="00E77F26" w:rsidRPr="00260CE3" w:rsidRDefault="00E77F26" w:rsidP="0068211C">
            <w:pPr>
              <w:rPr>
                <w:rFonts w:ascii="Arial Narrow" w:hAnsi="Arial Narrow" w:cs="Arial"/>
                <w:b/>
                <w:sz w:val="20"/>
                <w:szCs w:val="20"/>
              </w:rPr>
            </w:pPr>
            <w:r w:rsidRPr="00260CE3">
              <w:rPr>
                <w:rFonts w:ascii="Arial Narrow" w:hAnsi="Arial Narrow" w:cs="Arial"/>
                <w:b/>
                <w:sz w:val="20"/>
                <w:szCs w:val="20"/>
              </w:rPr>
              <w:t>PBS Indication:</w:t>
            </w:r>
          </w:p>
        </w:tc>
        <w:tc>
          <w:tcPr>
            <w:tcW w:w="6378" w:type="dxa"/>
            <w:gridSpan w:val="6"/>
            <w:tcBorders>
              <w:top w:val="single" w:sz="4" w:space="0" w:color="auto"/>
              <w:left w:val="single" w:sz="4" w:space="0" w:color="auto"/>
              <w:bottom w:val="single" w:sz="4" w:space="0" w:color="auto"/>
              <w:right w:val="single" w:sz="4" w:space="0" w:color="auto"/>
            </w:tcBorders>
          </w:tcPr>
          <w:p w:rsidR="00E77F26" w:rsidRPr="00260CE3" w:rsidRDefault="00E77F26" w:rsidP="0068211C">
            <w:pPr>
              <w:rPr>
                <w:rFonts w:ascii="Arial Narrow" w:hAnsi="Arial Narrow" w:cs="Arial"/>
                <w:sz w:val="20"/>
                <w:szCs w:val="20"/>
              </w:rPr>
            </w:pPr>
            <w:r w:rsidRPr="00626736">
              <w:rPr>
                <w:rFonts w:ascii="Arial Narrow" w:hAnsi="Arial Narrow"/>
                <w:sz w:val="20"/>
              </w:rPr>
              <w:t xml:space="preserve">Diabetes mellitus type </w:t>
            </w:r>
            <w:r>
              <w:rPr>
                <w:rFonts w:ascii="Arial Narrow" w:hAnsi="Arial Narrow"/>
                <w:sz w:val="20"/>
              </w:rPr>
              <w:t>2</w:t>
            </w:r>
          </w:p>
        </w:tc>
      </w:tr>
      <w:tr w:rsidR="00E77F26" w:rsidRPr="00260CE3" w:rsidTr="0068211C">
        <w:trPr>
          <w:trHeight w:val="360"/>
        </w:trPr>
        <w:tc>
          <w:tcPr>
            <w:tcW w:w="1985" w:type="dxa"/>
            <w:tcBorders>
              <w:top w:val="single" w:sz="4" w:space="0" w:color="auto"/>
              <w:left w:val="single" w:sz="4" w:space="0" w:color="auto"/>
              <w:bottom w:val="single" w:sz="4" w:space="0" w:color="auto"/>
              <w:right w:val="single" w:sz="4" w:space="0" w:color="auto"/>
            </w:tcBorders>
          </w:tcPr>
          <w:p w:rsidR="00E77F26" w:rsidRPr="00E77F26" w:rsidRDefault="00E77F26" w:rsidP="0068211C">
            <w:pPr>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tc>
        <w:tc>
          <w:tcPr>
            <w:tcW w:w="6378" w:type="dxa"/>
            <w:gridSpan w:val="6"/>
            <w:tcBorders>
              <w:top w:val="single" w:sz="4" w:space="0" w:color="auto"/>
              <w:left w:val="single" w:sz="4" w:space="0" w:color="auto"/>
              <w:bottom w:val="single" w:sz="4" w:space="0" w:color="auto"/>
              <w:right w:val="single" w:sz="4" w:space="0" w:color="auto"/>
            </w:tcBorders>
          </w:tcPr>
          <w:p w:rsidR="00E77F26" w:rsidRPr="00260CE3" w:rsidRDefault="00E77F26" w:rsidP="0068211C">
            <w:pPr>
              <w:rPr>
                <w:rFonts w:ascii="Arial Narrow" w:hAnsi="Arial Narrow" w:cs="Arial"/>
                <w:sz w:val="20"/>
                <w:szCs w:val="20"/>
              </w:rPr>
            </w:pPr>
            <w:r>
              <w:rPr>
                <w:rFonts w:ascii="Arial Narrow" w:hAnsi="Arial Narrow"/>
                <w:sz w:val="20"/>
              </w:rPr>
              <w:t>Authority required (Streamlined)</w:t>
            </w:r>
          </w:p>
        </w:tc>
      </w:tr>
      <w:tr w:rsidR="00E77F26" w:rsidRPr="00260CE3" w:rsidTr="0068211C">
        <w:trPr>
          <w:trHeight w:val="360"/>
        </w:trPr>
        <w:tc>
          <w:tcPr>
            <w:tcW w:w="1985" w:type="dxa"/>
            <w:tcBorders>
              <w:top w:val="single" w:sz="4" w:space="0" w:color="auto"/>
              <w:left w:val="single" w:sz="4" w:space="0" w:color="auto"/>
              <w:bottom w:val="single" w:sz="4" w:space="0" w:color="auto"/>
              <w:right w:val="single" w:sz="4" w:space="0" w:color="auto"/>
            </w:tcBorders>
          </w:tcPr>
          <w:p w:rsidR="00E77F26" w:rsidRPr="00260CE3" w:rsidRDefault="00E77F26" w:rsidP="0068211C">
            <w:pPr>
              <w:jc w:val="both"/>
              <w:rPr>
                <w:rFonts w:ascii="Arial Narrow" w:hAnsi="Arial Narrow" w:cs="Arial"/>
                <w:b/>
                <w:sz w:val="20"/>
                <w:szCs w:val="20"/>
              </w:rPr>
            </w:pPr>
            <w:r w:rsidRPr="00260CE3">
              <w:rPr>
                <w:rFonts w:ascii="Arial Narrow" w:hAnsi="Arial Narrow" w:cs="Arial"/>
                <w:b/>
                <w:sz w:val="20"/>
                <w:szCs w:val="20"/>
              </w:rPr>
              <w:t>Clinical criteria:</w:t>
            </w:r>
          </w:p>
          <w:p w:rsidR="00E77F26" w:rsidRPr="00260CE3" w:rsidRDefault="00E77F26" w:rsidP="0068211C">
            <w:pPr>
              <w:jc w:val="both"/>
              <w:rPr>
                <w:rFonts w:ascii="Arial Narrow" w:hAnsi="Arial Narrow" w:cs="Arial"/>
                <w:i/>
                <w:sz w:val="20"/>
                <w:szCs w:val="20"/>
              </w:rPr>
            </w:pPr>
          </w:p>
          <w:p w:rsidR="00E77F26" w:rsidRPr="00260CE3" w:rsidRDefault="00E77F26" w:rsidP="0068211C">
            <w:pPr>
              <w:jc w:val="both"/>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E77F26" w:rsidRPr="00E77F26" w:rsidRDefault="00E77F26" w:rsidP="0068211C">
            <w:pPr>
              <w:pStyle w:val="TableText0"/>
              <w:spacing w:line="240" w:lineRule="auto"/>
              <w:jc w:val="both"/>
              <w:rPr>
                <w:rFonts w:ascii="Arial Narrow" w:hAnsi="Arial Narrow" w:cs="Arial"/>
              </w:rPr>
            </w:pPr>
            <w:r w:rsidRPr="00E77F26">
              <w:rPr>
                <w:rFonts w:ascii="Arial Narrow" w:hAnsi="Arial Narrow" w:cs="Arial"/>
              </w:rPr>
              <w:t>The treatment must be in combination with a sulfonylurea</w:t>
            </w:r>
          </w:p>
          <w:p w:rsidR="00E77F26" w:rsidRPr="00E77F26" w:rsidRDefault="00E77F26" w:rsidP="0068211C">
            <w:pPr>
              <w:pStyle w:val="TableText0"/>
              <w:spacing w:line="240" w:lineRule="auto"/>
              <w:jc w:val="both"/>
              <w:rPr>
                <w:rFonts w:ascii="Arial Narrow" w:hAnsi="Arial Narrow" w:cs="Arial"/>
              </w:rPr>
            </w:pPr>
          </w:p>
          <w:p w:rsidR="00E77F26" w:rsidRPr="00E77F26" w:rsidRDefault="00E77F26" w:rsidP="0068211C">
            <w:pPr>
              <w:pStyle w:val="TableText0"/>
              <w:spacing w:line="240" w:lineRule="auto"/>
              <w:jc w:val="both"/>
              <w:rPr>
                <w:rFonts w:ascii="Arial Narrow" w:hAnsi="Arial Narrow" w:cs="Arial"/>
              </w:rPr>
            </w:pPr>
            <w:r w:rsidRPr="00E77F26">
              <w:rPr>
                <w:rFonts w:ascii="Arial Narrow" w:hAnsi="Arial Narrow" w:cs="Arial"/>
              </w:rPr>
              <w:t>AND</w:t>
            </w:r>
          </w:p>
          <w:p w:rsidR="00E77F26" w:rsidRPr="00E77F26" w:rsidRDefault="00E77F26" w:rsidP="0068211C">
            <w:pPr>
              <w:pStyle w:val="TableText0"/>
              <w:spacing w:line="240" w:lineRule="auto"/>
              <w:jc w:val="both"/>
              <w:rPr>
                <w:rFonts w:ascii="Arial Narrow" w:hAnsi="Arial Narrow" w:cs="Arial"/>
              </w:rPr>
            </w:pPr>
          </w:p>
          <w:p w:rsidR="00E77F26" w:rsidRPr="00E77F26" w:rsidRDefault="00E77F26" w:rsidP="0068211C">
            <w:pPr>
              <w:pStyle w:val="TableText0"/>
              <w:spacing w:line="240" w:lineRule="auto"/>
              <w:jc w:val="both"/>
              <w:rPr>
                <w:rFonts w:ascii="Arial Narrow" w:hAnsi="Arial Narrow" w:cs="Arial"/>
              </w:rPr>
            </w:pPr>
            <w:r w:rsidRPr="00E77F26">
              <w:rPr>
                <w:rFonts w:ascii="Arial Narrow" w:hAnsi="Arial Narrow" w:cs="Arial"/>
              </w:rPr>
              <w:t>Patient must have, or have had, a HbA1c measurement greater than 7% prior to the initiation of a</w:t>
            </w:r>
            <w:r w:rsidRPr="00E77F26">
              <w:rPr>
                <w:rFonts w:ascii="Arial Narrow" w:hAnsi="Arial Narrow" w:cs="Arial"/>
                <w:lang w:val="en-GB"/>
              </w:rPr>
              <w:t xml:space="preserve"> </w:t>
            </w:r>
            <w:proofErr w:type="spellStart"/>
            <w:r w:rsidRPr="00E77F26">
              <w:rPr>
                <w:rFonts w:ascii="Arial Narrow" w:hAnsi="Arial Narrow" w:cs="Arial"/>
                <w:lang w:val="en-GB"/>
              </w:rPr>
              <w:t>dipeptidyl</w:t>
            </w:r>
            <w:proofErr w:type="spellEnd"/>
            <w:r w:rsidRPr="00E77F26">
              <w:rPr>
                <w:rFonts w:ascii="Arial Narrow" w:hAnsi="Arial Narrow" w:cs="Arial"/>
                <w:lang w:val="en-GB"/>
              </w:rPr>
              <w:t xml:space="preserve"> peptidase-4 (DPP4)</w:t>
            </w:r>
            <w:r w:rsidRPr="00E77F26">
              <w:rPr>
                <w:rFonts w:ascii="Arial Narrow" w:hAnsi="Arial Narrow" w:cs="Arial"/>
              </w:rPr>
              <w:t xml:space="preserve"> inhibitor despite treatment with maximally tolerated doses of metformin and a sulfonylurea; OR </w:t>
            </w:r>
          </w:p>
          <w:p w:rsidR="00E77F26" w:rsidRPr="00E77F26" w:rsidRDefault="00E77F26" w:rsidP="0068211C">
            <w:pPr>
              <w:pStyle w:val="TableText0"/>
              <w:spacing w:line="240" w:lineRule="auto"/>
              <w:jc w:val="both"/>
              <w:rPr>
                <w:rFonts w:ascii="Arial Narrow" w:hAnsi="Arial Narrow" w:cs="Arial"/>
              </w:rPr>
            </w:pPr>
          </w:p>
          <w:p w:rsidR="00E77F26" w:rsidRPr="00E77F26" w:rsidRDefault="00E77F26" w:rsidP="0068211C">
            <w:pPr>
              <w:pStyle w:val="TableText0"/>
              <w:spacing w:line="240" w:lineRule="auto"/>
              <w:jc w:val="both"/>
              <w:rPr>
                <w:rFonts w:ascii="Arial Narrow" w:hAnsi="Arial Narrow" w:cs="Arial"/>
              </w:rPr>
            </w:pPr>
            <w:r w:rsidRPr="00E77F26">
              <w:rPr>
                <w:rFonts w:ascii="Arial Narrow" w:hAnsi="Arial Narrow" w:cs="Arial"/>
              </w:rPr>
              <w:t xml:space="preserve">Patient must have, or have had, where HbA1c measurement is clinically inappropriate, blood glucose levels greater than 10 </w:t>
            </w:r>
            <w:proofErr w:type="spellStart"/>
            <w:r w:rsidRPr="00E77F26">
              <w:rPr>
                <w:rFonts w:ascii="Arial Narrow" w:hAnsi="Arial Narrow" w:cs="Arial"/>
              </w:rPr>
              <w:t>mmol</w:t>
            </w:r>
            <w:proofErr w:type="spellEnd"/>
            <w:r w:rsidRPr="00E77F26">
              <w:rPr>
                <w:rFonts w:ascii="Arial Narrow" w:hAnsi="Arial Narrow" w:cs="Arial"/>
              </w:rPr>
              <w:t xml:space="preserve"> per L in more than 20% of tests over a 2 week period prior to initiation with a DPP4 inhibitor despite treatment </w:t>
            </w:r>
            <w:r w:rsidRPr="00E77F26">
              <w:rPr>
                <w:rFonts w:ascii="Arial Narrow" w:hAnsi="Arial Narrow" w:cs="Arial"/>
              </w:rPr>
              <w:lastRenderedPageBreak/>
              <w:t xml:space="preserve">with maximally tolerated doses of metformin and a sulfonylurea. </w:t>
            </w:r>
          </w:p>
          <w:p w:rsidR="00E77F26" w:rsidRPr="00E77F26" w:rsidRDefault="00E77F26" w:rsidP="0068211C">
            <w:pPr>
              <w:pStyle w:val="TableText0"/>
              <w:spacing w:line="240" w:lineRule="auto"/>
              <w:jc w:val="both"/>
              <w:rPr>
                <w:rFonts w:ascii="Arial Narrow" w:hAnsi="Arial Narrow" w:cs="Arial"/>
              </w:rPr>
            </w:pPr>
          </w:p>
          <w:p w:rsidR="00E77F26" w:rsidRPr="00E77F26" w:rsidRDefault="00E77F26" w:rsidP="0068211C">
            <w:pPr>
              <w:pStyle w:val="TableText0"/>
              <w:spacing w:line="240" w:lineRule="auto"/>
              <w:jc w:val="both"/>
              <w:rPr>
                <w:rFonts w:ascii="Arial Narrow" w:hAnsi="Arial Narrow" w:cs="Arial"/>
              </w:rPr>
            </w:pPr>
            <w:r w:rsidRPr="00E77F26">
              <w:rPr>
                <w:rFonts w:ascii="Arial Narrow" w:hAnsi="Arial Narrow" w:cs="Arial"/>
              </w:rPr>
              <w:t xml:space="preserve">The date and level of the qualifying HbA1c measurement must be, or must have been, documented in the patient's medical records at the time treatment with a DPP4 inhibitor is initiated. </w:t>
            </w:r>
          </w:p>
          <w:p w:rsidR="00E77F26" w:rsidRPr="00E77F26" w:rsidRDefault="00E77F26" w:rsidP="0068211C">
            <w:pPr>
              <w:pStyle w:val="TableText0"/>
              <w:spacing w:line="240" w:lineRule="auto"/>
              <w:jc w:val="both"/>
              <w:rPr>
                <w:rFonts w:ascii="Arial Narrow" w:hAnsi="Arial Narrow" w:cs="Arial"/>
              </w:rPr>
            </w:pPr>
          </w:p>
          <w:p w:rsidR="00E77F26" w:rsidRPr="00E77F26" w:rsidRDefault="00E77F26" w:rsidP="0068211C">
            <w:pPr>
              <w:pStyle w:val="TableText0"/>
              <w:spacing w:line="240" w:lineRule="auto"/>
              <w:jc w:val="both"/>
              <w:rPr>
                <w:rFonts w:ascii="Arial Narrow" w:hAnsi="Arial Narrow" w:cs="Arial"/>
              </w:rPr>
            </w:pPr>
            <w:r w:rsidRPr="00E77F26">
              <w:rPr>
                <w:rFonts w:ascii="Arial Narrow" w:hAnsi="Arial Narrow" w:cs="Arial"/>
              </w:rPr>
              <w:t xml:space="preserve">The HbA1c must be no more than 4 months old at the time treatment with a DPP4 inhibitor was initiated. </w:t>
            </w:r>
          </w:p>
          <w:p w:rsidR="00E77F26" w:rsidRPr="00E77F26" w:rsidRDefault="00E77F26" w:rsidP="0068211C">
            <w:pPr>
              <w:pStyle w:val="TableText0"/>
              <w:spacing w:line="240" w:lineRule="auto"/>
              <w:jc w:val="both"/>
              <w:rPr>
                <w:rFonts w:ascii="Arial Narrow" w:hAnsi="Arial Narrow" w:cs="Arial"/>
              </w:rPr>
            </w:pPr>
          </w:p>
          <w:p w:rsidR="00E77F26" w:rsidRPr="00E77F26" w:rsidRDefault="00E77F26" w:rsidP="0068211C">
            <w:pPr>
              <w:pStyle w:val="TableText0"/>
              <w:spacing w:line="240" w:lineRule="auto"/>
              <w:jc w:val="both"/>
              <w:rPr>
                <w:rFonts w:ascii="Arial Narrow" w:hAnsi="Arial Narrow" w:cs="Arial"/>
              </w:rPr>
            </w:pPr>
            <w:r w:rsidRPr="00E77F26">
              <w:rPr>
                <w:rFonts w:ascii="Arial Narrow" w:hAnsi="Arial Narrow" w:cs="Arial"/>
              </w:rPr>
              <w:t>Blood glucose monitoring may be used as an alternative assessment to HbA1c levels in the following circumstances:</w:t>
            </w:r>
          </w:p>
          <w:p w:rsidR="00E77F26" w:rsidRPr="00E77F26" w:rsidRDefault="00E77F26" w:rsidP="0068211C">
            <w:pPr>
              <w:pStyle w:val="TableText0"/>
              <w:spacing w:line="240" w:lineRule="auto"/>
              <w:jc w:val="both"/>
              <w:rPr>
                <w:rFonts w:ascii="Arial Narrow" w:hAnsi="Arial Narrow" w:cs="Arial"/>
              </w:rPr>
            </w:pPr>
          </w:p>
          <w:p w:rsidR="00E77F26" w:rsidRPr="00E77F26" w:rsidRDefault="00E77F26" w:rsidP="0068211C">
            <w:pPr>
              <w:pStyle w:val="TableText0"/>
              <w:spacing w:line="240" w:lineRule="auto"/>
              <w:jc w:val="both"/>
              <w:rPr>
                <w:rFonts w:ascii="Arial Narrow" w:hAnsi="Arial Narrow" w:cs="Arial"/>
              </w:rPr>
            </w:pPr>
            <w:r w:rsidRPr="00E77F26">
              <w:rPr>
                <w:rFonts w:ascii="Arial Narrow" w:hAnsi="Arial Narrow" w:cs="Arial"/>
              </w:rPr>
              <w:t>(a) A clinical condition with reduced red blood cell survival, including haemolytic anaemias and haemoglobinopathies; and/or</w:t>
            </w:r>
          </w:p>
          <w:p w:rsidR="00E77F26" w:rsidRPr="00E77F26" w:rsidRDefault="00E77F26" w:rsidP="0068211C">
            <w:pPr>
              <w:pStyle w:val="TableText0"/>
              <w:spacing w:line="240" w:lineRule="auto"/>
              <w:jc w:val="both"/>
              <w:rPr>
                <w:rFonts w:ascii="Arial Narrow" w:hAnsi="Arial Narrow" w:cs="Arial"/>
              </w:rPr>
            </w:pPr>
          </w:p>
          <w:p w:rsidR="00E77F26" w:rsidRPr="00E77F26" w:rsidRDefault="00E77F26" w:rsidP="0068211C">
            <w:pPr>
              <w:pStyle w:val="TableText0"/>
              <w:spacing w:line="240" w:lineRule="auto"/>
              <w:jc w:val="both"/>
              <w:rPr>
                <w:rFonts w:ascii="Arial Narrow" w:hAnsi="Arial Narrow" w:cs="Arial"/>
              </w:rPr>
            </w:pPr>
            <w:r w:rsidRPr="00E77F26">
              <w:rPr>
                <w:rFonts w:ascii="Arial Narrow" w:hAnsi="Arial Narrow" w:cs="Arial"/>
              </w:rPr>
              <w:t>(b) Had red cell transfusion within the previous 3 months.</w:t>
            </w:r>
          </w:p>
          <w:p w:rsidR="00E77F26" w:rsidRPr="00E77F26" w:rsidRDefault="00E77F26" w:rsidP="0068211C">
            <w:pPr>
              <w:pStyle w:val="TableText0"/>
              <w:spacing w:line="240" w:lineRule="auto"/>
              <w:jc w:val="both"/>
              <w:rPr>
                <w:rFonts w:ascii="Arial Narrow" w:hAnsi="Arial Narrow" w:cs="Arial"/>
              </w:rPr>
            </w:pPr>
          </w:p>
          <w:p w:rsidR="00E77F26" w:rsidRDefault="00E77F26" w:rsidP="0068211C">
            <w:pPr>
              <w:rPr>
                <w:rFonts w:ascii="Arial Narrow" w:hAnsi="Arial Narrow" w:cs="Arial"/>
                <w:sz w:val="20"/>
                <w:szCs w:val="20"/>
              </w:rPr>
            </w:pPr>
            <w:r w:rsidRPr="00E77F26">
              <w:rPr>
                <w:rFonts w:ascii="Arial Narrow" w:hAnsi="Arial Narrow" w:cs="Arial"/>
                <w:sz w:val="20"/>
                <w:szCs w:val="20"/>
              </w:rPr>
              <w:t>The results of the blood glucose monitoring, which must be no more than 4 months old at the time of initiation of treatment with a DPP4 inhibitor, must be documented in the patient's medical records.</w:t>
            </w:r>
          </w:p>
          <w:p w:rsidR="00522387" w:rsidRDefault="00522387" w:rsidP="0068211C">
            <w:pPr>
              <w:rPr>
                <w:rFonts w:ascii="Arial Narrow" w:hAnsi="Arial Narrow" w:cs="Arial"/>
                <w:sz w:val="20"/>
                <w:szCs w:val="20"/>
              </w:rPr>
            </w:pPr>
          </w:p>
          <w:p w:rsidR="00600FA2" w:rsidRPr="00600FA2" w:rsidRDefault="00522387" w:rsidP="0068211C">
            <w:pPr>
              <w:rPr>
                <w:rFonts w:ascii="Arial Narrow" w:hAnsi="Arial Narrow" w:cs="Arial"/>
                <w:i/>
                <w:sz w:val="20"/>
                <w:szCs w:val="20"/>
              </w:rPr>
            </w:pPr>
            <w:r w:rsidRPr="0029387D">
              <w:rPr>
                <w:rFonts w:ascii="Arial Narrow" w:hAnsi="Arial Narrow" w:cs="Arial"/>
                <w:i/>
                <w:sz w:val="20"/>
                <w:szCs w:val="20"/>
              </w:rPr>
              <w:t>A patient whose diabetes was previously demonstrated unable to be controlled with metformin does not need to requalify on this criterion before being eligible for PBS-subsidised treatment with this fixed dose combination</w:t>
            </w:r>
            <w:r>
              <w:rPr>
                <w:rFonts w:ascii="Arial Narrow" w:hAnsi="Arial Narrow" w:cs="Arial"/>
                <w:i/>
                <w:sz w:val="20"/>
                <w:szCs w:val="20"/>
              </w:rPr>
              <w:t>.</w:t>
            </w:r>
          </w:p>
        </w:tc>
      </w:tr>
      <w:tr w:rsidR="00522387" w:rsidRPr="00260CE3" w:rsidTr="0068211C">
        <w:trPr>
          <w:trHeight w:val="360"/>
        </w:trPr>
        <w:tc>
          <w:tcPr>
            <w:tcW w:w="1985" w:type="dxa"/>
            <w:tcBorders>
              <w:top w:val="single" w:sz="4" w:space="0" w:color="auto"/>
              <w:left w:val="single" w:sz="4" w:space="0" w:color="auto"/>
              <w:bottom w:val="single" w:sz="4" w:space="0" w:color="auto"/>
              <w:right w:val="single" w:sz="4" w:space="0" w:color="auto"/>
            </w:tcBorders>
          </w:tcPr>
          <w:p w:rsidR="00522387" w:rsidRPr="00260CE3" w:rsidRDefault="00522387" w:rsidP="0068211C">
            <w:pPr>
              <w:jc w:val="both"/>
              <w:rPr>
                <w:rFonts w:ascii="Arial Narrow" w:hAnsi="Arial Narrow" w:cs="Arial"/>
                <w:b/>
                <w:sz w:val="20"/>
                <w:szCs w:val="20"/>
              </w:rPr>
            </w:pPr>
            <w:r>
              <w:rPr>
                <w:rFonts w:ascii="Arial Narrow" w:hAnsi="Arial Narrow" w:cs="Arial"/>
                <w:i/>
                <w:sz w:val="20"/>
                <w:szCs w:val="20"/>
              </w:rPr>
              <w:lastRenderedPageBreak/>
              <w:t>Administrative advice</w:t>
            </w:r>
          </w:p>
        </w:tc>
        <w:tc>
          <w:tcPr>
            <w:tcW w:w="6378" w:type="dxa"/>
            <w:gridSpan w:val="6"/>
            <w:tcBorders>
              <w:top w:val="single" w:sz="4" w:space="0" w:color="auto"/>
              <w:left w:val="single" w:sz="4" w:space="0" w:color="auto"/>
              <w:bottom w:val="single" w:sz="4" w:space="0" w:color="auto"/>
              <w:right w:val="single" w:sz="4" w:space="0" w:color="auto"/>
            </w:tcBorders>
          </w:tcPr>
          <w:p w:rsidR="00522387" w:rsidRPr="00E77F26" w:rsidRDefault="00522387" w:rsidP="0068211C">
            <w:pPr>
              <w:pStyle w:val="TableText0"/>
              <w:spacing w:line="240" w:lineRule="auto"/>
              <w:jc w:val="both"/>
              <w:rPr>
                <w:rFonts w:ascii="Arial Narrow" w:hAnsi="Arial Narrow" w:cs="Arial"/>
              </w:rPr>
            </w:pPr>
            <w:r w:rsidRPr="001E2883">
              <w:rPr>
                <w:rFonts w:ascii="Arial Narrow" w:hAnsi="Arial Narrow" w:cs="Arial"/>
                <w:i/>
              </w:rPr>
              <w:t>This fixed dose combination tablet is not PBS-subsidised for use as initial therapy or in combination with a thiazolidinedione (</w:t>
            </w:r>
            <w:proofErr w:type="spellStart"/>
            <w:r w:rsidRPr="001E2883">
              <w:rPr>
                <w:rFonts w:ascii="Arial Narrow" w:hAnsi="Arial Narrow" w:cs="Arial"/>
                <w:i/>
              </w:rPr>
              <w:t>glitazone</w:t>
            </w:r>
            <w:proofErr w:type="spellEnd"/>
            <w:r w:rsidRPr="001E2883">
              <w:rPr>
                <w:rFonts w:ascii="Arial Narrow" w:hAnsi="Arial Narrow" w:cs="Arial"/>
                <w:i/>
              </w:rPr>
              <w:t>), a glucagon-like peptide-1 or an SGLT2 inhibitor.</w:t>
            </w:r>
          </w:p>
        </w:tc>
      </w:tr>
    </w:tbl>
    <w:p w:rsidR="00BB7EC3" w:rsidRDefault="00BB7EC3" w:rsidP="0068211C">
      <w:pPr>
        <w:jc w:val="both"/>
        <w:rPr>
          <w:rFonts w:ascii="Arial" w:hAnsi="Arial"/>
          <w:b/>
          <w:sz w:val="22"/>
          <w:szCs w:val="22"/>
        </w:rPr>
      </w:pPr>
    </w:p>
    <w:p w:rsidR="0068211C" w:rsidRPr="00882085" w:rsidRDefault="0068211C" w:rsidP="0068211C">
      <w:pPr>
        <w:jc w:val="both"/>
        <w:rPr>
          <w:rFonts w:ascii="Arial" w:hAnsi="Arial"/>
          <w:b/>
          <w:sz w:val="22"/>
          <w:szCs w:val="22"/>
        </w:rPr>
      </w:pPr>
    </w:p>
    <w:p w:rsidR="00CE10C4" w:rsidRPr="00882085" w:rsidRDefault="00CE10C4" w:rsidP="0068211C">
      <w:pPr>
        <w:pStyle w:val="ListParagraph"/>
        <w:numPr>
          <w:ilvl w:val="0"/>
          <w:numId w:val="1"/>
        </w:numPr>
        <w:jc w:val="both"/>
        <w:rPr>
          <w:rFonts w:ascii="Arial" w:hAnsi="Arial"/>
          <w:sz w:val="22"/>
          <w:szCs w:val="22"/>
        </w:rPr>
      </w:pPr>
      <w:r w:rsidRPr="00882085">
        <w:rPr>
          <w:rFonts w:ascii="Arial" w:hAnsi="Arial"/>
          <w:b/>
          <w:sz w:val="22"/>
          <w:szCs w:val="22"/>
        </w:rPr>
        <w:t>Background</w:t>
      </w:r>
    </w:p>
    <w:p w:rsidR="006A12A5" w:rsidRPr="00882085" w:rsidRDefault="006A12A5" w:rsidP="0068211C">
      <w:pPr>
        <w:jc w:val="both"/>
        <w:rPr>
          <w:rFonts w:ascii="Arial" w:hAnsi="Arial"/>
          <w:sz w:val="22"/>
          <w:szCs w:val="22"/>
        </w:rPr>
      </w:pPr>
    </w:p>
    <w:p w:rsidR="002B1AE6" w:rsidRPr="0028314F" w:rsidRDefault="00FD426D" w:rsidP="0068211C">
      <w:pPr>
        <w:pStyle w:val="ListParagraph"/>
        <w:numPr>
          <w:ilvl w:val="1"/>
          <w:numId w:val="1"/>
        </w:numPr>
        <w:jc w:val="both"/>
        <w:rPr>
          <w:rFonts w:ascii="Arial" w:hAnsi="Arial"/>
          <w:sz w:val="22"/>
          <w:szCs w:val="22"/>
        </w:rPr>
      </w:pPr>
      <w:proofErr w:type="spellStart"/>
      <w:r>
        <w:rPr>
          <w:rFonts w:ascii="Arial" w:hAnsi="Arial"/>
          <w:sz w:val="22"/>
          <w:szCs w:val="22"/>
        </w:rPr>
        <w:t>Saxagliptin+</w:t>
      </w:r>
      <w:r w:rsidR="005D0807">
        <w:rPr>
          <w:rFonts w:ascii="Arial" w:hAnsi="Arial" w:cs="Arial"/>
          <w:sz w:val="22"/>
          <w:szCs w:val="22"/>
        </w:rPr>
        <w:t>MET</w:t>
      </w:r>
      <w:proofErr w:type="spellEnd"/>
      <w:r w:rsidR="005D0807" w:rsidRPr="0028314F">
        <w:rPr>
          <w:rFonts w:ascii="Arial" w:hAnsi="Arial" w:cs="Arial"/>
          <w:sz w:val="22"/>
          <w:szCs w:val="22"/>
        </w:rPr>
        <w:t xml:space="preserve"> </w:t>
      </w:r>
      <w:r w:rsidR="0028314F" w:rsidRPr="0028314F">
        <w:rPr>
          <w:rFonts w:ascii="Arial" w:hAnsi="Arial" w:cs="Arial"/>
          <w:sz w:val="22"/>
          <w:szCs w:val="22"/>
        </w:rPr>
        <w:t>(</w:t>
      </w:r>
      <w:proofErr w:type="spellStart"/>
      <w:r w:rsidR="0028314F" w:rsidRPr="0028314F">
        <w:rPr>
          <w:rFonts w:ascii="Arial" w:hAnsi="Arial" w:cs="Arial"/>
          <w:sz w:val="22"/>
          <w:szCs w:val="22"/>
        </w:rPr>
        <w:t>Kombiglyze</w:t>
      </w:r>
      <w:proofErr w:type="spellEnd"/>
      <w:r w:rsidR="0028314F" w:rsidRPr="0028314F">
        <w:rPr>
          <w:rFonts w:ascii="Arial" w:hAnsi="Arial" w:cs="Arial"/>
          <w:sz w:val="22"/>
          <w:szCs w:val="22"/>
          <w:vertAlign w:val="superscript"/>
        </w:rPr>
        <w:t xml:space="preserve">® </w:t>
      </w:r>
      <w:r w:rsidR="0028314F" w:rsidRPr="0028314F">
        <w:rPr>
          <w:rFonts w:ascii="Arial" w:hAnsi="Arial" w:cs="Arial"/>
          <w:sz w:val="22"/>
          <w:szCs w:val="22"/>
        </w:rPr>
        <w:t>XR )</w:t>
      </w:r>
      <w:r w:rsidR="0028314F">
        <w:rPr>
          <w:rFonts w:ascii="Arial" w:hAnsi="Arial"/>
          <w:sz w:val="22"/>
          <w:szCs w:val="22"/>
        </w:rPr>
        <w:t xml:space="preserve"> </w:t>
      </w:r>
      <w:r w:rsidR="00476245">
        <w:rPr>
          <w:rFonts w:ascii="Arial" w:hAnsi="Arial"/>
          <w:sz w:val="22"/>
          <w:szCs w:val="22"/>
        </w:rPr>
        <w:t xml:space="preserve">is TGA </w:t>
      </w:r>
      <w:r>
        <w:rPr>
          <w:rFonts w:ascii="Arial" w:hAnsi="Arial"/>
          <w:sz w:val="22"/>
          <w:szCs w:val="22"/>
        </w:rPr>
        <w:t xml:space="preserve">indicated </w:t>
      </w:r>
      <w:r w:rsidRPr="00FD426D">
        <w:rPr>
          <w:rFonts w:ascii="Arial" w:hAnsi="Arial"/>
          <w:sz w:val="22"/>
          <w:szCs w:val="22"/>
        </w:rPr>
        <w:t xml:space="preserve">as an adjunct to diet and exercise to improve glycaemic control in adults with </w:t>
      </w:r>
      <w:r w:rsidR="005A44DC">
        <w:rPr>
          <w:rFonts w:ascii="Arial" w:hAnsi="Arial"/>
          <w:sz w:val="22"/>
          <w:szCs w:val="22"/>
        </w:rPr>
        <w:t>T2DM</w:t>
      </w:r>
      <w:r w:rsidRPr="00FD426D">
        <w:rPr>
          <w:rFonts w:ascii="Arial" w:hAnsi="Arial"/>
          <w:sz w:val="22"/>
          <w:szCs w:val="22"/>
        </w:rPr>
        <w:t xml:space="preserve"> when treatment with </w:t>
      </w:r>
      <w:r w:rsidRPr="0028314F">
        <w:rPr>
          <w:rFonts w:ascii="Arial" w:hAnsi="Arial"/>
          <w:sz w:val="22"/>
          <w:szCs w:val="22"/>
        </w:rPr>
        <w:t xml:space="preserve">both </w:t>
      </w:r>
      <w:proofErr w:type="spellStart"/>
      <w:r w:rsidRPr="0028314F">
        <w:rPr>
          <w:rFonts w:ascii="Arial" w:hAnsi="Arial"/>
          <w:sz w:val="22"/>
          <w:szCs w:val="22"/>
        </w:rPr>
        <w:t>saxagliptin</w:t>
      </w:r>
      <w:proofErr w:type="spellEnd"/>
      <w:r w:rsidRPr="0028314F">
        <w:rPr>
          <w:rFonts w:ascii="Arial" w:hAnsi="Arial"/>
          <w:sz w:val="22"/>
          <w:szCs w:val="22"/>
        </w:rPr>
        <w:t xml:space="preserve"> and </w:t>
      </w:r>
      <w:r w:rsidR="005D0807">
        <w:rPr>
          <w:rFonts w:ascii="Arial" w:hAnsi="Arial"/>
          <w:sz w:val="22"/>
          <w:szCs w:val="22"/>
        </w:rPr>
        <w:t>MET</w:t>
      </w:r>
      <w:r w:rsidR="005D0807" w:rsidRPr="0028314F">
        <w:rPr>
          <w:rFonts w:ascii="Arial" w:hAnsi="Arial"/>
          <w:sz w:val="22"/>
          <w:szCs w:val="22"/>
        </w:rPr>
        <w:t xml:space="preserve"> </w:t>
      </w:r>
      <w:r w:rsidRPr="0028314F">
        <w:rPr>
          <w:rFonts w:ascii="Arial" w:hAnsi="Arial"/>
          <w:sz w:val="22"/>
          <w:szCs w:val="22"/>
        </w:rPr>
        <w:t>is appropriate.</w:t>
      </w:r>
      <w:r w:rsidR="002B1AE6" w:rsidRPr="0028314F">
        <w:rPr>
          <w:rFonts w:ascii="Arial" w:hAnsi="Arial"/>
          <w:sz w:val="22"/>
          <w:szCs w:val="22"/>
        </w:rPr>
        <w:t xml:space="preserve"> </w:t>
      </w:r>
    </w:p>
    <w:p w:rsidR="006B0D94" w:rsidRPr="00882085" w:rsidRDefault="006B0D94" w:rsidP="0068211C">
      <w:pPr>
        <w:pStyle w:val="ListParagraph"/>
        <w:jc w:val="both"/>
        <w:rPr>
          <w:rFonts w:ascii="Arial" w:hAnsi="Arial"/>
          <w:sz w:val="22"/>
          <w:szCs w:val="22"/>
        </w:rPr>
      </w:pPr>
    </w:p>
    <w:p w:rsidR="00540DD7" w:rsidRPr="00260EAC" w:rsidRDefault="0028314F" w:rsidP="0068211C">
      <w:pPr>
        <w:pStyle w:val="ListParagraph"/>
        <w:numPr>
          <w:ilvl w:val="1"/>
          <w:numId w:val="1"/>
        </w:numPr>
        <w:jc w:val="both"/>
        <w:rPr>
          <w:rFonts w:ascii="Arial" w:hAnsi="Arial" w:cs="Arial"/>
          <w:color w:val="222222"/>
          <w:sz w:val="22"/>
          <w:szCs w:val="22"/>
          <w:shd w:val="clear" w:color="auto" w:fill="FFFFFF"/>
        </w:rPr>
      </w:pPr>
      <w:proofErr w:type="spellStart"/>
      <w:r w:rsidRPr="00B74A44">
        <w:rPr>
          <w:rFonts w:ascii="Arial" w:hAnsi="Arial" w:cs="Arial"/>
          <w:sz w:val="22"/>
          <w:szCs w:val="22"/>
        </w:rPr>
        <w:t>Saxagliptin+</w:t>
      </w:r>
      <w:r w:rsidR="005D0807">
        <w:rPr>
          <w:rFonts w:ascii="Arial" w:hAnsi="Arial" w:cs="Arial"/>
          <w:sz w:val="22"/>
          <w:szCs w:val="22"/>
        </w:rPr>
        <w:t>MET</w:t>
      </w:r>
      <w:proofErr w:type="spellEnd"/>
      <w:r w:rsidR="005D0807" w:rsidRPr="00B74A44">
        <w:rPr>
          <w:rFonts w:ascii="Arial" w:hAnsi="Arial" w:cs="Arial"/>
          <w:sz w:val="22"/>
          <w:szCs w:val="22"/>
        </w:rPr>
        <w:t xml:space="preserve"> </w:t>
      </w:r>
      <w:r w:rsidR="00930B8F">
        <w:rPr>
          <w:rFonts w:ascii="Arial" w:hAnsi="Arial" w:cs="Arial"/>
          <w:sz w:val="22"/>
          <w:szCs w:val="22"/>
        </w:rPr>
        <w:t xml:space="preserve">immediate release (IR) FDC </w:t>
      </w:r>
      <w:r w:rsidRPr="00B74A44">
        <w:rPr>
          <w:rFonts w:ascii="Arial" w:hAnsi="Arial" w:cs="Arial"/>
          <w:sz w:val="22"/>
          <w:szCs w:val="22"/>
        </w:rPr>
        <w:t xml:space="preserve">was considered by the PBAC at the </w:t>
      </w:r>
      <w:r w:rsidR="00B74A44" w:rsidRPr="00B74A44">
        <w:rPr>
          <w:rFonts w:ascii="Arial" w:hAnsi="Arial" w:cs="Arial"/>
          <w:sz w:val="22"/>
          <w:szCs w:val="22"/>
        </w:rPr>
        <w:t xml:space="preserve">March 2013 meeting for an </w:t>
      </w:r>
      <w:r w:rsidR="00B74A44" w:rsidRPr="00B74A44">
        <w:rPr>
          <w:rFonts w:ascii="Arial" w:hAnsi="Arial" w:cs="Arial"/>
          <w:color w:val="222222"/>
          <w:sz w:val="22"/>
          <w:szCs w:val="22"/>
          <w:shd w:val="clear" w:color="auto" w:fill="FFFFFF"/>
        </w:rPr>
        <w:t xml:space="preserve">Authority required (STREAMLINED) listing for treatment of type 2 diabetes mellitus in a patient whose HbA1c is greater than 7% prior to initiation of a gliptin, </w:t>
      </w:r>
      <w:proofErr w:type="spellStart"/>
      <w:r w:rsidR="00B74A44" w:rsidRPr="00B74A44">
        <w:rPr>
          <w:rFonts w:ascii="Arial" w:hAnsi="Arial" w:cs="Arial"/>
          <w:color w:val="222222"/>
          <w:sz w:val="22"/>
          <w:szCs w:val="22"/>
          <w:shd w:val="clear" w:color="auto" w:fill="FFFFFF"/>
        </w:rPr>
        <w:t>glitazone</w:t>
      </w:r>
      <w:proofErr w:type="spellEnd"/>
      <w:r w:rsidR="00B74A44" w:rsidRPr="00B74A44">
        <w:rPr>
          <w:rFonts w:ascii="Arial" w:hAnsi="Arial" w:cs="Arial"/>
          <w:color w:val="222222"/>
          <w:sz w:val="22"/>
          <w:szCs w:val="22"/>
          <w:shd w:val="clear" w:color="auto" w:fill="FFFFFF"/>
        </w:rPr>
        <w:t xml:space="preserve"> or a glucagon-like peptide-1 despite treatment with </w:t>
      </w:r>
      <w:r w:rsidR="005D0807">
        <w:rPr>
          <w:rFonts w:ascii="Arial" w:hAnsi="Arial" w:cs="Arial"/>
          <w:color w:val="222222"/>
          <w:sz w:val="22"/>
          <w:szCs w:val="22"/>
          <w:shd w:val="clear" w:color="auto" w:fill="FFFFFF"/>
        </w:rPr>
        <w:t>MET</w:t>
      </w:r>
      <w:r w:rsidR="005D0807" w:rsidRPr="00B74A44">
        <w:rPr>
          <w:rFonts w:ascii="Arial" w:hAnsi="Arial" w:cs="Arial"/>
          <w:color w:val="222222"/>
          <w:sz w:val="22"/>
          <w:szCs w:val="22"/>
          <w:shd w:val="clear" w:color="auto" w:fill="FFFFFF"/>
        </w:rPr>
        <w:t xml:space="preserve"> </w:t>
      </w:r>
      <w:r w:rsidR="00B74A44" w:rsidRPr="00B74A44">
        <w:rPr>
          <w:rFonts w:ascii="Arial" w:hAnsi="Arial" w:cs="Arial"/>
          <w:color w:val="222222"/>
          <w:sz w:val="22"/>
          <w:szCs w:val="22"/>
          <w:shd w:val="clear" w:color="auto" w:fill="FFFFFF"/>
        </w:rPr>
        <w:t xml:space="preserve">and where a combination of </w:t>
      </w:r>
      <w:r w:rsidR="005D0807">
        <w:rPr>
          <w:rFonts w:ascii="Arial" w:hAnsi="Arial" w:cs="Arial"/>
          <w:color w:val="222222"/>
          <w:sz w:val="22"/>
          <w:szCs w:val="22"/>
          <w:shd w:val="clear" w:color="auto" w:fill="FFFFFF"/>
        </w:rPr>
        <w:t>MET</w:t>
      </w:r>
      <w:r w:rsidR="00B74A44" w:rsidRPr="00B74A44">
        <w:rPr>
          <w:rFonts w:ascii="Arial" w:hAnsi="Arial" w:cs="Arial"/>
          <w:color w:val="222222"/>
          <w:sz w:val="22"/>
          <w:szCs w:val="22"/>
          <w:shd w:val="clear" w:color="auto" w:fill="FFFFFF"/>
        </w:rPr>
        <w:t xml:space="preserve"> and a </w:t>
      </w:r>
      <w:r w:rsidR="005D0807">
        <w:rPr>
          <w:rFonts w:ascii="Arial" w:hAnsi="Arial" w:cs="Arial"/>
          <w:color w:val="222222"/>
          <w:sz w:val="22"/>
          <w:szCs w:val="22"/>
          <w:shd w:val="clear" w:color="auto" w:fill="FFFFFF"/>
        </w:rPr>
        <w:t>SU</w:t>
      </w:r>
      <w:r w:rsidR="00B74A44" w:rsidRPr="00B74A44">
        <w:rPr>
          <w:rFonts w:ascii="Arial" w:hAnsi="Arial" w:cs="Arial"/>
          <w:color w:val="222222"/>
          <w:sz w:val="22"/>
          <w:szCs w:val="22"/>
          <w:shd w:val="clear" w:color="auto" w:fill="FFFFFF"/>
        </w:rPr>
        <w:t xml:space="preserve"> is c</w:t>
      </w:r>
      <w:r w:rsidR="00540DD7">
        <w:rPr>
          <w:rFonts w:ascii="Arial" w:hAnsi="Arial" w:cs="Arial"/>
          <w:color w:val="222222"/>
          <w:sz w:val="22"/>
          <w:szCs w:val="22"/>
          <w:shd w:val="clear" w:color="auto" w:fill="FFFFFF"/>
        </w:rPr>
        <w:t xml:space="preserve">ontraindicated or not tolerated. </w:t>
      </w:r>
      <w:r w:rsidR="00540DD7" w:rsidRPr="00540DD7">
        <w:rPr>
          <w:rFonts w:ascii="Arial" w:hAnsi="Arial" w:cs="Arial"/>
          <w:color w:val="222222"/>
          <w:sz w:val="22"/>
          <w:szCs w:val="22"/>
          <w:shd w:val="clear" w:color="auto" w:fill="FFFFFF"/>
        </w:rPr>
        <w:t xml:space="preserve">The submission presented a cost-minimisation analysis based </w:t>
      </w:r>
      <w:r w:rsidR="00540DD7" w:rsidRPr="00540DD7">
        <w:rPr>
          <w:rFonts w:ascii="Arial" w:hAnsi="Arial" w:cs="Arial"/>
          <w:sz w:val="22"/>
          <w:szCs w:val="22"/>
        </w:rPr>
        <w:t>on non-</w:t>
      </w:r>
      <w:r w:rsidR="00540DD7">
        <w:rPr>
          <w:rFonts w:ascii="Arial" w:hAnsi="Arial" w:cs="Arial"/>
          <w:sz w:val="22"/>
          <w:szCs w:val="22"/>
        </w:rPr>
        <w:t xml:space="preserve">inferiority between </w:t>
      </w:r>
      <w:proofErr w:type="spellStart"/>
      <w:proofErr w:type="gramStart"/>
      <w:r w:rsidR="00540DD7">
        <w:rPr>
          <w:rFonts w:ascii="Arial" w:hAnsi="Arial" w:cs="Arial"/>
          <w:sz w:val="22"/>
          <w:szCs w:val="22"/>
        </w:rPr>
        <w:t>saxagliptin+</w:t>
      </w:r>
      <w:r w:rsidR="005D0807">
        <w:rPr>
          <w:rFonts w:ascii="Arial" w:hAnsi="Arial" w:cs="Arial"/>
          <w:sz w:val="22"/>
          <w:szCs w:val="22"/>
        </w:rPr>
        <w:t>MET</w:t>
      </w:r>
      <w:proofErr w:type="spellEnd"/>
      <w:proofErr w:type="gramEnd"/>
      <w:r w:rsidR="00540DD7" w:rsidRPr="00540DD7">
        <w:rPr>
          <w:rFonts w:ascii="Arial" w:hAnsi="Arial" w:cs="Arial"/>
          <w:sz w:val="22"/>
          <w:szCs w:val="22"/>
        </w:rPr>
        <w:t xml:space="preserve"> FDC and the individual components, on </w:t>
      </w:r>
      <w:r w:rsidR="000A1CD0">
        <w:rPr>
          <w:rFonts w:ascii="Arial" w:hAnsi="Arial" w:cs="Arial"/>
          <w:sz w:val="22"/>
          <w:szCs w:val="22"/>
        </w:rPr>
        <w:t xml:space="preserve">grounds of </w:t>
      </w:r>
      <w:r w:rsidR="00540DD7" w:rsidRPr="00540DD7">
        <w:rPr>
          <w:rFonts w:ascii="Arial" w:hAnsi="Arial" w:cs="Arial"/>
          <w:sz w:val="22"/>
          <w:szCs w:val="22"/>
        </w:rPr>
        <w:t>bioequivalence.</w:t>
      </w:r>
      <w:r w:rsidR="00210EB4">
        <w:rPr>
          <w:rFonts w:ascii="Arial" w:hAnsi="Arial" w:cs="Arial"/>
          <w:sz w:val="22"/>
          <w:szCs w:val="22"/>
        </w:rPr>
        <w:t xml:space="preserve"> The PBAC deferred making a recommendation at the March 2013 meeting </w:t>
      </w:r>
      <w:r w:rsidR="00210EB4" w:rsidRPr="00210EB4">
        <w:rPr>
          <w:rFonts w:ascii="Arial" w:hAnsi="Arial" w:cs="Arial"/>
          <w:sz w:val="22"/>
          <w:szCs w:val="22"/>
        </w:rPr>
        <w:t>pending finalisation of the TGA registration process, particularly the final indication, confirmation of bioequivalence with the single compo</w:t>
      </w:r>
      <w:r w:rsidR="007E0FFE">
        <w:rPr>
          <w:rFonts w:ascii="Arial" w:hAnsi="Arial" w:cs="Arial"/>
          <w:sz w:val="22"/>
          <w:szCs w:val="22"/>
        </w:rPr>
        <w:t xml:space="preserve">nents given concomitantly, and </w:t>
      </w:r>
      <w:r w:rsidR="00210EB4" w:rsidRPr="00210EB4">
        <w:rPr>
          <w:rFonts w:ascii="Arial" w:hAnsi="Arial" w:cs="Arial"/>
          <w:sz w:val="22"/>
          <w:szCs w:val="22"/>
        </w:rPr>
        <w:t xml:space="preserve">further consideration of predicted utilisation and financial implications </w:t>
      </w:r>
      <w:r w:rsidR="0064042F">
        <w:rPr>
          <w:rFonts w:ascii="Arial" w:hAnsi="Arial" w:cs="Arial"/>
          <w:sz w:val="22"/>
          <w:szCs w:val="22"/>
        </w:rPr>
        <w:t>from</w:t>
      </w:r>
      <w:r w:rsidR="0064042F" w:rsidRPr="00210EB4">
        <w:rPr>
          <w:rFonts w:ascii="Arial" w:hAnsi="Arial" w:cs="Arial"/>
          <w:sz w:val="22"/>
          <w:szCs w:val="22"/>
        </w:rPr>
        <w:t xml:space="preserve"> </w:t>
      </w:r>
      <w:r w:rsidR="0064042F">
        <w:rPr>
          <w:rFonts w:ascii="Arial" w:hAnsi="Arial" w:cs="Arial"/>
          <w:sz w:val="22"/>
          <w:szCs w:val="22"/>
        </w:rPr>
        <w:t>a</w:t>
      </w:r>
      <w:r w:rsidR="0064042F" w:rsidRPr="00210EB4">
        <w:rPr>
          <w:rFonts w:ascii="Arial" w:hAnsi="Arial" w:cs="Arial"/>
          <w:sz w:val="22"/>
          <w:szCs w:val="22"/>
        </w:rPr>
        <w:t xml:space="preserve"> </w:t>
      </w:r>
      <w:r w:rsidR="00210EB4" w:rsidRPr="00210EB4">
        <w:rPr>
          <w:rFonts w:ascii="Arial" w:hAnsi="Arial" w:cs="Arial"/>
          <w:sz w:val="22"/>
          <w:szCs w:val="22"/>
        </w:rPr>
        <w:t>DUSC utilisation analysis.</w:t>
      </w:r>
    </w:p>
    <w:p w:rsidR="00210EB4" w:rsidRPr="00260EAC" w:rsidRDefault="00210EB4" w:rsidP="0068211C">
      <w:pPr>
        <w:pStyle w:val="ListParagraph"/>
        <w:rPr>
          <w:rFonts w:ascii="Arial" w:hAnsi="Arial" w:cs="Arial"/>
          <w:color w:val="222222"/>
          <w:sz w:val="22"/>
          <w:szCs w:val="22"/>
          <w:shd w:val="clear" w:color="auto" w:fill="FFFFFF"/>
        </w:rPr>
      </w:pPr>
    </w:p>
    <w:p w:rsidR="00C7506F" w:rsidRPr="00C7506F" w:rsidRDefault="00930B8F" w:rsidP="0068211C">
      <w:pPr>
        <w:pStyle w:val="ListParagraph"/>
        <w:numPr>
          <w:ilvl w:val="1"/>
          <w:numId w:val="1"/>
        </w:numPr>
        <w:jc w:val="both"/>
        <w:rPr>
          <w:rFonts w:ascii="Arial" w:hAnsi="Arial" w:cs="Arial"/>
          <w:sz w:val="22"/>
          <w:szCs w:val="22"/>
        </w:rPr>
      </w:pPr>
      <w:proofErr w:type="spellStart"/>
      <w:r w:rsidRPr="00CE2479">
        <w:rPr>
          <w:rFonts w:ascii="Arial" w:hAnsi="Arial" w:cs="Arial"/>
          <w:sz w:val="22"/>
          <w:szCs w:val="22"/>
        </w:rPr>
        <w:t>Saxagliptin+</w:t>
      </w:r>
      <w:r w:rsidR="005D0807">
        <w:rPr>
          <w:rFonts w:ascii="Arial" w:hAnsi="Arial" w:cs="Arial"/>
          <w:sz w:val="22"/>
          <w:szCs w:val="22"/>
        </w:rPr>
        <w:t>MET</w:t>
      </w:r>
      <w:proofErr w:type="spellEnd"/>
      <w:r w:rsidRPr="00CE2479">
        <w:rPr>
          <w:rFonts w:ascii="Arial" w:hAnsi="Arial" w:cs="Arial"/>
          <w:sz w:val="22"/>
          <w:szCs w:val="22"/>
        </w:rPr>
        <w:t xml:space="preserve"> </w:t>
      </w:r>
      <w:r w:rsidR="00DC3D7C">
        <w:rPr>
          <w:rFonts w:ascii="Arial" w:hAnsi="Arial" w:cs="Arial"/>
          <w:sz w:val="22"/>
          <w:szCs w:val="22"/>
        </w:rPr>
        <w:t>IR was subsequently recommended for listing at the April 2013 PBAC Special meeting</w:t>
      </w:r>
      <w:r w:rsidRPr="00CE2479">
        <w:rPr>
          <w:rFonts w:ascii="Arial" w:hAnsi="Arial" w:cs="Arial"/>
          <w:sz w:val="22"/>
          <w:szCs w:val="22"/>
        </w:rPr>
        <w:t xml:space="preserve"> </w:t>
      </w:r>
      <w:r w:rsidR="00DC3D7C" w:rsidRPr="00DC3D7C">
        <w:rPr>
          <w:rFonts w:ascii="Arial" w:hAnsi="Arial" w:cs="Arial"/>
          <w:sz w:val="22"/>
          <w:szCs w:val="22"/>
        </w:rPr>
        <w:t xml:space="preserve">as an Authority Required (STREAMLINED) </w:t>
      </w:r>
      <w:r w:rsidR="00C575FE">
        <w:rPr>
          <w:rFonts w:ascii="Arial" w:hAnsi="Arial" w:cs="Arial"/>
          <w:sz w:val="22"/>
          <w:szCs w:val="22"/>
        </w:rPr>
        <w:t>listing</w:t>
      </w:r>
      <w:r w:rsidR="00DC3D7C" w:rsidRPr="00DC3D7C">
        <w:rPr>
          <w:rFonts w:ascii="Arial" w:hAnsi="Arial" w:cs="Arial"/>
          <w:sz w:val="22"/>
          <w:szCs w:val="22"/>
        </w:rPr>
        <w:t xml:space="preserve"> in patients whose HbA1c </w:t>
      </w:r>
      <w:r w:rsidR="00DC3D7C" w:rsidRPr="00DC3D7C">
        <w:rPr>
          <w:rFonts w:ascii="Arial" w:hAnsi="Arial"/>
          <w:sz w:val="22"/>
          <w:szCs w:val="22"/>
        </w:rPr>
        <w:t xml:space="preserve">is greater than 7% prior to initiation of a </w:t>
      </w:r>
      <w:proofErr w:type="spellStart"/>
      <w:r w:rsidR="00DC3D7C" w:rsidRPr="00DC3D7C">
        <w:rPr>
          <w:rFonts w:ascii="Arial" w:hAnsi="Arial"/>
          <w:sz w:val="22"/>
          <w:szCs w:val="22"/>
        </w:rPr>
        <w:t>dipeptidyl</w:t>
      </w:r>
      <w:proofErr w:type="spellEnd"/>
      <w:r w:rsidR="00DC3D7C" w:rsidRPr="00DC3D7C">
        <w:rPr>
          <w:rFonts w:ascii="Arial" w:hAnsi="Arial"/>
          <w:sz w:val="22"/>
          <w:szCs w:val="22"/>
        </w:rPr>
        <w:t xml:space="preserve"> peptidase</w:t>
      </w:r>
      <w:r w:rsidR="00DC3D7C" w:rsidRPr="00DC3D7C">
        <w:rPr>
          <w:rFonts w:ascii="Arial" w:hAnsi="Arial" w:cs="Arial"/>
          <w:sz w:val="22"/>
          <w:szCs w:val="22"/>
        </w:rPr>
        <w:t xml:space="preserve"> 4 inhibitor (gliptin), a thiazolidinedione (</w:t>
      </w:r>
      <w:proofErr w:type="spellStart"/>
      <w:r w:rsidR="00DC3D7C" w:rsidRPr="00DC3D7C">
        <w:rPr>
          <w:rFonts w:ascii="Arial" w:hAnsi="Arial" w:cs="Arial"/>
          <w:sz w:val="22"/>
          <w:szCs w:val="22"/>
        </w:rPr>
        <w:t>glitazone</w:t>
      </w:r>
      <w:proofErr w:type="spellEnd"/>
      <w:r w:rsidR="00DC3D7C" w:rsidRPr="00DC3D7C">
        <w:rPr>
          <w:rFonts w:ascii="Arial" w:hAnsi="Arial" w:cs="Arial"/>
          <w:sz w:val="22"/>
          <w:szCs w:val="22"/>
        </w:rPr>
        <w:t xml:space="preserve">) or a glucagon-like peptide-1 despite treatment </w:t>
      </w:r>
      <w:r w:rsidR="00DC3D7C" w:rsidRPr="00DC3D7C">
        <w:rPr>
          <w:rFonts w:ascii="Arial" w:hAnsi="Arial" w:cs="Arial"/>
          <w:sz w:val="22"/>
          <w:szCs w:val="22"/>
        </w:rPr>
        <w:lastRenderedPageBreak/>
        <w:t xml:space="preserve">with </w:t>
      </w:r>
      <w:r w:rsidR="005D0807">
        <w:rPr>
          <w:rFonts w:ascii="Arial" w:hAnsi="Arial" w:cs="Arial"/>
          <w:sz w:val="22"/>
          <w:szCs w:val="22"/>
        </w:rPr>
        <w:t>MET</w:t>
      </w:r>
      <w:r w:rsidR="00DC3D7C" w:rsidRPr="00C7506F">
        <w:rPr>
          <w:rFonts w:ascii="Arial" w:hAnsi="Arial" w:cs="Arial"/>
          <w:sz w:val="22"/>
          <w:szCs w:val="22"/>
        </w:rPr>
        <w:t>.</w:t>
      </w:r>
      <w:r w:rsidR="00C575FE" w:rsidRPr="00C7506F">
        <w:rPr>
          <w:rFonts w:ascii="Arial" w:hAnsi="Arial" w:cs="Arial"/>
          <w:sz w:val="22"/>
          <w:szCs w:val="22"/>
        </w:rPr>
        <w:t xml:space="preserve"> </w:t>
      </w:r>
      <w:r w:rsidR="00C7506F">
        <w:rPr>
          <w:rFonts w:ascii="Arial" w:hAnsi="Arial" w:cs="Arial"/>
          <w:sz w:val="22"/>
          <w:szCs w:val="22"/>
        </w:rPr>
        <w:t xml:space="preserve">Based on information from the DUSC utilisation analysis, </w:t>
      </w:r>
      <w:r w:rsidR="00C7506F">
        <w:rPr>
          <w:rFonts w:ascii="Arial" w:hAnsi="Arial"/>
          <w:sz w:val="22"/>
          <w:szCs w:val="22"/>
        </w:rPr>
        <w:t>l</w:t>
      </w:r>
      <w:r w:rsidR="00C575FE" w:rsidRPr="00C7506F">
        <w:rPr>
          <w:rFonts w:ascii="Arial" w:hAnsi="Arial"/>
          <w:sz w:val="22"/>
          <w:szCs w:val="22"/>
        </w:rPr>
        <w:t xml:space="preserve">isting was recommended at a lower price and with a different restriction than </w:t>
      </w:r>
      <w:r w:rsidR="00C7506F">
        <w:rPr>
          <w:rFonts w:ascii="Arial" w:hAnsi="Arial"/>
          <w:sz w:val="22"/>
          <w:szCs w:val="22"/>
        </w:rPr>
        <w:t>requested, with the PBAC noting that:</w:t>
      </w:r>
    </w:p>
    <w:p w:rsidR="00C7506F" w:rsidRPr="00C7506F" w:rsidRDefault="00C7506F" w:rsidP="0068211C">
      <w:pPr>
        <w:jc w:val="both"/>
        <w:rPr>
          <w:rFonts w:ascii="Arial" w:hAnsi="Arial" w:cs="Arial"/>
          <w:sz w:val="22"/>
          <w:szCs w:val="22"/>
        </w:rPr>
      </w:pPr>
    </w:p>
    <w:p w:rsidR="00C7506F" w:rsidRPr="004625A5" w:rsidRDefault="00C7506F" w:rsidP="0068211C">
      <w:pPr>
        <w:pStyle w:val="ListParagraph"/>
        <w:ind w:left="1361"/>
        <w:rPr>
          <w:rFonts w:ascii="Arial" w:hAnsi="Arial" w:cs="Arial"/>
          <w:sz w:val="22"/>
          <w:szCs w:val="22"/>
        </w:rPr>
      </w:pPr>
      <w:r w:rsidRPr="004625A5">
        <w:rPr>
          <w:rFonts w:ascii="Arial" w:hAnsi="Arial" w:cs="Arial"/>
          <w:sz w:val="22"/>
          <w:szCs w:val="22"/>
        </w:rPr>
        <w:t xml:space="preserve">…it would be reasonable to recommend listing with a restriction more reflective of the likely use of this combination product (i.e., remove the requirement for patients to have a contraindication or be intolerant of </w:t>
      </w:r>
      <w:r w:rsidR="005D0807">
        <w:rPr>
          <w:rFonts w:ascii="Arial" w:hAnsi="Arial" w:cs="Arial"/>
          <w:sz w:val="22"/>
          <w:szCs w:val="22"/>
        </w:rPr>
        <w:t>SU</w:t>
      </w:r>
      <w:r w:rsidRPr="004625A5">
        <w:rPr>
          <w:rFonts w:ascii="Arial" w:hAnsi="Arial" w:cs="Arial"/>
          <w:sz w:val="22"/>
          <w:szCs w:val="22"/>
        </w:rPr>
        <w:t>s) but at a reduced price, noting that the Committee had not been provided with any evidence to support cost-effectiveness in this expanded population.</w:t>
      </w:r>
    </w:p>
    <w:p w:rsidR="00540DD7" w:rsidRPr="004625A5" w:rsidRDefault="00540DD7" w:rsidP="0068211C">
      <w:pPr>
        <w:pStyle w:val="ListParagraph"/>
        <w:rPr>
          <w:rFonts w:ascii="Arial" w:hAnsi="Arial" w:cs="Arial"/>
          <w:color w:val="222222"/>
          <w:sz w:val="22"/>
          <w:szCs w:val="22"/>
          <w:shd w:val="clear" w:color="auto" w:fill="FFFFFF"/>
        </w:rPr>
      </w:pPr>
    </w:p>
    <w:p w:rsidR="0064042F" w:rsidRPr="004625A5" w:rsidRDefault="00CE2479" w:rsidP="0068211C">
      <w:pPr>
        <w:pStyle w:val="ListParagraph"/>
        <w:numPr>
          <w:ilvl w:val="1"/>
          <w:numId w:val="1"/>
        </w:numPr>
        <w:jc w:val="both"/>
        <w:rPr>
          <w:rFonts w:ascii="Arial" w:hAnsi="Arial" w:cs="Arial"/>
          <w:sz w:val="22"/>
          <w:szCs w:val="22"/>
        </w:rPr>
      </w:pPr>
      <w:proofErr w:type="spellStart"/>
      <w:r w:rsidRPr="004625A5">
        <w:rPr>
          <w:rFonts w:ascii="Arial" w:hAnsi="Arial" w:cs="Arial"/>
          <w:sz w:val="22"/>
          <w:szCs w:val="22"/>
        </w:rPr>
        <w:t>Saxagliptin+</w:t>
      </w:r>
      <w:r w:rsidR="005D0807">
        <w:rPr>
          <w:rFonts w:ascii="Arial" w:hAnsi="Arial" w:cs="Arial"/>
          <w:sz w:val="22"/>
          <w:szCs w:val="22"/>
        </w:rPr>
        <w:t>MET</w:t>
      </w:r>
      <w:proofErr w:type="spellEnd"/>
      <w:r w:rsidRPr="004625A5">
        <w:rPr>
          <w:rFonts w:ascii="Arial" w:hAnsi="Arial" w:cs="Arial"/>
          <w:sz w:val="22"/>
          <w:szCs w:val="22"/>
        </w:rPr>
        <w:t xml:space="preserve"> </w:t>
      </w:r>
      <w:r w:rsidR="00C575FE" w:rsidRPr="004625A5">
        <w:rPr>
          <w:rFonts w:ascii="Arial" w:hAnsi="Arial" w:cs="Arial"/>
          <w:sz w:val="22"/>
          <w:szCs w:val="22"/>
        </w:rPr>
        <w:t xml:space="preserve">extended release (XR) </w:t>
      </w:r>
      <w:r w:rsidR="002F3CA7" w:rsidRPr="004625A5">
        <w:rPr>
          <w:rFonts w:ascii="Arial" w:hAnsi="Arial" w:cs="Arial"/>
          <w:sz w:val="22"/>
          <w:szCs w:val="22"/>
        </w:rPr>
        <w:t xml:space="preserve">FDC </w:t>
      </w:r>
      <w:r w:rsidR="00C575FE" w:rsidRPr="004625A5">
        <w:rPr>
          <w:rFonts w:ascii="Arial" w:hAnsi="Arial" w:cs="Arial"/>
          <w:sz w:val="22"/>
          <w:szCs w:val="22"/>
        </w:rPr>
        <w:t xml:space="preserve">was </w:t>
      </w:r>
      <w:r w:rsidR="00B12215" w:rsidRPr="004625A5">
        <w:rPr>
          <w:rFonts w:ascii="Arial" w:hAnsi="Arial" w:cs="Arial"/>
          <w:sz w:val="22"/>
          <w:szCs w:val="22"/>
        </w:rPr>
        <w:t xml:space="preserve">recommended </w:t>
      </w:r>
      <w:r w:rsidR="00C575FE" w:rsidRPr="004625A5">
        <w:rPr>
          <w:rFonts w:ascii="Arial" w:hAnsi="Arial" w:cs="Arial"/>
          <w:sz w:val="22"/>
          <w:szCs w:val="22"/>
        </w:rPr>
        <w:t xml:space="preserve">by the PBAC at the November 2013 meeting for an Authority required (STREAMLINED) listing for </w:t>
      </w:r>
      <w:r w:rsidR="00B12215" w:rsidRPr="004625A5">
        <w:rPr>
          <w:rFonts w:ascii="Arial" w:hAnsi="Arial" w:cs="Arial"/>
          <w:sz w:val="22"/>
          <w:szCs w:val="22"/>
        </w:rPr>
        <w:t xml:space="preserve">the treatment of Type II diabetes in a patient whose HbA1c is greater than 7% despite treatment with </w:t>
      </w:r>
      <w:r w:rsidR="005D0807">
        <w:rPr>
          <w:rFonts w:ascii="Arial" w:hAnsi="Arial" w:cs="Arial"/>
          <w:sz w:val="22"/>
          <w:szCs w:val="22"/>
        </w:rPr>
        <w:t>MET</w:t>
      </w:r>
      <w:r w:rsidR="00B12215" w:rsidRPr="004625A5">
        <w:rPr>
          <w:rFonts w:ascii="Arial" w:hAnsi="Arial" w:cs="Arial"/>
          <w:sz w:val="22"/>
          <w:szCs w:val="22"/>
        </w:rPr>
        <w:t>.</w:t>
      </w:r>
      <w:r w:rsidR="0064042F" w:rsidRPr="004625A5">
        <w:rPr>
          <w:rFonts w:ascii="Arial" w:hAnsi="Arial" w:cs="Arial"/>
          <w:sz w:val="22"/>
          <w:szCs w:val="22"/>
        </w:rPr>
        <w:t xml:space="preserve"> </w:t>
      </w:r>
      <w:r w:rsidR="00FA602F" w:rsidRPr="004625A5">
        <w:rPr>
          <w:rFonts w:ascii="Arial" w:hAnsi="Arial" w:cs="Arial"/>
          <w:sz w:val="22"/>
          <w:szCs w:val="22"/>
        </w:rPr>
        <w:t xml:space="preserve">The submission presented a cost-minimisation analysis based on non-inferiority between </w:t>
      </w:r>
      <w:proofErr w:type="spellStart"/>
      <w:proofErr w:type="gramStart"/>
      <w:r w:rsidR="00FA602F" w:rsidRPr="004625A5">
        <w:rPr>
          <w:rFonts w:ascii="Arial" w:hAnsi="Arial" w:cs="Arial"/>
          <w:sz w:val="22"/>
          <w:szCs w:val="22"/>
        </w:rPr>
        <w:t>saxagliptin+</w:t>
      </w:r>
      <w:r w:rsidR="005D0807">
        <w:rPr>
          <w:rFonts w:ascii="Arial" w:hAnsi="Arial" w:cs="Arial"/>
          <w:sz w:val="22"/>
          <w:szCs w:val="22"/>
        </w:rPr>
        <w:t>MET</w:t>
      </w:r>
      <w:proofErr w:type="spellEnd"/>
      <w:proofErr w:type="gramEnd"/>
      <w:r w:rsidR="00FA602F" w:rsidRPr="004625A5">
        <w:rPr>
          <w:rFonts w:ascii="Arial" w:hAnsi="Arial" w:cs="Arial"/>
          <w:sz w:val="22"/>
          <w:szCs w:val="22"/>
        </w:rPr>
        <w:t xml:space="preserve"> XR FDC and the individual components, on grounds of bioequivalence.</w:t>
      </w:r>
      <w:r w:rsidR="002F3CA7" w:rsidRPr="004625A5">
        <w:rPr>
          <w:rFonts w:ascii="Arial" w:hAnsi="Arial" w:cs="Arial"/>
          <w:sz w:val="22"/>
          <w:szCs w:val="22"/>
        </w:rPr>
        <w:t xml:space="preserve">  The submission stated that if </w:t>
      </w:r>
      <w:proofErr w:type="spellStart"/>
      <w:r w:rsidR="002F3CA7" w:rsidRPr="004625A5">
        <w:rPr>
          <w:rFonts w:ascii="Arial" w:hAnsi="Arial" w:cs="Arial"/>
          <w:sz w:val="22"/>
          <w:szCs w:val="22"/>
        </w:rPr>
        <w:t>saxagliptin+</w:t>
      </w:r>
      <w:r w:rsidR="005D0807">
        <w:rPr>
          <w:rFonts w:ascii="Arial" w:hAnsi="Arial" w:cs="Arial"/>
          <w:sz w:val="22"/>
          <w:szCs w:val="22"/>
        </w:rPr>
        <w:t>MET</w:t>
      </w:r>
      <w:proofErr w:type="spellEnd"/>
      <w:r w:rsidR="002F3CA7" w:rsidRPr="004625A5">
        <w:rPr>
          <w:rFonts w:ascii="Arial" w:hAnsi="Arial" w:cs="Arial"/>
          <w:sz w:val="22"/>
          <w:szCs w:val="22"/>
        </w:rPr>
        <w:t xml:space="preserve"> XR FDC received a positive recommendation that the </w:t>
      </w:r>
      <w:proofErr w:type="spellStart"/>
      <w:r w:rsidR="002F3CA7" w:rsidRPr="004625A5">
        <w:rPr>
          <w:rFonts w:ascii="Arial" w:hAnsi="Arial" w:cs="Arial"/>
          <w:sz w:val="22"/>
          <w:szCs w:val="22"/>
        </w:rPr>
        <w:t>saxagliptin+</w:t>
      </w:r>
      <w:r w:rsidR="005D0807">
        <w:rPr>
          <w:rFonts w:ascii="Arial" w:hAnsi="Arial" w:cs="Arial"/>
          <w:sz w:val="22"/>
          <w:szCs w:val="22"/>
        </w:rPr>
        <w:t>MET</w:t>
      </w:r>
      <w:proofErr w:type="spellEnd"/>
      <w:r w:rsidR="002F3CA7" w:rsidRPr="004625A5">
        <w:rPr>
          <w:rFonts w:ascii="Arial" w:hAnsi="Arial" w:cs="Arial"/>
          <w:sz w:val="22"/>
          <w:szCs w:val="22"/>
        </w:rPr>
        <w:t xml:space="preserve"> IR FDC </w:t>
      </w:r>
      <w:r w:rsidR="00537592" w:rsidRPr="004625A5">
        <w:rPr>
          <w:rFonts w:ascii="Arial" w:hAnsi="Arial" w:cs="Arial"/>
          <w:sz w:val="22"/>
          <w:szCs w:val="22"/>
        </w:rPr>
        <w:t>(which</w:t>
      </w:r>
      <w:r w:rsidR="00F12331" w:rsidRPr="004625A5">
        <w:rPr>
          <w:rFonts w:ascii="Arial" w:hAnsi="Arial" w:cs="Arial"/>
          <w:sz w:val="22"/>
          <w:szCs w:val="22"/>
        </w:rPr>
        <w:t xml:space="preserve"> </w:t>
      </w:r>
      <w:r w:rsidR="00537592" w:rsidRPr="004625A5">
        <w:rPr>
          <w:rFonts w:ascii="Arial" w:hAnsi="Arial" w:cs="Arial"/>
          <w:sz w:val="22"/>
          <w:szCs w:val="22"/>
        </w:rPr>
        <w:t>w</w:t>
      </w:r>
      <w:r w:rsidR="00F12331" w:rsidRPr="004625A5">
        <w:rPr>
          <w:rFonts w:ascii="Arial" w:hAnsi="Arial" w:cs="Arial"/>
          <w:sz w:val="22"/>
          <w:szCs w:val="22"/>
        </w:rPr>
        <w:t>as recommended</w:t>
      </w:r>
      <w:r w:rsidR="00537592" w:rsidRPr="004625A5">
        <w:rPr>
          <w:rFonts w:ascii="Arial" w:hAnsi="Arial" w:cs="Arial"/>
          <w:sz w:val="22"/>
          <w:szCs w:val="22"/>
        </w:rPr>
        <w:t xml:space="preserve"> for listing</w:t>
      </w:r>
      <w:r w:rsidR="00F12331" w:rsidRPr="004625A5">
        <w:rPr>
          <w:rFonts w:ascii="Arial" w:hAnsi="Arial" w:cs="Arial"/>
          <w:sz w:val="22"/>
          <w:szCs w:val="22"/>
        </w:rPr>
        <w:t xml:space="preserve"> at the April</w:t>
      </w:r>
      <w:r w:rsidR="00537592" w:rsidRPr="004625A5">
        <w:rPr>
          <w:rFonts w:ascii="Arial" w:hAnsi="Arial" w:cs="Arial"/>
          <w:sz w:val="22"/>
          <w:szCs w:val="22"/>
        </w:rPr>
        <w:t xml:space="preserve"> 2013 special meeting)</w:t>
      </w:r>
      <w:r w:rsidR="00F12331" w:rsidRPr="004625A5">
        <w:rPr>
          <w:rFonts w:ascii="Arial" w:hAnsi="Arial" w:cs="Arial"/>
          <w:sz w:val="22"/>
          <w:szCs w:val="22"/>
        </w:rPr>
        <w:t xml:space="preserve"> </w:t>
      </w:r>
      <w:r w:rsidR="002F3CA7" w:rsidRPr="004625A5">
        <w:rPr>
          <w:rFonts w:ascii="Arial" w:hAnsi="Arial" w:cs="Arial"/>
          <w:sz w:val="22"/>
          <w:szCs w:val="22"/>
        </w:rPr>
        <w:t>would not be marketed in Australia</w:t>
      </w:r>
      <w:r w:rsidR="00B12215" w:rsidRPr="004625A5">
        <w:rPr>
          <w:rFonts w:ascii="Arial" w:hAnsi="Arial" w:cs="Arial"/>
          <w:sz w:val="22"/>
          <w:szCs w:val="22"/>
        </w:rPr>
        <w:t>. The PBAC re-confirmed its April</w:t>
      </w:r>
      <w:r w:rsidR="0064042F" w:rsidRPr="004625A5">
        <w:rPr>
          <w:rFonts w:ascii="Arial" w:hAnsi="Arial" w:cs="Arial"/>
          <w:sz w:val="22"/>
          <w:szCs w:val="22"/>
        </w:rPr>
        <w:t> </w:t>
      </w:r>
      <w:r w:rsidR="00B12215" w:rsidRPr="004625A5">
        <w:rPr>
          <w:rFonts w:ascii="Arial" w:hAnsi="Arial" w:cs="Arial"/>
          <w:sz w:val="22"/>
          <w:szCs w:val="22"/>
        </w:rPr>
        <w:t xml:space="preserve">2013 recommendation that an amended listing with removal of the requirement for patients to be contraindicated or intolerant of </w:t>
      </w:r>
      <w:r w:rsidR="005D0807">
        <w:rPr>
          <w:rFonts w:ascii="Arial" w:hAnsi="Arial" w:cs="Arial"/>
          <w:sz w:val="22"/>
          <w:szCs w:val="22"/>
        </w:rPr>
        <w:t>SU</w:t>
      </w:r>
      <w:r w:rsidR="00B12215" w:rsidRPr="004625A5">
        <w:rPr>
          <w:rFonts w:ascii="Arial" w:hAnsi="Arial" w:cs="Arial"/>
          <w:sz w:val="22"/>
          <w:szCs w:val="22"/>
        </w:rPr>
        <w:t xml:space="preserve">s was appropriate for this FDC. In regards to pricing, the PBAC considered that the cost-effectiveness of </w:t>
      </w:r>
      <w:proofErr w:type="spellStart"/>
      <w:r w:rsidR="00B12215" w:rsidRPr="004625A5">
        <w:rPr>
          <w:rFonts w:ascii="Arial" w:hAnsi="Arial" w:cs="Arial"/>
          <w:sz w:val="22"/>
          <w:szCs w:val="22"/>
        </w:rPr>
        <w:t>saxagliptin+</w:t>
      </w:r>
      <w:r w:rsidR="005D0807">
        <w:rPr>
          <w:rFonts w:ascii="Arial" w:hAnsi="Arial" w:cs="Arial"/>
          <w:sz w:val="22"/>
          <w:szCs w:val="22"/>
        </w:rPr>
        <w:t>MET</w:t>
      </w:r>
      <w:proofErr w:type="spellEnd"/>
      <w:r w:rsidR="00B12215" w:rsidRPr="004625A5">
        <w:rPr>
          <w:rFonts w:ascii="Arial" w:hAnsi="Arial" w:cs="Arial"/>
          <w:sz w:val="22"/>
          <w:szCs w:val="22"/>
        </w:rPr>
        <w:t xml:space="preserve"> XR FDC would be acceptable if it were cost-minimised against the </w:t>
      </w:r>
      <w:proofErr w:type="spellStart"/>
      <w:r w:rsidR="00B12215" w:rsidRPr="004625A5">
        <w:rPr>
          <w:rFonts w:ascii="Arial" w:hAnsi="Arial" w:cs="Arial"/>
          <w:sz w:val="22"/>
          <w:szCs w:val="22"/>
        </w:rPr>
        <w:t>alogliptin+</w:t>
      </w:r>
      <w:r w:rsidR="005D0807">
        <w:rPr>
          <w:rFonts w:ascii="Arial" w:hAnsi="Arial" w:cs="Arial"/>
          <w:sz w:val="22"/>
          <w:szCs w:val="22"/>
        </w:rPr>
        <w:t>MET</w:t>
      </w:r>
      <w:proofErr w:type="spellEnd"/>
      <w:r w:rsidR="00B12215" w:rsidRPr="004625A5">
        <w:rPr>
          <w:rFonts w:ascii="Arial" w:hAnsi="Arial" w:cs="Arial"/>
          <w:sz w:val="22"/>
          <w:szCs w:val="22"/>
        </w:rPr>
        <w:t xml:space="preserve"> FDC. In making this decision the PBAC considered:</w:t>
      </w:r>
    </w:p>
    <w:p w:rsidR="00441D7F" w:rsidRPr="004625A5" w:rsidRDefault="00441D7F" w:rsidP="0068211C">
      <w:pPr>
        <w:pStyle w:val="ListParagraph"/>
        <w:jc w:val="both"/>
        <w:rPr>
          <w:rFonts w:ascii="Arial" w:hAnsi="Arial" w:cs="Arial"/>
          <w:sz w:val="22"/>
          <w:szCs w:val="22"/>
        </w:rPr>
      </w:pPr>
    </w:p>
    <w:p w:rsidR="002F3CA7" w:rsidRPr="004625A5" w:rsidRDefault="002F3CA7" w:rsidP="0068211C">
      <w:pPr>
        <w:ind w:left="1417"/>
        <w:jc w:val="both"/>
        <w:rPr>
          <w:rFonts w:ascii="Arial" w:hAnsi="Arial"/>
          <w:sz w:val="22"/>
          <w:szCs w:val="22"/>
        </w:rPr>
      </w:pPr>
      <w:r w:rsidRPr="004625A5">
        <w:rPr>
          <w:rFonts w:ascii="Arial" w:hAnsi="Arial"/>
          <w:sz w:val="22"/>
          <w:szCs w:val="22"/>
        </w:rPr>
        <w:t xml:space="preserve">That </w:t>
      </w:r>
      <w:proofErr w:type="spellStart"/>
      <w:r w:rsidRPr="004625A5">
        <w:rPr>
          <w:rFonts w:ascii="Arial" w:hAnsi="Arial"/>
          <w:sz w:val="22"/>
          <w:szCs w:val="22"/>
        </w:rPr>
        <w:t>saxagliptin</w:t>
      </w:r>
      <w:proofErr w:type="spellEnd"/>
      <w:r w:rsidRPr="004625A5">
        <w:rPr>
          <w:rFonts w:ascii="Arial" w:hAnsi="Arial"/>
          <w:sz w:val="22"/>
          <w:szCs w:val="22"/>
        </w:rPr>
        <w:t xml:space="preserve"> offers no improvement in efficac</w:t>
      </w:r>
      <w:r w:rsidR="00441D7F" w:rsidRPr="004625A5">
        <w:rPr>
          <w:rFonts w:ascii="Arial" w:hAnsi="Arial"/>
          <w:sz w:val="22"/>
          <w:szCs w:val="22"/>
        </w:rPr>
        <w:t xml:space="preserve">y or reduction in toxicity over </w:t>
      </w:r>
      <w:proofErr w:type="spellStart"/>
      <w:r w:rsidRPr="004625A5">
        <w:rPr>
          <w:rFonts w:ascii="Arial" w:hAnsi="Arial"/>
          <w:sz w:val="22"/>
          <w:szCs w:val="22"/>
        </w:rPr>
        <w:t>alogliptin</w:t>
      </w:r>
      <w:proofErr w:type="spellEnd"/>
      <w:r w:rsidRPr="004625A5">
        <w:rPr>
          <w:rFonts w:ascii="Arial" w:hAnsi="Arial"/>
          <w:sz w:val="22"/>
          <w:szCs w:val="22"/>
        </w:rPr>
        <w:t xml:space="preserve">, and noting that </w:t>
      </w:r>
      <w:proofErr w:type="spellStart"/>
      <w:r w:rsidR="000118F7" w:rsidRPr="004625A5">
        <w:rPr>
          <w:rFonts w:ascii="Arial" w:hAnsi="Arial"/>
          <w:sz w:val="22"/>
          <w:szCs w:val="22"/>
        </w:rPr>
        <w:t>sax</w:t>
      </w:r>
      <w:r w:rsidR="000118F7">
        <w:rPr>
          <w:rFonts w:ascii="Arial" w:hAnsi="Arial"/>
          <w:sz w:val="22"/>
          <w:szCs w:val="22"/>
        </w:rPr>
        <w:t>ag</w:t>
      </w:r>
      <w:r w:rsidR="000118F7" w:rsidRPr="004625A5">
        <w:rPr>
          <w:rFonts w:ascii="Arial" w:hAnsi="Arial"/>
          <w:sz w:val="22"/>
          <w:szCs w:val="22"/>
        </w:rPr>
        <w:t>liptin</w:t>
      </w:r>
      <w:proofErr w:type="spellEnd"/>
      <w:r w:rsidRPr="004625A5">
        <w:rPr>
          <w:rFonts w:ascii="Arial" w:hAnsi="Arial"/>
          <w:sz w:val="22"/>
          <w:szCs w:val="22"/>
        </w:rPr>
        <w:t xml:space="preserve"> may be associated with increased cardiac failure hospitalisations, the PBAC considered it is therefore appropriate for the subsidy price for the </w:t>
      </w:r>
      <w:proofErr w:type="spellStart"/>
      <w:r w:rsidRPr="004625A5">
        <w:rPr>
          <w:rFonts w:ascii="Arial" w:hAnsi="Arial"/>
          <w:sz w:val="22"/>
          <w:szCs w:val="22"/>
        </w:rPr>
        <w:t>saxagliptin</w:t>
      </w:r>
      <w:proofErr w:type="spellEnd"/>
      <w:r w:rsidRPr="004625A5">
        <w:rPr>
          <w:rFonts w:ascii="Arial" w:hAnsi="Arial"/>
          <w:sz w:val="22"/>
          <w:szCs w:val="22"/>
        </w:rPr>
        <w:t xml:space="preserve"> component of the FDC, to be cost minimised against </w:t>
      </w:r>
      <w:proofErr w:type="spellStart"/>
      <w:r w:rsidRPr="004625A5">
        <w:rPr>
          <w:rFonts w:ascii="Arial" w:hAnsi="Arial"/>
          <w:sz w:val="22"/>
          <w:szCs w:val="22"/>
        </w:rPr>
        <w:t>alogliptin</w:t>
      </w:r>
      <w:proofErr w:type="spellEnd"/>
      <w:r w:rsidR="000A7300" w:rsidRPr="004625A5">
        <w:rPr>
          <w:rFonts w:ascii="Arial" w:hAnsi="Arial"/>
          <w:sz w:val="22"/>
          <w:szCs w:val="22"/>
        </w:rPr>
        <w:t>; and that:</w:t>
      </w:r>
    </w:p>
    <w:p w:rsidR="000A7300" w:rsidRPr="004625A5" w:rsidRDefault="000A7300" w:rsidP="0068211C">
      <w:pPr>
        <w:ind w:left="1417"/>
        <w:jc w:val="both"/>
        <w:rPr>
          <w:rFonts w:ascii="Arial" w:hAnsi="Arial"/>
          <w:sz w:val="22"/>
          <w:szCs w:val="22"/>
        </w:rPr>
      </w:pPr>
    </w:p>
    <w:p w:rsidR="000A7300" w:rsidRPr="004625A5" w:rsidRDefault="000A7300" w:rsidP="0068211C">
      <w:pPr>
        <w:pStyle w:val="ListParagraph"/>
        <w:ind w:left="1417"/>
        <w:jc w:val="both"/>
        <w:rPr>
          <w:rFonts w:ascii="Arial" w:hAnsi="Arial"/>
          <w:sz w:val="22"/>
          <w:szCs w:val="22"/>
        </w:rPr>
      </w:pPr>
      <w:r w:rsidRPr="004625A5">
        <w:rPr>
          <w:rFonts w:ascii="Arial" w:hAnsi="Arial"/>
          <w:sz w:val="22"/>
          <w:szCs w:val="22"/>
        </w:rPr>
        <w:t>With respect to the price of the metformin component of the FDC…a price for the metformin component that is equal to the corresponding amount of metformin IR in the other gliptin/metformin FDCs would be consistent with its recommendation for the metformin XR/</w:t>
      </w:r>
      <w:proofErr w:type="spellStart"/>
      <w:r w:rsidRPr="004625A5">
        <w:rPr>
          <w:rFonts w:ascii="Arial" w:hAnsi="Arial"/>
          <w:sz w:val="22"/>
          <w:szCs w:val="22"/>
        </w:rPr>
        <w:t>sitagliptin</w:t>
      </w:r>
      <w:proofErr w:type="spellEnd"/>
      <w:r w:rsidRPr="004625A5">
        <w:rPr>
          <w:rFonts w:ascii="Arial" w:hAnsi="Arial"/>
          <w:sz w:val="22"/>
          <w:szCs w:val="22"/>
        </w:rPr>
        <w:t xml:space="preserve"> FDC.  Additionally this approach to pricing the metformin XR component is appropriate in the absence of any evidence that this FDC is associated with an improvement in efficacy or a reduction in toxicity compared to other FDCs of a gliptin and metformin.</w:t>
      </w:r>
    </w:p>
    <w:p w:rsidR="00CE2479" w:rsidRPr="0036709B" w:rsidRDefault="00CE2479" w:rsidP="0068211C">
      <w:pPr>
        <w:rPr>
          <w:rFonts w:ascii="Arial" w:hAnsi="Arial" w:cs="Arial"/>
          <w:color w:val="222222"/>
          <w:sz w:val="22"/>
          <w:szCs w:val="22"/>
          <w:shd w:val="clear" w:color="auto" w:fill="FFFFFF"/>
        </w:rPr>
      </w:pPr>
    </w:p>
    <w:p w:rsidR="00DF26A7" w:rsidRPr="00E1746B" w:rsidRDefault="00E1746B" w:rsidP="0068211C">
      <w:pPr>
        <w:pStyle w:val="ListParagraph"/>
        <w:numPr>
          <w:ilvl w:val="1"/>
          <w:numId w:val="1"/>
        </w:numPr>
        <w:jc w:val="both"/>
        <w:rPr>
          <w:rFonts w:ascii="Arial" w:hAnsi="Arial" w:cs="Arial"/>
          <w:color w:val="222222"/>
          <w:sz w:val="22"/>
          <w:szCs w:val="22"/>
          <w:shd w:val="clear" w:color="auto" w:fill="FFFFFF"/>
        </w:rPr>
      </w:pPr>
      <w:proofErr w:type="spellStart"/>
      <w:r w:rsidRPr="00E1746B">
        <w:rPr>
          <w:rFonts w:ascii="Arial" w:hAnsi="Arial" w:cs="Arial"/>
          <w:color w:val="222222"/>
          <w:sz w:val="22"/>
          <w:szCs w:val="22"/>
          <w:shd w:val="clear" w:color="auto" w:fill="FFFFFF"/>
        </w:rPr>
        <w:t>Saxagliptin</w:t>
      </w:r>
      <w:proofErr w:type="spellEnd"/>
      <w:r w:rsidRPr="00E1746B">
        <w:rPr>
          <w:rFonts w:ascii="Arial" w:hAnsi="Arial" w:cs="Arial"/>
          <w:color w:val="222222"/>
          <w:sz w:val="22"/>
          <w:szCs w:val="22"/>
          <w:shd w:val="clear" w:color="auto" w:fill="FFFFFF"/>
        </w:rPr>
        <w:t xml:space="preserve"> </w:t>
      </w:r>
      <w:r w:rsidRPr="00E1746B">
        <w:rPr>
          <w:rFonts w:ascii="Arial" w:hAnsi="Arial" w:cs="Arial"/>
          <w:sz w:val="22"/>
          <w:szCs w:val="22"/>
        </w:rPr>
        <w:t xml:space="preserve">(2.5mg and 5mg tablets) is currently listed on the PBS for dual oral therapy in combination with </w:t>
      </w:r>
      <w:r w:rsidR="005D0807">
        <w:rPr>
          <w:rFonts w:ascii="Arial" w:hAnsi="Arial" w:cs="Arial"/>
          <w:sz w:val="22"/>
          <w:szCs w:val="22"/>
        </w:rPr>
        <w:t>MET</w:t>
      </w:r>
      <w:r w:rsidRPr="00E1746B">
        <w:rPr>
          <w:rFonts w:ascii="Arial" w:hAnsi="Arial" w:cs="Arial"/>
          <w:sz w:val="22"/>
          <w:szCs w:val="22"/>
        </w:rPr>
        <w:t xml:space="preserve"> or a </w:t>
      </w:r>
      <w:r w:rsidR="005D0807">
        <w:rPr>
          <w:rFonts w:ascii="Arial" w:hAnsi="Arial" w:cs="Arial"/>
          <w:sz w:val="22"/>
          <w:szCs w:val="22"/>
        </w:rPr>
        <w:t>SU</w:t>
      </w:r>
      <w:r w:rsidRPr="00E1746B">
        <w:rPr>
          <w:rFonts w:ascii="Arial" w:hAnsi="Arial" w:cs="Arial"/>
          <w:sz w:val="22"/>
          <w:szCs w:val="22"/>
        </w:rPr>
        <w:t xml:space="preserve"> in patients inadequately controlled on either </w:t>
      </w:r>
      <w:r w:rsidR="005D0807">
        <w:rPr>
          <w:rFonts w:ascii="Arial" w:hAnsi="Arial" w:cs="Arial"/>
          <w:sz w:val="22"/>
          <w:szCs w:val="22"/>
        </w:rPr>
        <w:t>MET</w:t>
      </w:r>
      <w:r w:rsidRPr="00E1746B">
        <w:rPr>
          <w:rFonts w:ascii="Arial" w:hAnsi="Arial" w:cs="Arial"/>
          <w:sz w:val="22"/>
          <w:szCs w:val="22"/>
        </w:rPr>
        <w:t xml:space="preserve"> or a </w:t>
      </w:r>
      <w:r w:rsidR="005D0807">
        <w:rPr>
          <w:rFonts w:ascii="Arial" w:hAnsi="Arial" w:cs="Arial"/>
          <w:sz w:val="22"/>
          <w:szCs w:val="22"/>
        </w:rPr>
        <w:t>SU</w:t>
      </w:r>
      <w:r w:rsidRPr="00E1746B">
        <w:rPr>
          <w:rFonts w:ascii="Arial" w:hAnsi="Arial" w:cs="Arial"/>
          <w:sz w:val="22"/>
          <w:szCs w:val="22"/>
        </w:rPr>
        <w:t xml:space="preserve"> alone. The sponsor has submitted a major submission for consideration at the July 2015 PBAC meeting (agenda item</w:t>
      </w:r>
      <w:r w:rsidR="000F5E5E">
        <w:rPr>
          <w:rFonts w:ascii="Arial" w:hAnsi="Arial" w:cs="Arial"/>
          <w:sz w:val="22"/>
          <w:szCs w:val="22"/>
        </w:rPr>
        <w:t> </w:t>
      </w:r>
      <w:r w:rsidRPr="00E1746B">
        <w:rPr>
          <w:rFonts w:ascii="Arial" w:hAnsi="Arial" w:cs="Arial"/>
          <w:sz w:val="22"/>
          <w:szCs w:val="22"/>
        </w:rPr>
        <w:t xml:space="preserve">6.02) to request extension of the PBS listing of </w:t>
      </w:r>
      <w:proofErr w:type="spellStart"/>
      <w:r w:rsidRPr="00E1746B">
        <w:rPr>
          <w:rFonts w:ascii="Arial" w:hAnsi="Arial" w:cs="Arial"/>
          <w:sz w:val="22"/>
          <w:szCs w:val="22"/>
        </w:rPr>
        <w:t>saxagliptin</w:t>
      </w:r>
      <w:proofErr w:type="spellEnd"/>
      <w:r w:rsidRPr="00E1746B">
        <w:rPr>
          <w:rFonts w:ascii="Arial" w:hAnsi="Arial" w:cs="Arial"/>
          <w:sz w:val="22"/>
          <w:szCs w:val="22"/>
        </w:rPr>
        <w:t xml:space="preserve"> to include an Authority Required (Streamlined) listing for </w:t>
      </w:r>
      <w:proofErr w:type="spellStart"/>
      <w:r w:rsidRPr="00E1746B">
        <w:rPr>
          <w:rFonts w:ascii="Arial" w:hAnsi="Arial" w:cs="Arial"/>
          <w:sz w:val="22"/>
          <w:szCs w:val="22"/>
        </w:rPr>
        <w:t>saxagliptin</w:t>
      </w:r>
      <w:proofErr w:type="spellEnd"/>
      <w:r w:rsidRPr="00E1746B">
        <w:rPr>
          <w:rFonts w:ascii="Arial" w:hAnsi="Arial" w:cs="Arial"/>
          <w:sz w:val="22"/>
          <w:szCs w:val="22"/>
        </w:rPr>
        <w:t xml:space="preserve"> 2.5mg and 5mg tablets for the treatment of patients with type 2 diabetes in combination with </w:t>
      </w:r>
      <w:r w:rsidR="005D0807">
        <w:rPr>
          <w:rFonts w:ascii="Arial" w:hAnsi="Arial" w:cs="Arial"/>
          <w:sz w:val="22"/>
          <w:szCs w:val="22"/>
        </w:rPr>
        <w:t>MET</w:t>
      </w:r>
      <w:r w:rsidRPr="00E1746B">
        <w:rPr>
          <w:rFonts w:ascii="Arial" w:hAnsi="Arial" w:cs="Arial"/>
          <w:sz w:val="22"/>
          <w:szCs w:val="22"/>
        </w:rPr>
        <w:t xml:space="preserve"> </w:t>
      </w:r>
      <w:r w:rsidRPr="0020141C">
        <w:rPr>
          <w:rFonts w:ascii="Arial" w:hAnsi="Arial" w:cs="Arial"/>
          <w:sz w:val="22"/>
          <w:szCs w:val="22"/>
        </w:rPr>
        <w:t>and</w:t>
      </w:r>
      <w:r w:rsidRPr="00E1746B">
        <w:rPr>
          <w:rFonts w:ascii="Arial" w:hAnsi="Arial" w:cs="Arial"/>
          <w:sz w:val="22"/>
          <w:szCs w:val="22"/>
        </w:rPr>
        <w:t xml:space="preserve"> a </w:t>
      </w:r>
      <w:r w:rsidR="005D0807">
        <w:rPr>
          <w:rFonts w:ascii="Arial" w:hAnsi="Arial" w:cs="Arial"/>
          <w:sz w:val="22"/>
          <w:szCs w:val="22"/>
        </w:rPr>
        <w:t>SU</w:t>
      </w:r>
      <w:r w:rsidRPr="00E1746B">
        <w:rPr>
          <w:rFonts w:ascii="Arial" w:hAnsi="Arial" w:cs="Arial"/>
          <w:sz w:val="22"/>
          <w:szCs w:val="22"/>
        </w:rPr>
        <w:t xml:space="preserve"> (triple oral therapy).</w:t>
      </w:r>
    </w:p>
    <w:p w:rsidR="008A1956" w:rsidRDefault="008A1956" w:rsidP="0068211C">
      <w:pPr>
        <w:jc w:val="both"/>
        <w:rPr>
          <w:rFonts w:ascii="Arial" w:hAnsi="Arial"/>
          <w:sz w:val="22"/>
          <w:szCs w:val="22"/>
        </w:rPr>
      </w:pPr>
    </w:p>
    <w:p w:rsidR="0068211C" w:rsidRPr="00476245" w:rsidRDefault="0068211C" w:rsidP="0068211C">
      <w:pPr>
        <w:jc w:val="both"/>
        <w:rPr>
          <w:rFonts w:ascii="Arial" w:hAnsi="Arial"/>
          <w:sz w:val="22"/>
          <w:szCs w:val="22"/>
        </w:rPr>
      </w:pPr>
    </w:p>
    <w:p w:rsidR="000B558D" w:rsidRPr="00882085" w:rsidRDefault="008D7A41" w:rsidP="009A7F80">
      <w:pPr>
        <w:pStyle w:val="Header"/>
        <w:keepNext/>
        <w:numPr>
          <w:ilvl w:val="0"/>
          <w:numId w:val="1"/>
        </w:numPr>
        <w:tabs>
          <w:tab w:val="clear" w:pos="4153"/>
          <w:tab w:val="clear" w:pos="8306"/>
        </w:tabs>
        <w:jc w:val="both"/>
        <w:rPr>
          <w:rFonts w:ascii="Arial" w:hAnsi="Arial"/>
          <w:b/>
          <w:sz w:val="22"/>
          <w:szCs w:val="22"/>
        </w:rPr>
      </w:pPr>
      <w:r>
        <w:rPr>
          <w:rFonts w:ascii="Arial" w:hAnsi="Arial"/>
          <w:b/>
          <w:sz w:val="22"/>
          <w:szCs w:val="22"/>
        </w:rPr>
        <w:lastRenderedPageBreak/>
        <w:t>C</w:t>
      </w:r>
      <w:r w:rsidR="00D84934">
        <w:rPr>
          <w:rFonts w:ascii="Arial" w:hAnsi="Arial"/>
          <w:b/>
          <w:sz w:val="22"/>
          <w:szCs w:val="22"/>
        </w:rPr>
        <w:t>onsideration of the evidence</w:t>
      </w:r>
    </w:p>
    <w:p w:rsidR="00BB7EC3" w:rsidRDefault="00BB7EC3" w:rsidP="009A7F80">
      <w:pPr>
        <w:keepNext/>
        <w:jc w:val="both"/>
        <w:rPr>
          <w:rFonts w:ascii="Arial" w:hAnsi="Arial"/>
          <w:sz w:val="22"/>
          <w:szCs w:val="22"/>
        </w:rPr>
      </w:pPr>
    </w:p>
    <w:p w:rsidR="00FE5B1F" w:rsidRPr="00FE5B1F" w:rsidRDefault="00FE5B1F" w:rsidP="0068211C">
      <w:pPr>
        <w:spacing w:after="200" w:line="276" w:lineRule="auto"/>
        <w:jc w:val="both"/>
        <w:rPr>
          <w:rFonts w:ascii="Arial" w:hAnsi="Arial" w:cs="Arial"/>
          <w:b/>
          <w:bCs/>
          <w:i/>
          <w:snapToGrid w:val="0"/>
          <w:sz w:val="22"/>
          <w:szCs w:val="22"/>
        </w:rPr>
      </w:pPr>
      <w:r w:rsidRPr="00FE5B1F">
        <w:rPr>
          <w:rFonts w:ascii="Arial" w:hAnsi="Arial" w:cs="Arial"/>
          <w:b/>
          <w:bCs/>
          <w:i/>
          <w:snapToGrid w:val="0"/>
          <w:sz w:val="22"/>
          <w:szCs w:val="22"/>
        </w:rPr>
        <w:t>Sponsor hearing</w:t>
      </w:r>
    </w:p>
    <w:p w:rsidR="00FE5B1F" w:rsidRPr="00FE5B1F" w:rsidRDefault="00FE5B1F" w:rsidP="0068211C">
      <w:pPr>
        <w:numPr>
          <w:ilvl w:val="1"/>
          <w:numId w:val="1"/>
        </w:numPr>
        <w:contextualSpacing/>
        <w:jc w:val="both"/>
        <w:rPr>
          <w:rFonts w:ascii="Arial" w:hAnsi="Arial" w:cs="Arial"/>
          <w:bCs/>
          <w:snapToGrid w:val="0"/>
          <w:sz w:val="22"/>
          <w:szCs w:val="22"/>
        </w:rPr>
      </w:pPr>
      <w:r w:rsidRPr="00FE5B1F">
        <w:rPr>
          <w:rFonts w:ascii="Arial" w:hAnsi="Arial" w:cs="Arial"/>
          <w:bCs/>
          <w:snapToGrid w:val="0"/>
          <w:sz w:val="22"/>
          <w:szCs w:val="22"/>
        </w:rPr>
        <w:t>There was no hearing for this item as it was a minor submission.</w:t>
      </w:r>
    </w:p>
    <w:p w:rsidR="00FE5B1F" w:rsidRPr="00FE5B1F" w:rsidRDefault="00FE5B1F" w:rsidP="0068211C">
      <w:pPr>
        <w:jc w:val="both"/>
        <w:rPr>
          <w:rFonts w:ascii="Arial" w:hAnsi="Arial" w:cs="Arial"/>
          <w:bCs/>
          <w:snapToGrid w:val="0"/>
          <w:sz w:val="22"/>
          <w:szCs w:val="22"/>
        </w:rPr>
      </w:pPr>
    </w:p>
    <w:p w:rsidR="00FE5B1F" w:rsidRPr="00FE5B1F" w:rsidRDefault="00FE5B1F" w:rsidP="0068211C">
      <w:pPr>
        <w:spacing w:after="200" w:line="276" w:lineRule="auto"/>
        <w:jc w:val="both"/>
        <w:rPr>
          <w:rFonts w:ascii="Arial" w:hAnsi="Arial" w:cs="Arial"/>
          <w:b/>
          <w:bCs/>
          <w:i/>
          <w:snapToGrid w:val="0"/>
          <w:sz w:val="22"/>
          <w:szCs w:val="22"/>
        </w:rPr>
      </w:pPr>
      <w:r w:rsidRPr="00FE5B1F">
        <w:rPr>
          <w:rFonts w:ascii="Arial" w:hAnsi="Arial" w:cs="Arial"/>
          <w:b/>
          <w:bCs/>
          <w:i/>
          <w:snapToGrid w:val="0"/>
          <w:sz w:val="22"/>
          <w:szCs w:val="22"/>
        </w:rPr>
        <w:t>Consumer comments</w:t>
      </w:r>
    </w:p>
    <w:p w:rsidR="00FE5B1F" w:rsidRPr="00FE5B1F" w:rsidRDefault="00FE5B1F" w:rsidP="0068211C">
      <w:pPr>
        <w:numPr>
          <w:ilvl w:val="1"/>
          <w:numId w:val="1"/>
        </w:numPr>
        <w:contextualSpacing/>
        <w:jc w:val="both"/>
        <w:rPr>
          <w:rFonts w:ascii="Arial" w:hAnsi="Arial" w:cs="Arial"/>
          <w:bCs/>
          <w:snapToGrid w:val="0"/>
          <w:sz w:val="22"/>
          <w:szCs w:val="22"/>
        </w:rPr>
      </w:pPr>
      <w:r w:rsidRPr="00FE5B1F">
        <w:rPr>
          <w:rFonts w:ascii="Arial" w:hAnsi="Arial" w:cs="Arial"/>
          <w:bCs/>
          <w:snapToGrid w:val="0"/>
          <w:sz w:val="22"/>
          <w:szCs w:val="22"/>
        </w:rPr>
        <w:t>The PBAC noted that no consumer comments were received for this item</w:t>
      </w:r>
      <w:r>
        <w:rPr>
          <w:rFonts w:ascii="Arial" w:hAnsi="Arial" w:cs="Arial"/>
          <w:bCs/>
          <w:snapToGrid w:val="0"/>
          <w:sz w:val="22"/>
          <w:szCs w:val="22"/>
        </w:rPr>
        <w:t>.</w:t>
      </w:r>
    </w:p>
    <w:p w:rsidR="00FE5B1F" w:rsidRDefault="00FE5B1F" w:rsidP="0068211C">
      <w:pPr>
        <w:jc w:val="both"/>
        <w:rPr>
          <w:rFonts w:ascii="Arial" w:hAnsi="Arial"/>
          <w:sz w:val="22"/>
          <w:szCs w:val="22"/>
        </w:rPr>
      </w:pPr>
    </w:p>
    <w:p w:rsidR="00D84934" w:rsidRPr="00882085" w:rsidRDefault="00D84934" w:rsidP="0068211C">
      <w:pPr>
        <w:jc w:val="both"/>
        <w:rPr>
          <w:rFonts w:ascii="Arial" w:hAnsi="Arial"/>
          <w:b/>
          <w:i/>
          <w:sz w:val="22"/>
          <w:szCs w:val="22"/>
        </w:rPr>
      </w:pPr>
      <w:r>
        <w:rPr>
          <w:rFonts w:ascii="Arial" w:hAnsi="Arial"/>
          <w:b/>
          <w:i/>
          <w:sz w:val="22"/>
          <w:szCs w:val="22"/>
        </w:rPr>
        <w:t>Clinical trials</w:t>
      </w:r>
    </w:p>
    <w:p w:rsidR="00D84934" w:rsidRPr="00F9629A" w:rsidRDefault="00D84934" w:rsidP="0068211C">
      <w:pPr>
        <w:jc w:val="both"/>
        <w:rPr>
          <w:rFonts w:ascii="Arial" w:hAnsi="Arial"/>
          <w:sz w:val="22"/>
          <w:szCs w:val="22"/>
        </w:rPr>
      </w:pPr>
    </w:p>
    <w:p w:rsidR="0076420C" w:rsidRDefault="008B0E72" w:rsidP="0068211C">
      <w:pPr>
        <w:pStyle w:val="ListParagraph"/>
        <w:numPr>
          <w:ilvl w:val="1"/>
          <w:numId w:val="1"/>
        </w:numPr>
        <w:jc w:val="both"/>
        <w:rPr>
          <w:rFonts w:ascii="Arial" w:hAnsi="Arial"/>
          <w:sz w:val="22"/>
          <w:szCs w:val="22"/>
        </w:rPr>
      </w:pPr>
      <w:r>
        <w:rPr>
          <w:rFonts w:ascii="Arial" w:hAnsi="Arial"/>
          <w:sz w:val="22"/>
          <w:szCs w:val="22"/>
        </w:rPr>
        <w:t xml:space="preserve">As a minor submission, no new </w:t>
      </w:r>
      <w:r w:rsidR="0076420C">
        <w:rPr>
          <w:rFonts w:ascii="Arial" w:hAnsi="Arial"/>
          <w:sz w:val="22"/>
          <w:szCs w:val="22"/>
        </w:rPr>
        <w:t>clinical t</w:t>
      </w:r>
      <w:r>
        <w:rPr>
          <w:rFonts w:ascii="Arial" w:hAnsi="Arial"/>
          <w:sz w:val="22"/>
          <w:szCs w:val="22"/>
        </w:rPr>
        <w:t xml:space="preserve">rials </w:t>
      </w:r>
      <w:r w:rsidR="007E0FFE">
        <w:rPr>
          <w:rFonts w:ascii="Arial" w:hAnsi="Arial"/>
          <w:sz w:val="22"/>
          <w:szCs w:val="22"/>
        </w:rPr>
        <w:t xml:space="preserve">were </w:t>
      </w:r>
      <w:r>
        <w:rPr>
          <w:rFonts w:ascii="Arial" w:hAnsi="Arial"/>
          <w:sz w:val="22"/>
          <w:szCs w:val="22"/>
        </w:rPr>
        <w:t xml:space="preserve">presented in the </w:t>
      </w:r>
      <w:r w:rsidR="0076420C">
        <w:rPr>
          <w:rFonts w:ascii="Arial" w:hAnsi="Arial"/>
          <w:sz w:val="22"/>
          <w:szCs w:val="22"/>
        </w:rPr>
        <w:t>submission.</w:t>
      </w:r>
      <w:r w:rsidR="00B75F54">
        <w:rPr>
          <w:rFonts w:ascii="Arial" w:hAnsi="Arial"/>
          <w:sz w:val="22"/>
          <w:szCs w:val="22"/>
        </w:rPr>
        <w:t xml:space="preserve"> The basis of the submission is the evidence presented in </w:t>
      </w:r>
      <w:r w:rsidR="007E0FFE">
        <w:rPr>
          <w:rFonts w:ascii="Arial" w:hAnsi="Arial"/>
          <w:sz w:val="22"/>
          <w:szCs w:val="22"/>
        </w:rPr>
        <w:t xml:space="preserve">previous submissions for the FDC that demonstrated bioequivalence with the mono-components given concomitantly. The submission stated that an updated literature search did not identify any additional evidence regarding bioequivalence. </w:t>
      </w:r>
    </w:p>
    <w:p w:rsidR="005963BB" w:rsidRDefault="005963BB" w:rsidP="0068211C">
      <w:pPr>
        <w:jc w:val="both"/>
        <w:rPr>
          <w:rFonts w:ascii="Arial" w:hAnsi="Arial"/>
          <w:sz w:val="22"/>
          <w:szCs w:val="22"/>
        </w:rPr>
      </w:pPr>
    </w:p>
    <w:p w:rsidR="00A55FEE" w:rsidRPr="00A55FEE" w:rsidRDefault="008720DE" w:rsidP="0068211C">
      <w:pPr>
        <w:ind w:left="720" w:hanging="720"/>
        <w:jc w:val="both"/>
        <w:rPr>
          <w:rFonts w:ascii="Arial" w:hAnsi="Arial"/>
          <w:b/>
          <w:i/>
          <w:sz w:val="22"/>
          <w:szCs w:val="22"/>
        </w:rPr>
      </w:pPr>
      <w:r>
        <w:rPr>
          <w:rFonts w:ascii="Arial" w:hAnsi="Arial"/>
          <w:b/>
          <w:i/>
          <w:sz w:val="22"/>
          <w:szCs w:val="22"/>
        </w:rPr>
        <w:t>Drug cost/patient/year</w:t>
      </w:r>
    </w:p>
    <w:p w:rsidR="00A55FEE" w:rsidRPr="00A55FEE" w:rsidRDefault="00A55FEE" w:rsidP="0068211C">
      <w:pPr>
        <w:ind w:left="720" w:hanging="720"/>
        <w:jc w:val="both"/>
        <w:rPr>
          <w:rFonts w:ascii="Arial" w:hAnsi="Arial"/>
          <w:b/>
          <w:i/>
          <w:sz w:val="22"/>
          <w:szCs w:val="22"/>
        </w:rPr>
      </w:pPr>
    </w:p>
    <w:p w:rsidR="00A87D38" w:rsidRPr="0020141C" w:rsidRDefault="006A544D" w:rsidP="0068211C">
      <w:pPr>
        <w:pStyle w:val="ListParagraph"/>
        <w:numPr>
          <w:ilvl w:val="1"/>
          <w:numId w:val="1"/>
        </w:numPr>
        <w:jc w:val="both"/>
        <w:rPr>
          <w:rFonts w:ascii="Arial" w:hAnsi="Arial"/>
          <w:sz w:val="22"/>
          <w:szCs w:val="22"/>
        </w:rPr>
      </w:pPr>
      <w:r w:rsidRPr="008F27E7">
        <w:rPr>
          <w:rFonts w:ascii="Arial" w:hAnsi="Arial"/>
          <w:sz w:val="22"/>
          <w:szCs w:val="22"/>
        </w:rPr>
        <w:t>T</w:t>
      </w:r>
      <w:r w:rsidR="0098484A" w:rsidRPr="008F27E7">
        <w:rPr>
          <w:rFonts w:ascii="Arial" w:hAnsi="Arial"/>
          <w:sz w:val="22"/>
          <w:szCs w:val="22"/>
        </w:rPr>
        <w:t xml:space="preserve">he </w:t>
      </w:r>
      <w:r w:rsidR="004B67B6" w:rsidRPr="008F27E7">
        <w:rPr>
          <w:rFonts w:ascii="Arial" w:hAnsi="Arial"/>
          <w:sz w:val="22"/>
          <w:szCs w:val="22"/>
        </w:rPr>
        <w:t xml:space="preserve">submission assumed that the price of </w:t>
      </w:r>
      <w:proofErr w:type="spellStart"/>
      <w:r w:rsidR="00123AB8" w:rsidRPr="008F27E7">
        <w:rPr>
          <w:rFonts w:ascii="Arial" w:hAnsi="Arial"/>
          <w:sz w:val="22"/>
          <w:szCs w:val="22"/>
        </w:rPr>
        <w:t>saxagli</w:t>
      </w:r>
      <w:r w:rsidR="00123AB8">
        <w:rPr>
          <w:rFonts w:ascii="Arial" w:hAnsi="Arial"/>
          <w:sz w:val="22"/>
          <w:szCs w:val="22"/>
        </w:rPr>
        <w:t>pt</w:t>
      </w:r>
      <w:r w:rsidR="00123AB8" w:rsidRPr="008F27E7">
        <w:rPr>
          <w:rFonts w:ascii="Arial" w:hAnsi="Arial"/>
          <w:sz w:val="22"/>
          <w:szCs w:val="22"/>
        </w:rPr>
        <w:t>in</w:t>
      </w:r>
      <w:r w:rsidR="004B67B6" w:rsidRPr="008F27E7">
        <w:rPr>
          <w:rFonts w:ascii="Arial" w:hAnsi="Arial"/>
          <w:sz w:val="22"/>
          <w:szCs w:val="22"/>
        </w:rPr>
        <w:t>+</w:t>
      </w:r>
      <w:r w:rsidR="005D0807" w:rsidRPr="008F27E7">
        <w:rPr>
          <w:rFonts w:ascii="Arial" w:hAnsi="Arial"/>
          <w:sz w:val="22"/>
          <w:szCs w:val="22"/>
        </w:rPr>
        <w:t>MET</w:t>
      </w:r>
      <w:proofErr w:type="spellEnd"/>
      <w:r w:rsidR="00F77DD9" w:rsidRPr="008F27E7">
        <w:rPr>
          <w:rFonts w:ascii="Arial" w:hAnsi="Arial"/>
          <w:sz w:val="22"/>
          <w:szCs w:val="22"/>
        </w:rPr>
        <w:t xml:space="preserve"> XR FDC</w:t>
      </w:r>
      <w:r w:rsidR="004B67B6" w:rsidRPr="008F27E7">
        <w:rPr>
          <w:rFonts w:ascii="Arial" w:hAnsi="Arial"/>
          <w:sz w:val="22"/>
          <w:szCs w:val="22"/>
        </w:rPr>
        <w:t xml:space="preserve"> in triple oral therapy would be identical to the dual therapy indication.</w:t>
      </w:r>
      <w:r w:rsidR="00A87D38" w:rsidRPr="008F27E7">
        <w:rPr>
          <w:rFonts w:ascii="Arial" w:hAnsi="Arial"/>
          <w:sz w:val="22"/>
          <w:szCs w:val="22"/>
        </w:rPr>
        <w:t xml:space="preserve"> </w:t>
      </w:r>
      <w:r w:rsidR="004B67B6" w:rsidRPr="008F27E7">
        <w:rPr>
          <w:rFonts w:ascii="Arial" w:hAnsi="Arial"/>
          <w:sz w:val="22"/>
          <w:szCs w:val="22"/>
        </w:rPr>
        <w:t>The submission noted that</w:t>
      </w:r>
      <w:r w:rsidR="004B67B6">
        <w:rPr>
          <w:rFonts w:ascii="Arial" w:hAnsi="Arial"/>
          <w:sz w:val="22"/>
          <w:szCs w:val="22"/>
        </w:rPr>
        <w:t xml:space="preserve"> this is consistent with the outcomes for </w:t>
      </w:r>
      <w:proofErr w:type="spellStart"/>
      <w:r w:rsidR="004B67B6">
        <w:rPr>
          <w:rFonts w:ascii="Arial" w:hAnsi="Arial"/>
          <w:sz w:val="22"/>
          <w:szCs w:val="22"/>
        </w:rPr>
        <w:t>dapagliflozin</w:t>
      </w:r>
      <w:proofErr w:type="spellEnd"/>
      <w:r w:rsidR="004B67B6">
        <w:rPr>
          <w:rFonts w:ascii="Arial" w:hAnsi="Arial"/>
          <w:sz w:val="22"/>
          <w:szCs w:val="22"/>
        </w:rPr>
        <w:t xml:space="preserve"> in triple oral therapy from the March 2015 meeting</w:t>
      </w:r>
      <w:r w:rsidR="00A87D38">
        <w:rPr>
          <w:rFonts w:ascii="Arial" w:hAnsi="Arial"/>
          <w:sz w:val="22"/>
          <w:szCs w:val="22"/>
        </w:rPr>
        <w:t>.</w:t>
      </w:r>
      <w:r w:rsidR="004B67B6">
        <w:rPr>
          <w:rFonts w:ascii="Arial" w:hAnsi="Arial"/>
          <w:sz w:val="22"/>
          <w:szCs w:val="22"/>
        </w:rPr>
        <w:t xml:space="preserve"> </w:t>
      </w:r>
    </w:p>
    <w:p w:rsidR="004B67B6" w:rsidRPr="0020141C" w:rsidRDefault="004B67B6" w:rsidP="0068211C">
      <w:pPr>
        <w:jc w:val="both"/>
        <w:rPr>
          <w:rFonts w:ascii="Arial" w:hAnsi="Arial"/>
          <w:sz w:val="22"/>
          <w:szCs w:val="22"/>
        </w:rPr>
      </w:pPr>
    </w:p>
    <w:p w:rsidR="00A55FEE" w:rsidRDefault="004B67B6" w:rsidP="0068211C">
      <w:pPr>
        <w:pStyle w:val="ListParagraph"/>
        <w:numPr>
          <w:ilvl w:val="1"/>
          <w:numId w:val="1"/>
        </w:numPr>
        <w:jc w:val="both"/>
        <w:rPr>
          <w:rFonts w:ascii="Arial" w:hAnsi="Arial"/>
          <w:sz w:val="22"/>
          <w:szCs w:val="22"/>
        </w:rPr>
      </w:pPr>
      <w:r>
        <w:rPr>
          <w:rFonts w:ascii="Arial" w:hAnsi="Arial"/>
          <w:sz w:val="22"/>
          <w:szCs w:val="22"/>
        </w:rPr>
        <w:t xml:space="preserve">The requested </w:t>
      </w:r>
      <w:r w:rsidR="00A87D38">
        <w:rPr>
          <w:rFonts w:ascii="Arial" w:hAnsi="Arial"/>
          <w:sz w:val="22"/>
          <w:szCs w:val="22"/>
        </w:rPr>
        <w:t xml:space="preserve">price for </w:t>
      </w:r>
      <w:proofErr w:type="spellStart"/>
      <w:r w:rsidR="00DA17C5">
        <w:rPr>
          <w:rFonts w:ascii="Arial" w:hAnsi="Arial"/>
          <w:sz w:val="22"/>
          <w:szCs w:val="22"/>
        </w:rPr>
        <w:t>saxagliptin+</w:t>
      </w:r>
      <w:r w:rsidR="005D0807">
        <w:rPr>
          <w:rFonts w:ascii="Arial" w:hAnsi="Arial"/>
          <w:sz w:val="22"/>
          <w:szCs w:val="22"/>
        </w:rPr>
        <w:t>MET</w:t>
      </w:r>
      <w:proofErr w:type="spellEnd"/>
      <w:r w:rsidR="00DA17C5">
        <w:rPr>
          <w:rFonts w:ascii="Arial" w:hAnsi="Arial"/>
          <w:sz w:val="22"/>
          <w:szCs w:val="22"/>
        </w:rPr>
        <w:t xml:space="preserve"> </w:t>
      </w:r>
      <w:r w:rsidR="00F77DD9">
        <w:rPr>
          <w:rFonts w:ascii="Arial" w:hAnsi="Arial"/>
          <w:sz w:val="22"/>
          <w:szCs w:val="22"/>
        </w:rPr>
        <w:t xml:space="preserve">XR FDC </w:t>
      </w:r>
      <w:r w:rsidR="00AC0579">
        <w:rPr>
          <w:rFonts w:ascii="Arial" w:hAnsi="Arial"/>
          <w:sz w:val="22"/>
          <w:szCs w:val="22"/>
        </w:rPr>
        <w:t xml:space="preserve">(based on the then DPMQ for the dual therapy indication) </w:t>
      </w:r>
      <w:r w:rsidR="00DA17C5">
        <w:rPr>
          <w:rFonts w:ascii="Arial" w:hAnsi="Arial"/>
          <w:sz w:val="22"/>
          <w:szCs w:val="22"/>
        </w:rPr>
        <w:t xml:space="preserve">is summarised in the </w:t>
      </w:r>
      <w:r w:rsidR="0068211C">
        <w:rPr>
          <w:rFonts w:ascii="Arial" w:hAnsi="Arial"/>
          <w:sz w:val="22"/>
          <w:szCs w:val="22"/>
        </w:rPr>
        <w:t xml:space="preserve">following </w:t>
      </w:r>
      <w:r w:rsidR="00DA17C5">
        <w:rPr>
          <w:rFonts w:ascii="Arial" w:hAnsi="Arial"/>
          <w:sz w:val="22"/>
          <w:szCs w:val="22"/>
        </w:rPr>
        <w:t>table.</w:t>
      </w:r>
    </w:p>
    <w:p w:rsidR="00DA17C5" w:rsidRPr="00DA17C5" w:rsidRDefault="00DA17C5" w:rsidP="0068211C">
      <w:pPr>
        <w:pStyle w:val="ListParagraph"/>
        <w:rPr>
          <w:rFonts w:ascii="Arial" w:hAnsi="Arial"/>
          <w:sz w:val="22"/>
          <w:szCs w:val="22"/>
        </w:rPr>
      </w:pPr>
    </w:p>
    <w:p w:rsidR="00DA17C5" w:rsidRPr="0036709B" w:rsidRDefault="00DA17C5" w:rsidP="0068211C">
      <w:pPr>
        <w:pStyle w:val="Caption"/>
        <w:keepLines/>
        <w:spacing w:after="0"/>
        <w:ind w:left="720"/>
        <w:jc w:val="both"/>
        <w:rPr>
          <w:rFonts w:ascii="Arial Narrow" w:hAnsi="Arial Narrow" w:cs="Arial"/>
          <w:sz w:val="20"/>
          <w:szCs w:val="20"/>
          <w:lang w:val="en-GB"/>
        </w:rPr>
      </w:pPr>
      <w:bookmarkStart w:id="1" w:name="_Ref417294927"/>
      <w:r w:rsidRPr="0036709B">
        <w:rPr>
          <w:rFonts w:ascii="Arial Narrow" w:hAnsi="Arial Narrow" w:cs="Arial"/>
          <w:sz w:val="20"/>
          <w:szCs w:val="20"/>
        </w:rPr>
        <w:t xml:space="preserve">Table </w:t>
      </w:r>
      <w:bookmarkEnd w:id="1"/>
      <w:r w:rsidRPr="0036709B">
        <w:rPr>
          <w:rFonts w:ascii="Arial Narrow" w:hAnsi="Arial Narrow" w:cs="Arial"/>
          <w:sz w:val="20"/>
          <w:szCs w:val="20"/>
        </w:rPr>
        <w:t>1</w:t>
      </w:r>
      <w:r w:rsidRPr="0036709B">
        <w:rPr>
          <w:rFonts w:ascii="Arial Narrow" w:hAnsi="Arial Narrow" w:cs="Arial"/>
          <w:sz w:val="20"/>
          <w:szCs w:val="20"/>
          <w:lang w:val="en-GB"/>
        </w:rPr>
        <w:t xml:space="preserve">: </w:t>
      </w:r>
      <w:r w:rsidRPr="0036709B">
        <w:rPr>
          <w:rFonts w:ascii="Arial Narrow" w:hAnsi="Arial Narrow" w:cs="Arial"/>
          <w:sz w:val="20"/>
          <w:szCs w:val="20"/>
        </w:rPr>
        <w:t>Requested price by dose for 28 days of treatment as triple oral therapy in combination with a sulfonylurea</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850"/>
        <w:gridCol w:w="2126"/>
      </w:tblGrid>
      <w:tr w:rsidR="00DA17C5" w:rsidRPr="00C57545" w:rsidTr="00DA17C5">
        <w:tc>
          <w:tcPr>
            <w:tcW w:w="5387" w:type="dxa"/>
            <w:shd w:val="clear" w:color="auto" w:fill="auto"/>
          </w:tcPr>
          <w:p w:rsidR="00DA17C5" w:rsidRPr="00C57545" w:rsidRDefault="00DA17C5" w:rsidP="0068211C">
            <w:pPr>
              <w:keepLines/>
              <w:jc w:val="both"/>
              <w:rPr>
                <w:rFonts w:ascii="Arial Narrow" w:hAnsi="Arial Narrow" w:cs="Arial"/>
                <w:b/>
                <w:sz w:val="20"/>
                <w:szCs w:val="20"/>
                <w:lang w:val="en-GB"/>
              </w:rPr>
            </w:pPr>
          </w:p>
        </w:tc>
        <w:tc>
          <w:tcPr>
            <w:tcW w:w="850" w:type="dxa"/>
            <w:shd w:val="clear" w:color="auto" w:fill="auto"/>
          </w:tcPr>
          <w:p w:rsidR="00DA17C5" w:rsidRPr="00C57545" w:rsidRDefault="00DA17C5" w:rsidP="0068211C">
            <w:pPr>
              <w:keepLines/>
              <w:jc w:val="center"/>
              <w:rPr>
                <w:rFonts w:ascii="Arial Narrow" w:hAnsi="Arial Narrow" w:cs="Arial"/>
                <w:b/>
                <w:sz w:val="20"/>
                <w:szCs w:val="20"/>
                <w:lang w:val="en-GB"/>
              </w:rPr>
            </w:pPr>
            <w:r w:rsidRPr="00C57545">
              <w:rPr>
                <w:rFonts w:ascii="Arial Narrow" w:hAnsi="Arial Narrow" w:cs="Arial"/>
                <w:b/>
                <w:sz w:val="20"/>
                <w:szCs w:val="20"/>
                <w:lang w:val="en-GB"/>
              </w:rPr>
              <w:t>DPMQ</w:t>
            </w:r>
          </w:p>
        </w:tc>
        <w:tc>
          <w:tcPr>
            <w:tcW w:w="2126" w:type="dxa"/>
            <w:shd w:val="clear" w:color="auto" w:fill="auto"/>
          </w:tcPr>
          <w:p w:rsidR="00DA17C5" w:rsidRPr="00E27938" w:rsidRDefault="00DA17C5" w:rsidP="0068211C">
            <w:pPr>
              <w:keepLines/>
              <w:jc w:val="center"/>
              <w:rPr>
                <w:rFonts w:ascii="Arial Narrow" w:hAnsi="Arial Narrow" w:cs="Arial"/>
                <w:b/>
                <w:sz w:val="20"/>
                <w:szCs w:val="20"/>
                <w:vertAlign w:val="superscript"/>
                <w:lang w:val="en-GB"/>
              </w:rPr>
            </w:pPr>
            <w:r w:rsidRPr="00E27938">
              <w:rPr>
                <w:rFonts w:ascii="Arial Narrow" w:hAnsi="Arial Narrow" w:cs="Arial"/>
                <w:b/>
                <w:sz w:val="20"/>
                <w:szCs w:val="20"/>
                <w:lang w:val="en-GB"/>
              </w:rPr>
              <w:t>Drug cost/patient/year</w:t>
            </w:r>
            <w:r w:rsidR="0068211C">
              <w:rPr>
                <w:rFonts w:ascii="Arial Narrow" w:hAnsi="Arial Narrow" w:cs="Arial"/>
                <w:b/>
                <w:sz w:val="20"/>
                <w:szCs w:val="20"/>
                <w:vertAlign w:val="superscript"/>
                <w:lang w:val="en-GB"/>
              </w:rPr>
              <w:t>*</w:t>
            </w:r>
          </w:p>
        </w:tc>
      </w:tr>
      <w:tr w:rsidR="00DA17C5" w:rsidRPr="00C57545" w:rsidTr="00DA17C5">
        <w:tc>
          <w:tcPr>
            <w:tcW w:w="5387" w:type="dxa"/>
            <w:shd w:val="clear" w:color="auto" w:fill="auto"/>
          </w:tcPr>
          <w:p w:rsidR="00DA17C5" w:rsidRPr="00C57545" w:rsidRDefault="00DA17C5" w:rsidP="0068211C">
            <w:pPr>
              <w:keepLines/>
              <w:jc w:val="both"/>
              <w:rPr>
                <w:rFonts w:ascii="Arial Narrow" w:hAnsi="Arial Narrow" w:cs="Arial"/>
                <w:b/>
                <w:sz w:val="20"/>
                <w:szCs w:val="20"/>
                <w:lang w:val="en-GB"/>
              </w:rPr>
            </w:pPr>
            <w:r w:rsidRPr="00C57545">
              <w:rPr>
                <w:rFonts w:ascii="Arial Narrow" w:hAnsi="Arial Narrow" w:cs="Arial"/>
                <w:sz w:val="20"/>
                <w:szCs w:val="20"/>
                <w:lang w:val="en-GB"/>
              </w:rPr>
              <w:t xml:space="preserve">5 mg </w:t>
            </w:r>
            <w:proofErr w:type="spellStart"/>
            <w:r w:rsidRPr="00C57545">
              <w:rPr>
                <w:rFonts w:ascii="Arial Narrow" w:hAnsi="Arial Narrow" w:cs="Arial"/>
                <w:sz w:val="20"/>
                <w:szCs w:val="20"/>
                <w:lang w:val="en-GB"/>
              </w:rPr>
              <w:t>saxagliptin</w:t>
            </w:r>
            <w:proofErr w:type="spellEnd"/>
            <w:r w:rsidR="00893454" w:rsidRPr="00C57545">
              <w:rPr>
                <w:rFonts w:ascii="Arial Narrow" w:hAnsi="Arial Narrow" w:cs="Arial"/>
                <w:sz w:val="20"/>
                <w:szCs w:val="20"/>
                <w:lang w:val="en-GB"/>
              </w:rPr>
              <w:t xml:space="preserve"> / 500 mg metformin XR</w:t>
            </w:r>
            <w:r w:rsidR="00C57545">
              <w:rPr>
                <w:rFonts w:ascii="Arial Narrow" w:hAnsi="Arial Narrow" w:cs="Arial"/>
                <w:sz w:val="20"/>
                <w:szCs w:val="20"/>
                <w:lang w:val="en-GB"/>
              </w:rPr>
              <w:t>,</w:t>
            </w:r>
            <w:r w:rsidRPr="00C57545">
              <w:rPr>
                <w:rFonts w:ascii="Arial Narrow" w:hAnsi="Arial Narrow" w:cs="Arial"/>
                <w:sz w:val="20"/>
                <w:szCs w:val="20"/>
                <w:lang w:val="en-GB"/>
              </w:rPr>
              <w:t xml:space="preserve"> 28</w:t>
            </w:r>
          </w:p>
        </w:tc>
        <w:tc>
          <w:tcPr>
            <w:tcW w:w="850" w:type="dxa"/>
            <w:shd w:val="clear" w:color="auto" w:fill="auto"/>
          </w:tcPr>
          <w:p w:rsidR="00DA17C5" w:rsidRPr="008F27E7" w:rsidRDefault="00DA17C5" w:rsidP="0068211C">
            <w:pPr>
              <w:keepLines/>
              <w:jc w:val="center"/>
              <w:rPr>
                <w:rFonts w:ascii="Arial Narrow" w:hAnsi="Arial Narrow" w:cs="Arial"/>
                <w:sz w:val="20"/>
                <w:szCs w:val="20"/>
                <w:lang w:val="en-GB"/>
              </w:rPr>
            </w:pPr>
            <w:r w:rsidRPr="008F27E7">
              <w:rPr>
                <w:rFonts w:ascii="Arial Narrow" w:hAnsi="Arial Narrow" w:cs="Arial"/>
                <w:sz w:val="20"/>
                <w:szCs w:val="20"/>
                <w:lang w:val="en-GB"/>
              </w:rPr>
              <w:t>$</w:t>
            </w:r>
            <w:r w:rsidR="00192A94">
              <w:rPr>
                <w:rFonts w:ascii="Arial Narrow" w:hAnsi="Arial Narrow" w:cs="Arial"/>
                <w:noProof/>
                <w:color w:val="000000"/>
                <w:sz w:val="20"/>
                <w:szCs w:val="20"/>
                <w:highlight w:val="black"/>
                <w:lang w:val="en-GB"/>
              </w:rPr>
              <w:t>'''''''''''''</w:t>
            </w:r>
          </w:p>
        </w:tc>
        <w:tc>
          <w:tcPr>
            <w:tcW w:w="2126" w:type="dxa"/>
            <w:shd w:val="clear" w:color="auto" w:fill="auto"/>
          </w:tcPr>
          <w:p w:rsidR="00DA17C5" w:rsidRPr="008F27E7" w:rsidRDefault="00DA17C5" w:rsidP="0068211C">
            <w:pPr>
              <w:keepLines/>
              <w:jc w:val="center"/>
              <w:rPr>
                <w:rFonts w:ascii="Arial Narrow" w:hAnsi="Arial Narrow" w:cs="Arial"/>
                <w:sz w:val="20"/>
                <w:szCs w:val="20"/>
                <w:lang w:val="en-GB"/>
              </w:rPr>
            </w:pPr>
            <w:r w:rsidRPr="008F27E7">
              <w:rPr>
                <w:rFonts w:ascii="Arial Narrow" w:hAnsi="Arial Narrow" w:cs="Arial"/>
                <w:sz w:val="20"/>
                <w:szCs w:val="20"/>
                <w:lang w:val="en-GB"/>
              </w:rPr>
              <w:t>$</w:t>
            </w:r>
            <w:r w:rsidR="00192A94">
              <w:rPr>
                <w:rFonts w:ascii="Arial Narrow" w:hAnsi="Arial Narrow" w:cs="Arial"/>
                <w:noProof/>
                <w:color w:val="000000"/>
                <w:sz w:val="20"/>
                <w:szCs w:val="20"/>
                <w:highlight w:val="black"/>
                <w:lang w:val="en-GB"/>
              </w:rPr>
              <w:t>''''''''''''''''</w:t>
            </w:r>
          </w:p>
        </w:tc>
      </w:tr>
      <w:tr w:rsidR="00DA17C5" w:rsidRPr="00C57545" w:rsidTr="00DA17C5">
        <w:tc>
          <w:tcPr>
            <w:tcW w:w="5387" w:type="dxa"/>
            <w:shd w:val="clear" w:color="auto" w:fill="auto"/>
          </w:tcPr>
          <w:p w:rsidR="00DA17C5" w:rsidRPr="00C57545" w:rsidRDefault="00DA17C5" w:rsidP="0068211C">
            <w:pPr>
              <w:keepLines/>
              <w:jc w:val="both"/>
              <w:rPr>
                <w:rFonts w:ascii="Arial Narrow" w:hAnsi="Arial Narrow" w:cs="Arial"/>
                <w:b/>
                <w:sz w:val="20"/>
                <w:szCs w:val="20"/>
                <w:lang w:val="en-GB"/>
              </w:rPr>
            </w:pPr>
            <w:r w:rsidRPr="00C57545">
              <w:rPr>
                <w:rFonts w:ascii="Arial Narrow" w:hAnsi="Arial Narrow" w:cs="Arial"/>
                <w:sz w:val="20"/>
                <w:szCs w:val="20"/>
                <w:lang w:val="en-GB"/>
              </w:rPr>
              <w:t xml:space="preserve">5 mg </w:t>
            </w:r>
            <w:proofErr w:type="spellStart"/>
            <w:r w:rsidRPr="00C57545">
              <w:rPr>
                <w:rFonts w:ascii="Arial Narrow" w:hAnsi="Arial Narrow" w:cs="Arial"/>
                <w:sz w:val="20"/>
                <w:szCs w:val="20"/>
                <w:lang w:val="en-GB"/>
              </w:rPr>
              <w:t>saxagliptin</w:t>
            </w:r>
            <w:proofErr w:type="spellEnd"/>
            <w:r w:rsidRPr="00C57545">
              <w:rPr>
                <w:rFonts w:ascii="Arial Narrow" w:hAnsi="Arial Narrow" w:cs="Arial"/>
                <w:sz w:val="20"/>
                <w:szCs w:val="20"/>
                <w:lang w:val="en-GB"/>
              </w:rPr>
              <w:t xml:space="preserve"> </w:t>
            </w:r>
            <w:r w:rsidR="00893454" w:rsidRPr="00C57545">
              <w:rPr>
                <w:rFonts w:ascii="Arial Narrow" w:hAnsi="Arial Narrow" w:cs="Arial"/>
                <w:sz w:val="20"/>
                <w:szCs w:val="20"/>
                <w:lang w:val="en-GB"/>
              </w:rPr>
              <w:t>/ 1000 mg metformin XR</w:t>
            </w:r>
            <w:r w:rsidR="00C57545">
              <w:rPr>
                <w:rFonts w:ascii="Arial Narrow" w:hAnsi="Arial Narrow" w:cs="Arial"/>
                <w:sz w:val="20"/>
                <w:szCs w:val="20"/>
                <w:lang w:val="en-GB"/>
              </w:rPr>
              <w:t>,</w:t>
            </w:r>
            <w:r w:rsidRPr="00C57545">
              <w:rPr>
                <w:rFonts w:ascii="Arial Narrow" w:hAnsi="Arial Narrow" w:cs="Arial"/>
                <w:sz w:val="20"/>
                <w:szCs w:val="20"/>
                <w:lang w:val="en-GB"/>
              </w:rPr>
              <w:t xml:space="preserve"> 28</w:t>
            </w:r>
          </w:p>
        </w:tc>
        <w:tc>
          <w:tcPr>
            <w:tcW w:w="850" w:type="dxa"/>
            <w:shd w:val="clear" w:color="auto" w:fill="auto"/>
          </w:tcPr>
          <w:p w:rsidR="00DA17C5" w:rsidRPr="008F27E7" w:rsidRDefault="00DA17C5" w:rsidP="0068211C">
            <w:pPr>
              <w:keepLines/>
              <w:jc w:val="center"/>
              <w:rPr>
                <w:rFonts w:ascii="Arial Narrow" w:hAnsi="Arial Narrow" w:cs="Arial"/>
                <w:sz w:val="20"/>
                <w:szCs w:val="20"/>
                <w:lang w:val="en-GB"/>
              </w:rPr>
            </w:pPr>
            <w:r w:rsidRPr="008F27E7">
              <w:rPr>
                <w:rFonts w:ascii="Arial Narrow" w:hAnsi="Arial Narrow" w:cs="Arial"/>
                <w:sz w:val="20"/>
                <w:szCs w:val="20"/>
                <w:lang w:val="en-GB"/>
              </w:rPr>
              <w:t>$</w:t>
            </w:r>
            <w:r w:rsidR="00192A94">
              <w:rPr>
                <w:rFonts w:ascii="Arial Narrow" w:hAnsi="Arial Narrow" w:cs="Arial"/>
                <w:noProof/>
                <w:color w:val="000000"/>
                <w:sz w:val="20"/>
                <w:szCs w:val="20"/>
                <w:highlight w:val="black"/>
                <w:lang w:val="en-GB"/>
              </w:rPr>
              <w:t>'''''''''''''</w:t>
            </w:r>
          </w:p>
        </w:tc>
        <w:tc>
          <w:tcPr>
            <w:tcW w:w="2126" w:type="dxa"/>
            <w:shd w:val="clear" w:color="auto" w:fill="auto"/>
          </w:tcPr>
          <w:p w:rsidR="00DA17C5" w:rsidRPr="008F27E7" w:rsidRDefault="00DA17C5" w:rsidP="0068211C">
            <w:pPr>
              <w:keepLines/>
              <w:jc w:val="center"/>
              <w:rPr>
                <w:rFonts w:ascii="Arial Narrow" w:hAnsi="Arial Narrow" w:cs="Arial"/>
                <w:sz w:val="20"/>
                <w:szCs w:val="20"/>
                <w:lang w:val="en-GB"/>
              </w:rPr>
            </w:pPr>
            <w:r w:rsidRPr="008F27E7">
              <w:rPr>
                <w:rFonts w:ascii="Arial Narrow" w:hAnsi="Arial Narrow" w:cs="Arial"/>
                <w:sz w:val="20"/>
                <w:szCs w:val="20"/>
                <w:lang w:val="en-GB"/>
              </w:rPr>
              <w:t>$</w:t>
            </w:r>
            <w:r w:rsidR="00192A94">
              <w:rPr>
                <w:rFonts w:ascii="Arial Narrow" w:hAnsi="Arial Narrow" w:cs="Arial"/>
                <w:noProof/>
                <w:color w:val="000000"/>
                <w:sz w:val="20"/>
                <w:szCs w:val="20"/>
                <w:highlight w:val="black"/>
                <w:lang w:val="en-GB"/>
              </w:rPr>
              <w:t>'''''''''''''''''</w:t>
            </w:r>
          </w:p>
        </w:tc>
      </w:tr>
      <w:tr w:rsidR="00DA17C5" w:rsidRPr="00C57545" w:rsidTr="00DA17C5">
        <w:tc>
          <w:tcPr>
            <w:tcW w:w="5387" w:type="dxa"/>
            <w:shd w:val="clear" w:color="auto" w:fill="auto"/>
          </w:tcPr>
          <w:p w:rsidR="00DA17C5" w:rsidRPr="00C57545" w:rsidRDefault="00DA17C5" w:rsidP="0068211C">
            <w:pPr>
              <w:keepLines/>
              <w:jc w:val="both"/>
              <w:rPr>
                <w:rFonts w:ascii="Arial Narrow" w:hAnsi="Arial Narrow" w:cs="Arial"/>
                <w:b/>
                <w:sz w:val="20"/>
                <w:szCs w:val="20"/>
                <w:lang w:val="en-GB"/>
              </w:rPr>
            </w:pPr>
            <w:r w:rsidRPr="00C57545">
              <w:rPr>
                <w:rFonts w:ascii="Arial Narrow" w:hAnsi="Arial Narrow" w:cs="Arial"/>
                <w:sz w:val="20"/>
                <w:szCs w:val="20"/>
                <w:lang w:val="en-GB"/>
              </w:rPr>
              <w:t xml:space="preserve">2.5 mg </w:t>
            </w:r>
            <w:proofErr w:type="spellStart"/>
            <w:r w:rsidRPr="00C57545">
              <w:rPr>
                <w:rFonts w:ascii="Arial Narrow" w:hAnsi="Arial Narrow" w:cs="Arial"/>
                <w:sz w:val="20"/>
                <w:szCs w:val="20"/>
                <w:lang w:val="en-GB"/>
              </w:rPr>
              <w:t>saxagliptin</w:t>
            </w:r>
            <w:proofErr w:type="spellEnd"/>
            <w:r w:rsidR="00893454" w:rsidRPr="00C57545">
              <w:rPr>
                <w:rFonts w:ascii="Arial Narrow" w:hAnsi="Arial Narrow" w:cs="Arial"/>
                <w:sz w:val="20"/>
                <w:szCs w:val="20"/>
                <w:lang w:val="en-GB"/>
              </w:rPr>
              <w:t xml:space="preserve"> / 1000 mg metformin XR</w:t>
            </w:r>
            <w:r w:rsidR="00C57545">
              <w:rPr>
                <w:rFonts w:ascii="Arial Narrow" w:hAnsi="Arial Narrow" w:cs="Arial"/>
                <w:sz w:val="20"/>
                <w:szCs w:val="20"/>
                <w:lang w:val="en-GB"/>
              </w:rPr>
              <w:t>,</w:t>
            </w:r>
            <w:r w:rsidRPr="00C57545">
              <w:rPr>
                <w:rFonts w:ascii="Arial Narrow" w:hAnsi="Arial Narrow" w:cs="Arial"/>
                <w:sz w:val="20"/>
                <w:szCs w:val="20"/>
                <w:lang w:val="en-GB"/>
              </w:rPr>
              <w:t xml:space="preserve"> 56</w:t>
            </w:r>
          </w:p>
        </w:tc>
        <w:tc>
          <w:tcPr>
            <w:tcW w:w="850" w:type="dxa"/>
            <w:shd w:val="clear" w:color="auto" w:fill="auto"/>
          </w:tcPr>
          <w:p w:rsidR="00DA17C5" w:rsidRPr="008F27E7" w:rsidRDefault="00DA17C5" w:rsidP="0068211C">
            <w:pPr>
              <w:keepLines/>
              <w:jc w:val="center"/>
              <w:rPr>
                <w:rFonts w:ascii="Arial Narrow" w:hAnsi="Arial Narrow" w:cs="Arial"/>
                <w:sz w:val="20"/>
                <w:szCs w:val="20"/>
                <w:lang w:val="en-GB"/>
              </w:rPr>
            </w:pPr>
            <w:r w:rsidRPr="008F27E7">
              <w:rPr>
                <w:rFonts w:ascii="Arial Narrow" w:hAnsi="Arial Narrow" w:cs="Arial"/>
                <w:sz w:val="20"/>
                <w:szCs w:val="20"/>
                <w:lang w:val="en-GB"/>
              </w:rPr>
              <w:t>$</w:t>
            </w:r>
            <w:r w:rsidR="00192A94">
              <w:rPr>
                <w:rFonts w:ascii="Arial Narrow" w:hAnsi="Arial Narrow" w:cs="Arial"/>
                <w:noProof/>
                <w:color w:val="000000"/>
                <w:sz w:val="20"/>
                <w:szCs w:val="20"/>
                <w:highlight w:val="black"/>
                <w:lang w:val="en-GB"/>
              </w:rPr>
              <w:t>'''''''''''''</w:t>
            </w:r>
          </w:p>
        </w:tc>
        <w:tc>
          <w:tcPr>
            <w:tcW w:w="2126" w:type="dxa"/>
            <w:shd w:val="clear" w:color="auto" w:fill="auto"/>
          </w:tcPr>
          <w:p w:rsidR="00DA17C5" w:rsidRPr="008F27E7" w:rsidRDefault="00DA17C5" w:rsidP="0068211C">
            <w:pPr>
              <w:keepLines/>
              <w:jc w:val="center"/>
              <w:rPr>
                <w:rFonts w:ascii="Arial Narrow" w:hAnsi="Arial Narrow" w:cs="Arial"/>
                <w:sz w:val="20"/>
                <w:szCs w:val="20"/>
                <w:lang w:val="en-GB"/>
              </w:rPr>
            </w:pPr>
            <w:r w:rsidRPr="008F27E7">
              <w:rPr>
                <w:rFonts w:ascii="Arial Narrow" w:hAnsi="Arial Narrow" w:cs="Arial"/>
                <w:sz w:val="20"/>
                <w:szCs w:val="20"/>
                <w:lang w:val="en-GB"/>
              </w:rPr>
              <w:t>$</w:t>
            </w:r>
            <w:r w:rsidR="00192A94">
              <w:rPr>
                <w:rFonts w:ascii="Arial Narrow" w:hAnsi="Arial Narrow" w:cs="Arial"/>
                <w:noProof/>
                <w:color w:val="000000"/>
                <w:sz w:val="20"/>
                <w:szCs w:val="20"/>
                <w:highlight w:val="black"/>
                <w:lang w:val="en-GB"/>
              </w:rPr>
              <w:t>'''''''''''''''''</w:t>
            </w:r>
          </w:p>
        </w:tc>
      </w:tr>
    </w:tbl>
    <w:p w:rsidR="00DA17C5" w:rsidRPr="00537592" w:rsidRDefault="00DA17C5" w:rsidP="0068211C">
      <w:pPr>
        <w:keepLines/>
        <w:ind w:left="720"/>
        <w:jc w:val="both"/>
        <w:rPr>
          <w:rFonts w:ascii="Arial Narrow" w:hAnsi="Arial Narrow" w:cs="Arial"/>
          <w:i/>
          <w:sz w:val="18"/>
          <w:szCs w:val="20"/>
          <w:lang w:val="en-GB"/>
        </w:rPr>
      </w:pPr>
      <w:proofErr w:type="gramStart"/>
      <w:r w:rsidRPr="00537592">
        <w:rPr>
          <w:rFonts w:ascii="Arial Narrow" w:hAnsi="Arial Narrow" w:cs="Arial"/>
          <w:sz w:val="18"/>
          <w:szCs w:val="20"/>
          <w:lang w:val="en-GB"/>
        </w:rPr>
        <w:t>Adapted from Table 2, pg.4 of the submission.</w:t>
      </w:r>
      <w:proofErr w:type="gramEnd"/>
      <w:r w:rsidRPr="00537592">
        <w:rPr>
          <w:rFonts w:ascii="Arial Narrow" w:hAnsi="Arial Narrow" w:cs="Arial"/>
          <w:sz w:val="18"/>
          <w:szCs w:val="20"/>
          <w:lang w:val="en-GB"/>
        </w:rPr>
        <w:t xml:space="preserve"> Abbreviations: DPMQ, dispensed price maximum quantity; mg, milligrams; XR, extended release</w:t>
      </w:r>
      <w:r w:rsidRPr="00537592">
        <w:rPr>
          <w:rFonts w:ascii="Arial Narrow" w:hAnsi="Arial Narrow" w:cs="Arial"/>
          <w:i/>
          <w:sz w:val="18"/>
          <w:szCs w:val="20"/>
          <w:lang w:val="en-GB"/>
        </w:rPr>
        <w:t>.</w:t>
      </w:r>
    </w:p>
    <w:p w:rsidR="00CB15F2" w:rsidRPr="0068211C" w:rsidRDefault="00DA17C5" w:rsidP="0068211C">
      <w:pPr>
        <w:keepLines/>
        <w:ind w:left="720"/>
        <w:jc w:val="both"/>
        <w:rPr>
          <w:rFonts w:ascii="Arial Narrow" w:hAnsi="Arial Narrow" w:cs="Arial"/>
          <w:sz w:val="18"/>
          <w:szCs w:val="20"/>
          <w:lang w:val="en-GB"/>
        </w:rPr>
      </w:pPr>
      <w:r w:rsidRPr="0068211C">
        <w:rPr>
          <w:rFonts w:ascii="Arial Narrow" w:hAnsi="Arial Narrow" w:cs="Arial"/>
          <w:sz w:val="18"/>
          <w:szCs w:val="20"/>
          <w:vertAlign w:val="superscript"/>
          <w:lang w:val="en-GB"/>
        </w:rPr>
        <w:t>*</w:t>
      </w:r>
      <w:r w:rsidRPr="0068211C">
        <w:rPr>
          <w:rFonts w:ascii="Arial Narrow" w:hAnsi="Arial Narrow" w:cs="Arial"/>
          <w:sz w:val="18"/>
          <w:szCs w:val="20"/>
          <w:lang w:val="en-GB"/>
        </w:rPr>
        <w:t>Assuming 13.04 packs per year</w:t>
      </w:r>
    </w:p>
    <w:p w:rsidR="00A55FEE" w:rsidRDefault="00A55FEE" w:rsidP="0068211C">
      <w:pPr>
        <w:ind w:left="720" w:hanging="720"/>
        <w:jc w:val="both"/>
        <w:rPr>
          <w:rFonts w:ascii="Arial" w:hAnsi="Arial"/>
          <w:b/>
          <w:i/>
          <w:sz w:val="22"/>
          <w:szCs w:val="22"/>
        </w:rPr>
      </w:pPr>
    </w:p>
    <w:p w:rsidR="005A3173" w:rsidRPr="00882085" w:rsidRDefault="005A3173" w:rsidP="0068211C">
      <w:pPr>
        <w:keepNext/>
        <w:ind w:left="720" w:hanging="720"/>
        <w:jc w:val="both"/>
        <w:rPr>
          <w:rFonts w:ascii="Arial" w:hAnsi="Arial"/>
          <w:b/>
          <w:i/>
          <w:sz w:val="22"/>
          <w:szCs w:val="22"/>
        </w:rPr>
      </w:pPr>
      <w:r w:rsidRPr="00882085">
        <w:rPr>
          <w:rFonts w:ascii="Arial" w:hAnsi="Arial"/>
          <w:b/>
          <w:i/>
          <w:sz w:val="22"/>
          <w:szCs w:val="22"/>
        </w:rPr>
        <w:t>Estimated PBS usage &amp; financial implications</w:t>
      </w:r>
    </w:p>
    <w:p w:rsidR="005A3173" w:rsidRPr="00882085" w:rsidRDefault="005A3173" w:rsidP="0068211C">
      <w:pPr>
        <w:keepNext/>
        <w:ind w:left="720" w:hanging="720"/>
        <w:jc w:val="both"/>
        <w:rPr>
          <w:rFonts w:ascii="Arial" w:hAnsi="Arial"/>
          <w:b/>
          <w:i/>
          <w:sz w:val="22"/>
          <w:szCs w:val="22"/>
        </w:rPr>
      </w:pPr>
    </w:p>
    <w:p w:rsidR="0004184D" w:rsidRDefault="001977D5" w:rsidP="0068211C">
      <w:pPr>
        <w:pStyle w:val="ListParagraph"/>
        <w:numPr>
          <w:ilvl w:val="1"/>
          <w:numId w:val="1"/>
        </w:numPr>
        <w:jc w:val="both"/>
        <w:rPr>
          <w:rFonts w:ascii="Arial" w:hAnsi="Arial"/>
          <w:sz w:val="22"/>
          <w:szCs w:val="22"/>
        </w:rPr>
      </w:pPr>
      <w:r w:rsidRPr="0039262B">
        <w:rPr>
          <w:rFonts w:ascii="Arial" w:hAnsi="Arial"/>
          <w:sz w:val="22"/>
          <w:szCs w:val="22"/>
        </w:rPr>
        <w:t xml:space="preserve">The submission presented a market share approach. This </w:t>
      </w:r>
      <w:r w:rsidR="00B263AD">
        <w:rPr>
          <w:rFonts w:ascii="Arial" w:hAnsi="Arial"/>
          <w:sz w:val="22"/>
          <w:szCs w:val="22"/>
        </w:rPr>
        <w:t>wa</w:t>
      </w:r>
      <w:r w:rsidRPr="0039262B">
        <w:rPr>
          <w:rFonts w:ascii="Arial" w:hAnsi="Arial"/>
          <w:sz w:val="22"/>
          <w:szCs w:val="22"/>
        </w:rPr>
        <w:t>s c</w:t>
      </w:r>
      <w:r w:rsidR="00C1377B" w:rsidRPr="0039262B">
        <w:rPr>
          <w:rFonts w:ascii="Arial" w:hAnsi="Arial"/>
          <w:sz w:val="22"/>
          <w:szCs w:val="22"/>
        </w:rPr>
        <w:t xml:space="preserve">onsistent with the </w:t>
      </w:r>
      <w:proofErr w:type="spellStart"/>
      <w:r w:rsidR="00C1377B" w:rsidRPr="0039262B">
        <w:rPr>
          <w:rFonts w:ascii="Arial" w:hAnsi="Arial"/>
          <w:sz w:val="22"/>
          <w:szCs w:val="22"/>
        </w:rPr>
        <w:t>saxagliptin</w:t>
      </w:r>
      <w:proofErr w:type="spellEnd"/>
      <w:r w:rsidR="00C1377B" w:rsidRPr="0039262B">
        <w:rPr>
          <w:rFonts w:ascii="Arial" w:hAnsi="Arial"/>
          <w:sz w:val="22"/>
          <w:szCs w:val="22"/>
        </w:rPr>
        <w:t xml:space="preserve"> </w:t>
      </w:r>
      <w:r w:rsidR="008B3687" w:rsidRPr="0039262B">
        <w:rPr>
          <w:rFonts w:ascii="Arial" w:hAnsi="Arial"/>
          <w:sz w:val="22"/>
          <w:szCs w:val="22"/>
        </w:rPr>
        <w:t xml:space="preserve">(triple oral therapy) </w:t>
      </w:r>
      <w:r w:rsidR="00C1377B" w:rsidRPr="0039262B">
        <w:rPr>
          <w:rFonts w:ascii="Arial" w:hAnsi="Arial"/>
          <w:sz w:val="22"/>
          <w:szCs w:val="22"/>
        </w:rPr>
        <w:t>major submission</w:t>
      </w:r>
      <w:r w:rsidR="009A7F80">
        <w:rPr>
          <w:rFonts w:ascii="Arial" w:hAnsi="Arial"/>
          <w:sz w:val="22"/>
          <w:szCs w:val="22"/>
        </w:rPr>
        <w:t xml:space="preserve"> to the March 2015 meeting</w:t>
      </w:r>
      <w:r w:rsidRPr="0039262B">
        <w:rPr>
          <w:rFonts w:ascii="Arial" w:hAnsi="Arial"/>
          <w:sz w:val="22"/>
          <w:szCs w:val="22"/>
        </w:rPr>
        <w:t>.</w:t>
      </w:r>
      <w:r w:rsidR="00C1377B" w:rsidRPr="0039262B">
        <w:rPr>
          <w:rFonts w:ascii="Arial" w:hAnsi="Arial"/>
          <w:sz w:val="22"/>
          <w:szCs w:val="22"/>
        </w:rPr>
        <w:t xml:space="preserve"> </w:t>
      </w:r>
      <w:r w:rsidRPr="0039262B">
        <w:rPr>
          <w:rFonts w:ascii="Arial" w:hAnsi="Arial"/>
          <w:sz w:val="22"/>
          <w:szCs w:val="22"/>
        </w:rPr>
        <w:t xml:space="preserve">The submission assumed that </w:t>
      </w:r>
      <w:r w:rsidR="0004184D" w:rsidRPr="0039262B">
        <w:rPr>
          <w:rFonts w:ascii="Arial" w:hAnsi="Arial"/>
          <w:sz w:val="22"/>
          <w:szCs w:val="22"/>
        </w:rPr>
        <w:t xml:space="preserve">PBS listing of the </w:t>
      </w:r>
      <w:proofErr w:type="spellStart"/>
      <w:r w:rsidR="0004184D" w:rsidRPr="0039262B">
        <w:rPr>
          <w:rFonts w:ascii="Arial" w:hAnsi="Arial"/>
          <w:sz w:val="22"/>
          <w:szCs w:val="22"/>
        </w:rPr>
        <w:t>saxagliptin+</w:t>
      </w:r>
      <w:r w:rsidR="005D0807">
        <w:rPr>
          <w:rFonts w:ascii="Arial" w:hAnsi="Arial"/>
          <w:sz w:val="22"/>
          <w:szCs w:val="22"/>
        </w:rPr>
        <w:t>MET</w:t>
      </w:r>
      <w:proofErr w:type="spellEnd"/>
      <w:r w:rsidR="0004184D" w:rsidRPr="0039262B">
        <w:rPr>
          <w:rFonts w:ascii="Arial" w:hAnsi="Arial"/>
          <w:sz w:val="22"/>
          <w:szCs w:val="22"/>
        </w:rPr>
        <w:t xml:space="preserve"> </w:t>
      </w:r>
      <w:r w:rsidR="000C00B2">
        <w:rPr>
          <w:rFonts w:ascii="Arial" w:hAnsi="Arial"/>
          <w:sz w:val="22"/>
          <w:szCs w:val="22"/>
        </w:rPr>
        <w:t xml:space="preserve">XR </w:t>
      </w:r>
      <w:r w:rsidR="0004184D" w:rsidRPr="0039262B">
        <w:rPr>
          <w:rFonts w:ascii="Arial" w:hAnsi="Arial"/>
          <w:sz w:val="22"/>
          <w:szCs w:val="22"/>
        </w:rPr>
        <w:t xml:space="preserve">FDC would not grow the </w:t>
      </w:r>
      <w:r w:rsidR="0068211C">
        <w:rPr>
          <w:rFonts w:ascii="Arial" w:hAnsi="Arial"/>
          <w:sz w:val="22"/>
          <w:szCs w:val="22"/>
        </w:rPr>
        <w:t xml:space="preserve">T2DM </w:t>
      </w:r>
      <w:r w:rsidR="008B3687" w:rsidRPr="0039262B">
        <w:rPr>
          <w:rFonts w:ascii="Arial" w:hAnsi="Arial"/>
          <w:sz w:val="22"/>
          <w:szCs w:val="22"/>
        </w:rPr>
        <w:t xml:space="preserve">market or the </w:t>
      </w:r>
      <w:proofErr w:type="spellStart"/>
      <w:r w:rsidR="008B3687" w:rsidRPr="0039262B">
        <w:rPr>
          <w:rFonts w:ascii="Arial" w:hAnsi="Arial"/>
          <w:sz w:val="22"/>
          <w:szCs w:val="22"/>
        </w:rPr>
        <w:t>saxagliptin</w:t>
      </w:r>
      <w:proofErr w:type="spellEnd"/>
      <w:r w:rsidR="008B3687" w:rsidRPr="0039262B">
        <w:rPr>
          <w:rFonts w:ascii="Arial" w:hAnsi="Arial"/>
          <w:sz w:val="22"/>
          <w:szCs w:val="22"/>
        </w:rPr>
        <w:t xml:space="preserve">/DPP4 market. </w:t>
      </w:r>
    </w:p>
    <w:p w:rsidR="0039262B" w:rsidRDefault="0039262B" w:rsidP="0068211C">
      <w:pPr>
        <w:pStyle w:val="ListParagraph"/>
        <w:jc w:val="both"/>
        <w:rPr>
          <w:rFonts w:ascii="Arial" w:hAnsi="Arial"/>
          <w:sz w:val="22"/>
          <w:szCs w:val="22"/>
        </w:rPr>
      </w:pPr>
    </w:p>
    <w:p w:rsidR="00AE21A1" w:rsidRDefault="0039262B" w:rsidP="0068211C">
      <w:pPr>
        <w:pStyle w:val="ListParagraph"/>
        <w:numPr>
          <w:ilvl w:val="1"/>
          <w:numId w:val="1"/>
        </w:numPr>
        <w:jc w:val="both"/>
        <w:rPr>
          <w:rFonts w:ascii="Arial" w:hAnsi="Arial"/>
          <w:sz w:val="22"/>
          <w:szCs w:val="22"/>
        </w:rPr>
      </w:pPr>
      <w:r w:rsidRPr="0039262B">
        <w:rPr>
          <w:rFonts w:ascii="Arial" w:hAnsi="Arial"/>
          <w:sz w:val="22"/>
          <w:szCs w:val="22"/>
        </w:rPr>
        <w:t>The sub</w:t>
      </w:r>
      <w:r w:rsidR="00BD0D75">
        <w:rPr>
          <w:rFonts w:ascii="Arial" w:hAnsi="Arial"/>
          <w:sz w:val="22"/>
          <w:szCs w:val="22"/>
        </w:rPr>
        <w:t>mission estimate</w:t>
      </w:r>
      <w:r w:rsidR="006C2606">
        <w:rPr>
          <w:rFonts w:ascii="Arial" w:hAnsi="Arial"/>
          <w:sz w:val="22"/>
          <w:szCs w:val="22"/>
        </w:rPr>
        <w:t>d</w:t>
      </w:r>
      <w:r w:rsidR="00BD0D75">
        <w:rPr>
          <w:rFonts w:ascii="Arial" w:hAnsi="Arial"/>
          <w:sz w:val="22"/>
          <w:szCs w:val="22"/>
        </w:rPr>
        <w:t xml:space="preserve"> there </w:t>
      </w:r>
      <w:r w:rsidR="006C2606">
        <w:rPr>
          <w:rFonts w:ascii="Arial" w:hAnsi="Arial"/>
          <w:sz w:val="22"/>
          <w:szCs w:val="22"/>
        </w:rPr>
        <w:t xml:space="preserve">would </w:t>
      </w:r>
      <w:r w:rsidR="00BD0D75">
        <w:rPr>
          <w:rFonts w:ascii="Arial" w:hAnsi="Arial"/>
          <w:sz w:val="22"/>
          <w:szCs w:val="22"/>
        </w:rPr>
        <w:t>be minimal</w:t>
      </w:r>
      <w:r w:rsidRPr="0039262B">
        <w:rPr>
          <w:rFonts w:ascii="Arial" w:hAnsi="Arial"/>
          <w:sz w:val="22"/>
          <w:szCs w:val="22"/>
        </w:rPr>
        <w:t xml:space="preserve"> fi</w:t>
      </w:r>
      <w:r w:rsidR="00BD0D75">
        <w:rPr>
          <w:rFonts w:ascii="Arial" w:hAnsi="Arial"/>
          <w:sz w:val="22"/>
          <w:szCs w:val="22"/>
        </w:rPr>
        <w:t xml:space="preserve">nancial implications to the PBS if </w:t>
      </w:r>
      <w:proofErr w:type="spellStart"/>
      <w:r w:rsidR="00BD0D75">
        <w:rPr>
          <w:rFonts w:ascii="Arial" w:hAnsi="Arial"/>
          <w:sz w:val="22"/>
          <w:szCs w:val="22"/>
        </w:rPr>
        <w:t>saxagliptin+</w:t>
      </w:r>
      <w:r w:rsidR="005D0807">
        <w:rPr>
          <w:rFonts w:ascii="Arial" w:hAnsi="Arial"/>
          <w:sz w:val="22"/>
          <w:szCs w:val="22"/>
        </w:rPr>
        <w:t>MET</w:t>
      </w:r>
      <w:proofErr w:type="spellEnd"/>
      <w:r w:rsidR="00BD0D75">
        <w:rPr>
          <w:rFonts w:ascii="Arial" w:hAnsi="Arial"/>
          <w:sz w:val="22"/>
          <w:szCs w:val="22"/>
        </w:rPr>
        <w:t xml:space="preserve"> </w:t>
      </w:r>
      <w:r w:rsidR="007D6CAC">
        <w:rPr>
          <w:rFonts w:ascii="Arial" w:hAnsi="Arial"/>
          <w:sz w:val="22"/>
          <w:szCs w:val="22"/>
        </w:rPr>
        <w:t xml:space="preserve">XR </w:t>
      </w:r>
      <w:r w:rsidR="00BD0D75">
        <w:rPr>
          <w:rFonts w:ascii="Arial" w:hAnsi="Arial"/>
          <w:sz w:val="22"/>
          <w:szCs w:val="22"/>
        </w:rPr>
        <w:t xml:space="preserve">FDC </w:t>
      </w:r>
      <w:proofErr w:type="gramStart"/>
      <w:r w:rsidR="00BD0D75">
        <w:rPr>
          <w:rFonts w:ascii="Arial" w:hAnsi="Arial"/>
          <w:sz w:val="22"/>
          <w:szCs w:val="22"/>
        </w:rPr>
        <w:t>is</w:t>
      </w:r>
      <w:proofErr w:type="gramEnd"/>
      <w:r w:rsidR="00BD0D75">
        <w:rPr>
          <w:rFonts w:ascii="Arial" w:hAnsi="Arial"/>
          <w:sz w:val="22"/>
          <w:szCs w:val="22"/>
        </w:rPr>
        <w:t xml:space="preserve"> listed, as</w:t>
      </w:r>
      <w:r w:rsidRPr="0039262B">
        <w:rPr>
          <w:rFonts w:ascii="Arial" w:hAnsi="Arial"/>
          <w:sz w:val="22"/>
          <w:szCs w:val="22"/>
        </w:rPr>
        <w:t xml:space="preserve"> </w:t>
      </w:r>
      <w:r w:rsidR="00BD0D75">
        <w:rPr>
          <w:rFonts w:ascii="Arial" w:hAnsi="Arial"/>
          <w:sz w:val="22"/>
          <w:szCs w:val="22"/>
        </w:rPr>
        <w:t>it anticipate</w:t>
      </w:r>
      <w:r w:rsidR="006C2606">
        <w:rPr>
          <w:rFonts w:ascii="Arial" w:hAnsi="Arial"/>
          <w:sz w:val="22"/>
          <w:szCs w:val="22"/>
        </w:rPr>
        <w:t>d</w:t>
      </w:r>
      <w:r w:rsidRPr="0039262B">
        <w:rPr>
          <w:rFonts w:ascii="Arial" w:hAnsi="Arial"/>
          <w:sz w:val="22"/>
          <w:szCs w:val="22"/>
        </w:rPr>
        <w:t xml:space="preserve"> </w:t>
      </w:r>
      <w:r w:rsidR="00BD0D75">
        <w:rPr>
          <w:rFonts w:ascii="Arial" w:hAnsi="Arial"/>
          <w:sz w:val="22"/>
          <w:szCs w:val="22"/>
        </w:rPr>
        <w:t xml:space="preserve">that </w:t>
      </w:r>
      <w:proofErr w:type="spellStart"/>
      <w:r w:rsidR="00BD0D75">
        <w:rPr>
          <w:rFonts w:ascii="Arial" w:hAnsi="Arial"/>
          <w:sz w:val="22"/>
          <w:szCs w:val="22"/>
        </w:rPr>
        <w:t>saxagliptin+</w:t>
      </w:r>
      <w:r w:rsidR="005D0807">
        <w:rPr>
          <w:rFonts w:ascii="Arial" w:hAnsi="Arial"/>
          <w:sz w:val="22"/>
          <w:szCs w:val="22"/>
        </w:rPr>
        <w:t>MET</w:t>
      </w:r>
      <w:proofErr w:type="spellEnd"/>
      <w:r w:rsidR="00BD0D75">
        <w:rPr>
          <w:rFonts w:ascii="Arial" w:hAnsi="Arial"/>
          <w:sz w:val="22"/>
          <w:szCs w:val="22"/>
        </w:rPr>
        <w:t xml:space="preserve"> </w:t>
      </w:r>
      <w:r w:rsidR="007D6CAC">
        <w:rPr>
          <w:rFonts w:ascii="Arial" w:hAnsi="Arial"/>
          <w:sz w:val="22"/>
          <w:szCs w:val="22"/>
        </w:rPr>
        <w:t xml:space="preserve">XR </w:t>
      </w:r>
      <w:r w:rsidR="00BD0D75">
        <w:rPr>
          <w:rFonts w:ascii="Arial" w:hAnsi="Arial"/>
          <w:sz w:val="22"/>
          <w:szCs w:val="22"/>
        </w:rPr>
        <w:t xml:space="preserve">FDC will substitute for </w:t>
      </w:r>
      <w:proofErr w:type="spellStart"/>
      <w:r w:rsidR="00123AB8">
        <w:rPr>
          <w:rFonts w:ascii="Arial" w:hAnsi="Arial"/>
          <w:sz w:val="22"/>
          <w:szCs w:val="22"/>
        </w:rPr>
        <w:t>saxagliptin</w:t>
      </w:r>
      <w:proofErr w:type="spellEnd"/>
      <w:r w:rsidR="00123AB8">
        <w:rPr>
          <w:rFonts w:ascii="Arial" w:hAnsi="Arial"/>
          <w:sz w:val="22"/>
          <w:szCs w:val="22"/>
        </w:rPr>
        <w:t xml:space="preserve"> </w:t>
      </w:r>
      <w:r w:rsidR="00BD0D75">
        <w:rPr>
          <w:rFonts w:ascii="Arial" w:hAnsi="Arial"/>
          <w:sz w:val="22"/>
          <w:szCs w:val="22"/>
        </w:rPr>
        <w:t xml:space="preserve">and </w:t>
      </w:r>
      <w:r w:rsidR="005D0807">
        <w:rPr>
          <w:rFonts w:ascii="Arial" w:hAnsi="Arial"/>
          <w:sz w:val="22"/>
          <w:szCs w:val="22"/>
        </w:rPr>
        <w:t>MET</w:t>
      </w:r>
      <w:r w:rsidR="00BD0D75">
        <w:rPr>
          <w:rFonts w:ascii="Arial" w:hAnsi="Arial"/>
          <w:sz w:val="22"/>
          <w:szCs w:val="22"/>
        </w:rPr>
        <w:t xml:space="preserve"> mono</w:t>
      </w:r>
      <w:r w:rsidR="006C2606">
        <w:rPr>
          <w:rFonts w:ascii="Arial" w:hAnsi="Arial"/>
          <w:sz w:val="22"/>
          <w:szCs w:val="22"/>
        </w:rPr>
        <w:noBreakHyphen/>
      </w:r>
      <w:r w:rsidR="00BD0D75">
        <w:rPr>
          <w:rFonts w:ascii="Arial" w:hAnsi="Arial"/>
          <w:sz w:val="22"/>
          <w:szCs w:val="22"/>
        </w:rPr>
        <w:t>components over time.</w:t>
      </w:r>
      <w:r w:rsidR="00AE21A1">
        <w:rPr>
          <w:rFonts w:ascii="Arial" w:hAnsi="Arial"/>
          <w:sz w:val="22"/>
          <w:szCs w:val="22"/>
        </w:rPr>
        <w:t xml:space="preserve"> The proposed substitution rate, summarised in Table 2 below, was based on PBS usage data for </w:t>
      </w:r>
      <w:proofErr w:type="spellStart"/>
      <w:r w:rsidR="00AE21A1">
        <w:rPr>
          <w:rFonts w:ascii="Arial" w:hAnsi="Arial"/>
          <w:sz w:val="22"/>
          <w:szCs w:val="22"/>
        </w:rPr>
        <w:t>sitagliptin</w:t>
      </w:r>
      <w:proofErr w:type="spellEnd"/>
      <w:r w:rsidR="00AE21A1">
        <w:rPr>
          <w:rFonts w:ascii="Arial" w:hAnsi="Arial"/>
          <w:sz w:val="22"/>
          <w:szCs w:val="22"/>
        </w:rPr>
        <w:t xml:space="preserve"> and </w:t>
      </w:r>
      <w:proofErr w:type="spellStart"/>
      <w:r w:rsidR="00AE21A1">
        <w:rPr>
          <w:rFonts w:ascii="Arial" w:hAnsi="Arial"/>
          <w:sz w:val="22"/>
          <w:szCs w:val="22"/>
        </w:rPr>
        <w:t>sitagliptin+</w:t>
      </w:r>
      <w:r w:rsidR="005D0807">
        <w:rPr>
          <w:rFonts w:ascii="Arial" w:hAnsi="Arial"/>
          <w:sz w:val="22"/>
          <w:szCs w:val="22"/>
        </w:rPr>
        <w:t>MET</w:t>
      </w:r>
      <w:proofErr w:type="spellEnd"/>
      <w:r w:rsidR="00AC0579">
        <w:rPr>
          <w:rFonts w:ascii="Arial" w:hAnsi="Arial"/>
          <w:sz w:val="22"/>
          <w:szCs w:val="22"/>
        </w:rPr>
        <w:t xml:space="preserve"> over a four year period.</w:t>
      </w:r>
    </w:p>
    <w:p w:rsidR="00AE21A1" w:rsidRPr="00AE21A1" w:rsidRDefault="00AE21A1" w:rsidP="0068211C">
      <w:pPr>
        <w:pStyle w:val="ListParagraph"/>
        <w:rPr>
          <w:rFonts w:ascii="Arial" w:hAnsi="Arial"/>
          <w:sz w:val="22"/>
          <w:szCs w:val="22"/>
        </w:rPr>
      </w:pPr>
    </w:p>
    <w:p w:rsidR="00AE21A1" w:rsidRPr="0068211C" w:rsidRDefault="00AE21A1" w:rsidP="0068211C">
      <w:pPr>
        <w:pStyle w:val="Caption"/>
        <w:keepLines/>
        <w:spacing w:after="0"/>
        <w:ind w:left="720"/>
        <w:jc w:val="both"/>
        <w:rPr>
          <w:rFonts w:ascii="Arial Narrow" w:hAnsi="Arial Narrow" w:cs="Arial"/>
          <w:sz w:val="20"/>
          <w:szCs w:val="20"/>
        </w:rPr>
      </w:pPr>
      <w:bookmarkStart w:id="2" w:name="_Ref417296692"/>
      <w:r w:rsidRPr="0036709B">
        <w:rPr>
          <w:rFonts w:ascii="Arial Narrow" w:hAnsi="Arial Narrow" w:cs="Arial"/>
          <w:sz w:val="20"/>
          <w:szCs w:val="20"/>
        </w:rPr>
        <w:lastRenderedPageBreak/>
        <w:t xml:space="preserve">Table </w:t>
      </w:r>
      <w:bookmarkEnd w:id="2"/>
      <w:r w:rsidRPr="0036709B">
        <w:rPr>
          <w:rFonts w:ascii="Arial Narrow" w:hAnsi="Arial Narrow" w:cs="Arial"/>
          <w:sz w:val="20"/>
          <w:szCs w:val="20"/>
        </w:rPr>
        <w:t xml:space="preserve">2: Market share split between </w:t>
      </w:r>
      <w:proofErr w:type="spellStart"/>
      <w:r w:rsidRPr="0036709B">
        <w:rPr>
          <w:rFonts w:ascii="Arial Narrow" w:hAnsi="Arial Narrow" w:cs="Arial"/>
          <w:sz w:val="20"/>
          <w:szCs w:val="20"/>
        </w:rPr>
        <w:t>saxagliptin</w:t>
      </w:r>
      <w:proofErr w:type="spellEnd"/>
      <w:r w:rsidRPr="0036709B">
        <w:rPr>
          <w:rFonts w:ascii="Arial Narrow" w:hAnsi="Arial Narrow" w:cs="Arial"/>
          <w:sz w:val="20"/>
          <w:szCs w:val="20"/>
        </w:rPr>
        <w:t xml:space="preserve"> and </w:t>
      </w:r>
      <w:proofErr w:type="spellStart"/>
      <w:r w:rsidRPr="0036709B">
        <w:rPr>
          <w:rFonts w:ascii="Arial Narrow" w:hAnsi="Arial Narrow" w:cs="Arial"/>
          <w:sz w:val="20"/>
          <w:szCs w:val="20"/>
        </w:rPr>
        <w:t>saxagliptin+metformin</w:t>
      </w:r>
      <w:proofErr w:type="spellEnd"/>
      <w:r w:rsidRPr="0036709B">
        <w:rPr>
          <w:rFonts w:ascii="Arial Narrow" w:hAnsi="Arial Narrow" w:cs="Arial"/>
          <w:sz w:val="20"/>
          <w:szCs w:val="20"/>
        </w:rPr>
        <w:t xml:space="preserve"> FDC in triple oral therapy</w:t>
      </w:r>
    </w:p>
    <w:tbl>
      <w:tblPr>
        <w:tblW w:w="4524"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3"/>
        <w:gridCol w:w="1060"/>
        <w:gridCol w:w="1060"/>
        <w:gridCol w:w="1060"/>
        <w:gridCol w:w="1060"/>
        <w:gridCol w:w="1060"/>
        <w:gridCol w:w="1059"/>
      </w:tblGrid>
      <w:tr w:rsidR="00AE21A1" w:rsidRPr="006C2606" w:rsidTr="00FE5B1F">
        <w:tc>
          <w:tcPr>
            <w:tcW w:w="1197" w:type="pct"/>
            <w:shd w:val="clear" w:color="auto" w:fill="auto"/>
            <w:vAlign w:val="center"/>
          </w:tcPr>
          <w:p w:rsidR="00AE21A1" w:rsidRPr="006C2606" w:rsidRDefault="00AE21A1" w:rsidP="0068211C">
            <w:pPr>
              <w:keepNext/>
              <w:keepLines/>
              <w:jc w:val="both"/>
              <w:rPr>
                <w:rFonts w:ascii="Arial Narrow" w:hAnsi="Arial Narrow" w:cs="Arial"/>
                <w:sz w:val="20"/>
                <w:szCs w:val="20"/>
                <w:lang w:val="en-GB"/>
              </w:rPr>
            </w:pPr>
          </w:p>
        </w:tc>
        <w:tc>
          <w:tcPr>
            <w:tcW w:w="634" w:type="pct"/>
            <w:shd w:val="clear" w:color="auto" w:fill="D9D9D9"/>
          </w:tcPr>
          <w:p w:rsidR="00AE21A1" w:rsidRPr="006C2606" w:rsidRDefault="00AE21A1" w:rsidP="0068211C">
            <w:pPr>
              <w:keepNext/>
              <w:keepLines/>
              <w:jc w:val="center"/>
              <w:rPr>
                <w:rFonts w:ascii="Arial Narrow" w:hAnsi="Arial Narrow" w:cs="Arial"/>
                <w:b/>
                <w:sz w:val="20"/>
                <w:szCs w:val="20"/>
                <w:lang w:val="en-GB"/>
              </w:rPr>
            </w:pPr>
            <w:r w:rsidRPr="006C2606">
              <w:rPr>
                <w:rFonts w:ascii="Arial Narrow" w:hAnsi="Arial Narrow" w:cs="Arial"/>
                <w:b/>
                <w:sz w:val="20"/>
                <w:szCs w:val="20"/>
                <w:lang w:val="en-GB"/>
              </w:rPr>
              <w:t>2015</w:t>
            </w:r>
          </w:p>
        </w:tc>
        <w:tc>
          <w:tcPr>
            <w:tcW w:w="634" w:type="pct"/>
            <w:shd w:val="clear" w:color="auto" w:fill="auto"/>
            <w:vAlign w:val="center"/>
          </w:tcPr>
          <w:p w:rsidR="00AE21A1" w:rsidRPr="00E27938" w:rsidRDefault="00AE21A1" w:rsidP="0068211C">
            <w:pPr>
              <w:keepNext/>
              <w:keepLines/>
              <w:jc w:val="center"/>
              <w:rPr>
                <w:rFonts w:ascii="Arial Narrow" w:hAnsi="Arial Narrow" w:cs="Arial"/>
                <w:b/>
                <w:sz w:val="20"/>
                <w:szCs w:val="20"/>
                <w:lang w:val="en-GB"/>
              </w:rPr>
            </w:pPr>
            <w:r w:rsidRPr="00E27938">
              <w:rPr>
                <w:rFonts w:ascii="Arial Narrow" w:hAnsi="Arial Narrow" w:cs="Arial"/>
                <w:b/>
                <w:sz w:val="20"/>
                <w:szCs w:val="20"/>
                <w:lang w:val="en-GB"/>
              </w:rPr>
              <w:t>2016</w:t>
            </w:r>
          </w:p>
        </w:tc>
        <w:tc>
          <w:tcPr>
            <w:tcW w:w="634" w:type="pct"/>
            <w:shd w:val="clear" w:color="auto" w:fill="auto"/>
            <w:vAlign w:val="center"/>
          </w:tcPr>
          <w:p w:rsidR="00AE21A1" w:rsidRPr="00E27938" w:rsidRDefault="00AE21A1" w:rsidP="0068211C">
            <w:pPr>
              <w:keepNext/>
              <w:keepLines/>
              <w:jc w:val="center"/>
              <w:rPr>
                <w:rFonts w:ascii="Arial Narrow" w:hAnsi="Arial Narrow" w:cs="Arial"/>
                <w:b/>
                <w:sz w:val="20"/>
                <w:szCs w:val="20"/>
                <w:lang w:val="en-GB"/>
              </w:rPr>
            </w:pPr>
            <w:r w:rsidRPr="00E27938">
              <w:rPr>
                <w:rFonts w:ascii="Arial Narrow" w:hAnsi="Arial Narrow" w:cs="Arial"/>
                <w:b/>
                <w:sz w:val="20"/>
                <w:szCs w:val="20"/>
                <w:lang w:val="en-GB"/>
              </w:rPr>
              <w:t>2017</w:t>
            </w:r>
          </w:p>
        </w:tc>
        <w:tc>
          <w:tcPr>
            <w:tcW w:w="634" w:type="pct"/>
            <w:shd w:val="clear" w:color="auto" w:fill="auto"/>
            <w:vAlign w:val="center"/>
          </w:tcPr>
          <w:p w:rsidR="00AE21A1" w:rsidRPr="002E3FEB" w:rsidRDefault="00AE21A1" w:rsidP="0068211C">
            <w:pPr>
              <w:keepNext/>
              <w:keepLines/>
              <w:jc w:val="center"/>
              <w:rPr>
                <w:rFonts w:ascii="Arial Narrow" w:hAnsi="Arial Narrow" w:cs="Arial"/>
                <w:b/>
                <w:sz w:val="20"/>
                <w:szCs w:val="20"/>
                <w:lang w:val="en-GB"/>
              </w:rPr>
            </w:pPr>
            <w:r w:rsidRPr="002E3FEB">
              <w:rPr>
                <w:rFonts w:ascii="Arial Narrow" w:hAnsi="Arial Narrow" w:cs="Arial"/>
                <w:b/>
                <w:sz w:val="20"/>
                <w:szCs w:val="20"/>
                <w:lang w:val="en-GB"/>
              </w:rPr>
              <w:t>2018</w:t>
            </w:r>
          </w:p>
        </w:tc>
        <w:tc>
          <w:tcPr>
            <w:tcW w:w="634" w:type="pct"/>
            <w:shd w:val="clear" w:color="auto" w:fill="auto"/>
            <w:vAlign w:val="center"/>
          </w:tcPr>
          <w:p w:rsidR="00AE21A1" w:rsidRPr="006C2606" w:rsidRDefault="00AE21A1" w:rsidP="0068211C">
            <w:pPr>
              <w:keepNext/>
              <w:keepLines/>
              <w:jc w:val="center"/>
              <w:rPr>
                <w:rFonts w:ascii="Arial Narrow" w:hAnsi="Arial Narrow" w:cs="Arial"/>
                <w:b/>
                <w:sz w:val="20"/>
                <w:szCs w:val="20"/>
                <w:lang w:val="en-GB"/>
              </w:rPr>
            </w:pPr>
            <w:r w:rsidRPr="006C2606">
              <w:rPr>
                <w:rFonts w:ascii="Arial Narrow" w:hAnsi="Arial Narrow" w:cs="Arial"/>
                <w:b/>
                <w:sz w:val="20"/>
                <w:szCs w:val="20"/>
                <w:lang w:val="en-GB"/>
              </w:rPr>
              <w:t>2019</w:t>
            </w:r>
          </w:p>
        </w:tc>
        <w:tc>
          <w:tcPr>
            <w:tcW w:w="634" w:type="pct"/>
            <w:shd w:val="clear" w:color="auto" w:fill="auto"/>
            <w:vAlign w:val="center"/>
          </w:tcPr>
          <w:p w:rsidR="00AE21A1" w:rsidRPr="006C2606" w:rsidRDefault="00AE21A1" w:rsidP="0068211C">
            <w:pPr>
              <w:keepNext/>
              <w:keepLines/>
              <w:jc w:val="center"/>
              <w:rPr>
                <w:rFonts w:ascii="Arial Narrow" w:hAnsi="Arial Narrow" w:cs="Arial"/>
                <w:b/>
                <w:sz w:val="20"/>
                <w:szCs w:val="20"/>
                <w:lang w:val="en-GB"/>
              </w:rPr>
            </w:pPr>
            <w:r w:rsidRPr="006C2606">
              <w:rPr>
                <w:rFonts w:ascii="Arial Narrow" w:hAnsi="Arial Narrow" w:cs="Arial"/>
                <w:b/>
                <w:sz w:val="20"/>
                <w:szCs w:val="20"/>
                <w:lang w:val="en-GB"/>
              </w:rPr>
              <w:t>2020</w:t>
            </w:r>
          </w:p>
        </w:tc>
      </w:tr>
      <w:tr w:rsidR="00AE21A1" w:rsidRPr="006C2606" w:rsidTr="00FE5B1F">
        <w:tc>
          <w:tcPr>
            <w:tcW w:w="1197" w:type="pct"/>
            <w:shd w:val="clear" w:color="auto" w:fill="auto"/>
            <w:vAlign w:val="center"/>
          </w:tcPr>
          <w:p w:rsidR="00AE21A1" w:rsidRPr="00E27938" w:rsidRDefault="00AE21A1" w:rsidP="0068211C">
            <w:pPr>
              <w:keepNext/>
              <w:keepLines/>
              <w:jc w:val="both"/>
              <w:rPr>
                <w:rFonts w:ascii="Arial Narrow" w:hAnsi="Arial Narrow" w:cs="Arial"/>
                <w:sz w:val="20"/>
                <w:szCs w:val="20"/>
                <w:lang w:val="en-GB"/>
              </w:rPr>
            </w:pPr>
            <w:proofErr w:type="spellStart"/>
            <w:r w:rsidRPr="006C2606">
              <w:rPr>
                <w:rFonts w:ascii="Arial Narrow" w:hAnsi="Arial Narrow" w:cs="Arial"/>
                <w:sz w:val="20"/>
                <w:szCs w:val="20"/>
                <w:lang w:val="en-GB"/>
              </w:rPr>
              <w:t>Saxagliptin</w:t>
            </w:r>
            <w:proofErr w:type="spellEnd"/>
            <w:r w:rsidRPr="006C2606">
              <w:rPr>
                <w:rFonts w:ascii="Arial Narrow" w:hAnsi="Arial Narrow" w:cs="Arial"/>
                <w:sz w:val="20"/>
                <w:szCs w:val="20"/>
                <w:lang w:val="en-GB"/>
              </w:rPr>
              <w:t xml:space="preserve"> share of </w:t>
            </w:r>
            <w:proofErr w:type="spellStart"/>
            <w:r w:rsidRPr="006C2606">
              <w:rPr>
                <w:rFonts w:ascii="Arial Narrow" w:hAnsi="Arial Narrow" w:cs="Arial"/>
                <w:sz w:val="20"/>
                <w:szCs w:val="20"/>
                <w:lang w:val="en-GB"/>
              </w:rPr>
              <w:t>saxagliptin</w:t>
            </w:r>
            <w:proofErr w:type="spellEnd"/>
            <w:r w:rsidRPr="006C2606">
              <w:rPr>
                <w:rFonts w:ascii="Arial Narrow" w:hAnsi="Arial Narrow" w:cs="Arial"/>
                <w:sz w:val="20"/>
                <w:szCs w:val="20"/>
                <w:lang w:val="en-GB"/>
              </w:rPr>
              <w:t xml:space="preserve"> services</w:t>
            </w:r>
          </w:p>
        </w:tc>
        <w:tc>
          <w:tcPr>
            <w:tcW w:w="634" w:type="pct"/>
            <w:shd w:val="clear" w:color="auto" w:fill="D9D9D9"/>
            <w:vAlign w:val="center"/>
          </w:tcPr>
          <w:p w:rsidR="00AE21A1" w:rsidRPr="00E27938" w:rsidRDefault="00192A94" w:rsidP="0068211C">
            <w:pPr>
              <w:keepNext/>
              <w:keepLines/>
              <w:jc w:val="center"/>
              <w:rPr>
                <w:rFonts w:ascii="Arial Narrow" w:hAnsi="Arial Narrow" w:cs="Arial"/>
                <w:sz w:val="20"/>
                <w:szCs w:val="20"/>
              </w:rPr>
            </w:pPr>
            <w:r>
              <w:rPr>
                <w:rFonts w:ascii="Arial Narrow" w:hAnsi="Arial Narrow" w:cs="Arial"/>
                <w:noProof/>
                <w:color w:val="000000"/>
                <w:sz w:val="20"/>
                <w:szCs w:val="20"/>
                <w:highlight w:val="black"/>
              </w:rPr>
              <w:t>''''''''''''</w:t>
            </w:r>
            <w:r w:rsidR="00AE21A1" w:rsidRPr="00E27938">
              <w:rPr>
                <w:rFonts w:ascii="Arial Narrow" w:hAnsi="Arial Narrow" w:cs="Arial"/>
                <w:sz w:val="20"/>
                <w:szCs w:val="20"/>
              </w:rPr>
              <w:t>%</w:t>
            </w:r>
          </w:p>
        </w:tc>
        <w:tc>
          <w:tcPr>
            <w:tcW w:w="634" w:type="pct"/>
            <w:shd w:val="clear" w:color="auto" w:fill="auto"/>
            <w:vAlign w:val="center"/>
          </w:tcPr>
          <w:p w:rsidR="00AE21A1" w:rsidRPr="002E3FEB" w:rsidRDefault="00192A94" w:rsidP="0068211C">
            <w:pPr>
              <w:keepNext/>
              <w:jc w:val="center"/>
              <w:rPr>
                <w:rFonts w:ascii="Arial Narrow" w:hAnsi="Arial Narrow" w:cs="Arial"/>
                <w:color w:val="000000"/>
                <w:sz w:val="20"/>
                <w:szCs w:val="20"/>
              </w:rPr>
            </w:pPr>
            <w:r>
              <w:rPr>
                <w:rFonts w:ascii="Arial Narrow" w:hAnsi="Arial Narrow" w:cs="Arial"/>
                <w:noProof/>
                <w:color w:val="000000"/>
                <w:sz w:val="20"/>
                <w:szCs w:val="20"/>
                <w:highlight w:val="black"/>
              </w:rPr>
              <w:t>''''''''''</w:t>
            </w:r>
            <w:r w:rsidR="00AE21A1" w:rsidRPr="002E3FEB">
              <w:rPr>
                <w:rFonts w:ascii="Arial Narrow" w:hAnsi="Arial Narrow" w:cs="Arial"/>
                <w:color w:val="000000"/>
                <w:sz w:val="20"/>
                <w:szCs w:val="20"/>
              </w:rPr>
              <w:t>%</w:t>
            </w:r>
          </w:p>
        </w:tc>
        <w:tc>
          <w:tcPr>
            <w:tcW w:w="634" w:type="pct"/>
            <w:shd w:val="clear" w:color="auto" w:fill="auto"/>
            <w:vAlign w:val="center"/>
          </w:tcPr>
          <w:p w:rsidR="00AE21A1" w:rsidRPr="006C2606" w:rsidRDefault="00192A94" w:rsidP="0068211C">
            <w:pPr>
              <w:keepNext/>
              <w:jc w:val="center"/>
              <w:rPr>
                <w:rFonts w:ascii="Arial Narrow" w:hAnsi="Arial Narrow" w:cs="Arial"/>
                <w:color w:val="000000"/>
                <w:sz w:val="20"/>
                <w:szCs w:val="20"/>
              </w:rPr>
            </w:pPr>
            <w:r>
              <w:rPr>
                <w:rFonts w:ascii="Arial Narrow" w:hAnsi="Arial Narrow" w:cs="Arial"/>
                <w:noProof/>
                <w:color w:val="000000"/>
                <w:sz w:val="20"/>
                <w:szCs w:val="20"/>
                <w:highlight w:val="black"/>
              </w:rPr>
              <w:t>''''''''''</w:t>
            </w:r>
            <w:r w:rsidR="00AE21A1" w:rsidRPr="006C2606">
              <w:rPr>
                <w:rFonts w:ascii="Arial Narrow" w:hAnsi="Arial Narrow" w:cs="Arial"/>
                <w:color w:val="000000"/>
                <w:sz w:val="20"/>
                <w:szCs w:val="20"/>
              </w:rPr>
              <w:t>%</w:t>
            </w:r>
          </w:p>
        </w:tc>
        <w:tc>
          <w:tcPr>
            <w:tcW w:w="634" w:type="pct"/>
            <w:shd w:val="clear" w:color="auto" w:fill="auto"/>
            <w:vAlign w:val="center"/>
          </w:tcPr>
          <w:p w:rsidR="00AE21A1" w:rsidRPr="006C2606" w:rsidRDefault="00192A94" w:rsidP="0068211C">
            <w:pPr>
              <w:keepNext/>
              <w:jc w:val="center"/>
              <w:rPr>
                <w:rFonts w:ascii="Arial Narrow" w:hAnsi="Arial Narrow" w:cs="Arial"/>
                <w:color w:val="000000"/>
                <w:sz w:val="20"/>
                <w:szCs w:val="20"/>
              </w:rPr>
            </w:pPr>
            <w:r>
              <w:rPr>
                <w:rFonts w:ascii="Arial Narrow" w:hAnsi="Arial Narrow" w:cs="Arial"/>
                <w:noProof/>
                <w:color w:val="000000"/>
                <w:sz w:val="20"/>
                <w:szCs w:val="20"/>
                <w:highlight w:val="black"/>
              </w:rPr>
              <w:t>''''''''''</w:t>
            </w:r>
            <w:r w:rsidR="00AE21A1" w:rsidRPr="006C2606">
              <w:rPr>
                <w:rFonts w:ascii="Arial Narrow" w:hAnsi="Arial Narrow" w:cs="Arial"/>
                <w:color w:val="000000"/>
                <w:sz w:val="20"/>
                <w:szCs w:val="20"/>
              </w:rPr>
              <w:t>%</w:t>
            </w:r>
          </w:p>
        </w:tc>
        <w:tc>
          <w:tcPr>
            <w:tcW w:w="634" w:type="pct"/>
            <w:shd w:val="clear" w:color="auto" w:fill="auto"/>
            <w:vAlign w:val="center"/>
          </w:tcPr>
          <w:p w:rsidR="00AE21A1" w:rsidRPr="006C2606" w:rsidRDefault="00192A94" w:rsidP="0068211C">
            <w:pPr>
              <w:keepNext/>
              <w:jc w:val="center"/>
              <w:rPr>
                <w:rFonts w:ascii="Arial Narrow" w:hAnsi="Arial Narrow" w:cs="Arial"/>
                <w:color w:val="000000"/>
                <w:sz w:val="20"/>
                <w:szCs w:val="20"/>
              </w:rPr>
            </w:pPr>
            <w:r>
              <w:rPr>
                <w:rFonts w:ascii="Arial Narrow" w:hAnsi="Arial Narrow" w:cs="Arial"/>
                <w:noProof/>
                <w:color w:val="000000"/>
                <w:sz w:val="20"/>
                <w:szCs w:val="20"/>
                <w:highlight w:val="black"/>
              </w:rPr>
              <w:t>''''''''''</w:t>
            </w:r>
            <w:r w:rsidR="00AE21A1" w:rsidRPr="006C2606">
              <w:rPr>
                <w:rFonts w:ascii="Arial Narrow" w:hAnsi="Arial Narrow" w:cs="Arial"/>
                <w:color w:val="000000"/>
                <w:sz w:val="20"/>
                <w:szCs w:val="20"/>
              </w:rPr>
              <w:t>%</w:t>
            </w:r>
          </w:p>
        </w:tc>
        <w:tc>
          <w:tcPr>
            <w:tcW w:w="634" w:type="pct"/>
            <w:shd w:val="clear" w:color="auto" w:fill="auto"/>
            <w:vAlign w:val="center"/>
          </w:tcPr>
          <w:p w:rsidR="00AE21A1" w:rsidRPr="006C2606" w:rsidRDefault="00192A94" w:rsidP="0068211C">
            <w:pPr>
              <w:keepNext/>
              <w:jc w:val="center"/>
              <w:rPr>
                <w:rFonts w:ascii="Arial Narrow" w:hAnsi="Arial Narrow" w:cs="Arial"/>
                <w:color w:val="000000"/>
                <w:sz w:val="20"/>
                <w:szCs w:val="20"/>
              </w:rPr>
            </w:pPr>
            <w:r>
              <w:rPr>
                <w:rFonts w:ascii="Arial Narrow" w:hAnsi="Arial Narrow" w:cs="Arial"/>
                <w:noProof/>
                <w:color w:val="000000"/>
                <w:sz w:val="20"/>
                <w:szCs w:val="20"/>
                <w:highlight w:val="black"/>
              </w:rPr>
              <w:t>''''''''''</w:t>
            </w:r>
            <w:r w:rsidR="00AE21A1" w:rsidRPr="006C2606">
              <w:rPr>
                <w:rFonts w:ascii="Arial Narrow" w:hAnsi="Arial Narrow" w:cs="Arial"/>
                <w:color w:val="000000"/>
                <w:sz w:val="20"/>
                <w:szCs w:val="20"/>
              </w:rPr>
              <w:t>%</w:t>
            </w:r>
          </w:p>
        </w:tc>
      </w:tr>
      <w:tr w:rsidR="00AE21A1" w:rsidRPr="006C2606" w:rsidTr="00FE5B1F">
        <w:tc>
          <w:tcPr>
            <w:tcW w:w="1197" w:type="pct"/>
            <w:shd w:val="clear" w:color="auto" w:fill="auto"/>
            <w:vAlign w:val="center"/>
          </w:tcPr>
          <w:p w:rsidR="00AE21A1" w:rsidRPr="00E27938" w:rsidRDefault="00AE21A1" w:rsidP="0068211C">
            <w:pPr>
              <w:keepNext/>
              <w:keepLines/>
              <w:rPr>
                <w:rFonts w:ascii="Arial Narrow" w:hAnsi="Arial Narrow" w:cs="Arial"/>
                <w:sz w:val="20"/>
                <w:szCs w:val="20"/>
                <w:lang w:val="en-GB"/>
              </w:rPr>
            </w:pPr>
            <w:proofErr w:type="spellStart"/>
            <w:r w:rsidRPr="006C2606">
              <w:rPr>
                <w:rFonts w:ascii="Arial Narrow" w:hAnsi="Arial Narrow" w:cs="Arial"/>
                <w:sz w:val="20"/>
                <w:szCs w:val="20"/>
                <w:lang w:val="en-GB"/>
              </w:rPr>
              <w:t>Saxagliptin+metformin</w:t>
            </w:r>
            <w:proofErr w:type="spellEnd"/>
            <w:r w:rsidRPr="006C2606">
              <w:rPr>
                <w:rFonts w:ascii="Arial Narrow" w:hAnsi="Arial Narrow" w:cs="Arial"/>
                <w:sz w:val="20"/>
                <w:szCs w:val="20"/>
                <w:lang w:val="en-GB"/>
              </w:rPr>
              <w:t xml:space="preserve"> share of </w:t>
            </w:r>
            <w:proofErr w:type="spellStart"/>
            <w:r w:rsidRPr="006C2606">
              <w:rPr>
                <w:rFonts w:ascii="Arial Narrow" w:hAnsi="Arial Narrow" w:cs="Arial"/>
                <w:sz w:val="20"/>
                <w:szCs w:val="20"/>
                <w:lang w:val="en-GB"/>
              </w:rPr>
              <w:t>saxagliptin</w:t>
            </w:r>
            <w:proofErr w:type="spellEnd"/>
            <w:r w:rsidRPr="006C2606">
              <w:rPr>
                <w:rFonts w:ascii="Arial Narrow" w:hAnsi="Arial Narrow" w:cs="Arial"/>
                <w:sz w:val="20"/>
                <w:szCs w:val="20"/>
                <w:lang w:val="en-GB"/>
              </w:rPr>
              <w:t xml:space="preserve"> services</w:t>
            </w:r>
            <w:r w:rsidRPr="00E27938">
              <w:rPr>
                <w:rFonts w:ascii="Arial Narrow" w:hAnsi="Arial Narrow" w:cs="Arial"/>
                <w:sz w:val="20"/>
                <w:szCs w:val="20"/>
                <w:vertAlign w:val="superscript"/>
                <w:lang w:val="en-GB"/>
              </w:rPr>
              <w:t>#</w:t>
            </w:r>
          </w:p>
        </w:tc>
        <w:tc>
          <w:tcPr>
            <w:tcW w:w="634" w:type="pct"/>
            <w:shd w:val="clear" w:color="auto" w:fill="D9D9D9"/>
            <w:vAlign w:val="center"/>
          </w:tcPr>
          <w:p w:rsidR="00AE21A1" w:rsidRPr="00E27938" w:rsidRDefault="00192A94" w:rsidP="0068211C">
            <w:pPr>
              <w:keepNext/>
              <w:keepLines/>
              <w:jc w:val="center"/>
              <w:rPr>
                <w:rFonts w:ascii="Arial Narrow" w:hAnsi="Arial Narrow" w:cs="Arial"/>
                <w:sz w:val="20"/>
                <w:szCs w:val="20"/>
              </w:rPr>
            </w:pPr>
            <w:r>
              <w:rPr>
                <w:rFonts w:ascii="Arial Narrow" w:hAnsi="Arial Narrow" w:cs="Arial"/>
                <w:noProof/>
                <w:color w:val="000000"/>
                <w:sz w:val="20"/>
                <w:szCs w:val="20"/>
                <w:highlight w:val="black"/>
              </w:rPr>
              <w:t>'''''''''''</w:t>
            </w:r>
            <w:r w:rsidR="00AE21A1" w:rsidRPr="00E27938">
              <w:rPr>
                <w:rFonts w:ascii="Arial Narrow" w:hAnsi="Arial Narrow" w:cs="Arial"/>
                <w:sz w:val="20"/>
                <w:szCs w:val="20"/>
              </w:rPr>
              <w:t>%</w:t>
            </w:r>
          </w:p>
        </w:tc>
        <w:tc>
          <w:tcPr>
            <w:tcW w:w="634" w:type="pct"/>
            <w:shd w:val="clear" w:color="auto" w:fill="auto"/>
            <w:vAlign w:val="center"/>
          </w:tcPr>
          <w:p w:rsidR="00AE21A1" w:rsidRPr="002E3FEB" w:rsidRDefault="00192A94" w:rsidP="0068211C">
            <w:pPr>
              <w:keepNext/>
              <w:jc w:val="center"/>
              <w:rPr>
                <w:rFonts w:ascii="Arial Narrow" w:hAnsi="Arial Narrow" w:cs="Arial"/>
                <w:color w:val="000000"/>
                <w:sz w:val="20"/>
                <w:szCs w:val="20"/>
              </w:rPr>
            </w:pPr>
            <w:r>
              <w:rPr>
                <w:rFonts w:ascii="Arial Narrow" w:hAnsi="Arial Narrow" w:cs="Arial"/>
                <w:noProof/>
                <w:color w:val="000000"/>
                <w:sz w:val="20"/>
                <w:szCs w:val="20"/>
                <w:highlight w:val="black"/>
              </w:rPr>
              <w:t>''''''''''</w:t>
            </w:r>
            <w:r w:rsidR="00AE21A1" w:rsidRPr="002E3FEB">
              <w:rPr>
                <w:rFonts w:ascii="Arial Narrow" w:hAnsi="Arial Narrow" w:cs="Arial"/>
                <w:color w:val="000000"/>
                <w:sz w:val="20"/>
                <w:szCs w:val="20"/>
              </w:rPr>
              <w:t>%</w:t>
            </w:r>
          </w:p>
        </w:tc>
        <w:tc>
          <w:tcPr>
            <w:tcW w:w="634" w:type="pct"/>
            <w:shd w:val="clear" w:color="auto" w:fill="auto"/>
            <w:vAlign w:val="center"/>
          </w:tcPr>
          <w:p w:rsidR="00AE21A1" w:rsidRPr="006C2606" w:rsidRDefault="00192A94" w:rsidP="0068211C">
            <w:pPr>
              <w:keepNext/>
              <w:jc w:val="center"/>
              <w:rPr>
                <w:rFonts w:ascii="Arial Narrow" w:hAnsi="Arial Narrow" w:cs="Arial"/>
                <w:color w:val="000000"/>
                <w:sz w:val="20"/>
                <w:szCs w:val="20"/>
              </w:rPr>
            </w:pPr>
            <w:r>
              <w:rPr>
                <w:rFonts w:ascii="Arial Narrow" w:hAnsi="Arial Narrow" w:cs="Arial"/>
                <w:noProof/>
                <w:color w:val="000000"/>
                <w:sz w:val="20"/>
                <w:szCs w:val="20"/>
                <w:highlight w:val="black"/>
              </w:rPr>
              <w:t>'''''''''''</w:t>
            </w:r>
            <w:r w:rsidR="00AE21A1" w:rsidRPr="006C2606">
              <w:rPr>
                <w:rFonts w:ascii="Arial Narrow" w:hAnsi="Arial Narrow" w:cs="Arial"/>
                <w:color w:val="000000"/>
                <w:sz w:val="20"/>
                <w:szCs w:val="20"/>
              </w:rPr>
              <w:t>%</w:t>
            </w:r>
          </w:p>
        </w:tc>
        <w:tc>
          <w:tcPr>
            <w:tcW w:w="634" w:type="pct"/>
            <w:shd w:val="clear" w:color="auto" w:fill="auto"/>
            <w:vAlign w:val="center"/>
          </w:tcPr>
          <w:p w:rsidR="00AE21A1" w:rsidRPr="006C2606" w:rsidRDefault="00192A94" w:rsidP="0068211C">
            <w:pPr>
              <w:keepNext/>
              <w:jc w:val="center"/>
              <w:rPr>
                <w:rFonts w:ascii="Arial Narrow" w:hAnsi="Arial Narrow" w:cs="Arial"/>
                <w:color w:val="000000"/>
                <w:sz w:val="20"/>
                <w:szCs w:val="20"/>
              </w:rPr>
            </w:pPr>
            <w:r>
              <w:rPr>
                <w:rFonts w:ascii="Arial Narrow" w:hAnsi="Arial Narrow" w:cs="Arial"/>
                <w:noProof/>
                <w:color w:val="000000"/>
                <w:sz w:val="20"/>
                <w:szCs w:val="20"/>
                <w:highlight w:val="black"/>
              </w:rPr>
              <w:t>''''''''''''</w:t>
            </w:r>
            <w:r w:rsidR="00AE21A1" w:rsidRPr="006C2606">
              <w:rPr>
                <w:rFonts w:ascii="Arial Narrow" w:hAnsi="Arial Narrow" w:cs="Arial"/>
                <w:color w:val="000000"/>
                <w:sz w:val="20"/>
                <w:szCs w:val="20"/>
              </w:rPr>
              <w:t>%</w:t>
            </w:r>
          </w:p>
        </w:tc>
        <w:tc>
          <w:tcPr>
            <w:tcW w:w="634" w:type="pct"/>
            <w:shd w:val="clear" w:color="auto" w:fill="auto"/>
            <w:vAlign w:val="center"/>
          </w:tcPr>
          <w:p w:rsidR="00AE21A1" w:rsidRPr="006C2606" w:rsidRDefault="00192A94" w:rsidP="0068211C">
            <w:pPr>
              <w:keepNext/>
              <w:jc w:val="center"/>
              <w:rPr>
                <w:rFonts w:ascii="Arial Narrow" w:hAnsi="Arial Narrow" w:cs="Arial"/>
                <w:color w:val="000000"/>
                <w:sz w:val="20"/>
                <w:szCs w:val="20"/>
              </w:rPr>
            </w:pPr>
            <w:r>
              <w:rPr>
                <w:rFonts w:ascii="Arial Narrow" w:hAnsi="Arial Narrow" w:cs="Arial"/>
                <w:noProof/>
                <w:color w:val="000000"/>
                <w:sz w:val="20"/>
                <w:szCs w:val="20"/>
                <w:highlight w:val="black"/>
              </w:rPr>
              <w:t>''''''''''</w:t>
            </w:r>
            <w:r w:rsidR="00AE21A1" w:rsidRPr="006C2606">
              <w:rPr>
                <w:rFonts w:ascii="Arial Narrow" w:hAnsi="Arial Narrow" w:cs="Arial"/>
                <w:color w:val="000000"/>
                <w:sz w:val="20"/>
                <w:szCs w:val="20"/>
              </w:rPr>
              <w:t>%</w:t>
            </w:r>
          </w:p>
        </w:tc>
        <w:tc>
          <w:tcPr>
            <w:tcW w:w="634" w:type="pct"/>
            <w:shd w:val="clear" w:color="auto" w:fill="auto"/>
            <w:vAlign w:val="center"/>
          </w:tcPr>
          <w:p w:rsidR="00AE21A1" w:rsidRPr="006C2606" w:rsidRDefault="00192A94" w:rsidP="0068211C">
            <w:pPr>
              <w:keepNext/>
              <w:jc w:val="center"/>
              <w:rPr>
                <w:rFonts w:ascii="Arial Narrow" w:hAnsi="Arial Narrow" w:cs="Arial"/>
                <w:color w:val="000000"/>
                <w:sz w:val="20"/>
                <w:szCs w:val="20"/>
              </w:rPr>
            </w:pPr>
            <w:r>
              <w:rPr>
                <w:rFonts w:ascii="Arial Narrow" w:hAnsi="Arial Narrow" w:cs="Arial"/>
                <w:noProof/>
                <w:color w:val="000000"/>
                <w:sz w:val="20"/>
                <w:szCs w:val="20"/>
                <w:highlight w:val="black"/>
              </w:rPr>
              <w:t>''''''''''</w:t>
            </w:r>
            <w:r w:rsidR="00AE21A1" w:rsidRPr="006C2606">
              <w:rPr>
                <w:rFonts w:ascii="Arial Narrow" w:hAnsi="Arial Narrow" w:cs="Arial"/>
                <w:color w:val="000000"/>
                <w:sz w:val="20"/>
                <w:szCs w:val="20"/>
              </w:rPr>
              <w:t>%</w:t>
            </w:r>
          </w:p>
        </w:tc>
      </w:tr>
    </w:tbl>
    <w:p w:rsidR="00AE21A1" w:rsidRPr="006C2606" w:rsidRDefault="00AE21A1" w:rsidP="0068211C">
      <w:pPr>
        <w:pStyle w:val="ListParagraph"/>
        <w:keepNext/>
        <w:jc w:val="both"/>
        <w:rPr>
          <w:rFonts w:ascii="Arial Narrow" w:hAnsi="Arial Narrow" w:cs="Arial"/>
          <w:sz w:val="18"/>
          <w:szCs w:val="18"/>
          <w:lang w:val="en-GB"/>
        </w:rPr>
      </w:pPr>
      <w:r w:rsidRPr="006C2606">
        <w:rPr>
          <w:rFonts w:ascii="Arial Narrow" w:hAnsi="Arial Narrow" w:cs="Arial"/>
          <w:sz w:val="18"/>
          <w:szCs w:val="18"/>
          <w:lang w:val="en-GB"/>
        </w:rPr>
        <w:t>Source: Table 4, pg.6 of the submission.</w:t>
      </w:r>
    </w:p>
    <w:p w:rsidR="00AE21A1" w:rsidRPr="00E27938" w:rsidRDefault="00AE21A1" w:rsidP="0068211C">
      <w:pPr>
        <w:pStyle w:val="ListParagraph"/>
        <w:keepNext/>
        <w:jc w:val="both"/>
        <w:rPr>
          <w:rFonts w:ascii="Arial Narrow" w:hAnsi="Arial Narrow" w:cs="Arial"/>
          <w:sz w:val="18"/>
          <w:szCs w:val="18"/>
          <w:lang w:val="en-GB"/>
        </w:rPr>
      </w:pPr>
      <w:r w:rsidRPr="00E27938">
        <w:rPr>
          <w:rFonts w:ascii="Arial Narrow" w:hAnsi="Arial Narrow" w:cs="Arial"/>
          <w:sz w:val="18"/>
          <w:szCs w:val="18"/>
          <w:lang w:val="en-GB"/>
        </w:rPr>
        <w:t>Abbreviations: TOT, triple oral therapy; FDC, fixed dose combination; XR, extended release</w:t>
      </w:r>
    </w:p>
    <w:p w:rsidR="00AE21A1" w:rsidRPr="00E27938" w:rsidRDefault="00AE21A1" w:rsidP="0068211C">
      <w:pPr>
        <w:pStyle w:val="ListParagraph"/>
        <w:spacing w:after="120"/>
        <w:jc w:val="both"/>
        <w:rPr>
          <w:rFonts w:ascii="Arial Narrow" w:hAnsi="Arial Narrow" w:cs="Arial"/>
          <w:sz w:val="18"/>
          <w:szCs w:val="18"/>
          <w:lang w:val="en-GB"/>
        </w:rPr>
      </w:pPr>
      <w:r w:rsidRPr="00E27938">
        <w:rPr>
          <w:rFonts w:ascii="Arial Narrow" w:hAnsi="Arial Narrow" w:cs="Arial"/>
          <w:sz w:val="18"/>
          <w:szCs w:val="18"/>
          <w:lang w:val="en-GB"/>
        </w:rPr>
        <w:t xml:space="preserve"># </w:t>
      </w:r>
      <w:proofErr w:type="spellStart"/>
      <w:r w:rsidRPr="00E27938">
        <w:rPr>
          <w:rFonts w:ascii="Arial Narrow" w:hAnsi="Arial Narrow" w:cs="Arial"/>
          <w:sz w:val="18"/>
          <w:szCs w:val="18"/>
          <w:lang w:val="en-GB"/>
        </w:rPr>
        <w:t>Sitagliptin</w:t>
      </w:r>
      <w:proofErr w:type="spellEnd"/>
      <w:r w:rsidRPr="00E27938">
        <w:rPr>
          <w:rFonts w:ascii="Arial Narrow" w:hAnsi="Arial Narrow" w:cs="Arial"/>
          <w:sz w:val="18"/>
          <w:szCs w:val="18"/>
          <w:lang w:val="en-GB"/>
        </w:rPr>
        <w:t xml:space="preserve"> mono-component vs FDC ratio</w:t>
      </w:r>
      <w:r w:rsidR="00B263AD">
        <w:rPr>
          <w:rFonts w:ascii="Arial Narrow" w:hAnsi="Arial Narrow" w:cs="Arial"/>
          <w:sz w:val="18"/>
          <w:szCs w:val="18"/>
          <w:lang w:val="en-GB"/>
        </w:rPr>
        <w:t xml:space="preserve"> (see paragraph 4.5)</w:t>
      </w:r>
    </w:p>
    <w:p w:rsidR="00AE21A1" w:rsidRPr="00AE21A1" w:rsidRDefault="00AE21A1" w:rsidP="0068211C">
      <w:pPr>
        <w:pStyle w:val="ListParagraph"/>
        <w:spacing w:after="120"/>
        <w:jc w:val="both"/>
        <w:rPr>
          <w:rFonts w:ascii="Arial Narrow" w:hAnsi="Arial Narrow" w:cs="Arial"/>
          <w:sz w:val="18"/>
          <w:szCs w:val="18"/>
          <w:lang w:val="en-GB"/>
        </w:rPr>
      </w:pPr>
    </w:p>
    <w:p w:rsidR="00C00DA7" w:rsidRPr="00AE21A1" w:rsidRDefault="009E1941" w:rsidP="0068211C">
      <w:pPr>
        <w:pStyle w:val="ListParagraph"/>
        <w:numPr>
          <w:ilvl w:val="1"/>
          <w:numId w:val="1"/>
        </w:numPr>
        <w:jc w:val="both"/>
        <w:rPr>
          <w:rFonts w:ascii="Arial" w:hAnsi="Arial"/>
          <w:sz w:val="22"/>
          <w:szCs w:val="22"/>
        </w:rPr>
      </w:pPr>
      <w:r>
        <w:rPr>
          <w:rFonts w:ascii="Arial" w:hAnsi="Arial"/>
          <w:sz w:val="22"/>
          <w:szCs w:val="22"/>
        </w:rPr>
        <w:t xml:space="preserve">The estimated use and financial implications of listing </w:t>
      </w:r>
      <w:proofErr w:type="spellStart"/>
      <w:r>
        <w:rPr>
          <w:rFonts w:ascii="Arial" w:hAnsi="Arial"/>
          <w:sz w:val="22"/>
          <w:szCs w:val="22"/>
        </w:rPr>
        <w:t>saxagliptin+</w:t>
      </w:r>
      <w:r w:rsidR="005D0807">
        <w:rPr>
          <w:rFonts w:ascii="Arial" w:hAnsi="Arial"/>
          <w:sz w:val="22"/>
          <w:szCs w:val="22"/>
        </w:rPr>
        <w:t>MET</w:t>
      </w:r>
      <w:proofErr w:type="spellEnd"/>
      <w:r>
        <w:rPr>
          <w:rFonts w:ascii="Arial" w:hAnsi="Arial"/>
          <w:sz w:val="22"/>
          <w:szCs w:val="22"/>
        </w:rPr>
        <w:t xml:space="preserve"> </w:t>
      </w:r>
      <w:r w:rsidR="00F77DD9">
        <w:rPr>
          <w:rFonts w:ascii="Arial" w:hAnsi="Arial"/>
          <w:sz w:val="22"/>
          <w:szCs w:val="22"/>
        </w:rPr>
        <w:t xml:space="preserve">XR FDC </w:t>
      </w:r>
      <w:r>
        <w:rPr>
          <w:rFonts w:ascii="Arial" w:hAnsi="Arial"/>
          <w:sz w:val="22"/>
          <w:szCs w:val="22"/>
        </w:rPr>
        <w:t xml:space="preserve">on the PBS </w:t>
      </w:r>
      <w:r w:rsidR="00C00DA7" w:rsidRPr="00AE21A1">
        <w:rPr>
          <w:rFonts w:ascii="Arial" w:hAnsi="Arial"/>
          <w:sz w:val="22"/>
          <w:szCs w:val="22"/>
        </w:rPr>
        <w:t xml:space="preserve">is summarised in the </w:t>
      </w:r>
      <w:r w:rsidR="00F00FDA">
        <w:rPr>
          <w:rFonts w:ascii="Arial" w:hAnsi="Arial"/>
          <w:sz w:val="22"/>
          <w:szCs w:val="22"/>
        </w:rPr>
        <w:t>following table</w:t>
      </w:r>
      <w:r w:rsidR="00C00DA7" w:rsidRPr="00AE21A1">
        <w:rPr>
          <w:rFonts w:ascii="Arial" w:hAnsi="Arial"/>
          <w:sz w:val="22"/>
          <w:szCs w:val="22"/>
        </w:rPr>
        <w:t xml:space="preserve">. </w:t>
      </w:r>
    </w:p>
    <w:p w:rsidR="00BB7EC3" w:rsidRPr="00C00DA7" w:rsidRDefault="00BB7EC3" w:rsidP="0068211C">
      <w:pPr>
        <w:jc w:val="both"/>
        <w:rPr>
          <w:rFonts w:ascii="Arial" w:hAnsi="Arial"/>
          <w:sz w:val="22"/>
          <w:szCs w:val="22"/>
        </w:rPr>
      </w:pPr>
    </w:p>
    <w:p w:rsidR="009E1941" w:rsidRPr="006C2606" w:rsidRDefault="009E1941" w:rsidP="003E7F9C">
      <w:pPr>
        <w:keepNext/>
        <w:ind w:firstLine="720"/>
        <w:rPr>
          <w:rFonts w:ascii="Arial Narrow" w:hAnsi="Arial Narrow"/>
          <w:b/>
          <w:sz w:val="20"/>
          <w:szCs w:val="20"/>
        </w:rPr>
      </w:pPr>
      <w:r w:rsidRPr="006C2606">
        <w:rPr>
          <w:rFonts w:ascii="Arial Narrow" w:hAnsi="Arial Narrow"/>
          <w:b/>
          <w:sz w:val="20"/>
          <w:szCs w:val="20"/>
        </w:rPr>
        <w:t>Table 3: Estimated use and financial implications</w:t>
      </w:r>
    </w:p>
    <w:tbl>
      <w:tblPr>
        <w:tblStyle w:val="TableGrid"/>
        <w:tblW w:w="8363" w:type="dxa"/>
        <w:tblInd w:w="817" w:type="dxa"/>
        <w:shd w:val="clear" w:color="auto" w:fill="FFFFFF" w:themeFill="background1"/>
        <w:tblLayout w:type="fixed"/>
        <w:tblLook w:val="04A0" w:firstRow="1" w:lastRow="0" w:firstColumn="1" w:lastColumn="0" w:noHBand="0" w:noVBand="1"/>
        <w:tblCaption w:val="Table 3: Estimated use and financial implications"/>
        <w:tblDescription w:val="The redacted table above shows that at year 5, the estimated number of patients was less than 10,000 and the net save to the RPBS/PBS would be less than $10 million."/>
      </w:tblPr>
      <w:tblGrid>
        <w:gridCol w:w="2126"/>
        <w:gridCol w:w="1039"/>
        <w:gridCol w:w="1040"/>
        <w:gridCol w:w="1039"/>
        <w:gridCol w:w="1040"/>
        <w:gridCol w:w="1039"/>
        <w:gridCol w:w="1040"/>
      </w:tblGrid>
      <w:tr w:rsidR="009E1941" w:rsidRPr="006C2606" w:rsidTr="00AC0579">
        <w:trPr>
          <w:tblHeader/>
        </w:trPr>
        <w:tc>
          <w:tcPr>
            <w:tcW w:w="2126" w:type="dxa"/>
            <w:shd w:val="clear" w:color="auto" w:fill="FFFFFF" w:themeFill="background1"/>
            <w:noWrap/>
            <w:hideMark/>
          </w:tcPr>
          <w:p w:rsidR="009E1941" w:rsidRPr="006C2606" w:rsidRDefault="009E1941" w:rsidP="0068211C">
            <w:pPr>
              <w:pStyle w:val="Table"/>
              <w:spacing w:line="240" w:lineRule="auto"/>
              <w:rPr>
                <w:rFonts w:ascii="Arial Narrow" w:hAnsi="Arial Narrow"/>
                <w:b/>
                <w:sz w:val="20"/>
                <w:szCs w:val="20"/>
              </w:rPr>
            </w:pPr>
          </w:p>
        </w:tc>
        <w:tc>
          <w:tcPr>
            <w:tcW w:w="1039" w:type="dxa"/>
            <w:shd w:val="clear" w:color="auto" w:fill="FFFFFF" w:themeFill="background1"/>
            <w:noWrap/>
            <w:hideMark/>
          </w:tcPr>
          <w:p w:rsidR="009E1941" w:rsidRPr="006C2606" w:rsidRDefault="009E1941" w:rsidP="0068211C">
            <w:pPr>
              <w:pStyle w:val="TableCentre"/>
              <w:rPr>
                <w:rFonts w:ascii="Arial Narrow" w:hAnsi="Arial Narrow"/>
                <w:b/>
                <w:szCs w:val="20"/>
              </w:rPr>
            </w:pPr>
            <w:r w:rsidRPr="006C2606">
              <w:rPr>
                <w:rFonts w:ascii="Arial Narrow" w:hAnsi="Arial Narrow"/>
                <w:b/>
                <w:szCs w:val="20"/>
              </w:rPr>
              <w:t>Year 1</w:t>
            </w:r>
          </w:p>
        </w:tc>
        <w:tc>
          <w:tcPr>
            <w:tcW w:w="1040" w:type="dxa"/>
            <w:shd w:val="clear" w:color="auto" w:fill="FFFFFF" w:themeFill="background1"/>
            <w:noWrap/>
            <w:hideMark/>
          </w:tcPr>
          <w:p w:rsidR="009E1941" w:rsidRPr="00E27938" w:rsidRDefault="009E1941" w:rsidP="0068211C">
            <w:pPr>
              <w:pStyle w:val="TableCentre"/>
              <w:rPr>
                <w:rFonts w:ascii="Arial Narrow" w:hAnsi="Arial Narrow"/>
                <w:b/>
                <w:szCs w:val="20"/>
              </w:rPr>
            </w:pPr>
            <w:r w:rsidRPr="00E27938">
              <w:rPr>
                <w:rFonts w:ascii="Arial Narrow" w:hAnsi="Arial Narrow"/>
                <w:b/>
                <w:szCs w:val="20"/>
              </w:rPr>
              <w:t>Year 2</w:t>
            </w:r>
          </w:p>
        </w:tc>
        <w:tc>
          <w:tcPr>
            <w:tcW w:w="1039" w:type="dxa"/>
            <w:shd w:val="clear" w:color="auto" w:fill="FFFFFF" w:themeFill="background1"/>
            <w:noWrap/>
            <w:hideMark/>
          </w:tcPr>
          <w:p w:rsidR="009E1941" w:rsidRPr="00E27938" w:rsidRDefault="009E1941" w:rsidP="0068211C">
            <w:pPr>
              <w:pStyle w:val="TableCentre"/>
              <w:rPr>
                <w:rFonts w:ascii="Arial Narrow" w:hAnsi="Arial Narrow"/>
                <w:b/>
                <w:szCs w:val="20"/>
              </w:rPr>
            </w:pPr>
            <w:r w:rsidRPr="00E27938">
              <w:rPr>
                <w:rFonts w:ascii="Arial Narrow" w:hAnsi="Arial Narrow"/>
                <w:b/>
                <w:szCs w:val="20"/>
              </w:rPr>
              <w:t>Year 3</w:t>
            </w:r>
          </w:p>
        </w:tc>
        <w:tc>
          <w:tcPr>
            <w:tcW w:w="1040" w:type="dxa"/>
            <w:shd w:val="clear" w:color="auto" w:fill="FFFFFF" w:themeFill="background1"/>
            <w:noWrap/>
            <w:hideMark/>
          </w:tcPr>
          <w:p w:rsidR="009E1941" w:rsidRPr="006C2606" w:rsidRDefault="009E1941" w:rsidP="0068211C">
            <w:pPr>
              <w:pStyle w:val="TableCentre"/>
              <w:rPr>
                <w:rFonts w:ascii="Arial Narrow" w:hAnsi="Arial Narrow"/>
                <w:b/>
                <w:szCs w:val="20"/>
              </w:rPr>
            </w:pPr>
            <w:r w:rsidRPr="006C2606">
              <w:rPr>
                <w:rFonts w:ascii="Arial Narrow" w:hAnsi="Arial Narrow"/>
                <w:b/>
                <w:szCs w:val="20"/>
              </w:rPr>
              <w:t>Year 4</w:t>
            </w:r>
          </w:p>
        </w:tc>
        <w:tc>
          <w:tcPr>
            <w:tcW w:w="1039" w:type="dxa"/>
            <w:shd w:val="clear" w:color="auto" w:fill="FFFFFF" w:themeFill="background1"/>
            <w:noWrap/>
            <w:hideMark/>
          </w:tcPr>
          <w:p w:rsidR="009E1941" w:rsidRPr="006C2606" w:rsidRDefault="009E1941" w:rsidP="0068211C">
            <w:pPr>
              <w:pStyle w:val="TableCentre"/>
              <w:rPr>
                <w:rFonts w:ascii="Arial Narrow" w:hAnsi="Arial Narrow"/>
                <w:b/>
                <w:szCs w:val="20"/>
              </w:rPr>
            </w:pPr>
            <w:r w:rsidRPr="006C2606">
              <w:rPr>
                <w:rFonts w:ascii="Arial Narrow" w:hAnsi="Arial Narrow"/>
                <w:b/>
                <w:szCs w:val="20"/>
              </w:rPr>
              <w:t>Year 5</w:t>
            </w:r>
          </w:p>
        </w:tc>
        <w:tc>
          <w:tcPr>
            <w:tcW w:w="1040" w:type="dxa"/>
            <w:shd w:val="clear" w:color="auto" w:fill="FFFFFF" w:themeFill="background1"/>
          </w:tcPr>
          <w:p w:rsidR="009E1941" w:rsidRPr="006C2606" w:rsidRDefault="006C2606" w:rsidP="0068211C">
            <w:pPr>
              <w:pStyle w:val="TableCentre"/>
              <w:ind w:left="-57" w:right="-57"/>
              <w:rPr>
                <w:rFonts w:ascii="Arial Narrow" w:hAnsi="Arial Narrow"/>
                <w:b/>
                <w:szCs w:val="20"/>
              </w:rPr>
            </w:pPr>
            <w:r>
              <w:rPr>
                <w:rFonts w:ascii="Arial Narrow" w:hAnsi="Arial Narrow"/>
                <w:b/>
                <w:szCs w:val="20"/>
              </w:rPr>
              <w:t>Total</w:t>
            </w:r>
          </w:p>
        </w:tc>
      </w:tr>
      <w:tr w:rsidR="009E1941" w:rsidRPr="006C2606" w:rsidTr="00FE5B1F">
        <w:tc>
          <w:tcPr>
            <w:tcW w:w="8363" w:type="dxa"/>
            <w:gridSpan w:val="7"/>
            <w:shd w:val="clear" w:color="auto" w:fill="FFFFFF" w:themeFill="background1"/>
            <w:noWrap/>
          </w:tcPr>
          <w:p w:rsidR="009E1941" w:rsidRPr="006C2606" w:rsidRDefault="009E1941" w:rsidP="0068211C">
            <w:pPr>
              <w:pStyle w:val="TableRight"/>
              <w:jc w:val="left"/>
              <w:rPr>
                <w:rFonts w:ascii="Arial Narrow" w:hAnsi="Arial Narrow"/>
                <w:b/>
                <w:szCs w:val="20"/>
              </w:rPr>
            </w:pPr>
            <w:r w:rsidRPr="006C2606">
              <w:rPr>
                <w:rFonts w:ascii="Arial Narrow" w:hAnsi="Arial Narrow"/>
                <w:b/>
                <w:szCs w:val="20"/>
              </w:rPr>
              <w:t>Extent of use</w:t>
            </w:r>
          </w:p>
        </w:tc>
      </w:tr>
      <w:tr w:rsidR="009E1941" w:rsidRPr="006C2606" w:rsidTr="00FE5B1F">
        <w:tc>
          <w:tcPr>
            <w:tcW w:w="2126" w:type="dxa"/>
            <w:shd w:val="clear" w:color="auto" w:fill="FFFFFF" w:themeFill="background1"/>
            <w:noWrap/>
            <w:hideMark/>
          </w:tcPr>
          <w:p w:rsidR="009E1941" w:rsidRPr="006C2606" w:rsidRDefault="009E1941" w:rsidP="0068211C">
            <w:pPr>
              <w:pStyle w:val="Table"/>
              <w:spacing w:line="240" w:lineRule="auto"/>
              <w:rPr>
                <w:rFonts w:ascii="Arial Narrow" w:hAnsi="Arial Narrow"/>
                <w:sz w:val="20"/>
                <w:szCs w:val="20"/>
              </w:rPr>
            </w:pPr>
            <w:r w:rsidRPr="006C2606">
              <w:rPr>
                <w:rFonts w:ascii="Arial Narrow" w:hAnsi="Arial Narrow"/>
                <w:sz w:val="20"/>
                <w:szCs w:val="20"/>
              </w:rPr>
              <w:t>Number treated</w:t>
            </w:r>
          </w:p>
        </w:tc>
        <w:tc>
          <w:tcPr>
            <w:tcW w:w="1039" w:type="dxa"/>
            <w:shd w:val="clear" w:color="auto" w:fill="FFFFFF" w:themeFill="background1"/>
            <w:noWrap/>
          </w:tcPr>
          <w:p w:rsidR="009E1941" w:rsidRPr="00192A94" w:rsidRDefault="00192A94" w:rsidP="0068211C">
            <w:pPr>
              <w:pStyle w:val="TableRight"/>
              <w:jc w:val="center"/>
              <w:rPr>
                <w:rFonts w:ascii="Arial Narrow" w:hAnsi="Arial Narrow"/>
                <w:szCs w:val="20"/>
                <w:highlight w:val="black"/>
              </w:rPr>
            </w:pPr>
            <w:r>
              <w:rPr>
                <w:rFonts w:ascii="Arial Narrow" w:hAnsi="Arial Narrow"/>
                <w:noProof/>
                <w:color w:val="000000"/>
                <w:szCs w:val="20"/>
                <w:highlight w:val="black"/>
              </w:rPr>
              <w:t>'''''''''</w:t>
            </w:r>
          </w:p>
        </w:tc>
        <w:tc>
          <w:tcPr>
            <w:tcW w:w="1040" w:type="dxa"/>
            <w:shd w:val="clear" w:color="auto" w:fill="FFFFFF" w:themeFill="background1"/>
            <w:noWrap/>
          </w:tcPr>
          <w:p w:rsidR="009E1941" w:rsidRPr="00192A94" w:rsidRDefault="00192A94" w:rsidP="0068211C">
            <w:pPr>
              <w:pStyle w:val="TableRight"/>
              <w:jc w:val="center"/>
              <w:rPr>
                <w:rFonts w:ascii="Arial Narrow" w:hAnsi="Arial Narrow"/>
                <w:szCs w:val="20"/>
                <w:highlight w:val="black"/>
              </w:rPr>
            </w:pPr>
            <w:r>
              <w:rPr>
                <w:rFonts w:ascii="Arial Narrow" w:hAnsi="Arial Narrow"/>
                <w:noProof/>
                <w:color w:val="000000"/>
                <w:szCs w:val="20"/>
                <w:highlight w:val="black"/>
              </w:rPr>
              <w:t>''''''''''''</w:t>
            </w:r>
          </w:p>
        </w:tc>
        <w:tc>
          <w:tcPr>
            <w:tcW w:w="1039" w:type="dxa"/>
            <w:shd w:val="clear" w:color="auto" w:fill="FFFFFF" w:themeFill="background1"/>
            <w:noWrap/>
          </w:tcPr>
          <w:p w:rsidR="009E1941" w:rsidRPr="00192A94" w:rsidRDefault="00192A94" w:rsidP="0068211C">
            <w:pPr>
              <w:pStyle w:val="TableRight"/>
              <w:jc w:val="center"/>
              <w:rPr>
                <w:rFonts w:ascii="Arial Narrow" w:hAnsi="Arial Narrow"/>
                <w:szCs w:val="20"/>
                <w:highlight w:val="black"/>
              </w:rPr>
            </w:pPr>
            <w:r>
              <w:rPr>
                <w:rFonts w:ascii="Arial Narrow" w:hAnsi="Arial Narrow"/>
                <w:noProof/>
                <w:color w:val="000000"/>
                <w:szCs w:val="20"/>
                <w:highlight w:val="black"/>
              </w:rPr>
              <w:t>'''''''''''''''</w:t>
            </w:r>
          </w:p>
        </w:tc>
        <w:tc>
          <w:tcPr>
            <w:tcW w:w="1040" w:type="dxa"/>
            <w:shd w:val="clear" w:color="auto" w:fill="FFFFFF" w:themeFill="background1"/>
            <w:noWrap/>
          </w:tcPr>
          <w:p w:rsidR="009E1941" w:rsidRPr="00192A94" w:rsidRDefault="00192A94" w:rsidP="0068211C">
            <w:pPr>
              <w:pStyle w:val="TableRight"/>
              <w:jc w:val="center"/>
              <w:rPr>
                <w:rFonts w:ascii="Arial Narrow" w:hAnsi="Arial Narrow"/>
                <w:szCs w:val="20"/>
                <w:highlight w:val="black"/>
              </w:rPr>
            </w:pPr>
            <w:r>
              <w:rPr>
                <w:rFonts w:ascii="Arial Narrow" w:hAnsi="Arial Narrow"/>
                <w:noProof/>
                <w:color w:val="000000"/>
                <w:szCs w:val="20"/>
                <w:highlight w:val="black"/>
              </w:rPr>
              <w:t>'''''''''''''</w:t>
            </w:r>
          </w:p>
        </w:tc>
        <w:tc>
          <w:tcPr>
            <w:tcW w:w="1039" w:type="dxa"/>
            <w:shd w:val="clear" w:color="auto" w:fill="FFFFFF" w:themeFill="background1"/>
            <w:noWrap/>
          </w:tcPr>
          <w:p w:rsidR="009E1941" w:rsidRPr="00192A94" w:rsidRDefault="00192A94" w:rsidP="0068211C">
            <w:pPr>
              <w:pStyle w:val="TableRight"/>
              <w:jc w:val="center"/>
              <w:rPr>
                <w:rFonts w:ascii="Arial Narrow" w:hAnsi="Arial Narrow"/>
                <w:szCs w:val="20"/>
                <w:highlight w:val="black"/>
              </w:rPr>
            </w:pPr>
            <w:r>
              <w:rPr>
                <w:rFonts w:ascii="Arial Narrow" w:hAnsi="Arial Narrow"/>
                <w:noProof/>
                <w:color w:val="000000"/>
                <w:szCs w:val="20"/>
                <w:highlight w:val="black"/>
              </w:rPr>
              <w:t>''''''''''''''</w:t>
            </w:r>
          </w:p>
        </w:tc>
        <w:tc>
          <w:tcPr>
            <w:tcW w:w="1040" w:type="dxa"/>
            <w:shd w:val="clear" w:color="auto" w:fill="FFFFFF" w:themeFill="background1"/>
          </w:tcPr>
          <w:p w:rsidR="009E1941" w:rsidRPr="00192A94" w:rsidRDefault="00192A94" w:rsidP="0068211C">
            <w:pPr>
              <w:pStyle w:val="TableRight"/>
              <w:jc w:val="center"/>
              <w:rPr>
                <w:rFonts w:ascii="Arial Narrow" w:hAnsi="Arial Narrow"/>
                <w:szCs w:val="20"/>
                <w:highlight w:val="black"/>
              </w:rPr>
            </w:pPr>
            <w:r>
              <w:rPr>
                <w:rFonts w:ascii="Arial Narrow" w:hAnsi="Arial Narrow"/>
                <w:noProof/>
                <w:color w:val="000000"/>
                <w:szCs w:val="20"/>
                <w:highlight w:val="black"/>
              </w:rPr>
              <w:t>'''''''''''''''''</w:t>
            </w:r>
          </w:p>
        </w:tc>
      </w:tr>
      <w:tr w:rsidR="009E1941" w:rsidRPr="006C2606" w:rsidTr="00FE5B1F">
        <w:tc>
          <w:tcPr>
            <w:tcW w:w="2126" w:type="dxa"/>
            <w:shd w:val="clear" w:color="auto" w:fill="FFFFFF" w:themeFill="background1"/>
            <w:noWrap/>
            <w:hideMark/>
          </w:tcPr>
          <w:p w:rsidR="009E1941" w:rsidRPr="006C2606" w:rsidRDefault="009E1941" w:rsidP="0068211C">
            <w:pPr>
              <w:pStyle w:val="Table"/>
              <w:spacing w:line="240" w:lineRule="auto"/>
              <w:rPr>
                <w:rFonts w:ascii="Arial Narrow" w:hAnsi="Arial Narrow"/>
                <w:sz w:val="20"/>
                <w:szCs w:val="20"/>
              </w:rPr>
            </w:pPr>
            <w:r w:rsidRPr="006C2606">
              <w:rPr>
                <w:rFonts w:ascii="Arial Narrow" w:hAnsi="Arial Narrow"/>
                <w:sz w:val="20"/>
                <w:szCs w:val="20"/>
              </w:rPr>
              <w:t>Number of s</w:t>
            </w:r>
            <w:r w:rsidR="00C5144C" w:rsidRPr="006C2606">
              <w:rPr>
                <w:rFonts w:ascii="Arial Narrow" w:hAnsi="Arial Narrow"/>
                <w:sz w:val="20"/>
                <w:szCs w:val="20"/>
              </w:rPr>
              <w:t>ervices</w:t>
            </w:r>
          </w:p>
        </w:tc>
        <w:tc>
          <w:tcPr>
            <w:tcW w:w="1039" w:type="dxa"/>
            <w:shd w:val="clear" w:color="auto" w:fill="FFFFFF" w:themeFill="background1"/>
            <w:noWrap/>
            <w:vAlign w:val="bottom"/>
          </w:tcPr>
          <w:p w:rsidR="009E1941" w:rsidRPr="00192A94" w:rsidRDefault="00192A94" w:rsidP="0068211C">
            <w:pPr>
              <w:pStyle w:val="TableRight"/>
              <w:jc w:val="center"/>
              <w:rPr>
                <w:rFonts w:ascii="Arial Narrow" w:hAnsi="Arial Narrow"/>
                <w:szCs w:val="20"/>
                <w:highlight w:val="black"/>
              </w:rPr>
            </w:pPr>
            <w:r>
              <w:rPr>
                <w:rFonts w:ascii="Arial Narrow" w:hAnsi="Arial Narrow"/>
                <w:noProof/>
                <w:color w:val="000000"/>
                <w:szCs w:val="20"/>
                <w:highlight w:val="black"/>
              </w:rPr>
              <w:t>''''''''''''</w:t>
            </w:r>
          </w:p>
        </w:tc>
        <w:tc>
          <w:tcPr>
            <w:tcW w:w="1040" w:type="dxa"/>
            <w:shd w:val="clear" w:color="auto" w:fill="FFFFFF" w:themeFill="background1"/>
            <w:noWrap/>
            <w:vAlign w:val="bottom"/>
          </w:tcPr>
          <w:p w:rsidR="009E1941" w:rsidRPr="00192A94" w:rsidRDefault="00192A94" w:rsidP="0068211C">
            <w:pPr>
              <w:pStyle w:val="TableRight"/>
              <w:jc w:val="center"/>
              <w:rPr>
                <w:rFonts w:ascii="Arial Narrow" w:hAnsi="Arial Narrow"/>
                <w:szCs w:val="20"/>
                <w:highlight w:val="black"/>
              </w:rPr>
            </w:pPr>
            <w:r>
              <w:rPr>
                <w:rFonts w:ascii="Arial Narrow" w:hAnsi="Arial Narrow"/>
                <w:noProof/>
                <w:color w:val="000000"/>
                <w:szCs w:val="20"/>
                <w:highlight w:val="black"/>
              </w:rPr>
              <w:t>'''''''''''''''</w:t>
            </w:r>
          </w:p>
        </w:tc>
        <w:tc>
          <w:tcPr>
            <w:tcW w:w="1039" w:type="dxa"/>
            <w:shd w:val="clear" w:color="auto" w:fill="FFFFFF" w:themeFill="background1"/>
            <w:noWrap/>
            <w:vAlign w:val="bottom"/>
          </w:tcPr>
          <w:p w:rsidR="009E1941" w:rsidRPr="00192A94" w:rsidRDefault="00192A94" w:rsidP="0068211C">
            <w:pPr>
              <w:pStyle w:val="TableRight"/>
              <w:jc w:val="center"/>
              <w:rPr>
                <w:rFonts w:ascii="Arial Narrow" w:hAnsi="Arial Narrow"/>
                <w:szCs w:val="20"/>
                <w:highlight w:val="black"/>
              </w:rPr>
            </w:pPr>
            <w:r>
              <w:rPr>
                <w:rFonts w:ascii="Arial Narrow" w:hAnsi="Arial Narrow"/>
                <w:noProof/>
                <w:color w:val="000000"/>
                <w:szCs w:val="20"/>
                <w:highlight w:val="black"/>
              </w:rPr>
              <w:t>''''''''''''''''</w:t>
            </w:r>
          </w:p>
        </w:tc>
        <w:tc>
          <w:tcPr>
            <w:tcW w:w="1040" w:type="dxa"/>
            <w:shd w:val="clear" w:color="auto" w:fill="FFFFFF" w:themeFill="background1"/>
            <w:noWrap/>
            <w:vAlign w:val="bottom"/>
          </w:tcPr>
          <w:p w:rsidR="009E1941" w:rsidRPr="00192A94" w:rsidRDefault="00192A94" w:rsidP="0068211C">
            <w:pPr>
              <w:pStyle w:val="TableRight"/>
              <w:jc w:val="center"/>
              <w:rPr>
                <w:rFonts w:ascii="Arial Narrow" w:hAnsi="Arial Narrow"/>
                <w:szCs w:val="20"/>
                <w:highlight w:val="black"/>
              </w:rPr>
            </w:pPr>
            <w:r>
              <w:rPr>
                <w:rFonts w:ascii="Arial Narrow" w:hAnsi="Arial Narrow"/>
                <w:noProof/>
                <w:color w:val="000000"/>
                <w:szCs w:val="20"/>
                <w:highlight w:val="black"/>
              </w:rPr>
              <w:t>'''''''''''''''</w:t>
            </w:r>
          </w:p>
        </w:tc>
        <w:tc>
          <w:tcPr>
            <w:tcW w:w="1039" w:type="dxa"/>
            <w:shd w:val="clear" w:color="auto" w:fill="FFFFFF" w:themeFill="background1"/>
            <w:noWrap/>
            <w:vAlign w:val="bottom"/>
          </w:tcPr>
          <w:p w:rsidR="009E1941" w:rsidRPr="00192A94" w:rsidRDefault="00192A94" w:rsidP="0068211C">
            <w:pPr>
              <w:pStyle w:val="TableRight"/>
              <w:jc w:val="center"/>
              <w:rPr>
                <w:rFonts w:ascii="Arial Narrow" w:hAnsi="Arial Narrow"/>
                <w:szCs w:val="20"/>
                <w:highlight w:val="black"/>
              </w:rPr>
            </w:pPr>
            <w:r>
              <w:rPr>
                <w:rFonts w:ascii="Arial Narrow" w:hAnsi="Arial Narrow"/>
                <w:noProof/>
                <w:color w:val="000000"/>
                <w:szCs w:val="20"/>
                <w:highlight w:val="black"/>
              </w:rPr>
              <w:t>''''''''''''''''</w:t>
            </w:r>
          </w:p>
        </w:tc>
        <w:tc>
          <w:tcPr>
            <w:tcW w:w="1040" w:type="dxa"/>
            <w:shd w:val="clear" w:color="auto" w:fill="FFFFFF" w:themeFill="background1"/>
            <w:vAlign w:val="bottom"/>
          </w:tcPr>
          <w:p w:rsidR="009E1941" w:rsidRPr="00192A94" w:rsidRDefault="00192A94" w:rsidP="0068211C">
            <w:pPr>
              <w:pStyle w:val="TableRight"/>
              <w:jc w:val="center"/>
              <w:rPr>
                <w:rFonts w:ascii="Arial Narrow" w:hAnsi="Arial Narrow"/>
                <w:szCs w:val="20"/>
                <w:highlight w:val="black"/>
              </w:rPr>
            </w:pPr>
            <w:r>
              <w:rPr>
                <w:rFonts w:ascii="Arial Narrow" w:hAnsi="Arial Narrow"/>
                <w:noProof/>
                <w:color w:val="000000"/>
                <w:szCs w:val="20"/>
                <w:highlight w:val="black"/>
              </w:rPr>
              <w:t>'''''''''''''''''''</w:t>
            </w:r>
          </w:p>
        </w:tc>
      </w:tr>
      <w:tr w:rsidR="009E1941" w:rsidRPr="006C2606" w:rsidTr="00FE5B1F">
        <w:tc>
          <w:tcPr>
            <w:tcW w:w="8363" w:type="dxa"/>
            <w:gridSpan w:val="7"/>
            <w:shd w:val="clear" w:color="auto" w:fill="FFFFFF" w:themeFill="background1"/>
            <w:noWrap/>
            <w:hideMark/>
          </w:tcPr>
          <w:p w:rsidR="009E1941" w:rsidRPr="006C2606" w:rsidRDefault="00C5144C" w:rsidP="0068211C">
            <w:pPr>
              <w:pStyle w:val="TableCentre"/>
              <w:jc w:val="left"/>
              <w:rPr>
                <w:rFonts w:ascii="Arial Narrow" w:hAnsi="Arial Narrow"/>
                <w:b/>
                <w:szCs w:val="20"/>
              </w:rPr>
            </w:pPr>
            <w:r w:rsidRPr="006C2606">
              <w:rPr>
                <w:rFonts w:ascii="Arial Narrow" w:hAnsi="Arial Narrow"/>
                <w:b/>
                <w:szCs w:val="20"/>
              </w:rPr>
              <w:t xml:space="preserve">Cost of listing </w:t>
            </w:r>
            <w:proofErr w:type="spellStart"/>
            <w:r w:rsidRPr="006C2606">
              <w:rPr>
                <w:rFonts w:ascii="Arial Narrow" w:hAnsi="Arial Narrow"/>
                <w:b/>
                <w:szCs w:val="20"/>
              </w:rPr>
              <w:t>saxagliptin+metformin</w:t>
            </w:r>
            <w:proofErr w:type="spellEnd"/>
            <w:r w:rsidRPr="006C2606">
              <w:rPr>
                <w:rFonts w:ascii="Arial Narrow" w:hAnsi="Arial Narrow"/>
                <w:b/>
                <w:szCs w:val="20"/>
              </w:rPr>
              <w:t xml:space="preserve"> </w:t>
            </w:r>
            <w:r w:rsidR="00E27938">
              <w:rPr>
                <w:rFonts w:ascii="Arial Narrow" w:hAnsi="Arial Narrow"/>
                <w:b/>
                <w:szCs w:val="20"/>
              </w:rPr>
              <w:t>on the</w:t>
            </w:r>
            <w:r w:rsidRPr="006C2606">
              <w:rPr>
                <w:rFonts w:ascii="Arial Narrow" w:hAnsi="Arial Narrow"/>
                <w:b/>
                <w:szCs w:val="20"/>
              </w:rPr>
              <w:t xml:space="preserve"> PBS/RPBS</w:t>
            </w:r>
          </w:p>
        </w:tc>
      </w:tr>
      <w:tr w:rsidR="009E1941" w:rsidRPr="006C2606" w:rsidTr="00FE5B1F">
        <w:tc>
          <w:tcPr>
            <w:tcW w:w="2126" w:type="dxa"/>
            <w:shd w:val="clear" w:color="auto" w:fill="FFFFFF" w:themeFill="background1"/>
            <w:noWrap/>
            <w:hideMark/>
          </w:tcPr>
          <w:p w:rsidR="009E1941" w:rsidRPr="006C2606" w:rsidRDefault="00C5144C" w:rsidP="0068211C">
            <w:pPr>
              <w:pStyle w:val="Table"/>
              <w:spacing w:line="240" w:lineRule="auto"/>
              <w:ind w:right="-57"/>
              <w:rPr>
                <w:rFonts w:ascii="Arial Narrow" w:hAnsi="Arial Narrow"/>
                <w:sz w:val="20"/>
                <w:szCs w:val="20"/>
              </w:rPr>
            </w:pPr>
            <w:r w:rsidRPr="006C2606">
              <w:rPr>
                <w:rFonts w:ascii="Arial Narrow" w:hAnsi="Arial Narrow"/>
                <w:sz w:val="20"/>
                <w:szCs w:val="20"/>
              </w:rPr>
              <w:t>Cost</w:t>
            </w:r>
            <w:r w:rsidR="009E1941" w:rsidRPr="006C2606">
              <w:rPr>
                <w:rFonts w:ascii="Arial Narrow" w:hAnsi="Arial Narrow"/>
                <w:sz w:val="20"/>
                <w:szCs w:val="20"/>
              </w:rPr>
              <w:t xml:space="preserve"> to the PBS/RPBS </w:t>
            </w:r>
          </w:p>
        </w:tc>
        <w:tc>
          <w:tcPr>
            <w:tcW w:w="1039" w:type="dxa"/>
            <w:shd w:val="clear" w:color="auto" w:fill="FFFFFF" w:themeFill="background1"/>
            <w:noWrap/>
            <w:vAlign w:val="center"/>
          </w:tcPr>
          <w:p w:rsidR="009E1941" w:rsidRPr="00A16C38" w:rsidRDefault="00C5144C" w:rsidP="0068211C">
            <w:pPr>
              <w:pStyle w:val="TableRight"/>
              <w:ind w:right="-57"/>
              <w:rPr>
                <w:rFonts w:ascii="Arial Narrow" w:hAnsi="Arial Narrow"/>
                <w:szCs w:val="20"/>
              </w:rPr>
            </w:pPr>
            <w:r w:rsidRPr="00A16C38">
              <w:rPr>
                <w:rFonts w:ascii="Arial Narrow" w:hAnsi="Arial Narrow"/>
                <w:szCs w:val="20"/>
              </w:rPr>
              <w:t>$</w:t>
            </w:r>
            <w:r w:rsidR="00192A94">
              <w:rPr>
                <w:rFonts w:ascii="Arial Narrow" w:hAnsi="Arial Narrow"/>
                <w:noProof/>
                <w:color w:val="000000"/>
                <w:szCs w:val="20"/>
                <w:highlight w:val="black"/>
              </w:rPr>
              <w:t>''''''''''''''''''</w:t>
            </w:r>
          </w:p>
        </w:tc>
        <w:tc>
          <w:tcPr>
            <w:tcW w:w="1040" w:type="dxa"/>
            <w:shd w:val="clear" w:color="auto" w:fill="FFFFFF" w:themeFill="background1"/>
            <w:noWrap/>
            <w:vAlign w:val="center"/>
          </w:tcPr>
          <w:p w:rsidR="009E1941" w:rsidRPr="00A16C38" w:rsidRDefault="00C5144C" w:rsidP="0068211C">
            <w:pPr>
              <w:pStyle w:val="TableRight"/>
              <w:ind w:right="-57"/>
              <w:rPr>
                <w:rFonts w:ascii="Arial Narrow" w:hAnsi="Arial Narrow"/>
                <w:szCs w:val="20"/>
              </w:rPr>
            </w:pPr>
            <w:r w:rsidRPr="00A16C38">
              <w:rPr>
                <w:rFonts w:ascii="Arial Narrow" w:hAnsi="Arial Narrow"/>
                <w:szCs w:val="20"/>
              </w:rPr>
              <w:t>$</w:t>
            </w:r>
            <w:r w:rsidR="00192A94">
              <w:rPr>
                <w:rFonts w:ascii="Arial Narrow" w:hAnsi="Arial Narrow"/>
                <w:noProof/>
                <w:color w:val="000000"/>
                <w:szCs w:val="20"/>
                <w:highlight w:val="black"/>
              </w:rPr>
              <w:t>'''''''''''''''''</w:t>
            </w:r>
          </w:p>
        </w:tc>
        <w:tc>
          <w:tcPr>
            <w:tcW w:w="1039" w:type="dxa"/>
            <w:shd w:val="clear" w:color="auto" w:fill="FFFFFF" w:themeFill="background1"/>
            <w:noWrap/>
            <w:vAlign w:val="center"/>
          </w:tcPr>
          <w:p w:rsidR="009E1941" w:rsidRPr="00A16C38" w:rsidRDefault="009E1941" w:rsidP="0068211C">
            <w:pPr>
              <w:pStyle w:val="TableRight"/>
              <w:ind w:right="-57"/>
              <w:rPr>
                <w:rFonts w:ascii="Arial Narrow" w:hAnsi="Arial Narrow"/>
                <w:szCs w:val="20"/>
              </w:rPr>
            </w:pPr>
            <w:r w:rsidRPr="00A16C38">
              <w:rPr>
                <w:rFonts w:ascii="Arial Narrow" w:hAnsi="Arial Narrow"/>
                <w:szCs w:val="20"/>
              </w:rPr>
              <w:t>$</w:t>
            </w:r>
            <w:r w:rsidR="00192A94">
              <w:rPr>
                <w:rFonts w:ascii="Arial Narrow" w:hAnsi="Arial Narrow"/>
                <w:noProof/>
                <w:color w:val="000000"/>
                <w:szCs w:val="20"/>
                <w:highlight w:val="black"/>
              </w:rPr>
              <w:t>'''''''''''''''''''''''''</w:t>
            </w:r>
          </w:p>
        </w:tc>
        <w:tc>
          <w:tcPr>
            <w:tcW w:w="1040" w:type="dxa"/>
            <w:shd w:val="clear" w:color="auto" w:fill="FFFFFF" w:themeFill="background1"/>
            <w:noWrap/>
            <w:vAlign w:val="center"/>
          </w:tcPr>
          <w:p w:rsidR="009E1941" w:rsidRPr="00A16C38" w:rsidRDefault="009E1941" w:rsidP="0068211C">
            <w:pPr>
              <w:pStyle w:val="TableRight"/>
              <w:ind w:right="-57"/>
              <w:rPr>
                <w:rFonts w:ascii="Arial Narrow" w:hAnsi="Arial Narrow"/>
                <w:szCs w:val="20"/>
              </w:rPr>
            </w:pPr>
            <w:r w:rsidRPr="00A16C38">
              <w:rPr>
                <w:rFonts w:ascii="Arial Narrow" w:hAnsi="Arial Narrow"/>
                <w:szCs w:val="20"/>
              </w:rPr>
              <w:t>$</w:t>
            </w:r>
            <w:r w:rsidR="00192A94">
              <w:rPr>
                <w:rFonts w:ascii="Arial Narrow" w:hAnsi="Arial Narrow"/>
                <w:noProof/>
                <w:color w:val="000000"/>
                <w:szCs w:val="20"/>
                <w:highlight w:val="black"/>
              </w:rPr>
              <w:t>'''''''''''''''''''''''</w:t>
            </w:r>
          </w:p>
        </w:tc>
        <w:tc>
          <w:tcPr>
            <w:tcW w:w="1039" w:type="dxa"/>
            <w:shd w:val="clear" w:color="auto" w:fill="FFFFFF" w:themeFill="background1"/>
            <w:noWrap/>
            <w:vAlign w:val="center"/>
          </w:tcPr>
          <w:p w:rsidR="009E1941" w:rsidRPr="00A16C38" w:rsidRDefault="00C5144C" w:rsidP="0068211C">
            <w:pPr>
              <w:pStyle w:val="TableRight"/>
              <w:ind w:right="-57"/>
              <w:rPr>
                <w:rFonts w:ascii="Arial Narrow" w:hAnsi="Arial Narrow"/>
                <w:szCs w:val="20"/>
              </w:rPr>
            </w:pPr>
            <w:r w:rsidRPr="00A16C38">
              <w:rPr>
                <w:rFonts w:ascii="Arial Narrow" w:hAnsi="Arial Narrow"/>
                <w:szCs w:val="20"/>
              </w:rPr>
              <w:t>$</w:t>
            </w:r>
            <w:r w:rsidR="00192A94">
              <w:rPr>
                <w:rFonts w:ascii="Arial Narrow" w:hAnsi="Arial Narrow"/>
                <w:noProof/>
                <w:color w:val="000000"/>
                <w:szCs w:val="20"/>
                <w:highlight w:val="black"/>
              </w:rPr>
              <w:t>''''''''''''''''''''''</w:t>
            </w:r>
          </w:p>
        </w:tc>
        <w:tc>
          <w:tcPr>
            <w:tcW w:w="1040" w:type="dxa"/>
            <w:shd w:val="clear" w:color="auto" w:fill="FFFFFF" w:themeFill="background1"/>
            <w:vAlign w:val="center"/>
          </w:tcPr>
          <w:p w:rsidR="009E1941" w:rsidRPr="00A16C38" w:rsidRDefault="009E1941" w:rsidP="0068211C">
            <w:pPr>
              <w:pStyle w:val="TableRight"/>
              <w:ind w:right="-57"/>
              <w:rPr>
                <w:rFonts w:ascii="Arial Narrow" w:hAnsi="Arial Narrow"/>
                <w:szCs w:val="20"/>
              </w:rPr>
            </w:pPr>
            <w:r w:rsidRPr="00A16C38">
              <w:rPr>
                <w:rFonts w:ascii="Arial Narrow" w:hAnsi="Arial Narrow"/>
                <w:szCs w:val="20"/>
              </w:rPr>
              <w:t>$</w:t>
            </w:r>
            <w:r w:rsidR="00192A94">
              <w:rPr>
                <w:rFonts w:ascii="Arial Narrow" w:hAnsi="Arial Narrow"/>
                <w:noProof/>
                <w:color w:val="000000"/>
                <w:szCs w:val="20"/>
                <w:highlight w:val="black"/>
              </w:rPr>
              <w:t>'''''''''''''''''''''''</w:t>
            </w:r>
          </w:p>
        </w:tc>
      </w:tr>
      <w:tr w:rsidR="00C5144C" w:rsidRPr="006C2606" w:rsidTr="00FE5B1F">
        <w:tc>
          <w:tcPr>
            <w:tcW w:w="8363" w:type="dxa"/>
            <w:gridSpan w:val="7"/>
            <w:shd w:val="clear" w:color="auto" w:fill="FFFFFF" w:themeFill="background1"/>
            <w:noWrap/>
          </w:tcPr>
          <w:p w:rsidR="00C5144C" w:rsidRPr="006C2606" w:rsidRDefault="00C5144C" w:rsidP="0068211C">
            <w:pPr>
              <w:pStyle w:val="TableRight"/>
              <w:ind w:right="-57"/>
              <w:jc w:val="left"/>
              <w:rPr>
                <w:rFonts w:ascii="Arial Narrow" w:hAnsi="Arial Narrow"/>
                <w:szCs w:val="20"/>
              </w:rPr>
            </w:pPr>
            <w:r w:rsidRPr="006C2606">
              <w:rPr>
                <w:rFonts w:ascii="Arial Narrow" w:hAnsi="Arial Narrow"/>
                <w:b/>
                <w:szCs w:val="20"/>
              </w:rPr>
              <w:t xml:space="preserve">Savings to PBS/RPBS from substitution of </w:t>
            </w:r>
            <w:proofErr w:type="spellStart"/>
            <w:r w:rsidRPr="006C2606">
              <w:rPr>
                <w:rFonts w:ascii="Arial Narrow" w:hAnsi="Arial Narrow"/>
                <w:b/>
                <w:szCs w:val="20"/>
              </w:rPr>
              <w:t>saxagliptin</w:t>
            </w:r>
            <w:proofErr w:type="spellEnd"/>
            <w:r w:rsidRPr="006C2606">
              <w:rPr>
                <w:rFonts w:ascii="Arial Narrow" w:hAnsi="Arial Narrow"/>
                <w:b/>
                <w:szCs w:val="20"/>
              </w:rPr>
              <w:t xml:space="preserve"> and metformin mono-components</w:t>
            </w:r>
          </w:p>
        </w:tc>
      </w:tr>
      <w:tr w:rsidR="00C5144C" w:rsidRPr="006C2606" w:rsidTr="00FE5B1F">
        <w:tc>
          <w:tcPr>
            <w:tcW w:w="2126" w:type="dxa"/>
            <w:shd w:val="clear" w:color="auto" w:fill="FFFFFF" w:themeFill="background1"/>
            <w:noWrap/>
          </w:tcPr>
          <w:p w:rsidR="00C5144C" w:rsidRPr="006C2606" w:rsidRDefault="00C5144C" w:rsidP="0068211C">
            <w:pPr>
              <w:pStyle w:val="Table"/>
              <w:spacing w:line="240" w:lineRule="auto"/>
              <w:ind w:right="-57"/>
              <w:rPr>
                <w:rFonts w:ascii="Arial Narrow" w:hAnsi="Arial Narrow"/>
                <w:sz w:val="20"/>
                <w:szCs w:val="20"/>
              </w:rPr>
            </w:pPr>
            <w:r w:rsidRPr="006C2606">
              <w:rPr>
                <w:rFonts w:ascii="Arial Narrow" w:hAnsi="Arial Narrow"/>
                <w:sz w:val="20"/>
                <w:szCs w:val="20"/>
              </w:rPr>
              <w:t>Savings to the PBS/RPBS</w:t>
            </w:r>
          </w:p>
        </w:tc>
        <w:tc>
          <w:tcPr>
            <w:tcW w:w="1039" w:type="dxa"/>
            <w:shd w:val="clear" w:color="auto" w:fill="FFFFFF" w:themeFill="background1"/>
            <w:noWrap/>
            <w:vAlign w:val="center"/>
          </w:tcPr>
          <w:p w:rsidR="00C5144C" w:rsidRPr="006C2606" w:rsidRDefault="00C5144C" w:rsidP="0068211C">
            <w:pPr>
              <w:pStyle w:val="TableRight"/>
              <w:ind w:right="-57"/>
              <w:rPr>
                <w:rFonts w:ascii="Arial Narrow" w:hAnsi="Arial Narrow"/>
                <w:szCs w:val="20"/>
              </w:rPr>
            </w:pPr>
            <w:r w:rsidRPr="006C2606">
              <w:rPr>
                <w:rFonts w:ascii="Arial Narrow" w:hAnsi="Arial Narrow"/>
                <w:szCs w:val="20"/>
              </w:rPr>
              <w:t>$</w:t>
            </w:r>
            <w:r w:rsidR="00192A94">
              <w:rPr>
                <w:rFonts w:ascii="Arial Narrow" w:hAnsi="Arial Narrow"/>
                <w:noProof/>
                <w:color w:val="000000"/>
                <w:szCs w:val="20"/>
                <w:highlight w:val="black"/>
              </w:rPr>
              <w:t>''''''''''''''''''</w:t>
            </w:r>
          </w:p>
        </w:tc>
        <w:tc>
          <w:tcPr>
            <w:tcW w:w="1040" w:type="dxa"/>
            <w:shd w:val="clear" w:color="auto" w:fill="FFFFFF" w:themeFill="background1"/>
            <w:noWrap/>
            <w:vAlign w:val="center"/>
          </w:tcPr>
          <w:p w:rsidR="00C5144C" w:rsidRPr="00E27938" w:rsidRDefault="00C5144C" w:rsidP="0068211C">
            <w:pPr>
              <w:pStyle w:val="TableRight"/>
              <w:ind w:right="-57"/>
              <w:rPr>
                <w:rFonts w:ascii="Arial Narrow" w:hAnsi="Arial Narrow"/>
                <w:szCs w:val="20"/>
              </w:rPr>
            </w:pPr>
            <w:r w:rsidRPr="00E27938">
              <w:rPr>
                <w:rFonts w:ascii="Arial Narrow" w:hAnsi="Arial Narrow"/>
                <w:szCs w:val="20"/>
              </w:rPr>
              <w:t>$</w:t>
            </w:r>
            <w:r w:rsidR="00192A94">
              <w:rPr>
                <w:rFonts w:ascii="Arial Narrow" w:hAnsi="Arial Narrow"/>
                <w:noProof/>
                <w:color w:val="000000"/>
                <w:szCs w:val="20"/>
                <w:highlight w:val="black"/>
              </w:rPr>
              <w:t>''''''''''''''''''''</w:t>
            </w:r>
          </w:p>
        </w:tc>
        <w:tc>
          <w:tcPr>
            <w:tcW w:w="1039" w:type="dxa"/>
            <w:shd w:val="clear" w:color="auto" w:fill="FFFFFF" w:themeFill="background1"/>
            <w:noWrap/>
            <w:vAlign w:val="center"/>
          </w:tcPr>
          <w:p w:rsidR="00C5144C" w:rsidRPr="00E27938" w:rsidRDefault="00C5144C" w:rsidP="0068211C">
            <w:pPr>
              <w:pStyle w:val="TableRight"/>
              <w:ind w:right="-57"/>
              <w:rPr>
                <w:rFonts w:ascii="Arial Narrow" w:hAnsi="Arial Narrow"/>
                <w:szCs w:val="20"/>
              </w:rPr>
            </w:pPr>
            <w:r w:rsidRPr="00E27938">
              <w:rPr>
                <w:rFonts w:ascii="Arial Narrow" w:hAnsi="Arial Narrow"/>
                <w:szCs w:val="20"/>
              </w:rPr>
              <w:t>$</w:t>
            </w:r>
            <w:r w:rsidR="00192A94">
              <w:rPr>
                <w:rFonts w:ascii="Arial Narrow" w:hAnsi="Arial Narrow"/>
                <w:noProof/>
                <w:color w:val="000000"/>
                <w:szCs w:val="20"/>
                <w:highlight w:val="black"/>
              </w:rPr>
              <w:t>'''''''''''''''''''''''</w:t>
            </w:r>
          </w:p>
        </w:tc>
        <w:tc>
          <w:tcPr>
            <w:tcW w:w="1040" w:type="dxa"/>
            <w:shd w:val="clear" w:color="auto" w:fill="FFFFFF" w:themeFill="background1"/>
            <w:noWrap/>
            <w:vAlign w:val="center"/>
          </w:tcPr>
          <w:p w:rsidR="00C5144C" w:rsidRPr="00E27938" w:rsidRDefault="00C5144C" w:rsidP="0068211C">
            <w:pPr>
              <w:pStyle w:val="TableRight"/>
              <w:ind w:right="-57"/>
              <w:rPr>
                <w:rFonts w:ascii="Arial Narrow" w:hAnsi="Arial Narrow"/>
                <w:szCs w:val="20"/>
              </w:rPr>
            </w:pPr>
            <w:r w:rsidRPr="00E27938">
              <w:rPr>
                <w:rFonts w:ascii="Arial Narrow" w:hAnsi="Arial Narrow"/>
                <w:szCs w:val="20"/>
              </w:rPr>
              <w:t>$</w:t>
            </w:r>
            <w:r w:rsidR="00192A94">
              <w:rPr>
                <w:rFonts w:ascii="Arial Narrow" w:hAnsi="Arial Narrow"/>
                <w:noProof/>
                <w:color w:val="000000"/>
                <w:szCs w:val="20"/>
                <w:highlight w:val="black"/>
              </w:rPr>
              <w:t>''''''''''''''''''''''</w:t>
            </w:r>
          </w:p>
        </w:tc>
        <w:tc>
          <w:tcPr>
            <w:tcW w:w="1039" w:type="dxa"/>
            <w:shd w:val="clear" w:color="auto" w:fill="FFFFFF" w:themeFill="background1"/>
            <w:noWrap/>
            <w:vAlign w:val="center"/>
          </w:tcPr>
          <w:p w:rsidR="00C5144C" w:rsidRPr="00E27938" w:rsidRDefault="00C5144C" w:rsidP="0068211C">
            <w:pPr>
              <w:pStyle w:val="TableRight"/>
              <w:ind w:right="-57"/>
              <w:rPr>
                <w:rFonts w:ascii="Arial Narrow" w:hAnsi="Arial Narrow"/>
                <w:szCs w:val="20"/>
              </w:rPr>
            </w:pPr>
            <w:r w:rsidRPr="00E27938">
              <w:rPr>
                <w:rFonts w:ascii="Arial Narrow" w:hAnsi="Arial Narrow"/>
                <w:szCs w:val="20"/>
              </w:rPr>
              <w:t>$</w:t>
            </w:r>
            <w:r w:rsidR="00192A94">
              <w:rPr>
                <w:rFonts w:ascii="Arial Narrow" w:hAnsi="Arial Narrow"/>
                <w:noProof/>
                <w:color w:val="000000"/>
                <w:szCs w:val="20"/>
                <w:highlight w:val="black"/>
              </w:rPr>
              <w:t>'''''''''''''''''''''''''</w:t>
            </w:r>
          </w:p>
        </w:tc>
        <w:tc>
          <w:tcPr>
            <w:tcW w:w="1040" w:type="dxa"/>
            <w:shd w:val="clear" w:color="auto" w:fill="FFFFFF" w:themeFill="background1"/>
            <w:vAlign w:val="center"/>
          </w:tcPr>
          <w:p w:rsidR="00C5144C" w:rsidRPr="006C2606" w:rsidRDefault="00C5144C" w:rsidP="0068211C">
            <w:pPr>
              <w:pStyle w:val="TableRight"/>
              <w:ind w:right="-57"/>
              <w:rPr>
                <w:rFonts w:ascii="Arial Narrow" w:hAnsi="Arial Narrow"/>
                <w:szCs w:val="20"/>
              </w:rPr>
            </w:pPr>
            <w:r w:rsidRPr="006C2606">
              <w:rPr>
                <w:rFonts w:ascii="Arial Narrow" w:hAnsi="Arial Narrow"/>
                <w:szCs w:val="20"/>
              </w:rPr>
              <w:t>$</w:t>
            </w:r>
            <w:r w:rsidR="00192A94">
              <w:rPr>
                <w:rFonts w:ascii="Arial Narrow" w:hAnsi="Arial Narrow"/>
                <w:noProof/>
                <w:color w:val="000000"/>
                <w:szCs w:val="20"/>
                <w:highlight w:val="black"/>
              </w:rPr>
              <w:t>'''''''''''''''''''''''</w:t>
            </w:r>
          </w:p>
        </w:tc>
      </w:tr>
      <w:tr w:rsidR="00A609F7" w:rsidRPr="006C2606" w:rsidTr="00FE5B1F">
        <w:tc>
          <w:tcPr>
            <w:tcW w:w="8363" w:type="dxa"/>
            <w:gridSpan w:val="7"/>
            <w:shd w:val="clear" w:color="auto" w:fill="FFFFFF" w:themeFill="background1"/>
            <w:noWrap/>
          </w:tcPr>
          <w:p w:rsidR="00A609F7" w:rsidRPr="006C2606" w:rsidRDefault="00A609F7" w:rsidP="0068211C">
            <w:pPr>
              <w:pStyle w:val="TableRight"/>
              <w:ind w:right="-57"/>
              <w:jc w:val="left"/>
              <w:rPr>
                <w:rFonts w:ascii="Arial Narrow" w:hAnsi="Arial Narrow"/>
                <w:szCs w:val="20"/>
              </w:rPr>
            </w:pPr>
            <w:r w:rsidRPr="006C2606">
              <w:rPr>
                <w:rFonts w:ascii="Arial Narrow" w:hAnsi="Arial Narrow"/>
                <w:b/>
                <w:szCs w:val="20"/>
              </w:rPr>
              <w:t xml:space="preserve">Net </w:t>
            </w:r>
            <w:r w:rsidR="00802F30">
              <w:rPr>
                <w:rFonts w:ascii="Arial Narrow" w:hAnsi="Arial Narrow"/>
                <w:b/>
                <w:szCs w:val="20"/>
              </w:rPr>
              <w:t>cost</w:t>
            </w:r>
            <w:r w:rsidR="00802F30" w:rsidRPr="006C2606">
              <w:rPr>
                <w:rFonts w:ascii="Arial Narrow" w:hAnsi="Arial Narrow"/>
                <w:b/>
                <w:szCs w:val="20"/>
              </w:rPr>
              <w:t xml:space="preserve"> </w:t>
            </w:r>
            <w:r w:rsidRPr="006C2606">
              <w:rPr>
                <w:rFonts w:ascii="Arial Narrow" w:hAnsi="Arial Narrow"/>
                <w:b/>
                <w:szCs w:val="20"/>
              </w:rPr>
              <w:t xml:space="preserve">of listing </w:t>
            </w:r>
            <w:proofErr w:type="spellStart"/>
            <w:r w:rsidRPr="006C2606">
              <w:rPr>
                <w:rFonts w:ascii="Arial Narrow" w:hAnsi="Arial Narrow"/>
                <w:b/>
                <w:szCs w:val="20"/>
              </w:rPr>
              <w:t>saxagliptin+metformi</w:t>
            </w:r>
            <w:r w:rsidR="00E27938">
              <w:rPr>
                <w:rFonts w:ascii="Arial Narrow" w:hAnsi="Arial Narrow"/>
                <w:b/>
                <w:szCs w:val="20"/>
              </w:rPr>
              <w:t>n</w:t>
            </w:r>
            <w:proofErr w:type="spellEnd"/>
            <w:r w:rsidRPr="006C2606">
              <w:rPr>
                <w:rFonts w:ascii="Arial Narrow" w:hAnsi="Arial Narrow"/>
                <w:b/>
                <w:szCs w:val="20"/>
              </w:rPr>
              <w:t xml:space="preserve"> </w:t>
            </w:r>
            <w:r w:rsidR="00E27938">
              <w:rPr>
                <w:rFonts w:ascii="Arial Narrow" w:hAnsi="Arial Narrow"/>
                <w:b/>
                <w:szCs w:val="20"/>
              </w:rPr>
              <w:t>on the</w:t>
            </w:r>
            <w:r w:rsidRPr="006C2606">
              <w:rPr>
                <w:rFonts w:ascii="Arial Narrow" w:hAnsi="Arial Narrow"/>
                <w:b/>
                <w:szCs w:val="20"/>
              </w:rPr>
              <w:t xml:space="preserve"> PBS/RPBS</w:t>
            </w:r>
          </w:p>
        </w:tc>
      </w:tr>
      <w:tr w:rsidR="00C5144C" w:rsidRPr="006C2606" w:rsidTr="00FE5B1F">
        <w:tc>
          <w:tcPr>
            <w:tcW w:w="2126" w:type="dxa"/>
            <w:shd w:val="clear" w:color="auto" w:fill="FFFFFF" w:themeFill="background1"/>
            <w:noWrap/>
          </w:tcPr>
          <w:p w:rsidR="00C5144C" w:rsidRPr="006C2606" w:rsidRDefault="00B263AD" w:rsidP="0068211C">
            <w:pPr>
              <w:pStyle w:val="Table"/>
              <w:spacing w:line="240" w:lineRule="auto"/>
              <w:ind w:right="-57"/>
              <w:rPr>
                <w:rFonts w:ascii="Arial Narrow" w:hAnsi="Arial Narrow"/>
                <w:sz w:val="20"/>
                <w:szCs w:val="20"/>
              </w:rPr>
            </w:pPr>
            <w:r>
              <w:rPr>
                <w:rFonts w:ascii="Arial Narrow" w:hAnsi="Arial Narrow"/>
                <w:sz w:val="20"/>
                <w:szCs w:val="20"/>
              </w:rPr>
              <w:t>Net cost</w:t>
            </w:r>
            <w:r w:rsidRPr="006C2606">
              <w:rPr>
                <w:rFonts w:ascii="Arial Narrow" w:hAnsi="Arial Narrow"/>
                <w:sz w:val="20"/>
                <w:szCs w:val="20"/>
              </w:rPr>
              <w:t xml:space="preserve"> </w:t>
            </w:r>
            <w:r w:rsidR="00A609F7" w:rsidRPr="006C2606">
              <w:rPr>
                <w:rFonts w:ascii="Arial Narrow" w:hAnsi="Arial Narrow"/>
                <w:sz w:val="20"/>
                <w:szCs w:val="20"/>
              </w:rPr>
              <w:t>to the PBS/RPBS</w:t>
            </w:r>
          </w:p>
        </w:tc>
        <w:tc>
          <w:tcPr>
            <w:tcW w:w="1039" w:type="dxa"/>
            <w:shd w:val="clear" w:color="auto" w:fill="FFFFFF" w:themeFill="background1"/>
            <w:noWrap/>
            <w:vAlign w:val="center"/>
          </w:tcPr>
          <w:p w:rsidR="00C5144C" w:rsidRPr="006C2606" w:rsidRDefault="00A609F7" w:rsidP="0068211C">
            <w:pPr>
              <w:pStyle w:val="TableRight"/>
              <w:ind w:right="-57"/>
              <w:rPr>
                <w:rFonts w:ascii="Arial Narrow" w:hAnsi="Arial Narrow"/>
                <w:szCs w:val="20"/>
              </w:rPr>
            </w:pPr>
            <w:r w:rsidRPr="006C2606">
              <w:rPr>
                <w:rFonts w:ascii="Arial Narrow" w:hAnsi="Arial Narrow"/>
                <w:szCs w:val="20"/>
              </w:rPr>
              <w:t>-$</w:t>
            </w:r>
            <w:r w:rsidR="00192A94">
              <w:rPr>
                <w:rFonts w:ascii="Arial Narrow" w:hAnsi="Arial Narrow"/>
                <w:noProof/>
                <w:color w:val="000000"/>
                <w:szCs w:val="20"/>
                <w:highlight w:val="black"/>
              </w:rPr>
              <w:t>'''''''''''''</w:t>
            </w:r>
          </w:p>
        </w:tc>
        <w:tc>
          <w:tcPr>
            <w:tcW w:w="1040" w:type="dxa"/>
            <w:shd w:val="clear" w:color="auto" w:fill="FFFFFF" w:themeFill="background1"/>
            <w:noWrap/>
            <w:vAlign w:val="center"/>
          </w:tcPr>
          <w:p w:rsidR="00C5144C" w:rsidRPr="00E27938" w:rsidRDefault="00A609F7" w:rsidP="0068211C">
            <w:pPr>
              <w:pStyle w:val="TableRight"/>
              <w:ind w:right="-57"/>
              <w:rPr>
                <w:rFonts w:ascii="Arial Narrow" w:hAnsi="Arial Narrow"/>
                <w:szCs w:val="20"/>
              </w:rPr>
            </w:pPr>
            <w:r w:rsidRPr="00E27938">
              <w:rPr>
                <w:rFonts w:ascii="Arial Narrow" w:hAnsi="Arial Narrow"/>
                <w:szCs w:val="20"/>
              </w:rPr>
              <w:t>-$</w:t>
            </w:r>
            <w:r w:rsidR="00192A94">
              <w:rPr>
                <w:rFonts w:ascii="Arial Narrow" w:hAnsi="Arial Narrow"/>
                <w:noProof/>
                <w:color w:val="000000"/>
                <w:szCs w:val="20"/>
                <w:highlight w:val="black"/>
              </w:rPr>
              <w:t>''''''''''''''''</w:t>
            </w:r>
          </w:p>
        </w:tc>
        <w:tc>
          <w:tcPr>
            <w:tcW w:w="1039" w:type="dxa"/>
            <w:shd w:val="clear" w:color="auto" w:fill="FFFFFF" w:themeFill="background1"/>
            <w:noWrap/>
            <w:vAlign w:val="center"/>
          </w:tcPr>
          <w:p w:rsidR="00C5144C" w:rsidRPr="00E27938" w:rsidRDefault="00A609F7" w:rsidP="0068211C">
            <w:pPr>
              <w:pStyle w:val="TableRight"/>
              <w:ind w:right="-57"/>
              <w:rPr>
                <w:rFonts w:ascii="Arial Narrow" w:hAnsi="Arial Narrow"/>
                <w:szCs w:val="20"/>
              </w:rPr>
            </w:pPr>
            <w:r w:rsidRPr="00E27938">
              <w:rPr>
                <w:rFonts w:ascii="Arial Narrow" w:hAnsi="Arial Narrow"/>
                <w:szCs w:val="20"/>
              </w:rPr>
              <w:t>-$</w:t>
            </w:r>
            <w:r w:rsidR="00192A94">
              <w:rPr>
                <w:rFonts w:ascii="Arial Narrow" w:hAnsi="Arial Narrow"/>
                <w:noProof/>
                <w:color w:val="000000"/>
                <w:szCs w:val="20"/>
                <w:highlight w:val="black"/>
              </w:rPr>
              <w:t>''''''''''''''''</w:t>
            </w:r>
          </w:p>
        </w:tc>
        <w:tc>
          <w:tcPr>
            <w:tcW w:w="1040" w:type="dxa"/>
            <w:shd w:val="clear" w:color="auto" w:fill="FFFFFF" w:themeFill="background1"/>
            <w:noWrap/>
            <w:vAlign w:val="center"/>
          </w:tcPr>
          <w:p w:rsidR="00C5144C" w:rsidRPr="00E27938" w:rsidRDefault="00A609F7" w:rsidP="0068211C">
            <w:pPr>
              <w:pStyle w:val="TableRight"/>
              <w:ind w:right="-57"/>
              <w:rPr>
                <w:rFonts w:ascii="Arial Narrow" w:hAnsi="Arial Narrow"/>
                <w:szCs w:val="20"/>
              </w:rPr>
            </w:pPr>
            <w:r w:rsidRPr="00E27938">
              <w:rPr>
                <w:rFonts w:ascii="Arial Narrow" w:hAnsi="Arial Narrow"/>
                <w:szCs w:val="20"/>
              </w:rPr>
              <w:t>-$</w:t>
            </w:r>
            <w:r w:rsidR="00192A94">
              <w:rPr>
                <w:rFonts w:ascii="Arial Narrow" w:hAnsi="Arial Narrow"/>
                <w:noProof/>
                <w:color w:val="000000"/>
                <w:szCs w:val="20"/>
                <w:highlight w:val="black"/>
              </w:rPr>
              <w:t>''''''''''''''''</w:t>
            </w:r>
          </w:p>
        </w:tc>
        <w:tc>
          <w:tcPr>
            <w:tcW w:w="1039" w:type="dxa"/>
            <w:shd w:val="clear" w:color="auto" w:fill="FFFFFF" w:themeFill="background1"/>
            <w:noWrap/>
            <w:vAlign w:val="center"/>
          </w:tcPr>
          <w:p w:rsidR="00C5144C" w:rsidRPr="00E27938" w:rsidRDefault="00A609F7" w:rsidP="0068211C">
            <w:pPr>
              <w:pStyle w:val="TableRight"/>
              <w:ind w:right="-57"/>
              <w:rPr>
                <w:rFonts w:ascii="Arial Narrow" w:hAnsi="Arial Narrow"/>
                <w:szCs w:val="20"/>
              </w:rPr>
            </w:pPr>
            <w:r w:rsidRPr="00E27938">
              <w:rPr>
                <w:rFonts w:ascii="Arial Narrow" w:hAnsi="Arial Narrow"/>
                <w:szCs w:val="20"/>
              </w:rPr>
              <w:t>-$</w:t>
            </w:r>
            <w:r w:rsidR="00192A94">
              <w:rPr>
                <w:rFonts w:ascii="Arial Narrow" w:hAnsi="Arial Narrow"/>
                <w:noProof/>
                <w:color w:val="000000"/>
                <w:szCs w:val="20"/>
                <w:highlight w:val="black"/>
              </w:rPr>
              <w:t>''''''''''''''''''''</w:t>
            </w:r>
          </w:p>
        </w:tc>
        <w:tc>
          <w:tcPr>
            <w:tcW w:w="1040" w:type="dxa"/>
            <w:shd w:val="clear" w:color="auto" w:fill="FFFFFF" w:themeFill="background1"/>
            <w:vAlign w:val="center"/>
          </w:tcPr>
          <w:p w:rsidR="00C5144C" w:rsidRPr="006C2606" w:rsidRDefault="00A609F7" w:rsidP="0068211C">
            <w:pPr>
              <w:pStyle w:val="TableRight"/>
              <w:ind w:right="-57"/>
              <w:rPr>
                <w:rFonts w:ascii="Arial Narrow" w:hAnsi="Arial Narrow"/>
                <w:szCs w:val="20"/>
              </w:rPr>
            </w:pPr>
            <w:r w:rsidRPr="006C2606">
              <w:rPr>
                <w:rFonts w:ascii="Arial Narrow" w:hAnsi="Arial Narrow"/>
                <w:szCs w:val="20"/>
              </w:rPr>
              <w:t>-$</w:t>
            </w:r>
            <w:r w:rsidR="00192A94">
              <w:rPr>
                <w:rFonts w:ascii="Arial Narrow" w:hAnsi="Arial Narrow"/>
                <w:noProof/>
                <w:color w:val="000000"/>
                <w:szCs w:val="20"/>
                <w:highlight w:val="black"/>
              </w:rPr>
              <w:t>''''''''''''''''''''</w:t>
            </w:r>
          </w:p>
        </w:tc>
      </w:tr>
    </w:tbl>
    <w:p w:rsidR="00F517F5" w:rsidRPr="006C2606" w:rsidRDefault="00F517F5" w:rsidP="0068211C">
      <w:pPr>
        <w:rPr>
          <w:rFonts w:ascii="Arial Narrow" w:hAnsi="Arial Narrow"/>
          <w:sz w:val="18"/>
          <w:szCs w:val="18"/>
        </w:rPr>
      </w:pPr>
      <w:r w:rsidRPr="00802F30">
        <w:rPr>
          <w:rFonts w:ascii="Arial Narrow" w:hAnsi="Arial Narrow"/>
          <w:sz w:val="18"/>
          <w:szCs w:val="18"/>
        </w:rPr>
        <w:tab/>
      </w:r>
      <w:r w:rsidRPr="006C2606">
        <w:rPr>
          <w:rFonts w:ascii="Arial Narrow" w:hAnsi="Arial Narrow"/>
          <w:sz w:val="18"/>
          <w:szCs w:val="18"/>
        </w:rPr>
        <w:t>Source: Tables 6 and 7, pp 9-10 of the submission.</w:t>
      </w:r>
    </w:p>
    <w:p w:rsidR="003872CF" w:rsidRDefault="003872CF" w:rsidP="0068211C">
      <w:pPr>
        <w:rPr>
          <w:rFonts w:ascii="Arial" w:hAnsi="Arial"/>
          <w:sz w:val="22"/>
          <w:szCs w:val="22"/>
        </w:rPr>
      </w:pPr>
    </w:p>
    <w:p w:rsidR="00FE5B1F" w:rsidRPr="00AE21A1" w:rsidRDefault="009A7F80" w:rsidP="0068211C">
      <w:pPr>
        <w:pStyle w:val="ListParagraph"/>
        <w:numPr>
          <w:ilvl w:val="1"/>
          <w:numId w:val="1"/>
        </w:numPr>
        <w:jc w:val="both"/>
        <w:rPr>
          <w:rFonts w:ascii="Arial" w:hAnsi="Arial"/>
          <w:sz w:val="22"/>
          <w:szCs w:val="22"/>
        </w:rPr>
      </w:pPr>
      <w:r>
        <w:rPr>
          <w:rFonts w:ascii="Arial" w:hAnsi="Arial"/>
          <w:sz w:val="22"/>
          <w:szCs w:val="22"/>
        </w:rPr>
        <w:t>The redacted table above shows that a</w:t>
      </w:r>
      <w:r w:rsidR="00FE5B1F">
        <w:rPr>
          <w:rFonts w:ascii="Arial" w:hAnsi="Arial"/>
          <w:sz w:val="22"/>
          <w:szCs w:val="22"/>
        </w:rPr>
        <w:t xml:space="preserve">t year 5, the estimated number of patients was </w:t>
      </w:r>
      <w:r w:rsidR="00DF3AD5">
        <w:rPr>
          <w:rFonts w:ascii="Arial" w:hAnsi="Arial"/>
          <w:sz w:val="22"/>
          <w:szCs w:val="22"/>
        </w:rPr>
        <w:t>less than 10,000</w:t>
      </w:r>
      <w:r w:rsidR="00FE5B1F">
        <w:rPr>
          <w:rFonts w:ascii="Arial" w:hAnsi="Arial"/>
          <w:sz w:val="22"/>
          <w:szCs w:val="22"/>
        </w:rPr>
        <w:t xml:space="preserve"> and the net </w:t>
      </w:r>
      <w:r>
        <w:rPr>
          <w:rFonts w:ascii="Arial" w:hAnsi="Arial"/>
          <w:sz w:val="22"/>
          <w:szCs w:val="22"/>
        </w:rPr>
        <w:t>save</w:t>
      </w:r>
      <w:r w:rsidR="00FE5B1F">
        <w:rPr>
          <w:rFonts w:ascii="Arial" w:hAnsi="Arial"/>
          <w:sz w:val="22"/>
          <w:szCs w:val="22"/>
        </w:rPr>
        <w:t xml:space="preserve"> to the RPBS/PBS would be </w:t>
      </w:r>
      <w:r w:rsidR="00DF3AD5">
        <w:rPr>
          <w:rFonts w:ascii="Arial" w:hAnsi="Arial" w:cs="Arial"/>
          <w:sz w:val="22"/>
          <w:szCs w:val="22"/>
        </w:rPr>
        <w:t>less than $10 million</w:t>
      </w:r>
      <w:r w:rsidR="00FE5B1F" w:rsidRPr="00DF3AD5">
        <w:rPr>
          <w:rFonts w:ascii="Arial" w:hAnsi="Arial" w:cs="Arial"/>
          <w:sz w:val="22"/>
          <w:szCs w:val="22"/>
        </w:rPr>
        <w:t>.</w:t>
      </w:r>
    </w:p>
    <w:p w:rsidR="00802F30" w:rsidRDefault="00802F30" w:rsidP="0068211C">
      <w:pPr>
        <w:jc w:val="both"/>
        <w:rPr>
          <w:rFonts w:ascii="Arial" w:hAnsi="Arial"/>
          <w:sz w:val="22"/>
          <w:szCs w:val="22"/>
        </w:rPr>
      </w:pPr>
    </w:p>
    <w:p w:rsidR="00F00FDA" w:rsidRPr="00D84934" w:rsidRDefault="00F00FDA" w:rsidP="0068211C">
      <w:pPr>
        <w:jc w:val="both"/>
        <w:rPr>
          <w:rFonts w:ascii="Arial" w:hAnsi="Arial"/>
          <w:sz w:val="22"/>
          <w:szCs w:val="22"/>
        </w:rPr>
      </w:pPr>
    </w:p>
    <w:p w:rsidR="00420059" w:rsidRPr="00420059" w:rsidRDefault="00420059" w:rsidP="0068211C">
      <w:pPr>
        <w:numPr>
          <w:ilvl w:val="0"/>
          <w:numId w:val="1"/>
        </w:numPr>
        <w:jc w:val="both"/>
        <w:rPr>
          <w:rFonts w:ascii="Arial" w:hAnsi="Arial" w:cs="Arial"/>
          <w:b/>
          <w:bCs/>
          <w:snapToGrid w:val="0"/>
          <w:sz w:val="22"/>
          <w:szCs w:val="22"/>
        </w:rPr>
      </w:pPr>
      <w:r w:rsidRPr="00420059">
        <w:rPr>
          <w:rFonts w:ascii="Arial" w:hAnsi="Arial" w:cs="Arial"/>
          <w:b/>
          <w:bCs/>
          <w:snapToGrid w:val="0"/>
          <w:sz w:val="22"/>
          <w:szCs w:val="22"/>
        </w:rPr>
        <w:t>PBAC Outcome</w:t>
      </w:r>
    </w:p>
    <w:p w:rsidR="00420059" w:rsidRPr="003C3927" w:rsidRDefault="00420059" w:rsidP="0068211C">
      <w:pPr>
        <w:contextualSpacing/>
        <w:jc w:val="both"/>
        <w:rPr>
          <w:rFonts w:ascii="Arial" w:hAnsi="Arial" w:cs="Arial"/>
          <w:bCs/>
          <w:snapToGrid w:val="0"/>
          <w:sz w:val="22"/>
          <w:szCs w:val="22"/>
          <w:highlight w:val="yellow"/>
          <w:lang w:val="en-GB"/>
        </w:rPr>
      </w:pPr>
    </w:p>
    <w:p w:rsidR="00420059" w:rsidRPr="00754C00" w:rsidRDefault="00420059" w:rsidP="0068211C">
      <w:pPr>
        <w:pStyle w:val="ListParagraph"/>
        <w:numPr>
          <w:ilvl w:val="1"/>
          <w:numId w:val="1"/>
        </w:numPr>
        <w:rPr>
          <w:rFonts w:ascii="Arial" w:hAnsi="Arial" w:cs="Arial"/>
          <w:snapToGrid w:val="0"/>
          <w:sz w:val="22"/>
          <w:szCs w:val="22"/>
        </w:rPr>
      </w:pPr>
      <w:r w:rsidRPr="00192E02">
        <w:rPr>
          <w:rFonts w:ascii="Arial" w:hAnsi="Arial" w:cs="Arial"/>
          <w:snapToGrid w:val="0"/>
          <w:sz w:val="22"/>
          <w:szCs w:val="22"/>
        </w:rPr>
        <w:t xml:space="preserve">The PBAC recommended that the listing of </w:t>
      </w:r>
      <w:proofErr w:type="spellStart"/>
      <w:r w:rsidRPr="00192E02">
        <w:rPr>
          <w:rFonts w:ascii="Arial" w:hAnsi="Arial" w:cs="Arial"/>
          <w:snapToGrid w:val="0"/>
          <w:sz w:val="22"/>
          <w:szCs w:val="22"/>
        </w:rPr>
        <w:t>saxagliptin+</w:t>
      </w:r>
      <w:r w:rsidR="005D0807">
        <w:rPr>
          <w:rFonts w:ascii="Arial" w:hAnsi="Arial" w:cs="Arial"/>
          <w:snapToGrid w:val="0"/>
          <w:sz w:val="22"/>
          <w:szCs w:val="22"/>
        </w:rPr>
        <w:t>MET</w:t>
      </w:r>
      <w:proofErr w:type="spellEnd"/>
      <w:r w:rsidRPr="00192E02">
        <w:rPr>
          <w:rFonts w:ascii="Arial" w:hAnsi="Arial" w:cs="Arial"/>
          <w:snapToGrid w:val="0"/>
          <w:sz w:val="22"/>
          <w:szCs w:val="22"/>
        </w:rPr>
        <w:t xml:space="preserve"> XR for the </w:t>
      </w:r>
      <w:r w:rsidRPr="00754C00">
        <w:rPr>
          <w:rFonts w:ascii="Arial" w:hAnsi="Arial" w:cs="Arial"/>
          <w:snapToGrid w:val="0"/>
          <w:sz w:val="22"/>
          <w:szCs w:val="22"/>
        </w:rPr>
        <w:t xml:space="preserve">treatment of </w:t>
      </w:r>
      <w:r w:rsidR="00192E02" w:rsidRPr="00754C00">
        <w:rPr>
          <w:rFonts w:ascii="Arial" w:hAnsi="Arial" w:cs="Arial"/>
          <w:color w:val="222222"/>
          <w:sz w:val="22"/>
          <w:szCs w:val="22"/>
          <w:shd w:val="clear" w:color="auto" w:fill="FFFFFF"/>
        </w:rPr>
        <w:t>T2DM</w:t>
      </w:r>
      <w:r w:rsidRPr="00754C00">
        <w:rPr>
          <w:rFonts w:ascii="Arial" w:hAnsi="Arial" w:cs="Arial"/>
          <w:snapToGrid w:val="0"/>
          <w:sz w:val="22"/>
          <w:szCs w:val="22"/>
        </w:rPr>
        <w:t xml:space="preserve"> be extended to include use in combination with a </w:t>
      </w:r>
      <w:r w:rsidR="00192E02" w:rsidRPr="00754C00">
        <w:rPr>
          <w:rFonts w:ascii="Arial" w:hAnsi="Arial" w:cs="Arial"/>
          <w:snapToGrid w:val="0"/>
          <w:sz w:val="22"/>
          <w:szCs w:val="22"/>
        </w:rPr>
        <w:t>SU (triple oral therapy)</w:t>
      </w:r>
      <w:r w:rsidR="00754C00">
        <w:rPr>
          <w:rFonts w:ascii="Arial" w:hAnsi="Arial" w:cs="Arial"/>
          <w:snapToGrid w:val="0"/>
          <w:sz w:val="22"/>
          <w:szCs w:val="22"/>
        </w:rPr>
        <w:t>.</w:t>
      </w:r>
      <w:r w:rsidR="00192E02" w:rsidRPr="00754C00">
        <w:rPr>
          <w:rFonts w:ascii="Arial" w:hAnsi="Arial" w:cs="Arial"/>
          <w:snapToGrid w:val="0"/>
          <w:sz w:val="22"/>
          <w:szCs w:val="22"/>
        </w:rPr>
        <w:t xml:space="preserve"> </w:t>
      </w:r>
    </w:p>
    <w:p w:rsidR="005D7243" w:rsidRPr="00754C00" w:rsidRDefault="005D7243" w:rsidP="0068211C">
      <w:pPr>
        <w:pStyle w:val="ListParagraph"/>
        <w:rPr>
          <w:rFonts w:ascii="Arial" w:hAnsi="Arial" w:cs="Arial"/>
          <w:snapToGrid w:val="0"/>
          <w:sz w:val="22"/>
          <w:szCs w:val="22"/>
        </w:rPr>
      </w:pPr>
    </w:p>
    <w:p w:rsidR="00754C00" w:rsidRPr="005D0807" w:rsidRDefault="00754C00" w:rsidP="0068211C">
      <w:pPr>
        <w:pStyle w:val="ListParagraph"/>
        <w:numPr>
          <w:ilvl w:val="1"/>
          <w:numId w:val="1"/>
        </w:numPr>
        <w:jc w:val="both"/>
        <w:rPr>
          <w:rFonts w:ascii="Arial" w:hAnsi="Arial" w:cs="Arial"/>
          <w:bCs/>
          <w:snapToGrid w:val="0"/>
          <w:sz w:val="22"/>
          <w:szCs w:val="22"/>
          <w:lang w:val="en-GB"/>
        </w:rPr>
      </w:pPr>
      <w:r w:rsidRPr="00754C00">
        <w:rPr>
          <w:rFonts w:ascii="Arial" w:hAnsi="Arial" w:cs="Arial"/>
          <w:snapToGrid w:val="0"/>
          <w:sz w:val="22"/>
          <w:szCs w:val="22"/>
        </w:rPr>
        <w:t>T</w:t>
      </w:r>
      <w:r w:rsidR="005D7243" w:rsidRPr="00754C00">
        <w:rPr>
          <w:rFonts w:ascii="Arial" w:hAnsi="Arial" w:cs="Arial"/>
          <w:snapToGrid w:val="0"/>
          <w:sz w:val="22"/>
          <w:szCs w:val="22"/>
        </w:rPr>
        <w:t>he PBAC</w:t>
      </w:r>
      <w:r w:rsidRPr="00754C00">
        <w:rPr>
          <w:rFonts w:ascii="Arial" w:hAnsi="Arial" w:cs="Arial"/>
          <w:snapToGrid w:val="0"/>
          <w:sz w:val="22"/>
          <w:szCs w:val="22"/>
        </w:rPr>
        <w:t xml:space="preserve"> </w:t>
      </w:r>
      <w:r w:rsidR="005D7243" w:rsidRPr="00754C00">
        <w:rPr>
          <w:rFonts w:ascii="Arial" w:hAnsi="Arial" w:cs="Arial"/>
          <w:snapToGrid w:val="0"/>
          <w:sz w:val="22"/>
          <w:szCs w:val="22"/>
        </w:rPr>
        <w:t xml:space="preserve">recalled that at its November 2013 meeting it had accepted that </w:t>
      </w:r>
      <w:proofErr w:type="spellStart"/>
      <w:r w:rsidR="005D7243" w:rsidRPr="00754C00">
        <w:rPr>
          <w:rFonts w:ascii="Arial" w:hAnsi="Arial" w:cs="Arial"/>
          <w:snapToGrid w:val="0"/>
          <w:sz w:val="22"/>
          <w:szCs w:val="22"/>
        </w:rPr>
        <w:t>saxagliptin+</w:t>
      </w:r>
      <w:r w:rsidR="005D0807">
        <w:rPr>
          <w:rFonts w:ascii="Arial" w:hAnsi="Arial" w:cs="Arial"/>
          <w:snapToGrid w:val="0"/>
          <w:sz w:val="22"/>
          <w:szCs w:val="22"/>
        </w:rPr>
        <w:t>MET</w:t>
      </w:r>
      <w:proofErr w:type="spellEnd"/>
      <w:r w:rsidR="005D7243" w:rsidRPr="00754C00">
        <w:rPr>
          <w:rFonts w:ascii="Arial" w:hAnsi="Arial" w:cs="Arial"/>
          <w:snapToGrid w:val="0"/>
          <w:sz w:val="22"/>
          <w:szCs w:val="22"/>
        </w:rPr>
        <w:t xml:space="preserve"> XR is similar in efficacy and safety to the co-administration of the same dos</w:t>
      </w:r>
      <w:r w:rsidRPr="00754C00">
        <w:rPr>
          <w:rFonts w:ascii="Arial" w:hAnsi="Arial" w:cs="Arial"/>
          <w:snapToGrid w:val="0"/>
          <w:sz w:val="22"/>
          <w:szCs w:val="22"/>
        </w:rPr>
        <w:t>es of the individual components</w:t>
      </w:r>
      <w:r>
        <w:rPr>
          <w:rFonts w:ascii="Arial" w:hAnsi="Arial" w:cs="Arial"/>
          <w:snapToGrid w:val="0"/>
          <w:sz w:val="22"/>
          <w:szCs w:val="22"/>
        </w:rPr>
        <w:t>.</w:t>
      </w:r>
    </w:p>
    <w:p w:rsidR="005D0807" w:rsidRPr="005D0807" w:rsidRDefault="005D0807" w:rsidP="0068211C">
      <w:pPr>
        <w:pStyle w:val="ListParagraph"/>
        <w:rPr>
          <w:rFonts w:ascii="Arial" w:hAnsi="Arial" w:cs="Arial"/>
          <w:bCs/>
          <w:snapToGrid w:val="0"/>
          <w:sz w:val="22"/>
          <w:szCs w:val="22"/>
          <w:lang w:val="en-GB"/>
        </w:rPr>
      </w:pPr>
    </w:p>
    <w:p w:rsidR="005D0807" w:rsidRPr="005D0807" w:rsidRDefault="005D0807" w:rsidP="0068211C">
      <w:pPr>
        <w:numPr>
          <w:ilvl w:val="1"/>
          <w:numId w:val="1"/>
        </w:numPr>
        <w:contextualSpacing/>
        <w:jc w:val="both"/>
        <w:rPr>
          <w:rFonts w:ascii="Arial" w:hAnsi="Arial" w:cs="Arial"/>
          <w:bCs/>
          <w:sz w:val="22"/>
          <w:szCs w:val="22"/>
          <w:lang w:val="en-GB"/>
        </w:rPr>
      </w:pPr>
      <w:r w:rsidRPr="005D0807">
        <w:rPr>
          <w:rFonts w:ascii="Arial" w:hAnsi="Arial" w:cs="Arial"/>
          <w:sz w:val="22"/>
          <w:szCs w:val="22"/>
        </w:rPr>
        <w:t xml:space="preserve">The PBAC recommended the inclusion of a grandfather clause, consistent with the current restriction for </w:t>
      </w:r>
      <w:proofErr w:type="spellStart"/>
      <w:r w:rsidRPr="005D0807">
        <w:rPr>
          <w:rFonts w:ascii="Arial" w:hAnsi="Arial" w:cs="Arial"/>
          <w:sz w:val="22"/>
          <w:szCs w:val="22"/>
        </w:rPr>
        <w:t>saxagliptin</w:t>
      </w:r>
      <w:proofErr w:type="spellEnd"/>
      <w:r w:rsidRPr="005D0807">
        <w:rPr>
          <w:rFonts w:ascii="Arial" w:hAnsi="Arial" w:cs="Arial"/>
          <w:sz w:val="22"/>
          <w:szCs w:val="22"/>
        </w:rPr>
        <w:t>, to enable patients whose diabetes has previously been demonstrated unable to be controlled with MET</w:t>
      </w:r>
      <w:r w:rsidR="0068211C">
        <w:rPr>
          <w:rFonts w:ascii="Arial" w:hAnsi="Arial" w:cs="Arial"/>
          <w:sz w:val="22"/>
          <w:szCs w:val="22"/>
        </w:rPr>
        <w:t xml:space="preserve"> or a SU to be eligible for PBS</w:t>
      </w:r>
      <w:r w:rsidR="0068211C">
        <w:rPr>
          <w:rFonts w:ascii="Arial" w:hAnsi="Arial" w:cs="Arial"/>
          <w:sz w:val="22"/>
          <w:szCs w:val="22"/>
        </w:rPr>
        <w:noBreakHyphen/>
      </w:r>
      <w:r w:rsidRPr="005D0807">
        <w:rPr>
          <w:rFonts w:ascii="Arial" w:hAnsi="Arial" w:cs="Arial"/>
          <w:sz w:val="22"/>
          <w:szCs w:val="22"/>
        </w:rPr>
        <w:t xml:space="preserve">subsidised treatment with </w:t>
      </w:r>
      <w:proofErr w:type="spellStart"/>
      <w:r w:rsidRPr="005D0807">
        <w:rPr>
          <w:rFonts w:ascii="Arial" w:hAnsi="Arial" w:cs="Arial"/>
          <w:sz w:val="22"/>
          <w:szCs w:val="22"/>
        </w:rPr>
        <w:t>saxagliptin</w:t>
      </w:r>
      <w:proofErr w:type="spellEnd"/>
      <w:r w:rsidRPr="005D0807">
        <w:rPr>
          <w:rFonts w:ascii="Arial" w:hAnsi="Arial" w:cs="Arial"/>
          <w:sz w:val="22"/>
          <w:szCs w:val="22"/>
        </w:rPr>
        <w:t xml:space="preserve"> without having to requalify </w:t>
      </w:r>
      <w:r w:rsidRPr="005D0807">
        <w:rPr>
          <w:rFonts w:ascii="Arial" w:hAnsi="Arial" w:cs="Arial"/>
          <w:color w:val="222222"/>
          <w:sz w:val="22"/>
          <w:szCs w:val="22"/>
          <w:shd w:val="clear" w:color="auto" w:fill="FFFFFF"/>
        </w:rPr>
        <w:t>with respect to glycosylated haemoglobin levels (HbA1c)</w:t>
      </w:r>
      <w:r w:rsidRPr="005D0807">
        <w:rPr>
          <w:rFonts w:ascii="Arial" w:hAnsi="Arial" w:cs="Arial"/>
          <w:sz w:val="22"/>
          <w:szCs w:val="22"/>
        </w:rPr>
        <w:t>.</w:t>
      </w:r>
    </w:p>
    <w:p w:rsidR="005D0807" w:rsidRDefault="005D0807" w:rsidP="0068211C">
      <w:pPr>
        <w:pStyle w:val="ListParagraph"/>
        <w:rPr>
          <w:rFonts w:ascii="Arial" w:hAnsi="Arial" w:cs="Arial"/>
          <w:bCs/>
          <w:sz w:val="22"/>
          <w:szCs w:val="22"/>
          <w:lang w:val="en-GB"/>
        </w:rPr>
      </w:pPr>
    </w:p>
    <w:p w:rsidR="005D0807" w:rsidRPr="005D0807" w:rsidRDefault="005D0807" w:rsidP="00E14DE9">
      <w:pPr>
        <w:numPr>
          <w:ilvl w:val="1"/>
          <w:numId w:val="1"/>
        </w:numPr>
        <w:contextualSpacing/>
        <w:jc w:val="both"/>
        <w:rPr>
          <w:rFonts w:ascii="Arial" w:hAnsi="Arial" w:cs="Arial"/>
          <w:bCs/>
          <w:sz w:val="22"/>
          <w:szCs w:val="22"/>
          <w:lang w:val="en-GB"/>
        </w:rPr>
      </w:pPr>
      <w:r w:rsidRPr="005D0807">
        <w:rPr>
          <w:rFonts w:ascii="Arial" w:hAnsi="Arial" w:cs="Arial"/>
          <w:bCs/>
          <w:sz w:val="22"/>
          <w:szCs w:val="22"/>
          <w:lang w:val="en-GB"/>
        </w:rPr>
        <w:t xml:space="preserve">The PBAC </w:t>
      </w:r>
      <w:r w:rsidR="0068211C">
        <w:rPr>
          <w:rFonts w:ascii="Arial" w:hAnsi="Arial" w:cs="Arial"/>
          <w:bCs/>
          <w:sz w:val="22"/>
          <w:szCs w:val="22"/>
          <w:lang w:val="en-GB"/>
        </w:rPr>
        <w:t>recommended</w:t>
      </w:r>
      <w:r w:rsidRPr="005D0807">
        <w:rPr>
          <w:rFonts w:ascii="Arial" w:hAnsi="Arial" w:cs="Arial"/>
          <w:bCs/>
          <w:sz w:val="22"/>
          <w:szCs w:val="22"/>
          <w:lang w:val="en-GB"/>
        </w:rPr>
        <w:t xml:space="preserve"> that the listing for </w:t>
      </w:r>
      <w:proofErr w:type="spellStart"/>
      <w:r w:rsidRPr="005D0807">
        <w:rPr>
          <w:rFonts w:ascii="Arial" w:hAnsi="Arial" w:cs="Arial"/>
          <w:bCs/>
          <w:sz w:val="22"/>
          <w:szCs w:val="22"/>
          <w:lang w:val="en-GB"/>
        </w:rPr>
        <w:t>saxagliptin</w:t>
      </w:r>
      <w:r>
        <w:rPr>
          <w:rFonts w:ascii="Arial" w:hAnsi="Arial" w:cs="Arial"/>
          <w:bCs/>
          <w:sz w:val="22"/>
          <w:szCs w:val="22"/>
          <w:lang w:val="en-GB"/>
        </w:rPr>
        <w:t>+MET</w:t>
      </w:r>
      <w:proofErr w:type="spellEnd"/>
      <w:r w:rsidRPr="005D0807">
        <w:rPr>
          <w:rFonts w:ascii="Arial" w:hAnsi="Arial" w:cs="Arial"/>
          <w:bCs/>
          <w:sz w:val="22"/>
          <w:szCs w:val="22"/>
          <w:lang w:val="en-GB"/>
        </w:rPr>
        <w:t xml:space="preserve"> </w:t>
      </w:r>
      <w:r w:rsidR="0047614B">
        <w:rPr>
          <w:rFonts w:ascii="Arial" w:hAnsi="Arial" w:cs="Arial"/>
          <w:bCs/>
          <w:sz w:val="22"/>
          <w:szCs w:val="22"/>
          <w:lang w:val="en-GB"/>
        </w:rPr>
        <w:t xml:space="preserve">XR </w:t>
      </w:r>
      <w:r w:rsidRPr="005D0807">
        <w:rPr>
          <w:rFonts w:ascii="Arial" w:hAnsi="Arial" w:cs="Arial"/>
          <w:bCs/>
          <w:sz w:val="22"/>
          <w:szCs w:val="22"/>
          <w:lang w:val="en-GB"/>
        </w:rPr>
        <w:t xml:space="preserve">should be consistent with the triple oral therapy restriction for </w:t>
      </w:r>
      <w:proofErr w:type="spellStart"/>
      <w:r w:rsidRPr="005D0807">
        <w:rPr>
          <w:rFonts w:ascii="Arial" w:hAnsi="Arial" w:cs="Arial"/>
          <w:bCs/>
          <w:sz w:val="22"/>
          <w:szCs w:val="22"/>
          <w:lang w:val="en-GB"/>
        </w:rPr>
        <w:t>sitagliptin</w:t>
      </w:r>
      <w:r>
        <w:rPr>
          <w:rFonts w:ascii="Arial" w:hAnsi="Arial" w:cs="Arial"/>
          <w:bCs/>
          <w:sz w:val="22"/>
          <w:szCs w:val="22"/>
          <w:lang w:val="en-GB"/>
        </w:rPr>
        <w:t>+MET</w:t>
      </w:r>
      <w:proofErr w:type="spellEnd"/>
      <w:r w:rsidRPr="005D0807">
        <w:rPr>
          <w:rFonts w:ascii="Arial" w:hAnsi="Arial" w:cs="Arial"/>
          <w:bCs/>
          <w:sz w:val="22"/>
          <w:szCs w:val="22"/>
          <w:lang w:val="en-GB"/>
        </w:rPr>
        <w:t>. The PBAC further recommended that this restriction wording should apply to other DPP-4 inhibitors and SGLT2 inhibitors</w:t>
      </w:r>
      <w:r w:rsidR="00E14DE9">
        <w:rPr>
          <w:rFonts w:ascii="Arial" w:hAnsi="Arial" w:cs="Arial"/>
          <w:bCs/>
          <w:sz w:val="22"/>
          <w:szCs w:val="22"/>
          <w:lang w:val="en-GB"/>
        </w:rPr>
        <w:t xml:space="preserve"> (including</w:t>
      </w:r>
      <w:r>
        <w:rPr>
          <w:rFonts w:ascii="Arial" w:hAnsi="Arial" w:cs="Arial"/>
          <w:bCs/>
          <w:sz w:val="22"/>
          <w:szCs w:val="22"/>
          <w:lang w:val="en-GB"/>
        </w:rPr>
        <w:t xml:space="preserve"> FDCs</w:t>
      </w:r>
      <w:r w:rsidR="00E14DE9">
        <w:rPr>
          <w:rFonts w:ascii="Arial" w:hAnsi="Arial" w:cs="Arial"/>
          <w:bCs/>
          <w:sz w:val="22"/>
          <w:szCs w:val="22"/>
          <w:lang w:val="en-GB"/>
        </w:rPr>
        <w:t>)</w:t>
      </w:r>
      <w:r w:rsidRPr="005D0807">
        <w:rPr>
          <w:rFonts w:ascii="Arial" w:hAnsi="Arial" w:cs="Arial"/>
          <w:bCs/>
          <w:sz w:val="22"/>
          <w:szCs w:val="22"/>
          <w:lang w:val="en-GB"/>
        </w:rPr>
        <w:t xml:space="preserve"> listed for triple oral therapy in </w:t>
      </w:r>
      <w:r w:rsidR="00E14DE9">
        <w:rPr>
          <w:rFonts w:ascii="Arial" w:hAnsi="Arial" w:cs="Arial"/>
          <w:bCs/>
          <w:sz w:val="22"/>
          <w:szCs w:val="22"/>
          <w:lang w:val="en-GB"/>
        </w:rPr>
        <w:t xml:space="preserve">T2DM </w:t>
      </w:r>
      <w:r w:rsidRPr="005D0807">
        <w:rPr>
          <w:rFonts w:ascii="Arial" w:hAnsi="Arial" w:cs="Arial"/>
          <w:bCs/>
          <w:sz w:val="22"/>
          <w:szCs w:val="22"/>
          <w:lang w:val="en-GB"/>
        </w:rPr>
        <w:t xml:space="preserve">to ensure consistency across listings. </w:t>
      </w:r>
      <w:r w:rsidR="00E14DE9">
        <w:rPr>
          <w:rFonts w:ascii="Arial" w:hAnsi="Arial" w:cs="Arial"/>
          <w:bCs/>
          <w:sz w:val="22"/>
          <w:szCs w:val="22"/>
          <w:lang w:val="en-GB"/>
        </w:rPr>
        <w:t xml:space="preserve"> </w:t>
      </w:r>
      <w:r w:rsidR="00E14DE9" w:rsidRPr="00E14DE9">
        <w:rPr>
          <w:rFonts w:ascii="Arial" w:hAnsi="Arial" w:cs="Arial"/>
          <w:bCs/>
          <w:sz w:val="22"/>
          <w:szCs w:val="22"/>
          <w:lang w:val="en-GB"/>
        </w:rPr>
        <w:t xml:space="preserve">The PBAC recommended the following wording to replace the words at the end of one of the clinical criteria: “…despite </w:t>
      </w:r>
      <w:r w:rsidR="00E14DE9" w:rsidRPr="00E14DE9">
        <w:rPr>
          <w:rFonts w:ascii="Arial" w:hAnsi="Arial" w:cs="Arial"/>
          <w:bCs/>
          <w:sz w:val="22"/>
          <w:szCs w:val="22"/>
          <w:lang w:val="en-GB"/>
        </w:rPr>
        <w:lastRenderedPageBreak/>
        <w:t xml:space="preserve">treatment with </w:t>
      </w:r>
      <w:r w:rsidR="00E14DE9" w:rsidRPr="00E14DE9">
        <w:rPr>
          <w:rFonts w:ascii="Arial" w:hAnsi="Arial" w:cs="Arial"/>
          <w:bCs/>
          <w:strike/>
          <w:sz w:val="22"/>
          <w:szCs w:val="22"/>
          <w:lang w:val="en-GB"/>
        </w:rPr>
        <w:t>maximally tolerated doses of metformin and a sulfonylurea</w:t>
      </w:r>
      <w:r w:rsidR="00E14DE9" w:rsidRPr="00E14DE9">
        <w:rPr>
          <w:rFonts w:ascii="Arial" w:hAnsi="Arial" w:cs="Arial"/>
          <w:bCs/>
          <w:sz w:val="22"/>
          <w:szCs w:val="22"/>
          <w:lang w:val="en-GB"/>
        </w:rPr>
        <w:t xml:space="preserve"> </w:t>
      </w:r>
      <w:r w:rsidR="00E14DE9" w:rsidRPr="00E14DE9">
        <w:rPr>
          <w:rFonts w:ascii="Arial" w:hAnsi="Arial" w:cs="Arial"/>
          <w:bCs/>
          <w:i/>
          <w:sz w:val="22"/>
          <w:szCs w:val="22"/>
          <w:lang w:val="en-GB"/>
        </w:rPr>
        <w:t>either metformin and a sulfonylurea, or metformin and this drug, or a sulfonylurea and this drug</w:t>
      </w:r>
      <w:r w:rsidR="00E14DE9">
        <w:rPr>
          <w:rFonts w:ascii="Arial" w:hAnsi="Arial" w:cs="Arial"/>
          <w:bCs/>
          <w:sz w:val="22"/>
          <w:szCs w:val="22"/>
          <w:lang w:val="en-GB"/>
        </w:rPr>
        <w:t xml:space="preserve">” </w:t>
      </w:r>
      <w:r w:rsidR="00E14DE9" w:rsidRPr="00E14DE9">
        <w:rPr>
          <w:rFonts w:ascii="Arial" w:hAnsi="Arial" w:cs="Arial"/>
          <w:bCs/>
          <w:sz w:val="22"/>
          <w:szCs w:val="22"/>
          <w:lang w:val="en-GB"/>
        </w:rPr>
        <w:t>(with suggested additions in italics and deletions crossed out with strikethrough).</w:t>
      </w:r>
    </w:p>
    <w:p w:rsidR="00B752B1" w:rsidRPr="00786D7C" w:rsidRDefault="00B752B1" w:rsidP="0068211C">
      <w:pPr>
        <w:pStyle w:val="ListParagraph"/>
        <w:rPr>
          <w:rFonts w:ascii="Arial" w:hAnsi="Arial" w:cs="Arial"/>
          <w:bCs/>
          <w:snapToGrid w:val="0"/>
          <w:sz w:val="22"/>
          <w:szCs w:val="22"/>
          <w:lang w:val="en-GB"/>
        </w:rPr>
      </w:pPr>
    </w:p>
    <w:p w:rsidR="00B752B1" w:rsidRDefault="00B752B1" w:rsidP="0068211C">
      <w:pPr>
        <w:pStyle w:val="ListParagraph"/>
        <w:numPr>
          <w:ilvl w:val="1"/>
          <w:numId w:val="1"/>
        </w:numPr>
        <w:jc w:val="both"/>
        <w:rPr>
          <w:rFonts w:ascii="Arial" w:hAnsi="Arial"/>
          <w:sz w:val="22"/>
          <w:szCs w:val="22"/>
        </w:rPr>
      </w:pPr>
      <w:r>
        <w:rPr>
          <w:rFonts w:ascii="Arial" w:hAnsi="Arial"/>
          <w:sz w:val="22"/>
          <w:szCs w:val="22"/>
        </w:rPr>
        <w:t xml:space="preserve">The PBAC considered that the submission’s assumption that the price of </w:t>
      </w:r>
      <w:proofErr w:type="spellStart"/>
      <w:r w:rsidR="00752787">
        <w:rPr>
          <w:rFonts w:ascii="Arial" w:hAnsi="Arial"/>
          <w:sz w:val="22"/>
          <w:szCs w:val="22"/>
        </w:rPr>
        <w:t>saxagliptin</w:t>
      </w:r>
      <w:r>
        <w:rPr>
          <w:rFonts w:ascii="Arial" w:hAnsi="Arial"/>
          <w:sz w:val="22"/>
          <w:szCs w:val="22"/>
        </w:rPr>
        <w:t>+</w:t>
      </w:r>
      <w:r w:rsidR="005D0807">
        <w:rPr>
          <w:rFonts w:ascii="Arial" w:hAnsi="Arial"/>
          <w:sz w:val="22"/>
          <w:szCs w:val="22"/>
        </w:rPr>
        <w:t>MET</w:t>
      </w:r>
      <w:proofErr w:type="spellEnd"/>
      <w:r w:rsidR="005D0807">
        <w:rPr>
          <w:rFonts w:ascii="Arial" w:hAnsi="Arial"/>
          <w:sz w:val="22"/>
          <w:szCs w:val="22"/>
        </w:rPr>
        <w:t xml:space="preserve"> </w:t>
      </w:r>
      <w:r>
        <w:rPr>
          <w:rFonts w:ascii="Arial" w:hAnsi="Arial"/>
          <w:sz w:val="22"/>
          <w:szCs w:val="22"/>
        </w:rPr>
        <w:t xml:space="preserve">XR FDC in triple oral therapy would be identical to the dual therapy indication was reasonable. </w:t>
      </w:r>
    </w:p>
    <w:p w:rsidR="0047614B" w:rsidRPr="0047614B" w:rsidRDefault="0047614B" w:rsidP="0068211C">
      <w:pPr>
        <w:pStyle w:val="ListParagraph"/>
        <w:rPr>
          <w:rFonts w:ascii="Arial" w:hAnsi="Arial"/>
          <w:sz w:val="22"/>
          <w:szCs w:val="22"/>
        </w:rPr>
      </w:pPr>
    </w:p>
    <w:p w:rsidR="0047614B" w:rsidRPr="0047614B" w:rsidRDefault="0047614B" w:rsidP="0068211C">
      <w:pPr>
        <w:numPr>
          <w:ilvl w:val="1"/>
          <w:numId w:val="1"/>
        </w:numPr>
        <w:contextualSpacing/>
        <w:jc w:val="both"/>
        <w:rPr>
          <w:rFonts w:ascii="Arial" w:hAnsi="Arial" w:cs="Arial"/>
          <w:sz w:val="22"/>
          <w:szCs w:val="22"/>
        </w:rPr>
      </w:pPr>
      <w:r w:rsidRPr="0047614B">
        <w:rPr>
          <w:rFonts w:ascii="Arial" w:hAnsi="Arial" w:cs="Arial"/>
          <w:sz w:val="22"/>
          <w:szCs w:val="22"/>
        </w:rPr>
        <w:t xml:space="preserve">The PBAC advised the Minister that, under Section 101(3BA) of the National Health Act 1953, </w:t>
      </w:r>
      <w:r w:rsidR="00757C5D">
        <w:rPr>
          <w:rFonts w:ascii="Arial" w:hAnsi="Arial" w:cs="Arial"/>
          <w:sz w:val="22"/>
          <w:szCs w:val="22"/>
        </w:rPr>
        <w:t xml:space="preserve">the </w:t>
      </w:r>
      <w:proofErr w:type="spellStart"/>
      <w:r w:rsidRPr="0047614B">
        <w:rPr>
          <w:rFonts w:ascii="Arial" w:hAnsi="Arial" w:cs="Arial"/>
          <w:sz w:val="22"/>
          <w:szCs w:val="22"/>
        </w:rPr>
        <w:t>saxagliptin</w:t>
      </w:r>
      <w:r>
        <w:rPr>
          <w:rFonts w:ascii="Arial" w:hAnsi="Arial" w:cs="Arial"/>
          <w:sz w:val="22"/>
          <w:szCs w:val="22"/>
        </w:rPr>
        <w:t>+MET</w:t>
      </w:r>
      <w:proofErr w:type="spellEnd"/>
      <w:r>
        <w:rPr>
          <w:rFonts w:ascii="Arial" w:hAnsi="Arial" w:cs="Arial"/>
          <w:sz w:val="22"/>
          <w:szCs w:val="22"/>
        </w:rPr>
        <w:t xml:space="preserve"> </w:t>
      </w:r>
      <w:r w:rsidR="00757C5D">
        <w:rPr>
          <w:rFonts w:ascii="Arial" w:hAnsi="Arial" w:cs="Arial"/>
          <w:sz w:val="22"/>
          <w:szCs w:val="22"/>
        </w:rPr>
        <w:t xml:space="preserve">FDC </w:t>
      </w:r>
      <w:r w:rsidRPr="0047614B">
        <w:rPr>
          <w:rFonts w:ascii="Arial" w:hAnsi="Arial" w:cs="Arial"/>
          <w:sz w:val="22"/>
          <w:szCs w:val="22"/>
        </w:rPr>
        <w:t xml:space="preserve">should be treated as interchangeable on an individual patient basis with </w:t>
      </w:r>
      <w:r w:rsidR="00757C5D">
        <w:rPr>
          <w:rFonts w:ascii="Arial" w:hAnsi="Arial" w:cs="Arial"/>
          <w:sz w:val="22"/>
          <w:szCs w:val="22"/>
        </w:rPr>
        <w:t xml:space="preserve">the </w:t>
      </w:r>
      <w:proofErr w:type="spellStart"/>
      <w:r w:rsidRPr="0047614B">
        <w:rPr>
          <w:rFonts w:ascii="Arial" w:hAnsi="Arial" w:cs="Arial"/>
          <w:sz w:val="22"/>
          <w:szCs w:val="22"/>
        </w:rPr>
        <w:t>sitagliptin</w:t>
      </w:r>
      <w:r>
        <w:rPr>
          <w:rFonts w:ascii="Arial" w:hAnsi="Arial" w:cs="Arial"/>
          <w:sz w:val="22"/>
          <w:szCs w:val="22"/>
        </w:rPr>
        <w:t>+MET</w:t>
      </w:r>
      <w:proofErr w:type="spellEnd"/>
      <w:r w:rsidRPr="0047614B">
        <w:rPr>
          <w:rFonts w:ascii="Arial" w:hAnsi="Arial" w:cs="Arial"/>
          <w:sz w:val="22"/>
          <w:szCs w:val="22"/>
        </w:rPr>
        <w:t xml:space="preserve"> </w:t>
      </w:r>
      <w:r w:rsidR="00757C5D">
        <w:rPr>
          <w:rFonts w:ascii="Arial" w:hAnsi="Arial" w:cs="Arial"/>
          <w:sz w:val="22"/>
          <w:szCs w:val="22"/>
        </w:rPr>
        <w:t xml:space="preserve">FDC </w:t>
      </w:r>
      <w:r w:rsidRPr="0047614B">
        <w:rPr>
          <w:rFonts w:ascii="Arial" w:hAnsi="Arial" w:cs="Arial"/>
          <w:sz w:val="22"/>
          <w:szCs w:val="22"/>
        </w:rPr>
        <w:t>for triple oral therapy for T2DM.</w:t>
      </w:r>
    </w:p>
    <w:p w:rsidR="00F214A5" w:rsidRPr="000D7864" w:rsidRDefault="00F214A5" w:rsidP="0068211C">
      <w:pPr>
        <w:contextualSpacing/>
        <w:rPr>
          <w:bCs/>
          <w:szCs w:val="22"/>
          <w:lang w:val="en-GB"/>
        </w:rPr>
      </w:pPr>
    </w:p>
    <w:p w:rsidR="00F214A5" w:rsidRPr="00F214A5" w:rsidRDefault="00F214A5" w:rsidP="0068211C">
      <w:pPr>
        <w:pStyle w:val="ListParagraph"/>
        <w:numPr>
          <w:ilvl w:val="1"/>
          <w:numId w:val="1"/>
        </w:numPr>
        <w:snapToGrid w:val="0"/>
        <w:jc w:val="both"/>
        <w:rPr>
          <w:rFonts w:ascii="Arial" w:hAnsi="Arial" w:cs="Arial"/>
          <w:sz w:val="22"/>
          <w:szCs w:val="22"/>
        </w:rPr>
      </w:pPr>
      <w:r w:rsidRPr="00F214A5">
        <w:rPr>
          <w:rFonts w:ascii="Arial" w:hAnsi="Arial" w:cs="Arial"/>
          <w:sz w:val="22"/>
          <w:szCs w:val="22"/>
        </w:rPr>
        <w:t xml:space="preserve">The PBAC advised that the NOTE in the current restriction of </w:t>
      </w:r>
      <w:proofErr w:type="spellStart"/>
      <w:r w:rsidRPr="00F214A5">
        <w:rPr>
          <w:rFonts w:ascii="Arial" w:hAnsi="Arial" w:cs="Arial"/>
          <w:sz w:val="22"/>
          <w:szCs w:val="22"/>
        </w:rPr>
        <w:t>saxagliptin</w:t>
      </w:r>
      <w:r>
        <w:rPr>
          <w:rFonts w:ascii="Arial" w:hAnsi="Arial" w:cs="Arial"/>
          <w:sz w:val="22"/>
          <w:szCs w:val="22"/>
        </w:rPr>
        <w:t>+</w:t>
      </w:r>
      <w:r w:rsidR="005D0807">
        <w:rPr>
          <w:rFonts w:ascii="Arial" w:hAnsi="Arial" w:cs="Arial"/>
          <w:sz w:val="22"/>
          <w:szCs w:val="22"/>
        </w:rPr>
        <w:t>MET</w:t>
      </w:r>
      <w:proofErr w:type="spellEnd"/>
      <w:r>
        <w:rPr>
          <w:rFonts w:ascii="Arial" w:hAnsi="Arial" w:cs="Arial"/>
          <w:sz w:val="22"/>
          <w:szCs w:val="22"/>
        </w:rPr>
        <w:t xml:space="preserve"> XR</w:t>
      </w:r>
      <w:r w:rsidRPr="00F214A5">
        <w:rPr>
          <w:rFonts w:ascii="Arial" w:hAnsi="Arial" w:cs="Arial"/>
          <w:sz w:val="22"/>
          <w:szCs w:val="22"/>
        </w:rPr>
        <w:t xml:space="preserve"> dual therapy will need to be amended to allow for triple oral combination therapy.</w:t>
      </w:r>
    </w:p>
    <w:p w:rsidR="00F214A5" w:rsidRPr="00F214A5" w:rsidRDefault="00F214A5" w:rsidP="0068211C">
      <w:pPr>
        <w:snapToGrid w:val="0"/>
        <w:rPr>
          <w:rFonts w:ascii="Arial" w:hAnsi="Arial" w:cs="Arial"/>
          <w:sz w:val="22"/>
          <w:szCs w:val="22"/>
        </w:rPr>
      </w:pPr>
    </w:p>
    <w:p w:rsidR="00F214A5" w:rsidRPr="00F214A5" w:rsidRDefault="00F214A5" w:rsidP="0068211C">
      <w:pPr>
        <w:pStyle w:val="ListParagraph"/>
        <w:numPr>
          <w:ilvl w:val="1"/>
          <w:numId w:val="1"/>
        </w:numPr>
        <w:snapToGrid w:val="0"/>
        <w:jc w:val="both"/>
        <w:rPr>
          <w:rFonts w:ascii="Arial" w:hAnsi="Arial" w:cs="Arial"/>
          <w:sz w:val="22"/>
          <w:szCs w:val="22"/>
        </w:rPr>
      </w:pPr>
      <w:r w:rsidRPr="00F214A5">
        <w:rPr>
          <w:rFonts w:ascii="Arial" w:hAnsi="Arial" w:cs="Arial"/>
          <w:sz w:val="22"/>
          <w:szCs w:val="22"/>
        </w:rPr>
        <w:t xml:space="preserve">The PBAC advised that </w:t>
      </w:r>
      <w:proofErr w:type="spellStart"/>
      <w:r w:rsidRPr="00F214A5">
        <w:rPr>
          <w:rFonts w:ascii="Arial" w:hAnsi="Arial" w:cs="Arial"/>
          <w:sz w:val="22"/>
          <w:szCs w:val="22"/>
        </w:rPr>
        <w:t>saxagliptin</w:t>
      </w:r>
      <w:proofErr w:type="spellEnd"/>
      <w:r w:rsidRPr="00F214A5">
        <w:rPr>
          <w:rFonts w:ascii="Arial" w:hAnsi="Arial" w:cs="Arial"/>
          <w:sz w:val="22"/>
          <w:szCs w:val="22"/>
        </w:rPr>
        <w:t xml:space="preserve"> is suitable for prescribing by nurse practitioners within collaborative arrangements.</w:t>
      </w:r>
    </w:p>
    <w:p w:rsidR="00F214A5" w:rsidRPr="00F214A5" w:rsidRDefault="00F214A5" w:rsidP="0068211C">
      <w:pPr>
        <w:snapToGrid w:val="0"/>
        <w:rPr>
          <w:rFonts w:ascii="Arial" w:hAnsi="Arial" w:cs="Arial"/>
          <w:sz w:val="22"/>
          <w:szCs w:val="22"/>
        </w:rPr>
      </w:pPr>
    </w:p>
    <w:p w:rsidR="00F214A5" w:rsidRPr="00F214A5" w:rsidRDefault="00F214A5" w:rsidP="0068211C">
      <w:pPr>
        <w:numPr>
          <w:ilvl w:val="1"/>
          <w:numId w:val="1"/>
        </w:numPr>
        <w:contextualSpacing/>
        <w:jc w:val="both"/>
        <w:rPr>
          <w:rFonts w:ascii="Arial" w:hAnsi="Arial" w:cs="Arial"/>
          <w:bCs/>
          <w:sz w:val="22"/>
          <w:szCs w:val="22"/>
          <w:lang w:val="en-GB"/>
        </w:rPr>
      </w:pPr>
      <w:r w:rsidRPr="00F214A5">
        <w:rPr>
          <w:rFonts w:ascii="Arial" w:hAnsi="Arial" w:cs="Arial"/>
          <w:bCs/>
          <w:sz w:val="22"/>
          <w:szCs w:val="22"/>
          <w:lang w:val="en-GB"/>
        </w:rPr>
        <w:t xml:space="preserve">The </w:t>
      </w:r>
      <w:r w:rsidRPr="00F214A5">
        <w:rPr>
          <w:rFonts w:ascii="Arial" w:hAnsi="Arial" w:cs="Arial"/>
          <w:sz w:val="22"/>
          <w:szCs w:val="22"/>
        </w:rPr>
        <w:t>PBAC recommended that the Safety Net 20 Day Rule should apply.</w:t>
      </w:r>
    </w:p>
    <w:p w:rsidR="00420059" w:rsidRPr="003C3927" w:rsidRDefault="00420059" w:rsidP="0068211C">
      <w:pPr>
        <w:ind w:left="720"/>
        <w:contextualSpacing/>
        <w:jc w:val="both"/>
        <w:rPr>
          <w:rFonts w:ascii="Arial" w:hAnsi="Arial" w:cs="Arial"/>
          <w:bCs/>
          <w:snapToGrid w:val="0"/>
          <w:sz w:val="22"/>
          <w:szCs w:val="22"/>
          <w:highlight w:val="yellow"/>
          <w:lang w:val="en-GB"/>
        </w:rPr>
      </w:pPr>
    </w:p>
    <w:p w:rsidR="00420059" w:rsidRPr="00EA0EDA" w:rsidRDefault="00420059" w:rsidP="0068211C">
      <w:pPr>
        <w:jc w:val="both"/>
        <w:rPr>
          <w:rFonts w:ascii="Arial" w:hAnsi="Arial" w:cs="Arial"/>
          <w:b/>
          <w:bCs/>
          <w:snapToGrid w:val="0"/>
          <w:sz w:val="22"/>
          <w:szCs w:val="22"/>
          <w:highlight w:val="yellow"/>
          <w:lang w:val="en-GB"/>
        </w:rPr>
      </w:pPr>
    </w:p>
    <w:p w:rsidR="00420059" w:rsidRPr="00F214A5" w:rsidRDefault="00420059" w:rsidP="0068211C">
      <w:pPr>
        <w:jc w:val="both"/>
        <w:rPr>
          <w:rFonts w:ascii="Arial" w:hAnsi="Arial" w:cs="Arial"/>
          <w:b/>
          <w:bCs/>
          <w:snapToGrid w:val="0"/>
          <w:sz w:val="22"/>
          <w:szCs w:val="22"/>
          <w:lang w:val="en-GB"/>
        </w:rPr>
      </w:pPr>
      <w:r w:rsidRPr="00F214A5">
        <w:rPr>
          <w:rFonts w:ascii="Arial" w:hAnsi="Arial" w:cs="Arial"/>
          <w:b/>
          <w:bCs/>
          <w:snapToGrid w:val="0"/>
          <w:sz w:val="22"/>
          <w:szCs w:val="22"/>
          <w:lang w:val="en-GB"/>
        </w:rPr>
        <w:t>Outcome:</w:t>
      </w:r>
    </w:p>
    <w:p w:rsidR="00420059" w:rsidRPr="00F214A5" w:rsidRDefault="00F214A5" w:rsidP="0068211C">
      <w:pPr>
        <w:jc w:val="both"/>
        <w:rPr>
          <w:rFonts w:ascii="Arial" w:hAnsi="Arial" w:cs="Arial"/>
          <w:bCs/>
          <w:snapToGrid w:val="0"/>
          <w:sz w:val="22"/>
          <w:szCs w:val="22"/>
          <w:lang w:val="en-GB"/>
        </w:rPr>
      </w:pPr>
      <w:r w:rsidRPr="00F214A5">
        <w:rPr>
          <w:rFonts w:ascii="Arial" w:hAnsi="Arial" w:cs="Arial"/>
          <w:bCs/>
          <w:snapToGrid w:val="0"/>
          <w:sz w:val="22"/>
          <w:szCs w:val="22"/>
          <w:lang w:val="en-GB"/>
        </w:rPr>
        <w:t xml:space="preserve">Recommended </w:t>
      </w:r>
    </w:p>
    <w:p w:rsidR="00420059" w:rsidRPr="00EA0EDA" w:rsidRDefault="00420059" w:rsidP="0068211C">
      <w:pPr>
        <w:jc w:val="both"/>
        <w:rPr>
          <w:rFonts w:ascii="Arial" w:hAnsi="Arial" w:cs="Arial"/>
          <w:bCs/>
          <w:snapToGrid w:val="0"/>
          <w:sz w:val="22"/>
          <w:szCs w:val="22"/>
          <w:highlight w:val="yellow"/>
        </w:rPr>
      </w:pPr>
    </w:p>
    <w:p w:rsidR="00420059" w:rsidRPr="005D0807" w:rsidRDefault="00420059" w:rsidP="00E14DE9">
      <w:pPr>
        <w:keepNext/>
        <w:numPr>
          <w:ilvl w:val="0"/>
          <w:numId w:val="1"/>
        </w:numPr>
        <w:jc w:val="both"/>
        <w:rPr>
          <w:rFonts w:ascii="Arial" w:hAnsi="Arial" w:cs="Arial"/>
          <w:b/>
          <w:bCs/>
          <w:i/>
          <w:snapToGrid w:val="0"/>
          <w:sz w:val="22"/>
          <w:szCs w:val="22"/>
          <w:lang w:val="en-GB"/>
        </w:rPr>
      </w:pPr>
      <w:r w:rsidRPr="005D0807">
        <w:rPr>
          <w:rFonts w:ascii="Arial" w:hAnsi="Arial" w:cs="Arial"/>
          <w:b/>
          <w:bCs/>
          <w:snapToGrid w:val="0"/>
          <w:sz w:val="22"/>
          <w:szCs w:val="22"/>
          <w:lang w:val="en-GB"/>
        </w:rPr>
        <w:t>Recommended listing</w:t>
      </w:r>
    </w:p>
    <w:p w:rsidR="00420059" w:rsidRPr="005D0807" w:rsidRDefault="00420059" w:rsidP="00E14DE9">
      <w:pPr>
        <w:keepNext/>
        <w:jc w:val="both"/>
        <w:rPr>
          <w:rFonts w:ascii="Arial" w:hAnsi="Arial" w:cs="Arial"/>
          <w:b/>
          <w:bCs/>
          <w:i/>
          <w:snapToGrid w:val="0"/>
          <w:sz w:val="22"/>
          <w:szCs w:val="22"/>
          <w:lang w:val="en-GB"/>
        </w:rPr>
      </w:pPr>
    </w:p>
    <w:p w:rsidR="00420059" w:rsidRPr="005D0807" w:rsidRDefault="005D0807" w:rsidP="0068211C">
      <w:pPr>
        <w:numPr>
          <w:ilvl w:val="1"/>
          <w:numId w:val="1"/>
        </w:numPr>
        <w:contextualSpacing/>
        <w:jc w:val="both"/>
        <w:rPr>
          <w:rFonts w:ascii="Arial" w:hAnsi="Arial" w:cs="Arial"/>
          <w:b/>
          <w:bCs/>
          <w:snapToGrid w:val="0"/>
          <w:sz w:val="22"/>
          <w:szCs w:val="22"/>
        </w:rPr>
      </w:pPr>
      <w:r w:rsidRPr="005D0807">
        <w:rPr>
          <w:rFonts w:ascii="Arial" w:hAnsi="Arial" w:cs="Arial"/>
          <w:bCs/>
          <w:snapToGrid w:val="0"/>
          <w:sz w:val="22"/>
          <w:szCs w:val="22"/>
        </w:rPr>
        <w:t>Amend existing</w:t>
      </w:r>
      <w:r w:rsidR="00420059" w:rsidRPr="005D0807">
        <w:rPr>
          <w:rFonts w:ascii="Arial" w:hAnsi="Arial" w:cs="Arial"/>
          <w:bCs/>
          <w:snapToGrid w:val="0"/>
          <w:sz w:val="22"/>
          <w:szCs w:val="22"/>
        </w:rPr>
        <w:t xml:space="preserve"> listing as follows:</w:t>
      </w:r>
    </w:p>
    <w:p w:rsidR="00420059" w:rsidRDefault="00420059" w:rsidP="0068211C">
      <w:pPr>
        <w:jc w:val="both"/>
        <w:rPr>
          <w:rFonts w:ascii="Arial" w:hAnsi="Arial" w:cs="Arial"/>
          <w:b/>
          <w:bCs/>
          <w:snapToGrid w:val="0"/>
          <w:sz w:val="22"/>
          <w:szCs w:val="22"/>
          <w:highlight w:val="yellow"/>
        </w:rPr>
      </w:pPr>
    </w:p>
    <w:tbl>
      <w:tblPr>
        <w:tblW w:w="8363" w:type="dxa"/>
        <w:tblInd w:w="817" w:type="dxa"/>
        <w:tblLayout w:type="fixed"/>
        <w:tblLook w:val="0000" w:firstRow="0" w:lastRow="0" w:firstColumn="0" w:lastColumn="0" w:noHBand="0" w:noVBand="0"/>
      </w:tblPr>
      <w:tblGrid>
        <w:gridCol w:w="1985"/>
        <w:gridCol w:w="992"/>
        <w:gridCol w:w="850"/>
        <w:gridCol w:w="709"/>
        <w:gridCol w:w="2693"/>
        <w:gridCol w:w="1134"/>
      </w:tblGrid>
      <w:tr w:rsidR="009A7F80" w:rsidRPr="0039782C" w:rsidTr="00AF645E">
        <w:trPr>
          <w:cantSplit/>
          <w:trHeight w:val="471"/>
        </w:trPr>
        <w:tc>
          <w:tcPr>
            <w:tcW w:w="2977" w:type="dxa"/>
            <w:gridSpan w:val="2"/>
            <w:tcBorders>
              <w:bottom w:val="single" w:sz="4" w:space="0" w:color="auto"/>
            </w:tcBorders>
          </w:tcPr>
          <w:p w:rsidR="009A7F80" w:rsidRPr="0039782C" w:rsidRDefault="009A7F80" w:rsidP="0068211C">
            <w:pPr>
              <w:keepNext/>
              <w:ind w:left="-108"/>
              <w:rPr>
                <w:rFonts w:ascii="Arial Narrow" w:hAnsi="Arial Narrow" w:cs="Arial"/>
                <w:b/>
                <w:sz w:val="20"/>
                <w:szCs w:val="20"/>
              </w:rPr>
            </w:pPr>
            <w:r w:rsidRPr="0039782C">
              <w:rPr>
                <w:rFonts w:ascii="Arial Narrow" w:hAnsi="Arial Narrow" w:cs="Arial"/>
                <w:b/>
                <w:sz w:val="20"/>
                <w:szCs w:val="20"/>
              </w:rPr>
              <w:t>Name, Restriction,</w:t>
            </w:r>
          </w:p>
          <w:p w:rsidR="009A7F80" w:rsidRPr="0039782C" w:rsidRDefault="009A7F80" w:rsidP="0068211C">
            <w:pPr>
              <w:keepNext/>
              <w:ind w:left="-108"/>
              <w:rPr>
                <w:rFonts w:ascii="Arial Narrow" w:hAnsi="Arial Narrow" w:cs="Arial"/>
                <w:b/>
                <w:sz w:val="20"/>
                <w:szCs w:val="20"/>
              </w:rPr>
            </w:pPr>
            <w:r w:rsidRPr="0039782C">
              <w:rPr>
                <w:rFonts w:ascii="Arial Narrow" w:hAnsi="Arial Narrow" w:cs="Arial"/>
                <w:b/>
                <w:sz w:val="20"/>
                <w:szCs w:val="20"/>
              </w:rPr>
              <w:t>Manner of administration and form</w:t>
            </w:r>
          </w:p>
        </w:tc>
        <w:tc>
          <w:tcPr>
            <w:tcW w:w="850" w:type="dxa"/>
            <w:tcBorders>
              <w:bottom w:val="single" w:sz="4" w:space="0" w:color="auto"/>
            </w:tcBorders>
          </w:tcPr>
          <w:p w:rsidR="009A7F80" w:rsidRPr="0039782C" w:rsidRDefault="009A7F80" w:rsidP="0068211C">
            <w:pPr>
              <w:keepNext/>
              <w:ind w:left="-108"/>
              <w:jc w:val="center"/>
              <w:rPr>
                <w:rFonts w:ascii="Arial Narrow" w:hAnsi="Arial Narrow" w:cs="Arial"/>
                <w:b/>
                <w:sz w:val="20"/>
                <w:szCs w:val="20"/>
              </w:rPr>
            </w:pPr>
            <w:r w:rsidRPr="0039782C">
              <w:rPr>
                <w:rFonts w:ascii="Arial Narrow" w:hAnsi="Arial Narrow" w:cs="Arial"/>
                <w:b/>
                <w:sz w:val="20"/>
                <w:szCs w:val="20"/>
              </w:rPr>
              <w:t>Max.</w:t>
            </w:r>
          </w:p>
          <w:p w:rsidR="009A7F80" w:rsidRPr="0039782C" w:rsidRDefault="009A7F80" w:rsidP="0068211C">
            <w:pPr>
              <w:keepNext/>
              <w:ind w:left="-108"/>
              <w:jc w:val="center"/>
              <w:rPr>
                <w:rFonts w:ascii="Arial Narrow" w:hAnsi="Arial Narrow" w:cs="Arial"/>
                <w:b/>
                <w:sz w:val="20"/>
                <w:szCs w:val="20"/>
              </w:rPr>
            </w:pPr>
            <w:r w:rsidRPr="0039782C">
              <w:rPr>
                <w:rFonts w:ascii="Arial Narrow" w:hAnsi="Arial Narrow" w:cs="Arial"/>
                <w:b/>
                <w:sz w:val="20"/>
                <w:szCs w:val="20"/>
              </w:rPr>
              <w:t>Qty</w:t>
            </w:r>
          </w:p>
        </w:tc>
        <w:tc>
          <w:tcPr>
            <w:tcW w:w="709" w:type="dxa"/>
            <w:tcBorders>
              <w:bottom w:val="single" w:sz="4" w:space="0" w:color="auto"/>
            </w:tcBorders>
          </w:tcPr>
          <w:p w:rsidR="009A7F80" w:rsidRPr="0039782C" w:rsidRDefault="009A7F80" w:rsidP="0068211C">
            <w:pPr>
              <w:keepNext/>
              <w:ind w:left="-108"/>
              <w:rPr>
                <w:rFonts w:ascii="Arial Narrow" w:hAnsi="Arial Narrow" w:cs="Arial"/>
                <w:b/>
                <w:sz w:val="20"/>
                <w:szCs w:val="20"/>
              </w:rPr>
            </w:pPr>
            <w:r w:rsidRPr="0039782C">
              <w:rPr>
                <w:rFonts w:ascii="Arial Narrow" w:hAnsi="Arial Narrow" w:cs="Arial"/>
                <w:b/>
                <w:sz w:val="20"/>
                <w:szCs w:val="20"/>
              </w:rPr>
              <w:t>№.of</w:t>
            </w:r>
          </w:p>
          <w:p w:rsidR="009A7F80" w:rsidRPr="0039782C" w:rsidRDefault="009A7F80" w:rsidP="0068211C">
            <w:pPr>
              <w:keepNext/>
              <w:ind w:left="-108"/>
              <w:rPr>
                <w:rFonts w:ascii="Arial Narrow" w:hAnsi="Arial Narrow" w:cs="Arial"/>
                <w:b/>
                <w:sz w:val="20"/>
                <w:szCs w:val="20"/>
              </w:rPr>
            </w:pPr>
            <w:r w:rsidRPr="0039782C">
              <w:rPr>
                <w:rFonts w:ascii="Arial Narrow" w:hAnsi="Arial Narrow" w:cs="Arial"/>
                <w:b/>
                <w:sz w:val="20"/>
                <w:szCs w:val="20"/>
              </w:rPr>
              <w:t>Rpts</w:t>
            </w:r>
          </w:p>
        </w:tc>
        <w:tc>
          <w:tcPr>
            <w:tcW w:w="3827" w:type="dxa"/>
            <w:gridSpan w:val="2"/>
            <w:tcBorders>
              <w:bottom w:val="single" w:sz="4" w:space="0" w:color="auto"/>
            </w:tcBorders>
          </w:tcPr>
          <w:p w:rsidR="009A7F80" w:rsidRPr="0039782C" w:rsidRDefault="009A7F80" w:rsidP="0068211C">
            <w:pPr>
              <w:keepNext/>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9A7F80" w:rsidRPr="00260CE3" w:rsidTr="004057ED">
        <w:trPr>
          <w:cantSplit/>
          <w:trHeight w:val="577"/>
        </w:trPr>
        <w:tc>
          <w:tcPr>
            <w:tcW w:w="2977" w:type="dxa"/>
            <w:gridSpan w:val="2"/>
          </w:tcPr>
          <w:p w:rsidR="009A7F80" w:rsidRDefault="009A7F80" w:rsidP="0068211C">
            <w:pPr>
              <w:keepNext/>
              <w:jc w:val="both"/>
              <w:rPr>
                <w:rFonts w:ascii="Arial Narrow" w:hAnsi="Arial Narrow" w:cs="Arial"/>
                <w:sz w:val="20"/>
                <w:szCs w:val="20"/>
              </w:rPr>
            </w:pPr>
            <w:r>
              <w:rPr>
                <w:rFonts w:ascii="Arial Narrow" w:hAnsi="Arial Narrow" w:cs="Arial"/>
                <w:sz w:val="20"/>
                <w:szCs w:val="20"/>
              </w:rPr>
              <w:t>SAXAGLIPTIN+METFORMIN</w:t>
            </w:r>
          </w:p>
          <w:p w:rsidR="009A7F80" w:rsidRDefault="009A7F80" w:rsidP="0068211C">
            <w:pPr>
              <w:keepNext/>
              <w:jc w:val="both"/>
              <w:rPr>
                <w:rFonts w:ascii="Arial Narrow" w:hAnsi="Arial Narrow" w:cs="Arial"/>
                <w:sz w:val="20"/>
                <w:szCs w:val="20"/>
              </w:rPr>
            </w:pPr>
            <w:proofErr w:type="spellStart"/>
            <w:r>
              <w:rPr>
                <w:rFonts w:ascii="Arial Narrow" w:hAnsi="Arial Narrow" w:cs="Arial"/>
                <w:sz w:val="20"/>
                <w:szCs w:val="20"/>
              </w:rPr>
              <w:t>saxagl</w:t>
            </w:r>
            <w:r w:rsidR="00123AB8">
              <w:rPr>
                <w:rFonts w:ascii="Arial Narrow" w:hAnsi="Arial Narrow" w:cs="Arial"/>
                <w:sz w:val="20"/>
                <w:szCs w:val="20"/>
              </w:rPr>
              <w:t>i</w:t>
            </w:r>
            <w:r>
              <w:rPr>
                <w:rFonts w:ascii="Arial Narrow" w:hAnsi="Arial Narrow" w:cs="Arial"/>
                <w:sz w:val="20"/>
                <w:szCs w:val="20"/>
              </w:rPr>
              <w:t>ptin</w:t>
            </w:r>
            <w:proofErr w:type="spellEnd"/>
            <w:r>
              <w:rPr>
                <w:rFonts w:ascii="Arial Narrow" w:hAnsi="Arial Narrow" w:cs="Arial"/>
                <w:sz w:val="20"/>
                <w:szCs w:val="20"/>
              </w:rPr>
              <w:t xml:space="preserve"> 5 mg + metformin hydrochloride 500 mg tablet: modified release, 28</w:t>
            </w:r>
          </w:p>
          <w:p w:rsidR="009A7F80" w:rsidRDefault="009A7F80" w:rsidP="0068211C">
            <w:pPr>
              <w:keepNext/>
              <w:jc w:val="both"/>
              <w:rPr>
                <w:rFonts w:ascii="Arial Narrow" w:hAnsi="Arial Narrow" w:cs="Arial"/>
                <w:sz w:val="20"/>
                <w:szCs w:val="20"/>
              </w:rPr>
            </w:pPr>
            <w:proofErr w:type="spellStart"/>
            <w:r>
              <w:rPr>
                <w:rFonts w:ascii="Arial Narrow" w:hAnsi="Arial Narrow" w:cs="Arial"/>
                <w:sz w:val="20"/>
                <w:szCs w:val="20"/>
              </w:rPr>
              <w:t>saxagl</w:t>
            </w:r>
            <w:r w:rsidR="00123AB8">
              <w:rPr>
                <w:rFonts w:ascii="Arial Narrow" w:hAnsi="Arial Narrow" w:cs="Arial"/>
                <w:sz w:val="20"/>
                <w:szCs w:val="20"/>
              </w:rPr>
              <w:t>i</w:t>
            </w:r>
            <w:r>
              <w:rPr>
                <w:rFonts w:ascii="Arial Narrow" w:hAnsi="Arial Narrow" w:cs="Arial"/>
                <w:sz w:val="20"/>
                <w:szCs w:val="20"/>
              </w:rPr>
              <w:t>ptin</w:t>
            </w:r>
            <w:proofErr w:type="spellEnd"/>
            <w:r>
              <w:rPr>
                <w:rFonts w:ascii="Arial Narrow" w:hAnsi="Arial Narrow" w:cs="Arial"/>
                <w:sz w:val="20"/>
                <w:szCs w:val="20"/>
              </w:rPr>
              <w:t xml:space="preserve"> 5 mg + metformin hydrochloride 1 g tablet: modified release, 28</w:t>
            </w:r>
          </w:p>
          <w:p w:rsidR="009A7F80" w:rsidRPr="00260CE3" w:rsidRDefault="009A7F80" w:rsidP="0068211C">
            <w:pPr>
              <w:keepNext/>
              <w:jc w:val="both"/>
              <w:rPr>
                <w:rFonts w:ascii="Arial Narrow" w:hAnsi="Arial Narrow" w:cs="Arial"/>
                <w:sz w:val="20"/>
                <w:szCs w:val="20"/>
              </w:rPr>
            </w:pPr>
            <w:proofErr w:type="spellStart"/>
            <w:r>
              <w:rPr>
                <w:rFonts w:ascii="Arial Narrow" w:hAnsi="Arial Narrow" w:cs="Arial"/>
                <w:sz w:val="20"/>
                <w:szCs w:val="20"/>
              </w:rPr>
              <w:t>saxagl</w:t>
            </w:r>
            <w:r w:rsidR="00123AB8">
              <w:rPr>
                <w:rFonts w:ascii="Arial Narrow" w:hAnsi="Arial Narrow" w:cs="Arial"/>
                <w:sz w:val="20"/>
                <w:szCs w:val="20"/>
              </w:rPr>
              <w:t>i</w:t>
            </w:r>
            <w:r>
              <w:rPr>
                <w:rFonts w:ascii="Arial Narrow" w:hAnsi="Arial Narrow" w:cs="Arial"/>
                <w:sz w:val="20"/>
                <w:szCs w:val="20"/>
              </w:rPr>
              <w:t>ptin</w:t>
            </w:r>
            <w:proofErr w:type="spellEnd"/>
            <w:r>
              <w:rPr>
                <w:rFonts w:ascii="Arial Narrow" w:hAnsi="Arial Narrow" w:cs="Arial"/>
                <w:sz w:val="20"/>
                <w:szCs w:val="20"/>
              </w:rPr>
              <w:t xml:space="preserve"> 2.5 mg + metformin hydrochloride 1 g tablet: modified release, 56</w:t>
            </w:r>
          </w:p>
        </w:tc>
        <w:tc>
          <w:tcPr>
            <w:tcW w:w="850" w:type="dxa"/>
          </w:tcPr>
          <w:p w:rsidR="009A7F80" w:rsidRPr="00260CE3" w:rsidRDefault="009A7F80" w:rsidP="0068211C">
            <w:pPr>
              <w:keepNext/>
              <w:ind w:left="-108"/>
              <w:jc w:val="center"/>
              <w:rPr>
                <w:rFonts w:ascii="Arial Narrow" w:hAnsi="Arial Narrow" w:cs="Arial"/>
                <w:sz w:val="20"/>
                <w:szCs w:val="20"/>
              </w:rPr>
            </w:pPr>
          </w:p>
          <w:p w:rsidR="009A7F80" w:rsidRDefault="009A7F80" w:rsidP="0068211C">
            <w:pPr>
              <w:keepNext/>
              <w:ind w:left="-108"/>
              <w:jc w:val="center"/>
              <w:rPr>
                <w:rFonts w:ascii="Arial Narrow" w:hAnsi="Arial Narrow" w:cs="Arial"/>
                <w:sz w:val="20"/>
                <w:szCs w:val="20"/>
              </w:rPr>
            </w:pPr>
            <w:r>
              <w:rPr>
                <w:rFonts w:ascii="Arial Narrow" w:hAnsi="Arial Narrow" w:cs="Arial"/>
                <w:sz w:val="20"/>
                <w:szCs w:val="20"/>
              </w:rPr>
              <w:t>1</w:t>
            </w:r>
          </w:p>
          <w:p w:rsidR="009A7F80" w:rsidRDefault="009A7F80" w:rsidP="0068211C">
            <w:pPr>
              <w:keepNext/>
              <w:ind w:left="-108"/>
              <w:jc w:val="center"/>
              <w:rPr>
                <w:rFonts w:ascii="Arial Narrow" w:hAnsi="Arial Narrow" w:cs="Arial"/>
                <w:sz w:val="20"/>
                <w:szCs w:val="20"/>
              </w:rPr>
            </w:pPr>
          </w:p>
          <w:p w:rsidR="009A7F80" w:rsidRDefault="009A7F80" w:rsidP="0068211C">
            <w:pPr>
              <w:keepNext/>
              <w:ind w:left="-108"/>
              <w:jc w:val="center"/>
              <w:rPr>
                <w:rFonts w:ascii="Arial Narrow" w:hAnsi="Arial Narrow" w:cs="Arial"/>
                <w:sz w:val="20"/>
                <w:szCs w:val="20"/>
              </w:rPr>
            </w:pPr>
          </w:p>
          <w:p w:rsidR="009A7F80" w:rsidRDefault="009A7F80" w:rsidP="0068211C">
            <w:pPr>
              <w:keepNext/>
              <w:ind w:left="-108"/>
              <w:jc w:val="center"/>
              <w:rPr>
                <w:rFonts w:ascii="Arial Narrow" w:hAnsi="Arial Narrow" w:cs="Arial"/>
                <w:sz w:val="20"/>
                <w:szCs w:val="20"/>
              </w:rPr>
            </w:pPr>
            <w:r>
              <w:rPr>
                <w:rFonts w:ascii="Arial Narrow" w:hAnsi="Arial Narrow" w:cs="Arial"/>
                <w:sz w:val="20"/>
                <w:szCs w:val="20"/>
              </w:rPr>
              <w:t>1</w:t>
            </w:r>
          </w:p>
          <w:p w:rsidR="009A7F80" w:rsidRDefault="009A7F80" w:rsidP="0068211C">
            <w:pPr>
              <w:keepNext/>
              <w:ind w:left="-108"/>
              <w:jc w:val="center"/>
              <w:rPr>
                <w:rFonts w:ascii="Arial Narrow" w:hAnsi="Arial Narrow" w:cs="Arial"/>
                <w:sz w:val="20"/>
                <w:szCs w:val="20"/>
              </w:rPr>
            </w:pPr>
          </w:p>
          <w:p w:rsidR="009A7F80" w:rsidRDefault="009A7F80" w:rsidP="0068211C">
            <w:pPr>
              <w:keepNext/>
              <w:ind w:left="-108"/>
              <w:jc w:val="center"/>
              <w:rPr>
                <w:rFonts w:ascii="Arial Narrow" w:hAnsi="Arial Narrow" w:cs="Arial"/>
                <w:sz w:val="20"/>
                <w:szCs w:val="20"/>
              </w:rPr>
            </w:pPr>
          </w:p>
          <w:p w:rsidR="009A7F80" w:rsidRPr="00260CE3" w:rsidRDefault="009A7F80" w:rsidP="0068211C">
            <w:pPr>
              <w:keepNext/>
              <w:ind w:left="-108"/>
              <w:jc w:val="center"/>
              <w:rPr>
                <w:rFonts w:ascii="Arial Narrow" w:hAnsi="Arial Narrow" w:cs="Arial"/>
                <w:sz w:val="20"/>
                <w:szCs w:val="20"/>
              </w:rPr>
            </w:pPr>
            <w:r>
              <w:rPr>
                <w:rFonts w:ascii="Arial Narrow" w:hAnsi="Arial Narrow" w:cs="Arial"/>
                <w:sz w:val="20"/>
                <w:szCs w:val="20"/>
              </w:rPr>
              <w:t>1</w:t>
            </w:r>
          </w:p>
        </w:tc>
        <w:tc>
          <w:tcPr>
            <w:tcW w:w="709" w:type="dxa"/>
          </w:tcPr>
          <w:p w:rsidR="009A7F80" w:rsidRPr="00260CE3" w:rsidRDefault="009A7F80" w:rsidP="0068211C">
            <w:pPr>
              <w:keepNext/>
              <w:ind w:left="-108"/>
              <w:jc w:val="both"/>
              <w:rPr>
                <w:rFonts w:ascii="Arial Narrow" w:hAnsi="Arial Narrow" w:cs="Arial"/>
                <w:sz w:val="20"/>
                <w:szCs w:val="20"/>
              </w:rPr>
            </w:pPr>
          </w:p>
          <w:p w:rsidR="009A7F80" w:rsidRDefault="009A7F80" w:rsidP="0068211C">
            <w:pPr>
              <w:keepNext/>
              <w:ind w:left="-108"/>
              <w:jc w:val="both"/>
              <w:rPr>
                <w:rFonts w:ascii="Arial Narrow" w:hAnsi="Arial Narrow" w:cs="Arial"/>
                <w:sz w:val="20"/>
                <w:szCs w:val="20"/>
              </w:rPr>
            </w:pPr>
            <w:r>
              <w:rPr>
                <w:rFonts w:ascii="Arial Narrow" w:hAnsi="Arial Narrow" w:cs="Arial"/>
                <w:sz w:val="20"/>
                <w:szCs w:val="20"/>
              </w:rPr>
              <w:t>5</w:t>
            </w:r>
          </w:p>
          <w:p w:rsidR="009A7F80" w:rsidRDefault="009A7F80" w:rsidP="0068211C">
            <w:pPr>
              <w:keepNext/>
              <w:ind w:left="-108"/>
              <w:jc w:val="both"/>
              <w:rPr>
                <w:rFonts w:ascii="Arial Narrow" w:hAnsi="Arial Narrow" w:cs="Arial"/>
                <w:sz w:val="20"/>
                <w:szCs w:val="20"/>
              </w:rPr>
            </w:pPr>
          </w:p>
          <w:p w:rsidR="009A7F80" w:rsidRDefault="009A7F80" w:rsidP="0068211C">
            <w:pPr>
              <w:keepNext/>
              <w:ind w:left="-108"/>
              <w:jc w:val="both"/>
              <w:rPr>
                <w:rFonts w:ascii="Arial Narrow" w:hAnsi="Arial Narrow" w:cs="Arial"/>
                <w:sz w:val="20"/>
                <w:szCs w:val="20"/>
              </w:rPr>
            </w:pPr>
          </w:p>
          <w:p w:rsidR="009A7F80" w:rsidRDefault="009A7F80" w:rsidP="0068211C">
            <w:pPr>
              <w:keepNext/>
              <w:ind w:left="-108"/>
              <w:jc w:val="both"/>
              <w:rPr>
                <w:rFonts w:ascii="Arial Narrow" w:hAnsi="Arial Narrow" w:cs="Arial"/>
                <w:sz w:val="20"/>
                <w:szCs w:val="20"/>
              </w:rPr>
            </w:pPr>
            <w:r>
              <w:rPr>
                <w:rFonts w:ascii="Arial Narrow" w:hAnsi="Arial Narrow" w:cs="Arial"/>
                <w:sz w:val="20"/>
                <w:szCs w:val="20"/>
              </w:rPr>
              <w:t>5</w:t>
            </w:r>
          </w:p>
          <w:p w:rsidR="009A7F80" w:rsidRDefault="009A7F80" w:rsidP="0068211C">
            <w:pPr>
              <w:keepNext/>
              <w:ind w:left="-108"/>
              <w:jc w:val="both"/>
              <w:rPr>
                <w:rFonts w:ascii="Arial Narrow" w:hAnsi="Arial Narrow" w:cs="Arial"/>
                <w:sz w:val="20"/>
                <w:szCs w:val="20"/>
              </w:rPr>
            </w:pPr>
          </w:p>
          <w:p w:rsidR="009A7F80" w:rsidRDefault="009A7F80" w:rsidP="0068211C">
            <w:pPr>
              <w:keepNext/>
              <w:ind w:left="-108"/>
              <w:jc w:val="both"/>
              <w:rPr>
                <w:rFonts w:ascii="Arial Narrow" w:hAnsi="Arial Narrow" w:cs="Arial"/>
                <w:sz w:val="20"/>
                <w:szCs w:val="20"/>
              </w:rPr>
            </w:pPr>
          </w:p>
          <w:p w:rsidR="009A7F80" w:rsidRPr="00260CE3" w:rsidRDefault="009A7F80" w:rsidP="0068211C">
            <w:pPr>
              <w:keepNext/>
              <w:ind w:left="-108"/>
              <w:jc w:val="both"/>
              <w:rPr>
                <w:rFonts w:ascii="Arial Narrow" w:hAnsi="Arial Narrow" w:cs="Arial"/>
                <w:sz w:val="20"/>
                <w:szCs w:val="20"/>
              </w:rPr>
            </w:pPr>
            <w:r>
              <w:rPr>
                <w:rFonts w:ascii="Arial Narrow" w:hAnsi="Arial Narrow" w:cs="Arial"/>
                <w:sz w:val="20"/>
                <w:szCs w:val="20"/>
              </w:rPr>
              <w:t>5</w:t>
            </w:r>
          </w:p>
        </w:tc>
        <w:tc>
          <w:tcPr>
            <w:tcW w:w="2693" w:type="dxa"/>
          </w:tcPr>
          <w:p w:rsidR="009A7F80" w:rsidRDefault="009A7F80" w:rsidP="0068211C">
            <w:pPr>
              <w:keepNext/>
              <w:jc w:val="both"/>
              <w:rPr>
                <w:rFonts w:ascii="Arial Narrow" w:hAnsi="Arial Narrow" w:cs="Arial"/>
                <w:sz w:val="20"/>
                <w:szCs w:val="20"/>
              </w:rPr>
            </w:pPr>
            <w:proofErr w:type="spellStart"/>
            <w:r>
              <w:rPr>
                <w:rFonts w:ascii="Arial Narrow" w:hAnsi="Arial Narrow" w:cs="Arial"/>
                <w:sz w:val="20"/>
                <w:szCs w:val="20"/>
              </w:rPr>
              <w:t>Kombiglyze</w:t>
            </w:r>
            <w:proofErr w:type="spellEnd"/>
            <w:r>
              <w:rPr>
                <w:rFonts w:ascii="Arial Narrow" w:hAnsi="Arial Narrow" w:cs="Arial"/>
                <w:sz w:val="20"/>
                <w:szCs w:val="20"/>
              </w:rPr>
              <w:t xml:space="preserve"> XR</w:t>
            </w:r>
          </w:p>
          <w:p w:rsidR="009A7F80" w:rsidRDefault="009A7F80" w:rsidP="0068211C">
            <w:pPr>
              <w:keepNext/>
              <w:jc w:val="both"/>
              <w:rPr>
                <w:rFonts w:ascii="Arial Narrow" w:hAnsi="Arial Narrow" w:cs="Arial"/>
                <w:sz w:val="20"/>
                <w:szCs w:val="20"/>
              </w:rPr>
            </w:pPr>
          </w:p>
          <w:p w:rsidR="009A7F80" w:rsidRDefault="009A7F80" w:rsidP="0068211C">
            <w:pPr>
              <w:keepNext/>
              <w:jc w:val="both"/>
              <w:rPr>
                <w:rFonts w:ascii="Arial Narrow" w:hAnsi="Arial Narrow" w:cs="Arial"/>
                <w:sz w:val="20"/>
                <w:szCs w:val="20"/>
              </w:rPr>
            </w:pPr>
          </w:p>
          <w:p w:rsidR="009A7F80" w:rsidRPr="00260CE3" w:rsidRDefault="009A7F80" w:rsidP="0068211C">
            <w:pPr>
              <w:keepNext/>
              <w:jc w:val="both"/>
              <w:rPr>
                <w:rFonts w:ascii="Arial Narrow" w:hAnsi="Arial Narrow" w:cs="Arial"/>
                <w:sz w:val="20"/>
                <w:szCs w:val="20"/>
              </w:rPr>
            </w:pPr>
          </w:p>
        </w:tc>
        <w:tc>
          <w:tcPr>
            <w:tcW w:w="1134" w:type="dxa"/>
          </w:tcPr>
          <w:p w:rsidR="009A7F80" w:rsidRDefault="009A7F80" w:rsidP="0068211C">
            <w:pPr>
              <w:keepNext/>
              <w:jc w:val="both"/>
              <w:rPr>
                <w:rFonts w:ascii="Arial Narrow" w:hAnsi="Arial Narrow" w:cs="Arial"/>
                <w:sz w:val="20"/>
                <w:szCs w:val="20"/>
              </w:rPr>
            </w:pPr>
            <w:r>
              <w:rPr>
                <w:rFonts w:ascii="Arial Narrow" w:hAnsi="Arial Narrow" w:cs="Arial"/>
                <w:sz w:val="20"/>
                <w:szCs w:val="20"/>
              </w:rPr>
              <w:t>AZ</w:t>
            </w:r>
          </w:p>
          <w:p w:rsidR="009A7F80" w:rsidRDefault="009A7F80" w:rsidP="0068211C">
            <w:pPr>
              <w:keepNext/>
              <w:jc w:val="both"/>
              <w:rPr>
                <w:rFonts w:ascii="Arial Narrow" w:hAnsi="Arial Narrow" w:cs="Arial"/>
                <w:sz w:val="20"/>
                <w:szCs w:val="20"/>
              </w:rPr>
            </w:pPr>
          </w:p>
          <w:p w:rsidR="009A7F80" w:rsidRPr="00260CE3" w:rsidRDefault="009A7F80" w:rsidP="0068211C">
            <w:pPr>
              <w:keepNext/>
              <w:jc w:val="both"/>
              <w:rPr>
                <w:rFonts w:ascii="Arial Narrow" w:hAnsi="Arial Narrow" w:cs="Arial"/>
                <w:sz w:val="20"/>
                <w:szCs w:val="20"/>
              </w:rPr>
            </w:pPr>
          </w:p>
        </w:tc>
      </w:tr>
      <w:tr w:rsidR="005D0807" w:rsidRPr="00260CE3" w:rsidTr="005D0807">
        <w:trPr>
          <w:cantSplit/>
          <w:trHeight w:val="360"/>
        </w:trPr>
        <w:tc>
          <w:tcPr>
            <w:tcW w:w="1985" w:type="dxa"/>
            <w:tcBorders>
              <w:top w:val="single" w:sz="4" w:space="0" w:color="auto"/>
              <w:left w:val="single" w:sz="4" w:space="0" w:color="auto"/>
              <w:bottom w:val="single" w:sz="4" w:space="0" w:color="auto"/>
              <w:right w:val="single" w:sz="4" w:space="0" w:color="auto"/>
            </w:tcBorders>
          </w:tcPr>
          <w:p w:rsidR="005D0807" w:rsidRPr="00260CE3" w:rsidRDefault="005D0807" w:rsidP="0068211C">
            <w:pPr>
              <w:rPr>
                <w:rFonts w:ascii="Arial Narrow" w:hAnsi="Arial Narrow" w:cs="Arial"/>
                <w:b/>
                <w:sz w:val="20"/>
                <w:szCs w:val="20"/>
              </w:rPr>
            </w:pPr>
            <w:r w:rsidRPr="00260CE3">
              <w:rPr>
                <w:rFonts w:ascii="Arial Narrow" w:hAnsi="Arial Narrow" w:cs="Arial"/>
                <w:b/>
                <w:sz w:val="20"/>
                <w:szCs w:val="20"/>
              </w:rPr>
              <w:t xml:space="preserve">Category / </w:t>
            </w:r>
          </w:p>
          <w:p w:rsidR="005D0807" w:rsidRPr="00260CE3" w:rsidRDefault="005D0807" w:rsidP="0068211C">
            <w:pPr>
              <w:rPr>
                <w:rFonts w:ascii="Arial Narrow" w:hAnsi="Arial Narrow" w:cs="Arial"/>
                <w:b/>
                <w:sz w:val="20"/>
                <w:szCs w:val="20"/>
              </w:rPr>
            </w:pPr>
            <w:r w:rsidRPr="00260CE3">
              <w:rPr>
                <w:rFonts w:ascii="Arial Narrow" w:hAnsi="Arial Narrow" w:cs="Arial"/>
                <w:b/>
                <w:sz w:val="20"/>
                <w:szCs w:val="20"/>
              </w:rPr>
              <w:t>Program</w:t>
            </w:r>
          </w:p>
        </w:tc>
        <w:tc>
          <w:tcPr>
            <w:tcW w:w="6378" w:type="dxa"/>
            <w:gridSpan w:val="5"/>
            <w:tcBorders>
              <w:top w:val="single" w:sz="4" w:space="0" w:color="auto"/>
              <w:left w:val="single" w:sz="4" w:space="0" w:color="auto"/>
              <w:bottom w:val="single" w:sz="4" w:space="0" w:color="auto"/>
              <w:right w:val="single" w:sz="4" w:space="0" w:color="auto"/>
            </w:tcBorders>
          </w:tcPr>
          <w:p w:rsidR="005D0807" w:rsidRPr="00260CE3" w:rsidRDefault="005D0807" w:rsidP="0068211C">
            <w:pPr>
              <w:rPr>
                <w:rFonts w:ascii="Arial Narrow" w:hAnsi="Arial Narrow" w:cs="Arial"/>
                <w:sz w:val="20"/>
                <w:szCs w:val="20"/>
              </w:rPr>
            </w:pPr>
            <w:r w:rsidRPr="00260CE3">
              <w:rPr>
                <w:rFonts w:ascii="Arial Narrow" w:hAnsi="Arial Narrow" w:cs="Arial"/>
                <w:sz w:val="20"/>
                <w:szCs w:val="20"/>
              </w:rPr>
              <w:t>GENERAL – General Schedule (Code GE)</w:t>
            </w:r>
          </w:p>
          <w:p w:rsidR="005D0807" w:rsidRPr="00260CE3" w:rsidRDefault="005D0807" w:rsidP="0068211C">
            <w:pPr>
              <w:rPr>
                <w:rFonts w:ascii="Arial Narrow" w:hAnsi="Arial Narrow" w:cs="Arial"/>
                <w:sz w:val="20"/>
                <w:szCs w:val="20"/>
              </w:rPr>
            </w:pPr>
          </w:p>
        </w:tc>
      </w:tr>
      <w:tr w:rsidR="005D0807" w:rsidRPr="00260CE3" w:rsidTr="005D0807">
        <w:trPr>
          <w:cantSplit/>
          <w:trHeight w:val="360"/>
        </w:trPr>
        <w:tc>
          <w:tcPr>
            <w:tcW w:w="1985" w:type="dxa"/>
            <w:tcBorders>
              <w:top w:val="single" w:sz="4" w:space="0" w:color="auto"/>
              <w:left w:val="single" w:sz="4" w:space="0" w:color="auto"/>
              <w:bottom w:val="single" w:sz="4" w:space="0" w:color="auto"/>
              <w:right w:val="single" w:sz="4" w:space="0" w:color="auto"/>
            </w:tcBorders>
          </w:tcPr>
          <w:p w:rsidR="005D0807" w:rsidRPr="00260CE3" w:rsidRDefault="005D0807" w:rsidP="0068211C">
            <w:pPr>
              <w:rPr>
                <w:rFonts w:ascii="Arial Narrow" w:hAnsi="Arial Narrow" w:cs="Arial"/>
                <w:b/>
                <w:sz w:val="20"/>
                <w:szCs w:val="20"/>
              </w:rPr>
            </w:pPr>
            <w:r w:rsidRPr="00260CE3">
              <w:rPr>
                <w:rFonts w:ascii="Arial Narrow" w:hAnsi="Arial Narrow" w:cs="Arial"/>
                <w:b/>
                <w:sz w:val="20"/>
                <w:szCs w:val="20"/>
              </w:rPr>
              <w:t>Prescriber type:</w:t>
            </w:r>
          </w:p>
        </w:tc>
        <w:tc>
          <w:tcPr>
            <w:tcW w:w="6378" w:type="dxa"/>
            <w:gridSpan w:val="5"/>
            <w:tcBorders>
              <w:top w:val="single" w:sz="4" w:space="0" w:color="auto"/>
              <w:left w:val="single" w:sz="4" w:space="0" w:color="auto"/>
              <w:bottom w:val="single" w:sz="4" w:space="0" w:color="auto"/>
              <w:right w:val="single" w:sz="4" w:space="0" w:color="auto"/>
            </w:tcBorders>
          </w:tcPr>
          <w:p w:rsidR="005D0807" w:rsidRPr="00260CE3" w:rsidRDefault="005D0807" w:rsidP="0068211C">
            <w:pPr>
              <w:rPr>
                <w:rFonts w:ascii="Arial Narrow" w:hAnsi="Arial Narrow" w:cs="Arial"/>
                <w:sz w:val="20"/>
                <w:szCs w:val="20"/>
              </w:rPr>
            </w:pPr>
            <w:r w:rsidRPr="00D72941">
              <w:rPr>
                <w:rFonts w:ascii="Arial Narrow" w:hAnsi="Arial Narrow"/>
                <w:sz w:val="20"/>
              </w:rPr>
              <w:fldChar w:fldCharType="begin">
                <w:ffData>
                  <w:name w:val=""/>
                  <w:enabled/>
                  <w:calcOnExit w:val="0"/>
                  <w:checkBox>
                    <w:sizeAuto/>
                    <w:default w:val="1"/>
                  </w:checkBox>
                </w:ffData>
              </w:fldChar>
            </w:r>
            <w:r w:rsidRPr="00D72941">
              <w:rPr>
                <w:rFonts w:ascii="Arial Narrow" w:hAnsi="Arial Narrow"/>
                <w:sz w:val="20"/>
              </w:rPr>
              <w:instrText xml:space="preserve"> FORMCHECKBOX </w:instrText>
            </w:r>
            <w:r w:rsidR="006C05DF">
              <w:rPr>
                <w:rFonts w:ascii="Arial Narrow" w:hAnsi="Arial Narrow"/>
                <w:sz w:val="20"/>
              </w:rPr>
            </w:r>
            <w:r w:rsidR="006C05DF">
              <w:rPr>
                <w:rFonts w:ascii="Arial Narrow" w:hAnsi="Arial Narrow"/>
                <w:sz w:val="20"/>
              </w:rPr>
              <w:fldChar w:fldCharType="separate"/>
            </w:r>
            <w:r w:rsidRPr="00D72941">
              <w:rPr>
                <w:rFonts w:ascii="Arial Narrow" w:hAnsi="Arial Narrow"/>
                <w:sz w:val="20"/>
              </w:rPr>
              <w:fldChar w:fldCharType="end"/>
            </w:r>
            <w:r w:rsidRPr="00D72941">
              <w:rPr>
                <w:rFonts w:ascii="Arial Narrow" w:hAnsi="Arial Narrow"/>
                <w:sz w:val="20"/>
              </w:rPr>
              <w:t xml:space="preserve">Medical Practitioners  </w:t>
            </w:r>
            <w:r w:rsidRPr="00D72941">
              <w:rPr>
                <w:rFonts w:ascii="Arial Narrow" w:hAnsi="Arial Narrow"/>
                <w:sz w:val="20"/>
              </w:rPr>
              <w:fldChar w:fldCharType="begin">
                <w:ffData>
                  <w:name w:val="Check3"/>
                  <w:enabled/>
                  <w:calcOnExit w:val="0"/>
                  <w:checkBox>
                    <w:sizeAuto/>
                    <w:default w:val="1"/>
                  </w:checkBox>
                </w:ffData>
              </w:fldChar>
            </w:r>
            <w:r w:rsidRPr="00D72941">
              <w:rPr>
                <w:rFonts w:ascii="Arial Narrow" w:hAnsi="Arial Narrow"/>
                <w:sz w:val="20"/>
              </w:rPr>
              <w:instrText xml:space="preserve"> FORMCHECKBOX </w:instrText>
            </w:r>
            <w:r w:rsidR="006C05DF">
              <w:rPr>
                <w:rFonts w:ascii="Arial Narrow" w:hAnsi="Arial Narrow"/>
                <w:sz w:val="20"/>
              </w:rPr>
            </w:r>
            <w:r w:rsidR="006C05DF">
              <w:rPr>
                <w:rFonts w:ascii="Arial Narrow" w:hAnsi="Arial Narrow"/>
                <w:sz w:val="20"/>
              </w:rPr>
              <w:fldChar w:fldCharType="separate"/>
            </w:r>
            <w:r w:rsidRPr="00D72941">
              <w:rPr>
                <w:rFonts w:ascii="Arial Narrow" w:hAnsi="Arial Narrow"/>
                <w:sz w:val="20"/>
              </w:rPr>
              <w:fldChar w:fldCharType="end"/>
            </w:r>
            <w:r w:rsidRPr="00D72941">
              <w:rPr>
                <w:rFonts w:ascii="Arial Narrow" w:hAnsi="Arial Narrow"/>
                <w:sz w:val="20"/>
              </w:rPr>
              <w:t xml:space="preserve">Nurse practitioners  </w:t>
            </w:r>
          </w:p>
        </w:tc>
      </w:tr>
      <w:tr w:rsidR="005D0807" w:rsidRPr="00260CE3" w:rsidTr="005D0807">
        <w:trPr>
          <w:cantSplit/>
          <w:trHeight w:val="360"/>
        </w:trPr>
        <w:tc>
          <w:tcPr>
            <w:tcW w:w="1985" w:type="dxa"/>
            <w:tcBorders>
              <w:top w:val="single" w:sz="4" w:space="0" w:color="auto"/>
              <w:left w:val="single" w:sz="4" w:space="0" w:color="auto"/>
              <w:bottom w:val="single" w:sz="4" w:space="0" w:color="auto"/>
              <w:right w:val="single" w:sz="4" w:space="0" w:color="auto"/>
            </w:tcBorders>
          </w:tcPr>
          <w:p w:rsidR="005D0807" w:rsidRPr="00260CE3" w:rsidRDefault="005D0807" w:rsidP="0068211C">
            <w:pPr>
              <w:rPr>
                <w:rFonts w:ascii="Arial Narrow" w:hAnsi="Arial Narrow" w:cs="Arial"/>
                <w:b/>
                <w:sz w:val="20"/>
                <w:szCs w:val="20"/>
              </w:rPr>
            </w:pPr>
            <w:r w:rsidRPr="00260CE3">
              <w:rPr>
                <w:rFonts w:ascii="Arial Narrow" w:hAnsi="Arial Narrow" w:cs="Arial"/>
                <w:b/>
                <w:sz w:val="20"/>
                <w:szCs w:val="20"/>
              </w:rPr>
              <w:t>PBS Indication:</w:t>
            </w:r>
          </w:p>
        </w:tc>
        <w:tc>
          <w:tcPr>
            <w:tcW w:w="6378" w:type="dxa"/>
            <w:gridSpan w:val="5"/>
            <w:tcBorders>
              <w:top w:val="single" w:sz="4" w:space="0" w:color="auto"/>
              <w:left w:val="single" w:sz="4" w:space="0" w:color="auto"/>
              <w:bottom w:val="single" w:sz="4" w:space="0" w:color="auto"/>
              <w:right w:val="single" w:sz="4" w:space="0" w:color="auto"/>
            </w:tcBorders>
          </w:tcPr>
          <w:p w:rsidR="005D0807" w:rsidRPr="00260CE3" w:rsidRDefault="005D0807" w:rsidP="0068211C">
            <w:pPr>
              <w:rPr>
                <w:rFonts w:ascii="Arial Narrow" w:hAnsi="Arial Narrow" w:cs="Arial"/>
                <w:sz w:val="20"/>
                <w:szCs w:val="20"/>
              </w:rPr>
            </w:pPr>
            <w:r w:rsidRPr="00626736">
              <w:rPr>
                <w:rFonts w:ascii="Arial Narrow" w:hAnsi="Arial Narrow"/>
                <w:sz w:val="20"/>
              </w:rPr>
              <w:t xml:space="preserve">Diabetes mellitus type </w:t>
            </w:r>
            <w:r>
              <w:rPr>
                <w:rFonts w:ascii="Arial Narrow" w:hAnsi="Arial Narrow"/>
                <w:sz w:val="20"/>
              </w:rPr>
              <w:t>2</w:t>
            </w:r>
          </w:p>
        </w:tc>
      </w:tr>
      <w:tr w:rsidR="005D0807" w:rsidRPr="00260CE3" w:rsidTr="005D0807">
        <w:trPr>
          <w:cantSplit/>
          <w:trHeight w:val="360"/>
        </w:trPr>
        <w:tc>
          <w:tcPr>
            <w:tcW w:w="1985" w:type="dxa"/>
            <w:tcBorders>
              <w:top w:val="single" w:sz="4" w:space="0" w:color="auto"/>
              <w:left w:val="single" w:sz="4" w:space="0" w:color="auto"/>
              <w:bottom w:val="single" w:sz="4" w:space="0" w:color="auto"/>
              <w:right w:val="single" w:sz="4" w:space="0" w:color="auto"/>
            </w:tcBorders>
          </w:tcPr>
          <w:p w:rsidR="005D0807" w:rsidRPr="00E77F26" w:rsidRDefault="005D0807" w:rsidP="0068211C">
            <w:pPr>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tc>
        <w:tc>
          <w:tcPr>
            <w:tcW w:w="6378" w:type="dxa"/>
            <w:gridSpan w:val="5"/>
            <w:tcBorders>
              <w:top w:val="single" w:sz="4" w:space="0" w:color="auto"/>
              <w:left w:val="single" w:sz="4" w:space="0" w:color="auto"/>
              <w:bottom w:val="single" w:sz="4" w:space="0" w:color="auto"/>
              <w:right w:val="single" w:sz="4" w:space="0" w:color="auto"/>
            </w:tcBorders>
          </w:tcPr>
          <w:p w:rsidR="005D0807" w:rsidRPr="00260CE3" w:rsidRDefault="005D0807" w:rsidP="0068211C">
            <w:pPr>
              <w:rPr>
                <w:rFonts w:ascii="Arial Narrow" w:hAnsi="Arial Narrow" w:cs="Arial"/>
                <w:sz w:val="20"/>
                <w:szCs w:val="20"/>
              </w:rPr>
            </w:pPr>
            <w:r>
              <w:rPr>
                <w:rFonts w:ascii="Arial Narrow" w:hAnsi="Arial Narrow"/>
                <w:sz w:val="20"/>
              </w:rPr>
              <w:t>Authority required (Streamlined)</w:t>
            </w:r>
          </w:p>
        </w:tc>
      </w:tr>
      <w:tr w:rsidR="005D0807" w:rsidRPr="00600FA2" w:rsidTr="005D0807">
        <w:trPr>
          <w:cantSplit/>
          <w:trHeight w:val="360"/>
        </w:trPr>
        <w:tc>
          <w:tcPr>
            <w:tcW w:w="1985" w:type="dxa"/>
            <w:tcBorders>
              <w:top w:val="single" w:sz="4" w:space="0" w:color="auto"/>
              <w:left w:val="single" w:sz="4" w:space="0" w:color="auto"/>
              <w:bottom w:val="single" w:sz="4" w:space="0" w:color="auto"/>
              <w:right w:val="single" w:sz="4" w:space="0" w:color="auto"/>
            </w:tcBorders>
          </w:tcPr>
          <w:p w:rsidR="005D0807" w:rsidRPr="00260CE3" w:rsidRDefault="005D0807" w:rsidP="0068211C">
            <w:pPr>
              <w:jc w:val="both"/>
              <w:rPr>
                <w:rFonts w:ascii="Arial Narrow" w:hAnsi="Arial Narrow" w:cs="Arial"/>
                <w:b/>
                <w:sz w:val="20"/>
                <w:szCs w:val="20"/>
              </w:rPr>
            </w:pPr>
            <w:r w:rsidRPr="00260CE3">
              <w:rPr>
                <w:rFonts w:ascii="Arial Narrow" w:hAnsi="Arial Narrow" w:cs="Arial"/>
                <w:b/>
                <w:sz w:val="20"/>
                <w:szCs w:val="20"/>
              </w:rPr>
              <w:lastRenderedPageBreak/>
              <w:t>Clinical criteria:</w:t>
            </w:r>
          </w:p>
          <w:p w:rsidR="005D0807" w:rsidRPr="00260CE3" w:rsidRDefault="005D0807" w:rsidP="0068211C">
            <w:pPr>
              <w:jc w:val="both"/>
              <w:rPr>
                <w:rFonts w:ascii="Arial Narrow" w:hAnsi="Arial Narrow" w:cs="Arial"/>
                <w:i/>
                <w:sz w:val="20"/>
                <w:szCs w:val="20"/>
              </w:rPr>
            </w:pPr>
          </w:p>
          <w:p w:rsidR="005D0807" w:rsidRPr="00260CE3" w:rsidRDefault="005D0807" w:rsidP="0068211C">
            <w:pPr>
              <w:jc w:val="both"/>
              <w:rPr>
                <w:rFonts w:ascii="Arial Narrow" w:hAnsi="Arial Narrow" w:cs="Arial"/>
                <w:sz w:val="20"/>
                <w:szCs w:val="20"/>
              </w:rPr>
            </w:pPr>
          </w:p>
        </w:tc>
        <w:tc>
          <w:tcPr>
            <w:tcW w:w="6378" w:type="dxa"/>
            <w:gridSpan w:val="5"/>
            <w:tcBorders>
              <w:top w:val="single" w:sz="4" w:space="0" w:color="auto"/>
              <w:left w:val="single" w:sz="4" w:space="0" w:color="auto"/>
              <w:bottom w:val="single" w:sz="4" w:space="0" w:color="auto"/>
              <w:right w:val="single" w:sz="4" w:space="0" w:color="auto"/>
            </w:tcBorders>
          </w:tcPr>
          <w:p w:rsidR="005D0807" w:rsidRPr="005D0807" w:rsidRDefault="005D0807" w:rsidP="0068211C">
            <w:pPr>
              <w:pStyle w:val="TableText0"/>
              <w:spacing w:line="240" w:lineRule="auto"/>
              <w:jc w:val="both"/>
              <w:rPr>
                <w:rFonts w:ascii="Arial Narrow" w:hAnsi="Arial Narrow" w:cs="Arial"/>
              </w:rPr>
            </w:pPr>
            <w:r w:rsidRPr="005D0807">
              <w:rPr>
                <w:rFonts w:ascii="Arial Narrow" w:hAnsi="Arial Narrow" w:cs="Arial"/>
              </w:rPr>
              <w:t>The treatment must be in combination with a sulfonylurea</w:t>
            </w:r>
          </w:p>
          <w:p w:rsidR="005D0807" w:rsidRPr="005D0807" w:rsidRDefault="005D0807" w:rsidP="0068211C">
            <w:pPr>
              <w:pStyle w:val="TableText0"/>
              <w:spacing w:line="240" w:lineRule="auto"/>
              <w:jc w:val="both"/>
              <w:rPr>
                <w:rFonts w:ascii="Arial Narrow" w:hAnsi="Arial Narrow" w:cs="Arial"/>
              </w:rPr>
            </w:pPr>
          </w:p>
          <w:p w:rsidR="005D0807" w:rsidRPr="005D0807" w:rsidRDefault="005D0807" w:rsidP="0068211C">
            <w:pPr>
              <w:pStyle w:val="TableText0"/>
              <w:spacing w:line="240" w:lineRule="auto"/>
              <w:jc w:val="both"/>
              <w:rPr>
                <w:rFonts w:ascii="Arial Narrow" w:hAnsi="Arial Narrow" w:cs="Arial"/>
              </w:rPr>
            </w:pPr>
            <w:r w:rsidRPr="005D0807">
              <w:rPr>
                <w:rFonts w:ascii="Arial Narrow" w:hAnsi="Arial Narrow" w:cs="Arial"/>
              </w:rPr>
              <w:t>AND</w:t>
            </w:r>
          </w:p>
          <w:p w:rsidR="005D0807" w:rsidRPr="005D0807" w:rsidRDefault="005D0807" w:rsidP="0068211C">
            <w:pPr>
              <w:pStyle w:val="TableText0"/>
              <w:spacing w:line="240" w:lineRule="auto"/>
              <w:jc w:val="both"/>
              <w:rPr>
                <w:rFonts w:ascii="Arial Narrow" w:hAnsi="Arial Narrow" w:cs="Arial"/>
              </w:rPr>
            </w:pPr>
          </w:p>
          <w:p w:rsidR="00285B8F" w:rsidRDefault="005D0807" w:rsidP="0068211C">
            <w:pPr>
              <w:pStyle w:val="TableText0"/>
              <w:spacing w:line="240" w:lineRule="auto"/>
              <w:jc w:val="both"/>
              <w:rPr>
                <w:rFonts w:ascii="Arial Narrow" w:hAnsi="Arial Narrow" w:cs="Arial"/>
              </w:rPr>
            </w:pPr>
            <w:r w:rsidRPr="005D0807">
              <w:rPr>
                <w:rFonts w:ascii="Arial Narrow" w:hAnsi="Arial Narrow" w:cs="Arial"/>
              </w:rPr>
              <w:t>Patient must have, or have had, a HbA1c measurement greater than 7% prior to the initiation of a</w:t>
            </w:r>
            <w:r w:rsidRPr="005D0807">
              <w:rPr>
                <w:rFonts w:ascii="Arial Narrow" w:hAnsi="Arial Narrow" w:cs="Arial"/>
                <w:lang w:val="en-GB"/>
              </w:rPr>
              <w:t xml:space="preserve"> </w:t>
            </w:r>
            <w:proofErr w:type="spellStart"/>
            <w:r w:rsidRPr="005D0807">
              <w:rPr>
                <w:rFonts w:ascii="Arial Narrow" w:hAnsi="Arial Narrow" w:cs="Arial"/>
                <w:lang w:val="en-GB"/>
              </w:rPr>
              <w:t>dipeptidyl</w:t>
            </w:r>
            <w:proofErr w:type="spellEnd"/>
            <w:r w:rsidRPr="005D0807">
              <w:rPr>
                <w:rFonts w:ascii="Arial Narrow" w:hAnsi="Arial Narrow" w:cs="Arial"/>
                <w:lang w:val="en-GB"/>
              </w:rPr>
              <w:t xml:space="preserve"> peptidase-4 (DPP4)</w:t>
            </w:r>
            <w:r w:rsidRPr="005D0807">
              <w:rPr>
                <w:rFonts w:ascii="Arial Narrow" w:hAnsi="Arial Narrow" w:cs="Arial"/>
              </w:rPr>
              <w:t xml:space="preserve"> inhibitor </w:t>
            </w:r>
            <w:r w:rsidR="00285B8F" w:rsidRPr="00D04087">
              <w:rPr>
                <w:rFonts w:ascii="Arial Narrow" w:hAnsi="Arial Narrow"/>
              </w:rPr>
              <w:t>(gliptin), a thiazolidinedione (</w:t>
            </w:r>
            <w:proofErr w:type="spellStart"/>
            <w:r w:rsidR="00285B8F" w:rsidRPr="00D04087">
              <w:rPr>
                <w:rFonts w:ascii="Arial Narrow" w:hAnsi="Arial Narrow"/>
              </w:rPr>
              <w:t>glitazone</w:t>
            </w:r>
            <w:proofErr w:type="spellEnd"/>
            <w:r w:rsidR="00285B8F" w:rsidRPr="00D04087">
              <w:rPr>
                <w:rFonts w:ascii="Arial Narrow" w:hAnsi="Arial Narrow"/>
              </w:rPr>
              <w:t>), a glucagon-like peptide-1 or a sodium-glucose co-transporter 2 (SGLT2) inhibitor</w:t>
            </w:r>
            <w:r w:rsidR="00285B8F" w:rsidRPr="005D0807">
              <w:rPr>
                <w:rFonts w:ascii="Arial Narrow" w:hAnsi="Arial Narrow" w:cs="Arial"/>
              </w:rPr>
              <w:t xml:space="preserve"> </w:t>
            </w:r>
            <w:r w:rsidRPr="005D0807">
              <w:rPr>
                <w:rFonts w:ascii="Arial Narrow" w:hAnsi="Arial Narrow" w:cs="Arial"/>
              </w:rPr>
              <w:t xml:space="preserve">despite treatment with </w:t>
            </w:r>
            <w:r w:rsidR="00285B8F" w:rsidRPr="008F6B03">
              <w:rPr>
                <w:rFonts w:ascii="Arial Narrow" w:hAnsi="Arial Narrow"/>
              </w:rPr>
              <w:t xml:space="preserve">either metformin </w:t>
            </w:r>
            <w:r w:rsidR="00277BEB">
              <w:rPr>
                <w:rFonts w:ascii="Arial Narrow" w:hAnsi="Arial Narrow"/>
              </w:rPr>
              <w:t>and</w:t>
            </w:r>
            <w:r w:rsidR="00285B8F" w:rsidRPr="008F6B03">
              <w:rPr>
                <w:rFonts w:ascii="Arial Narrow" w:hAnsi="Arial Narrow"/>
              </w:rPr>
              <w:t xml:space="preserve"> a sulfonylurea</w:t>
            </w:r>
            <w:r w:rsidR="00277BEB">
              <w:rPr>
                <w:rFonts w:ascii="Arial Narrow" w:hAnsi="Arial Narrow"/>
              </w:rPr>
              <w:t>,</w:t>
            </w:r>
            <w:r w:rsidR="00285B8F" w:rsidRPr="008F6B03">
              <w:rPr>
                <w:rFonts w:ascii="Arial Narrow" w:hAnsi="Arial Narrow"/>
              </w:rPr>
              <w:t xml:space="preserve"> or metformin and </w:t>
            </w:r>
            <w:r w:rsidR="00285B8F" w:rsidRPr="00437272">
              <w:rPr>
                <w:rFonts w:ascii="Arial Narrow" w:hAnsi="Arial Narrow"/>
              </w:rPr>
              <w:t>this drug</w:t>
            </w:r>
            <w:r w:rsidR="00277BEB">
              <w:rPr>
                <w:rFonts w:ascii="Arial Narrow" w:hAnsi="Arial Narrow"/>
              </w:rPr>
              <w:t>,</w:t>
            </w:r>
            <w:r w:rsidR="00285B8F" w:rsidRPr="00437272">
              <w:rPr>
                <w:rFonts w:ascii="Arial Narrow" w:hAnsi="Arial Narrow"/>
              </w:rPr>
              <w:t xml:space="preserve"> or a sulfonylurea and this drug;</w:t>
            </w:r>
          </w:p>
          <w:p w:rsidR="00285B8F" w:rsidRDefault="00285B8F" w:rsidP="0068211C">
            <w:pPr>
              <w:pStyle w:val="TableText0"/>
              <w:spacing w:line="240" w:lineRule="auto"/>
              <w:jc w:val="both"/>
              <w:rPr>
                <w:rFonts w:ascii="Arial Narrow" w:hAnsi="Arial Narrow" w:cs="Arial"/>
              </w:rPr>
            </w:pPr>
          </w:p>
          <w:p w:rsidR="005D0807" w:rsidRPr="005D0807" w:rsidRDefault="005D0807" w:rsidP="0068211C">
            <w:pPr>
              <w:pStyle w:val="TableText0"/>
              <w:spacing w:line="240" w:lineRule="auto"/>
              <w:jc w:val="both"/>
              <w:rPr>
                <w:rFonts w:ascii="Arial Narrow" w:hAnsi="Arial Narrow" w:cs="Arial"/>
              </w:rPr>
            </w:pPr>
            <w:r w:rsidRPr="005D0807">
              <w:rPr>
                <w:rFonts w:ascii="Arial Narrow" w:hAnsi="Arial Narrow" w:cs="Arial"/>
              </w:rPr>
              <w:t xml:space="preserve">OR </w:t>
            </w:r>
          </w:p>
          <w:p w:rsidR="005D0807" w:rsidRPr="005D0807" w:rsidRDefault="005D0807" w:rsidP="0068211C">
            <w:pPr>
              <w:pStyle w:val="TableText0"/>
              <w:spacing w:line="240" w:lineRule="auto"/>
              <w:jc w:val="both"/>
              <w:rPr>
                <w:rFonts w:ascii="Arial Narrow" w:hAnsi="Arial Narrow" w:cs="Arial"/>
              </w:rPr>
            </w:pPr>
          </w:p>
          <w:p w:rsidR="005D0807" w:rsidRPr="005D0807" w:rsidRDefault="005D0807" w:rsidP="0068211C">
            <w:pPr>
              <w:pStyle w:val="TableText0"/>
              <w:spacing w:line="240" w:lineRule="auto"/>
              <w:jc w:val="both"/>
              <w:rPr>
                <w:rFonts w:ascii="Arial Narrow" w:hAnsi="Arial Narrow" w:cs="Arial"/>
              </w:rPr>
            </w:pPr>
            <w:r w:rsidRPr="005D0807">
              <w:rPr>
                <w:rFonts w:ascii="Arial Narrow" w:hAnsi="Arial Narrow" w:cs="Arial"/>
              </w:rPr>
              <w:t xml:space="preserve">Patient must have, or have had, where HbA1c measurement is clinically inappropriate, blood glucose levels greater than 10 </w:t>
            </w:r>
            <w:proofErr w:type="spellStart"/>
            <w:r w:rsidRPr="005D0807">
              <w:rPr>
                <w:rFonts w:ascii="Arial Narrow" w:hAnsi="Arial Narrow" w:cs="Arial"/>
              </w:rPr>
              <w:t>mmol</w:t>
            </w:r>
            <w:proofErr w:type="spellEnd"/>
            <w:r w:rsidRPr="005D0807">
              <w:rPr>
                <w:rFonts w:ascii="Arial Narrow" w:hAnsi="Arial Narrow" w:cs="Arial"/>
              </w:rPr>
              <w:t xml:space="preserve"> per L in more than 20% of tests over a 2 week period prior to initiation with a DPP4 inhibitor despite treatment with</w:t>
            </w:r>
            <w:r w:rsidRPr="008F6B03">
              <w:rPr>
                <w:rFonts w:ascii="Arial Narrow" w:hAnsi="Arial Narrow"/>
              </w:rPr>
              <w:t xml:space="preserve"> either metformin </w:t>
            </w:r>
            <w:r w:rsidR="00277BEB">
              <w:rPr>
                <w:rFonts w:ascii="Arial Narrow" w:hAnsi="Arial Narrow"/>
              </w:rPr>
              <w:t>and</w:t>
            </w:r>
            <w:r w:rsidRPr="008F6B03">
              <w:rPr>
                <w:rFonts w:ascii="Arial Narrow" w:hAnsi="Arial Narrow"/>
              </w:rPr>
              <w:t xml:space="preserve"> a sulfonylurea</w:t>
            </w:r>
            <w:r w:rsidR="00277BEB">
              <w:rPr>
                <w:rFonts w:ascii="Arial Narrow" w:hAnsi="Arial Narrow"/>
              </w:rPr>
              <w:t>,</w:t>
            </w:r>
            <w:r w:rsidRPr="008F6B03">
              <w:rPr>
                <w:rFonts w:ascii="Arial Narrow" w:hAnsi="Arial Narrow"/>
              </w:rPr>
              <w:t xml:space="preserve"> or metformin and </w:t>
            </w:r>
            <w:r w:rsidRPr="00437272">
              <w:rPr>
                <w:rFonts w:ascii="Arial Narrow" w:hAnsi="Arial Narrow"/>
              </w:rPr>
              <w:t>this drug</w:t>
            </w:r>
            <w:r w:rsidR="00277BEB">
              <w:rPr>
                <w:rFonts w:ascii="Arial Narrow" w:hAnsi="Arial Narrow"/>
              </w:rPr>
              <w:t>,</w:t>
            </w:r>
            <w:r w:rsidRPr="00437272">
              <w:rPr>
                <w:rFonts w:ascii="Arial Narrow" w:hAnsi="Arial Narrow"/>
              </w:rPr>
              <w:t xml:space="preserve"> or a sulfonylurea and this drug</w:t>
            </w:r>
            <w:r w:rsidR="00285B8F">
              <w:rPr>
                <w:rFonts w:ascii="Arial Narrow" w:hAnsi="Arial Narrow"/>
              </w:rPr>
              <w:t>.</w:t>
            </w:r>
            <w:r w:rsidRPr="005D0807">
              <w:rPr>
                <w:rFonts w:ascii="Arial Narrow" w:hAnsi="Arial Narrow" w:cs="Arial"/>
              </w:rPr>
              <w:t xml:space="preserve"> </w:t>
            </w:r>
          </w:p>
          <w:p w:rsidR="005D0807" w:rsidRPr="005D0807" w:rsidRDefault="005D0807" w:rsidP="0068211C">
            <w:pPr>
              <w:pStyle w:val="TableText0"/>
              <w:spacing w:line="240" w:lineRule="auto"/>
              <w:jc w:val="both"/>
              <w:rPr>
                <w:rFonts w:ascii="Arial Narrow" w:hAnsi="Arial Narrow" w:cs="Arial"/>
              </w:rPr>
            </w:pPr>
          </w:p>
          <w:p w:rsidR="005D0807" w:rsidRPr="005D0807" w:rsidRDefault="005D0807" w:rsidP="0068211C">
            <w:pPr>
              <w:pStyle w:val="TableText0"/>
              <w:spacing w:line="240" w:lineRule="auto"/>
              <w:jc w:val="both"/>
              <w:rPr>
                <w:rFonts w:ascii="Arial Narrow" w:hAnsi="Arial Narrow" w:cs="Arial"/>
              </w:rPr>
            </w:pPr>
            <w:r w:rsidRPr="005D0807">
              <w:rPr>
                <w:rFonts w:ascii="Arial Narrow" w:hAnsi="Arial Narrow" w:cs="Arial"/>
              </w:rPr>
              <w:t xml:space="preserve">The date and level of the qualifying HbA1c measurement must be, or must have been, documented in the patient's medical records at the time treatment with a DPP4 inhibitor is initiated. </w:t>
            </w:r>
          </w:p>
          <w:p w:rsidR="005D0807" w:rsidRPr="005D0807" w:rsidRDefault="005D0807" w:rsidP="0068211C">
            <w:pPr>
              <w:pStyle w:val="TableText0"/>
              <w:spacing w:line="240" w:lineRule="auto"/>
              <w:jc w:val="both"/>
              <w:rPr>
                <w:rFonts w:ascii="Arial Narrow" w:hAnsi="Arial Narrow" w:cs="Arial"/>
              </w:rPr>
            </w:pPr>
          </w:p>
          <w:p w:rsidR="005D0807" w:rsidRPr="005D0807" w:rsidRDefault="005D0807" w:rsidP="0068211C">
            <w:pPr>
              <w:pStyle w:val="TableText0"/>
              <w:spacing w:line="240" w:lineRule="auto"/>
              <w:jc w:val="both"/>
              <w:rPr>
                <w:rFonts w:ascii="Arial Narrow" w:hAnsi="Arial Narrow" w:cs="Arial"/>
              </w:rPr>
            </w:pPr>
            <w:r w:rsidRPr="005D0807">
              <w:rPr>
                <w:rFonts w:ascii="Arial Narrow" w:hAnsi="Arial Narrow" w:cs="Arial"/>
              </w:rPr>
              <w:t xml:space="preserve">The HbA1c must be no more than 4 months old at the time treatment with a DPP4 inhibitor was initiated. </w:t>
            </w:r>
          </w:p>
          <w:p w:rsidR="005D0807" w:rsidRPr="005D0807" w:rsidRDefault="005D0807" w:rsidP="0068211C">
            <w:pPr>
              <w:pStyle w:val="TableText0"/>
              <w:spacing w:line="240" w:lineRule="auto"/>
              <w:jc w:val="both"/>
              <w:rPr>
                <w:rFonts w:ascii="Arial Narrow" w:hAnsi="Arial Narrow" w:cs="Arial"/>
              </w:rPr>
            </w:pPr>
          </w:p>
          <w:p w:rsidR="005D0807" w:rsidRPr="005D0807" w:rsidRDefault="005D0807" w:rsidP="0068211C">
            <w:pPr>
              <w:pStyle w:val="TableText0"/>
              <w:spacing w:line="240" w:lineRule="auto"/>
              <w:jc w:val="both"/>
              <w:rPr>
                <w:rFonts w:ascii="Arial Narrow" w:hAnsi="Arial Narrow" w:cs="Arial"/>
              </w:rPr>
            </w:pPr>
            <w:r w:rsidRPr="005D0807">
              <w:rPr>
                <w:rFonts w:ascii="Arial Narrow" w:hAnsi="Arial Narrow" w:cs="Arial"/>
              </w:rPr>
              <w:t>Blood glucose monitoring may be used as an alternative assessment to HbA1c levels in the following circumstances:</w:t>
            </w:r>
          </w:p>
          <w:p w:rsidR="005D0807" w:rsidRPr="005D0807" w:rsidRDefault="005D0807" w:rsidP="0068211C">
            <w:pPr>
              <w:pStyle w:val="TableText0"/>
              <w:spacing w:line="240" w:lineRule="auto"/>
              <w:jc w:val="both"/>
              <w:rPr>
                <w:rFonts w:ascii="Arial Narrow" w:hAnsi="Arial Narrow" w:cs="Arial"/>
              </w:rPr>
            </w:pPr>
          </w:p>
          <w:p w:rsidR="005D0807" w:rsidRPr="005D0807" w:rsidRDefault="005D0807" w:rsidP="0068211C">
            <w:pPr>
              <w:pStyle w:val="TableText0"/>
              <w:spacing w:line="240" w:lineRule="auto"/>
              <w:jc w:val="both"/>
              <w:rPr>
                <w:rFonts w:ascii="Arial Narrow" w:hAnsi="Arial Narrow" w:cs="Arial"/>
              </w:rPr>
            </w:pPr>
            <w:r w:rsidRPr="005D0807">
              <w:rPr>
                <w:rFonts w:ascii="Arial Narrow" w:hAnsi="Arial Narrow" w:cs="Arial"/>
              </w:rPr>
              <w:t>(a) A clinical condition with reduced red blood cell survival, including haemolytic anaemias and haemoglobinopathies; and/or</w:t>
            </w:r>
          </w:p>
          <w:p w:rsidR="005D0807" w:rsidRPr="005D0807" w:rsidRDefault="005D0807" w:rsidP="0068211C">
            <w:pPr>
              <w:pStyle w:val="TableText0"/>
              <w:spacing w:line="240" w:lineRule="auto"/>
              <w:jc w:val="both"/>
              <w:rPr>
                <w:rFonts w:ascii="Arial Narrow" w:hAnsi="Arial Narrow" w:cs="Arial"/>
              </w:rPr>
            </w:pPr>
          </w:p>
          <w:p w:rsidR="005D0807" w:rsidRPr="005D0807" w:rsidRDefault="005D0807" w:rsidP="0068211C">
            <w:pPr>
              <w:pStyle w:val="TableText0"/>
              <w:spacing w:line="240" w:lineRule="auto"/>
              <w:jc w:val="both"/>
              <w:rPr>
                <w:rFonts w:ascii="Arial Narrow" w:hAnsi="Arial Narrow" w:cs="Arial"/>
              </w:rPr>
            </w:pPr>
            <w:r w:rsidRPr="005D0807">
              <w:rPr>
                <w:rFonts w:ascii="Arial Narrow" w:hAnsi="Arial Narrow" w:cs="Arial"/>
              </w:rPr>
              <w:t>(b) Had red cell transfusion within the previous 3 months.</w:t>
            </w:r>
          </w:p>
          <w:p w:rsidR="005D0807" w:rsidRPr="005D0807" w:rsidRDefault="005D0807" w:rsidP="0068211C">
            <w:pPr>
              <w:pStyle w:val="TableText0"/>
              <w:spacing w:line="240" w:lineRule="auto"/>
              <w:jc w:val="both"/>
              <w:rPr>
                <w:rFonts w:ascii="Arial Narrow" w:hAnsi="Arial Narrow" w:cs="Arial"/>
              </w:rPr>
            </w:pPr>
          </w:p>
          <w:p w:rsidR="005D0807" w:rsidRPr="005D0807" w:rsidRDefault="005D0807" w:rsidP="0068211C">
            <w:pPr>
              <w:rPr>
                <w:rFonts w:ascii="Arial Narrow" w:hAnsi="Arial Narrow" w:cs="Arial"/>
                <w:sz w:val="20"/>
                <w:szCs w:val="20"/>
              </w:rPr>
            </w:pPr>
            <w:r w:rsidRPr="005D0807">
              <w:rPr>
                <w:rFonts w:ascii="Arial Narrow" w:hAnsi="Arial Narrow" w:cs="Arial"/>
                <w:sz w:val="20"/>
                <w:szCs w:val="20"/>
              </w:rPr>
              <w:t>The results of the blood glucose monitoring, which must be no more than 4 months old at the time of initiation of treatment with a DPP4 inhibitor, must be documented in the patient's medical records.</w:t>
            </w:r>
          </w:p>
          <w:p w:rsidR="005D0807" w:rsidRPr="005D0807" w:rsidRDefault="005D0807" w:rsidP="0068211C">
            <w:pPr>
              <w:rPr>
                <w:rFonts w:ascii="Arial Narrow" w:hAnsi="Arial Narrow" w:cs="Arial"/>
                <w:sz w:val="20"/>
                <w:szCs w:val="20"/>
              </w:rPr>
            </w:pPr>
          </w:p>
          <w:p w:rsidR="005D0807" w:rsidRPr="005D0807" w:rsidRDefault="005D0807" w:rsidP="0068211C">
            <w:pPr>
              <w:rPr>
                <w:rFonts w:ascii="Arial Narrow" w:hAnsi="Arial Narrow" w:cs="Arial"/>
                <w:sz w:val="20"/>
                <w:szCs w:val="20"/>
              </w:rPr>
            </w:pPr>
            <w:r w:rsidRPr="005D0807">
              <w:rPr>
                <w:rFonts w:ascii="Arial Narrow" w:hAnsi="Arial Narrow" w:cs="Arial"/>
                <w:sz w:val="20"/>
                <w:szCs w:val="20"/>
              </w:rPr>
              <w:t>A patient whose diabetes was previously demonstrated unable to be controlled with metformin does not need to requalify on this criterion before being eligible for PBS-subsidised treatment with this fixed dose combination.</w:t>
            </w:r>
          </w:p>
        </w:tc>
      </w:tr>
      <w:tr w:rsidR="005D0807" w:rsidRPr="00E77F26" w:rsidTr="005D0807">
        <w:trPr>
          <w:cantSplit/>
          <w:trHeight w:val="360"/>
        </w:trPr>
        <w:tc>
          <w:tcPr>
            <w:tcW w:w="1985" w:type="dxa"/>
            <w:tcBorders>
              <w:top w:val="single" w:sz="4" w:space="0" w:color="auto"/>
              <w:left w:val="single" w:sz="4" w:space="0" w:color="auto"/>
              <w:bottom w:val="single" w:sz="4" w:space="0" w:color="auto"/>
              <w:right w:val="single" w:sz="4" w:space="0" w:color="auto"/>
            </w:tcBorders>
          </w:tcPr>
          <w:p w:rsidR="005D0807" w:rsidRPr="005D0807" w:rsidRDefault="005D0807" w:rsidP="0068211C">
            <w:pPr>
              <w:jc w:val="both"/>
              <w:rPr>
                <w:rFonts w:ascii="Arial Narrow" w:hAnsi="Arial Narrow" w:cs="Arial"/>
                <w:b/>
                <w:sz w:val="20"/>
                <w:szCs w:val="20"/>
              </w:rPr>
            </w:pPr>
            <w:r w:rsidRPr="005D0807">
              <w:rPr>
                <w:rFonts w:ascii="Arial Narrow" w:hAnsi="Arial Narrow" w:cs="Arial"/>
                <w:sz w:val="20"/>
                <w:szCs w:val="20"/>
              </w:rPr>
              <w:t>Administrative advice</w:t>
            </w:r>
          </w:p>
        </w:tc>
        <w:tc>
          <w:tcPr>
            <w:tcW w:w="6378" w:type="dxa"/>
            <w:gridSpan w:val="5"/>
            <w:tcBorders>
              <w:top w:val="single" w:sz="4" w:space="0" w:color="auto"/>
              <w:left w:val="single" w:sz="4" w:space="0" w:color="auto"/>
              <w:bottom w:val="single" w:sz="4" w:space="0" w:color="auto"/>
              <w:right w:val="single" w:sz="4" w:space="0" w:color="auto"/>
            </w:tcBorders>
          </w:tcPr>
          <w:p w:rsidR="005D0807" w:rsidRPr="005D0807" w:rsidRDefault="005D0807" w:rsidP="0068211C">
            <w:pPr>
              <w:pStyle w:val="TableText0"/>
              <w:spacing w:line="240" w:lineRule="auto"/>
              <w:jc w:val="both"/>
              <w:rPr>
                <w:rFonts w:ascii="Arial Narrow" w:hAnsi="Arial Narrow" w:cs="Arial"/>
              </w:rPr>
            </w:pPr>
            <w:r w:rsidRPr="005D0807">
              <w:rPr>
                <w:rFonts w:ascii="Arial Narrow" w:hAnsi="Arial Narrow" w:cs="Arial"/>
              </w:rPr>
              <w:t>This fixed dose combination tablet is not PBS-subsidised for use as initial therapy or in combination with a thiazolidinedione (</w:t>
            </w:r>
            <w:proofErr w:type="spellStart"/>
            <w:r w:rsidRPr="005D0807">
              <w:rPr>
                <w:rFonts w:ascii="Arial Narrow" w:hAnsi="Arial Narrow" w:cs="Arial"/>
              </w:rPr>
              <w:t>glitazone</w:t>
            </w:r>
            <w:proofErr w:type="spellEnd"/>
            <w:r w:rsidRPr="005D0807">
              <w:rPr>
                <w:rFonts w:ascii="Arial Narrow" w:hAnsi="Arial Narrow" w:cs="Arial"/>
              </w:rPr>
              <w:t>), a glucagon-like peptide-1 or an SGLT2 inhibitor.</w:t>
            </w:r>
          </w:p>
        </w:tc>
      </w:tr>
    </w:tbl>
    <w:p w:rsidR="005D0807" w:rsidRDefault="005D0807" w:rsidP="0068211C">
      <w:pPr>
        <w:jc w:val="both"/>
        <w:rPr>
          <w:rFonts w:ascii="Arial" w:hAnsi="Arial" w:cs="Arial"/>
          <w:b/>
          <w:bCs/>
          <w:snapToGrid w:val="0"/>
          <w:sz w:val="22"/>
          <w:szCs w:val="22"/>
          <w:highlight w:val="yellow"/>
        </w:rPr>
      </w:pPr>
    </w:p>
    <w:p w:rsidR="00AC0579" w:rsidRDefault="00AC0579" w:rsidP="0068211C">
      <w:pPr>
        <w:jc w:val="both"/>
        <w:rPr>
          <w:rFonts w:ascii="Arial" w:hAnsi="Arial" w:cs="Arial"/>
          <w:b/>
          <w:bCs/>
          <w:snapToGrid w:val="0"/>
          <w:sz w:val="22"/>
          <w:szCs w:val="22"/>
          <w:highlight w:val="yellow"/>
        </w:rPr>
      </w:pPr>
    </w:p>
    <w:p w:rsidR="001F31B0" w:rsidRDefault="001F31B0" w:rsidP="001F31B0">
      <w:pPr>
        <w:pStyle w:val="ListParagraph"/>
        <w:numPr>
          <w:ilvl w:val="0"/>
          <w:numId w:val="1"/>
        </w:numPr>
        <w:jc w:val="both"/>
        <w:rPr>
          <w:rFonts w:ascii="Arial" w:hAnsi="Arial" w:cs="Arial"/>
          <w:b/>
          <w:bCs/>
          <w:snapToGrid w:val="0"/>
          <w:sz w:val="22"/>
          <w:szCs w:val="22"/>
        </w:rPr>
      </w:pPr>
      <w:r w:rsidRPr="001F31B0">
        <w:rPr>
          <w:rFonts w:ascii="Arial" w:hAnsi="Arial" w:cs="Arial"/>
          <w:b/>
          <w:bCs/>
          <w:snapToGrid w:val="0"/>
          <w:sz w:val="22"/>
          <w:szCs w:val="22"/>
        </w:rPr>
        <w:t xml:space="preserve">Context for Decision </w:t>
      </w:r>
    </w:p>
    <w:p w:rsidR="0069256E" w:rsidRPr="001F31B0" w:rsidRDefault="0069256E" w:rsidP="0069256E">
      <w:pPr>
        <w:pStyle w:val="ListParagraph"/>
        <w:jc w:val="both"/>
        <w:rPr>
          <w:rFonts w:ascii="Arial" w:hAnsi="Arial" w:cs="Arial"/>
          <w:b/>
          <w:bCs/>
          <w:snapToGrid w:val="0"/>
          <w:sz w:val="22"/>
          <w:szCs w:val="22"/>
        </w:rPr>
      </w:pPr>
    </w:p>
    <w:p w:rsidR="001F31B0" w:rsidRDefault="001F31B0" w:rsidP="001F31B0">
      <w:pPr>
        <w:pStyle w:val="ListParagraph"/>
        <w:jc w:val="both"/>
        <w:rPr>
          <w:rFonts w:ascii="Arial" w:hAnsi="Arial" w:cs="Arial"/>
          <w:bCs/>
          <w:snapToGrid w:val="0"/>
          <w:sz w:val="22"/>
          <w:szCs w:val="22"/>
        </w:rPr>
      </w:pPr>
      <w:r w:rsidRPr="0069256E">
        <w:rPr>
          <w:rFonts w:ascii="Arial" w:hAnsi="Arial" w:cs="Arial"/>
          <w:bCs/>
          <w:snapToGrid w:val="0"/>
          <w:sz w:val="22"/>
          <w:szCs w:val="22"/>
        </w:rPr>
        <w:t xml:space="preserve">The PBAC helps </w:t>
      </w:r>
      <w:r w:rsidR="0069256E" w:rsidRPr="0069256E">
        <w:rPr>
          <w:rFonts w:ascii="Arial" w:hAnsi="Arial" w:cs="Arial"/>
          <w:bCs/>
          <w:snapToGrid w:val="0"/>
          <w:sz w:val="22"/>
          <w:szCs w:val="22"/>
        </w:rPr>
        <w:t>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69256E" w:rsidRDefault="0069256E" w:rsidP="00AC0579">
      <w:pPr>
        <w:jc w:val="both"/>
        <w:rPr>
          <w:rFonts w:ascii="Arial" w:hAnsi="Arial" w:cs="Arial"/>
          <w:bCs/>
          <w:snapToGrid w:val="0"/>
          <w:sz w:val="22"/>
          <w:szCs w:val="22"/>
        </w:rPr>
      </w:pPr>
    </w:p>
    <w:p w:rsidR="00AC0579" w:rsidRPr="00AC0579" w:rsidRDefault="00AC0579" w:rsidP="00AC0579">
      <w:pPr>
        <w:jc w:val="both"/>
        <w:rPr>
          <w:rFonts w:ascii="Arial" w:hAnsi="Arial" w:cs="Arial"/>
          <w:bCs/>
          <w:snapToGrid w:val="0"/>
          <w:sz w:val="22"/>
          <w:szCs w:val="22"/>
        </w:rPr>
      </w:pPr>
    </w:p>
    <w:p w:rsidR="0069256E" w:rsidRDefault="0069256E" w:rsidP="0069256E">
      <w:pPr>
        <w:pStyle w:val="ListParagraph"/>
        <w:numPr>
          <w:ilvl w:val="0"/>
          <w:numId w:val="1"/>
        </w:numPr>
        <w:jc w:val="both"/>
        <w:rPr>
          <w:rFonts w:ascii="Arial" w:hAnsi="Arial" w:cs="Arial"/>
          <w:b/>
          <w:bCs/>
          <w:snapToGrid w:val="0"/>
          <w:sz w:val="22"/>
          <w:szCs w:val="22"/>
        </w:rPr>
      </w:pPr>
      <w:r w:rsidRPr="0069256E">
        <w:rPr>
          <w:rFonts w:ascii="Arial" w:hAnsi="Arial" w:cs="Arial"/>
          <w:b/>
          <w:bCs/>
          <w:snapToGrid w:val="0"/>
          <w:sz w:val="22"/>
          <w:szCs w:val="22"/>
        </w:rPr>
        <w:lastRenderedPageBreak/>
        <w:t xml:space="preserve">Sponsor’s Comment </w:t>
      </w:r>
    </w:p>
    <w:p w:rsidR="00DC4362" w:rsidRDefault="00DC4362" w:rsidP="00DC4362">
      <w:pPr>
        <w:pStyle w:val="ListParagraph"/>
        <w:jc w:val="both"/>
        <w:rPr>
          <w:rFonts w:ascii="Arial" w:hAnsi="Arial" w:cs="Arial"/>
          <w:b/>
          <w:bCs/>
          <w:snapToGrid w:val="0"/>
          <w:sz w:val="22"/>
          <w:szCs w:val="22"/>
        </w:rPr>
      </w:pPr>
    </w:p>
    <w:p w:rsidR="00DC4362" w:rsidRPr="00DC4362" w:rsidRDefault="00DC4362" w:rsidP="00DC4362">
      <w:pPr>
        <w:pStyle w:val="ListParagraph"/>
        <w:jc w:val="both"/>
        <w:rPr>
          <w:rFonts w:ascii="Arial" w:hAnsi="Arial" w:cs="Arial"/>
          <w:bCs/>
          <w:snapToGrid w:val="0"/>
          <w:sz w:val="22"/>
          <w:szCs w:val="22"/>
        </w:rPr>
      </w:pPr>
      <w:r>
        <w:rPr>
          <w:rFonts w:ascii="Arial" w:hAnsi="Arial" w:cs="Arial"/>
          <w:bCs/>
          <w:snapToGrid w:val="0"/>
          <w:sz w:val="22"/>
          <w:szCs w:val="22"/>
        </w:rPr>
        <w:t xml:space="preserve">The sponsor had no comment. </w:t>
      </w:r>
    </w:p>
    <w:sectPr w:rsidR="00DC4362" w:rsidRPr="00DC4362" w:rsidSect="00C27B58">
      <w:headerReference w:type="even" r:id="rId9"/>
      <w:headerReference w:type="default" r:id="rId10"/>
      <w:footerReference w:type="even" r:id="rId11"/>
      <w:footerReference w:type="default" r:id="rId12"/>
      <w:footerReference w:type="first" r:id="rId13"/>
      <w:pgSz w:w="11906" w:h="16838" w:code="9"/>
      <w:pgMar w:top="1440" w:right="1440" w:bottom="1440" w:left="1440" w:header="1440" w:footer="1440" w:gutter="0"/>
      <w:pgNumType w:start="1"/>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FB7BD74" w15:done="0"/>
  <w15:commentEx w15:paraId="76EBFDB4" w15:done="0"/>
  <w15:commentEx w15:paraId="5670D840" w15:done="0"/>
  <w15:commentEx w15:paraId="422504D0" w15:done="0"/>
  <w15:commentEx w15:paraId="2136792E" w15:done="0"/>
  <w15:commentEx w15:paraId="6D40AC12" w15:done="0"/>
  <w15:commentEx w15:paraId="65162200" w15:done="0"/>
  <w15:commentEx w15:paraId="1D2356C2" w15:done="0"/>
  <w15:commentEx w15:paraId="6FC41482" w15:done="0"/>
  <w15:commentEx w15:paraId="5053BCB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2A94" w:rsidRDefault="00192A94">
      <w:r>
        <w:separator/>
      </w:r>
    </w:p>
    <w:p w:rsidR="00192A94" w:rsidRDefault="00192A94"/>
  </w:endnote>
  <w:endnote w:type="continuationSeparator" w:id="0">
    <w:p w:rsidR="00192A94" w:rsidRDefault="00192A94">
      <w:r>
        <w:continuationSeparator/>
      </w:r>
    </w:p>
    <w:p w:rsidR="00192A94" w:rsidRDefault="00192A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277BEB" w:rsidTr="005A3173">
      <w:trPr>
        <w:trHeight w:val="151"/>
      </w:trPr>
      <w:tc>
        <w:tcPr>
          <w:tcW w:w="2250" w:type="pct"/>
          <w:tcBorders>
            <w:top w:val="nil"/>
            <w:left w:val="nil"/>
            <w:bottom w:val="single" w:sz="4" w:space="0" w:color="4F81BD"/>
            <w:right w:val="nil"/>
          </w:tcBorders>
        </w:tcPr>
        <w:p w:rsidR="00277BEB" w:rsidRPr="005A3173" w:rsidRDefault="00277BEB" w:rsidP="005A3173">
          <w:pPr>
            <w:pStyle w:val="Header"/>
            <w:spacing w:line="276" w:lineRule="auto"/>
            <w:rPr>
              <w:rFonts w:ascii="Calibri" w:eastAsia="MS Gothic" w:hAnsi="Calibri"/>
              <w:b/>
              <w:bCs/>
              <w:color w:val="4F81BD"/>
            </w:rPr>
          </w:pPr>
        </w:p>
      </w:tc>
      <w:tc>
        <w:tcPr>
          <w:tcW w:w="500" w:type="pct"/>
          <w:vMerge w:val="restart"/>
          <w:noWrap/>
          <w:vAlign w:val="center"/>
          <w:hideMark/>
        </w:tcPr>
        <w:p w:rsidR="00277BEB" w:rsidRPr="005A3173" w:rsidRDefault="00277BEB"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277BEB" w:rsidRPr="005A3173" w:rsidRDefault="00277BEB" w:rsidP="005A3173">
          <w:pPr>
            <w:pStyle w:val="Header"/>
            <w:spacing w:line="276" w:lineRule="auto"/>
            <w:rPr>
              <w:rFonts w:ascii="Calibri" w:eastAsia="MS Gothic" w:hAnsi="Calibri"/>
              <w:b/>
              <w:bCs/>
              <w:color w:val="4F81BD"/>
            </w:rPr>
          </w:pPr>
        </w:p>
      </w:tc>
    </w:tr>
    <w:tr w:rsidR="00277BEB" w:rsidTr="005A3173">
      <w:trPr>
        <w:trHeight w:val="150"/>
      </w:trPr>
      <w:tc>
        <w:tcPr>
          <w:tcW w:w="2250" w:type="pct"/>
          <w:tcBorders>
            <w:top w:val="single" w:sz="4" w:space="0" w:color="4F81BD"/>
            <w:left w:val="nil"/>
            <w:bottom w:val="nil"/>
            <w:right w:val="nil"/>
          </w:tcBorders>
        </w:tcPr>
        <w:p w:rsidR="00277BEB" w:rsidRPr="005A3173" w:rsidRDefault="00277BEB" w:rsidP="005A3173">
          <w:pPr>
            <w:pStyle w:val="Header"/>
            <w:spacing w:line="276" w:lineRule="auto"/>
            <w:rPr>
              <w:rFonts w:ascii="Calibri" w:eastAsia="MS Gothic" w:hAnsi="Calibri"/>
              <w:b/>
              <w:bCs/>
              <w:color w:val="4F81BD"/>
            </w:rPr>
          </w:pPr>
        </w:p>
      </w:tc>
      <w:tc>
        <w:tcPr>
          <w:tcW w:w="0" w:type="auto"/>
          <w:vMerge/>
          <w:vAlign w:val="center"/>
          <w:hideMark/>
        </w:tcPr>
        <w:p w:rsidR="00277BEB" w:rsidRPr="005A3173" w:rsidRDefault="00277BEB" w:rsidP="005A3173">
          <w:pPr>
            <w:rPr>
              <w:rFonts w:ascii="Calibri" w:hAnsi="Calibri"/>
              <w:color w:val="365F91"/>
              <w:sz w:val="22"/>
              <w:szCs w:val="22"/>
            </w:rPr>
          </w:pPr>
        </w:p>
      </w:tc>
      <w:tc>
        <w:tcPr>
          <w:tcW w:w="2250" w:type="pct"/>
          <w:tcBorders>
            <w:top w:val="single" w:sz="4" w:space="0" w:color="4F81BD"/>
            <w:left w:val="nil"/>
            <w:bottom w:val="nil"/>
            <w:right w:val="nil"/>
          </w:tcBorders>
        </w:tcPr>
        <w:p w:rsidR="00277BEB" w:rsidRPr="005A3173" w:rsidRDefault="00277BEB" w:rsidP="005A3173">
          <w:pPr>
            <w:pStyle w:val="Header"/>
            <w:spacing w:line="276" w:lineRule="auto"/>
            <w:rPr>
              <w:rFonts w:ascii="Calibri" w:eastAsia="MS Gothic" w:hAnsi="Calibri"/>
              <w:b/>
              <w:bCs/>
              <w:color w:val="4F81BD"/>
            </w:rPr>
          </w:pPr>
        </w:p>
      </w:tc>
    </w:tr>
  </w:tbl>
  <w:p w:rsidR="00277BEB" w:rsidRDefault="00277BEB"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77BEB" w:rsidRDefault="00277BEB">
    <w:pPr>
      <w:pStyle w:val="Footer"/>
    </w:pPr>
  </w:p>
  <w:p w:rsidR="00277BEB" w:rsidRDefault="00277BE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BEB" w:rsidRDefault="00277BEB" w:rsidP="00EF44A0">
    <w:pPr>
      <w:pStyle w:val="Footer"/>
      <w:jc w:val="center"/>
      <w:rPr>
        <w:rFonts w:ascii="Arial" w:hAnsi="Arial" w:cs="Arial"/>
        <w:b/>
        <w:sz w:val="20"/>
        <w:szCs w:val="20"/>
      </w:rPr>
    </w:pPr>
  </w:p>
  <w:p w:rsidR="00277BEB" w:rsidRPr="00651169" w:rsidRDefault="00277BEB" w:rsidP="004625A5">
    <w:pPr>
      <w:pStyle w:val="Footer"/>
      <w:ind w:left="360"/>
      <w:jc w:val="center"/>
      <w:rPr>
        <w:rFonts w:ascii="Arial" w:hAnsi="Arial" w:cs="Arial"/>
        <w:sz w:val="20"/>
        <w:szCs w:val="20"/>
      </w:rPr>
    </w:pPr>
    <w:r w:rsidRPr="00651169">
      <w:rPr>
        <w:rFonts w:ascii="Arial" w:hAnsi="Arial" w:cs="Arial"/>
        <w:sz w:val="20"/>
        <w:szCs w:val="20"/>
      </w:rPr>
      <w:fldChar w:fldCharType="begin"/>
    </w:r>
    <w:r w:rsidRPr="00651169">
      <w:rPr>
        <w:rFonts w:ascii="Arial" w:hAnsi="Arial" w:cs="Arial"/>
        <w:sz w:val="20"/>
        <w:szCs w:val="20"/>
      </w:rPr>
      <w:instrText xml:space="preserve"> PAGE   \* MERGEFORMAT </w:instrText>
    </w:r>
    <w:r w:rsidRPr="00651169">
      <w:rPr>
        <w:rFonts w:ascii="Arial" w:hAnsi="Arial" w:cs="Arial"/>
        <w:sz w:val="20"/>
        <w:szCs w:val="20"/>
      </w:rPr>
      <w:fldChar w:fldCharType="separate"/>
    </w:r>
    <w:r w:rsidR="006C05DF">
      <w:rPr>
        <w:rFonts w:ascii="Arial" w:hAnsi="Arial" w:cs="Arial"/>
        <w:noProof/>
        <w:sz w:val="20"/>
        <w:szCs w:val="20"/>
      </w:rPr>
      <w:t>1</w:t>
    </w:r>
    <w:r w:rsidRPr="00651169">
      <w:rPr>
        <w:rFonts w:ascii="Arial" w:hAnsi="Arial" w:cs="Arial"/>
        <w:noProof/>
        <w:sz w:val="20"/>
        <w:szCs w:val="20"/>
      </w:rPr>
      <w:fldChar w:fldCharType="end"/>
    </w:r>
  </w:p>
  <w:p w:rsidR="00277BEB" w:rsidRDefault="00277BEB" w:rsidP="00EF44A0">
    <w:pPr>
      <w:pStyle w:val="Footer"/>
      <w:jc w:val="center"/>
      <w:rPr>
        <w:rFonts w:ascii="Arial" w:hAnsi="Arial" w:cs="Arial"/>
        <w:b/>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277BEB" w:rsidTr="005A3173">
      <w:trPr>
        <w:trHeight w:val="151"/>
      </w:trPr>
      <w:tc>
        <w:tcPr>
          <w:tcW w:w="2250" w:type="pct"/>
          <w:tcBorders>
            <w:top w:val="nil"/>
            <w:left w:val="nil"/>
            <w:bottom w:val="single" w:sz="4" w:space="0" w:color="4F81BD"/>
            <w:right w:val="nil"/>
          </w:tcBorders>
        </w:tcPr>
        <w:p w:rsidR="00277BEB" w:rsidRPr="005A3173" w:rsidRDefault="00277BEB" w:rsidP="005A3173">
          <w:pPr>
            <w:pStyle w:val="Header"/>
            <w:spacing w:line="276" w:lineRule="auto"/>
            <w:rPr>
              <w:rFonts w:ascii="Calibri" w:eastAsia="MS Gothic" w:hAnsi="Calibri"/>
              <w:b/>
              <w:bCs/>
              <w:color w:val="4F81BD"/>
            </w:rPr>
          </w:pPr>
        </w:p>
      </w:tc>
      <w:tc>
        <w:tcPr>
          <w:tcW w:w="500" w:type="pct"/>
          <w:vMerge w:val="restart"/>
          <w:noWrap/>
          <w:vAlign w:val="center"/>
          <w:hideMark/>
        </w:tcPr>
        <w:p w:rsidR="00277BEB" w:rsidRPr="005A3173" w:rsidRDefault="00277BEB"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277BEB" w:rsidRPr="005A3173" w:rsidRDefault="00277BEB" w:rsidP="005A3173">
          <w:pPr>
            <w:pStyle w:val="Header"/>
            <w:spacing w:line="276" w:lineRule="auto"/>
            <w:rPr>
              <w:rFonts w:ascii="Calibri" w:eastAsia="MS Gothic" w:hAnsi="Calibri"/>
              <w:b/>
              <w:bCs/>
              <w:color w:val="4F81BD"/>
            </w:rPr>
          </w:pPr>
        </w:p>
      </w:tc>
    </w:tr>
    <w:tr w:rsidR="00277BEB" w:rsidTr="005A3173">
      <w:trPr>
        <w:trHeight w:val="150"/>
      </w:trPr>
      <w:tc>
        <w:tcPr>
          <w:tcW w:w="2250" w:type="pct"/>
          <w:tcBorders>
            <w:top w:val="single" w:sz="4" w:space="0" w:color="4F81BD"/>
            <w:left w:val="nil"/>
            <w:bottom w:val="nil"/>
            <w:right w:val="nil"/>
          </w:tcBorders>
        </w:tcPr>
        <w:p w:rsidR="00277BEB" w:rsidRPr="005A3173" w:rsidRDefault="00277BEB" w:rsidP="005A3173">
          <w:pPr>
            <w:pStyle w:val="Header"/>
            <w:spacing w:line="276" w:lineRule="auto"/>
            <w:rPr>
              <w:rFonts w:ascii="Calibri" w:eastAsia="MS Gothic" w:hAnsi="Calibri"/>
              <w:b/>
              <w:bCs/>
              <w:color w:val="4F81BD"/>
            </w:rPr>
          </w:pPr>
        </w:p>
      </w:tc>
      <w:tc>
        <w:tcPr>
          <w:tcW w:w="0" w:type="auto"/>
          <w:vMerge/>
          <w:vAlign w:val="center"/>
          <w:hideMark/>
        </w:tcPr>
        <w:p w:rsidR="00277BEB" w:rsidRPr="005A3173" w:rsidRDefault="00277BEB" w:rsidP="005A3173">
          <w:pPr>
            <w:rPr>
              <w:rFonts w:ascii="Calibri" w:hAnsi="Calibri"/>
              <w:color w:val="365F91"/>
              <w:sz w:val="22"/>
              <w:szCs w:val="22"/>
            </w:rPr>
          </w:pPr>
        </w:p>
      </w:tc>
      <w:tc>
        <w:tcPr>
          <w:tcW w:w="2250" w:type="pct"/>
          <w:tcBorders>
            <w:top w:val="single" w:sz="4" w:space="0" w:color="4F81BD"/>
            <w:left w:val="nil"/>
            <w:bottom w:val="nil"/>
            <w:right w:val="nil"/>
          </w:tcBorders>
        </w:tcPr>
        <w:p w:rsidR="00277BEB" w:rsidRPr="005A3173" w:rsidRDefault="00277BEB"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277BEB" w:rsidTr="005A3173">
      <w:trPr>
        <w:trHeight w:val="151"/>
      </w:trPr>
      <w:tc>
        <w:tcPr>
          <w:tcW w:w="2250" w:type="pct"/>
          <w:tcBorders>
            <w:top w:val="nil"/>
            <w:left w:val="nil"/>
            <w:bottom w:val="single" w:sz="4" w:space="0" w:color="4F81BD"/>
            <w:right w:val="nil"/>
          </w:tcBorders>
        </w:tcPr>
        <w:p w:rsidR="00277BEB" w:rsidRPr="005A3173" w:rsidRDefault="00277BEB" w:rsidP="005A3173">
          <w:pPr>
            <w:pStyle w:val="Header"/>
            <w:spacing w:line="276" w:lineRule="auto"/>
            <w:rPr>
              <w:rFonts w:ascii="Calibri" w:eastAsia="MS Gothic" w:hAnsi="Calibri"/>
              <w:b/>
              <w:bCs/>
              <w:color w:val="4F81BD"/>
            </w:rPr>
          </w:pPr>
        </w:p>
      </w:tc>
      <w:tc>
        <w:tcPr>
          <w:tcW w:w="500" w:type="pct"/>
          <w:vMerge w:val="restart"/>
          <w:noWrap/>
          <w:vAlign w:val="center"/>
          <w:hideMark/>
        </w:tcPr>
        <w:p w:rsidR="00277BEB" w:rsidRPr="005A3173" w:rsidRDefault="00277BEB"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277BEB" w:rsidRPr="005A3173" w:rsidRDefault="00277BEB" w:rsidP="005A3173">
          <w:pPr>
            <w:pStyle w:val="Header"/>
            <w:spacing w:line="276" w:lineRule="auto"/>
            <w:rPr>
              <w:rFonts w:ascii="Calibri" w:eastAsia="MS Gothic" w:hAnsi="Calibri"/>
              <w:b/>
              <w:bCs/>
              <w:color w:val="4F81BD"/>
            </w:rPr>
          </w:pPr>
        </w:p>
      </w:tc>
    </w:tr>
    <w:tr w:rsidR="00277BEB" w:rsidTr="005A3173">
      <w:trPr>
        <w:trHeight w:val="150"/>
      </w:trPr>
      <w:tc>
        <w:tcPr>
          <w:tcW w:w="2250" w:type="pct"/>
          <w:tcBorders>
            <w:top w:val="single" w:sz="4" w:space="0" w:color="4F81BD"/>
            <w:left w:val="nil"/>
            <w:bottom w:val="nil"/>
            <w:right w:val="nil"/>
          </w:tcBorders>
        </w:tcPr>
        <w:p w:rsidR="00277BEB" w:rsidRPr="005A3173" w:rsidRDefault="00277BEB" w:rsidP="005A3173">
          <w:pPr>
            <w:pStyle w:val="Header"/>
            <w:spacing w:line="276" w:lineRule="auto"/>
            <w:rPr>
              <w:rFonts w:ascii="Calibri" w:eastAsia="MS Gothic" w:hAnsi="Calibri"/>
              <w:b/>
              <w:bCs/>
              <w:color w:val="4F81BD"/>
            </w:rPr>
          </w:pPr>
        </w:p>
      </w:tc>
      <w:tc>
        <w:tcPr>
          <w:tcW w:w="0" w:type="auto"/>
          <w:vMerge/>
          <w:vAlign w:val="center"/>
          <w:hideMark/>
        </w:tcPr>
        <w:p w:rsidR="00277BEB" w:rsidRPr="005A3173" w:rsidRDefault="00277BEB" w:rsidP="005A3173">
          <w:pPr>
            <w:rPr>
              <w:rFonts w:ascii="Calibri" w:hAnsi="Calibri"/>
              <w:color w:val="365F91"/>
              <w:sz w:val="22"/>
              <w:szCs w:val="22"/>
            </w:rPr>
          </w:pPr>
        </w:p>
      </w:tc>
      <w:tc>
        <w:tcPr>
          <w:tcW w:w="2250" w:type="pct"/>
          <w:tcBorders>
            <w:top w:val="single" w:sz="4" w:space="0" w:color="4F81BD"/>
            <w:left w:val="nil"/>
            <w:bottom w:val="nil"/>
            <w:right w:val="nil"/>
          </w:tcBorders>
        </w:tcPr>
        <w:p w:rsidR="00277BEB" w:rsidRPr="005A3173" w:rsidRDefault="00277BEB" w:rsidP="005A3173">
          <w:pPr>
            <w:pStyle w:val="Header"/>
            <w:spacing w:line="276" w:lineRule="auto"/>
            <w:rPr>
              <w:rFonts w:ascii="Calibri" w:eastAsia="MS Gothic" w:hAnsi="Calibri"/>
              <w:b/>
              <w:bCs/>
              <w:color w:val="4F81BD"/>
            </w:rPr>
          </w:pPr>
        </w:p>
      </w:tc>
    </w:tr>
  </w:tbl>
  <w:p w:rsidR="00277BEB" w:rsidRPr="007C0F57" w:rsidRDefault="00277BEB"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277BEB" w:rsidRPr="007C0F57" w:rsidRDefault="00277BEB" w:rsidP="007C0F57">
    <w:pPr>
      <w:pStyle w:val="Footer"/>
      <w:jc w:val="center"/>
      <w:rPr>
        <w:b/>
        <w:i/>
        <w:sz w:val="20"/>
        <w:szCs w:val="20"/>
      </w:rPr>
    </w:pPr>
    <w:r w:rsidRPr="007C0F57">
      <w:rPr>
        <w:b/>
        <w:i/>
        <w:sz w:val="20"/>
        <w:szCs w:val="20"/>
      </w:rPr>
      <w:t>Commercial-in-Confidence</w:t>
    </w:r>
  </w:p>
  <w:p w:rsidR="00277BEB" w:rsidRDefault="00277BE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2A94" w:rsidRDefault="00192A94">
      <w:r>
        <w:separator/>
      </w:r>
    </w:p>
    <w:p w:rsidR="00192A94" w:rsidRDefault="00192A94"/>
  </w:footnote>
  <w:footnote w:type="continuationSeparator" w:id="0">
    <w:p w:rsidR="00192A94" w:rsidRDefault="00192A94">
      <w:r>
        <w:continuationSeparator/>
      </w:r>
    </w:p>
    <w:p w:rsidR="00192A94" w:rsidRDefault="00192A9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277BEB" w:rsidRPr="008E0D90" w:rsidTr="00A06225">
      <w:trPr>
        <w:trHeight w:val="151"/>
      </w:trPr>
      <w:tc>
        <w:tcPr>
          <w:tcW w:w="2389" w:type="pct"/>
          <w:tcBorders>
            <w:top w:val="nil"/>
            <w:left w:val="nil"/>
            <w:bottom w:val="single" w:sz="4" w:space="0" w:color="4F81BD"/>
            <w:right w:val="nil"/>
          </w:tcBorders>
        </w:tcPr>
        <w:p w:rsidR="00277BEB" w:rsidRPr="00A06225" w:rsidRDefault="00277BEB">
          <w:pPr>
            <w:pStyle w:val="Header"/>
            <w:spacing w:line="276" w:lineRule="auto"/>
            <w:rPr>
              <w:rFonts w:ascii="Cambria" w:eastAsia="MS Gothic" w:hAnsi="Cambria"/>
              <w:b/>
              <w:bCs/>
              <w:color w:val="4F81BD"/>
            </w:rPr>
          </w:pPr>
        </w:p>
      </w:tc>
      <w:tc>
        <w:tcPr>
          <w:tcW w:w="333" w:type="pct"/>
          <w:vMerge w:val="restart"/>
          <w:noWrap/>
          <w:vAlign w:val="center"/>
          <w:hideMark/>
        </w:tcPr>
        <w:p w:rsidR="00277BEB" w:rsidRPr="00A06225" w:rsidRDefault="00277BEB"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277BEB" w:rsidRPr="00A06225" w:rsidRDefault="00277BEB">
          <w:pPr>
            <w:pStyle w:val="Header"/>
            <w:spacing w:line="276" w:lineRule="auto"/>
            <w:rPr>
              <w:rFonts w:ascii="Cambria" w:eastAsia="MS Gothic" w:hAnsi="Cambria"/>
              <w:b/>
              <w:bCs/>
              <w:color w:val="4F81BD"/>
            </w:rPr>
          </w:pPr>
        </w:p>
      </w:tc>
    </w:tr>
    <w:tr w:rsidR="00277BEB" w:rsidRPr="008E0D90" w:rsidTr="00A06225">
      <w:trPr>
        <w:trHeight w:val="150"/>
      </w:trPr>
      <w:tc>
        <w:tcPr>
          <w:tcW w:w="2389" w:type="pct"/>
          <w:tcBorders>
            <w:top w:val="single" w:sz="4" w:space="0" w:color="4F81BD"/>
            <w:left w:val="nil"/>
            <w:bottom w:val="nil"/>
            <w:right w:val="nil"/>
          </w:tcBorders>
        </w:tcPr>
        <w:p w:rsidR="00277BEB" w:rsidRPr="00A06225" w:rsidRDefault="00277BEB">
          <w:pPr>
            <w:pStyle w:val="Header"/>
            <w:spacing w:line="276" w:lineRule="auto"/>
            <w:rPr>
              <w:rFonts w:ascii="Cambria" w:eastAsia="MS Gothic" w:hAnsi="Cambria"/>
              <w:b/>
              <w:bCs/>
              <w:color w:val="4F81BD"/>
            </w:rPr>
          </w:pPr>
        </w:p>
      </w:tc>
      <w:tc>
        <w:tcPr>
          <w:tcW w:w="0" w:type="auto"/>
          <w:vMerge/>
          <w:vAlign w:val="center"/>
          <w:hideMark/>
        </w:tcPr>
        <w:p w:rsidR="00277BEB" w:rsidRPr="00A06225" w:rsidRDefault="00277BEB">
          <w:pPr>
            <w:rPr>
              <w:rFonts w:ascii="Cambria" w:hAnsi="Cambria"/>
              <w:color w:val="4F81BD"/>
              <w:sz w:val="22"/>
              <w:szCs w:val="22"/>
            </w:rPr>
          </w:pPr>
        </w:p>
      </w:tc>
      <w:tc>
        <w:tcPr>
          <w:tcW w:w="2278" w:type="pct"/>
          <w:tcBorders>
            <w:top w:val="single" w:sz="4" w:space="0" w:color="4F81BD"/>
            <w:left w:val="nil"/>
            <w:bottom w:val="nil"/>
            <w:right w:val="nil"/>
          </w:tcBorders>
        </w:tcPr>
        <w:p w:rsidR="00277BEB" w:rsidRPr="00A06225" w:rsidRDefault="00277BEB">
          <w:pPr>
            <w:pStyle w:val="Header"/>
            <w:spacing w:line="276" w:lineRule="auto"/>
            <w:rPr>
              <w:rFonts w:ascii="Cambria" w:eastAsia="MS Gothic" w:hAnsi="Cambria"/>
              <w:b/>
              <w:bCs/>
              <w:color w:val="4F81BD"/>
            </w:rPr>
          </w:pPr>
        </w:p>
      </w:tc>
    </w:tr>
  </w:tbl>
  <w:p w:rsidR="00277BEB" w:rsidRDefault="00277BEB">
    <w:pPr>
      <w:pStyle w:val="Header"/>
    </w:pPr>
  </w:p>
  <w:p w:rsidR="00277BEB" w:rsidRDefault="00277BE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BEB" w:rsidRPr="00DF217D" w:rsidRDefault="00A03AA2" w:rsidP="004625A5">
    <w:pPr>
      <w:pStyle w:val="Header"/>
      <w:ind w:left="360"/>
      <w:jc w:val="center"/>
      <w:rPr>
        <w:rFonts w:ascii="Arial" w:hAnsi="Arial" w:cs="Arial"/>
        <w:i/>
        <w:color w:val="808080"/>
        <w:sz w:val="22"/>
      </w:rPr>
    </w:pPr>
    <w:r>
      <w:rPr>
        <w:rFonts w:ascii="Arial" w:hAnsi="Arial" w:cs="Arial"/>
        <w:i/>
        <w:color w:val="808080"/>
        <w:sz w:val="22"/>
      </w:rPr>
      <w:t xml:space="preserve">Public Summary Document </w:t>
    </w:r>
    <w:r w:rsidR="00277BEB" w:rsidRPr="00DF217D">
      <w:rPr>
        <w:rFonts w:ascii="Arial" w:hAnsi="Arial" w:cs="Arial"/>
        <w:i/>
        <w:color w:val="808080"/>
        <w:sz w:val="22"/>
      </w:rPr>
      <w:t xml:space="preserve">– </w:t>
    </w:r>
    <w:r w:rsidR="00277BEB">
      <w:rPr>
        <w:rFonts w:ascii="Arial" w:hAnsi="Arial" w:cs="Arial"/>
        <w:i/>
        <w:color w:val="808080"/>
        <w:sz w:val="22"/>
      </w:rPr>
      <w:t xml:space="preserve">July 2015 </w:t>
    </w:r>
    <w:r w:rsidR="00277BEB" w:rsidRPr="00DF217D">
      <w:rPr>
        <w:rFonts w:ascii="Arial" w:hAnsi="Arial" w:cs="Arial"/>
        <w:i/>
        <w:color w:val="808080"/>
        <w:sz w:val="22"/>
      </w:rPr>
      <w:t>PBAC</w:t>
    </w:r>
    <w:r w:rsidR="00277BEB">
      <w:rPr>
        <w:rFonts w:ascii="Arial" w:hAnsi="Arial" w:cs="Arial"/>
        <w:i/>
        <w:color w:val="808080"/>
        <w:sz w:val="22"/>
      </w:rPr>
      <w:t xml:space="preserve"> </w:t>
    </w:r>
    <w:r w:rsidR="00277BEB" w:rsidRPr="00DF217D">
      <w:rPr>
        <w:rFonts w:ascii="Arial" w:hAnsi="Arial" w:cs="Arial"/>
        <w:i/>
        <w:color w:val="808080"/>
        <w:sz w:val="22"/>
      </w:rPr>
      <w:t>Meeting</w:t>
    </w:r>
  </w:p>
  <w:p w:rsidR="00277BEB" w:rsidRDefault="00277BEB" w:rsidP="00A128E6">
    <w:pPr>
      <w:pStyle w:val="No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6691624"/>
    <w:multiLevelType w:val="multilevel"/>
    <w:tmpl w:val="13DE68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276658A"/>
    <w:multiLevelType w:val="hybridMultilevel"/>
    <w:tmpl w:val="454E4A14"/>
    <w:lvl w:ilvl="0" w:tplc="5EA0A46E">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54C430CE"/>
    <w:multiLevelType w:val="hybridMultilevel"/>
    <w:tmpl w:val="FC86275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6">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64611686"/>
    <w:multiLevelType w:val="hybridMultilevel"/>
    <w:tmpl w:val="E3DE79A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73C642CF"/>
    <w:multiLevelType w:val="hybridMultilevel"/>
    <w:tmpl w:val="A0DECDFC"/>
    <w:lvl w:ilvl="0" w:tplc="57222CE4">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nsid w:val="784D033C"/>
    <w:multiLevelType w:val="multilevel"/>
    <w:tmpl w:val="FF38AA0A"/>
    <w:lvl w:ilvl="0">
      <w:start w:val="1"/>
      <w:numFmt w:val="decimal"/>
      <w:lvlText w:val="%1"/>
      <w:lvlJc w:val="left"/>
      <w:pPr>
        <w:ind w:left="720" w:hanging="720"/>
      </w:pPr>
      <w:rPr>
        <w:rFonts w:hint="default"/>
        <w:b/>
        <w:i w:val="0"/>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6"/>
  </w:num>
  <w:num w:numId="3">
    <w:abstractNumId w:val="2"/>
  </w:num>
  <w:num w:numId="4">
    <w:abstractNumId w:val="7"/>
  </w:num>
  <w:num w:numId="5">
    <w:abstractNumId w:val="3"/>
  </w:num>
  <w:num w:numId="6">
    <w:abstractNumId w:val="5"/>
  </w:num>
  <w:num w:numId="7">
    <w:abstractNumId w:val="0"/>
  </w:num>
  <w:num w:numId="8">
    <w:abstractNumId w:val="4"/>
  </w:num>
  <w:num w:numId="9">
    <w:abstractNumId w:val="8"/>
  </w:num>
  <w:num w:numId="10">
    <w:abstractNumId w:val="1"/>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118F7"/>
    <w:rsid w:val="00022055"/>
    <w:rsid w:val="0002464A"/>
    <w:rsid w:val="0003106B"/>
    <w:rsid w:val="0003158B"/>
    <w:rsid w:val="0004184D"/>
    <w:rsid w:val="000421A1"/>
    <w:rsid w:val="0004240E"/>
    <w:rsid w:val="00045E26"/>
    <w:rsid w:val="000514B5"/>
    <w:rsid w:val="00060E64"/>
    <w:rsid w:val="00066755"/>
    <w:rsid w:val="000969AD"/>
    <w:rsid w:val="000A1CD0"/>
    <w:rsid w:val="000A7300"/>
    <w:rsid w:val="000B558D"/>
    <w:rsid w:val="000C00B2"/>
    <w:rsid w:val="000C1C07"/>
    <w:rsid w:val="000C6996"/>
    <w:rsid w:val="000D23BA"/>
    <w:rsid w:val="000D66B0"/>
    <w:rsid w:val="000E681E"/>
    <w:rsid w:val="000F4E6A"/>
    <w:rsid w:val="000F5E5E"/>
    <w:rsid w:val="001107BF"/>
    <w:rsid w:val="00110E57"/>
    <w:rsid w:val="001155BA"/>
    <w:rsid w:val="00123AB8"/>
    <w:rsid w:val="0012417C"/>
    <w:rsid w:val="00142395"/>
    <w:rsid w:val="00142714"/>
    <w:rsid w:val="001452ED"/>
    <w:rsid w:val="001830CE"/>
    <w:rsid w:val="00192A94"/>
    <w:rsid w:val="00192E02"/>
    <w:rsid w:val="00196307"/>
    <w:rsid w:val="001977D5"/>
    <w:rsid w:val="001B017F"/>
    <w:rsid w:val="001B5129"/>
    <w:rsid w:val="001B53DC"/>
    <w:rsid w:val="001C1195"/>
    <w:rsid w:val="001D21E5"/>
    <w:rsid w:val="001E3898"/>
    <w:rsid w:val="001F31B0"/>
    <w:rsid w:val="001F6D9C"/>
    <w:rsid w:val="0020141C"/>
    <w:rsid w:val="00210EB4"/>
    <w:rsid w:val="00213CFB"/>
    <w:rsid w:val="00252290"/>
    <w:rsid w:val="00260EAC"/>
    <w:rsid w:val="00271BA1"/>
    <w:rsid w:val="00277505"/>
    <w:rsid w:val="00277BEB"/>
    <w:rsid w:val="0028314F"/>
    <w:rsid w:val="00285B8F"/>
    <w:rsid w:val="0029387D"/>
    <w:rsid w:val="0029458F"/>
    <w:rsid w:val="002A104C"/>
    <w:rsid w:val="002A3556"/>
    <w:rsid w:val="002A4960"/>
    <w:rsid w:val="002B1AE6"/>
    <w:rsid w:val="002B30F8"/>
    <w:rsid w:val="002C212F"/>
    <w:rsid w:val="002E3153"/>
    <w:rsid w:val="002E3FEB"/>
    <w:rsid w:val="002E7017"/>
    <w:rsid w:val="002E72CA"/>
    <w:rsid w:val="002F3CA7"/>
    <w:rsid w:val="002F6917"/>
    <w:rsid w:val="00316CBC"/>
    <w:rsid w:val="00326E79"/>
    <w:rsid w:val="0033055E"/>
    <w:rsid w:val="003367EF"/>
    <w:rsid w:val="00341AE4"/>
    <w:rsid w:val="00356CBA"/>
    <w:rsid w:val="0036709B"/>
    <w:rsid w:val="003805BF"/>
    <w:rsid w:val="003872CF"/>
    <w:rsid w:val="0039262B"/>
    <w:rsid w:val="00397340"/>
    <w:rsid w:val="0039782C"/>
    <w:rsid w:val="003A2D86"/>
    <w:rsid w:val="003A5B4A"/>
    <w:rsid w:val="003B23C5"/>
    <w:rsid w:val="003B2A75"/>
    <w:rsid w:val="003D1FE4"/>
    <w:rsid w:val="003D4AC4"/>
    <w:rsid w:val="003D63B7"/>
    <w:rsid w:val="003D65EC"/>
    <w:rsid w:val="003E468B"/>
    <w:rsid w:val="003E7F9C"/>
    <w:rsid w:val="003F4B0F"/>
    <w:rsid w:val="003F5C8C"/>
    <w:rsid w:val="00420059"/>
    <w:rsid w:val="004231FE"/>
    <w:rsid w:val="00441D7F"/>
    <w:rsid w:val="004465BD"/>
    <w:rsid w:val="00450434"/>
    <w:rsid w:val="004625A5"/>
    <w:rsid w:val="00466ADA"/>
    <w:rsid w:val="00472E0B"/>
    <w:rsid w:val="0047614B"/>
    <w:rsid w:val="00476245"/>
    <w:rsid w:val="00485940"/>
    <w:rsid w:val="004A5A85"/>
    <w:rsid w:val="004A6853"/>
    <w:rsid w:val="004B5640"/>
    <w:rsid w:val="004B634B"/>
    <w:rsid w:val="004B67B6"/>
    <w:rsid w:val="004C1BD7"/>
    <w:rsid w:val="004C691D"/>
    <w:rsid w:val="004E1F8C"/>
    <w:rsid w:val="004E692D"/>
    <w:rsid w:val="004F4DA3"/>
    <w:rsid w:val="00500D21"/>
    <w:rsid w:val="00501554"/>
    <w:rsid w:val="00514CD7"/>
    <w:rsid w:val="00522387"/>
    <w:rsid w:val="005319B2"/>
    <w:rsid w:val="00532C74"/>
    <w:rsid w:val="00534E2E"/>
    <w:rsid w:val="005374B0"/>
    <w:rsid w:val="00537592"/>
    <w:rsid w:val="00540DD7"/>
    <w:rsid w:val="00544552"/>
    <w:rsid w:val="00581932"/>
    <w:rsid w:val="005829CE"/>
    <w:rsid w:val="00594324"/>
    <w:rsid w:val="005963BB"/>
    <w:rsid w:val="005A3173"/>
    <w:rsid w:val="005A3223"/>
    <w:rsid w:val="005A3DA3"/>
    <w:rsid w:val="005A44DC"/>
    <w:rsid w:val="005A52C4"/>
    <w:rsid w:val="005D03AB"/>
    <w:rsid w:val="005D0807"/>
    <w:rsid w:val="005D1160"/>
    <w:rsid w:val="005D5017"/>
    <w:rsid w:val="005D7243"/>
    <w:rsid w:val="00600FA2"/>
    <w:rsid w:val="00601A91"/>
    <w:rsid w:val="00602BA3"/>
    <w:rsid w:val="00614159"/>
    <w:rsid w:val="00617C00"/>
    <w:rsid w:val="00626274"/>
    <w:rsid w:val="006263BF"/>
    <w:rsid w:val="0062748A"/>
    <w:rsid w:val="00630A2C"/>
    <w:rsid w:val="0064042F"/>
    <w:rsid w:val="00651169"/>
    <w:rsid w:val="00653D69"/>
    <w:rsid w:val="00670A76"/>
    <w:rsid w:val="006711AA"/>
    <w:rsid w:val="00672B57"/>
    <w:rsid w:val="00675622"/>
    <w:rsid w:val="0068211C"/>
    <w:rsid w:val="006906DB"/>
    <w:rsid w:val="0069256E"/>
    <w:rsid w:val="006A12A5"/>
    <w:rsid w:val="006A544D"/>
    <w:rsid w:val="006B0D94"/>
    <w:rsid w:val="006B485D"/>
    <w:rsid w:val="006C05DF"/>
    <w:rsid w:val="006C2606"/>
    <w:rsid w:val="006C708E"/>
    <w:rsid w:val="006D20FC"/>
    <w:rsid w:val="006D6EC7"/>
    <w:rsid w:val="006F5125"/>
    <w:rsid w:val="00706D1B"/>
    <w:rsid w:val="007174BB"/>
    <w:rsid w:val="00752787"/>
    <w:rsid w:val="00754C00"/>
    <w:rsid w:val="00757C5D"/>
    <w:rsid w:val="0076420C"/>
    <w:rsid w:val="007730C7"/>
    <w:rsid w:val="007753C2"/>
    <w:rsid w:val="007838B8"/>
    <w:rsid w:val="007863F4"/>
    <w:rsid w:val="00786D7C"/>
    <w:rsid w:val="007C0F57"/>
    <w:rsid w:val="007C40B6"/>
    <w:rsid w:val="007C729F"/>
    <w:rsid w:val="007D6CAC"/>
    <w:rsid w:val="007E0FFE"/>
    <w:rsid w:val="007E1D28"/>
    <w:rsid w:val="007E3E19"/>
    <w:rsid w:val="007F2641"/>
    <w:rsid w:val="007F7C36"/>
    <w:rsid w:val="00802F30"/>
    <w:rsid w:val="00806796"/>
    <w:rsid w:val="00826F6D"/>
    <w:rsid w:val="00833527"/>
    <w:rsid w:val="00840AE9"/>
    <w:rsid w:val="00856DDD"/>
    <w:rsid w:val="00863E68"/>
    <w:rsid w:val="008720DE"/>
    <w:rsid w:val="00882085"/>
    <w:rsid w:val="00883188"/>
    <w:rsid w:val="00893454"/>
    <w:rsid w:val="00897D58"/>
    <w:rsid w:val="008A1956"/>
    <w:rsid w:val="008A4937"/>
    <w:rsid w:val="008B0E72"/>
    <w:rsid w:val="008B3687"/>
    <w:rsid w:val="008B6E39"/>
    <w:rsid w:val="008C7375"/>
    <w:rsid w:val="008D3C82"/>
    <w:rsid w:val="008D447E"/>
    <w:rsid w:val="008D7A41"/>
    <w:rsid w:val="008D7A7F"/>
    <w:rsid w:val="008E3680"/>
    <w:rsid w:val="008E5870"/>
    <w:rsid w:val="008F1434"/>
    <w:rsid w:val="008F27E7"/>
    <w:rsid w:val="008F49E5"/>
    <w:rsid w:val="008F7355"/>
    <w:rsid w:val="009067B7"/>
    <w:rsid w:val="00930937"/>
    <w:rsid w:val="00930B8F"/>
    <w:rsid w:val="00933E6C"/>
    <w:rsid w:val="00942160"/>
    <w:rsid w:val="009464CA"/>
    <w:rsid w:val="009602C5"/>
    <w:rsid w:val="00974C21"/>
    <w:rsid w:val="0098081C"/>
    <w:rsid w:val="0098484A"/>
    <w:rsid w:val="00996BAA"/>
    <w:rsid w:val="009A7F80"/>
    <w:rsid w:val="009B0F67"/>
    <w:rsid w:val="009C703C"/>
    <w:rsid w:val="009D3CAA"/>
    <w:rsid w:val="009E1941"/>
    <w:rsid w:val="009F4E46"/>
    <w:rsid w:val="009F506D"/>
    <w:rsid w:val="009F5B65"/>
    <w:rsid w:val="009F5F2E"/>
    <w:rsid w:val="00A03AA2"/>
    <w:rsid w:val="00A06225"/>
    <w:rsid w:val="00A128E6"/>
    <w:rsid w:val="00A16C38"/>
    <w:rsid w:val="00A37C8D"/>
    <w:rsid w:val="00A435FB"/>
    <w:rsid w:val="00A5273B"/>
    <w:rsid w:val="00A53A9D"/>
    <w:rsid w:val="00A55FEE"/>
    <w:rsid w:val="00A56CFF"/>
    <w:rsid w:val="00A609F7"/>
    <w:rsid w:val="00A62C1A"/>
    <w:rsid w:val="00A6426D"/>
    <w:rsid w:val="00A70622"/>
    <w:rsid w:val="00A70977"/>
    <w:rsid w:val="00A8390C"/>
    <w:rsid w:val="00A85F99"/>
    <w:rsid w:val="00A87D38"/>
    <w:rsid w:val="00A928BD"/>
    <w:rsid w:val="00AA4D1C"/>
    <w:rsid w:val="00AB31F0"/>
    <w:rsid w:val="00AC0579"/>
    <w:rsid w:val="00AC5206"/>
    <w:rsid w:val="00AE11A5"/>
    <w:rsid w:val="00AE13E2"/>
    <w:rsid w:val="00AE21A1"/>
    <w:rsid w:val="00AF68CC"/>
    <w:rsid w:val="00B12215"/>
    <w:rsid w:val="00B1516F"/>
    <w:rsid w:val="00B205AA"/>
    <w:rsid w:val="00B22E84"/>
    <w:rsid w:val="00B25F75"/>
    <w:rsid w:val="00B263AD"/>
    <w:rsid w:val="00B43E90"/>
    <w:rsid w:val="00B464CE"/>
    <w:rsid w:val="00B524FE"/>
    <w:rsid w:val="00B56118"/>
    <w:rsid w:val="00B6773F"/>
    <w:rsid w:val="00B74A44"/>
    <w:rsid w:val="00B752B1"/>
    <w:rsid w:val="00B75F54"/>
    <w:rsid w:val="00B801BA"/>
    <w:rsid w:val="00B92F7B"/>
    <w:rsid w:val="00BB69F5"/>
    <w:rsid w:val="00BB7EC3"/>
    <w:rsid w:val="00BC4B9A"/>
    <w:rsid w:val="00BD0D75"/>
    <w:rsid w:val="00BD784C"/>
    <w:rsid w:val="00BE0F0A"/>
    <w:rsid w:val="00BF4CB6"/>
    <w:rsid w:val="00C00DA7"/>
    <w:rsid w:val="00C12768"/>
    <w:rsid w:val="00C1377B"/>
    <w:rsid w:val="00C27B58"/>
    <w:rsid w:val="00C35996"/>
    <w:rsid w:val="00C4173E"/>
    <w:rsid w:val="00C463A0"/>
    <w:rsid w:val="00C5144C"/>
    <w:rsid w:val="00C5342C"/>
    <w:rsid w:val="00C5419A"/>
    <w:rsid w:val="00C57545"/>
    <w:rsid w:val="00C575FE"/>
    <w:rsid w:val="00C6256A"/>
    <w:rsid w:val="00C644EF"/>
    <w:rsid w:val="00C7506F"/>
    <w:rsid w:val="00C91449"/>
    <w:rsid w:val="00C92D10"/>
    <w:rsid w:val="00CB15F2"/>
    <w:rsid w:val="00CC5F14"/>
    <w:rsid w:val="00CE10C4"/>
    <w:rsid w:val="00CE2479"/>
    <w:rsid w:val="00CE27B5"/>
    <w:rsid w:val="00D0321E"/>
    <w:rsid w:val="00D1455A"/>
    <w:rsid w:val="00D3280C"/>
    <w:rsid w:val="00D3406A"/>
    <w:rsid w:val="00D469B2"/>
    <w:rsid w:val="00D741EB"/>
    <w:rsid w:val="00D84934"/>
    <w:rsid w:val="00D849FC"/>
    <w:rsid w:val="00D91271"/>
    <w:rsid w:val="00DA17C5"/>
    <w:rsid w:val="00DA2CB5"/>
    <w:rsid w:val="00DA4BAC"/>
    <w:rsid w:val="00DB1D99"/>
    <w:rsid w:val="00DC04CE"/>
    <w:rsid w:val="00DC3D7C"/>
    <w:rsid w:val="00DC4362"/>
    <w:rsid w:val="00DE6D27"/>
    <w:rsid w:val="00DF20ED"/>
    <w:rsid w:val="00DF217D"/>
    <w:rsid w:val="00DF26A7"/>
    <w:rsid w:val="00DF3AD5"/>
    <w:rsid w:val="00E14DE9"/>
    <w:rsid w:val="00E164B3"/>
    <w:rsid w:val="00E16910"/>
    <w:rsid w:val="00E1746B"/>
    <w:rsid w:val="00E27938"/>
    <w:rsid w:val="00E343FF"/>
    <w:rsid w:val="00E65E54"/>
    <w:rsid w:val="00E77F26"/>
    <w:rsid w:val="00E80155"/>
    <w:rsid w:val="00E848C0"/>
    <w:rsid w:val="00E91B96"/>
    <w:rsid w:val="00E941A1"/>
    <w:rsid w:val="00E95CE3"/>
    <w:rsid w:val="00EA2825"/>
    <w:rsid w:val="00EB5088"/>
    <w:rsid w:val="00ED1644"/>
    <w:rsid w:val="00EF44A0"/>
    <w:rsid w:val="00EF4FED"/>
    <w:rsid w:val="00F00FDA"/>
    <w:rsid w:val="00F040D5"/>
    <w:rsid w:val="00F050BD"/>
    <w:rsid w:val="00F05657"/>
    <w:rsid w:val="00F12331"/>
    <w:rsid w:val="00F214A5"/>
    <w:rsid w:val="00F25578"/>
    <w:rsid w:val="00F258E5"/>
    <w:rsid w:val="00F26F33"/>
    <w:rsid w:val="00F300BC"/>
    <w:rsid w:val="00F3334E"/>
    <w:rsid w:val="00F36728"/>
    <w:rsid w:val="00F50EC4"/>
    <w:rsid w:val="00F517F5"/>
    <w:rsid w:val="00F57A6D"/>
    <w:rsid w:val="00F638CC"/>
    <w:rsid w:val="00F64CC1"/>
    <w:rsid w:val="00F7266B"/>
    <w:rsid w:val="00F77DD9"/>
    <w:rsid w:val="00F8247A"/>
    <w:rsid w:val="00F9629A"/>
    <w:rsid w:val="00FA5883"/>
    <w:rsid w:val="00FA602F"/>
    <w:rsid w:val="00FA6055"/>
    <w:rsid w:val="00FB322F"/>
    <w:rsid w:val="00FB442F"/>
    <w:rsid w:val="00FB69B7"/>
    <w:rsid w:val="00FC1929"/>
    <w:rsid w:val="00FC5B46"/>
    <w:rsid w:val="00FD426D"/>
    <w:rsid w:val="00FE5B1F"/>
    <w:rsid w:val="00FF00BD"/>
    <w:rsid w:val="00FF1ED4"/>
    <w:rsid w:val="00FF5C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uiPriority="35"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lsdException w:name="No Spacing" w:semiHidden="0" w:uiPriority="1"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1"/>
    <w:qFormat/>
    <w:rsid w:val="00C27B58"/>
    <w:pPr>
      <w:jc w:val="both"/>
    </w:pPr>
    <w:rPr>
      <w:rFonts w:ascii="Arial" w:hAnsi="Arial"/>
      <w:sz w:val="22"/>
      <w:szCs w:val="22"/>
    </w:rPr>
  </w:style>
  <w:style w:type="paragraph" w:customStyle="1" w:styleId="TableText0">
    <w:name w:val="Table Text"/>
    <w:basedOn w:val="Normal"/>
    <w:link w:val="TableTextChar"/>
    <w:qFormat/>
    <w:rsid w:val="00E77F26"/>
    <w:pPr>
      <w:spacing w:line="360" w:lineRule="auto"/>
    </w:pPr>
    <w:rPr>
      <w:rFonts w:ascii="Arial" w:eastAsia="SimSun" w:hAnsi="Arial"/>
      <w:sz w:val="20"/>
      <w:szCs w:val="20"/>
      <w:lang w:eastAsia="zh-CN"/>
    </w:rPr>
  </w:style>
  <w:style w:type="character" w:customStyle="1" w:styleId="TableTextChar">
    <w:name w:val="Table Text Char"/>
    <w:link w:val="TableText0"/>
    <w:rsid w:val="00E77F26"/>
    <w:rPr>
      <w:rFonts w:ascii="Arial" w:eastAsia="SimSun" w:hAnsi="Arial"/>
      <w:lang w:eastAsia="zh-CN"/>
    </w:rPr>
  </w:style>
  <w:style w:type="character" w:customStyle="1" w:styleId="ListParagraphChar">
    <w:name w:val="List Paragraph Char"/>
    <w:link w:val="ListParagraph"/>
    <w:uiPriority w:val="72"/>
    <w:rsid w:val="004E1F8C"/>
    <w:rPr>
      <w:sz w:val="24"/>
      <w:szCs w:val="24"/>
    </w:rPr>
  </w:style>
  <w:style w:type="paragraph" w:styleId="NormalWeb">
    <w:name w:val="Normal (Web)"/>
    <w:basedOn w:val="Normal"/>
    <w:uiPriority w:val="99"/>
    <w:unhideWhenUsed/>
    <w:rsid w:val="002F6917"/>
    <w:pPr>
      <w:spacing w:before="75" w:after="75"/>
      <w:ind w:left="75" w:right="75"/>
    </w:pPr>
  </w:style>
  <w:style w:type="paragraph" w:customStyle="1" w:styleId="Table">
    <w:name w:val="Table"/>
    <w:basedOn w:val="Normal"/>
    <w:link w:val="TableChar"/>
    <w:qFormat/>
    <w:rsid w:val="00356CBA"/>
    <w:pPr>
      <w:spacing w:line="276" w:lineRule="auto"/>
    </w:pPr>
    <w:rPr>
      <w:rFonts w:ascii="Arial" w:hAnsi="Arial"/>
      <w:sz w:val="18"/>
      <w:szCs w:val="22"/>
      <w:lang w:eastAsia="en-US" w:bidi="en-US"/>
    </w:rPr>
  </w:style>
  <w:style w:type="character" w:customStyle="1" w:styleId="TableChar">
    <w:name w:val="Table Char"/>
    <w:link w:val="Table"/>
    <w:locked/>
    <w:rsid w:val="00356CBA"/>
    <w:rPr>
      <w:rFonts w:ascii="Arial" w:hAnsi="Arial"/>
      <w:sz w:val="18"/>
      <w:szCs w:val="22"/>
      <w:lang w:eastAsia="en-US" w:bidi="en-US"/>
    </w:rPr>
  </w:style>
  <w:style w:type="paragraph" w:customStyle="1" w:styleId="PBACHeading1">
    <w:name w:val="PBAC Heading 1"/>
    <w:qFormat/>
    <w:rsid w:val="0028314F"/>
    <w:pPr>
      <w:ind w:left="720" w:hanging="720"/>
    </w:pPr>
    <w:rPr>
      <w:rFonts w:ascii="Arial" w:hAnsi="Arial" w:cs="Arial"/>
      <w:b/>
      <w:snapToGrid w:val="0"/>
      <w:sz w:val="22"/>
      <w:szCs w:val="22"/>
      <w:lang w:eastAsia="en-US"/>
    </w:rPr>
  </w:style>
  <w:style w:type="paragraph" w:styleId="Caption">
    <w:name w:val="caption"/>
    <w:basedOn w:val="Normal"/>
    <w:next w:val="Normal"/>
    <w:uiPriority w:val="35"/>
    <w:unhideWhenUsed/>
    <w:qFormat/>
    <w:rsid w:val="00DA17C5"/>
    <w:pPr>
      <w:keepNext/>
      <w:spacing w:after="200"/>
    </w:pPr>
    <w:rPr>
      <w:rFonts w:eastAsia="Calibri"/>
      <w:b/>
      <w:bCs/>
      <w:sz w:val="22"/>
      <w:szCs w:val="22"/>
      <w:lang w:eastAsia="en-US"/>
    </w:rPr>
  </w:style>
  <w:style w:type="paragraph" w:customStyle="1" w:styleId="TableCentre">
    <w:name w:val="Table Centre"/>
    <w:basedOn w:val="Table"/>
    <w:qFormat/>
    <w:rsid w:val="009E1941"/>
    <w:pPr>
      <w:spacing w:line="240" w:lineRule="auto"/>
      <w:jc w:val="center"/>
    </w:pPr>
    <w:rPr>
      <w:rFonts w:ascii="Candara" w:eastAsiaTheme="majorEastAsia" w:hAnsi="Candara" w:cstheme="majorBidi"/>
      <w:sz w:val="20"/>
    </w:rPr>
  </w:style>
  <w:style w:type="paragraph" w:customStyle="1" w:styleId="TableRight">
    <w:name w:val="Table Right"/>
    <w:basedOn w:val="Table"/>
    <w:next w:val="Table"/>
    <w:qFormat/>
    <w:rsid w:val="009E1941"/>
    <w:pPr>
      <w:spacing w:line="240" w:lineRule="auto"/>
      <w:jc w:val="right"/>
    </w:pPr>
    <w:rPr>
      <w:rFonts w:ascii="Candara" w:eastAsiaTheme="majorEastAsia" w:hAnsi="Candara" w:cstheme="majorBidi"/>
      <w:sz w:val="20"/>
    </w:rPr>
  </w:style>
  <w:style w:type="paragraph" w:customStyle="1" w:styleId="TableFooter">
    <w:name w:val="Table Footer"/>
    <w:basedOn w:val="Normal"/>
    <w:qFormat/>
    <w:rsid w:val="009E1941"/>
    <w:pPr>
      <w:widowControl w:val="0"/>
      <w:jc w:val="both"/>
    </w:pPr>
    <w:rPr>
      <w:rFonts w:ascii="Arial Narrow" w:hAnsi="Arial Narrow" w:cs="Arial"/>
      <w:snapToGrid w:val="0"/>
      <w:sz w:val="18"/>
      <w:szCs w:val="20"/>
      <w:lang w:eastAsia="en-US"/>
    </w:rPr>
  </w:style>
  <w:style w:type="character" w:styleId="Hyperlink">
    <w:name w:val="Hyperlink"/>
    <w:basedOn w:val="DefaultParagraphFont"/>
    <w:rsid w:val="00B75F54"/>
    <w:rPr>
      <w:color w:val="0000FF" w:themeColor="hyperlink"/>
      <w:u w:val="single"/>
    </w:rPr>
  </w:style>
  <w:style w:type="paragraph" w:styleId="Revision">
    <w:name w:val="Revision"/>
    <w:hidden/>
    <w:uiPriority w:val="71"/>
    <w:rsid w:val="00FF5CBA"/>
    <w:rPr>
      <w:sz w:val="24"/>
      <w:szCs w:val="24"/>
    </w:rPr>
  </w:style>
  <w:style w:type="character" w:customStyle="1" w:styleId="apple-converted-space">
    <w:name w:val="apple-converted-space"/>
    <w:basedOn w:val="DefaultParagraphFont"/>
    <w:rsid w:val="005D72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uiPriority="35"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lsdException w:name="No Spacing" w:semiHidden="0" w:uiPriority="1"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1"/>
    <w:qFormat/>
    <w:rsid w:val="00C27B58"/>
    <w:pPr>
      <w:jc w:val="both"/>
    </w:pPr>
    <w:rPr>
      <w:rFonts w:ascii="Arial" w:hAnsi="Arial"/>
      <w:sz w:val="22"/>
      <w:szCs w:val="22"/>
    </w:rPr>
  </w:style>
  <w:style w:type="paragraph" w:customStyle="1" w:styleId="TableText0">
    <w:name w:val="Table Text"/>
    <w:basedOn w:val="Normal"/>
    <w:link w:val="TableTextChar"/>
    <w:qFormat/>
    <w:rsid w:val="00E77F26"/>
    <w:pPr>
      <w:spacing w:line="360" w:lineRule="auto"/>
    </w:pPr>
    <w:rPr>
      <w:rFonts w:ascii="Arial" w:eastAsia="SimSun" w:hAnsi="Arial"/>
      <w:sz w:val="20"/>
      <w:szCs w:val="20"/>
      <w:lang w:eastAsia="zh-CN"/>
    </w:rPr>
  </w:style>
  <w:style w:type="character" w:customStyle="1" w:styleId="TableTextChar">
    <w:name w:val="Table Text Char"/>
    <w:link w:val="TableText0"/>
    <w:rsid w:val="00E77F26"/>
    <w:rPr>
      <w:rFonts w:ascii="Arial" w:eastAsia="SimSun" w:hAnsi="Arial"/>
      <w:lang w:eastAsia="zh-CN"/>
    </w:rPr>
  </w:style>
  <w:style w:type="character" w:customStyle="1" w:styleId="ListParagraphChar">
    <w:name w:val="List Paragraph Char"/>
    <w:link w:val="ListParagraph"/>
    <w:uiPriority w:val="72"/>
    <w:rsid w:val="004E1F8C"/>
    <w:rPr>
      <w:sz w:val="24"/>
      <w:szCs w:val="24"/>
    </w:rPr>
  </w:style>
  <w:style w:type="paragraph" w:styleId="NormalWeb">
    <w:name w:val="Normal (Web)"/>
    <w:basedOn w:val="Normal"/>
    <w:uiPriority w:val="99"/>
    <w:unhideWhenUsed/>
    <w:rsid w:val="002F6917"/>
    <w:pPr>
      <w:spacing w:before="75" w:after="75"/>
      <w:ind w:left="75" w:right="75"/>
    </w:pPr>
  </w:style>
  <w:style w:type="paragraph" w:customStyle="1" w:styleId="Table">
    <w:name w:val="Table"/>
    <w:basedOn w:val="Normal"/>
    <w:link w:val="TableChar"/>
    <w:qFormat/>
    <w:rsid w:val="00356CBA"/>
    <w:pPr>
      <w:spacing w:line="276" w:lineRule="auto"/>
    </w:pPr>
    <w:rPr>
      <w:rFonts w:ascii="Arial" w:hAnsi="Arial"/>
      <w:sz w:val="18"/>
      <w:szCs w:val="22"/>
      <w:lang w:eastAsia="en-US" w:bidi="en-US"/>
    </w:rPr>
  </w:style>
  <w:style w:type="character" w:customStyle="1" w:styleId="TableChar">
    <w:name w:val="Table Char"/>
    <w:link w:val="Table"/>
    <w:locked/>
    <w:rsid w:val="00356CBA"/>
    <w:rPr>
      <w:rFonts w:ascii="Arial" w:hAnsi="Arial"/>
      <w:sz w:val="18"/>
      <w:szCs w:val="22"/>
      <w:lang w:eastAsia="en-US" w:bidi="en-US"/>
    </w:rPr>
  </w:style>
  <w:style w:type="paragraph" w:customStyle="1" w:styleId="PBACHeading1">
    <w:name w:val="PBAC Heading 1"/>
    <w:qFormat/>
    <w:rsid w:val="0028314F"/>
    <w:pPr>
      <w:ind w:left="720" w:hanging="720"/>
    </w:pPr>
    <w:rPr>
      <w:rFonts w:ascii="Arial" w:hAnsi="Arial" w:cs="Arial"/>
      <w:b/>
      <w:snapToGrid w:val="0"/>
      <w:sz w:val="22"/>
      <w:szCs w:val="22"/>
      <w:lang w:eastAsia="en-US"/>
    </w:rPr>
  </w:style>
  <w:style w:type="paragraph" w:styleId="Caption">
    <w:name w:val="caption"/>
    <w:basedOn w:val="Normal"/>
    <w:next w:val="Normal"/>
    <w:uiPriority w:val="35"/>
    <w:unhideWhenUsed/>
    <w:qFormat/>
    <w:rsid w:val="00DA17C5"/>
    <w:pPr>
      <w:keepNext/>
      <w:spacing w:after="200"/>
    </w:pPr>
    <w:rPr>
      <w:rFonts w:eastAsia="Calibri"/>
      <w:b/>
      <w:bCs/>
      <w:sz w:val="22"/>
      <w:szCs w:val="22"/>
      <w:lang w:eastAsia="en-US"/>
    </w:rPr>
  </w:style>
  <w:style w:type="paragraph" w:customStyle="1" w:styleId="TableCentre">
    <w:name w:val="Table Centre"/>
    <w:basedOn w:val="Table"/>
    <w:qFormat/>
    <w:rsid w:val="009E1941"/>
    <w:pPr>
      <w:spacing w:line="240" w:lineRule="auto"/>
      <w:jc w:val="center"/>
    </w:pPr>
    <w:rPr>
      <w:rFonts w:ascii="Candara" w:eastAsiaTheme="majorEastAsia" w:hAnsi="Candara" w:cstheme="majorBidi"/>
      <w:sz w:val="20"/>
    </w:rPr>
  </w:style>
  <w:style w:type="paragraph" w:customStyle="1" w:styleId="TableRight">
    <w:name w:val="Table Right"/>
    <w:basedOn w:val="Table"/>
    <w:next w:val="Table"/>
    <w:qFormat/>
    <w:rsid w:val="009E1941"/>
    <w:pPr>
      <w:spacing w:line="240" w:lineRule="auto"/>
      <w:jc w:val="right"/>
    </w:pPr>
    <w:rPr>
      <w:rFonts w:ascii="Candara" w:eastAsiaTheme="majorEastAsia" w:hAnsi="Candara" w:cstheme="majorBidi"/>
      <w:sz w:val="20"/>
    </w:rPr>
  </w:style>
  <w:style w:type="paragraph" w:customStyle="1" w:styleId="TableFooter">
    <w:name w:val="Table Footer"/>
    <w:basedOn w:val="Normal"/>
    <w:qFormat/>
    <w:rsid w:val="009E1941"/>
    <w:pPr>
      <w:widowControl w:val="0"/>
      <w:jc w:val="both"/>
    </w:pPr>
    <w:rPr>
      <w:rFonts w:ascii="Arial Narrow" w:hAnsi="Arial Narrow" w:cs="Arial"/>
      <w:snapToGrid w:val="0"/>
      <w:sz w:val="18"/>
      <w:szCs w:val="20"/>
      <w:lang w:eastAsia="en-US"/>
    </w:rPr>
  </w:style>
  <w:style w:type="character" w:styleId="Hyperlink">
    <w:name w:val="Hyperlink"/>
    <w:basedOn w:val="DefaultParagraphFont"/>
    <w:rsid w:val="00B75F54"/>
    <w:rPr>
      <w:color w:val="0000FF" w:themeColor="hyperlink"/>
      <w:u w:val="single"/>
    </w:rPr>
  </w:style>
  <w:style w:type="paragraph" w:styleId="Revision">
    <w:name w:val="Revision"/>
    <w:hidden/>
    <w:uiPriority w:val="71"/>
    <w:rsid w:val="00FF5CBA"/>
    <w:rPr>
      <w:sz w:val="24"/>
      <w:szCs w:val="24"/>
    </w:rPr>
  </w:style>
  <w:style w:type="character" w:customStyle="1" w:styleId="apple-converted-space">
    <w:name w:val="apple-converted-space"/>
    <w:basedOn w:val="DefaultParagraphFont"/>
    <w:rsid w:val="005D72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517547688">
      <w:bodyDiv w:val="1"/>
      <w:marLeft w:val="0"/>
      <w:marRight w:val="0"/>
      <w:marTop w:val="0"/>
      <w:marBottom w:val="0"/>
      <w:divBdr>
        <w:top w:val="none" w:sz="0" w:space="0" w:color="auto"/>
        <w:left w:val="none" w:sz="0" w:space="0" w:color="auto"/>
        <w:bottom w:val="none" w:sz="0" w:space="0" w:color="auto"/>
        <w:right w:val="none" w:sz="0" w:space="0" w:color="auto"/>
      </w:divBdr>
      <w:divsChild>
        <w:div w:id="137891148">
          <w:marLeft w:val="0"/>
          <w:marRight w:val="0"/>
          <w:marTop w:val="0"/>
          <w:marBottom w:val="0"/>
          <w:divBdr>
            <w:top w:val="none" w:sz="0" w:space="0" w:color="auto"/>
            <w:left w:val="none" w:sz="0" w:space="0" w:color="auto"/>
            <w:bottom w:val="none" w:sz="0" w:space="0" w:color="auto"/>
            <w:right w:val="none" w:sz="0" w:space="0" w:color="auto"/>
          </w:divBdr>
        </w:div>
      </w:divsChild>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584949019">
      <w:bodyDiv w:val="1"/>
      <w:marLeft w:val="0"/>
      <w:marRight w:val="0"/>
      <w:marTop w:val="0"/>
      <w:marBottom w:val="0"/>
      <w:divBdr>
        <w:top w:val="none" w:sz="0" w:space="0" w:color="auto"/>
        <w:left w:val="none" w:sz="0" w:space="0" w:color="auto"/>
        <w:bottom w:val="none" w:sz="0" w:space="0" w:color="auto"/>
        <w:right w:val="none" w:sz="0" w:space="0" w:color="auto"/>
      </w:divBdr>
    </w:div>
    <w:div w:id="1617983234">
      <w:bodyDiv w:val="1"/>
      <w:marLeft w:val="0"/>
      <w:marRight w:val="0"/>
      <w:marTop w:val="0"/>
      <w:marBottom w:val="0"/>
      <w:divBdr>
        <w:top w:val="none" w:sz="0" w:space="0" w:color="auto"/>
        <w:left w:val="none" w:sz="0" w:space="0" w:color="auto"/>
        <w:bottom w:val="none" w:sz="0" w:space="0" w:color="auto"/>
        <w:right w:val="none" w:sz="0" w:space="0" w:color="auto"/>
      </w:divBdr>
      <w:divsChild>
        <w:div w:id="753477968">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66598494">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2014144987">
      <w:bodyDiv w:val="1"/>
      <w:marLeft w:val="0"/>
      <w:marRight w:val="0"/>
      <w:marTop w:val="0"/>
      <w:marBottom w:val="0"/>
      <w:divBdr>
        <w:top w:val="none" w:sz="0" w:space="0" w:color="auto"/>
        <w:left w:val="none" w:sz="0" w:space="0" w:color="auto"/>
        <w:bottom w:val="none" w:sz="0" w:space="0" w:color="auto"/>
        <w:right w:val="none" w:sz="0" w:space="0" w:color="auto"/>
      </w:divBdr>
      <w:divsChild>
        <w:div w:id="11856362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42E197-5D14-4B2A-AA65-40CC8722B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2586</Words>
  <Characters>14904</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2015-10-21T23:34:00Z</dcterms:created>
  <dcterms:modified xsi:type="dcterms:W3CDTF">2015-10-22T21:53:00Z</dcterms:modified>
</cp:coreProperties>
</file>