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DD7" w:rsidRPr="005C2DD7" w:rsidRDefault="00A546AA" w:rsidP="005C2DD7">
      <w:pPr>
        <w:pStyle w:val="Title"/>
      </w:pPr>
      <w:bookmarkStart w:id="0" w:name="_Toc392858187"/>
      <w:bookmarkStart w:id="1" w:name="_Toc409509648"/>
      <w:r w:rsidRPr="005C2DD7">
        <w:t>6</w:t>
      </w:r>
      <w:r w:rsidR="00CF758C" w:rsidRPr="005C2DD7">
        <w:t>.</w:t>
      </w:r>
      <w:r w:rsidR="00991FDB" w:rsidRPr="005C2DD7">
        <w:t>0</w:t>
      </w:r>
      <w:r w:rsidRPr="005C2DD7">
        <w:t>7</w:t>
      </w:r>
      <w:r w:rsidR="00CF758C" w:rsidRPr="005C2DD7">
        <w:tab/>
        <w:t xml:space="preserve">RITUXIMAB </w:t>
      </w:r>
    </w:p>
    <w:p w:rsidR="005C2DD7" w:rsidRDefault="00CF758C" w:rsidP="005C2DD7">
      <w:pPr>
        <w:pStyle w:val="Heading1"/>
        <w:ind w:firstLine="0"/>
        <w:rPr>
          <w:rFonts w:ascii="Arial" w:hAnsi="Arial"/>
          <w:caps w:val="0"/>
          <w:sz w:val="28"/>
        </w:rPr>
      </w:pPr>
      <w:r w:rsidRPr="007815A6">
        <w:rPr>
          <w:rFonts w:ascii="Arial" w:hAnsi="Arial"/>
          <w:caps w:val="0"/>
          <w:sz w:val="28"/>
        </w:rPr>
        <w:t>inj</w:t>
      </w:r>
      <w:r w:rsidR="005C2DD7">
        <w:rPr>
          <w:rFonts w:ascii="Arial" w:hAnsi="Arial"/>
          <w:caps w:val="0"/>
          <w:sz w:val="28"/>
        </w:rPr>
        <w:t>ection for infusion, 500mg/50mL;</w:t>
      </w:r>
      <w:r w:rsidRPr="007815A6">
        <w:rPr>
          <w:rFonts w:ascii="Arial" w:hAnsi="Arial"/>
          <w:caps w:val="0"/>
          <w:sz w:val="28"/>
        </w:rPr>
        <w:t xml:space="preserve"> </w:t>
      </w:r>
    </w:p>
    <w:p w:rsidR="00CF758C" w:rsidRPr="00207D00" w:rsidRDefault="00CF758C" w:rsidP="005C2DD7">
      <w:pPr>
        <w:pStyle w:val="Heading1"/>
        <w:ind w:firstLine="0"/>
        <w:rPr>
          <w:sz w:val="28"/>
        </w:rPr>
      </w:pPr>
      <w:r w:rsidRPr="007815A6">
        <w:rPr>
          <w:rFonts w:ascii="Arial" w:hAnsi="Arial"/>
          <w:caps w:val="0"/>
          <w:sz w:val="28"/>
        </w:rPr>
        <w:t>Mabthera</w:t>
      </w:r>
      <w:r w:rsidRPr="007815A6">
        <w:rPr>
          <w:rFonts w:ascii="Arial" w:hAnsi="Arial"/>
          <w:caps w:val="0"/>
          <w:sz w:val="28"/>
          <w:vertAlign w:val="superscript"/>
        </w:rPr>
        <w:t>®</w:t>
      </w:r>
      <w:r w:rsidRPr="007815A6">
        <w:rPr>
          <w:rFonts w:ascii="Arial" w:hAnsi="Arial"/>
          <w:caps w:val="0"/>
          <w:sz w:val="28"/>
        </w:rPr>
        <w:t>, Roche Products Pty Ltd</w:t>
      </w:r>
      <w:r w:rsidRPr="00E105EF">
        <w:rPr>
          <w:caps w:val="0"/>
          <w:sz w:val="28"/>
        </w:rPr>
        <w:t>.</w:t>
      </w:r>
      <w:bookmarkEnd w:id="0"/>
      <w:bookmarkEnd w:id="1"/>
    </w:p>
    <w:p w:rsidR="00CF758C" w:rsidRDefault="00CF758C" w:rsidP="00CF758C"/>
    <w:p w:rsidR="00463047" w:rsidRPr="00D21BF7" w:rsidRDefault="00463047" w:rsidP="00463047">
      <w:pPr>
        <w:rPr>
          <w:color w:val="FF0000"/>
        </w:rPr>
      </w:pPr>
      <w:r w:rsidRPr="00D21BF7">
        <w:rPr>
          <w:color w:val="FF0000"/>
        </w:rPr>
        <w:t>The March 2015 rituximab Public Summary Document is reproduced below with the addition of an ‘ADDENDUM’ at the end of the document to convey the July 2015 PBAC consideration.</w:t>
      </w:r>
    </w:p>
    <w:p w:rsidR="00175232" w:rsidRDefault="00175232" w:rsidP="00CF758C"/>
    <w:p w:rsidR="00CF758C" w:rsidRPr="00407F2D" w:rsidRDefault="00CF758C" w:rsidP="00CF758C">
      <w:pPr>
        <w:pStyle w:val="PBACHeading1"/>
      </w:pPr>
      <w:bookmarkStart w:id="2" w:name="_Toc392858189"/>
      <w:r w:rsidRPr="00407F2D">
        <w:t>Purpose of Application</w:t>
      </w:r>
      <w:bookmarkEnd w:id="2"/>
    </w:p>
    <w:p w:rsidR="00CF758C" w:rsidRDefault="00CF758C" w:rsidP="00CF758C">
      <w:pPr>
        <w:widowControl/>
      </w:pPr>
      <w:bookmarkStart w:id="3" w:name="_GoBack"/>
      <w:bookmarkEnd w:id="3"/>
    </w:p>
    <w:p w:rsidR="00CF758C" w:rsidRDefault="00997ECB" w:rsidP="00DD3A69">
      <w:pPr>
        <w:pStyle w:val="ListParagraph"/>
        <w:widowControl/>
        <w:numPr>
          <w:ilvl w:val="1"/>
          <w:numId w:val="2"/>
        </w:numPr>
      </w:pPr>
      <w:r>
        <w:t xml:space="preserve">The submission sought </w:t>
      </w:r>
      <w:r w:rsidR="00CF758C">
        <w:t>Section 100 Authority Required listing for rituximab for remission induction in patients with severe active granulomatosis with polyangiitis (GPA) and microscopic polyangiitis (MPA).</w:t>
      </w:r>
    </w:p>
    <w:p w:rsidR="00CF758C" w:rsidRDefault="00CF758C" w:rsidP="00CF758C"/>
    <w:p w:rsidR="00CF758C" w:rsidRPr="00882085" w:rsidRDefault="00CF758C" w:rsidP="00CF758C"/>
    <w:p w:rsidR="00CF758C" w:rsidRPr="00407F2D" w:rsidRDefault="00CF758C" w:rsidP="003B2B4F">
      <w:pPr>
        <w:pStyle w:val="PBACHeading1"/>
        <w:keepNext/>
        <w:keepLines/>
      </w:pPr>
      <w:bookmarkStart w:id="4" w:name="_Toc392858190"/>
      <w:r w:rsidRPr="00407F2D">
        <w:t>Requested listing</w:t>
      </w:r>
      <w:bookmarkEnd w:id="4"/>
    </w:p>
    <w:p w:rsidR="00CF758C" w:rsidRDefault="00CF758C" w:rsidP="003B2B4F">
      <w:pPr>
        <w:keepNext/>
        <w:keepLines/>
        <w:widowControl/>
        <w:rPr>
          <w:szCs w:val="22"/>
        </w:rPr>
      </w:pPr>
    </w:p>
    <w:p w:rsidR="00FD7E6A" w:rsidRPr="00997ECB" w:rsidRDefault="00E52649" w:rsidP="00DD3A69">
      <w:pPr>
        <w:pStyle w:val="ListParagraph"/>
        <w:widowControl/>
        <w:numPr>
          <w:ilvl w:val="1"/>
          <w:numId w:val="2"/>
        </w:numPr>
        <w:rPr>
          <w:szCs w:val="22"/>
        </w:rPr>
      </w:pPr>
      <w:r>
        <w:rPr>
          <w:rFonts w:eastAsia="SimSun"/>
          <w:iCs/>
          <w:color w:val="000000"/>
          <w:szCs w:val="22"/>
        </w:rPr>
        <w:t>The requested listing is outline</w:t>
      </w:r>
      <w:r w:rsidR="000F54A2">
        <w:rPr>
          <w:rFonts w:eastAsia="SimSun"/>
          <w:iCs/>
          <w:color w:val="000000"/>
          <w:szCs w:val="22"/>
        </w:rPr>
        <w:t>d</w:t>
      </w:r>
      <w:r>
        <w:rPr>
          <w:rFonts w:eastAsia="SimSun"/>
          <w:iCs/>
          <w:color w:val="000000"/>
          <w:szCs w:val="22"/>
        </w:rPr>
        <w:t xml:space="preserve"> below. </w:t>
      </w:r>
      <w:r w:rsidR="00FD7E6A" w:rsidRPr="00997ECB">
        <w:rPr>
          <w:rFonts w:eastAsia="SimSun"/>
          <w:iCs/>
          <w:color w:val="000000"/>
          <w:szCs w:val="22"/>
        </w:rPr>
        <w:t>Suggestions and additions proposed by the Secretariat are added in italics and suggested deletions are crossed out with strikethrough.</w:t>
      </w:r>
    </w:p>
    <w:p w:rsidR="00FD7E6A" w:rsidRDefault="00FD7E6A" w:rsidP="003B2B4F">
      <w:pPr>
        <w:keepNext/>
        <w:keepLines/>
        <w:widowControl/>
        <w:rPr>
          <w:szCs w:val="22"/>
        </w:rPr>
      </w:pPr>
    </w:p>
    <w:tbl>
      <w:tblPr>
        <w:tblW w:w="8505" w:type="dxa"/>
        <w:tblInd w:w="817" w:type="dxa"/>
        <w:tblLayout w:type="fixed"/>
        <w:tblLook w:val="0000" w:firstRow="0" w:lastRow="0" w:firstColumn="0" w:lastColumn="0" w:noHBand="0" w:noVBand="0"/>
      </w:tblPr>
      <w:tblGrid>
        <w:gridCol w:w="2126"/>
        <w:gridCol w:w="426"/>
        <w:gridCol w:w="567"/>
        <w:gridCol w:w="850"/>
        <w:gridCol w:w="1701"/>
        <w:gridCol w:w="1559"/>
        <w:gridCol w:w="1276"/>
      </w:tblGrid>
      <w:tr w:rsidR="00FD7E6A" w:rsidRPr="00AC2660" w:rsidTr="00FD7E6A">
        <w:trPr>
          <w:cantSplit/>
          <w:trHeight w:val="471"/>
        </w:trPr>
        <w:tc>
          <w:tcPr>
            <w:tcW w:w="2552" w:type="dxa"/>
            <w:gridSpan w:val="2"/>
            <w:tcBorders>
              <w:bottom w:val="single" w:sz="4" w:space="0" w:color="auto"/>
            </w:tcBorders>
          </w:tcPr>
          <w:p w:rsidR="00FD7E6A" w:rsidRPr="00AC2660" w:rsidRDefault="00FD7E6A" w:rsidP="00FD7E6A">
            <w:pPr>
              <w:keepNext/>
              <w:widowControl/>
              <w:ind w:left="-108"/>
              <w:rPr>
                <w:rFonts w:ascii="Arial Narrow" w:eastAsia="SimSun" w:hAnsi="Arial Narrow"/>
                <w:snapToGrid/>
                <w:sz w:val="20"/>
                <w:lang w:eastAsia="en-AU"/>
              </w:rPr>
            </w:pPr>
            <w:r w:rsidRPr="00AC2660">
              <w:rPr>
                <w:rFonts w:ascii="Arial Narrow" w:eastAsia="SimSun" w:hAnsi="Arial Narrow"/>
                <w:snapToGrid/>
                <w:sz w:val="20"/>
                <w:lang w:eastAsia="en-AU"/>
              </w:rPr>
              <w:t>Name, Restriction,</w:t>
            </w:r>
          </w:p>
          <w:p w:rsidR="00FD7E6A" w:rsidRPr="00AC2660" w:rsidRDefault="00FD7E6A" w:rsidP="00FD7E6A">
            <w:pPr>
              <w:keepNext/>
              <w:widowControl/>
              <w:ind w:left="-108"/>
              <w:rPr>
                <w:rFonts w:ascii="Arial Narrow" w:eastAsia="SimSun" w:hAnsi="Arial Narrow"/>
                <w:snapToGrid/>
                <w:sz w:val="20"/>
                <w:lang w:eastAsia="en-AU"/>
              </w:rPr>
            </w:pPr>
            <w:r w:rsidRPr="00AC2660">
              <w:rPr>
                <w:rFonts w:ascii="Arial Narrow" w:eastAsia="SimSun" w:hAnsi="Arial Narrow"/>
                <w:snapToGrid/>
                <w:sz w:val="20"/>
                <w:lang w:eastAsia="en-AU"/>
              </w:rPr>
              <w:t>Manner of administration and form</w:t>
            </w:r>
          </w:p>
        </w:tc>
        <w:tc>
          <w:tcPr>
            <w:tcW w:w="567" w:type="dxa"/>
            <w:tcBorders>
              <w:bottom w:val="single" w:sz="4" w:space="0" w:color="auto"/>
            </w:tcBorders>
          </w:tcPr>
          <w:p w:rsidR="00FD7E6A" w:rsidRPr="00AC2660" w:rsidRDefault="00FD7E6A" w:rsidP="00FD7E6A">
            <w:pPr>
              <w:keepNext/>
              <w:widowControl/>
              <w:ind w:left="-108"/>
              <w:rPr>
                <w:rFonts w:ascii="Arial Narrow" w:eastAsia="SimSun" w:hAnsi="Arial Narrow"/>
                <w:snapToGrid/>
                <w:sz w:val="20"/>
                <w:lang w:eastAsia="en-AU"/>
              </w:rPr>
            </w:pPr>
            <w:r w:rsidRPr="00AC2660">
              <w:rPr>
                <w:rFonts w:ascii="Arial Narrow" w:eastAsia="SimSun" w:hAnsi="Arial Narrow"/>
                <w:snapToGrid/>
                <w:sz w:val="20"/>
                <w:lang w:eastAsia="en-AU"/>
              </w:rPr>
              <w:t>Max.</w:t>
            </w:r>
          </w:p>
          <w:p w:rsidR="00FD7E6A" w:rsidRPr="00AC2660" w:rsidRDefault="00FD7E6A" w:rsidP="00FD7E6A">
            <w:pPr>
              <w:keepNext/>
              <w:widowControl/>
              <w:ind w:left="-108"/>
              <w:rPr>
                <w:rFonts w:ascii="Arial Narrow" w:eastAsia="SimSun" w:hAnsi="Arial Narrow"/>
                <w:snapToGrid/>
                <w:sz w:val="20"/>
                <w:lang w:eastAsia="en-AU"/>
              </w:rPr>
            </w:pPr>
            <w:r w:rsidRPr="00AC2660">
              <w:rPr>
                <w:rFonts w:ascii="Arial Narrow" w:eastAsia="SimSun" w:hAnsi="Arial Narrow"/>
                <w:snapToGrid/>
                <w:sz w:val="20"/>
                <w:lang w:eastAsia="en-AU"/>
              </w:rPr>
              <w:t>Qty</w:t>
            </w:r>
          </w:p>
        </w:tc>
        <w:tc>
          <w:tcPr>
            <w:tcW w:w="850" w:type="dxa"/>
            <w:tcBorders>
              <w:bottom w:val="single" w:sz="4" w:space="0" w:color="auto"/>
            </w:tcBorders>
          </w:tcPr>
          <w:p w:rsidR="00FD7E6A" w:rsidRPr="00AC2660" w:rsidRDefault="00FD7E6A" w:rsidP="00FD7E6A">
            <w:pPr>
              <w:keepNext/>
              <w:widowControl/>
              <w:ind w:left="-108"/>
              <w:rPr>
                <w:rFonts w:ascii="Arial Narrow" w:eastAsia="SimSun" w:hAnsi="Arial Narrow"/>
                <w:snapToGrid/>
                <w:sz w:val="20"/>
                <w:lang w:eastAsia="en-AU"/>
              </w:rPr>
            </w:pPr>
            <w:r w:rsidRPr="00AC2660">
              <w:rPr>
                <w:rFonts w:ascii="Arial Narrow" w:eastAsia="SimSun" w:hAnsi="Arial Narrow"/>
                <w:snapToGrid/>
                <w:sz w:val="20"/>
                <w:lang w:eastAsia="en-AU"/>
              </w:rPr>
              <w:t>№.of</w:t>
            </w:r>
          </w:p>
          <w:p w:rsidR="00FD7E6A" w:rsidRPr="00AC2660" w:rsidRDefault="00FD7E6A" w:rsidP="00FD7E6A">
            <w:pPr>
              <w:keepNext/>
              <w:widowControl/>
              <w:ind w:left="-108"/>
              <w:rPr>
                <w:rFonts w:ascii="Arial Narrow" w:eastAsia="SimSun" w:hAnsi="Arial Narrow"/>
                <w:snapToGrid/>
                <w:sz w:val="20"/>
                <w:lang w:eastAsia="en-AU"/>
              </w:rPr>
            </w:pPr>
            <w:r w:rsidRPr="00AC2660">
              <w:rPr>
                <w:rFonts w:ascii="Arial Narrow" w:eastAsia="SimSun" w:hAnsi="Arial Narrow"/>
                <w:snapToGrid/>
                <w:sz w:val="20"/>
                <w:lang w:eastAsia="en-AU"/>
              </w:rPr>
              <w:t>Rpts</w:t>
            </w:r>
          </w:p>
        </w:tc>
        <w:tc>
          <w:tcPr>
            <w:tcW w:w="1701" w:type="dxa"/>
            <w:tcBorders>
              <w:bottom w:val="single" w:sz="4" w:space="0" w:color="auto"/>
            </w:tcBorders>
          </w:tcPr>
          <w:p w:rsidR="00FD7E6A" w:rsidRPr="00AC2660" w:rsidRDefault="00FD7E6A" w:rsidP="00FD7E6A">
            <w:pPr>
              <w:keepNext/>
              <w:widowControl/>
              <w:ind w:left="-108"/>
              <w:rPr>
                <w:rFonts w:ascii="Arial Narrow" w:eastAsia="SimSun" w:hAnsi="Arial Narrow"/>
                <w:snapToGrid/>
                <w:sz w:val="20"/>
                <w:lang w:eastAsia="en-AU"/>
              </w:rPr>
            </w:pPr>
            <w:r w:rsidRPr="00AC2660">
              <w:rPr>
                <w:rFonts w:ascii="Arial Narrow" w:eastAsia="SimSun" w:hAnsi="Arial Narrow"/>
                <w:snapToGrid/>
                <w:sz w:val="20"/>
                <w:lang w:eastAsia="en-AU"/>
              </w:rPr>
              <w:t>Dispensed Price for Max. Qty</w:t>
            </w:r>
          </w:p>
        </w:tc>
        <w:tc>
          <w:tcPr>
            <w:tcW w:w="2835" w:type="dxa"/>
            <w:gridSpan w:val="2"/>
            <w:tcBorders>
              <w:bottom w:val="single" w:sz="4" w:space="0" w:color="auto"/>
            </w:tcBorders>
          </w:tcPr>
          <w:p w:rsidR="00FD7E6A" w:rsidRPr="00AC2660" w:rsidRDefault="00FD7E6A" w:rsidP="00FD7E6A">
            <w:pPr>
              <w:keepNext/>
              <w:widowControl/>
              <w:rPr>
                <w:rFonts w:ascii="Arial Narrow" w:eastAsia="SimSun" w:hAnsi="Arial Narrow"/>
                <w:snapToGrid/>
                <w:sz w:val="20"/>
                <w:lang w:val="fr-FR" w:eastAsia="en-AU"/>
              </w:rPr>
            </w:pPr>
            <w:r w:rsidRPr="00AC2660">
              <w:rPr>
                <w:rFonts w:ascii="Arial Narrow" w:eastAsia="SimSun" w:hAnsi="Arial Narrow"/>
                <w:snapToGrid/>
                <w:sz w:val="20"/>
                <w:lang w:eastAsia="en-AU"/>
              </w:rPr>
              <w:t>Proprietary Name and Manufacturer</w:t>
            </w:r>
          </w:p>
        </w:tc>
      </w:tr>
      <w:tr w:rsidR="00FD7E6A" w:rsidRPr="00AC2660" w:rsidTr="00FD7E6A">
        <w:trPr>
          <w:cantSplit/>
          <w:trHeight w:val="577"/>
        </w:trPr>
        <w:tc>
          <w:tcPr>
            <w:tcW w:w="2552" w:type="dxa"/>
            <w:gridSpan w:val="2"/>
          </w:tcPr>
          <w:p w:rsidR="00FD7E6A" w:rsidRPr="00AC2660" w:rsidRDefault="00FD7E6A" w:rsidP="00FD7E6A">
            <w:pPr>
              <w:keepNext/>
              <w:widowControl/>
              <w:ind w:left="-108"/>
              <w:rPr>
                <w:rFonts w:ascii="Arial Narrow" w:eastAsia="SimSun" w:hAnsi="Arial Narrow"/>
                <w:snapToGrid/>
                <w:sz w:val="20"/>
                <w:lang w:eastAsia="en-AU"/>
              </w:rPr>
            </w:pPr>
            <w:r w:rsidRPr="00AC2660">
              <w:rPr>
                <w:rFonts w:ascii="Arial Narrow" w:eastAsia="SimSun" w:hAnsi="Arial Narrow"/>
                <w:smallCaps/>
                <w:snapToGrid/>
                <w:sz w:val="20"/>
                <w:lang w:eastAsia="en-AU"/>
              </w:rPr>
              <w:t>RITUXIMAB</w:t>
            </w:r>
          </w:p>
          <w:p w:rsidR="00FD7E6A" w:rsidRPr="00AC2660" w:rsidRDefault="00FD7E6A" w:rsidP="00FD7E6A">
            <w:pPr>
              <w:keepNext/>
              <w:widowControl/>
              <w:ind w:left="-108"/>
              <w:rPr>
                <w:rFonts w:ascii="Arial Narrow" w:eastAsia="SimSun" w:hAnsi="Arial Narrow"/>
                <w:snapToGrid/>
                <w:sz w:val="20"/>
                <w:lang w:eastAsia="en-AU"/>
              </w:rPr>
            </w:pPr>
            <w:r w:rsidRPr="00AC2660">
              <w:rPr>
                <w:rFonts w:ascii="Arial Narrow" w:eastAsia="SimSun" w:hAnsi="Arial Narrow"/>
                <w:snapToGrid/>
                <w:sz w:val="20"/>
                <w:lang w:eastAsia="en-AU"/>
              </w:rPr>
              <w:t>500 mg/50 mL injection, 1 x 50 mL vial</w:t>
            </w:r>
          </w:p>
        </w:tc>
        <w:tc>
          <w:tcPr>
            <w:tcW w:w="567" w:type="dxa"/>
          </w:tcPr>
          <w:p w:rsidR="00FD7E6A" w:rsidRPr="00AC2660" w:rsidRDefault="00FD7E6A" w:rsidP="00FD7E6A">
            <w:pPr>
              <w:keepNext/>
              <w:widowControl/>
              <w:ind w:left="-108"/>
              <w:rPr>
                <w:rFonts w:ascii="Arial Narrow" w:eastAsia="SimSun" w:hAnsi="Arial Narrow"/>
                <w:snapToGrid/>
                <w:sz w:val="20"/>
                <w:lang w:eastAsia="en-AU"/>
              </w:rPr>
            </w:pPr>
          </w:p>
          <w:p w:rsidR="00FD7E6A" w:rsidRPr="00AC2660" w:rsidRDefault="00FD7E6A" w:rsidP="00FD7E6A">
            <w:pPr>
              <w:keepNext/>
              <w:widowControl/>
              <w:ind w:left="-108"/>
              <w:rPr>
                <w:rFonts w:ascii="Arial Narrow" w:eastAsia="SimSun" w:hAnsi="Arial Narrow"/>
                <w:snapToGrid/>
                <w:sz w:val="20"/>
                <w:lang w:eastAsia="en-AU"/>
              </w:rPr>
            </w:pPr>
            <w:r w:rsidRPr="00AC2660">
              <w:rPr>
                <w:rFonts w:ascii="Arial Narrow" w:eastAsia="SimSun" w:hAnsi="Arial Narrow"/>
                <w:snapToGrid/>
                <w:sz w:val="20"/>
                <w:lang w:eastAsia="en-AU"/>
              </w:rPr>
              <w:t>2</w:t>
            </w:r>
          </w:p>
        </w:tc>
        <w:tc>
          <w:tcPr>
            <w:tcW w:w="850" w:type="dxa"/>
          </w:tcPr>
          <w:p w:rsidR="00FD7E6A" w:rsidRPr="00AC2660" w:rsidRDefault="00FD7E6A" w:rsidP="00FD7E6A">
            <w:pPr>
              <w:keepNext/>
              <w:widowControl/>
              <w:ind w:left="-108"/>
              <w:rPr>
                <w:rFonts w:ascii="Arial Narrow" w:eastAsia="SimSun" w:hAnsi="Arial Narrow"/>
                <w:snapToGrid/>
                <w:sz w:val="20"/>
                <w:lang w:eastAsia="en-AU"/>
              </w:rPr>
            </w:pPr>
          </w:p>
          <w:p w:rsidR="00FD7E6A" w:rsidRPr="00AC2660" w:rsidRDefault="00FD7E6A" w:rsidP="00FD7E6A">
            <w:pPr>
              <w:keepNext/>
              <w:widowControl/>
              <w:ind w:left="-108"/>
              <w:rPr>
                <w:rFonts w:ascii="Arial Narrow" w:eastAsia="SimSun" w:hAnsi="Arial Narrow"/>
                <w:snapToGrid/>
                <w:sz w:val="20"/>
                <w:lang w:eastAsia="en-AU"/>
              </w:rPr>
            </w:pPr>
            <w:r w:rsidRPr="00AC2660">
              <w:rPr>
                <w:rFonts w:ascii="Arial Narrow" w:eastAsia="SimSun" w:hAnsi="Arial Narrow"/>
                <w:snapToGrid/>
                <w:sz w:val="20"/>
                <w:lang w:eastAsia="en-AU"/>
              </w:rPr>
              <w:t>1</w:t>
            </w:r>
          </w:p>
        </w:tc>
        <w:tc>
          <w:tcPr>
            <w:tcW w:w="1701" w:type="dxa"/>
          </w:tcPr>
          <w:p w:rsidR="00FD7E6A" w:rsidRPr="00AC2660" w:rsidRDefault="00FD7E6A" w:rsidP="00FD7E6A">
            <w:pPr>
              <w:keepNext/>
              <w:widowControl/>
              <w:ind w:left="-108"/>
              <w:rPr>
                <w:rFonts w:ascii="Arial Narrow" w:eastAsia="SimSun" w:hAnsi="Arial Narrow"/>
                <w:snapToGrid/>
                <w:sz w:val="20"/>
                <w:lang w:eastAsia="en-AU"/>
              </w:rPr>
            </w:pPr>
          </w:p>
          <w:p w:rsidR="00FD7E6A" w:rsidRPr="00E45152" w:rsidRDefault="00E45152" w:rsidP="00FD7E6A">
            <w:pPr>
              <w:keepNext/>
              <w:widowControl/>
              <w:ind w:left="-108"/>
              <w:rPr>
                <w:rFonts w:ascii="Arial Narrow" w:eastAsia="SimSun" w:hAnsi="Arial Narrow"/>
                <w:snapToGrid/>
                <w:sz w:val="20"/>
                <w:lang w:eastAsia="zh-CN"/>
              </w:rPr>
            </w:pPr>
            <w:r>
              <w:rPr>
                <w:rFonts w:ascii="Arial Narrow" w:hAnsi="Arial Narrow"/>
                <w:sz w:val="20"/>
              </w:rPr>
              <w:t xml:space="preserve">Private </w:t>
            </w:r>
            <w:r w:rsidRPr="00415D8B">
              <w:rPr>
                <w:rFonts w:ascii="Arial Narrow" w:hAnsi="Arial Narrow"/>
                <w:sz w:val="20"/>
              </w:rPr>
              <w:t>($</w:t>
            </w:r>
            <w:r w:rsidRPr="00B32B40">
              <w:rPr>
                <w:rFonts w:ascii="Arial Narrow" w:hAnsi="Arial Narrow"/>
                <w:sz w:val="20"/>
              </w:rPr>
              <w:t>4,112.58</w:t>
            </w:r>
            <w:r w:rsidRPr="00415D8B">
              <w:rPr>
                <w:rFonts w:ascii="Arial Narrow" w:hAnsi="Arial Narrow"/>
                <w:sz w:val="20"/>
              </w:rPr>
              <w:t>)</w:t>
            </w:r>
            <w:r w:rsidRPr="00415D8B">
              <w:rPr>
                <w:rFonts w:ascii="Arial Narrow" w:hAnsi="Arial Narrow"/>
                <w:sz w:val="20"/>
              </w:rPr>
              <w:br/>
              <w:t>Public</w:t>
            </w:r>
            <w:r w:rsidR="00C52387">
              <w:rPr>
                <w:rFonts w:ascii="Arial Narrow" w:hAnsi="Arial Narrow"/>
                <w:sz w:val="20"/>
              </w:rPr>
              <w:t xml:space="preserve">   </w:t>
            </w:r>
            <w:r w:rsidRPr="00415D8B">
              <w:rPr>
                <w:rFonts w:ascii="Arial Narrow" w:hAnsi="Arial Narrow"/>
                <w:sz w:val="20"/>
              </w:rPr>
              <w:t>($</w:t>
            </w:r>
            <w:r w:rsidRPr="00B32B40">
              <w:rPr>
                <w:rFonts w:ascii="Arial Narrow" w:hAnsi="Arial Narrow"/>
                <w:sz w:val="20"/>
              </w:rPr>
              <w:t>4,065.82</w:t>
            </w:r>
            <w:r w:rsidRPr="00415D8B">
              <w:rPr>
                <w:rFonts w:ascii="Arial Narrow" w:hAnsi="Arial Narrow"/>
                <w:sz w:val="20"/>
              </w:rPr>
              <w:t>)</w:t>
            </w:r>
          </w:p>
        </w:tc>
        <w:tc>
          <w:tcPr>
            <w:tcW w:w="1559" w:type="dxa"/>
          </w:tcPr>
          <w:p w:rsidR="00FD7E6A" w:rsidRPr="00AC2660" w:rsidRDefault="00FD7E6A" w:rsidP="00FD7E6A">
            <w:pPr>
              <w:keepNext/>
              <w:widowControl/>
              <w:rPr>
                <w:rFonts w:ascii="Arial Narrow" w:eastAsia="SimSun" w:hAnsi="Arial Narrow"/>
                <w:snapToGrid/>
                <w:sz w:val="20"/>
                <w:lang w:eastAsia="en-AU"/>
              </w:rPr>
            </w:pPr>
            <w:r w:rsidRPr="00AC2660">
              <w:rPr>
                <w:rFonts w:ascii="Arial Narrow" w:eastAsia="SimSun" w:hAnsi="Arial Narrow"/>
                <w:snapToGrid/>
                <w:sz w:val="20"/>
                <w:lang w:eastAsia="en-AU"/>
              </w:rPr>
              <w:t>Mabthera</w:t>
            </w:r>
          </w:p>
        </w:tc>
        <w:tc>
          <w:tcPr>
            <w:tcW w:w="1276" w:type="dxa"/>
          </w:tcPr>
          <w:p w:rsidR="00FD7E6A" w:rsidRPr="00AC2660" w:rsidRDefault="00FD7E6A" w:rsidP="00FD7E6A">
            <w:pPr>
              <w:keepNext/>
              <w:widowControl/>
              <w:rPr>
                <w:rFonts w:ascii="Arial Narrow" w:eastAsia="SimSun" w:hAnsi="Arial Narrow"/>
                <w:snapToGrid/>
                <w:sz w:val="20"/>
                <w:lang w:eastAsia="en-AU"/>
              </w:rPr>
            </w:pPr>
            <w:r w:rsidRPr="00AC2660">
              <w:rPr>
                <w:rFonts w:ascii="Arial Narrow" w:eastAsia="SimSun" w:hAnsi="Arial Narrow"/>
                <w:snapToGrid/>
                <w:sz w:val="20"/>
                <w:lang w:eastAsia="en-AU"/>
              </w:rPr>
              <w:t>RO</w:t>
            </w:r>
          </w:p>
        </w:tc>
      </w:tr>
      <w:tr w:rsidR="00FD7E6A" w:rsidRPr="00AC2660" w:rsidTr="00FD7E6A">
        <w:trPr>
          <w:cantSplit/>
          <w:trHeight w:val="360"/>
        </w:trPr>
        <w:tc>
          <w:tcPr>
            <w:tcW w:w="8505" w:type="dxa"/>
            <w:gridSpan w:val="7"/>
            <w:tcBorders>
              <w:bottom w:val="single" w:sz="4" w:space="0" w:color="auto"/>
            </w:tcBorders>
          </w:tcPr>
          <w:p w:rsidR="00FD7E6A" w:rsidRPr="00AC2660" w:rsidRDefault="00FD7E6A" w:rsidP="00FD7E6A">
            <w:pPr>
              <w:widowControl/>
              <w:rPr>
                <w:rFonts w:ascii="Arial Narrow" w:eastAsia="SimSun" w:hAnsi="Arial Narrow"/>
                <w:snapToGrid/>
                <w:sz w:val="20"/>
                <w:lang w:eastAsia="en-AU"/>
              </w:rPr>
            </w:pPr>
          </w:p>
        </w:tc>
      </w:tr>
      <w:tr w:rsidR="00FD7E6A" w:rsidRPr="00AC2660" w:rsidTr="00FD7E6A">
        <w:trPr>
          <w:cantSplit/>
          <w:trHeight w:val="360"/>
        </w:trPr>
        <w:tc>
          <w:tcPr>
            <w:tcW w:w="2126" w:type="dxa"/>
            <w:tcBorders>
              <w:top w:val="single" w:sz="4" w:space="0" w:color="auto"/>
              <w:left w:val="single" w:sz="4" w:space="0" w:color="auto"/>
              <w:bottom w:val="single" w:sz="4" w:space="0" w:color="auto"/>
              <w:right w:val="single" w:sz="4" w:space="0" w:color="auto"/>
            </w:tcBorders>
          </w:tcPr>
          <w:p w:rsidR="00FD7E6A" w:rsidRPr="00AC2660" w:rsidRDefault="00FD7E6A" w:rsidP="00FD7E6A">
            <w:pPr>
              <w:widowControl/>
              <w:rPr>
                <w:rFonts w:ascii="Arial Narrow" w:eastAsia="SimSun" w:hAnsi="Arial Narrow"/>
                <w:b/>
                <w:snapToGrid/>
                <w:sz w:val="20"/>
                <w:lang w:eastAsia="en-AU"/>
              </w:rPr>
            </w:pPr>
            <w:r w:rsidRPr="00AC2660">
              <w:rPr>
                <w:rFonts w:ascii="Arial Narrow" w:eastAsia="SimSun" w:hAnsi="Arial Narrow"/>
                <w:b/>
                <w:snapToGrid/>
                <w:sz w:val="20"/>
                <w:lang w:eastAsia="en-AU"/>
              </w:rPr>
              <w:t xml:space="preserve">Category / </w:t>
            </w:r>
          </w:p>
          <w:p w:rsidR="00FD7E6A" w:rsidRPr="00AC2660" w:rsidRDefault="00FD7E6A" w:rsidP="00FD7E6A">
            <w:pPr>
              <w:widowControl/>
              <w:rPr>
                <w:rFonts w:ascii="Arial Narrow" w:eastAsia="SimSun" w:hAnsi="Arial Narrow"/>
                <w:b/>
                <w:snapToGrid/>
                <w:sz w:val="20"/>
                <w:lang w:eastAsia="en-AU"/>
              </w:rPr>
            </w:pPr>
            <w:r w:rsidRPr="00AC2660">
              <w:rPr>
                <w:rFonts w:ascii="Arial Narrow" w:eastAsia="SimSun" w:hAnsi="Arial Narrow"/>
                <w:b/>
                <w:snapToGrid/>
                <w:sz w:val="20"/>
                <w:lang w:eastAsia="en-AU"/>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FD7E6A" w:rsidRPr="00AC2660" w:rsidRDefault="00FD7E6A" w:rsidP="00FD7E6A">
            <w:pPr>
              <w:widowControl/>
              <w:jc w:val="left"/>
              <w:rPr>
                <w:rFonts w:ascii="Arial Narrow" w:eastAsia="SimSun" w:hAnsi="Arial Narrow"/>
                <w:snapToGrid/>
                <w:sz w:val="20"/>
                <w:lang w:eastAsia="en-AU"/>
              </w:rPr>
            </w:pPr>
            <w:r w:rsidRPr="00AC2660">
              <w:rPr>
                <w:rFonts w:ascii="Arial Narrow" w:eastAsia="SimSun" w:hAnsi="Arial Narrow"/>
                <w:snapToGrid/>
                <w:sz w:val="20"/>
                <w:lang w:eastAsia="en-AU"/>
              </w:rPr>
              <w:t>Section 100 – Highly Specialised Drugs Program (Public</w:t>
            </w:r>
            <w:r w:rsidRPr="00AC2660">
              <w:rPr>
                <w:rFonts w:ascii="Arial Narrow" w:eastAsia="SimSun" w:hAnsi="Arial Narrow" w:hint="eastAsia"/>
                <w:snapToGrid/>
                <w:sz w:val="20"/>
                <w:lang w:eastAsia="zh-CN"/>
              </w:rPr>
              <w:t>/Private</w:t>
            </w:r>
            <w:r w:rsidRPr="00AC2660">
              <w:rPr>
                <w:rFonts w:ascii="Arial Narrow" w:eastAsia="SimSun" w:hAnsi="Arial Narrow"/>
                <w:snapToGrid/>
                <w:sz w:val="20"/>
                <w:lang w:eastAsia="en-AU"/>
              </w:rPr>
              <w:t xml:space="preserve">) </w:t>
            </w:r>
          </w:p>
        </w:tc>
      </w:tr>
      <w:tr w:rsidR="00FD7E6A" w:rsidRPr="00AC2660" w:rsidTr="00FD7E6A">
        <w:trPr>
          <w:cantSplit/>
          <w:trHeight w:val="360"/>
        </w:trPr>
        <w:tc>
          <w:tcPr>
            <w:tcW w:w="2126" w:type="dxa"/>
            <w:tcBorders>
              <w:top w:val="single" w:sz="4" w:space="0" w:color="auto"/>
              <w:left w:val="single" w:sz="4" w:space="0" w:color="auto"/>
              <w:bottom w:val="single" w:sz="4" w:space="0" w:color="auto"/>
              <w:right w:val="single" w:sz="4" w:space="0" w:color="auto"/>
            </w:tcBorders>
          </w:tcPr>
          <w:p w:rsidR="00FD7E6A" w:rsidRPr="00AC2660" w:rsidRDefault="00FD7E6A" w:rsidP="00FD7E6A">
            <w:pPr>
              <w:widowControl/>
              <w:rPr>
                <w:rFonts w:ascii="Arial Narrow" w:eastAsia="SimSun" w:hAnsi="Arial Narrow"/>
                <w:b/>
                <w:snapToGrid/>
                <w:sz w:val="20"/>
                <w:lang w:eastAsia="en-AU"/>
              </w:rPr>
            </w:pPr>
            <w:r w:rsidRPr="00AC2660">
              <w:rPr>
                <w:rFonts w:ascii="Arial Narrow" w:eastAsia="SimSun" w:hAnsi="Arial Narrow"/>
                <w:b/>
                <w:snapToGrid/>
                <w:sz w:val="20"/>
                <w:lang w:eastAsia="en-AU"/>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FD7E6A" w:rsidRPr="00AC2660" w:rsidRDefault="00FD7E6A" w:rsidP="00FD7E6A">
            <w:pPr>
              <w:widowControl/>
              <w:jc w:val="left"/>
              <w:rPr>
                <w:rFonts w:ascii="Arial Narrow" w:eastAsia="SimSun" w:hAnsi="Arial Narrow"/>
                <w:snapToGrid/>
                <w:sz w:val="20"/>
                <w:lang w:eastAsia="en-AU"/>
              </w:rPr>
            </w:pPr>
            <w:r w:rsidRPr="00AC2660">
              <w:rPr>
                <w:rFonts w:ascii="Arial Narrow" w:eastAsia="SimSun" w:hAnsi="Arial Narrow"/>
                <w:snapToGrid/>
                <w:sz w:val="20"/>
                <w:lang w:eastAsia="en-AU"/>
              </w:rPr>
              <w:fldChar w:fldCharType="begin">
                <w:ffData>
                  <w:name w:val="Check1"/>
                  <w:enabled/>
                  <w:calcOnExit w:val="0"/>
                  <w:checkBox>
                    <w:sizeAuto/>
                    <w:default w:val="0"/>
                  </w:checkBox>
                </w:ffData>
              </w:fldChar>
            </w:r>
            <w:r w:rsidRPr="00AC2660">
              <w:rPr>
                <w:rFonts w:ascii="Arial Narrow" w:eastAsia="SimSun" w:hAnsi="Arial Narrow"/>
                <w:snapToGrid/>
                <w:sz w:val="20"/>
                <w:lang w:eastAsia="en-AU"/>
              </w:rPr>
              <w:instrText xml:space="preserve"> FORMCHECKBOX </w:instrText>
            </w:r>
            <w:r w:rsidR="00517379">
              <w:rPr>
                <w:rFonts w:ascii="Arial Narrow" w:eastAsia="SimSun" w:hAnsi="Arial Narrow"/>
                <w:snapToGrid/>
                <w:sz w:val="20"/>
                <w:lang w:eastAsia="en-AU"/>
              </w:rPr>
            </w:r>
            <w:r w:rsidR="00517379">
              <w:rPr>
                <w:rFonts w:ascii="Arial Narrow" w:eastAsia="SimSun" w:hAnsi="Arial Narrow"/>
                <w:snapToGrid/>
                <w:sz w:val="20"/>
                <w:lang w:eastAsia="en-AU"/>
              </w:rPr>
              <w:fldChar w:fldCharType="separate"/>
            </w:r>
            <w:r w:rsidRPr="00AC2660">
              <w:rPr>
                <w:rFonts w:ascii="Arial Narrow" w:eastAsia="SimSun" w:hAnsi="Arial Narrow"/>
                <w:snapToGrid/>
                <w:sz w:val="20"/>
                <w:lang w:eastAsia="en-AU"/>
              </w:rPr>
              <w:fldChar w:fldCharType="end"/>
            </w:r>
            <w:r w:rsidRPr="00AC2660">
              <w:rPr>
                <w:rFonts w:ascii="Arial Narrow" w:eastAsia="SimSun" w:hAnsi="Arial Narrow"/>
                <w:snapToGrid/>
                <w:sz w:val="20"/>
                <w:lang w:eastAsia="en-AU"/>
              </w:rPr>
              <w:t xml:space="preserve">Dental  </w:t>
            </w:r>
            <w:r w:rsidRPr="00AC2660">
              <w:rPr>
                <w:rFonts w:ascii="Arial Narrow" w:eastAsia="SimSun" w:hAnsi="Arial Narrow"/>
                <w:snapToGrid/>
                <w:sz w:val="20"/>
                <w:lang w:eastAsia="en-AU"/>
              </w:rPr>
              <w:fldChar w:fldCharType="begin">
                <w:ffData>
                  <w:name w:val=""/>
                  <w:enabled/>
                  <w:calcOnExit w:val="0"/>
                  <w:checkBox>
                    <w:sizeAuto/>
                    <w:default w:val="1"/>
                  </w:checkBox>
                </w:ffData>
              </w:fldChar>
            </w:r>
            <w:r w:rsidRPr="00AC2660">
              <w:rPr>
                <w:rFonts w:ascii="Arial Narrow" w:eastAsia="SimSun" w:hAnsi="Arial Narrow"/>
                <w:snapToGrid/>
                <w:sz w:val="20"/>
                <w:lang w:eastAsia="en-AU"/>
              </w:rPr>
              <w:instrText xml:space="preserve"> FORMCHECKBOX </w:instrText>
            </w:r>
            <w:r w:rsidR="00517379">
              <w:rPr>
                <w:rFonts w:ascii="Arial Narrow" w:eastAsia="SimSun" w:hAnsi="Arial Narrow"/>
                <w:snapToGrid/>
                <w:sz w:val="20"/>
                <w:lang w:eastAsia="en-AU"/>
              </w:rPr>
            </w:r>
            <w:r w:rsidR="00517379">
              <w:rPr>
                <w:rFonts w:ascii="Arial Narrow" w:eastAsia="SimSun" w:hAnsi="Arial Narrow"/>
                <w:snapToGrid/>
                <w:sz w:val="20"/>
                <w:lang w:eastAsia="en-AU"/>
              </w:rPr>
              <w:fldChar w:fldCharType="separate"/>
            </w:r>
            <w:r w:rsidRPr="00AC2660">
              <w:rPr>
                <w:rFonts w:ascii="Arial Narrow" w:eastAsia="SimSun" w:hAnsi="Arial Narrow"/>
                <w:snapToGrid/>
                <w:sz w:val="20"/>
                <w:lang w:eastAsia="en-AU"/>
              </w:rPr>
              <w:fldChar w:fldCharType="end"/>
            </w:r>
            <w:r w:rsidRPr="00AC2660">
              <w:rPr>
                <w:rFonts w:ascii="Arial Narrow" w:eastAsia="SimSun" w:hAnsi="Arial Narrow"/>
                <w:snapToGrid/>
                <w:sz w:val="20"/>
                <w:lang w:eastAsia="en-AU"/>
              </w:rPr>
              <w:t xml:space="preserve">Medical Practitioners  </w:t>
            </w:r>
            <w:r w:rsidRPr="00AC2660">
              <w:rPr>
                <w:rFonts w:ascii="Arial Narrow" w:eastAsia="SimSun" w:hAnsi="Arial Narrow"/>
                <w:snapToGrid/>
                <w:sz w:val="20"/>
                <w:lang w:eastAsia="en-AU"/>
              </w:rPr>
              <w:fldChar w:fldCharType="begin">
                <w:ffData>
                  <w:name w:val="Check3"/>
                  <w:enabled/>
                  <w:calcOnExit w:val="0"/>
                  <w:checkBox>
                    <w:sizeAuto/>
                    <w:default w:val="0"/>
                  </w:checkBox>
                </w:ffData>
              </w:fldChar>
            </w:r>
            <w:r w:rsidRPr="00AC2660">
              <w:rPr>
                <w:rFonts w:ascii="Arial Narrow" w:eastAsia="SimSun" w:hAnsi="Arial Narrow"/>
                <w:snapToGrid/>
                <w:sz w:val="20"/>
                <w:lang w:eastAsia="en-AU"/>
              </w:rPr>
              <w:instrText xml:space="preserve"> FORMCHECKBOX </w:instrText>
            </w:r>
            <w:r w:rsidR="00517379">
              <w:rPr>
                <w:rFonts w:ascii="Arial Narrow" w:eastAsia="SimSun" w:hAnsi="Arial Narrow"/>
                <w:snapToGrid/>
                <w:sz w:val="20"/>
                <w:lang w:eastAsia="en-AU"/>
              </w:rPr>
            </w:r>
            <w:r w:rsidR="00517379">
              <w:rPr>
                <w:rFonts w:ascii="Arial Narrow" w:eastAsia="SimSun" w:hAnsi="Arial Narrow"/>
                <w:snapToGrid/>
                <w:sz w:val="20"/>
                <w:lang w:eastAsia="en-AU"/>
              </w:rPr>
              <w:fldChar w:fldCharType="separate"/>
            </w:r>
            <w:r w:rsidRPr="00AC2660">
              <w:rPr>
                <w:rFonts w:ascii="Arial Narrow" w:eastAsia="SimSun" w:hAnsi="Arial Narrow"/>
                <w:snapToGrid/>
                <w:sz w:val="20"/>
                <w:lang w:eastAsia="en-AU"/>
              </w:rPr>
              <w:fldChar w:fldCharType="end"/>
            </w:r>
            <w:r w:rsidRPr="00AC2660">
              <w:rPr>
                <w:rFonts w:ascii="Arial Narrow" w:eastAsia="SimSun" w:hAnsi="Arial Narrow"/>
                <w:snapToGrid/>
                <w:sz w:val="20"/>
                <w:lang w:eastAsia="en-AU"/>
              </w:rPr>
              <w:t xml:space="preserve">Nurse practitioners  </w:t>
            </w:r>
            <w:r w:rsidRPr="00AC2660">
              <w:rPr>
                <w:rFonts w:ascii="Arial Narrow" w:eastAsia="SimSun" w:hAnsi="Arial Narrow"/>
                <w:snapToGrid/>
                <w:sz w:val="20"/>
                <w:lang w:eastAsia="en-AU"/>
              </w:rPr>
              <w:fldChar w:fldCharType="begin">
                <w:ffData>
                  <w:name w:val=""/>
                  <w:enabled/>
                  <w:calcOnExit w:val="0"/>
                  <w:checkBox>
                    <w:sizeAuto/>
                    <w:default w:val="0"/>
                  </w:checkBox>
                </w:ffData>
              </w:fldChar>
            </w:r>
            <w:r w:rsidRPr="00AC2660">
              <w:rPr>
                <w:rFonts w:ascii="Arial Narrow" w:eastAsia="SimSun" w:hAnsi="Arial Narrow"/>
                <w:snapToGrid/>
                <w:sz w:val="20"/>
                <w:lang w:eastAsia="en-AU"/>
              </w:rPr>
              <w:instrText xml:space="preserve"> FORMCHECKBOX </w:instrText>
            </w:r>
            <w:r w:rsidR="00517379">
              <w:rPr>
                <w:rFonts w:ascii="Arial Narrow" w:eastAsia="SimSun" w:hAnsi="Arial Narrow"/>
                <w:snapToGrid/>
                <w:sz w:val="20"/>
                <w:lang w:eastAsia="en-AU"/>
              </w:rPr>
            </w:r>
            <w:r w:rsidR="00517379">
              <w:rPr>
                <w:rFonts w:ascii="Arial Narrow" w:eastAsia="SimSun" w:hAnsi="Arial Narrow"/>
                <w:snapToGrid/>
                <w:sz w:val="20"/>
                <w:lang w:eastAsia="en-AU"/>
              </w:rPr>
              <w:fldChar w:fldCharType="separate"/>
            </w:r>
            <w:r w:rsidRPr="00AC2660">
              <w:rPr>
                <w:rFonts w:ascii="Arial Narrow" w:eastAsia="SimSun" w:hAnsi="Arial Narrow"/>
                <w:snapToGrid/>
                <w:sz w:val="20"/>
                <w:lang w:eastAsia="en-AU"/>
              </w:rPr>
              <w:fldChar w:fldCharType="end"/>
            </w:r>
            <w:r w:rsidRPr="00AC2660">
              <w:rPr>
                <w:rFonts w:ascii="Arial Narrow" w:eastAsia="SimSun" w:hAnsi="Arial Narrow"/>
                <w:snapToGrid/>
                <w:sz w:val="20"/>
                <w:lang w:eastAsia="en-AU"/>
              </w:rPr>
              <w:t>Optometrists</w:t>
            </w:r>
          </w:p>
          <w:p w:rsidR="00FD7E6A" w:rsidRPr="00AC2660" w:rsidRDefault="00FD7E6A" w:rsidP="00FD7E6A">
            <w:pPr>
              <w:widowControl/>
              <w:jc w:val="left"/>
              <w:rPr>
                <w:rFonts w:ascii="Arial Narrow" w:eastAsia="SimSun" w:hAnsi="Arial Narrow"/>
                <w:snapToGrid/>
                <w:sz w:val="20"/>
                <w:lang w:eastAsia="en-AU"/>
              </w:rPr>
            </w:pPr>
            <w:r w:rsidRPr="00AC2660">
              <w:rPr>
                <w:rFonts w:ascii="Arial Narrow" w:eastAsia="SimSun" w:hAnsi="Arial Narrow"/>
                <w:snapToGrid/>
                <w:sz w:val="20"/>
                <w:lang w:eastAsia="en-AU"/>
              </w:rPr>
              <w:fldChar w:fldCharType="begin">
                <w:ffData>
                  <w:name w:val="Check5"/>
                  <w:enabled/>
                  <w:calcOnExit w:val="0"/>
                  <w:checkBox>
                    <w:sizeAuto/>
                    <w:default w:val="0"/>
                  </w:checkBox>
                </w:ffData>
              </w:fldChar>
            </w:r>
            <w:r w:rsidRPr="00AC2660">
              <w:rPr>
                <w:rFonts w:ascii="Arial Narrow" w:eastAsia="SimSun" w:hAnsi="Arial Narrow"/>
                <w:snapToGrid/>
                <w:sz w:val="20"/>
                <w:lang w:eastAsia="en-AU"/>
              </w:rPr>
              <w:instrText xml:space="preserve"> FORMCHECKBOX </w:instrText>
            </w:r>
            <w:r w:rsidR="00517379">
              <w:rPr>
                <w:rFonts w:ascii="Arial Narrow" w:eastAsia="SimSun" w:hAnsi="Arial Narrow"/>
                <w:snapToGrid/>
                <w:sz w:val="20"/>
                <w:lang w:eastAsia="en-AU"/>
              </w:rPr>
            </w:r>
            <w:r w:rsidR="00517379">
              <w:rPr>
                <w:rFonts w:ascii="Arial Narrow" w:eastAsia="SimSun" w:hAnsi="Arial Narrow"/>
                <w:snapToGrid/>
                <w:sz w:val="20"/>
                <w:lang w:eastAsia="en-AU"/>
              </w:rPr>
              <w:fldChar w:fldCharType="separate"/>
            </w:r>
            <w:r w:rsidRPr="00AC2660">
              <w:rPr>
                <w:rFonts w:ascii="Arial Narrow" w:eastAsia="SimSun" w:hAnsi="Arial Narrow"/>
                <w:snapToGrid/>
                <w:sz w:val="20"/>
                <w:lang w:eastAsia="en-AU"/>
              </w:rPr>
              <w:fldChar w:fldCharType="end"/>
            </w:r>
            <w:r w:rsidRPr="00AC2660">
              <w:rPr>
                <w:rFonts w:ascii="Arial Narrow" w:eastAsia="SimSun" w:hAnsi="Arial Narrow"/>
                <w:snapToGrid/>
                <w:sz w:val="20"/>
                <w:lang w:eastAsia="en-AU"/>
              </w:rPr>
              <w:t>Midwives</w:t>
            </w:r>
          </w:p>
        </w:tc>
      </w:tr>
      <w:tr w:rsidR="00FD7E6A" w:rsidRPr="00AC2660" w:rsidTr="00FD7E6A">
        <w:trPr>
          <w:cantSplit/>
          <w:trHeight w:val="360"/>
        </w:trPr>
        <w:tc>
          <w:tcPr>
            <w:tcW w:w="2126" w:type="dxa"/>
            <w:tcBorders>
              <w:top w:val="single" w:sz="4" w:space="0" w:color="auto"/>
              <w:left w:val="single" w:sz="4" w:space="0" w:color="auto"/>
              <w:bottom w:val="single" w:sz="4" w:space="0" w:color="auto"/>
              <w:right w:val="single" w:sz="4" w:space="0" w:color="auto"/>
            </w:tcBorders>
          </w:tcPr>
          <w:p w:rsidR="00FD7E6A" w:rsidRPr="00AC2660" w:rsidRDefault="00FD7E6A" w:rsidP="00FD7E6A">
            <w:pPr>
              <w:widowControl/>
              <w:rPr>
                <w:rFonts w:ascii="Arial Narrow" w:eastAsia="SimSun" w:hAnsi="Arial Narrow"/>
                <w:b/>
                <w:snapToGrid/>
                <w:sz w:val="20"/>
                <w:lang w:eastAsia="en-AU"/>
              </w:rPr>
            </w:pPr>
            <w:r w:rsidRPr="00AC2660">
              <w:rPr>
                <w:rFonts w:ascii="Arial Narrow" w:eastAsia="SimSun" w:hAnsi="Arial Narrow"/>
                <w:b/>
                <w:snapToGrid/>
                <w:sz w:val="20"/>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FD7E6A" w:rsidRPr="00AC2660" w:rsidRDefault="00FD7E6A" w:rsidP="00FD7E6A">
            <w:pPr>
              <w:widowControl/>
              <w:jc w:val="left"/>
              <w:rPr>
                <w:rFonts w:ascii="Arial Narrow" w:eastAsia="SimSun" w:hAnsi="Arial Narrow"/>
                <w:snapToGrid/>
                <w:sz w:val="20"/>
                <w:lang w:eastAsia="en-AU"/>
              </w:rPr>
            </w:pPr>
            <w:r w:rsidRPr="00AC2660">
              <w:rPr>
                <w:rFonts w:ascii="Arial Narrow" w:eastAsia="SimSun" w:hAnsi="Arial Narrow"/>
                <w:snapToGrid/>
                <w:sz w:val="20"/>
                <w:lang w:eastAsia="en-AU"/>
              </w:rPr>
              <w:t>Granulomatosis with polyangiitis (GPA/</w:t>
            </w:r>
            <w:r w:rsidRPr="00AC2660">
              <w:rPr>
                <w:rFonts w:ascii="Arial Narrow" w:eastAsia="SimSun" w:hAnsi="Arial Narrow"/>
                <w:i/>
                <w:snapToGrid/>
                <w:sz w:val="20"/>
                <w:lang w:eastAsia="en-AU"/>
              </w:rPr>
              <w:t>Wegener’s granulomatosis</w:t>
            </w:r>
            <w:r w:rsidRPr="00AC2660">
              <w:rPr>
                <w:rFonts w:ascii="Arial Narrow" w:eastAsia="SimSun" w:hAnsi="Arial Narrow"/>
                <w:snapToGrid/>
                <w:sz w:val="20"/>
                <w:lang w:eastAsia="en-AU"/>
              </w:rPr>
              <w:t xml:space="preserve">) </w:t>
            </w:r>
            <w:r w:rsidRPr="00AC2660">
              <w:rPr>
                <w:rFonts w:ascii="Arial Narrow" w:eastAsia="SimSun" w:hAnsi="Arial Narrow"/>
                <w:strike/>
                <w:snapToGrid/>
                <w:sz w:val="20"/>
                <w:lang w:eastAsia="en-AU"/>
              </w:rPr>
              <w:t>also known as Wegener’s granulomatosis</w:t>
            </w:r>
            <w:r w:rsidRPr="00AC2660">
              <w:rPr>
                <w:rFonts w:ascii="Arial Narrow" w:eastAsia="SimSun" w:hAnsi="Arial Narrow"/>
                <w:snapToGrid/>
                <w:sz w:val="20"/>
                <w:lang w:eastAsia="en-AU"/>
              </w:rPr>
              <w:t xml:space="preserve"> or microscopic polyangiitis (MPA</w:t>
            </w:r>
            <w:r w:rsidRPr="00AC2660">
              <w:rPr>
                <w:rFonts w:ascii="Arial Narrow" w:eastAsia="SimSun" w:hAnsi="Arial Narrow"/>
                <w:strike/>
                <w:snapToGrid/>
                <w:sz w:val="20"/>
                <w:lang w:eastAsia="en-AU"/>
              </w:rPr>
              <w:t>) according to the Chapel Hill Consensus Conference Nomenclature of the Vasculitides with ANCA-positive serology</w:t>
            </w:r>
            <w:r w:rsidRPr="00AC2660">
              <w:rPr>
                <w:rFonts w:ascii="Arial Narrow" w:eastAsia="SimSun" w:hAnsi="Arial Narrow"/>
                <w:snapToGrid/>
                <w:sz w:val="20"/>
                <w:lang w:eastAsia="en-AU"/>
              </w:rPr>
              <w:t>.</w:t>
            </w:r>
          </w:p>
        </w:tc>
      </w:tr>
      <w:tr w:rsidR="00FD7E6A" w:rsidRPr="00AC2660" w:rsidTr="00FD7E6A">
        <w:trPr>
          <w:cantSplit/>
          <w:trHeight w:val="360"/>
        </w:trPr>
        <w:tc>
          <w:tcPr>
            <w:tcW w:w="2126" w:type="dxa"/>
            <w:tcBorders>
              <w:top w:val="single" w:sz="4" w:space="0" w:color="auto"/>
              <w:left w:val="single" w:sz="4" w:space="0" w:color="auto"/>
              <w:bottom w:val="single" w:sz="4" w:space="0" w:color="auto"/>
              <w:right w:val="single" w:sz="4" w:space="0" w:color="auto"/>
            </w:tcBorders>
          </w:tcPr>
          <w:p w:rsidR="00FD7E6A" w:rsidRPr="00AC2660" w:rsidRDefault="00FD7E6A" w:rsidP="00FD7E6A">
            <w:pPr>
              <w:widowControl/>
              <w:rPr>
                <w:rFonts w:ascii="Arial Narrow" w:eastAsia="SimSun" w:hAnsi="Arial Narrow"/>
                <w:b/>
                <w:snapToGrid/>
                <w:sz w:val="20"/>
                <w:lang w:eastAsia="en-AU"/>
              </w:rPr>
            </w:pPr>
            <w:r w:rsidRPr="00AC2660">
              <w:rPr>
                <w:rFonts w:ascii="Arial Narrow" w:eastAsia="SimSun" w:hAnsi="Arial Narrow"/>
                <w:b/>
                <w:snapToGrid/>
                <w:sz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FD7E6A" w:rsidRPr="00AC2660" w:rsidRDefault="00FD7E6A" w:rsidP="00FD7E6A">
            <w:pPr>
              <w:widowControl/>
              <w:jc w:val="left"/>
              <w:rPr>
                <w:rFonts w:ascii="Arial Narrow" w:eastAsia="SimSun" w:hAnsi="Arial Narrow"/>
                <w:snapToGrid/>
                <w:sz w:val="20"/>
                <w:lang w:eastAsia="en-AU"/>
              </w:rPr>
            </w:pPr>
            <w:r w:rsidRPr="00AC2660">
              <w:rPr>
                <w:rFonts w:ascii="Arial Narrow" w:eastAsia="SimSun" w:hAnsi="Arial Narrow"/>
                <w:snapToGrid/>
                <w:sz w:val="20"/>
                <w:lang w:eastAsia="en-AU"/>
              </w:rPr>
              <w:t>Granulomatosis with polyangiitis (GPA/</w:t>
            </w:r>
            <w:r w:rsidRPr="00AC2660">
              <w:rPr>
                <w:rFonts w:ascii="Arial Narrow" w:eastAsia="SimSun" w:hAnsi="Arial Narrow"/>
                <w:i/>
                <w:snapToGrid/>
                <w:sz w:val="20"/>
                <w:lang w:eastAsia="en-AU"/>
              </w:rPr>
              <w:t>Wegener’s granulomatosis</w:t>
            </w:r>
            <w:r w:rsidRPr="00AC2660">
              <w:rPr>
                <w:rFonts w:ascii="Arial Narrow" w:eastAsia="SimSun" w:hAnsi="Arial Narrow"/>
                <w:snapToGrid/>
                <w:sz w:val="20"/>
                <w:lang w:eastAsia="en-AU"/>
              </w:rPr>
              <w:t>) or microscopic polyangiitis (MPA)</w:t>
            </w:r>
          </w:p>
        </w:tc>
      </w:tr>
      <w:tr w:rsidR="00FD7E6A" w:rsidRPr="00AC2660" w:rsidTr="00FD7E6A">
        <w:trPr>
          <w:cantSplit/>
          <w:trHeight w:val="360"/>
        </w:trPr>
        <w:tc>
          <w:tcPr>
            <w:tcW w:w="2126" w:type="dxa"/>
            <w:tcBorders>
              <w:top w:val="single" w:sz="4" w:space="0" w:color="auto"/>
              <w:left w:val="single" w:sz="4" w:space="0" w:color="auto"/>
              <w:bottom w:val="single" w:sz="4" w:space="0" w:color="auto"/>
              <w:right w:val="single" w:sz="4" w:space="0" w:color="auto"/>
            </w:tcBorders>
          </w:tcPr>
          <w:p w:rsidR="00FD7E6A" w:rsidRPr="00AC2660" w:rsidRDefault="00FD7E6A" w:rsidP="00FD7E6A">
            <w:pPr>
              <w:widowControl/>
              <w:rPr>
                <w:rFonts w:ascii="Arial Narrow" w:eastAsia="SimSun" w:hAnsi="Arial Narrow"/>
                <w:b/>
                <w:snapToGrid/>
                <w:sz w:val="20"/>
                <w:lang w:eastAsia="en-AU"/>
              </w:rPr>
            </w:pPr>
            <w:r w:rsidRPr="00AC2660">
              <w:rPr>
                <w:rFonts w:ascii="Arial Narrow" w:eastAsia="SimSun" w:hAnsi="Arial Narrow"/>
                <w:b/>
                <w:snapToGrid/>
                <w:sz w:val="20"/>
                <w:lang w:eastAsia="en-AU"/>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FD7E6A" w:rsidRPr="00AC2660" w:rsidRDefault="00FD7E6A" w:rsidP="00FD7E6A">
            <w:pPr>
              <w:widowControl/>
              <w:jc w:val="left"/>
              <w:rPr>
                <w:rFonts w:ascii="Arial Narrow" w:eastAsia="SimSun" w:hAnsi="Arial Narrow"/>
                <w:snapToGrid/>
                <w:sz w:val="20"/>
                <w:lang w:eastAsia="en-AU"/>
              </w:rPr>
            </w:pPr>
            <w:r w:rsidRPr="00AC2660">
              <w:rPr>
                <w:rFonts w:ascii="Arial Narrow" w:eastAsia="SimSun" w:hAnsi="Arial Narrow"/>
                <w:snapToGrid/>
                <w:sz w:val="20"/>
                <w:lang w:eastAsia="en-AU"/>
              </w:rPr>
              <w:t xml:space="preserve">Induction of remission </w:t>
            </w:r>
          </w:p>
        </w:tc>
      </w:tr>
      <w:tr w:rsidR="00FD7E6A" w:rsidRPr="00AC2660" w:rsidTr="00FD7E6A">
        <w:trPr>
          <w:cantSplit/>
          <w:trHeight w:val="360"/>
        </w:trPr>
        <w:tc>
          <w:tcPr>
            <w:tcW w:w="2126" w:type="dxa"/>
            <w:tcBorders>
              <w:top w:val="single" w:sz="4" w:space="0" w:color="auto"/>
              <w:left w:val="single" w:sz="4" w:space="0" w:color="auto"/>
              <w:bottom w:val="single" w:sz="4" w:space="0" w:color="auto"/>
              <w:right w:val="single" w:sz="4" w:space="0" w:color="auto"/>
            </w:tcBorders>
          </w:tcPr>
          <w:p w:rsidR="00FD7E6A" w:rsidRPr="00AC2660" w:rsidRDefault="00FD7E6A" w:rsidP="00781655">
            <w:pPr>
              <w:widowControl/>
              <w:rPr>
                <w:rFonts w:ascii="Arial Narrow" w:eastAsia="SimSun" w:hAnsi="Arial Narrow"/>
                <w:snapToGrid/>
                <w:sz w:val="20"/>
                <w:lang w:eastAsia="en-AU"/>
              </w:rPr>
            </w:pPr>
            <w:r w:rsidRPr="00AC2660">
              <w:rPr>
                <w:rFonts w:ascii="Arial Narrow" w:eastAsia="SimSun" w:hAnsi="Arial Narrow"/>
                <w:b/>
                <w:snapToGrid/>
                <w:sz w:val="20"/>
                <w:lang w:eastAsia="en-AU"/>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rsidR="00FD7E6A" w:rsidRPr="00AC2660" w:rsidRDefault="00FD7E6A" w:rsidP="00FD7E6A">
            <w:pPr>
              <w:widowControl/>
              <w:jc w:val="left"/>
              <w:rPr>
                <w:rFonts w:ascii="Arial Narrow" w:eastAsia="SimSun" w:hAnsi="Arial Narrow"/>
                <w:snapToGrid/>
                <w:sz w:val="20"/>
                <w:lang w:eastAsia="en-AU"/>
              </w:rPr>
            </w:pPr>
            <w:r w:rsidRPr="00AC2660">
              <w:rPr>
                <w:rFonts w:ascii="Arial Narrow" w:eastAsia="SimSun" w:hAnsi="Arial Narrow"/>
                <w:snapToGrid/>
                <w:sz w:val="20"/>
                <w:lang w:eastAsia="en-AU"/>
              </w:rPr>
              <w:fldChar w:fldCharType="begin">
                <w:ffData>
                  <w:name w:val=""/>
                  <w:enabled/>
                  <w:calcOnExit w:val="0"/>
                  <w:checkBox>
                    <w:sizeAuto/>
                    <w:default w:val="1"/>
                  </w:checkBox>
                </w:ffData>
              </w:fldChar>
            </w:r>
            <w:r w:rsidRPr="00AC2660">
              <w:rPr>
                <w:rFonts w:ascii="Arial Narrow" w:eastAsia="SimSun" w:hAnsi="Arial Narrow"/>
                <w:snapToGrid/>
                <w:sz w:val="20"/>
                <w:lang w:eastAsia="en-AU"/>
              </w:rPr>
              <w:instrText xml:space="preserve"> FORMCHECKBOX </w:instrText>
            </w:r>
            <w:r w:rsidR="00517379">
              <w:rPr>
                <w:rFonts w:ascii="Arial Narrow" w:eastAsia="SimSun" w:hAnsi="Arial Narrow"/>
                <w:snapToGrid/>
                <w:sz w:val="20"/>
                <w:lang w:eastAsia="en-AU"/>
              </w:rPr>
            </w:r>
            <w:r w:rsidR="00517379">
              <w:rPr>
                <w:rFonts w:ascii="Arial Narrow" w:eastAsia="SimSun" w:hAnsi="Arial Narrow"/>
                <w:snapToGrid/>
                <w:sz w:val="20"/>
                <w:lang w:eastAsia="en-AU"/>
              </w:rPr>
              <w:fldChar w:fldCharType="separate"/>
            </w:r>
            <w:r w:rsidRPr="00AC2660">
              <w:rPr>
                <w:rFonts w:ascii="Arial Narrow" w:eastAsia="SimSun" w:hAnsi="Arial Narrow"/>
                <w:snapToGrid/>
                <w:sz w:val="20"/>
                <w:lang w:eastAsia="en-AU"/>
              </w:rPr>
              <w:fldChar w:fldCharType="end"/>
            </w:r>
            <w:r w:rsidRPr="00AC2660">
              <w:rPr>
                <w:rFonts w:ascii="Arial Narrow" w:eastAsia="SimSun" w:hAnsi="Arial Narrow"/>
                <w:snapToGrid/>
                <w:sz w:val="20"/>
                <w:lang w:eastAsia="en-AU"/>
              </w:rPr>
              <w:t>Authority Required - In Writing</w:t>
            </w:r>
          </w:p>
        </w:tc>
      </w:tr>
      <w:tr w:rsidR="00FD7E6A" w:rsidRPr="00AC2660" w:rsidTr="00FD7E6A">
        <w:trPr>
          <w:trHeight w:val="360"/>
        </w:trPr>
        <w:tc>
          <w:tcPr>
            <w:tcW w:w="2126" w:type="dxa"/>
            <w:tcBorders>
              <w:top w:val="single" w:sz="4" w:space="0" w:color="auto"/>
              <w:left w:val="single" w:sz="4" w:space="0" w:color="auto"/>
              <w:bottom w:val="single" w:sz="4" w:space="0" w:color="auto"/>
              <w:right w:val="single" w:sz="4" w:space="0" w:color="auto"/>
            </w:tcBorders>
          </w:tcPr>
          <w:p w:rsidR="00FD7E6A" w:rsidRPr="00AC2660" w:rsidRDefault="00FD7E6A" w:rsidP="00FD7E6A">
            <w:pPr>
              <w:widowControl/>
              <w:rPr>
                <w:rFonts w:ascii="Arial Narrow" w:eastAsia="SimSun" w:hAnsi="Arial Narrow"/>
                <w:b/>
                <w:snapToGrid/>
                <w:sz w:val="20"/>
                <w:lang w:eastAsia="en-AU"/>
              </w:rPr>
            </w:pPr>
            <w:r w:rsidRPr="00AC2660">
              <w:rPr>
                <w:rFonts w:ascii="Arial Narrow" w:eastAsia="SimSun" w:hAnsi="Arial Narrow"/>
                <w:b/>
                <w:snapToGrid/>
                <w:sz w:val="20"/>
                <w:lang w:eastAsia="en-AU"/>
              </w:rPr>
              <w:t>Clinical criteria:</w:t>
            </w:r>
          </w:p>
          <w:p w:rsidR="00FD7E6A" w:rsidRPr="00AC2660" w:rsidRDefault="00FD7E6A" w:rsidP="00FD7E6A">
            <w:pPr>
              <w:widowControl/>
              <w:rPr>
                <w:rFonts w:ascii="Arial Narrow" w:eastAsia="SimSun" w:hAnsi="Arial Narrow"/>
                <w:i/>
                <w:snapToGrid/>
                <w:sz w:val="20"/>
                <w:lang w:eastAsia="en-AU"/>
              </w:rPr>
            </w:pPr>
          </w:p>
          <w:p w:rsidR="00FD7E6A" w:rsidRPr="00AC2660" w:rsidRDefault="00FD7E6A" w:rsidP="00FD7E6A">
            <w:pPr>
              <w:widowControl/>
              <w:rPr>
                <w:rFonts w:ascii="Arial Narrow" w:eastAsia="SimSun"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D7E6A" w:rsidRPr="00AC2660" w:rsidRDefault="00FD7E6A" w:rsidP="00FD7E6A">
            <w:pPr>
              <w:widowControl/>
              <w:jc w:val="left"/>
              <w:rPr>
                <w:rFonts w:ascii="Arial Narrow" w:eastAsia="SimSun" w:hAnsi="Arial Narrow"/>
                <w:snapToGrid/>
                <w:sz w:val="20"/>
                <w:lang w:eastAsia="en-AU"/>
              </w:rPr>
            </w:pPr>
            <w:r w:rsidRPr="00AC2660">
              <w:rPr>
                <w:rFonts w:ascii="Arial Narrow" w:eastAsia="SimSun" w:hAnsi="Arial Narrow"/>
                <w:snapToGrid/>
                <w:sz w:val="20"/>
                <w:lang w:eastAsia="en-AU"/>
              </w:rPr>
              <w:t xml:space="preserve">The treatment must be for the induction of remission </w:t>
            </w:r>
            <w:r w:rsidRPr="00AC2660">
              <w:rPr>
                <w:rFonts w:ascii="Arial Narrow" w:eastAsia="SimSun" w:hAnsi="Arial Narrow"/>
                <w:strike/>
                <w:snapToGrid/>
                <w:sz w:val="20"/>
                <w:lang w:eastAsia="en-AU"/>
              </w:rPr>
              <w:t>(NOT maintenance of remission)</w:t>
            </w:r>
            <w:r w:rsidRPr="00AC2660">
              <w:rPr>
                <w:rFonts w:ascii="Arial Narrow" w:eastAsia="SimSun" w:hAnsi="Arial Narrow"/>
                <w:snapToGrid/>
                <w:sz w:val="20"/>
                <w:lang w:eastAsia="en-AU"/>
              </w:rPr>
              <w:t>;</w:t>
            </w:r>
          </w:p>
          <w:p w:rsidR="00FD7E6A" w:rsidRPr="00AC2660" w:rsidRDefault="00FD7E6A" w:rsidP="00FD7E6A">
            <w:pPr>
              <w:widowControl/>
              <w:jc w:val="left"/>
              <w:rPr>
                <w:rFonts w:ascii="Arial Narrow" w:eastAsia="SimSun" w:hAnsi="Arial Narrow"/>
                <w:snapToGrid/>
                <w:sz w:val="20"/>
                <w:lang w:eastAsia="en-AU"/>
              </w:rPr>
            </w:pPr>
          </w:p>
          <w:p w:rsidR="00FD7E6A" w:rsidRPr="00AC2660" w:rsidRDefault="00FD7E6A" w:rsidP="00FD7E6A">
            <w:pPr>
              <w:widowControl/>
              <w:jc w:val="left"/>
              <w:rPr>
                <w:rFonts w:ascii="Arial Narrow" w:eastAsia="SimSun" w:hAnsi="Arial Narrow"/>
                <w:snapToGrid/>
                <w:sz w:val="20"/>
                <w:lang w:eastAsia="en-AU"/>
              </w:rPr>
            </w:pPr>
            <w:r w:rsidRPr="00AC2660">
              <w:rPr>
                <w:rFonts w:ascii="Arial Narrow" w:eastAsia="SimSun" w:hAnsi="Arial Narrow"/>
                <w:snapToGrid/>
                <w:sz w:val="20"/>
                <w:lang w:eastAsia="en-AU"/>
              </w:rPr>
              <w:t>AND</w:t>
            </w:r>
          </w:p>
          <w:p w:rsidR="00FD7E6A" w:rsidRPr="00AC2660" w:rsidRDefault="00FD7E6A" w:rsidP="00FD7E6A">
            <w:pPr>
              <w:widowControl/>
              <w:jc w:val="left"/>
              <w:rPr>
                <w:rFonts w:ascii="Arial Narrow" w:eastAsia="SimSun" w:hAnsi="Arial Narrow"/>
                <w:snapToGrid/>
                <w:sz w:val="20"/>
                <w:lang w:eastAsia="en-AU"/>
              </w:rPr>
            </w:pPr>
          </w:p>
          <w:p w:rsidR="00FD7E6A" w:rsidRPr="00AC2660" w:rsidRDefault="00FD7E6A" w:rsidP="00FD7E6A">
            <w:pPr>
              <w:widowControl/>
              <w:jc w:val="left"/>
              <w:rPr>
                <w:rFonts w:ascii="Arial Narrow" w:eastAsia="SimSun" w:hAnsi="Arial Narrow"/>
                <w:snapToGrid/>
                <w:sz w:val="20"/>
                <w:lang w:eastAsia="en-AU"/>
              </w:rPr>
            </w:pPr>
            <w:r w:rsidRPr="00AC2660">
              <w:rPr>
                <w:rFonts w:ascii="Arial Narrow" w:eastAsia="SimSun" w:hAnsi="Arial Narrow"/>
                <w:snapToGrid/>
                <w:sz w:val="20"/>
                <w:lang w:eastAsia="en-AU"/>
              </w:rPr>
              <w:t xml:space="preserve">The treatment must be in combination with glucocorticoids; </w:t>
            </w:r>
          </w:p>
          <w:p w:rsidR="00FD7E6A" w:rsidRPr="00AC2660" w:rsidRDefault="00FD7E6A" w:rsidP="00FD7E6A">
            <w:pPr>
              <w:widowControl/>
              <w:jc w:val="left"/>
              <w:rPr>
                <w:rFonts w:ascii="Arial Narrow" w:eastAsia="SimSun" w:hAnsi="Arial Narrow"/>
                <w:snapToGrid/>
                <w:sz w:val="20"/>
                <w:lang w:eastAsia="en-AU"/>
              </w:rPr>
            </w:pPr>
          </w:p>
          <w:p w:rsidR="00FD7E6A" w:rsidRPr="00AC2660" w:rsidRDefault="00FD7E6A" w:rsidP="00FD7E6A">
            <w:pPr>
              <w:widowControl/>
              <w:jc w:val="left"/>
              <w:rPr>
                <w:rFonts w:ascii="Arial Narrow" w:eastAsia="SimSun" w:hAnsi="Arial Narrow"/>
                <w:snapToGrid/>
                <w:sz w:val="20"/>
                <w:lang w:eastAsia="en-AU"/>
              </w:rPr>
            </w:pPr>
            <w:r w:rsidRPr="00AC2660">
              <w:rPr>
                <w:rFonts w:ascii="Arial Narrow" w:eastAsia="SimSun" w:hAnsi="Arial Narrow"/>
                <w:snapToGrid/>
                <w:sz w:val="20"/>
                <w:lang w:eastAsia="en-AU"/>
              </w:rPr>
              <w:t xml:space="preserve">AND </w:t>
            </w:r>
          </w:p>
          <w:p w:rsidR="00FD7E6A" w:rsidRPr="00AC2660" w:rsidRDefault="00FD7E6A" w:rsidP="00FD7E6A">
            <w:pPr>
              <w:widowControl/>
              <w:jc w:val="left"/>
              <w:rPr>
                <w:rFonts w:ascii="Arial Narrow" w:eastAsia="SimSun" w:hAnsi="Arial Narrow"/>
                <w:snapToGrid/>
                <w:sz w:val="20"/>
                <w:lang w:eastAsia="en-AU"/>
              </w:rPr>
            </w:pPr>
          </w:p>
          <w:p w:rsidR="00FD7E6A" w:rsidRPr="00AC2660" w:rsidRDefault="00FD7E6A" w:rsidP="00FD7E6A">
            <w:pPr>
              <w:widowControl/>
              <w:jc w:val="left"/>
              <w:rPr>
                <w:rFonts w:ascii="Arial Narrow" w:eastAsia="SimSun" w:hAnsi="Arial Narrow"/>
                <w:strike/>
                <w:snapToGrid/>
                <w:sz w:val="20"/>
                <w:lang w:eastAsia="en-AU"/>
              </w:rPr>
            </w:pPr>
            <w:r w:rsidRPr="00AC2660">
              <w:rPr>
                <w:rFonts w:ascii="Arial Narrow" w:eastAsia="SimSun" w:hAnsi="Arial Narrow"/>
                <w:snapToGrid/>
                <w:sz w:val="20"/>
                <w:lang w:eastAsia="en-AU"/>
              </w:rPr>
              <w:lastRenderedPageBreak/>
              <w:t xml:space="preserve">Patient must have severe active GPA with risk of end-organ damage or mortality </w:t>
            </w:r>
            <w:r w:rsidRPr="00AC2660">
              <w:rPr>
                <w:rFonts w:ascii="Arial Narrow" w:eastAsia="SimSun" w:hAnsi="Arial Narrow" w:cs="Times New Roman"/>
                <w:strike/>
                <w:snapToGrid/>
                <w:sz w:val="20"/>
                <w:szCs w:val="24"/>
                <w:lang w:eastAsia="en-AU"/>
              </w:rPr>
              <w:t>such as</w:t>
            </w:r>
          </w:p>
          <w:p w:rsidR="00FD7E6A" w:rsidRPr="00AC2660" w:rsidRDefault="00FD7E6A" w:rsidP="00DD3A69">
            <w:pPr>
              <w:keepNext/>
              <w:keepLines/>
              <w:widowControl/>
              <w:numPr>
                <w:ilvl w:val="0"/>
                <w:numId w:val="3"/>
              </w:numPr>
              <w:contextualSpacing/>
              <w:jc w:val="left"/>
              <w:rPr>
                <w:rFonts w:ascii="Arial Narrow" w:eastAsia="SimSun" w:hAnsi="Arial Narrow"/>
                <w:strike/>
                <w:sz w:val="20"/>
              </w:rPr>
            </w:pPr>
            <w:r w:rsidRPr="00AC2660">
              <w:rPr>
                <w:rFonts w:ascii="Arial Narrow" w:eastAsia="SimSun" w:hAnsi="Arial Narrow"/>
                <w:strike/>
                <w:sz w:val="20"/>
              </w:rPr>
              <w:t xml:space="preserve">Glomerulonephritis with risk of progression </w:t>
            </w:r>
          </w:p>
          <w:p w:rsidR="00FD7E6A" w:rsidRPr="00AC2660" w:rsidRDefault="00FD7E6A" w:rsidP="00DD3A69">
            <w:pPr>
              <w:keepNext/>
              <w:keepLines/>
              <w:widowControl/>
              <w:numPr>
                <w:ilvl w:val="0"/>
                <w:numId w:val="3"/>
              </w:numPr>
              <w:contextualSpacing/>
              <w:jc w:val="left"/>
              <w:rPr>
                <w:rFonts w:ascii="Arial Narrow" w:eastAsia="SimSun" w:hAnsi="Arial Narrow"/>
                <w:strike/>
                <w:sz w:val="20"/>
              </w:rPr>
            </w:pPr>
            <w:r w:rsidRPr="00AC2660">
              <w:rPr>
                <w:rFonts w:ascii="Arial Narrow" w:eastAsia="SimSun" w:hAnsi="Arial Narrow"/>
                <w:strike/>
                <w:sz w:val="20"/>
              </w:rPr>
              <w:t xml:space="preserve">Risk to sight including scleritis/episcleritis, sudden visual loss, uveitis, retinal changes (vasculitis/thrombosis/exudates/haemorrhage) </w:t>
            </w:r>
          </w:p>
          <w:p w:rsidR="00FD7E6A" w:rsidRPr="00AC2660" w:rsidRDefault="00FD7E6A" w:rsidP="00DD3A69">
            <w:pPr>
              <w:keepNext/>
              <w:keepLines/>
              <w:widowControl/>
              <w:numPr>
                <w:ilvl w:val="0"/>
                <w:numId w:val="4"/>
              </w:numPr>
              <w:contextualSpacing/>
              <w:jc w:val="left"/>
              <w:rPr>
                <w:rFonts w:ascii="Arial Narrow" w:eastAsia="SimSun" w:hAnsi="Arial Narrow"/>
                <w:strike/>
                <w:sz w:val="20"/>
              </w:rPr>
            </w:pPr>
            <w:r w:rsidRPr="00AC2660">
              <w:rPr>
                <w:rFonts w:ascii="Arial Narrow" w:eastAsia="SimSun" w:hAnsi="Arial Narrow"/>
                <w:strike/>
                <w:sz w:val="20"/>
              </w:rPr>
              <w:t xml:space="preserve">Bronchial/subglottic obstruction </w:t>
            </w:r>
          </w:p>
          <w:p w:rsidR="00FD7E6A" w:rsidRPr="00AC2660" w:rsidRDefault="00FD7E6A" w:rsidP="00DD3A69">
            <w:pPr>
              <w:keepNext/>
              <w:keepLines/>
              <w:widowControl/>
              <w:numPr>
                <w:ilvl w:val="0"/>
                <w:numId w:val="4"/>
              </w:numPr>
              <w:contextualSpacing/>
              <w:jc w:val="left"/>
              <w:rPr>
                <w:rFonts w:ascii="Arial Narrow" w:eastAsia="SimSun" w:hAnsi="Arial Narrow"/>
                <w:strike/>
                <w:sz w:val="20"/>
              </w:rPr>
            </w:pPr>
            <w:r w:rsidRPr="00AC2660">
              <w:rPr>
                <w:rFonts w:ascii="Arial Narrow" w:eastAsia="SimSun" w:hAnsi="Arial Narrow"/>
                <w:strike/>
                <w:sz w:val="20"/>
              </w:rPr>
              <w:t xml:space="preserve">Pulmonary haemorrhage </w:t>
            </w:r>
          </w:p>
          <w:p w:rsidR="00FD7E6A" w:rsidRPr="00AC2660" w:rsidRDefault="00FD7E6A" w:rsidP="00DD3A69">
            <w:pPr>
              <w:keepNext/>
              <w:keepLines/>
              <w:widowControl/>
              <w:numPr>
                <w:ilvl w:val="0"/>
                <w:numId w:val="4"/>
              </w:numPr>
              <w:contextualSpacing/>
              <w:jc w:val="left"/>
              <w:rPr>
                <w:rFonts w:ascii="Arial Narrow" w:eastAsia="SimSun" w:hAnsi="Arial Narrow"/>
                <w:strike/>
                <w:sz w:val="20"/>
              </w:rPr>
            </w:pPr>
            <w:r w:rsidRPr="00AC2660">
              <w:rPr>
                <w:rFonts w:ascii="Arial Narrow" w:eastAsia="SimSun" w:hAnsi="Arial Narrow"/>
                <w:strike/>
                <w:sz w:val="20"/>
              </w:rPr>
              <w:t xml:space="preserve">Parenchymal lung disease </w:t>
            </w:r>
          </w:p>
          <w:p w:rsidR="00FD7E6A" w:rsidRPr="00AC2660" w:rsidRDefault="00FD7E6A" w:rsidP="00DD3A69">
            <w:pPr>
              <w:keepNext/>
              <w:keepLines/>
              <w:widowControl/>
              <w:numPr>
                <w:ilvl w:val="0"/>
                <w:numId w:val="4"/>
              </w:numPr>
              <w:contextualSpacing/>
              <w:jc w:val="left"/>
              <w:rPr>
                <w:rFonts w:ascii="Arial Narrow" w:eastAsia="SimSun" w:hAnsi="Arial Narrow"/>
                <w:strike/>
                <w:sz w:val="20"/>
              </w:rPr>
            </w:pPr>
            <w:r w:rsidRPr="00AC2660">
              <w:rPr>
                <w:rFonts w:ascii="Arial Narrow" w:eastAsia="SimSun" w:hAnsi="Arial Narrow"/>
                <w:strike/>
                <w:sz w:val="20"/>
              </w:rPr>
              <w:t xml:space="preserve">Sensory neural hearing loss </w:t>
            </w:r>
          </w:p>
          <w:p w:rsidR="00FD7E6A" w:rsidRPr="00AC2660" w:rsidRDefault="00FD7E6A" w:rsidP="00DD3A69">
            <w:pPr>
              <w:keepNext/>
              <w:keepLines/>
              <w:widowControl/>
              <w:numPr>
                <w:ilvl w:val="0"/>
                <w:numId w:val="4"/>
              </w:numPr>
              <w:contextualSpacing/>
              <w:jc w:val="left"/>
              <w:rPr>
                <w:rFonts w:ascii="Arial Narrow" w:eastAsia="SimSun" w:hAnsi="Arial Narrow"/>
                <w:strike/>
                <w:sz w:val="20"/>
              </w:rPr>
            </w:pPr>
            <w:r w:rsidRPr="00AC2660">
              <w:rPr>
                <w:rFonts w:ascii="Arial Narrow" w:eastAsia="SimSun" w:hAnsi="Arial Narrow"/>
                <w:strike/>
                <w:sz w:val="20"/>
              </w:rPr>
              <w:t xml:space="preserve">Recurrent sinonasal disease requiring recurrent surgical interventions </w:t>
            </w:r>
          </w:p>
          <w:p w:rsidR="00FD7E6A" w:rsidRPr="00AC2660" w:rsidRDefault="00FD7E6A" w:rsidP="00DD3A69">
            <w:pPr>
              <w:keepNext/>
              <w:keepLines/>
              <w:widowControl/>
              <w:numPr>
                <w:ilvl w:val="0"/>
                <w:numId w:val="4"/>
              </w:numPr>
              <w:contextualSpacing/>
              <w:jc w:val="left"/>
              <w:rPr>
                <w:rFonts w:ascii="Arial Narrow" w:eastAsia="SimSun" w:hAnsi="Arial Narrow"/>
                <w:strike/>
                <w:sz w:val="20"/>
              </w:rPr>
            </w:pPr>
            <w:r w:rsidRPr="00AC2660">
              <w:rPr>
                <w:rFonts w:ascii="Arial Narrow" w:eastAsia="SimSun" w:hAnsi="Arial Narrow"/>
                <w:strike/>
                <w:sz w:val="20"/>
              </w:rPr>
              <w:t>Meningitis, organic confusion, seizures, stroke, cord lesion, cranial nerve palsy, sensory peripheral neuropathy, motor mononeuritis multiplex</w:t>
            </w:r>
          </w:p>
          <w:p w:rsidR="00FD7E6A" w:rsidRPr="00AC2660" w:rsidRDefault="00FD7E6A" w:rsidP="00FD7E6A">
            <w:pPr>
              <w:widowControl/>
              <w:jc w:val="left"/>
              <w:rPr>
                <w:rFonts w:ascii="Arial Narrow" w:eastAsia="SimSun" w:hAnsi="Arial Narrow"/>
                <w:snapToGrid/>
                <w:sz w:val="20"/>
                <w:lang w:eastAsia="en-AU"/>
              </w:rPr>
            </w:pPr>
            <w:r w:rsidRPr="00AC2660">
              <w:rPr>
                <w:rFonts w:ascii="Arial Narrow" w:eastAsia="SimSun" w:hAnsi="Arial Narrow"/>
                <w:snapToGrid/>
                <w:sz w:val="20"/>
                <w:lang w:eastAsia="en-AU"/>
              </w:rPr>
              <w:t>AND</w:t>
            </w:r>
          </w:p>
          <w:p w:rsidR="00FD7E6A" w:rsidRPr="00AC2660" w:rsidRDefault="00FD7E6A" w:rsidP="00FD7E6A">
            <w:pPr>
              <w:widowControl/>
              <w:jc w:val="left"/>
              <w:rPr>
                <w:rFonts w:ascii="Arial Narrow" w:eastAsia="SimSun" w:hAnsi="Arial Narrow"/>
                <w:snapToGrid/>
                <w:sz w:val="20"/>
                <w:lang w:eastAsia="en-AU"/>
              </w:rPr>
            </w:pPr>
          </w:p>
          <w:p w:rsidR="00FD7E6A" w:rsidRPr="00AC2660" w:rsidRDefault="00FD7E6A" w:rsidP="00FD7E6A">
            <w:pPr>
              <w:widowControl/>
              <w:jc w:val="left"/>
              <w:rPr>
                <w:rFonts w:ascii="Arial Narrow" w:eastAsia="SimSun" w:hAnsi="Arial Narrow"/>
                <w:snapToGrid/>
                <w:sz w:val="20"/>
                <w:lang w:eastAsia="en-AU"/>
              </w:rPr>
            </w:pPr>
            <w:r w:rsidRPr="00AC2660">
              <w:rPr>
                <w:rFonts w:ascii="Arial Narrow" w:eastAsia="SimSun" w:hAnsi="Arial Narrow"/>
                <w:snapToGrid/>
                <w:sz w:val="20"/>
                <w:lang w:eastAsia="en-AU"/>
              </w:rPr>
              <w:t xml:space="preserve">Patients must be </w:t>
            </w:r>
            <w:r w:rsidRPr="00AC2660">
              <w:rPr>
                <w:rFonts w:ascii="Arial Narrow" w:eastAsia="SimSun" w:hAnsi="Arial Narrow"/>
                <w:strike/>
                <w:snapToGrid/>
                <w:sz w:val="20"/>
                <w:lang w:eastAsia="en-AU"/>
              </w:rPr>
              <w:t>contradicted or refractory</w:t>
            </w:r>
            <w:r w:rsidRPr="00AC2660">
              <w:rPr>
                <w:rFonts w:ascii="Arial Narrow" w:eastAsia="SimSun" w:hAnsi="Arial Narrow"/>
                <w:snapToGrid/>
                <w:sz w:val="20"/>
                <w:lang w:eastAsia="en-AU"/>
              </w:rPr>
              <w:t xml:space="preserve"> </w:t>
            </w:r>
            <w:r w:rsidRPr="00AC2660">
              <w:rPr>
                <w:rFonts w:ascii="Arial Narrow" w:eastAsia="SimSun" w:hAnsi="Arial Narrow"/>
                <w:i/>
                <w:snapToGrid/>
                <w:sz w:val="20"/>
                <w:lang w:eastAsia="en-AU"/>
              </w:rPr>
              <w:t>unable</w:t>
            </w:r>
            <w:r w:rsidRPr="00AC2660">
              <w:rPr>
                <w:rFonts w:ascii="Arial Narrow" w:eastAsia="SimSun" w:hAnsi="Arial Narrow"/>
                <w:snapToGrid/>
                <w:sz w:val="20"/>
                <w:lang w:eastAsia="en-AU"/>
              </w:rPr>
              <w:t xml:space="preserve"> to</w:t>
            </w:r>
            <w:r w:rsidRPr="00AC2660">
              <w:rPr>
                <w:rFonts w:ascii="Arial Narrow" w:eastAsia="SimSun" w:hAnsi="Arial Narrow"/>
                <w:i/>
                <w:snapToGrid/>
                <w:sz w:val="20"/>
                <w:lang w:eastAsia="en-AU"/>
              </w:rPr>
              <w:t xml:space="preserve"> use</w:t>
            </w:r>
            <w:r w:rsidRPr="00AC2660">
              <w:rPr>
                <w:rFonts w:ascii="Arial Narrow" w:eastAsia="SimSun" w:hAnsi="Arial Narrow"/>
                <w:snapToGrid/>
                <w:sz w:val="20"/>
                <w:lang w:eastAsia="en-AU"/>
              </w:rPr>
              <w:t xml:space="preserve"> cyclophosphamide</w:t>
            </w:r>
          </w:p>
          <w:p w:rsidR="00FD7E6A" w:rsidRPr="00AC2660" w:rsidRDefault="00FD7E6A" w:rsidP="00FD7E6A">
            <w:pPr>
              <w:widowControl/>
              <w:rPr>
                <w:rFonts w:ascii="Arial Narrow" w:eastAsia="SimSun" w:hAnsi="Arial Narrow"/>
                <w:snapToGrid/>
                <w:sz w:val="20"/>
                <w:lang w:eastAsia="en-AU"/>
              </w:rPr>
            </w:pPr>
          </w:p>
        </w:tc>
      </w:tr>
      <w:tr w:rsidR="00FD7E6A" w:rsidRPr="00AC2660" w:rsidTr="00FD7E6A">
        <w:trPr>
          <w:cantSplit/>
          <w:trHeight w:val="360"/>
        </w:trPr>
        <w:tc>
          <w:tcPr>
            <w:tcW w:w="2126" w:type="dxa"/>
            <w:tcBorders>
              <w:top w:val="single" w:sz="4" w:space="0" w:color="auto"/>
              <w:left w:val="single" w:sz="4" w:space="0" w:color="auto"/>
              <w:bottom w:val="single" w:sz="4" w:space="0" w:color="auto"/>
              <w:right w:val="single" w:sz="4" w:space="0" w:color="auto"/>
            </w:tcBorders>
          </w:tcPr>
          <w:p w:rsidR="00FD7E6A" w:rsidRPr="00AC2660" w:rsidRDefault="00FD7E6A" w:rsidP="00FD7E6A">
            <w:pPr>
              <w:widowControl/>
              <w:rPr>
                <w:rFonts w:ascii="Arial Narrow" w:eastAsia="SimSun" w:hAnsi="Arial Narrow"/>
                <w:b/>
                <w:snapToGrid/>
                <w:sz w:val="20"/>
                <w:lang w:eastAsia="en-AU"/>
              </w:rPr>
            </w:pPr>
            <w:r w:rsidRPr="00AC2660">
              <w:rPr>
                <w:rFonts w:ascii="Arial Narrow" w:eastAsia="SimSun" w:hAnsi="Arial Narrow"/>
                <w:b/>
                <w:snapToGrid/>
                <w:sz w:val="20"/>
                <w:lang w:eastAsia="en-AU"/>
              </w:rPr>
              <w:lastRenderedPageBreak/>
              <w:t>Definitions</w:t>
            </w:r>
          </w:p>
          <w:p w:rsidR="00FD7E6A" w:rsidRPr="00AC2660" w:rsidRDefault="00FD7E6A" w:rsidP="00FD7E6A">
            <w:pPr>
              <w:widowControl/>
              <w:rPr>
                <w:rFonts w:ascii="Arial Narrow" w:eastAsia="SimSun"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D7E6A" w:rsidRPr="00AC2660" w:rsidRDefault="00FD7E6A" w:rsidP="00FD7E6A">
            <w:pPr>
              <w:widowControl/>
              <w:jc w:val="left"/>
              <w:rPr>
                <w:rFonts w:ascii="Arial Narrow" w:eastAsia="SimSun" w:hAnsi="Arial Narrow"/>
                <w:i/>
                <w:snapToGrid/>
                <w:sz w:val="20"/>
                <w:lang w:eastAsia="en-AU"/>
              </w:rPr>
            </w:pPr>
            <w:r w:rsidRPr="00AC2660">
              <w:rPr>
                <w:rFonts w:ascii="Arial Narrow" w:eastAsia="SimSun" w:hAnsi="Arial Narrow"/>
                <w:i/>
                <w:snapToGrid/>
                <w:sz w:val="20"/>
                <w:lang w:eastAsia="en-AU"/>
              </w:rPr>
              <w:t xml:space="preserve">Risk of end-organ damage or mortality is defined as: </w:t>
            </w:r>
          </w:p>
          <w:p w:rsidR="00FD7E6A" w:rsidRPr="00AC2660" w:rsidRDefault="00FD7E6A" w:rsidP="00DD3A69">
            <w:pPr>
              <w:keepNext/>
              <w:keepLines/>
              <w:widowControl/>
              <w:numPr>
                <w:ilvl w:val="0"/>
                <w:numId w:val="3"/>
              </w:numPr>
              <w:contextualSpacing/>
              <w:jc w:val="left"/>
              <w:rPr>
                <w:rFonts w:ascii="Arial Narrow" w:eastAsia="SimSun" w:hAnsi="Arial Narrow"/>
                <w:i/>
                <w:sz w:val="20"/>
              </w:rPr>
            </w:pPr>
            <w:r w:rsidRPr="00AC2660">
              <w:rPr>
                <w:rFonts w:ascii="Arial Narrow" w:eastAsia="SimSun" w:hAnsi="Arial Narrow"/>
                <w:i/>
                <w:sz w:val="20"/>
              </w:rPr>
              <w:t xml:space="preserve">Glomerulonephritis with risk of progression </w:t>
            </w:r>
          </w:p>
          <w:p w:rsidR="00FD7E6A" w:rsidRPr="00AC2660" w:rsidRDefault="00FD7E6A" w:rsidP="00DD3A69">
            <w:pPr>
              <w:keepNext/>
              <w:keepLines/>
              <w:widowControl/>
              <w:numPr>
                <w:ilvl w:val="0"/>
                <w:numId w:val="3"/>
              </w:numPr>
              <w:contextualSpacing/>
              <w:jc w:val="left"/>
              <w:rPr>
                <w:rFonts w:ascii="Arial Narrow" w:eastAsia="SimSun" w:hAnsi="Arial Narrow"/>
                <w:i/>
                <w:sz w:val="20"/>
              </w:rPr>
            </w:pPr>
            <w:r w:rsidRPr="00AC2660">
              <w:rPr>
                <w:rFonts w:ascii="Arial Narrow" w:eastAsia="SimSun" w:hAnsi="Arial Narrow"/>
                <w:i/>
                <w:sz w:val="20"/>
              </w:rPr>
              <w:t xml:space="preserve">Risk to sight including scleritis/episcleritis, sudden visual loss, uveitis, retinal changes (vasculitis/thrombosis/exudates/haemorrhage) </w:t>
            </w:r>
          </w:p>
          <w:p w:rsidR="00FD7E6A" w:rsidRPr="00AC2660" w:rsidRDefault="00FD7E6A" w:rsidP="00DD3A69">
            <w:pPr>
              <w:keepNext/>
              <w:keepLines/>
              <w:widowControl/>
              <w:numPr>
                <w:ilvl w:val="0"/>
                <w:numId w:val="4"/>
              </w:numPr>
              <w:contextualSpacing/>
              <w:jc w:val="left"/>
              <w:rPr>
                <w:rFonts w:ascii="Arial Narrow" w:eastAsia="SimSun" w:hAnsi="Arial Narrow"/>
                <w:i/>
                <w:sz w:val="20"/>
              </w:rPr>
            </w:pPr>
            <w:r w:rsidRPr="00AC2660">
              <w:rPr>
                <w:rFonts w:ascii="Arial Narrow" w:eastAsia="SimSun" w:hAnsi="Arial Narrow"/>
                <w:i/>
                <w:sz w:val="20"/>
              </w:rPr>
              <w:t xml:space="preserve">Bronchial/subglottic obstruction </w:t>
            </w:r>
          </w:p>
          <w:p w:rsidR="00FD7E6A" w:rsidRPr="00AC2660" w:rsidRDefault="00FD7E6A" w:rsidP="00DD3A69">
            <w:pPr>
              <w:keepNext/>
              <w:keepLines/>
              <w:widowControl/>
              <w:numPr>
                <w:ilvl w:val="0"/>
                <w:numId w:val="4"/>
              </w:numPr>
              <w:contextualSpacing/>
              <w:jc w:val="left"/>
              <w:rPr>
                <w:rFonts w:ascii="Arial Narrow" w:eastAsia="SimSun" w:hAnsi="Arial Narrow"/>
                <w:i/>
                <w:sz w:val="20"/>
              </w:rPr>
            </w:pPr>
            <w:r w:rsidRPr="00AC2660">
              <w:rPr>
                <w:rFonts w:ascii="Arial Narrow" w:eastAsia="SimSun" w:hAnsi="Arial Narrow"/>
                <w:i/>
                <w:sz w:val="20"/>
              </w:rPr>
              <w:t xml:space="preserve">Pulmonary haemorrhage </w:t>
            </w:r>
          </w:p>
          <w:p w:rsidR="00FD7E6A" w:rsidRPr="00AC2660" w:rsidRDefault="00FD7E6A" w:rsidP="00DD3A69">
            <w:pPr>
              <w:keepNext/>
              <w:keepLines/>
              <w:widowControl/>
              <w:numPr>
                <w:ilvl w:val="0"/>
                <w:numId w:val="4"/>
              </w:numPr>
              <w:contextualSpacing/>
              <w:jc w:val="left"/>
              <w:rPr>
                <w:rFonts w:ascii="Arial Narrow" w:eastAsia="SimSun" w:hAnsi="Arial Narrow"/>
                <w:i/>
                <w:sz w:val="20"/>
              </w:rPr>
            </w:pPr>
            <w:r w:rsidRPr="00AC2660">
              <w:rPr>
                <w:rFonts w:ascii="Arial Narrow" w:eastAsia="SimSun" w:hAnsi="Arial Narrow"/>
                <w:i/>
                <w:sz w:val="20"/>
              </w:rPr>
              <w:t xml:space="preserve">Parenchymal lung disease </w:t>
            </w:r>
          </w:p>
          <w:p w:rsidR="00FD7E6A" w:rsidRPr="00AC2660" w:rsidRDefault="00FD7E6A" w:rsidP="00DD3A69">
            <w:pPr>
              <w:keepNext/>
              <w:keepLines/>
              <w:widowControl/>
              <w:numPr>
                <w:ilvl w:val="0"/>
                <w:numId w:val="4"/>
              </w:numPr>
              <w:contextualSpacing/>
              <w:jc w:val="left"/>
              <w:rPr>
                <w:rFonts w:ascii="Arial Narrow" w:eastAsia="SimSun" w:hAnsi="Arial Narrow"/>
                <w:i/>
                <w:sz w:val="20"/>
              </w:rPr>
            </w:pPr>
            <w:r w:rsidRPr="00AC2660">
              <w:rPr>
                <w:rFonts w:ascii="Arial Narrow" w:eastAsia="SimSun" w:hAnsi="Arial Narrow"/>
                <w:i/>
                <w:sz w:val="20"/>
              </w:rPr>
              <w:t xml:space="preserve">Sensory neural hearing loss </w:t>
            </w:r>
          </w:p>
          <w:p w:rsidR="00FD7E6A" w:rsidRPr="00AC2660" w:rsidRDefault="00FD7E6A" w:rsidP="00DD3A69">
            <w:pPr>
              <w:keepNext/>
              <w:keepLines/>
              <w:widowControl/>
              <w:numPr>
                <w:ilvl w:val="0"/>
                <w:numId w:val="4"/>
              </w:numPr>
              <w:contextualSpacing/>
              <w:jc w:val="left"/>
              <w:rPr>
                <w:rFonts w:ascii="Arial Narrow" w:eastAsia="SimSun" w:hAnsi="Arial Narrow"/>
                <w:i/>
                <w:sz w:val="20"/>
              </w:rPr>
            </w:pPr>
            <w:r w:rsidRPr="00AC2660">
              <w:rPr>
                <w:rFonts w:ascii="Arial Narrow" w:eastAsia="SimSun" w:hAnsi="Arial Narrow"/>
                <w:i/>
                <w:sz w:val="20"/>
              </w:rPr>
              <w:t xml:space="preserve">Recurrent sinonasal disease requiring recurrent surgical interventions </w:t>
            </w:r>
          </w:p>
          <w:p w:rsidR="00FD7E6A" w:rsidRPr="00AC2660" w:rsidRDefault="00FD7E6A" w:rsidP="00DD3A69">
            <w:pPr>
              <w:keepNext/>
              <w:keepLines/>
              <w:widowControl/>
              <w:numPr>
                <w:ilvl w:val="0"/>
                <w:numId w:val="4"/>
              </w:numPr>
              <w:contextualSpacing/>
              <w:jc w:val="left"/>
              <w:rPr>
                <w:rFonts w:ascii="Arial Narrow" w:eastAsia="SimSun" w:hAnsi="Arial Narrow"/>
                <w:i/>
                <w:sz w:val="20"/>
              </w:rPr>
            </w:pPr>
            <w:r w:rsidRPr="00AC2660">
              <w:rPr>
                <w:rFonts w:ascii="Arial Narrow" w:eastAsia="SimSun" w:hAnsi="Arial Narrow"/>
                <w:i/>
                <w:sz w:val="20"/>
              </w:rPr>
              <w:t>Meningitis, organic confusion, seizures, stroke, cord lesion, cranial nerve palsy, sensory peripheral neuropathy, motor mononeuritis multiplex</w:t>
            </w:r>
          </w:p>
          <w:p w:rsidR="00FD7E6A" w:rsidRPr="00AC2660" w:rsidRDefault="00FD7E6A" w:rsidP="00FD7E6A">
            <w:pPr>
              <w:widowControl/>
              <w:jc w:val="left"/>
              <w:rPr>
                <w:rFonts w:ascii="Arial Narrow" w:eastAsia="SimSun" w:hAnsi="Arial Narrow"/>
                <w:snapToGrid/>
                <w:sz w:val="20"/>
                <w:lang w:eastAsia="en-AU"/>
              </w:rPr>
            </w:pPr>
          </w:p>
        </w:tc>
      </w:tr>
      <w:tr w:rsidR="00FD7E6A" w:rsidRPr="00AC2660" w:rsidTr="00781655">
        <w:trPr>
          <w:trHeight w:val="360"/>
        </w:trPr>
        <w:tc>
          <w:tcPr>
            <w:tcW w:w="2126" w:type="dxa"/>
            <w:tcBorders>
              <w:top w:val="single" w:sz="4" w:space="0" w:color="auto"/>
              <w:left w:val="single" w:sz="4" w:space="0" w:color="auto"/>
              <w:bottom w:val="single" w:sz="4" w:space="0" w:color="auto"/>
              <w:right w:val="single" w:sz="4" w:space="0" w:color="auto"/>
            </w:tcBorders>
          </w:tcPr>
          <w:p w:rsidR="00FD7E6A" w:rsidRPr="00AC2660" w:rsidRDefault="00FD7E6A" w:rsidP="00FD7E6A">
            <w:pPr>
              <w:widowControl/>
              <w:rPr>
                <w:rFonts w:ascii="Arial Narrow" w:eastAsia="SimSun" w:hAnsi="Arial Narrow"/>
                <w:b/>
                <w:snapToGrid/>
                <w:sz w:val="20"/>
                <w:lang w:eastAsia="en-AU"/>
              </w:rPr>
            </w:pPr>
            <w:r w:rsidRPr="00AC2660">
              <w:rPr>
                <w:rFonts w:ascii="Arial Narrow" w:eastAsia="SimSun" w:hAnsi="Arial Narrow"/>
                <w:b/>
                <w:snapToGrid/>
                <w:sz w:val="20"/>
                <w:lang w:eastAsia="en-AU"/>
              </w:rPr>
              <w:t>Prescriber Instructions</w:t>
            </w:r>
          </w:p>
          <w:p w:rsidR="00FD7E6A" w:rsidRPr="00AC2660" w:rsidRDefault="00FD7E6A" w:rsidP="00FD7E6A">
            <w:pPr>
              <w:widowControl/>
              <w:rPr>
                <w:rFonts w:ascii="Arial Narrow" w:eastAsia="SimSun"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D7E6A" w:rsidRPr="00AC2660" w:rsidRDefault="00FD7E6A" w:rsidP="00FD7E6A">
            <w:pPr>
              <w:keepNext/>
              <w:keepLines/>
              <w:contextualSpacing/>
              <w:jc w:val="left"/>
              <w:rPr>
                <w:rFonts w:ascii="Arial Narrow" w:eastAsia="SimSun" w:hAnsi="Arial Narrow"/>
                <w:i/>
                <w:sz w:val="20"/>
                <w:lang w:eastAsia="zh-CN"/>
              </w:rPr>
            </w:pPr>
            <w:r w:rsidRPr="00AC2660">
              <w:rPr>
                <w:rFonts w:ascii="Arial Narrow" w:eastAsia="SimSun" w:hAnsi="Arial Narrow" w:hint="eastAsia"/>
                <w:i/>
                <w:sz w:val="20"/>
                <w:lang w:eastAsia="zh-CN"/>
              </w:rPr>
              <w:t xml:space="preserve">1. </w:t>
            </w:r>
            <w:r w:rsidRPr="00AC2660">
              <w:rPr>
                <w:rFonts w:ascii="Arial Narrow" w:eastAsia="SimSun" w:hAnsi="Arial Narrow"/>
                <w:i/>
                <w:sz w:val="20"/>
                <w:lang w:eastAsia="zh-CN"/>
              </w:rPr>
              <w:t>Diagnosis</w:t>
            </w:r>
            <w:r w:rsidRPr="00AC2660">
              <w:rPr>
                <w:rFonts w:ascii="Arial Narrow" w:eastAsia="SimSun" w:hAnsi="Arial Narrow" w:hint="eastAsia"/>
                <w:i/>
                <w:sz w:val="20"/>
                <w:lang w:eastAsia="zh-CN"/>
              </w:rPr>
              <w:t xml:space="preserve"> should be made according to the Chapel Hill Consensus Conference Nomenclature of the Vasculitides with ANCA positive serology.</w:t>
            </w:r>
          </w:p>
          <w:p w:rsidR="00FD7E6A" w:rsidRPr="00AC2660" w:rsidRDefault="00FD7E6A" w:rsidP="00FD7E6A">
            <w:pPr>
              <w:keepNext/>
              <w:keepLines/>
              <w:contextualSpacing/>
              <w:jc w:val="left"/>
              <w:rPr>
                <w:rFonts w:ascii="Arial Narrow" w:eastAsia="SimSun" w:hAnsi="Arial Narrow"/>
                <w:i/>
                <w:sz w:val="20"/>
                <w:lang w:eastAsia="zh-CN"/>
              </w:rPr>
            </w:pPr>
          </w:p>
          <w:p w:rsidR="00FD7E6A" w:rsidRPr="00AC2660" w:rsidRDefault="00FD7E6A" w:rsidP="00FD7E6A">
            <w:pPr>
              <w:keepNext/>
              <w:keepLines/>
              <w:contextualSpacing/>
              <w:jc w:val="left"/>
              <w:rPr>
                <w:rFonts w:ascii="Arial Narrow" w:eastAsia="SimSun" w:hAnsi="Arial Narrow"/>
                <w:i/>
                <w:sz w:val="20"/>
              </w:rPr>
            </w:pPr>
            <w:r w:rsidRPr="00AC2660">
              <w:rPr>
                <w:rFonts w:ascii="Arial Narrow" w:eastAsia="SimSun" w:hAnsi="Arial Narrow" w:hint="eastAsia"/>
                <w:i/>
                <w:sz w:val="20"/>
                <w:lang w:eastAsia="zh-CN"/>
              </w:rPr>
              <w:t>2.</w:t>
            </w:r>
            <w:r w:rsidRPr="00AC2660">
              <w:rPr>
                <w:rFonts w:ascii="Arial Narrow" w:eastAsia="SimSun" w:hAnsi="Arial Narrow"/>
                <w:i/>
                <w:sz w:val="20"/>
              </w:rPr>
              <w:t xml:space="preserve">Patients are considered unable to use cyclophosphamide for the following reasons: </w:t>
            </w:r>
          </w:p>
          <w:p w:rsidR="00FD7E6A" w:rsidRPr="00AC2660" w:rsidRDefault="00FD7E6A" w:rsidP="00DD3A69">
            <w:pPr>
              <w:keepNext/>
              <w:keepLines/>
              <w:widowControl/>
              <w:numPr>
                <w:ilvl w:val="0"/>
                <w:numId w:val="8"/>
              </w:numPr>
              <w:jc w:val="left"/>
              <w:rPr>
                <w:rFonts w:ascii="Arial Narrow" w:eastAsia="SimSun" w:hAnsi="Arial Narrow" w:cs="Times New Roman"/>
                <w:i/>
                <w:snapToGrid/>
                <w:sz w:val="20"/>
                <w:szCs w:val="24"/>
                <w:lang w:eastAsia="en-AU"/>
              </w:rPr>
            </w:pPr>
            <w:r w:rsidRPr="00AC2660">
              <w:rPr>
                <w:rFonts w:ascii="Arial Narrow" w:eastAsia="SimSun" w:hAnsi="Arial Narrow" w:cs="Times New Roman"/>
                <w:i/>
                <w:snapToGrid/>
                <w:sz w:val="20"/>
                <w:szCs w:val="24"/>
                <w:lang w:eastAsia="en-AU"/>
              </w:rPr>
              <w:t>Cyclophosphamide is contraindicated as per the approved Australian Product Information;</w:t>
            </w:r>
          </w:p>
          <w:p w:rsidR="00FD7E6A" w:rsidRPr="00AC2660" w:rsidRDefault="00FD7E6A" w:rsidP="00FD7E6A">
            <w:pPr>
              <w:keepNext/>
              <w:keepLines/>
              <w:widowControl/>
              <w:jc w:val="left"/>
              <w:rPr>
                <w:rFonts w:ascii="Arial Narrow" w:eastAsia="SimSun" w:hAnsi="Arial Narrow" w:cs="Times New Roman"/>
                <w:i/>
                <w:snapToGrid/>
                <w:sz w:val="20"/>
                <w:szCs w:val="24"/>
                <w:lang w:eastAsia="en-AU"/>
              </w:rPr>
            </w:pPr>
            <w:r w:rsidRPr="00AC2660">
              <w:rPr>
                <w:rFonts w:ascii="Arial Narrow" w:eastAsia="SimSun" w:hAnsi="Arial Narrow" w:cs="Times New Roman"/>
                <w:i/>
                <w:snapToGrid/>
                <w:sz w:val="20"/>
                <w:szCs w:val="24"/>
                <w:lang w:eastAsia="en-AU"/>
              </w:rPr>
              <w:t>OR</w:t>
            </w:r>
          </w:p>
          <w:p w:rsidR="00FD7E6A" w:rsidRPr="00AC2660" w:rsidRDefault="00FD7E6A" w:rsidP="00DD3A69">
            <w:pPr>
              <w:keepNext/>
              <w:keepLines/>
              <w:widowControl/>
              <w:numPr>
                <w:ilvl w:val="0"/>
                <w:numId w:val="8"/>
              </w:numPr>
              <w:jc w:val="left"/>
              <w:rPr>
                <w:rFonts w:ascii="Arial Narrow" w:eastAsia="SimSun" w:hAnsi="Arial Narrow" w:cs="Times New Roman"/>
                <w:i/>
                <w:snapToGrid/>
                <w:sz w:val="20"/>
                <w:szCs w:val="24"/>
                <w:lang w:eastAsia="en-AU"/>
              </w:rPr>
            </w:pPr>
            <w:r w:rsidRPr="00AC2660">
              <w:rPr>
                <w:rFonts w:ascii="Arial Narrow" w:eastAsia="SimSun" w:hAnsi="Arial Narrow" w:cs="Times New Roman"/>
                <w:i/>
                <w:snapToGrid/>
                <w:sz w:val="20"/>
                <w:szCs w:val="24"/>
                <w:lang w:eastAsia="en-AU"/>
              </w:rPr>
              <w:t>Cyclophosphamide is not recommended due to the need to preserve gonad function;</w:t>
            </w:r>
          </w:p>
          <w:p w:rsidR="00FD7E6A" w:rsidRPr="00AC2660" w:rsidRDefault="00FD7E6A" w:rsidP="00FD7E6A">
            <w:pPr>
              <w:keepNext/>
              <w:keepLines/>
              <w:widowControl/>
              <w:jc w:val="left"/>
              <w:rPr>
                <w:rFonts w:ascii="Arial Narrow" w:eastAsia="SimSun" w:hAnsi="Arial Narrow" w:cs="Times New Roman"/>
                <w:i/>
                <w:snapToGrid/>
                <w:sz w:val="20"/>
                <w:szCs w:val="24"/>
                <w:lang w:eastAsia="en-AU"/>
              </w:rPr>
            </w:pPr>
            <w:r w:rsidRPr="00AC2660">
              <w:rPr>
                <w:rFonts w:ascii="Arial Narrow" w:eastAsia="SimSun" w:hAnsi="Arial Narrow" w:cs="Times New Roman"/>
                <w:i/>
                <w:snapToGrid/>
                <w:sz w:val="20"/>
                <w:szCs w:val="24"/>
                <w:lang w:eastAsia="en-AU"/>
              </w:rPr>
              <w:t>OR</w:t>
            </w:r>
          </w:p>
          <w:p w:rsidR="00FD7E6A" w:rsidRPr="00AC2660" w:rsidRDefault="00FD7E6A" w:rsidP="00DD3A69">
            <w:pPr>
              <w:keepNext/>
              <w:keepLines/>
              <w:widowControl/>
              <w:numPr>
                <w:ilvl w:val="0"/>
                <w:numId w:val="8"/>
              </w:numPr>
              <w:jc w:val="left"/>
              <w:rPr>
                <w:rFonts w:ascii="Arial Narrow" w:eastAsia="SimSun" w:hAnsi="Arial Narrow" w:cs="Times New Roman"/>
                <w:i/>
                <w:snapToGrid/>
                <w:sz w:val="20"/>
                <w:szCs w:val="24"/>
                <w:lang w:eastAsia="en-AU"/>
              </w:rPr>
            </w:pPr>
            <w:r w:rsidRPr="00AC2660">
              <w:rPr>
                <w:rFonts w:ascii="Arial Narrow" w:eastAsia="SimSun" w:hAnsi="Arial Narrow" w:cs="Times New Roman"/>
                <w:i/>
                <w:snapToGrid/>
                <w:sz w:val="20"/>
                <w:szCs w:val="24"/>
                <w:lang w:eastAsia="en-AU"/>
              </w:rPr>
              <w:t>Patient experiences severe toxicity to cyclophosphamide that warrants cessation of treatment;</w:t>
            </w:r>
          </w:p>
          <w:p w:rsidR="00FD7E6A" w:rsidRPr="00AC2660" w:rsidRDefault="00FD7E6A" w:rsidP="00FD7E6A">
            <w:pPr>
              <w:keepNext/>
              <w:keepLines/>
              <w:widowControl/>
              <w:jc w:val="left"/>
              <w:rPr>
                <w:rFonts w:ascii="Arial Narrow" w:eastAsia="SimSun" w:hAnsi="Arial Narrow" w:cs="Times New Roman"/>
                <w:i/>
                <w:snapToGrid/>
                <w:sz w:val="20"/>
                <w:szCs w:val="24"/>
                <w:lang w:eastAsia="en-AU"/>
              </w:rPr>
            </w:pPr>
            <w:r w:rsidRPr="00AC2660">
              <w:rPr>
                <w:rFonts w:ascii="Arial Narrow" w:eastAsia="SimSun" w:hAnsi="Arial Narrow" w:cs="Times New Roman"/>
                <w:i/>
                <w:snapToGrid/>
                <w:sz w:val="20"/>
                <w:szCs w:val="24"/>
                <w:lang w:eastAsia="en-AU"/>
              </w:rPr>
              <w:t xml:space="preserve">OR </w:t>
            </w:r>
          </w:p>
          <w:p w:rsidR="00FD7E6A" w:rsidRPr="00AC2660" w:rsidRDefault="00FD7E6A" w:rsidP="00DD3A69">
            <w:pPr>
              <w:keepNext/>
              <w:keepLines/>
              <w:widowControl/>
              <w:numPr>
                <w:ilvl w:val="0"/>
                <w:numId w:val="8"/>
              </w:numPr>
              <w:jc w:val="left"/>
              <w:rPr>
                <w:rFonts w:ascii="Arial Narrow" w:eastAsia="SimSun" w:hAnsi="Arial Narrow" w:cs="Times New Roman"/>
                <w:i/>
                <w:snapToGrid/>
                <w:sz w:val="20"/>
                <w:szCs w:val="24"/>
                <w:lang w:eastAsia="en-AU"/>
              </w:rPr>
            </w:pPr>
            <w:r w:rsidRPr="00AC2660">
              <w:rPr>
                <w:rFonts w:ascii="Arial Narrow" w:eastAsia="SimSun" w:hAnsi="Arial Narrow" w:cs="Times New Roman"/>
                <w:i/>
                <w:snapToGrid/>
                <w:sz w:val="20"/>
                <w:szCs w:val="24"/>
                <w:lang w:eastAsia="en-AU"/>
              </w:rPr>
              <w:t>Patient has life- or organ-threatening deterioration at any time during treatment with cyclophosphamide, where the deterioration is thought to be due to severe uncontrolled active vasculitis;</w:t>
            </w:r>
          </w:p>
          <w:p w:rsidR="00FD7E6A" w:rsidRPr="00AC2660" w:rsidRDefault="00FD7E6A" w:rsidP="00FD7E6A">
            <w:pPr>
              <w:keepNext/>
              <w:keepLines/>
              <w:widowControl/>
              <w:jc w:val="left"/>
              <w:rPr>
                <w:rFonts w:ascii="Arial Narrow" w:eastAsia="SimSun" w:hAnsi="Arial Narrow" w:cs="Times New Roman"/>
                <w:i/>
                <w:snapToGrid/>
                <w:sz w:val="20"/>
                <w:szCs w:val="24"/>
                <w:lang w:eastAsia="en-AU"/>
              </w:rPr>
            </w:pPr>
            <w:r w:rsidRPr="00AC2660">
              <w:rPr>
                <w:rFonts w:ascii="Arial Narrow" w:eastAsia="SimSun" w:hAnsi="Arial Narrow" w:cs="Times New Roman"/>
                <w:i/>
                <w:snapToGrid/>
                <w:sz w:val="20"/>
                <w:szCs w:val="24"/>
                <w:lang w:eastAsia="en-AU"/>
              </w:rPr>
              <w:t>OR</w:t>
            </w:r>
          </w:p>
          <w:p w:rsidR="00FD7E6A" w:rsidRPr="00AC2660" w:rsidRDefault="00FD7E6A" w:rsidP="00DD3A69">
            <w:pPr>
              <w:keepNext/>
              <w:keepLines/>
              <w:widowControl/>
              <w:numPr>
                <w:ilvl w:val="0"/>
                <w:numId w:val="8"/>
              </w:numPr>
              <w:jc w:val="left"/>
              <w:rPr>
                <w:rFonts w:ascii="Arial Narrow" w:eastAsia="SimSun" w:hAnsi="Arial Narrow" w:cs="Times New Roman"/>
                <w:i/>
                <w:snapToGrid/>
                <w:sz w:val="20"/>
                <w:szCs w:val="24"/>
                <w:lang w:eastAsia="en-AU"/>
              </w:rPr>
            </w:pPr>
            <w:r w:rsidRPr="00AC2660">
              <w:rPr>
                <w:rFonts w:ascii="Arial Narrow" w:eastAsia="SimSun" w:hAnsi="Arial Narrow" w:cs="Times New Roman"/>
                <w:i/>
                <w:snapToGrid/>
                <w:sz w:val="20"/>
                <w:szCs w:val="24"/>
                <w:lang w:eastAsia="en-AU"/>
              </w:rPr>
              <w:t>Commencing a further treatment cycle with cyclophosphamide would exceed the maximum cumulative dose of cyclophosphamide of 25g;</w:t>
            </w:r>
          </w:p>
          <w:p w:rsidR="00FD7E6A" w:rsidRPr="00AC2660" w:rsidRDefault="00FD7E6A" w:rsidP="00FD7E6A">
            <w:pPr>
              <w:keepNext/>
              <w:keepLines/>
              <w:widowControl/>
              <w:jc w:val="left"/>
              <w:rPr>
                <w:rFonts w:ascii="Arial Narrow" w:eastAsia="SimSun" w:hAnsi="Arial Narrow" w:cs="Times New Roman"/>
                <w:i/>
                <w:snapToGrid/>
                <w:sz w:val="20"/>
                <w:szCs w:val="24"/>
                <w:lang w:eastAsia="en-AU"/>
              </w:rPr>
            </w:pPr>
            <w:r w:rsidRPr="00AC2660">
              <w:rPr>
                <w:rFonts w:ascii="Arial Narrow" w:eastAsia="SimSun" w:hAnsi="Arial Narrow" w:cs="Times New Roman"/>
                <w:i/>
                <w:snapToGrid/>
                <w:sz w:val="20"/>
                <w:szCs w:val="24"/>
                <w:lang w:eastAsia="en-AU"/>
              </w:rPr>
              <w:t>OR</w:t>
            </w:r>
          </w:p>
          <w:p w:rsidR="00FD7E6A" w:rsidRPr="00AC2660" w:rsidRDefault="00FD7E6A" w:rsidP="00DD3A69">
            <w:pPr>
              <w:keepNext/>
              <w:keepLines/>
              <w:widowControl/>
              <w:numPr>
                <w:ilvl w:val="0"/>
                <w:numId w:val="8"/>
              </w:numPr>
              <w:contextualSpacing/>
              <w:jc w:val="left"/>
              <w:rPr>
                <w:rFonts w:ascii="Arial Narrow" w:eastAsia="SimSun" w:hAnsi="Arial Narrow"/>
                <w:i/>
                <w:sz w:val="20"/>
              </w:rPr>
            </w:pPr>
            <w:r w:rsidRPr="00AC2660">
              <w:rPr>
                <w:rFonts w:ascii="Arial Narrow" w:eastAsia="SimSun" w:hAnsi="Arial Narrow"/>
                <w:i/>
                <w:sz w:val="20"/>
              </w:rPr>
              <w:t>Patient has persistent severe active GPA despite at least 3 months therapy with cyclophosphamide.</w:t>
            </w:r>
          </w:p>
        </w:tc>
      </w:tr>
      <w:tr w:rsidR="00FD7E6A" w:rsidRPr="00AC2660" w:rsidTr="00FD7E6A">
        <w:trPr>
          <w:trHeight w:val="360"/>
        </w:trPr>
        <w:tc>
          <w:tcPr>
            <w:tcW w:w="2126" w:type="dxa"/>
            <w:tcBorders>
              <w:top w:val="single" w:sz="4" w:space="0" w:color="auto"/>
              <w:left w:val="single" w:sz="4" w:space="0" w:color="auto"/>
              <w:bottom w:val="single" w:sz="4" w:space="0" w:color="auto"/>
              <w:right w:val="single" w:sz="4" w:space="0" w:color="auto"/>
            </w:tcBorders>
          </w:tcPr>
          <w:p w:rsidR="00FD7E6A" w:rsidRPr="00AC2660" w:rsidRDefault="00FD7E6A" w:rsidP="00FD7E6A">
            <w:pPr>
              <w:widowControl/>
              <w:rPr>
                <w:rFonts w:ascii="Arial Narrow" w:eastAsia="SimSun" w:hAnsi="Arial Narrow"/>
                <w:b/>
                <w:snapToGrid/>
                <w:sz w:val="20"/>
                <w:lang w:eastAsia="en-AU"/>
              </w:rPr>
            </w:pPr>
            <w:r w:rsidRPr="00AC2660">
              <w:rPr>
                <w:rFonts w:ascii="Arial Narrow" w:eastAsia="SimSun" w:hAnsi="Arial Narrow"/>
                <w:b/>
                <w:snapToGrid/>
                <w:sz w:val="20"/>
                <w:lang w:eastAsia="en-AU"/>
              </w:rPr>
              <w:t>Administrative Advice</w:t>
            </w:r>
          </w:p>
          <w:p w:rsidR="00FD7E6A" w:rsidRPr="00AC2660" w:rsidRDefault="00FD7E6A" w:rsidP="00FD7E6A">
            <w:pPr>
              <w:widowControl/>
              <w:rPr>
                <w:rFonts w:ascii="Arial Narrow" w:eastAsia="SimSun" w:hAnsi="Arial Narrow"/>
                <w:i/>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D7E6A" w:rsidRDefault="00FD7E6A" w:rsidP="00FD7E6A">
            <w:pPr>
              <w:widowControl/>
              <w:spacing w:before="75" w:after="75"/>
              <w:ind w:left="75" w:right="75"/>
              <w:jc w:val="left"/>
              <w:rPr>
                <w:rFonts w:ascii="Arial Narrow" w:eastAsia="SimSun" w:hAnsi="Arial Narrow" w:cs="Times New Roman"/>
                <w:i/>
                <w:snapToGrid/>
                <w:sz w:val="20"/>
                <w:lang w:eastAsia="en-AU"/>
              </w:rPr>
            </w:pPr>
            <w:r w:rsidRPr="00AC2660">
              <w:rPr>
                <w:rFonts w:ascii="Arial Narrow" w:eastAsia="SimSun" w:hAnsi="Arial Narrow" w:cs="Times New Roman"/>
                <w:i/>
                <w:snapToGrid/>
                <w:sz w:val="20"/>
                <w:lang w:eastAsia="en-AU"/>
              </w:rPr>
              <w:t xml:space="preserve">Any queries concerning the arrangements to prescribe may be directed to the Department of Human Services on 1800 700 270 (hours of operation 8 a.m. to 5 p.m. EST Monday to Friday). </w:t>
            </w:r>
          </w:p>
          <w:p w:rsidR="00FD7E6A" w:rsidRPr="00AC2660" w:rsidRDefault="00FD7E6A" w:rsidP="00FD7E6A">
            <w:pPr>
              <w:widowControl/>
              <w:spacing w:before="75" w:after="75"/>
              <w:ind w:right="75"/>
              <w:jc w:val="left"/>
              <w:rPr>
                <w:rFonts w:ascii="Arial Narrow" w:eastAsia="SimSun" w:hAnsi="Arial Narrow" w:cs="Times New Roman"/>
                <w:i/>
                <w:snapToGrid/>
                <w:sz w:val="20"/>
                <w:lang w:eastAsia="en-AU"/>
              </w:rPr>
            </w:pPr>
          </w:p>
          <w:p w:rsidR="00FD7E6A" w:rsidRPr="00AC2660" w:rsidRDefault="00FD7E6A" w:rsidP="00FD7E6A">
            <w:pPr>
              <w:widowControl/>
              <w:spacing w:before="75" w:after="75"/>
              <w:ind w:left="75" w:right="75"/>
              <w:jc w:val="left"/>
              <w:rPr>
                <w:rFonts w:ascii="Arial Narrow" w:eastAsia="SimSun" w:hAnsi="Arial Narrow" w:cs="Times New Roman"/>
                <w:i/>
                <w:snapToGrid/>
                <w:sz w:val="20"/>
                <w:lang w:eastAsia="en-AU"/>
              </w:rPr>
            </w:pPr>
            <w:r w:rsidRPr="00AC2660">
              <w:rPr>
                <w:rFonts w:ascii="Arial Narrow" w:eastAsia="SimSun" w:hAnsi="Arial Narrow" w:cs="Times New Roman"/>
                <w:i/>
                <w:snapToGrid/>
                <w:sz w:val="20"/>
                <w:lang w:eastAsia="en-AU"/>
              </w:rPr>
              <w:t>Prescribing information (including Authority Application forms and other relevant documentation as applicable) is available on the Department of Human Services website at www.humanservices.gov.au</w:t>
            </w:r>
          </w:p>
          <w:p w:rsidR="00FD7E6A" w:rsidRPr="00AC2660" w:rsidRDefault="00FD7E6A" w:rsidP="00FD7E6A">
            <w:pPr>
              <w:widowControl/>
              <w:ind w:left="74" w:right="74"/>
              <w:jc w:val="left"/>
              <w:rPr>
                <w:rFonts w:ascii="Arial Narrow" w:eastAsia="SimSun" w:hAnsi="Arial Narrow" w:cs="Times New Roman"/>
                <w:i/>
                <w:snapToGrid/>
                <w:sz w:val="20"/>
                <w:lang w:eastAsia="en-AU"/>
              </w:rPr>
            </w:pPr>
            <w:r w:rsidRPr="00AC2660">
              <w:rPr>
                <w:rFonts w:ascii="Arial Narrow" w:eastAsia="SimSun" w:hAnsi="Arial Narrow" w:cs="Times New Roman"/>
                <w:i/>
                <w:snapToGrid/>
                <w:sz w:val="20"/>
                <w:lang w:eastAsia="en-AU"/>
              </w:rPr>
              <w:t xml:space="preserve">Written applications for authority to prescribe should be forwarded to: </w:t>
            </w:r>
          </w:p>
          <w:p w:rsidR="00FD7E6A" w:rsidRPr="00AC2660" w:rsidRDefault="00FD7E6A" w:rsidP="00FD7E6A">
            <w:pPr>
              <w:widowControl/>
              <w:ind w:left="74" w:right="74"/>
              <w:jc w:val="left"/>
              <w:rPr>
                <w:rFonts w:ascii="Arial Narrow" w:eastAsia="SimSun" w:hAnsi="Arial Narrow" w:cs="Times New Roman"/>
                <w:i/>
                <w:snapToGrid/>
                <w:sz w:val="20"/>
                <w:lang w:eastAsia="en-AU"/>
              </w:rPr>
            </w:pPr>
            <w:r w:rsidRPr="00AC2660">
              <w:rPr>
                <w:rFonts w:ascii="Arial Narrow" w:eastAsia="SimSun" w:hAnsi="Arial Narrow" w:cs="Times New Roman"/>
                <w:i/>
                <w:snapToGrid/>
                <w:sz w:val="20"/>
                <w:lang w:eastAsia="en-AU"/>
              </w:rPr>
              <w:t>Department of Human Services</w:t>
            </w:r>
          </w:p>
          <w:p w:rsidR="00FD7E6A" w:rsidRPr="00AC2660" w:rsidRDefault="00FD7E6A" w:rsidP="00FD7E6A">
            <w:pPr>
              <w:widowControl/>
              <w:ind w:left="74" w:right="74"/>
              <w:jc w:val="left"/>
              <w:rPr>
                <w:rFonts w:ascii="Arial Narrow" w:eastAsia="SimSun" w:hAnsi="Arial Narrow" w:cs="Times New Roman"/>
                <w:i/>
                <w:snapToGrid/>
                <w:sz w:val="20"/>
                <w:lang w:eastAsia="en-AU"/>
              </w:rPr>
            </w:pPr>
            <w:r w:rsidRPr="00AC2660">
              <w:rPr>
                <w:rFonts w:ascii="Arial Narrow" w:eastAsia="SimSun" w:hAnsi="Arial Narrow" w:cs="Times New Roman"/>
                <w:i/>
                <w:snapToGrid/>
                <w:sz w:val="20"/>
                <w:lang w:eastAsia="en-AU"/>
              </w:rPr>
              <w:t xml:space="preserve">Prior Written Approval of Complex Drugs </w:t>
            </w:r>
          </w:p>
          <w:p w:rsidR="00FD7E6A" w:rsidRPr="00AC2660" w:rsidRDefault="00FD7E6A" w:rsidP="00FD7E6A">
            <w:pPr>
              <w:widowControl/>
              <w:ind w:left="74" w:right="74"/>
              <w:jc w:val="left"/>
              <w:rPr>
                <w:rFonts w:ascii="Arial Narrow" w:eastAsia="SimSun" w:hAnsi="Arial Narrow" w:cs="Times New Roman"/>
                <w:i/>
                <w:snapToGrid/>
                <w:sz w:val="20"/>
                <w:lang w:eastAsia="en-AU"/>
              </w:rPr>
            </w:pPr>
            <w:r w:rsidRPr="00AC2660">
              <w:rPr>
                <w:rFonts w:ascii="Arial Narrow" w:eastAsia="SimSun" w:hAnsi="Arial Narrow" w:cs="Times New Roman"/>
                <w:i/>
                <w:snapToGrid/>
                <w:sz w:val="20"/>
                <w:lang w:eastAsia="en-AU"/>
              </w:rPr>
              <w:t xml:space="preserve">Reply Paid 9826 </w:t>
            </w:r>
          </w:p>
          <w:p w:rsidR="00FD7E6A" w:rsidRPr="00AC2660" w:rsidRDefault="00FD7E6A" w:rsidP="00FD7E6A">
            <w:pPr>
              <w:widowControl/>
              <w:ind w:left="74" w:right="74"/>
              <w:jc w:val="left"/>
              <w:rPr>
                <w:rFonts w:ascii="Arial Narrow" w:eastAsia="SimSun" w:hAnsi="Arial Narrow" w:cs="Times New Roman"/>
                <w:i/>
                <w:snapToGrid/>
                <w:sz w:val="20"/>
                <w:lang w:eastAsia="en-AU"/>
              </w:rPr>
            </w:pPr>
            <w:r w:rsidRPr="00AC2660">
              <w:rPr>
                <w:rFonts w:ascii="Arial Narrow" w:eastAsia="SimSun" w:hAnsi="Arial Narrow" w:cs="Times New Roman"/>
                <w:i/>
                <w:snapToGrid/>
                <w:sz w:val="20"/>
                <w:lang w:eastAsia="en-AU"/>
              </w:rPr>
              <w:t xml:space="preserve">GPO Box 9826 </w:t>
            </w:r>
          </w:p>
          <w:p w:rsidR="00FD7E6A" w:rsidRPr="00AC2660" w:rsidRDefault="00FD7E6A" w:rsidP="00FD7E6A">
            <w:pPr>
              <w:widowControl/>
              <w:ind w:left="74" w:right="74"/>
              <w:jc w:val="left"/>
              <w:rPr>
                <w:rFonts w:ascii="Arial Narrow" w:eastAsia="SimSun" w:hAnsi="Arial Narrow" w:cs="Times New Roman"/>
                <w:i/>
                <w:snapToGrid/>
                <w:sz w:val="20"/>
                <w:lang w:eastAsia="en-AU"/>
              </w:rPr>
            </w:pPr>
            <w:r w:rsidRPr="00AC2660">
              <w:rPr>
                <w:rFonts w:ascii="Arial Narrow" w:eastAsia="SimSun" w:hAnsi="Arial Narrow" w:cs="Times New Roman"/>
                <w:i/>
                <w:snapToGrid/>
                <w:sz w:val="20"/>
                <w:lang w:eastAsia="en-AU"/>
              </w:rPr>
              <w:t>HOBART TAS 7001</w:t>
            </w:r>
          </w:p>
          <w:p w:rsidR="00FD7E6A" w:rsidRPr="00AC2660" w:rsidRDefault="00FD7E6A" w:rsidP="00FD7E6A">
            <w:pPr>
              <w:widowControl/>
              <w:ind w:left="74" w:right="74"/>
              <w:jc w:val="left"/>
              <w:rPr>
                <w:rFonts w:ascii="Arial Narrow" w:eastAsia="SimSun" w:hAnsi="Arial Narrow" w:cs="Times New Roman"/>
                <w:i/>
                <w:snapToGrid/>
                <w:sz w:val="20"/>
                <w:lang w:eastAsia="en-AU"/>
              </w:rPr>
            </w:pPr>
          </w:p>
          <w:p w:rsidR="00FD7E6A" w:rsidRPr="00AC2660" w:rsidRDefault="00FD7E6A" w:rsidP="00FD7E6A">
            <w:pPr>
              <w:widowControl/>
              <w:ind w:left="74" w:right="74"/>
              <w:jc w:val="left"/>
              <w:rPr>
                <w:rFonts w:ascii="Arial Narrow" w:eastAsia="SimSun" w:hAnsi="Arial Narrow" w:cs="Times New Roman"/>
                <w:i/>
                <w:snapToGrid/>
                <w:sz w:val="20"/>
                <w:lang w:eastAsia="en-AU"/>
              </w:rPr>
            </w:pPr>
            <w:r w:rsidRPr="00AC2660">
              <w:rPr>
                <w:rFonts w:ascii="Arial Narrow" w:eastAsia="SimSun" w:hAnsi="Arial Narrow" w:cs="Times New Roman"/>
                <w:i/>
                <w:snapToGrid/>
                <w:sz w:val="20"/>
                <w:lang w:eastAsia="en-AU"/>
              </w:rPr>
              <w:t>Increased maximum quantities and/or repeats should be based on a dosing regimen of 375mg per meter squared once weekly to provide sufficient supply for 4 weeks treatment.</w:t>
            </w:r>
          </w:p>
          <w:p w:rsidR="00FD7E6A" w:rsidRPr="00AC2660" w:rsidRDefault="00FD7E6A" w:rsidP="00FD7E6A">
            <w:pPr>
              <w:widowControl/>
              <w:ind w:left="74" w:right="74"/>
              <w:jc w:val="left"/>
              <w:rPr>
                <w:rFonts w:ascii="Arial Narrow" w:eastAsia="SimSun" w:hAnsi="Arial Narrow" w:cs="Times New Roman"/>
                <w:i/>
                <w:snapToGrid/>
                <w:sz w:val="20"/>
                <w:lang w:eastAsia="en-AU"/>
              </w:rPr>
            </w:pPr>
          </w:p>
          <w:p w:rsidR="00FD7E6A" w:rsidRPr="00D35736" w:rsidRDefault="00FD7E6A" w:rsidP="00FD7E6A">
            <w:pPr>
              <w:widowControl/>
              <w:ind w:left="74" w:right="74"/>
              <w:jc w:val="left"/>
              <w:rPr>
                <w:rFonts w:ascii="Arial Narrow" w:eastAsia="SimSun" w:hAnsi="Arial Narrow" w:cs="Times New Roman"/>
                <w:i/>
                <w:strike/>
                <w:snapToGrid/>
                <w:sz w:val="20"/>
                <w:lang w:eastAsia="en-AU"/>
              </w:rPr>
            </w:pPr>
            <w:r w:rsidRPr="00D35736">
              <w:rPr>
                <w:rFonts w:ascii="Arial Narrow" w:eastAsia="SimSun" w:hAnsi="Arial Narrow" w:cs="Times New Roman"/>
                <w:i/>
                <w:strike/>
                <w:snapToGrid/>
                <w:sz w:val="20"/>
                <w:lang w:eastAsia="en-AU"/>
              </w:rPr>
              <w:t>A patient may only qualify for PBS-subsidised treatment under this restriction once in a lifetime.</w:t>
            </w:r>
          </w:p>
          <w:p w:rsidR="00FD7E6A" w:rsidRPr="00AC2660" w:rsidRDefault="00FD7E6A" w:rsidP="003A5B25">
            <w:pPr>
              <w:widowControl/>
              <w:ind w:left="74" w:right="74"/>
              <w:jc w:val="left"/>
              <w:rPr>
                <w:rFonts w:ascii="Arial Narrow" w:eastAsia="SimSun" w:hAnsi="Arial Narrow"/>
                <w:snapToGrid/>
                <w:sz w:val="20"/>
                <w:lang w:eastAsia="en-AU"/>
              </w:rPr>
            </w:pPr>
          </w:p>
        </w:tc>
      </w:tr>
    </w:tbl>
    <w:p w:rsidR="003B2B4F" w:rsidRPr="000364D1" w:rsidRDefault="003B2B4F" w:rsidP="003B2B4F">
      <w:pPr>
        <w:keepNext/>
        <w:keepLines/>
        <w:widowControl/>
        <w:rPr>
          <w:szCs w:val="22"/>
        </w:rPr>
      </w:pPr>
    </w:p>
    <w:p w:rsidR="00843161" w:rsidRPr="00175232" w:rsidRDefault="00843161" w:rsidP="00DD3A69">
      <w:pPr>
        <w:pStyle w:val="ListParagraph"/>
        <w:widowControl/>
        <w:numPr>
          <w:ilvl w:val="1"/>
          <w:numId w:val="2"/>
        </w:numPr>
        <w:rPr>
          <w:color w:val="000000" w:themeColor="text1"/>
          <w:szCs w:val="22"/>
        </w:rPr>
      </w:pPr>
      <w:r w:rsidRPr="00175232">
        <w:rPr>
          <w:color w:val="000000" w:themeColor="text1"/>
          <w:szCs w:val="22"/>
        </w:rPr>
        <w:t xml:space="preserve">The Pre-Sub-Committee Response (PSCR) </w:t>
      </w:r>
      <w:r w:rsidR="00E52649">
        <w:rPr>
          <w:color w:val="000000" w:themeColor="text1"/>
          <w:szCs w:val="22"/>
        </w:rPr>
        <w:t>state</w:t>
      </w:r>
      <w:r w:rsidRPr="00175232">
        <w:rPr>
          <w:color w:val="000000" w:themeColor="text1"/>
          <w:szCs w:val="22"/>
        </w:rPr>
        <w:t xml:space="preserve">d that given the relapsing-remitting nature of the diseases, </w:t>
      </w:r>
      <w:r w:rsidR="00E52649">
        <w:rPr>
          <w:color w:val="000000" w:themeColor="text1"/>
          <w:szCs w:val="22"/>
        </w:rPr>
        <w:t xml:space="preserve">rituximab </w:t>
      </w:r>
      <w:r w:rsidRPr="00175232">
        <w:rPr>
          <w:color w:val="000000" w:themeColor="text1"/>
          <w:szCs w:val="22"/>
        </w:rPr>
        <w:t>use should not be restricted to once per lifetime. The ESC</w:t>
      </w:r>
      <w:r w:rsidR="00175232">
        <w:rPr>
          <w:color w:val="000000" w:themeColor="text1"/>
          <w:szCs w:val="22"/>
        </w:rPr>
        <w:t xml:space="preserve"> and DUSC both</w:t>
      </w:r>
      <w:r w:rsidRPr="00175232">
        <w:rPr>
          <w:color w:val="000000" w:themeColor="text1"/>
          <w:szCs w:val="22"/>
        </w:rPr>
        <w:t xml:space="preserve"> agreed </w:t>
      </w:r>
      <w:r w:rsidR="00E3706C" w:rsidRPr="00175232">
        <w:rPr>
          <w:color w:val="000000" w:themeColor="text1"/>
          <w:szCs w:val="22"/>
        </w:rPr>
        <w:t xml:space="preserve">that use should not be limited to once per lifetime in patients who </w:t>
      </w:r>
      <w:r w:rsidR="00EC4C58" w:rsidRPr="00175232">
        <w:rPr>
          <w:color w:val="000000" w:themeColor="text1"/>
          <w:szCs w:val="22"/>
        </w:rPr>
        <w:t xml:space="preserve">successfully </w:t>
      </w:r>
      <w:r w:rsidR="00E3706C" w:rsidRPr="00175232">
        <w:rPr>
          <w:color w:val="000000" w:themeColor="text1"/>
          <w:szCs w:val="22"/>
        </w:rPr>
        <w:t>achieve an initial response and remission</w:t>
      </w:r>
      <w:r w:rsidRPr="00175232">
        <w:rPr>
          <w:color w:val="000000" w:themeColor="text1"/>
          <w:szCs w:val="22"/>
        </w:rPr>
        <w:t xml:space="preserve">, noting additional clinical evidence to support retreatment provided in the PSCR. </w:t>
      </w:r>
    </w:p>
    <w:p w:rsidR="00843161" w:rsidRDefault="00843161" w:rsidP="00843161">
      <w:pPr>
        <w:pStyle w:val="PBACHeading1"/>
        <w:numPr>
          <w:ilvl w:val="0"/>
          <w:numId w:val="0"/>
        </w:numPr>
        <w:ind w:left="720"/>
      </w:pPr>
    </w:p>
    <w:p w:rsidR="00CF758C" w:rsidRDefault="00CF758C" w:rsidP="00DD3A69">
      <w:pPr>
        <w:pStyle w:val="ListParagraph"/>
        <w:widowControl/>
        <w:numPr>
          <w:ilvl w:val="1"/>
          <w:numId w:val="2"/>
        </w:numPr>
        <w:rPr>
          <w:color w:val="000000" w:themeColor="text1"/>
          <w:szCs w:val="22"/>
        </w:rPr>
      </w:pPr>
      <w:r w:rsidRPr="0094174A">
        <w:rPr>
          <w:color w:val="000000" w:themeColor="text1"/>
          <w:szCs w:val="22"/>
        </w:rPr>
        <w:t xml:space="preserve">The submission </w:t>
      </w:r>
      <w:r>
        <w:rPr>
          <w:color w:val="000000" w:themeColor="text1"/>
          <w:szCs w:val="22"/>
        </w:rPr>
        <w:t>sought</w:t>
      </w:r>
      <w:r w:rsidRPr="0094174A">
        <w:rPr>
          <w:color w:val="000000" w:themeColor="text1"/>
          <w:szCs w:val="22"/>
        </w:rPr>
        <w:t xml:space="preserve"> PBS listing on the basis of a cost analysis compared with cyclophosphamide (CYC) and salvage therapies. </w:t>
      </w:r>
    </w:p>
    <w:p w:rsidR="00CF758C" w:rsidRPr="001B41ED" w:rsidRDefault="00CF758C" w:rsidP="00CF758C">
      <w:pPr>
        <w:widowControl/>
        <w:rPr>
          <w:color w:val="000000" w:themeColor="text1"/>
          <w:szCs w:val="22"/>
        </w:rPr>
      </w:pPr>
    </w:p>
    <w:p w:rsidR="00CF758C" w:rsidRDefault="0087778D" w:rsidP="00DD3A69">
      <w:pPr>
        <w:pStyle w:val="ListParagraph"/>
        <w:widowControl/>
        <w:numPr>
          <w:ilvl w:val="1"/>
          <w:numId w:val="2"/>
        </w:numPr>
        <w:rPr>
          <w:color w:val="000000" w:themeColor="text1"/>
          <w:szCs w:val="22"/>
        </w:rPr>
      </w:pPr>
      <w:r w:rsidRPr="007815A6">
        <w:rPr>
          <w:color w:val="000000" w:themeColor="text1"/>
          <w:szCs w:val="22"/>
        </w:rPr>
        <w:t>The requested restriction is</w:t>
      </w:r>
      <w:r w:rsidR="00CF758C" w:rsidRPr="007815A6">
        <w:rPr>
          <w:color w:val="000000" w:themeColor="text1"/>
          <w:szCs w:val="22"/>
        </w:rPr>
        <w:t xml:space="preserve"> for a fixed dosing regimen of rituximab of either 500mg administered every 2 weeks, 500mg administered every week, or 1g administered every 2 weeks, </w:t>
      </w:r>
      <w:r w:rsidRPr="007815A6">
        <w:rPr>
          <w:color w:val="000000" w:themeColor="text1"/>
          <w:szCs w:val="22"/>
        </w:rPr>
        <w:t>instead of the TGA-approved weight-based dosing that was used in the pivotal clinical trial</w:t>
      </w:r>
      <w:r w:rsidR="00CF758C" w:rsidRPr="007815A6">
        <w:rPr>
          <w:color w:val="000000" w:themeColor="text1"/>
          <w:szCs w:val="22"/>
        </w:rPr>
        <w:t>.</w:t>
      </w:r>
      <w:r w:rsidR="008C2D23">
        <w:rPr>
          <w:color w:val="000000" w:themeColor="text1"/>
          <w:szCs w:val="22"/>
        </w:rPr>
        <w:t xml:space="preserve"> </w:t>
      </w:r>
    </w:p>
    <w:p w:rsidR="000F54A2" w:rsidRDefault="000F54A2" w:rsidP="000F54A2">
      <w:pPr>
        <w:pStyle w:val="ListParagraph"/>
        <w:widowControl/>
        <w:rPr>
          <w:color w:val="000000" w:themeColor="text1"/>
          <w:szCs w:val="22"/>
        </w:rPr>
      </w:pPr>
    </w:p>
    <w:p w:rsidR="00F826A2" w:rsidRPr="00F826A2" w:rsidRDefault="00F826A2" w:rsidP="00F826A2">
      <w:pPr>
        <w:pStyle w:val="ListParagraph"/>
        <w:numPr>
          <w:ilvl w:val="1"/>
          <w:numId w:val="2"/>
        </w:numPr>
        <w:rPr>
          <w:szCs w:val="22"/>
        </w:rPr>
      </w:pPr>
      <w:r>
        <w:rPr>
          <w:szCs w:val="22"/>
        </w:rPr>
        <w:t>The DUSC considered there</w:t>
      </w:r>
      <w:r w:rsidRPr="00F826A2">
        <w:rPr>
          <w:szCs w:val="22"/>
        </w:rPr>
        <w:t xml:space="preserve"> is potential for use beyond the requested restriction, particularly in interpretation of the restriction criterion where CYC is not recommended.</w:t>
      </w:r>
      <w:r>
        <w:rPr>
          <w:szCs w:val="22"/>
        </w:rPr>
        <w:t xml:space="preserve"> The </w:t>
      </w:r>
      <w:r w:rsidRPr="00F826A2">
        <w:rPr>
          <w:szCs w:val="22"/>
        </w:rPr>
        <w:t>DUSC considered there may be clinician and/ or patient preference to use rituximab over CYC and that this criterion may be used to gain ac</w:t>
      </w:r>
      <w:r w:rsidR="0011553A">
        <w:rPr>
          <w:szCs w:val="22"/>
        </w:rPr>
        <w:t>cess for a variety of patients.  The DUSC also considered there</w:t>
      </w:r>
      <w:r w:rsidRPr="00F826A2">
        <w:rPr>
          <w:szCs w:val="22"/>
        </w:rPr>
        <w:t xml:space="preserve"> is potential for use in maintenance treatment, in milder forms of GPA and MPA and for other forms of ANCA-associated vasculitis (AAV).</w:t>
      </w:r>
    </w:p>
    <w:p w:rsidR="00675814" w:rsidRDefault="00675814" w:rsidP="00675814">
      <w:pPr>
        <w:pStyle w:val="ListParagraph"/>
        <w:rPr>
          <w:szCs w:val="22"/>
        </w:rPr>
      </w:pPr>
    </w:p>
    <w:p w:rsidR="00675814" w:rsidRPr="00675814" w:rsidRDefault="00675814" w:rsidP="00675814">
      <w:pPr>
        <w:pStyle w:val="ListParagraph"/>
        <w:numPr>
          <w:ilvl w:val="1"/>
          <w:numId w:val="2"/>
        </w:numPr>
        <w:rPr>
          <w:szCs w:val="22"/>
        </w:rPr>
      </w:pPr>
      <w:r>
        <w:rPr>
          <w:szCs w:val="22"/>
        </w:rPr>
        <w:t>T</w:t>
      </w:r>
      <w:r w:rsidRPr="00675814">
        <w:rPr>
          <w:szCs w:val="22"/>
        </w:rPr>
        <w:t xml:space="preserve">he PBAC noted that the submission proposed an Authority Required listing under the Section 100 Highly Specialised Drugs Program with applications made in writing. The PBAC considered that </w:t>
      </w:r>
      <w:r>
        <w:rPr>
          <w:szCs w:val="22"/>
        </w:rPr>
        <w:t xml:space="preserve">a written authority </w:t>
      </w:r>
      <w:r w:rsidR="000F54A2" w:rsidRPr="00675814">
        <w:rPr>
          <w:szCs w:val="22"/>
        </w:rPr>
        <w:t>might</w:t>
      </w:r>
      <w:r w:rsidRPr="00675814">
        <w:rPr>
          <w:szCs w:val="22"/>
        </w:rPr>
        <w:t xml:space="preserve"> </w:t>
      </w:r>
      <w:r>
        <w:rPr>
          <w:szCs w:val="22"/>
        </w:rPr>
        <w:t>reduce</w:t>
      </w:r>
      <w:r w:rsidRPr="00675814">
        <w:rPr>
          <w:szCs w:val="22"/>
        </w:rPr>
        <w:t xml:space="preserve"> the potential for use </w:t>
      </w:r>
      <w:r>
        <w:rPr>
          <w:szCs w:val="22"/>
        </w:rPr>
        <w:t xml:space="preserve">of rituximab </w:t>
      </w:r>
      <w:r w:rsidRPr="00675814">
        <w:rPr>
          <w:szCs w:val="22"/>
        </w:rPr>
        <w:t>outside the listing requested.</w:t>
      </w:r>
    </w:p>
    <w:p w:rsidR="00D20109" w:rsidRPr="002A38B4" w:rsidRDefault="00D20109" w:rsidP="002A38B4">
      <w:pPr>
        <w:widowControl/>
        <w:rPr>
          <w:color w:val="000000" w:themeColor="text1"/>
          <w:szCs w:val="22"/>
        </w:rPr>
      </w:pPr>
    </w:p>
    <w:p w:rsidR="006B0DD1" w:rsidRPr="00BA2CD2" w:rsidRDefault="006B0DD1" w:rsidP="00BA2CD2">
      <w:pPr>
        <w:pStyle w:val="ListParagraph"/>
        <w:ind w:left="709"/>
        <w:rPr>
          <w:i/>
          <w:szCs w:val="22"/>
        </w:rPr>
      </w:pPr>
      <w:r>
        <w:rPr>
          <w:i/>
          <w:szCs w:val="22"/>
        </w:rPr>
        <w:t>For more detail on PBAC’s view, see section 7 “PBAC outcome”</w:t>
      </w:r>
    </w:p>
    <w:p w:rsidR="00997ECB" w:rsidRDefault="00997ECB" w:rsidP="00CF758C"/>
    <w:p w:rsidR="0095541F" w:rsidRPr="00882085" w:rsidRDefault="0095541F" w:rsidP="00CF758C"/>
    <w:p w:rsidR="00CF758C" w:rsidRPr="00407F2D" w:rsidRDefault="00CF758C" w:rsidP="00CF758C">
      <w:pPr>
        <w:pStyle w:val="PBACHeading1"/>
      </w:pPr>
      <w:bookmarkStart w:id="5" w:name="_Toc392858191"/>
      <w:r w:rsidRPr="00407F2D">
        <w:t>Background</w:t>
      </w:r>
      <w:bookmarkEnd w:id="5"/>
    </w:p>
    <w:p w:rsidR="00CF758C" w:rsidRPr="008025C1" w:rsidRDefault="00CF758C" w:rsidP="00CF758C">
      <w:pPr>
        <w:widowControl/>
        <w:rPr>
          <w:szCs w:val="22"/>
        </w:rPr>
      </w:pPr>
    </w:p>
    <w:p w:rsidR="00CF758C" w:rsidRPr="005427C4" w:rsidRDefault="00CF758C" w:rsidP="00DD3A69">
      <w:pPr>
        <w:pStyle w:val="ListParagraph"/>
        <w:widowControl/>
        <w:numPr>
          <w:ilvl w:val="1"/>
          <w:numId w:val="2"/>
        </w:numPr>
        <w:rPr>
          <w:szCs w:val="22"/>
        </w:rPr>
      </w:pPr>
      <w:r w:rsidRPr="00B50DB8">
        <w:rPr>
          <w:szCs w:val="22"/>
        </w:rPr>
        <w:lastRenderedPageBreak/>
        <w:t xml:space="preserve">TGA status: </w:t>
      </w:r>
      <w:r w:rsidRPr="0094174A">
        <w:rPr>
          <w:szCs w:val="22"/>
        </w:rPr>
        <w:t>Rituximab</w:t>
      </w:r>
      <w:r w:rsidRPr="003371B0">
        <w:rPr>
          <w:szCs w:val="22"/>
        </w:rPr>
        <w:t xml:space="preserve"> was TGA registered on </w:t>
      </w:r>
      <w:r>
        <w:rPr>
          <w:szCs w:val="22"/>
        </w:rPr>
        <w:t>13 May 2013</w:t>
      </w:r>
      <w:r w:rsidRPr="003371B0">
        <w:rPr>
          <w:szCs w:val="22"/>
        </w:rPr>
        <w:t xml:space="preserve"> for </w:t>
      </w:r>
      <w:r w:rsidRPr="00993B45">
        <w:t>the induction of remission in patients with severely active GPA</w:t>
      </w:r>
      <w:r w:rsidR="00E2790B" w:rsidRPr="00993B45">
        <w:t xml:space="preserve"> also</w:t>
      </w:r>
      <w:r w:rsidRPr="00993B45">
        <w:t xml:space="preserve"> known as Wegener’s granulomatosis</w:t>
      </w:r>
      <w:r>
        <w:t>,</w:t>
      </w:r>
      <w:r w:rsidRPr="00993B45">
        <w:t xml:space="preserve"> and MPA</w:t>
      </w:r>
      <w:r>
        <w:t>, in conjunction with glucocorticoids.</w:t>
      </w:r>
    </w:p>
    <w:p w:rsidR="00CF758C" w:rsidRPr="005427C4" w:rsidRDefault="00CF758C" w:rsidP="00CF758C">
      <w:pPr>
        <w:widowControl/>
        <w:rPr>
          <w:szCs w:val="22"/>
        </w:rPr>
      </w:pPr>
    </w:p>
    <w:p w:rsidR="00781655" w:rsidRPr="00BA2CD2" w:rsidRDefault="00CF758C" w:rsidP="00CF758C">
      <w:pPr>
        <w:pStyle w:val="ListParagraph"/>
        <w:widowControl/>
        <w:numPr>
          <w:ilvl w:val="1"/>
          <w:numId w:val="2"/>
        </w:numPr>
        <w:rPr>
          <w:color w:val="000000" w:themeColor="text1"/>
          <w:szCs w:val="22"/>
        </w:rPr>
      </w:pPr>
      <w:r w:rsidRPr="005E5902">
        <w:rPr>
          <w:color w:val="000000" w:themeColor="text1"/>
          <w:szCs w:val="22"/>
        </w:rPr>
        <w:t xml:space="preserve">Rituximab </w:t>
      </w:r>
      <w:r>
        <w:rPr>
          <w:color w:val="000000" w:themeColor="text1"/>
          <w:szCs w:val="22"/>
        </w:rPr>
        <w:t xml:space="preserve">is currently PBS-listed for </w:t>
      </w:r>
      <w:r w:rsidRPr="00BC0FEE">
        <w:rPr>
          <w:color w:val="000000" w:themeColor="text1"/>
          <w:szCs w:val="22"/>
        </w:rPr>
        <w:t xml:space="preserve">non-Hodgkin’s lymphoma, chronic lymphocytic leukaemia, and rheumatoid arthritis. </w:t>
      </w:r>
      <w:r>
        <w:rPr>
          <w:color w:val="000000" w:themeColor="text1"/>
          <w:szCs w:val="22"/>
        </w:rPr>
        <w:t xml:space="preserve"> It </w:t>
      </w:r>
      <w:r w:rsidRPr="005E5902">
        <w:rPr>
          <w:color w:val="000000" w:themeColor="text1"/>
          <w:szCs w:val="22"/>
        </w:rPr>
        <w:t xml:space="preserve">has not been considered for </w:t>
      </w:r>
      <w:r>
        <w:rPr>
          <w:color w:val="000000" w:themeColor="text1"/>
          <w:szCs w:val="22"/>
        </w:rPr>
        <w:t>the treatment of GPA/MPA</w:t>
      </w:r>
      <w:r w:rsidRPr="005E5902">
        <w:rPr>
          <w:color w:val="000000" w:themeColor="text1"/>
          <w:szCs w:val="22"/>
        </w:rPr>
        <w:t xml:space="preserve"> by the PBAC previously.</w:t>
      </w:r>
    </w:p>
    <w:p w:rsidR="008401FC" w:rsidRDefault="008401FC" w:rsidP="00CF758C"/>
    <w:p w:rsidR="0095541F" w:rsidRPr="00882085" w:rsidRDefault="0095541F" w:rsidP="00CF758C"/>
    <w:p w:rsidR="00CF758C" w:rsidRDefault="00CF758C" w:rsidP="00CF758C">
      <w:pPr>
        <w:pStyle w:val="PBACHeading1"/>
      </w:pPr>
      <w:bookmarkStart w:id="6" w:name="_Toc392858192"/>
      <w:r w:rsidRPr="00407F2D">
        <w:t>Clinical place for the proposed therapy</w:t>
      </w:r>
      <w:bookmarkEnd w:id="6"/>
    </w:p>
    <w:p w:rsidR="00CF758C" w:rsidRPr="00407F2D" w:rsidRDefault="00CF758C" w:rsidP="00CF758C">
      <w:pPr>
        <w:pStyle w:val="PBACHeading1"/>
        <w:numPr>
          <w:ilvl w:val="0"/>
          <w:numId w:val="0"/>
        </w:numPr>
      </w:pPr>
    </w:p>
    <w:p w:rsidR="00CF758C" w:rsidRPr="006451F1" w:rsidRDefault="00CF758C" w:rsidP="00DD3A69">
      <w:pPr>
        <w:pStyle w:val="ListParagraph"/>
        <w:widowControl/>
        <w:numPr>
          <w:ilvl w:val="1"/>
          <w:numId w:val="2"/>
        </w:numPr>
        <w:rPr>
          <w:i/>
          <w:color w:val="000000" w:themeColor="text1"/>
          <w:szCs w:val="22"/>
        </w:rPr>
      </w:pPr>
      <w:r w:rsidRPr="00644ACE">
        <w:rPr>
          <w:color w:val="000000" w:themeColor="text1"/>
        </w:rPr>
        <w:t>ANCA-associated vasculitis (AAV) is a potentially life-threatening disease where the body’s immune system causes inflammation of the blood vessels, depriving affected tissues and organs of blood supply.  Rituximab is proposed for use for patients with two severe forms of AAV, GPA and MPA</w:t>
      </w:r>
      <w:r w:rsidR="00915B60">
        <w:rPr>
          <w:color w:val="000000" w:themeColor="text1"/>
        </w:rPr>
        <w:t>. Listing is requested</w:t>
      </w:r>
      <w:r w:rsidR="00915B60" w:rsidRPr="00915B60">
        <w:rPr>
          <w:color w:val="000000" w:themeColor="text1"/>
        </w:rPr>
        <w:t xml:space="preserve"> </w:t>
      </w:r>
      <w:r w:rsidR="00915B60">
        <w:rPr>
          <w:color w:val="000000" w:themeColor="text1"/>
        </w:rPr>
        <w:t>for remission induction in those patients who are contraindicated or refractory to CYC</w:t>
      </w:r>
      <w:r w:rsidRPr="00644ACE">
        <w:rPr>
          <w:color w:val="000000" w:themeColor="text1"/>
        </w:rPr>
        <w:t>.</w:t>
      </w:r>
      <w:r w:rsidR="001A1FEA">
        <w:rPr>
          <w:color w:val="000000" w:themeColor="text1"/>
        </w:rPr>
        <w:t xml:space="preserve"> </w:t>
      </w:r>
      <w:r w:rsidR="001A1FEA" w:rsidRPr="008401FC">
        <w:rPr>
          <w:color w:val="000000" w:themeColor="text1"/>
        </w:rPr>
        <w:t xml:space="preserve">The ESC noted </w:t>
      </w:r>
      <w:r w:rsidR="006451F1" w:rsidRPr="008401FC">
        <w:rPr>
          <w:color w:val="000000" w:themeColor="text1"/>
        </w:rPr>
        <w:t>the rare and fatal nature of these</w:t>
      </w:r>
      <w:r w:rsidR="00B533D9" w:rsidRPr="008401FC">
        <w:rPr>
          <w:color w:val="000000" w:themeColor="text1"/>
        </w:rPr>
        <w:t xml:space="preserve"> </w:t>
      </w:r>
      <w:r w:rsidR="006451F1" w:rsidRPr="008401FC">
        <w:rPr>
          <w:color w:val="000000" w:themeColor="text1"/>
        </w:rPr>
        <w:t>disease</w:t>
      </w:r>
      <w:r w:rsidR="00B533D9" w:rsidRPr="008401FC">
        <w:rPr>
          <w:color w:val="000000" w:themeColor="text1"/>
        </w:rPr>
        <w:t>s</w:t>
      </w:r>
      <w:r w:rsidR="006451F1" w:rsidRPr="008401FC">
        <w:rPr>
          <w:color w:val="000000" w:themeColor="text1"/>
        </w:rPr>
        <w:t xml:space="preserve"> and </w:t>
      </w:r>
      <w:r w:rsidR="0095465B" w:rsidRPr="008401FC">
        <w:rPr>
          <w:color w:val="000000" w:themeColor="text1"/>
        </w:rPr>
        <w:t xml:space="preserve">that </w:t>
      </w:r>
      <w:r w:rsidR="001A1FEA" w:rsidRPr="008401FC">
        <w:rPr>
          <w:color w:val="000000" w:themeColor="text1"/>
        </w:rPr>
        <w:t>there is a</w:t>
      </w:r>
      <w:r w:rsidR="00B533D9" w:rsidRPr="008401FC">
        <w:rPr>
          <w:color w:val="000000" w:themeColor="text1"/>
        </w:rPr>
        <w:t xml:space="preserve"> genuine</w:t>
      </w:r>
      <w:r w:rsidR="001A1FEA" w:rsidRPr="008401FC">
        <w:rPr>
          <w:color w:val="000000" w:themeColor="text1"/>
        </w:rPr>
        <w:t xml:space="preserve"> clinical need </w:t>
      </w:r>
      <w:r w:rsidR="0095465B" w:rsidRPr="008401FC">
        <w:rPr>
          <w:color w:val="000000" w:themeColor="text1"/>
        </w:rPr>
        <w:t>for</w:t>
      </w:r>
      <w:r w:rsidR="00B533D9" w:rsidRPr="008401FC">
        <w:rPr>
          <w:color w:val="000000" w:themeColor="text1"/>
        </w:rPr>
        <w:t xml:space="preserve"> </w:t>
      </w:r>
      <w:r w:rsidR="0095465B" w:rsidRPr="008401FC">
        <w:rPr>
          <w:color w:val="000000" w:themeColor="text1"/>
        </w:rPr>
        <w:t xml:space="preserve">alternatives </w:t>
      </w:r>
      <w:r w:rsidR="00B533D9" w:rsidRPr="008401FC">
        <w:rPr>
          <w:color w:val="000000" w:themeColor="text1"/>
        </w:rPr>
        <w:t>in the treatment of these</w:t>
      </w:r>
      <w:r w:rsidR="006451F1" w:rsidRPr="008401FC">
        <w:rPr>
          <w:color w:val="000000" w:themeColor="text1"/>
        </w:rPr>
        <w:t xml:space="preserve"> conditions.</w:t>
      </w:r>
    </w:p>
    <w:p w:rsidR="00CF758C" w:rsidRDefault="00CF758C" w:rsidP="00CF758C">
      <w:pPr>
        <w:pStyle w:val="Header"/>
        <w:rPr>
          <w:szCs w:val="22"/>
        </w:rPr>
      </w:pPr>
    </w:p>
    <w:p w:rsidR="006B0DD1" w:rsidRPr="00BA2CD2" w:rsidRDefault="006B0DD1" w:rsidP="00BA2CD2">
      <w:pPr>
        <w:pStyle w:val="ListParagraph"/>
        <w:ind w:left="709"/>
        <w:rPr>
          <w:i/>
          <w:szCs w:val="22"/>
        </w:rPr>
      </w:pPr>
      <w:r>
        <w:rPr>
          <w:i/>
          <w:szCs w:val="22"/>
        </w:rPr>
        <w:t>For more detail on PBAC’s view, see section 7 “PBAC outcome”</w:t>
      </w:r>
    </w:p>
    <w:p w:rsidR="008401FC" w:rsidRDefault="008401FC" w:rsidP="00CF758C">
      <w:pPr>
        <w:pStyle w:val="Header"/>
        <w:rPr>
          <w:szCs w:val="22"/>
        </w:rPr>
      </w:pPr>
    </w:p>
    <w:p w:rsidR="0095541F" w:rsidRPr="00882085" w:rsidRDefault="0095541F" w:rsidP="00CF758C">
      <w:pPr>
        <w:pStyle w:val="Header"/>
        <w:rPr>
          <w:szCs w:val="22"/>
        </w:rPr>
      </w:pPr>
    </w:p>
    <w:p w:rsidR="00CF758C" w:rsidRDefault="00CF758C" w:rsidP="00DD3A69">
      <w:pPr>
        <w:pStyle w:val="Header"/>
        <w:widowControl/>
        <w:numPr>
          <w:ilvl w:val="0"/>
          <w:numId w:val="2"/>
        </w:numPr>
        <w:tabs>
          <w:tab w:val="clear" w:pos="4513"/>
          <w:tab w:val="clear" w:pos="9026"/>
        </w:tabs>
        <w:rPr>
          <w:b/>
          <w:szCs w:val="22"/>
        </w:rPr>
      </w:pPr>
      <w:r w:rsidRPr="00407F2D">
        <w:rPr>
          <w:b/>
          <w:szCs w:val="22"/>
        </w:rPr>
        <w:t>Comparator</w:t>
      </w:r>
    </w:p>
    <w:p w:rsidR="00CF758C" w:rsidRPr="00407F2D" w:rsidRDefault="00CF758C" w:rsidP="00CF758C">
      <w:pPr>
        <w:pStyle w:val="Header"/>
        <w:widowControl/>
        <w:tabs>
          <w:tab w:val="clear" w:pos="4513"/>
          <w:tab w:val="clear" w:pos="9026"/>
        </w:tabs>
        <w:rPr>
          <w:b/>
          <w:szCs w:val="22"/>
        </w:rPr>
      </w:pPr>
    </w:p>
    <w:p w:rsidR="00CF758C" w:rsidRPr="007815A6" w:rsidRDefault="00CF758C" w:rsidP="00DD3A69">
      <w:pPr>
        <w:pStyle w:val="ListParagraph"/>
        <w:widowControl/>
        <w:numPr>
          <w:ilvl w:val="1"/>
          <w:numId w:val="2"/>
        </w:numPr>
        <w:rPr>
          <w:szCs w:val="22"/>
        </w:rPr>
      </w:pPr>
      <w:r w:rsidRPr="00E7351D">
        <w:rPr>
          <w:color w:val="000000" w:themeColor="text1"/>
        </w:rPr>
        <w:t>Cyclophosphamide</w:t>
      </w:r>
      <w:r>
        <w:rPr>
          <w:color w:val="000000" w:themeColor="text1"/>
        </w:rPr>
        <w:t xml:space="preserve"> was nominated as the comparator</w:t>
      </w:r>
      <w:r w:rsidRPr="00E7351D">
        <w:rPr>
          <w:color w:val="000000" w:themeColor="text1"/>
        </w:rPr>
        <w:t xml:space="preserve"> for patients </w:t>
      </w:r>
      <w:r w:rsidR="000F54A2">
        <w:rPr>
          <w:color w:val="000000" w:themeColor="text1"/>
        </w:rPr>
        <w:t xml:space="preserve">with </w:t>
      </w:r>
      <w:r w:rsidRPr="00E7351D">
        <w:rPr>
          <w:color w:val="000000" w:themeColor="text1"/>
        </w:rPr>
        <w:t>relative contraindicat</w:t>
      </w:r>
      <w:r w:rsidR="001508A0">
        <w:rPr>
          <w:color w:val="000000" w:themeColor="text1"/>
        </w:rPr>
        <w:t>ions</w:t>
      </w:r>
      <w:r w:rsidRPr="00E7351D">
        <w:rPr>
          <w:color w:val="000000" w:themeColor="text1"/>
        </w:rPr>
        <w:t xml:space="preserve"> to </w:t>
      </w:r>
      <w:r w:rsidR="006F03FC">
        <w:rPr>
          <w:color w:val="000000" w:themeColor="text1"/>
        </w:rPr>
        <w:t xml:space="preserve">cyclophosphamide </w:t>
      </w:r>
      <w:r w:rsidRPr="00E7351D">
        <w:rPr>
          <w:color w:val="000000" w:themeColor="text1"/>
        </w:rPr>
        <w:t>(</w:t>
      </w:r>
      <w:r w:rsidR="00613C5A" w:rsidRPr="00E7351D">
        <w:rPr>
          <w:color w:val="000000" w:themeColor="text1"/>
        </w:rPr>
        <w:t>i.e.</w:t>
      </w:r>
      <w:r w:rsidRPr="00E7351D">
        <w:rPr>
          <w:color w:val="000000" w:themeColor="text1"/>
        </w:rPr>
        <w:t xml:space="preserve"> </w:t>
      </w:r>
      <w:r>
        <w:t>patients who need preservation of gonad function, patients who are close to the maximum cumulative dose of CYC of 25g, and patients for whom CYC is contraindicated as per the Approved Product Information but for whom the need to treat outweighs the risk).</w:t>
      </w:r>
      <w:r w:rsidRPr="00E7351D">
        <w:rPr>
          <w:color w:val="3366FF"/>
        </w:rPr>
        <w:t xml:space="preserve"> </w:t>
      </w:r>
      <w:r w:rsidR="00675814" w:rsidRPr="00675814">
        <w:t>The evaluation considered that</w:t>
      </w:r>
      <w:r w:rsidRPr="00675814">
        <w:t xml:space="preserve"> </w:t>
      </w:r>
      <w:r w:rsidRPr="007815A6">
        <w:t>CYC may be an appropriate comparator for patients where the need to treat with CYC outweighs the risk</w:t>
      </w:r>
      <w:r w:rsidR="0095465B">
        <w:t>.</w:t>
      </w:r>
      <w:r w:rsidRPr="007815A6">
        <w:t xml:space="preserve"> </w:t>
      </w:r>
      <w:r w:rsidR="0095465B">
        <w:t>H</w:t>
      </w:r>
      <w:r w:rsidRPr="007815A6">
        <w:t xml:space="preserve">owever, for patients who are close to the maximum cumulative dose of CYC, </w:t>
      </w:r>
      <w:r w:rsidR="0095465B">
        <w:t>and in whom</w:t>
      </w:r>
      <w:r w:rsidRPr="007815A6">
        <w:t xml:space="preserve"> starting another cycle would push them over this limit, </w:t>
      </w:r>
      <w:r w:rsidR="00675814">
        <w:t xml:space="preserve">the evaluation considered that </w:t>
      </w:r>
      <w:r w:rsidRPr="007815A6">
        <w:t>intravenous immunoglobulin (IVIg) may be a more appropriate comparator.</w:t>
      </w:r>
    </w:p>
    <w:p w:rsidR="00CF758C" w:rsidRPr="005427C4" w:rsidRDefault="00CF758C" w:rsidP="00CF758C">
      <w:pPr>
        <w:widowControl/>
        <w:rPr>
          <w:szCs w:val="22"/>
        </w:rPr>
      </w:pPr>
    </w:p>
    <w:p w:rsidR="00CF758C" w:rsidRPr="007815A6" w:rsidRDefault="00CF758C" w:rsidP="00DD3A69">
      <w:pPr>
        <w:pStyle w:val="ListParagraph"/>
        <w:widowControl/>
        <w:numPr>
          <w:ilvl w:val="1"/>
          <w:numId w:val="2"/>
        </w:numPr>
        <w:rPr>
          <w:szCs w:val="22"/>
        </w:rPr>
      </w:pPr>
      <w:r>
        <w:rPr>
          <w:color w:val="000000" w:themeColor="text1"/>
        </w:rPr>
        <w:t>Salvage therapies (IVIg, mycophenolate mofetil (MMF), anti-</w:t>
      </w:r>
      <w:r>
        <w:rPr>
          <w:szCs w:val="22"/>
        </w:rPr>
        <w:t>thymocyte globulin (ATG) and alemtuzumab) were nominated as comparators for patients strictly contraindicated to or refractory to treatment with CYC</w:t>
      </w:r>
      <w:r w:rsidR="0095465B">
        <w:rPr>
          <w:szCs w:val="22"/>
        </w:rPr>
        <w:t xml:space="preserve">: that is, </w:t>
      </w:r>
      <w:r w:rsidRPr="00E7351D">
        <w:rPr>
          <w:szCs w:val="22"/>
        </w:rPr>
        <w:t xml:space="preserve">patients with persistent severe active GPA or MPA despite at least 3 months treatment with CYC; patients who experience severe toxicity </w:t>
      </w:r>
      <w:r w:rsidR="0095465B">
        <w:rPr>
          <w:szCs w:val="22"/>
        </w:rPr>
        <w:t>from</w:t>
      </w:r>
      <w:r w:rsidRPr="00E7351D">
        <w:rPr>
          <w:szCs w:val="22"/>
        </w:rPr>
        <w:t xml:space="preserve"> CYC that warrants cessation of treatment; patients who have life- or organ- threatening deterioration at any time during treatment with CYC where deterioration is thought to be due to severe uncontrolled active vasculitis; and patients where CYC is strictly contraindicated according to the TGA-approved Product Information. </w:t>
      </w:r>
      <w:r w:rsidR="00675814">
        <w:rPr>
          <w:szCs w:val="22"/>
        </w:rPr>
        <w:t>The evaluation considered that s</w:t>
      </w:r>
      <w:r w:rsidRPr="007815A6">
        <w:rPr>
          <w:szCs w:val="22"/>
        </w:rPr>
        <w:t>alvage therapies are an appropriate comparator for this group of patients. Other salvage therapies that are used, which may also be appropriate comparators include chlorambucil, and etoposide</w:t>
      </w:r>
      <w:r w:rsidR="0095465B">
        <w:rPr>
          <w:szCs w:val="22"/>
        </w:rPr>
        <w:t>,</w:t>
      </w:r>
      <w:r w:rsidRPr="007815A6">
        <w:rPr>
          <w:szCs w:val="22"/>
        </w:rPr>
        <w:t xml:space="preserve"> with or without plasma exchange.  Based on the advice of </w:t>
      </w:r>
      <w:r w:rsidR="000F54A2">
        <w:rPr>
          <w:szCs w:val="22"/>
        </w:rPr>
        <w:t xml:space="preserve">the sponsor’s </w:t>
      </w:r>
      <w:r w:rsidRPr="007815A6">
        <w:rPr>
          <w:szCs w:val="22"/>
        </w:rPr>
        <w:t>Advisory Board, CYC may also be an appropriate comparator for this group of patients.</w:t>
      </w:r>
    </w:p>
    <w:p w:rsidR="00CF758C" w:rsidRDefault="00CF758C" w:rsidP="00CF758C">
      <w:pPr>
        <w:widowControl/>
        <w:rPr>
          <w:szCs w:val="22"/>
        </w:rPr>
      </w:pPr>
    </w:p>
    <w:p w:rsidR="00B719AA" w:rsidRPr="00463047" w:rsidRDefault="006B0DD1" w:rsidP="00463047">
      <w:pPr>
        <w:pStyle w:val="ListParagraph"/>
        <w:ind w:left="709"/>
        <w:rPr>
          <w:i/>
          <w:szCs w:val="22"/>
        </w:rPr>
      </w:pPr>
      <w:r>
        <w:rPr>
          <w:i/>
          <w:szCs w:val="22"/>
        </w:rPr>
        <w:t>For more detail on PBAC’s view, see section 7 “PBAC outcome”</w:t>
      </w:r>
      <w:bookmarkStart w:id="7" w:name="_Toc392858193"/>
    </w:p>
    <w:p w:rsidR="00CF758C" w:rsidRPr="00407F2D" w:rsidRDefault="00CF758C" w:rsidP="00CF758C">
      <w:pPr>
        <w:pStyle w:val="PBACHeading1"/>
      </w:pPr>
      <w:r>
        <w:t>C</w:t>
      </w:r>
      <w:r w:rsidRPr="00407F2D">
        <w:t>onsideration of the evidence</w:t>
      </w:r>
      <w:bookmarkEnd w:id="7"/>
    </w:p>
    <w:p w:rsidR="00CF758C" w:rsidRDefault="00CF758C" w:rsidP="00CF758C"/>
    <w:p w:rsidR="006B0DD1" w:rsidRPr="005C2DD7" w:rsidRDefault="006B0DD1" w:rsidP="005C2DD7">
      <w:pPr>
        <w:pStyle w:val="Heading2"/>
      </w:pPr>
      <w:r w:rsidRPr="005C2DD7">
        <w:t>Sponsor hearing</w:t>
      </w:r>
    </w:p>
    <w:p w:rsidR="006B0DD1" w:rsidRPr="00882085" w:rsidRDefault="006B0DD1" w:rsidP="006B0DD1">
      <w:pPr>
        <w:ind w:left="709"/>
        <w:rPr>
          <w:b/>
          <w:szCs w:val="22"/>
        </w:rPr>
      </w:pPr>
    </w:p>
    <w:p w:rsidR="006B0DD1" w:rsidRDefault="006B0DD1" w:rsidP="00DD3A69">
      <w:pPr>
        <w:pStyle w:val="ListParagraph"/>
        <w:widowControl/>
        <w:numPr>
          <w:ilvl w:val="1"/>
          <w:numId w:val="2"/>
        </w:numPr>
        <w:rPr>
          <w:szCs w:val="22"/>
        </w:rPr>
      </w:pPr>
      <w:r>
        <w:rPr>
          <w:szCs w:val="22"/>
        </w:rPr>
        <w:t>There was no hearing for this item.</w:t>
      </w:r>
    </w:p>
    <w:p w:rsidR="006B0DD1" w:rsidRDefault="006B0DD1" w:rsidP="006B0DD1">
      <w:pPr>
        <w:pStyle w:val="ListParagraph"/>
        <w:ind w:left="709"/>
        <w:rPr>
          <w:szCs w:val="22"/>
        </w:rPr>
      </w:pPr>
    </w:p>
    <w:p w:rsidR="006B0DD1" w:rsidRPr="0095541F" w:rsidRDefault="006B0DD1" w:rsidP="005C2DD7">
      <w:pPr>
        <w:pStyle w:val="Heading2"/>
      </w:pPr>
      <w:r w:rsidRPr="0095541F">
        <w:t>Consumer comments</w:t>
      </w:r>
    </w:p>
    <w:p w:rsidR="006B0DD1" w:rsidRDefault="006B0DD1" w:rsidP="006B0DD1">
      <w:pPr>
        <w:pStyle w:val="ListParagraph"/>
        <w:ind w:left="709"/>
        <w:rPr>
          <w:szCs w:val="22"/>
        </w:rPr>
      </w:pPr>
    </w:p>
    <w:p w:rsidR="006B0DD1" w:rsidRPr="00781655" w:rsidRDefault="006B0DD1" w:rsidP="00DD3A69">
      <w:pPr>
        <w:pStyle w:val="ListParagraph"/>
        <w:widowControl/>
        <w:numPr>
          <w:ilvl w:val="1"/>
          <w:numId w:val="2"/>
        </w:numPr>
        <w:rPr>
          <w:szCs w:val="22"/>
        </w:rPr>
      </w:pPr>
      <w:r w:rsidRPr="00781655">
        <w:rPr>
          <w:szCs w:val="22"/>
        </w:rPr>
        <w:t>The PBAC noted and welcomed the input from individuals (</w:t>
      </w:r>
      <w:r w:rsidR="008401FC" w:rsidRPr="00781655">
        <w:rPr>
          <w:szCs w:val="22"/>
        </w:rPr>
        <w:t>6</w:t>
      </w:r>
      <w:r w:rsidRPr="00781655">
        <w:rPr>
          <w:szCs w:val="22"/>
        </w:rPr>
        <w:t xml:space="preserve">) </w:t>
      </w:r>
      <w:r w:rsidR="008401FC" w:rsidRPr="00781655">
        <w:rPr>
          <w:szCs w:val="22"/>
        </w:rPr>
        <w:t xml:space="preserve">and </w:t>
      </w:r>
      <w:r w:rsidRPr="00781655">
        <w:rPr>
          <w:szCs w:val="22"/>
        </w:rPr>
        <w:t>health care professionals (</w:t>
      </w:r>
      <w:r w:rsidR="008401FC" w:rsidRPr="00781655">
        <w:rPr>
          <w:szCs w:val="22"/>
        </w:rPr>
        <w:t>6</w:t>
      </w:r>
      <w:r w:rsidRPr="00781655">
        <w:rPr>
          <w:szCs w:val="22"/>
        </w:rPr>
        <w:t xml:space="preserve">) via the Consumer Comments facility on the PBS website.  The comments described a range of benefits of treatment with </w:t>
      </w:r>
      <w:r w:rsidR="00C52096" w:rsidRPr="00781655">
        <w:rPr>
          <w:szCs w:val="22"/>
        </w:rPr>
        <w:t>rituximab for GPA/MPA including fast and effective disease remission, the opportunity to avoid use of cyclophosphamide with associated risks</w:t>
      </w:r>
      <w:r w:rsidR="00C52387">
        <w:rPr>
          <w:szCs w:val="22"/>
        </w:rPr>
        <w:t>, and improved quality of life.</w:t>
      </w:r>
    </w:p>
    <w:p w:rsidR="006B0DD1" w:rsidRPr="00BB7EC3" w:rsidRDefault="006B0DD1" w:rsidP="006B0DD1">
      <w:pPr>
        <w:pStyle w:val="ListParagraph"/>
        <w:ind w:left="709"/>
        <w:rPr>
          <w:szCs w:val="22"/>
        </w:rPr>
      </w:pPr>
    </w:p>
    <w:p w:rsidR="006B0DD1" w:rsidRPr="00BB7EC3" w:rsidRDefault="006B0DD1" w:rsidP="006B0DD1">
      <w:pPr>
        <w:pStyle w:val="ListParagraph"/>
        <w:ind w:left="709"/>
        <w:rPr>
          <w:i/>
          <w:szCs w:val="22"/>
        </w:rPr>
      </w:pPr>
      <w:r>
        <w:rPr>
          <w:i/>
          <w:szCs w:val="22"/>
        </w:rPr>
        <w:t>For more detail on PBAC’s view, see section 7 “PBAC outcome”</w:t>
      </w:r>
    </w:p>
    <w:p w:rsidR="006B0DD1" w:rsidRPr="00882085" w:rsidRDefault="006B0DD1" w:rsidP="00CF758C"/>
    <w:p w:rsidR="00CF758C" w:rsidRPr="0095541F" w:rsidRDefault="00CF758C" w:rsidP="005C2DD7">
      <w:pPr>
        <w:pStyle w:val="Heading2"/>
      </w:pPr>
      <w:bookmarkStart w:id="8" w:name="_Toc392858194"/>
      <w:bookmarkStart w:id="9" w:name="_Toc409509650"/>
      <w:r w:rsidRPr="0095541F">
        <w:t>Clinical trials</w:t>
      </w:r>
      <w:bookmarkEnd w:id="8"/>
      <w:bookmarkEnd w:id="9"/>
    </w:p>
    <w:p w:rsidR="00CF758C" w:rsidRPr="009573E4" w:rsidRDefault="00CF758C" w:rsidP="00CF758C"/>
    <w:p w:rsidR="00CF758C" w:rsidRPr="007F28C9" w:rsidRDefault="00CF758C" w:rsidP="00DD3A69">
      <w:pPr>
        <w:pStyle w:val="ListParagraph"/>
        <w:widowControl/>
        <w:numPr>
          <w:ilvl w:val="1"/>
          <w:numId w:val="2"/>
        </w:numPr>
        <w:rPr>
          <w:szCs w:val="22"/>
        </w:rPr>
      </w:pPr>
      <w:r w:rsidRPr="00862502">
        <w:t xml:space="preserve">The submission </w:t>
      </w:r>
      <w:r>
        <w:t>wa</w:t>
      </w:r>
      <w:r w:rsidRPr="00862502">
        <w:t xml:space="preserve">s based on one head-to-head trial </w:t>
      </w:r>
      <w:r>
        <w:t xml:space="preserve">(RAVE) </w:t>
      </w:r>
      <w:r w:rsidRPr="00862502">
        <w:t xml:space="preserve">comparing </w:t>
      </w:r>
      <w:r>
        <w:t>rituximab</w:t>
      </w:r>
      <w:r w:rsidRPr="00862502">
        <w:t xml:space="preserve"> to </w:t>
      </w:r>
      <w:r>
        <w:t>CYC</w:t>
      </w:r>
      <w:r w:rsidRPr="00862502">
        <w:t xml:space="preserve"> (n=</w:t>
      </w:r>
      <w:r>
        <w:t>197</w:t>
      </w:r>
      <w:r w:rsidRPr="00862502">
        <w:t>)</w:t>
      </w:r>
      <w:r>
        <w:t xml:space="preserve"> and 35 supplementary studies</w:t>
      </w:r>
      <w:r w:rsidR="00964AF2">
        <w:t xml:space="preserve">, the majority of which </w:t>
      </w:r>
      <w:r w:rsidR="000F54A2">
        <w:t>were</w:t>
      </w:r>
      <w:r w:rsidR="00964AF2">
        <w:t xml:space="preserve"> single arm studies, retrospective reviews or case series</w:t>
      </w:r>
      <w:r>
        <w:t>,</w:t>
      </w:r>
      <w:r w:rsidR="000F54A2">
        <w:t xml:space="preserve"> and</w:t>
      </w:r>
      <w:r>
        <w:t xml:space="preserve"> d</w:t>
      </w:r>
      <w:r w:rsidR="000F54A2">
        <w:t>id</w:t>
      </w:r>
      <w:r>
        <w:t xml:space="preserve"> not directly compare rituximab with the salvage therapies</w:t>
      </w:r>
      <w:r w:rsidRPr="00862502">
        <w:t>.</w:t>
      </w:r>
    </w:p>
    <w:p w:rsidR="00CF758C" w:rsidRPr="007F28C9" w:rsidRDefault="00CF758C" w:rsidP="00CF758C">
      <w:pPr>
        <w:widowControl/>
        <w:rPr>
          <w:szCs w:val="22"/>
        </w:rPr>
      </w:pPr>
    </w:p>
    <w:p w:rsidR="00CF758C" w:rsidRDefault="00CF758C" w:rsidP="00DD3A69">
      <w:pPr>
        <w:pStyle w:val="ListParagraph"/>
        <w:widowControl/>
        <w:numPr>
          <w:ilvl w:val="1"/>
          <w:numId w:val="2"/>
        </w:numPr>
        <w:rPr>
          <w:szCs w:val="22"/>
        </w:rPr>
      </w:pPr>
      <w:r w:rsidRPr="001A19B6">
        <w:rPr>
          <w:szCs w:val="22"/>
        </w:rPr>
        <w:t xml:space="preserve">Details of the </w:t>
      </w:r>
      <w:r w:rsidR="00667EDF">
        <w:rPr>
          <w:szCs w:val="22"/>
        </w:rPr>
        <w:t xml:space="preserve">trials and </w:t>
      </w:r>
      <w:r w:rsidR="00FF50E8">
        <w:rPr>
          <w:szCs w:val="22"/>
        </w:rPr>
        <w:t>studie</w:t>
      </w:r>
      <w:r w:rsidR="00FF50E8" w:rsidRPr="001A19B6">
        <w:rPr>
          <w:szCs w:val="22"/>
        </w:rPr>
        <w:t xml:space="preserve">s </w:t>
      </w:r>
      <w:r w:rsidRPr="001A19B6">
        <w:rPr>
          <w:szCs w:val="22"/>
        </w:rPr>
        <w:t>presented in the submission are provided in the table below</w:t>
      </w:r>
      <w:r>
        <w:rPr>
          <w:szCs w:val="22"/>
        </w:rPr>
        <w:t>.</w:t>
      </w:r>
    </w:p>
    <w:p w:rsidR="00CF758C" w:rsidRPr="001A19B6" w:rsidRDefault="00CF758C" w:rsidP="00CF758C">
      <w:pPr>
        <w:widowControl/>
        <w:rPr>
          <w:szCs w:val="22"/>
        </w:rPr>
      </w:pPr>
    </w:p>
    <w:p w:rsidR="00CF758C" w:rsidRDefault="00CF758C" w:rsidP="00CF758C">
      <w:pPr>
        <w:ind w:left="720"/>
        <w:rPr>
          <w:rStyle w:val="CommentReference"/>
        </w:rPr>
      </w:pPr>
      <w:r w:rsidRPr="000812CA">
        <w:rPr>
          <w:rStyle w:val="CommentReference"/>
        </w:rPr>
        <w:t xml:space="preserve">Trials and associated reports </w:t>
      </w:r>
      <w:r>
        <w:rPr>
          <w:rStyle w:val="CommentReference"/>
        </w:rPr>
        <w:t xml:space="preserve">for the analysis of rituximab vs. CYC for patients relatively contraindicated to CYC </w:t>
      </w:r>
    </w:p>
    <w:tbl>
      <w:tblPr>
        <w:tblW w:w="4717"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Clinical trials and associated reports presented in the submission"/>
      </w:tblPr>
      <w:tblGrid>
        <w:gridCol w:w="1851"/>
        <w:gridCol w:w="4282"/>
        <w:gridCol w:w="2435"/>
      </w:tblGrid>
      <w:tr w:rsidR="00CF758C" w:rsidRPr="004E2ADC" w:rsidTr="005C2DD7">
        <w:trPr>
          <w:tblHeader/>
        </w:trPr>
        <w:tc>
          <w:tcPr>
            <w:tcW w:w="1080" w:type="pct"/>
          </w:tcPr>
          <w:p w:rsidR="00CF758C" w:rsidRPr="004E2ADC" w:rsidRDefault="00CF758C" w:rsidP="005134E4">
            <w:pPr>
              <w:jc w:val="left"/>
              <w:rPr>
                <w:rFonts w:ascii="Arial Narrow" w:hAnsi="Arial Narrow"/>
                <w:b/>
                <w:sz w:val="20"/>
              </w:rPr>
            </w:pPr>
            <w:r w:rsidRPr="004E2ADC">
              <w:rPr>
                <w:rFonts w:ascii="Arial Narrow" w:hAnsi="Arial Narrow"/>
                <w:b/>
                <w:sz w:val="20"/>
              </w:rPr>
              <w:t>Trial ID</w:t>
            </w:r>
            <w:r w:rsidR="001717FE">
              <w:rPr>
                <w:rFonts w:ascii="Arial Narrow" w:hAnsi="Arial Narrow"/>
                <w:b/>
                <w:sz w:val="20"/>
              </w:rPr>
              <w:t>/First author</w:t>
            </w:r>
          </w:p>
        </w:tc>
        <w:tc>
          <w:tcPr>
            <w:tcW w:w="2499" w:type="pct"/>
          </w:tcPr>
          <w:p w:rsidR="00CF758C" w:rsidRPr="004E2ADC" w:rsidRDefault="00CF758C" w:rsidP="005134E4">
            <w:pPr>
              <w:jc w:val="center"/>
              <w:rPr>
                <w:rFonts w:ascii="Arial Narrow" w:hAnsi="Arial Narrow"/>
                <w:b/>
                <w:sz w:val="20"/>
              </w:rPr>
            </w:pPr>
            <w:r w:rsidRPr="004E2ADC">
              <w:rPr>
                <w:rFonts w:ascii="Arial Narrow" w:hAnsi="Arial Narrow"/>
                <w:b/>
                <w:sz w:val="20"/>
              </w:rPr>
              <w:t>Protocol title/ Publication title</w:t>
            </w:r>
          </w:p>
        </w:tc>
        <w:tc>
          <w:tcPr>
            <w:tcW w:w="1421" w:type="pct"/>
          </w:tcPr>
          <w:p w:rsidR="00CF758C" w:rsidRPr="004E2ADC" w:rsidRDefault="00CF758C" w:rsidP="005134E4">
            <w:pPr>
              <w:jc w:val="center"/>
              <w:rPr>
                <w:rFonts w:ascii="Arial Narrow" w:hAnsi="Arial Narrow"/>
                <w:b/>
                <w:sz w:val="20"/>
              </w:rPr>
            </w:pPr>
            <w:r w:rsidRPr="004E2ADC">
              <w:rPr>
                <w:rFonts w:ascii="Arial Narrow" w:hAnsi="Arial Narrow"/>
                <w:b/>
                <w:sz w:val="20"/>
              </w:rPr>
              <w:t>Publication citation</w:t>
            </w:r>
          </w:p>
        </w:tc>
      </w:tr>
      <w:tr w:rsidR="00CF758C" w:rsidRPr="004E2ADC" w:rsidTr="005C2DD7">
        <w:tc>
          <w:tcPr>
            <w:tcW w:w="5000" w:type="pct"/>
            <w:gridSpan w:val="3"/>
          </w:tcPr>
          <w:p w:rsidR="00CF758C" w:rsidRPr="004E2ADC" w:rsidRDefault="00CF758C" w:rsidP="005134E4">
            <w:pPr>
              <w:jc w:val="left"/>
              <w:rPr>
                <w:rFonts w:ascii="Arial Narrow" w:hAnsi="Arial Narrow"/>
                <w:b/>
                <w:sz w:val="20"/>
              </w:rPr>
            </w:pPr>
            <w:r>
              <w:rPr>
                <w:rFonts w:ascii="Arial Narrow" w:hAnsi="Arial Narrow"/>
                <w:b/>
                <w:sz w:val="20"/>
              </w:rPr>
              <w:t>Direct randomised trial</w:t>
            </w:r>
          </w:p>
        </w:tc>
      </w:tr>
      <w:tr w:rsidR="00CF758C" w:rsidRPr="004E2ADC" w:rsidTr="005C2DD7">
        <w:tc>
          <w:tcPr>
            <w:tcW w:w="1080" w:type="pct"/>
          </w:tcPr>
          <w:p w:rsidR="00CF758C" w:rsidRDefault="00CF758C" w:rsidP="005134E4">
            <w:pPr>
              <w:jc w:val="left"/>
              <w:rPr>
                <w:rFonts w:ascii="Arial Narrow" w:hAnsi="Arial Narrow"/>
                <w:sz w:val="20"/>
              </w:rPr>
            </w:pPr>
            <w:r>
              <w:rPr>
                <w:rFonts w:ascii="Arial Narrow" w:hAnsi="Arial Narrow"/>
                <w:sz w:val="20"/>
              </w:rPr>
              <w:t>(RAVE) ITN021AI</w:t>
            </w:r>
          </w:p>
          <w:p w:rsidR="00CF758C" w:rsidRPr="004E2ADC" w:rsidRDefault="00CF758C" w:rsidP="005134E4">
            <w:pPr>
              <w:jc w:val="left"/>
              <w:rPr>
                <w:rFonts w:ascii="Arial Narrow" w:hAnsi="Arial Narrow"/>
                <w:sz w:val="20"/>
              </w:rPr>
            </w:pPr>
          </w:p>
        </w:tc>
        <w:tc>
          <w:tcPr>
            <w:tcW w:w="2499" w:type="pct"/>
          </w:tcPr>
          <w:p w:rsidR="00CF758C" w:rsidRDefault="00CF758C" w:rsidP="005134E4">
            <w:pPr>
              <w:jc w:val="left"/>
              <w:rPr>
                <w:rFonts w:ascii="Arial Narrow" w:hAnsi="Arial Narrow"/>
                <w:sz w:val="20"/>
              </w:rPr>
            </w:pPr>
            <w:r>
              <w:rPr>
                <w:rFonts w:ascii="Arial Narrow" w:hAnsi="Arial Narrow"/>
                <w:sz w:val="20"/>
              </w:rPr>
              <w:t>Rituximab therapy for the induction of remission and tolerance in ANCA-associated vasculitis. National Institute of Allergy and Infectious Diseases.  Report Date 14 October 2010 (Data cut-off 9 January 2009).  Pages 1-239.</w:t>
            </w:r>
          </w:p>
          <w:p w:rsidR="00CF758C" w:rsidRDefault="00CF758C" w:rsidP="005134E4">
            <w:pPr>
              <w:jc w:val="left"/>
              <w:rPr>
                <w:rFonts w:ascii="Arial Narrow" w:hAnsi="Arial Narrow"/>
                <w:sz w:val="20"/>
              </w:rPr>
            </w:pPr>
          </w:p>
          <w:p w:rsidR="00CF758C" w:rsidRDefault="00CF758C" w:rsidP="005134E4">
            <w:pPr>
              <w:jc w:val="left"/>
              <w:rPr>
                <w:rFonts w:ascii="Arial Narrow" w:hAnsi="Arial Narrow"/>
                <w:sz w:val="20"/>
              </w:rPr>
            </w:pPr>
            <w:r>
              <w:rPr>
                <w:rFonts w:ascii="Arial Narrow" w:hAnsi="Arial Narrow"/>
                <w:sz w:val="20"/>
              </w:rPr>
              <w:t xml:space="preserve">Stone JH, Merkel PA, Spiera R et al.  Rituximab versus cyclophosphamide for ANCA-associated vasculitis. </w:t>
            </w:r>
          </w:p>
          <w:p w:rsidR="00CF758C" w:rsidRDefault="00CF758C" w:rsidP="005134E4">
            <w:pPr>
              <w:jc w:val="left"/>
              <w:rPr>
                <w:rFonts w:ascii="Arial Narrow" w:hAnsi="Arial Narrow"/>
                <w:sz w:val="20"/>
              </w:rPr>
            </w:pPr>
          </w:p>
          <w:p w:rsidR="00CF758C" w:rsidRDefault="00CF758C" w:rsidP="005134E4">
            <w:pPr>
              <w:jc w:val="left"/>
              <w:rPr>
                <w:rFonts w:ascii="Arial Narrow" w:hAnsi="Arial Narrow"/>
                <w:sz w:val="20"/>
              </w:rPr>
            </w:pPr>
            <w:r>
              <w:rPr>
                <w:rFonts w:ascii="Arial Narrow" w:hAnsi="Arial Narrow"/>
                <w:sz w:val="20"/>
              </w:rPr>
              <w:t>Specks U, Merkel PA, Hoffman GS et al. Design of the rituximab in ANCA-associated vasculitis (RAVE) trial.</w:t>
            </w:r>
          </w:p>
          <w:p w:rsidR="00CF758C" w:rsidRDefault="00CF758C" w:rsidP="005134E4">
            <w:pPr>
              <w:jc w:val="left"/>
              <w:rPr>
                <w:rFonts w:ascii="Arial Narrow" w:hAnsi="Arial Narrow"/>
                <w:sz w:val="20"/>
              </w:rPr>
            </w:pPr>
          </w:p>
          <w:p w:rsidR="00CF758C" w:rsidRDefault="00CF758C" w:rsidP="005134E4">
            <w:pPr>
              <w:jc w:val="left"/>
              <w:rPr>
                <w:rFonts w:ascii="Arial Narrow" w:hAnsi="Arial Narrow"/>
                <w:sz w:val="20"/>
              </w:rPr>
            </w:pPr>
            <w:r w:rsidRPr="00D11171">
              <w:rPr>
                <w:rFonts w:ascii="Arial Narrow" w:hAnsi="Arial Narrow"/>
                <w:sz w:val="20"/>
                <w:lang w:val="es-ES_tradnl"/>
              </w:rPr>
              <w:t xml:space="preserve">Specks U, Merkel PA, Seo P et al. </w:t>
            </w:r>
            <w:r>
              <w:rPr>
                <w:rFonts w:ascii="Arial Narrow" w:hAnsi="Arial Narrow"/>
                <w:sz w:val="20"/>
              </w:rPr>
              <w:t xml:space="preserve">Efficacy of remission-induction regimens for ANCA-associated vasculitis. </w:t>
            </w:r>
          </w:p>
          <w:p w:rsidR="00CF758C" w:rsidRDefault="00CF758C" w:rsidP="005134E4">
            <w:pPr>
              <w:jc w:val="left"/>
              <w:rPr>
                <w:rFonts w:ascii="Arial Narrow" w:hAnsi="Arial Narrow"/>
                <w:sz w:val="20"/>
              </w:rPr>
            </w:pPr>
          </w:p>
          <w:p w:rsidR="00CF758C" w:rsidRDefault="00CF758C" w:rsidP="005134E4">
            <w:pPr>
              <w:jc w:val="left"/>
              <w:rPr>
                <w:rFonts w:ascii="Arial Narrow" w:hAnsi="Arial Narrow"/>
                <w:sz w:val="20"/>
              </w:rPr>
            </w:pPr>
            <w:r>
              <w:rPr>
                <w:rFonts w:ascii="Arial Narrow" w:hAnsi="Arial Narrow"/>
                <w:sz w:val="20"/>
              </w:rPr>
              <w:t>Miloslavsky EM, Specks U, Merkel PA et al. Clinical outcomes of remission induction therapy for severe anti-neutrophil cytoplasmic antibody-associated vasculitis</w:t>
            </w:r>
          </w:p>
          <w:p w:rsidR="00CF758C" w:rsidRDefault="00CF758C" w:rsidP="005134E4">
            <w:pPr>
              <w:jc w:val="left"/>
              <w:rPr>
                <w:rFonts w:ascii="Arial Narrow" w:hAnsi="Arial Narrow"/>
                <w:sz w:val="20"/>
              </w:rPr>
            </w:pPr>
          </w:p>
          <w:p w:rsidR="00CF758C" w:rsidRPr="004E2ADC" w:rsidRDefault="00CF758C" w:rsidP="005134E4">
            <w:pPr>
              <w:jc w:val="left"/>
              <w:rPr>
                <w:rFonts w:ascii="Arial Narrow" w:hAnsi="Arial Narrow"/>
                <w:b/>
                <w:sz w:val="20"/>
              </w:rPr>
            </w:pPr>
            <w:r>
              <w:rPr>
                <w:rFonts w:ascii="Arial Narrow" w:hAnsi="Arial Narrow"/>
                <w:sz w:val="20"/>
              </w:rPr>
              <w:t xml:space="preserve">Miloslavsky EM, Specks U, Merkel PA et al. Rituximab for the treatment of relapses in ANCA-associated vasculitis. </w:t>
            </w:r>
          </w:p>
        </w:tc>
        <w:tc>
          <w:tcPr>
            <w:tcW w:w="1421" w:type="pct"/>
          </w:tcPr>
          <w:p w:rsidR="00CF758C" w:rsidRDefault="00CF758C" w:rsidP="005134E4">
            <w:pPr>
              <w:jc w:val="left"/>
              <w:rPr>
                <w:rFonts w:ascii="Arial Narrow" w:hAnsi="Arial Narrow"/>
                <w:sz w:val="20"/>
              </w:rPr>
            </w:pPr>
            <w:r>
              <w:rPr>
                <w:rFonts w:ascii="Arial Narrow" w:hAnsi="Arial Narrow"/>
                <w:sz w:val="20"/>
              </w:rPr>
              <w:t>14 October 2010</w:t>
            </w:r>
          </w:p>
          <w:p w:rsidR="00CF758C" w:rsidRDefault="00CF758C" w:rsidP="005134E4">
            <w:pPr>
              <w:jc w:val="left"/>
              <w:rPr>
                <w:rFonts w:ascii="Arial Narrow" w:hAnsi="Arial Narrow"/>
                <w:sz w:val="20"/>
              </w:rPr>
            </w:pPr>
          </w:p>
          <w:p w:rsidR="00CF758C" w:rsidRDefault="00CF758C" w:rsidP="005134E4">
            <w:pPr>
              <w:jc w:val="left"/>
              <w:rPr>
                <w:rFonts w:ascii="Arial Narrow" w:hAnsi="Arial Narrow"/>
                <w:sz w:val="20"/>
              </w:rPr>
            </w:pPr>
          </w:p>
          <w:p w:rsidR="00CF758C" w:rsidRDefault="00CF758C" w:rsidP="005134E4">
            <w:pPr>
              <w:jc w:val="left"/>
              <w:rPr>
                <w:rFonts w:ascii="Arial Narrow" w:hAnsi="Arial Narrow"/>
                <w:sz w:val="20"/>
              </w:rPr>
            </w:pPr>
          </w:p>
          <w:p w:rsidR="00CF758C" w:rsidRDefault="00CF758C" w:rsidP="005134E4">
            <w:pPr>
              <w:jc w:val="left"/>
              <w:rPr>
                <w:rFonts w:ascii="Arial Narrow" w:hAnsi="Arial Narrow"/>
                <w:i/>
                <w:sz w:val="20"/>
              </w:rPr>
            </w:pPr>
          </w:p>
          <w:p w:rsidR="004C7221" w:rsidRDefault="004C7221" w:rsidP="005134E4">
            <w:pPr>
              <w:jc w:val="left"/>
              <w:rPr>
                <w:rFonts w:ascii="Arial Narrow" w:hAnsi="Arial Narrow"/>
                <w:i/>
                <w:sz w:val="20"/>
              </w:rPr>
            </w:pPr>
          </w:p>
          <w:p w:rsidR="00CF758C" w:rsidRPr="004E2ADC" w:rsidRDefault="00CF758C" w:rsidP="005134E4">
            <w:pPr>
              <w:jc w:val="left"/>
              <w:rPr>
                <w:rFonts w:ascii="Arial Narrow" w:hAnsi="Arial Narrow"/>
                <w:sz w:val="20"/>
              </w:rPr>
            </w:pPr>
            <w:r>
              <w:rPr>
                <w:rFonts w:ascii="Arial Narrow" w:hAnsi="Arial Narrow"/>
                <w:i/>
                <w:sz w:val="20"/>
              </w:rPr>
              <w:t>NEJM</w:t>
            </w:r>
            <w:r w:rsidRPr="004E2ADC">
              <w:rPr>
                <w:rFonts w:ascii="Arial Narrow" w:hAnsi="Arial Narrow"/>
                <w:sz w:val="20"/>
              </w:rPr>
              <w:t xml:space="preserve"> </w:t>
            </w:r>
            <w:r>
              <w:rPr>
                <w:rFonts w:ascii="Arial Narrow" w:hAnsi="Arial Narrow"/>
                <w:sz w:val="20"/>
              </w:rPr>
              <w:t>2010; 363</w:t>
            </w:r>
            <w:r w:rsidRPr="004E2ADC">
              <w:rPr>
                <w:rFonts w:ascii="Arial Narrow" w:hAnsi="Arial Narrow"/>
                <w:sz w:val="20"/>
              </w:rPr>
              <w:t xml:space="preserve"> (</w:t>
            </w:r>
            <w:r>
              <w:rPr>
                <w:rFonts w:ascii="Arial Narrow" w:hAnsi="Arial Narrow"/>
                <w:sz w:val="20"/>
              </w:rPr>
              <w:t>3</w:t>
            </w:r>
            <w:r w:rsidRPr="004E2ADC">
              <w:rPr>
                <w:rFonts w:ascii="Arial Narrow" w:hAnsi="Arial Narrow"/>
                <w:sz w:val="20"/>
              </w:rPr>
              <w:t>):</w:t>
            </w:r>
            <w:r>
              <w:rPr>
                <w:rFonts w:ascii="Arial Narrow" w:hAnsi="Arial Narrow"/>
                <w:sz w:val="20"/>
              </w:rPr>
              <w:t>p221-232</w:t>
            </w:r>
          </w:p>
          <w:p w:rsidR="00CF758C" w:rsidRDefault="00CF758C" w:rsidP="005134E4">
            <w:pPr>
              <w:jc w:val="left"/>
              <w:rPr>
                <w:rFonts w:ascii="Arial Narrow" w:hAnsi="Arial Narrow"/>
                <w:i/>
                <w:sz w:val="20"/>
              </w:rPr>
            </w:pPr>
          </w:p>
          <w:p w:rsidR="004C7221" w:rsidRDefault="004C7221" w:rsidP="005134E4">
            <w:pPr>
              <w:jc w:val="left"/>
              <w:rPr>
                <w:rFonts w:ascii="Arial Narrow" w:hAnsi="Arial Narrow"/>
                <w:i/>
                <w:sz w:val="20"/>
              </w:rPr>
            </w:pPr>
          </w:p>
          <w:p w:rsidR="00CF758C" w:rsidRDefault="00CF758C" w:rsidP="005134E4">
            <w:pPr>
              <w:jc w:val="left"/>
              <w:rPr>
                <w:rFonts w:ascii="Arial Narrow" w:hAnsi="Arial Narrow"/>
                <w:sz w:val="20"/>
              </w:rPr>
            </w:pPr>
            <w:r>
              <w:rPr>
                <w:rFonts w:ascii="Arial Narrow" w:hAnsi="Arial Narrow"/>
                <w:i/>
                <w:sz w:val="20"/>
              </w:rPr>
              <w:t xml:space="preserve">Open Arthritis </w:t>
            </w:r>
            <w:r w:rsidRPr="004E2ADC">
              <w:rPr>
                <w:rFonts w:ascii="Arial Narrow" w:hAnsi="Arial Narrow"/>
                <w:i/>
                <w:sz w:val="20"/>
              </w:rPr>
              <w:t>Journal</w:t>
            </w:r>
            <w:r w:rsidRPr="004E2ADC">
              <w:rPr>
                <w:rFonts w:ascii="Arial Narrow" w:hAnsi="Arial Narrow"/>
                <w:sz w:val="20"/>
              </w:rPr>
              <w:t xml:space="preserve"> </w:t>
            </w:r>
            <w:r>
              <w:rPr>
                <w:rFonts w:ascii="Arial Narrow" w:hAnsi="Arial Narrow"/>
                <w:sz w:val="20"/>
              </w:rPr>
              <w:t>2011</w:t>
            </w:r>
            <w:r w:rsidRPr="004E2ADC">
              <w:rPr>
                <w:rFonts w:ascii="Arial Narrow" w:hAnsi="Arial Narrow"/>
                <w:sz w:val="20"/>
              </w:rPr>
              <w:t xml:space="preserve">; </w:t>
            </w:r>
            <w:r>
              <w:rPr>
                <w:rFonts w:ascii="Arial Narrow" w:hAnsi="Arial Narrow"/>
                <w:sz w:val="20"/>
              </w:rPr>
              <w:t>4</w:t>
            </w:r>
            <w:r w:rsidRPr="004E2ADC">
              <w:rPr>
                <w:rFonts w:ascii="Arial Narrow" w:hAnsi="Arial Narrow"/>
                <w:sz w:val="20"/>
              </w:rPr>
              <w:t xml:space="preserve"> (</w:t>
            </w:r>
            <w:r>
              <w:rPr>
                <w:rFonts w:ascii="Arial Narrow" w:hAnsi="Arial Narrow"/>
                <w:sz w:val="20"/>
              </w:rPr>
              <w:t>1</w:t>
            </w:r>
            <w:r w:rsidRPr="004E2ADC">
              <w:rPr>
                <w:rFonts w:ascii="Arial Narrow" w:hAnsi="Arial Narrow"/>
                <w:sz w:val="20"/>
              </w:rPr>
              <w:t>):</w:t>
            </w:r>
            <w:r>
              <w:rPr>
                <w:rFonts w:ascii="Arial Narrow" w:hAnsi="Arial Narrow"/>
                <w:sz w:val="20"/>
              </w:rPr>
              <w:t>1-18</w:t>
            </w:r>
          </w:p>
          <w:p w:rsidR="00CF758C" w:rsidRDefault="00CF758C" w:rsidP="005134E4">
            <w:pPr>
              <w:jc w:val="left"/>
              <w:rPr>
                <w:rFonts w:ascii="Arial Narrow" w:hAnsi="Arial Narrow"/>
                <w:i/>
                <w:sz w:val="20"/>
              </w:rPr>
            </w:pPr>
          </w:p>
          <w:p w:rsidR="00CF758C" w:rsidRDefault="00CF758C" w:rsidP="005134E4">
            <w:pPr>
              <w:jc w:val="left"/>
              <w:rPr>
                <w:rFonts w:ascii="Arial Narrow" w:hAnsi="Arial Narrow"/>
                <w:sz w:val="20"/>
              </w:rPr>
            </w:pPr>
            <w:r w:rsidRPr="00207123">
              <w:rPr>
                <w:rFonts w:ascii="Arial Narrow" w:hAnsi="Arial Narrow"/>
                <w:i/>
                <w:sz w:val="20"/>
              </w:rPr>
              <w:t>NEJM</w:t>
            </w:r>
            <w:r>
              <w:rPr>
                <w:rFonts w:ascii="Arial Narrow" w:hAnsi="Arial Narrow"/>
                <w:sz w:val="20"/>
              </w:rPr>
              <w:t xml:space="preserve"> 2013; 369 (5):417-427</w:t>
            </w:r>
          </w:p>
          <w:p w:rsidR="00CF758C" w:rsidRDefault="00CF758C" w:rsidP="005134E4">
            <w:pPr>
              <w:jc w:val="left"/>
              <w:rPr>
                <w:rFonts w:ascii="Arial Narrow" w:hAnsi="Arial Narrow"/>
                <w:i/>
                <w:sz w:val="20"/>
              </w:rPr>
            </w:pPr>
          </w:p>
          <w:p w:rsidR="00CF758C" w:rsidRDefault="00CF758C" w:rsidP="005134E4">
            <w:pPr>
              <w:jc w:val="left"/>
              <w:rPr>
                <w:rFonts w:ascii="Arial Narrow" w:hAnsi="Arial Narrow"/>
                <w:i/>
                <w:sz w:val="20"/>
              </w:rPr>
            </w:pPr>
          </w:p>
          <w:p w:rsidR="00CF758C" w:rsidRDefault="00CF758C" w:rsidP="005134E4">
            <w:pPr>
              <w:jc w:val="left"/>
              <w:rPr>
                <w:rFonts w:ascii="Arial Narrow" w:hAnsi="Arial Narrow"/>
                <w:sz w:val="20"/>
              </w:rPr>
            </w:pPr>
            <w:r>
              <w:rPr>
                <w:rFonts w:ascii="Arial Narrow" w:hAnsi="Arial Narrow"/>
                <w:i/>
                <w:sz w:val="20"/>
              </w:rPr>
              <w:t>Arthritis and Rheumatism</w:t>
            </w:r>
            <w:r>
              <w:rPr>
                <w:rFonts w:ascii="Arial Narrow" w:hAnsi="Arial Narrow"/>
                <w:sz w:val="20"/>
              </w:rPr>
              <w:t xml:space="preserve"> 2013; 65 (9):2441-2449</w:t>
            </w:r>
          </w:p>
          <w:p w:rsidR="00CF758C" w:rsidRDefault="00CF758C" w:rsidP="005134E4">
            <w:pPr>
              <w:jc w:val="left"/>
              <w:rPr>
                <w:rFonts w:ascii="Arial Narrow" w:hAnsi="Arial Narrow"/>
                <w:sz w:val="20"/>
              </w:rPr>
            </w:pPr>
          </w:p>
          <w:p w:rsidR="00CF758C" w:rsidRDefault="00CF758C" w:rsidP="005134E4">
            <w:pPr>
              <w:jc w:val="left"/>
              <w:rPr>
                <w:rFonts w:ascii="Arial Narrow" w:hAnsi="Arial Narrow"/>
                <w:i/>
                <w:sz w:val="20"/>
              </w:rPr>
            </w:pPr>
          </w:p>
          <w:p w:rsidR="00CF758C" w:rsidRPr="004E2ADC" w:rsidRDefault="00CF758C" w:rsidP="005134E4">
            <w:pPr>
              <w:jc w:val="left"/>
              <w:rPr>
                <w:rFonts w:ascii="Arial Narrow" w:hAnsi="Arial Narrow"/>
                <w:b/>
                <w:sz w:val="20"/>
              </w:rPr>
            </w:pPr>
            <w:r>
              <w:rPr>
                <w:rFonts w:ascii="Arial Narrow" w:hAnsi="Arial Narrow"/>
                <w:i/>
                <w:sz w:val="20"/>
              </w:rPr>
              <w:t>Arthritis and Rheumatism</w:t>
            </w:r>
            <w:r>
              <w:rPr>
                <w:rFonts w:ascii="Arial Narrow" w:hAnsi="Arial Narrow"/>
                <w:sz w:val="20"/>
              </w:rPr>
              <w:t xml:space="preserve"> 2014; accepted 15 July 2014</w:t>
            </w:r>
          </w:p>
        </w:tc>
      </w:tr>
      <w:tr w:rsidR="00CF758C" w:rsidRPr="004E2ADC" w:rsidTr="005C2DD7">
        <w:tc>
          <w:tcPr>
            <w:tcW w:w="5000" w:type="pct"/>
            <w:gridSpan w:val="3"/>
          </w:tcPr>
          <w:p w:rsidR="00CF758C" w:rsidRPr="00E70021" w:rsidRDefault="00CF758C" w:rsidP="005134E4">
            <w:pPr>
              <w:jc w:val="left"/>
              <w:rPr>
                <w:rFonts w:ascii="Arial Narrow" w:hAnsi="Arial Narrow"/>
                <w:b/>
                <w:sz w:val="20"/>
              </w:rPr>
            </w:pPr>
            <w:r w:rsidRPr="00E70021">
              <w:rPr>
                <w:rFonts w:ascii="Arial Narrow" w:hAnsi="Arial Narrow"/>
                <w:b/>
                <w:sz w:val="20"/>
              </w:rPr>
              <w:t>Supplementary studies</w:t>
            </w:r>
          </w:p>
        </w:tc>
      </w:tr>
      <w:tr w:rsidR="00CF758C" w:rsidRPr="004E2ADC" w:rsidTr="005C2DD7">
        <w:tc>
          <w:tcPr>
            <w:tcW w:w="5000" w:type="pct"/>
            <w:gridSpan w:val="3"/>
          </w:tcPr>
          <w:p w:rsidR="00CF758C" w:rsidRPr="00E70021" w:rsidRDefault="00CF758C" w:rsidP="005134E4">
            <w:pPr>
              <w:jc w:val="left"/>
              <w:rPr>
                <w:rFonts w:ascii="Arial Narrow" w:hAnsi="Arial Narrow"/>
                <w:b/>
                <w:sz w:val="20"/>
              </w:rPr>
            </w:pPr>
            <w:r w:rsidRPr="00E70021">
              <w:rPr>
                <w:rFonts w:ascii="Arial Narrow" w:hAnsi="Arial Narrow"/>
                <w:b/>
                <w:sz w:val="20"/>
              </w:rPr>
              <w:t xml:space="preserve">Rituximab </w:t>
            </w:r>
          </w:p>
        </w:tc>
      </w:tr>
      <w:tr w:rsidR="00CF758C" w:rsidRPr="004E2ADC" w:rsidTr="005C2DD7">
        <w:tc>
          <w:tcPr>
            <w:tcW w:w="1080" w:type="pct"/>
          </w:tcPr>
          <w:p w:rsidR="00CF758C" w:rsidRPr="00F60E98" w:rsidRDefault="00CF758C" w:rsidP="005134E4">
            <w:pPr>
              <w:jc w:val="left"/>
              <w:rPr>
                <w:rFonts w:ascii="Arial Narrow" w:hAnsi="Arial Narrow"/>
                <w:sz w:val="20"/>
              </w:rPr>
            </w:pPr>
            <w:r w:rsidRPr="00F60E98">
              <w:rPr>
                <w:rFonts w:ascii="Arial Narrow" w:hAnsi="Arial Narrow"/>
                <w:sz w:val="20"/>
              </w:rPr>
              <w:t xml:space="preserve">Aries </w:t>
            </w:r>
          </w:p>
        </w:tc>
        <w:tc>
          <w:tcPr>
            <w:tcW w:w="2499" w:type="pct"/>
          </w:tcPr>
          <w:p w:rsidR="00CF758C" w:rsidRPr="00F60E98" w:rsidRDefault="00CF758C" w:rsidP="005134E4">
            <w:pPr>
              <w:jc w:val="left"/>
              <w:rPr>
                <w:rFonts w:ascii="Arial Narrow" w:hAnsi="Arial Narrow"/>
                <w:sz w:val="20"/>
              </w:rPr>
            </w:pPr>
            <w:r w:rsidRPr="00F60E98">
              <w:rPr>
                <w:rFonts w:ascii="Arial Narrow" w:hAnsi="Arial Narrow" w:cs="Segoe UI"/>
                <w:sz w:val="20"/>
              </w:rPr>
              <w:t>Aries PM, Hellmich B, Voswinkel J et al. Lack of efficacy of rituximab in Wegener's granulomatosis with refractory granulomatous manifestations</w:t>
            </w:r>
            <w:r w:rsidRPr="00F60E98">
              <w:rPr>
                <w:rFonts w:ascii="Arial Narrow" w:hAnsi="Arial Narrow" w:cs="Segoe UI"/>
                <w:i/>
                <w:iCs/>
                <w:sz w:val="20"/>
              </w:rPr>
              <w:t xml:space="preserve"> </w:t>
            </w:r>
          </w:p>
        </w:tc>
        <w:tc>
          <w:tcPr>
            <w:tcW w:w="1421" w:type="pct"/>
          </w:tcPr>
          <w:p w:rsidR="00CF758C" w:rsidRPr="00F60E98" w:rsidRDefault="00CF758C" w:rsidP="005134E4">
            <w:pPr>
              <w:jc w:val="left"/>
              <w:rPr>
                <w:rFonts w:ascii="Arial Narrow" w:hAnsi="Arial Narrow"/>
                <w:sz w:val="20"/>
              </w:rPr>
            </w:pPr>
            <w:r w:rsidRPr="00F60E98">
              <w:rPr>
                <w:rFonts w:ascii="Arial Narrow" w:hAnsi="Arial Narrow" w:cs="Segoe UI"/>
                <w:i/>
                <w:sz w:val="20"/>
              </w:rPr>
              <w:t>Annals of the Rheumatic Diseases</w:t>
            </w:r>
            <w:r w:rsidRPr="00F60E98">
              <w:rPr>
                <w:rFonts w:ascii="Arial Narrow" w:hAnsi="Arial Narrow" w:cs="Segoe UI"/>
                <w:sz w:val="20"/>
              </w:rPr>
              <w:t>. 2006;65(7):853-58</w:t>
            </w:r>
            <w:r w:rsidRPr="00F60E98">
              <w:rPr>
                <w:rFonts w:ascii="Arial Narrow" w:hAnsi="Arial Narrow" w:cs="Segoe UI"/>
                <w:i/>
                <w:iCs/>
                <w:sz w:val="20"/>
              </w:rPr>
              <w:t xml:space="preserve"> </w:t>
            </w:r>
          </w:p>
        </w:tc>
      </w:tr>
      <w:tr w:rsidR="00CF758C" w:rsidRPr="004E2ADC" w:rsidTr="005C2DD7">
        <w:tc>
          <w:tcPr>
            <w:tcW w:w="1080" w:type="pct"/>
          </w:tcPr>
          <w:p w:rsidR="00CF758C" w:rsidRPr="00F60E98" w:rsidRDefault="00CF758C" w:rsidP="001717FE">
            <w:pPr>
              <w:jc w:val="left"/>
              <w:rPr>
                <w:rFonts w:ascii="Arial Narrow" w:hAnsi="Arial Narrow"/>
                <w:sz w:val="20"/>
              </w:rPr>
            </w:pPr>
            <w:r w:rsidRPr="00F60E98">
              <w:rPr>
                <w:rFonts w:ascii="Arial Narrow" w:hAnsi="Arial Narrow"/>
                <w:sz w:val="20"/>
              </w:rPr>
              <w:t xml:space="preserve">Brihaye </w:t>
            </w:r>
          </w:p>
        </w:tc>
        <w:tc>
          <w:tcPr>
            <w:tcW w:w="2499" w:type="pct"/>
          </w:tcPr>
          <w:p w:rsidR="00CF758C" w:rsidRPr="00F60E98" w:rsidRDefault="00CF758C" w:rsidP="005134E4">
            <w:pPr>
              <w:jc w:val="left"/>
              <w:rPr>
                <w:rFonts w:ascii="Arial Narrow" w:hAnsi="Arial Narrow"/>
                <w:sz w:val="20"/>
              </w:rPr>
            </w:pPr>
            <w:r w:rsidRPr="00D11171">
              <w:rPr>
                <w:rFonts w:ascii="Arial Narrow" w:hAnsi="Arial Narrow" w:cs="Calibri"/>
                <w:bCs/>
                <w:sz w:val="20"/>
                <w:lang w:val="fr-FR"/>
              </w:rPr>
              <w:t xml:space="preserve">Brihaye B, Aouba A, Pagnoux C et al. </w:t>
            </w:r>
            <w:r w:rsidRPr="00F60E98">
              <w:rPr>
                <w:rFonts w:ascii="Arial Narrow" w:hAnsi="Arial Narrow" w:cs="Calibri"/>
                <w:bCs/>
                <w:sz w:val="20"/>
              </w:rPr>
              <w:t>Adjunction of rituximab to steroids and immunosuppressants for refractory/relapsing Wegener's granulomatosis: A study on 8 patients</w:t>
            </w:r>
          </w:p>
        </w:tc>
        <w:tc>
          <w:tcPr>
            <w:tcW w:w="1421" w:type="pct"/>
          </w:tcPr>
          <w:p w:rsidR="00CF758C" w:rsidRPr="00F60E98" w:rsidRDefault="00CF758C" w:rsidP="005134E4">
            <w:pPr>
              <w:jc w:val="left"/>
              <w:rPr>
                <w:rFonts w:ascii="Arial Narrow" w:hAnsi="Arial Narrow"/>
                <w:sz w:val="20"/>
              </w:rPr>
            </w:pPr>
            <w:r w:rsidRPr="00F60E98">
              <w:rPr>
                <w:rFonts w:ascii="Arial Narrow" w:hAnsi="Arial Narrow" w:cs="Calibri"/>
                <w:bCs/>
                <w:i/>
                <w:sz w:val="20"/>
              </w:rPr>
              <w:t>Clinical and Experimental Rheumatology</w:t>
            </w:r>
            <w:r w:rsidRPr="00F60E98">
              <w:rPr>
                <w:rFonts w:ascii="Arial Narrow" w:hAnsi="Arial Narrow" w:cs="Calibri"/>
                <w:bCs/>
                <w:sz w:val="20"/>
              </w:rPr>
              <w:t>. 2007;25(1 SUPPL. 44):S23-S27</w:t>
            </w:r>
          </w:p>
        </w:tc>
      </w:tr>
      <w:tr w:rsidR="00CF758C" w:rsidRPr="004E2ADC" w:rsidTr="005C2DD7">
        <w:tc>
          <w:tcPr>
            <w:tcW w:w="1080" w:type="pct"/>
          </w:tcPr>
          <w:p w:rsidR="00CF758C" w:rsidRPr="00F60E98" w:rsidRDefault="00CF758C" w:rsidP="001717FE">
            <w:pPr>
              <w:jc w:val="left"/>
              <w:rPr>
                <w:rFonts w:ascii="Arial Narrow" w:hAnsi="Arial Narrow"/>
                <w:sz w:val="20"/>
              </w:rPr>
            </w:pPr>
            <w:r w:rsidRPr="00F60E98">
              <w:rPr>
                <w:rFonts w:ascii="Arial Narrow" w:hAnsi="Arial Narrow"/>
                <w:sz w:val="20"/>
              </w:rPr>
              <w:t xml:space="preserve">Calich </w:t>
            </w:r>
          </w:p>
        </w:tc>
        <w:tc>
          <w:tcPr>
            <w:tcW w:w="2499" w:type="pct"/>
          </w:tcPr>
          <w:p w:rsidR="00CF758C" w:rsidRPr="00F60E98" w:rsidRDefault="00CF758C" w:rsidP="005134E4">
            <w:pPr>
              <w:jc w:val="left"/>
              <w:rPr>
                <w:rFonts w:ascii="Arial Narrow" w:hAnsi="Arial Narrow"/>
                <w:sz w:val="20"/>
              </w:rPr>
            </w:pPr>
            <w:r w:rsidRPr="00D11171">
              <w:rPr>
                <w:rFonts w:ascii="Arial Narrow" w:hAnsi="Arial Narrow" w:cs="Calibri"/>
                <w:bCs/>
                <w:sz w:val="20"/>
                <w:lang w:val="es-ES_tradnl"/>
              </w:rPr>
              <w:t xml:space="preserve">Calich AL, Puechal X, Pugnet G et al. </w:t>
            </w:r>
            <w:r w:rsidRPr="00F60E98">
              <w:rPr>
                <w:rFonts w:ascii="Arial Narrow" w:hAnsi="Arial Narrow" w:cs="Calibri"/>
                <w:bCs/>
                <w:sz w:val="20"/>
              </w:rPr>
              <w:t>Rituximab for induction and maintenance therapy in granulomatosis with polyangiitis (Wegener's). Results of a single-center cohort study on 66 patients</w:t>
            </w:r>
          </w:p>
        </w:tc>
        <w:tc>
          <w:tcPr>
            <w:tcW w:w="1421" w:type="pct"/>
          </w:tcPr>
          <w:p w:rsidR="00CF758C" w:rsidRPr="00F60E98" w:rsidRDefault="00CF758C" w:rsidP="005134E4">
            <w:pPr>
              <w:jc w:val="left"/>
              <w:rPr>
                <w:rFonts w:ascii="Arial Narrow" w:hAnsi="Arial Narrow"/>
                <w:sz w:val="20"/>
              </w:rPr>
            </w:pPr>
            <w:r w:rsidRPr="00F60E98">
              <w:rPr>
                <w:rFonts w:ascii="Arial Narrow" w:hAnsi="Arial Narrow" w:cs="Calibri"/>
                <w:bCs/>
                <w:i/>
                <w:sz w:val="20"/>
              </w:rPr>
              <w:t>Journal of Autoimmunity. 2014;50:135-41</w:t>
            </w:r>
          </w:p>
        </w:tc>
      </w:tr>
      <w:tr w:rsidR="00CF758C" w:rsidRPr="004E2ADC" w:rsidTr="005C2DD7">
        <w:tc>
          <w:tcPr>
            <w:tcW w:w="1080" w:type="pct"/>
          </w:tcPr>
          <w:p w:rsidR="00CF758C" w:rsidRPr="00F60E98" w:rsidRDefault="00CF758C" w:rsidP="005134E4">
            <w:pPr>
              <w:jc w:val="left"/>
              <w:rPr>
                <w:rFonts w:ascii="Arial Narrow" w:hAnsi="Arial Narrow"/>
                <w:sz w:val="20"/>
              </w:rPr>
            </w:pPr>
            <w:r w:rsidRPr="00F60E98">
              <w:rPr>
                <w:rFonts w:ascii="Arial Narrow" w:hAnsi="Arial Narrow"/>
                <w:sz w:val="20"/>
              </w:rPr>
              <w:t xml:space="preserve">Cartin-Ceba </w:t>
            </w:r>
          </w:p>
        </w:tc>
        <w:tc>
          <w:tcPr>
            <w:tcW w:w="2499" w:type="pct"/>
          </w:tcPr>
          <w:p w:rsidR="00CF758C" w:rsidRPr="00F60E98" w:rsidRDefault="00CF758C" w:rsidP="005134E4">
            <w:pPr>
              <w:jc w:val="left"/>
              <w:rPr>
                <w:rFonts w:ascii="Arial Narrow" w:hAnsi="Arial Narrow"/>
                <w:sz w:val="20"/>
              </w:rPr>
            </w:pPr>
            <w:r w:rsidRPr="00F60E98">
              <w:rPr>
                <w:rFonts w:ascii="Arial Narrow" w:hAnsi="Arial Narrow" w:cs="Calibri"/>
                <w:bCs/>
                <w:sz w:val="20"/>
              </w:rPr>
              <w:t>Cartin-Ceba R, Golbin JM, Keogh KA et al. Rituximab for remission induction and maintenance in refractory granulomatosis with polyangiitis (Wegener's): Ten-year experience at a single center</w:t>
            </w:r>
          </w:p>
        </w:tc>
        <w:tc>
          <w:tcPr>
            <w:tcW w:w="1421" w:type="pct"/>
          </w:tcPr>
          <w:p w:rsidR="00CF758C" w:rsidRPr="00F60E98" w:rsidRDefault="00CF758C" w:rsidP="005134E4">
            <w:pPr>
              <w:jc w:val="left"/>
              <w:rPr>
                <w:rFonts w:ascii="Arial Narrow" w:hAnsi="Arial Narrow"/>
                <w:sz w:val="20"/>
              </w:rPr>
            </w:pPr>
            <w:r w:rsidRPr="00F60E98">
              <w:rPr>
                <w:rFonts w:ascii="Arial Narrow" w:hAnsi="Arial Narrow" w:cs="Calibri"/>
                <w:bCs/>
                <w:i/>
                <w:sz w:val="20"/>
              </w:rPr>
              <w:t>Arthritis and Rheumatism. 2012;64(11):3770-78</w:t>
            </w:r>
          </w:p>
        </w:tc>
      </w:tr>
      <w:tr w:rsidR="00CF758C" w:rsidRPr="004E2ADC" w:rsidTr="005C2DD7">
        <w:tc>
          <w:tcPr>
            <w:tcW w:w="1080" w:type="pct"/>
          </w:tcPr>
          <w:p w:rsidR="00CF758C" w:rsidRPr="00F60E98" w:rsidRDefault="00CF758C" w:rsidP="001717FE">
            <w:pPr>
              <w:jc w:val="left"/>
              <w:rPr>
                <w:rFonts w:ascii="Arial Narrow" w:hAnsi="Arial Narrow"/>
                <w:sz w:val="20"/>
              </w:rPr>
            </w:pPr>
            <w:r w:rsidRPr="00F60E98">
              <w:rPr>
                <w:rFonts w:ascii="Arial Narrow" w:hAnsi="Arial Narrow"/>
                <w:sz w:val="20"/>
              </w:rPr>
              <w:t xml:space="preserve">Charles </w:t>
            </w:r>
          </w:p>
        </w:tc>
        <w:tc>
          <w:tcPr>
            <w:tcW w:w="2499" w:type="pct"/>
          </w:tcPr>
          <w:p w:rsidR="00CF758C" w:rsidRPr="00F60E98" w:rsidRDefault="00CF758C" w:rsidP="005134E4">
            <w:pPr>
              <w:jc w:val="left"/>
              <w:rPr>
                <w:rFonts w:ascii="Arial Narrow" w:hAnsi="Arial Narrow"/>
                <w:sz w:val="20"/>
              </w:rPr>
            </w:pPr>
            <w:r w:rsidRPr="00D11171">
              <w:rPr>
                <w:rFonts w:ascii="Arial Narrow" w:hAnsi="Arial Narrow" w:cs="Calibri"/>
                <w:bCs/>
                <w:sz w:val="20"/>
                <w:lang w:val="fr-FR"/>
              </w:rPr>
              <w:t xml:space="preserve">Charles P, Neel A, Tieulie N et al. </w:t>
            </w:r>
            <w:r w:rsidRPr="00F60E98">
              <w:rPr>
                <w:rFonts w:ascii="Arial Narrow" w:hAnsi="Arial Narrow" w:cs="Calibri"/>
                <w:bCs/>
                <w:sz w:val="20"/>
              </w:rPr>
              <w:t>Rituximab as induction and maintenance therapies for anca-associated vasculitis: A multicenter retrospective study on 80 patients</w:t>
            </w:r>
          </w:p>
        </w:tc>
        <w:tc>
          <w:tcPr>
            <w:tcW w:w="1421" w:type="pct"/>
          </w:tcPr>
          <w:p w:rsidR="00CF758C" w:rsidRPr="00F60E98" w:rsidRDefault="00CF758C" w:rsidP="005134E4">
            <w:pPr>
              <w:jc w:val="left"/>
              <w:rPr>
                <w:rFonts w:ascii="Arial Narrow" w:hAnsi="Arial Narrow"/>
                <w:sz w:val="20"/>
              </w:rPr>
            </w:pPr>
            <w:r w:rsidRPr="00F60E98">
              <w:rPr>
                <w:rFonts w:ascii="Arial Narrow" w:hAnsi="Arial Narrow" w:cs="Calibri"/>
                <w:bCs/>
                <w:i/>
                <w:sz w:val="20"/>
              </w:rPr>
              <w:t>Arthritis and Rheumatism. 2012;64:S1004</w:t>
            </w:r>
          </w:p>
        </w:tc>
      </w:tr>
      <w:tr w:rsidR="00CF758C" w:rsidRPr="004E2ADC" w:rsidTr="005C2DD7">
        <w:tc>
          <w:tcPr>
            <w:tcW w:w="1080" w:type="pct"/>
          </w:tcPr>
          <w:p w:rsidR="00CF758C" w:rsidRPr="00F60E98" w:rsidRDefault="00CF758C" w:rsidP="001717FE">
            <w:pPr>
              <w:jc w:val="left"/>
              <w:rPr>
                <w:rFonts w:ascii="Arial Narrow" w:hAnsi="Arial Narrow"/>
                <w:sz w:val="20"/>
              </w:rPr>
            </w:pPr>
            <w:r w:rsidRPr="00F60E98">
              <w:rPr>
                <w:rFonts w:ascii="Arial Narrow" w:hAnsi="Arial Narrow"/>
                <w:sz w:val="20"/>
              </w:rPr>
              <w:t>Erikkson</w:t>
            </w:r>
          </w:p>
        </w:tc>
        <w:tc>
          <w:tcPr>
            <w:tcW w:w="2499" w:type="pct"/>
          </w:tcPr>
          <w:p w:rsidR="00CF758C" w:rsidRPr="00F60E98" w:rsidRDefault="00CF758C" w:rsidP="005134E4">
            <w:pPr>
              <w:jc w:val="left"/>
              <w:rPr>
                <w:rFonts w:ascii="Arial Narrow" w:hAnsi="Arial Narrow"/>
                <w:sz w:val="20"/>
              </w:rPr>
            </w:pPr>
            <w:r w:rsidRPr="00F60E98">
              <w:rPr>
                <w:rFonts w:ascii="Arial Narrow" w:hAnsi="Arial Narrow" w:cs="Calibri"/>
                <w:bCs/>
                <w:sz w:val="20"/>
              </w:rPr>
              <w:t xml:space="preserve">Eriksson P. Nine patients with anti-neutrophil cytoplasmic antibody-positive vasculitis successfully treated with rituximab. </w:t>
            </w:r>
            <w:r w:rsidRPr="00F60E98">
              <w:rPr>
                <w:rFonts w:ascii="Arial Narrow" w:hAnsi="Arial Narrow" w:cs="Calibri"/>
                <w:bCs/>
                <w:i/>
                <w:sz w:val="20"/>
              </w:rPr>
              <w:t>Journal of Internal Medicine.</w:t>
            </w:r>
            <w:r w:rsidRPr="00F60E98">
              <w:rPr>
                <w:rFonts w:ascii="Arial Narrow" w:hAnsi="Arial Narrow" w:cs="Calibri"/>
                <w:bCs/>
                <w:sz w:val="20"/>
              </w:rPr>
              <w:t xml:space="preserve"> 2005;257(6):540-48</w:t>
            </w:r>
          </w:p>
        </w:tc>
        <w:tc>
          <w:tcPr>
            <w:tcW w:w="1421" w:type="pct"/>
          </w:tcPr>
          <w:p w:rsidR="00CF758C" w:rsidRPr="00F60E98" w:rsidRDefault="00CF758C" w:rsidP="005134E4">
            <w:pPr>
              <w:jc w:val="left"/>
              <w:rPr>
                <w:rFonts w:ascii="Arial Narrow" w:hAnsi="Arial Narrow"/>
                <w:sz w:val="20"/>
              </w:rPr>
            </w:pPr>
            <w:r w:rsidRPr="00F60E98">
              <w:rPr>
                <w:rFonts w:ascii="Arial Narrow" w:hAnsi="Arial Narrow" w:cs="Calibri"/>
                <w:bCs/>
                <w:sz w:val="20"/>
              </w:rPr>
              <w:t xml:space="preserve">Eriksson P. Nine patients with anti-neutrophil cytoplasmic antibody-positive vasculitis successfully treated with rituximab. </w:t>
            </w:r>
            <w:r w:rsidRPr="00F60E98">
              <w:rPr>
                <w:rFonts w:ascii="Arial Narrow" w:hAnsi="Arial Narrow" w:cs="Calibri"/>
                <w:bCs/>
                <w:i/>
                <w:sz w:val="20"/>
              </w:rPr>
              <w:t>Journal of Internal Medicine.</w:t>
            </w:r>
            <w:r w:rsidRPr="00F60E98">
              <w:rPr>
                <w:rFonts w:ascii="Arial Narrow" w:hAnsi="Arial Narrow" w:cs="Calibri"/>
                <w:bCs/>
                <w:sz w:val="20"/>
              </w:rPr>
              <w:t xml:space="preserve"> 2005;257(6):540-48</w:t>
            </w:r>
          </w:p>
        </w:tc>
      </w:tr>
      <w:tr w:rsidR="00CF758C" w:rsidRPr="004E2ADC" w:rsidTr="005C2DD7">
        <w:tc>
          <w:tcPr>
            <w:tcW w:w="1080" w:type="pct"/>
          </w:tcPr>
          <w:p w:rsidR="00CF758C" w:rsidRPr="00F60E98" w:rsidRDefault="00CF758C" w:rsidP="001717FE">
            <w:pPr>
              <w:jc w:val="left"/>
              <w:rPr>
                <w:rFonts w:ascii="Arial Narrow" w:hAnsi="Arial Narrow"/>
                <w:sz w:val="20"/>
              </w:rPr>
            </w:pPr>
            <w:r w:rsidRPr="00F60E98">
              <w:rPr>
                <w:rFonts w:ascii="Arial Narrow" w:hAnsi="Arial Narrow"/>
                <w:sz w:val="20"/>
              </w:rPr>
              <w:t xml:space="preserve">Gregersen </w:t>
            </w:r>
          </w:p>
        </w:tc>
        <w:tc>
          <w:tcPr>
            <w:tcW w:w="2499" w:type="pct"/>
          </w:tcPr>
          <w:p w:rsidR="00CF758C" w:rsidRPr="00F60E98" w:rsidRDefault="00CF758C" w:rsidP="005134E4">
            <w:pPr>
              <w:spacing w:before="40" w:after="20"/>
              <w:rPr>
                <w:rFonts w:ascii="Arial Narrow" w:hAnsi="Arial Narrow" w:cs="Calibri"/>
                <w:bCs/>
                <w:sz w:val="20"/>
              </w:rPr>
            </w:pPr>
            <w:r w:rsidRPr="00F60E98">
              <w:rPr>
                <w:rFonts w:ascii="Arial Narrow" w:hAnsi="Arial Narrow" w:cs="Calibri"/>
                <w:bCs/>
                <w:sz w:val="20"/>
              </w:rPr>
              <w:t>Gregersen JW, Chaudhry A, Jayne DR. Rituximab for ANCA-associated vasculitis in the setting of severe infection</w:t>
            </w:r>
          </w:p>
        </w:tc>
        <w:tc>
          <w:tcPr>
            <w:tcW w:w="1421" w:type="pct"/>
          </w:tcPr>
          <w:p w:rsidR="00CF758C" w:rsidRPr="00F60E98" w:rsidRDefault="00CF758C" w:rsidP="005134E4">
            <w:pPr>
              <w:jc w:val="left"/>
              <w:rPr>
                <w:rFonts w:ascii="Arial Narrow" w:hAnsi="Arial Narrow"/>
                <w:sz w:val="20"/>
              </w:rPr>
            </w:pPr>
            <w:r w:rsidRPr="00F60E98">
              <w:rPr>
                <w:rFonts w:ascii="Arial Narrow" w:hAnsi="Arial Narrow" w:cs="Calibri"/>
                <w:bCs/>
                <w:i/>
                <w:sz w:val="20"/>
              </w:rPr>
              <w:t>Scandinavian journal of rheumatology. 2013;42(3):207-10</w:t>
            </w:r>
          </w:p>
        </w:tc>
      </w:tr>
      <w:tr w:rsidR="00CF758C" w:rsidRPr="004E2ADC" w:rsidTr="005C2DD7">
        <w:tc>
          <w:tcPr>
            <w:tcW w:w="1080" w:type="pct"/>
          </w:tcPr>
          <w:p w:rsidR="00CF758C" w:rsidRPr="00F60E98" w:rsidRDefault="00CF758C" w:rsidP="001717FE">
            <w:pPr>
              <w:jc w:val="left"/>
              <w:rPr>
                <w:rFonts w:ascii="Arial Narrow" w:hAnsi="Arial Narrow"/>
                <w:sz w:val="20"/>
              </w:rPr>
            </w:pPr>
            <w:r w:rsidRPr="00F60E98">
              <w:rPr>
                <w:rFonts w:ascii="Arial Narrow" w:hAnsi="Arial Narrow"/>
                <w:sz w:val="20"/>
              </w:rPr>
              <w:t xml:space="preserve">Henes </w:t>
            </w:r>
          </w:p>
        </w:tc>
        <w:tc>
          <w:tcPr>
            <w:tcW w:w="2499" w:type="pct"/>
          </w:tcPr>
          <w:p w:rsidR="00CF758C" w:rsidRPr="00F60E98" w:rsidRDefault="00CF758C" w:rsidP="005134E4">
            <w:pPr>
              <w:jc w:val="left"/>
              <w:rPr>
                <w:rFonts w:ascii="Arial Narrow" w:hAnsi="Arial Narrow"/>
                <w:sz w:val="20"/>
              </w:rPr>
            </w:pPr>
            <w:r w:rsidRPr="00F60E98">
              <w:rPr>
                <w:rFonts w:ascii="Arial Narrow" w:hAnsi="Arial Narrow" w:cs="Calibri"/>
                <w:bCs/>
                <w:sz w:val="20"/>
              </w:rPr>
              <w:t>Henes JC, Kanz L, Koetter I. Rituximab and leflunomide for Wegener's granulomatosis: A long-term follow-up</w:t>
            </w:r>
          </w:p>
        </w:tc>
        <w:tc>
          <w:tcPr>
            <w:tcW w:w="1421" w:type="pct"/>
          </w:tcPr>
          <w:p w:rsidR="00CF758C" w:rsidRPr="00F60E98" w:rsidRDefault="00CF758C" w:rsidP="005134E4">
            <w:pPr>
              <w:jc w:val="left"/>
              <w:rPr>
                <w:rFonts w:ascii="Arial Narrow" w:hAnsi="Arial Narrow"/>
                <w:sz w:val="20"/>
              </w:rPr>
            </w:pPr>
            <w:r w:rsidRPr="00F60E98">
              <w:rPr>
                <w:rFonts w:ascii="Arial Narrow" w:hAnsi="Arial Narrow" w:cs="Calibri"/>
                <w:bCs/>
                <w:i/>
                <w:sz w:val="20"/>
              </w:rPr>
              <w:t>Rheumatology International. 2011;31(3):425-26</w:t>
            </w:r>
          </w:p>
        </w:tc>
      </w:tr>
      <w:tr w:rsidR="00CF758C" w:rsidRPr="004E2ADC" w:rsidTr="005C2DD7">
        <w:tc>
          <w:tcPr>
            <w:tcW w:w="1080" w:type="pct"/>
          </w:tcPr>
          <w:p w:rsidR="00CF758C" w:rsidRPr="00F60E98" w:rsidRDefault="00CF758C" w:rsidP="001717FE">
            <w:pPr>
              <w:jc w:val="left"/>
              <w:rPr>
                <w:rFonts w:ascii="Arial Narrow" w:hAnsi="Arial Narrow"/>
                <w:sz w:val="20"/>
              </w:rPr>
            </w:pPr>
            <w:r w:rsidRPr="00F60E98">
              <w:rPr>
                <w:rFonts w:ascii="Arial Narrow" w:hAnsi="Arial Narrow"/>
                <w:sz w:val="20"/>
              </w:rPr>
              <w:t xml:space="preserve">Holle </w:t>
            </w:r>
          </w:p>
        </w:tc>
        <w:tc>
          <w:tcPr>
            <w:tcW w:w="2499" w:type="pct"/>
          </w:tcPr>
          <w:p w:rsidR="00CF758C" w:rsidRPr="00D11171" w:rsidRDefault="00CF758C" w:rsidP="005134E4">
            <w:pPr>
              <w:jc w:val="left"/>
              <w:rPr>
                <w:rFonts w:ascii="Arial Narrow" w:hAnsi="Arial Narrow"/>
                <w:sz w:val="20"/>
                <w:lang w:val="de-DE"/>
              </w:rPr>
            </w:pPr>
            <w:r w:rsidRPr="00D11171">
              <w:rPr>
                <w:rFonts w:ascii="Arial Narrow" w:hAnsi="Arial Narrow" w:cs="Calibri"/>
                <w:bCs/>
                <w:sz w:val="20"/>
                <w:lang w:val="de-DE"/>
              </w:rPr>
              <w:t>Holle JU, Dubrau C, Herlyn K et al. Rituximab for refractory granulomatosis with polyangiitis (Wegener's granulomatosis): Comparison of efficacy in granulomatous versus vasculitic manifestations</w:t>
            </w:r>
          </w:p>
        </w:tc>
        <w:tc>
          <w:tcPr>
            <w:tcW w:w="1421" w:type="pct"/>
          </w:tcPr>
          <w:p w:rsidR="00CF758C" w:rsidRPr="00F60E98" w:rsidRDefault="00CF758C" w:rsidP="005134E4">
            <w:pPr>
              <w:jc w:val="left"/>
              <w:rPr>
                <w:rFonts w:ascii="Arial Narrow" w:hAnsi="Arial Narrow"/>
                <w:sz w:val="20"/>
              </w:rPr>
            </w:pPr>
            <w:r w:rsidRPr="00F60E98">
              <w:rPr>
                <w:rFonts w:ascii="Arial Narrow" w:hAnsi="Arial Narrow" w:cs="Calibri"/>
                <w:bCs/>
                <w:i/>
                <w:sz w:val="20"/>
              </w:rPr>
              <w:t>Annals of the Rheumatic Diseases. 2012;71(3):327-33</w:t>
            </w:r>
          </w:p>
        </w:tc>
      </w:tr>
      <w:tr w:rsidR="00CF758C" w:rsidRPr="004E2ADC" w:rsidTr="005C2DD7">
        <w:tc>
          <w:tcPr>
            <w:tcW w:w="1080" w:type="pct"/>
          </w:tcPr>
          <w:p w:rsidR="00CF758C" w:rsidRPr="00F60E98" w:rsidRDefault="00CF758C" w:rsidP="001717FE">
            <w:pPr>
              <w:jc w:val="left"/>
              <w:rPr>
                <w:rFonts w:ascii="Arial Narrow" w:hAnsi="Arial Narrow"/>
                <w:sz w:val="20"/>
              </w:rPr>
            </w:pPr>
            <w:r w:rsidRPr="00F60E98">
              <w:rPr>
                <w:rFonts w:ascii="Arial Narrow" w:hAnsi="Arial Narrow"/>
                <w:sz w:val="20"/>
              </w:rPr>
              <w:t xml:space="preserve">Jones </w:t>
            </w:r>
          </w:p>
        </w:tc>
        <w:tc>
          <w:tcPr>
            <w:tcW w:w="2499" w:type="pct"/>
          </w:tcPr>
          <w:p w:rsidR="00CF758C" w:rsidRPr="00F60E98" w:rsidRDefault="00CF758C" w:rsidP="005134E4">
            <w:pPr>
              <w:jc w:val="left"/>
              <w:rPr>
                <w:rFonts w:ascii="Arial Narrow" w:hAnsi="Arial Narrow"/>
                <w:sz w:val="20"/>
              </w:rPr>
            </w:pPr>
            <w:r w:rsidRPr="00F60E98">
              <w:rPr>
                <w:rFonts w:ascii="Arial Narrow" w:hAnsi="Arial Narrow" w:cs="Calibri"/>
                <w:bCs/>
                <w:sz w:val="20"/>
              </w:rPr>
              <w:t xml:space="preserve">Jones RB, Ferraro AJ, Chaudhry AN et al. A multicenter survey of rituximab therapy for refractory antineutrophil cytoplasmic antibody-associated vasculitis. </w:t>
            </w:r>
            <w:r w:rsidRPr="00F60E98">
              <w:rPr>
                <w:rFonts w:ascii="Arial Narrow" w:hAnsi="Arial Narrow" w:cs="Calibri"/>
                <w:bCs/>
                <w:i/>
                <w:sz w:val="20"/>
              </w:rPr>
              <w:t>Arthritis and Rheumatism.</w:t>
            </w:r>
            <w:r w:rsidRPr="00F60E98">
              <w:rPr>
                <w:rFonts w:ascii="Arial Narrow" w:hAnsi="Arial Narrow" w:cs="Calibri"/>
                <w:bCs/>
                <w:sz w:val="20"/>
              </w:rPr>
              <w:t xml:space="preserve"> 2009;60(7):2156-68.</w:t>
            </w:r>
          </w:p>
        </w:tc>
        <w:tc>
          <w:tcPr>
            <w:tcW w:w="1421" w:type="pct"/>
          </w:tcPr>
          <w:p w:rsidR="00CF758C" w:rsidRPr="00F60E98" w:rsidRDefault="00CF758C" w:rsidP="005134E4">
            <w:pPr>
              <w:jc w:val="left"/>
              <w:rPr>
                <w:rFonts w:ascii="Arial Narrow" w:hAnsi="Arial Narrow"/>
                <w:sz w:val="20"/>
              </w:rPr>
            </w:pPr>
            <w:r w:rsidRPr="00F60E98">
              <w:rPr>
                <w:rFonts w:ascii="Arial Narrow" w:hAnsi="Arial Narrow" w:cs="Calibri"/>
                <w:bCs/>
                <w:i/>
                <w:sz w:val="20"/>
              </w:rPr>
              <w:t>Arthritis and Rheumatism.</w:t>
            </w:r>
            <w:r w:rsidRPr="00F60E98">
              <w:rPr>
                <w:rFonts w:ascii="Arial Narrow" w:hAnsi="Arial Narrow" w:cs="Calibri"/>
                <w:bCs/>
                <w:sz w:val="20"/>
              </w:rPr>
              <w:t xml:space="preserve"> 2009;60(7):2156-68.</w:t>
            </w:r>
          </w:p>
        </w:tc>
      </w:tr>
      <w:tr w:rsidR="00CF758C" w:rsidRPr="004E2ADC" w:rsidTr="005C2DD7">
        <w:tc>
          <w:tcPr>
            <w:tcW w:w="1080" w:type="pct"/>
          </w:tcPr>
          <w:p w:rsidR="00CF758C" w:rsidRPr="00F60E98" w:rsidRDefault="00CF758C" w:rsidP="001717FE">
            <w:pPr>
              <w:jc w:val="left"/>
              <w:rPr>
                <w:rFonts w:ascii="Arial Narrow" w:hAnsi="Arial Narrow"/>
                <w:sz w:val="20"/>
              </w:rPr>
            </w:pPr>
            <w:r w:rsidRPr="00F60E98">
              <w:rPr>
                <w:rFonts w:ascii="Arial Narrow" w:hAnsi="Arial Narrow"/>
                <w:sz w:val="20"/>
              </w:rPr>
              <w:t xml:space="preserve">Joshi </w:t>
            </w:r>
          </w:p>
        </w:tc>
        <w:tc>
          <w:tcPr>
            <w:tcW w:w="2499" w:type="pct"/>
          </w:tcPr>
          <w:p w:rsidR="00CF758C" w:rsidRPr="00F60E98" w:rsidRDefault="00CF758C" w:rsidP="005134E4">
            <w:pPr>
              <w:jc w:val="left"/>
              <w:rPr>
                <w:rFonts w:ascii="Arial Narrow" w:hAnsi="Arial Narrow"/>
                <w:sz w:val="20"/>
              </w:rPr>
            </w:pPr>
            <w:r w:rsidRPr="00D11171">
              <w:rPr>
                <w:rFonts w:ascii="Arial Narrow" w:hAnsi="Arial Narrow" w:cs="Calibri"/>
                <w:bCs/>
                <w:sz w:val="20"/>
                <w:lang w:val="it-IT"/>
              </w:rPr>
              <w:t xml:space="preserve">Joshi L, Lightman SL, Salama AD et al. </w:t>
            </w:r>
            <w:r w:rsidRPr="00F60E98">
              <w:rPr>
                <w:rFonts w:ascii="Arial Narrow" w:hAnsi="Arial Narrow" w:cs="Calibri"/>
                <w:bCs/>
                <w:sz w:val="20"/>
              </w:rPr>
              <w:t xml:space="preserve">Rituximab in refractory ophthalmic Wegener's granulomatosis: PR3 titers may predict relapse, but repeat treatment can be effective </w:t>
            </w:r>
          </w:p>
        </w:tc>
        <w:tc>
          <w:tcPr>
            <w:tcW w:w="1421" w:type="pct"/>
          </w:tcPr>
          <w:p w:rsidR="00CF758C" w:rsidRPr="00F60E98" w:rsidRDefault="00CF758C" w:rsidP="005134E4">
            <w:pPr>
              <w:jc w:val="left"/>
              <w:rPr>
                <w:rFonts w:ascii="Arial Narrow" w:hAnsi="Arial Narrow"/>
                <w:sz w:val="20"/>
              </w:rPr>
            </w:pPr>
            <w:r w:rsidRPr="00F60E98">
              <w:rPr>
                <w:rFonts w:ascii="Arial Narrow" w:hAnsi="Arial Narrow" w:cs="Calibri"/>
                <w:bCs/>
                <w:i/>
                <w:sz w:val="20"/>
              </w:rPr>
              <w:t>Ophthalmology. 2011;118(12):2498-503</w:t>
            </w:r>
          </w:p>
        </w:tc>
      </w:tr>
      <w:tr w:rsidR="00CF758C" w:rsidRPr="004E2ADC" w:rsidTr="005C2DD7">
        <w:tc>
          <w:tcPr>
            <w:tcW w:w="1080" w:type="pct"/>
          </w:tcPr>
          <w:p w:rsidR="00CF758C" w:rsidRPr="00F60E98" w:rsidRDefault="00CF758C" w:rsidP="001717FE">
            <w:pPr>
              <w:jc w:val="left"/>
              <w:rPr>
                <w:rFonts w:ascii="Arial Narrow" w:hAnsi="Arial Narrow"/>
                <w:sz w:val="20"/>
              </w:rPr>
            </w:pPr>
            <w:r w:rsidRPr="00F60E98">
              <w:rPr>
                <w:rFonts w:ascii="Arial Narrow" w:hAnsi="Arial Narrow"/>
                <w:sz w:val="20"/>
              </w:rPr>
              <w:t xml:space="preserve">Keogh </w:t>
            </w:r>
          </w:p>
        </w:tc>
        <w:tc>
          <w:tcPr>
            <w:tcW w:w="2499" w:type="pct"/>
          </w:tcPr>
          <w:p w:rsidR="00CF758C" w:rsidRPr="00F60E98" w:rsidRDefault="00CF758C" w:rsidP="005134E4">
            <w:pPr>
              <w:jc w:val="left"/>
              <w:rPr>
                <w:rFonts w:ascii="Arial Narrow" w:hAnsi="Arial Narrow"/>
                <w:sz w:val="20"/>
              </w:rPr>
            </w:pPr>
            <w:r w:rsidRPr="00F60E98">
              <w:rPr>
                <w:rFonts w:ascii="Arial Narrow" w:hAnsi="Arial Narrow" w:cs="Calibri"/>
                <w:bCs/>
                <w:sz w:val="20"/>
              </w:rPr>
              <w:t>Keogh KA, Wylam ME, Stone JH et al. Induction of remission by B lymphocyte depletion in eleven patients with refractory antineutrophil cytoplasmic antibody-associated vasculiti</w:t>
            </w:r>
          </w:p>
        </w:tc>
        <w:tc>
          <w:tcPr>
            <w:tcW w:w="1421" w:type="pct"/>
          </w:tcPr>
          <w:p w:rsidR="00CF758C" w:rsidRPr="00F60E98" w:rsidRDefault="00CF758C" w:rsidP="005134E4">
            <w:pPr>
              <w:jc w:val="left"/>
              <w:rPr>
                <w:rFonts w:ascii="Arial Narrow" w:hAnsi="Arial Narrow"/>
                <w:sz w:val="20"/>
              </w:rPr>
            </w:pPr>
            <w:r w:rsidRPr="00F60E98">
              <w:rPr>
                <w:rFonts w:ascii="Arial Narrow" w:hAnsi="Arial Narrow" w:cs="Calibri"/>
                <w:bCs/>
                <w:i/>
                <w:sz w:val="20"/>
              </w:rPr>
              <w:t>Arthritis and Rheumatism</w:t>
            </w:r>
            <w:r w:rsidRPr="00F60E98">
              <w:rPr>
                <w:rFonts w:ascii="Arial Narrow" w:hAnsi="Arial Narrow" w:cs="Calibri"/>
                <w:bCs/>
                <w:sz w:val="20"/>
              </w:rPr>
              <w:t>. 2005;52(1):262-68</w:t>
            </w:r>
          </w:p>
        </w:tc>
      </w:tr>
      <w:tr w:rsidR="00CF758C" w:rsidRPr="004E2ADC" w:rsidTr="005C2DD7">
        <w:tc>
          <w:tcPr>
            <w:tcW w:w="1080" w:type="pct"/>
          </w:tcPr>
          <w:p w:rsidR="00CF758C" w:rsidRPr="00F60E98" w:rsidRDefault="00CF758C" w:rsidP="001717FE">
            <w:pPr>
              <w:jc w:val="left"/>
              <w:rPr>
                <w:rFonts w:ascii="Arial Narrow" w:hAnsi="Arial Narrow"/>
                <w:sz w:val="20"/>
              </w:rPr>
            </w:pPr>
            <w:r w:rsidRPr="00F60E98">
              <w:rPr>
                <w:rFonts w:ascii="Arial Narrow" w:hAnsi="Arial Narrow"/>
                <w:sz w:val="20"/>
              </w:rPr>
              <w:t xml:space="preserve">Keogh </w:t>
            </w:r>
          </w:p>
        </w:tc>
        <w:tc>
          <w:tcPr>
            <w:tcW w:w="2499" w:type="pct"/>
          </w:tcPr>
          <w:p w:rsidR="00CF758C" w:rsidRPr="00F60E98" w:rsidRDefault="00CF758C" w:rsidP="005134E4">
            <w:pPr>
              <w:jc w:val="left"/>
              <w:rPr>
                <w:rFonts w:ascii="Arial Narrow" w:hAnsi="Arial Narrow"/>
                <w:sz w:val="20"/>
              </w:rPr>
            </w:pPr>
            <w:r w:rsidRPr="00D11171">
              <w:rPr>
                <w:rFonts w:ascii="Arial Narrow" w:hAnsi="Arial Narrow" w:cs="Calibri"/>
                <w:bCs/>
                <w:sz w:val="20"/>
                <w:lang w:val="de-DE"/>
              </w:rPr>
              <w:t xml:space="preserve">Keogh KA, Ytterberg SR, Fervenza FC et al. </w:t>
            </w:r>
            <w:r w:rsidRPr="00F60E98">
              <w:rPr>
                <w:rFonts w:ascii="Arial Narrow" w:hAnsi="Arial Narrow" w:cs="Calibri"/>
                <w:bCs/>
                <w:sz w:val="20"/>
              </w:rPr>
              <w:t>Rituximab for refractory Wegener's granulomatosis: Report of a prospective, open-label pilot trial</w:t>
            </w:r>
          </w:p>
        </w:tc>
        <w:tc>
          <w:tcPr>
            <w:tcW w:w="1421" w:type="pct"/>
          </w:tcPr>
          <w:p w:rsidR="00CF758C" w:rsidRPr="00F60E98" w:rsidRDefault="00CF758C" w:rsidP="005134E4">
            <w:pPr>
              <w:jc w:val="left"/>
              <w:rPr>
                <w:rFonts w:ascii="Arial Narrow" w:hAnsi="Arial Narrow"/>
                <w:sz w:val="20"/>
              </w:rPr>
            </w:pPr>
            <w:r w:rsidRPr="00F60E98">
              <w:rPr>
                <w:rFonts w:ascii="Arial Narrow" w:hAnsi="Arial Narrow" w:cs="Calibri"/>
                <w:bCs/>
                <w:i/>
                <w:sz w:val="20"/>
              </w:rPr>
              <w:t>American Journal of Respiratory and Critical Care Medicine</w:t>
            </w:r>
            <w:r w:rsidRPr="00F60E98">
              <w:rPr>
                <w:rFonts w:ascii="Arial Narrow" w:hAnsi="Arial Narrow" w:cs="Calibri"/>
                <w:bCs/>
                <w:sz w:val="20"/>
              </w:rPr>
              <w:t>. 2006;173(2):180-87</w:t>
            </w:r>
          </w:p>
        </w:tc>
      </w:tr>
      <w:tr w:rsidR="00CF758C" w:rsidRPr="004E2ADC" w:rsidTr="005C2DD7">
        <w:tc>
          <w:tcPr>
            <w:tcW w:w="1080" w:type="pct"/>
          </w:tcPr>
          <w:p w:rsidR="00CF758C" w:rsidRPr="00F60E98" w:rsidRDefault="00CF758C" w:rsidP="001717FE">
            <w:pPr>
              <w:jc w:val="left"/>
              <w:rPr>
                <w:rFonts w:ascii="Arial Narrow" w:hAnsi="Arial Narrow"/>
                <w:sz w:val="20"/>
              </w:rPr>
            </w:pPr>
            <w:r>
              <w:rPr>
                <w:rFonts w:ascii="Arial Narrow" w:hAnsi="Arial Narrow"/>
                <w:sz w:val="20"/>
              </w:rPr>
              <w:t xml:space="preserve">Lovric </w:t>
            </w:r>
          </w:p>
        </w:tc>
        <w:tc>
          <w:tcPr>
            <w:tcW w:w="2499" w:type="pct"/>
          </w:tcPr>
          <w:p w:rsidR="00CF758C" w:rsidRPr="00A84EDE" w:rsidRDefault="00CF758C" w:rsidP="005134E4">
            <w:pPr>
              <w:jc w:val="left"/>
              <w:rPr>
                <w:rFonts w:ascii="Arial Narrow" w:hAnsi="Arial Narrow"/>
                <w:sz w:val="20"/>
              </w:rPr>
            </w:pPr>
            <w:r w:rsidRPr="00A84EDE">
              <w:rPr>
                <w:rFonts w:ascii="Arial Narrow" w:hAnsi="Arial Narrow" w:cs="Calibri"/>
                <w:bCs/>
                <w:sz w:val="20"/>
              </w:rPr>
              <w:t>Lovric S, Erdbruegger U, Kumpers P et al. Rituximab as rescue therapy in anti-neutrophil cytoplasmic antibody-associated vasculitis: A single-cen</w:t>
            </w:r>
            <w:r>
              <w:rPr>
                <w:rFonts w:ascii="Arial Narrow" w:hAnsi="Arial Narrow" w:cs="Calibri"/>
                <w:bCs/>
                <w:sz w:val="20"/>
              </w:rPr>
              <w:t>tre experience with 15 patients</w:t>
            </w:r>
          </w:p>
        </w:tc>
        <w:tc>
          <w:tcPr>
            <w:tcW w:w="1421" w:type="pct"/>
          </w:tcPr>
          <w:p w:rsidR="00CF758C" w:rsidRPr="00A84EDE" w:rsidRDefault="00CF758C" w:rsidP="005134E4">
            <w:pPr>
              <w:jc w:val="left"/>
              <w:rPr>
                <w:rFonts w:ascii="Arial Narrow" w:hAnsi="Arial Narrow"/>
                <w:sz w:val="20"/>
              </w:rPr>
            </w:pPr>
            <w:r w:rsidRPr="00A84EDE">
              <w:rPr>
                <w:rFonts w:ascii="Arial Narrow" w:hAnsi="Arial Narrow" w:cs="Calibri"/>
                <w:bCs/>
                <w:i/>
                <w:sz w:val="20"/>
              </w:rPr>
              <w:t>Nephrology Dialysis Transplantation</w:t>
            </w:r>
            <w:r w:rsidRPr="00A84EDE">
              <w:rPr>
                <w:rFonts w:ascii="Arial Narrow" w:hAnsi="Arial Narrow" w:cs="Calibri"/>
                <w:bCs/>
                <w:sz w:val="20"/>
              </w:rPr>
              <w:t>. 2009;24(1):179-85</w:t>
            </w:r>
          </w:p>
        </w:tc>
      </w:tr>
      <w:tr w:rsidR="00CF758C" w:rsidRPr="004E2ADC" w:rsidTr="005C2DD7">
        <w:tc>
          <w:tcPr>
            <w:tcW w:w="1080" w:type="pct"/>
          </w:tcPr>
          <w:p w:rsidR="00CF758C" w:rsidRPr="00F60E98" w:rsidRDefault="00CF758C" w:rsidP="001717FE">
            <w:pPr>
              <w:jc w:val="left"/>
              <w:rPr>
                <w:rFonts w:ascii="Arial Narrow" w:hAnsi="Arial Narrow"/>
                <w:sz w:val="20"/>
              </w:rPr>
            </w:pPr>
            <w:r>
              <w:rPr>
                <w:rFonts w:ascii="Arial Narrow" w:hAnsi="Arial Narrow"/>
                <w:sz w:val="20"/>
              </w:rPr>
              <w:t xml:space="preserve">Martinez Del Pero </w:t>
            </w:r>
          </w:p>
        </w:tc>
        <w:tc>
          <w:tcPr>
            <w:tcW w:w="2499" w:type="pct"/>
          </w:tcPr>
          <w:p w:rsidR="00CF758C" w:rsidRPr="00A84EDE" w:rsidRDefault="00CF758C" w:rsidP="005134E4">
            <w:pPr>
              <w:jc w:val="left"/>
              <w:rPr>
                <w:rFonts w:ascii="Arial Narrow" w:hAnsi="Arial Narrow"/>
                <w:sz w:val="20"/>
              </w:rPr>
            </w:pPr>
            <w:r w:rsidRPr="00D11171">
              <w:rPr>
                <w:rFonts w:ascii="Arial Narrow" w:hAnsi="Arial Narrow" w:cs="Calibri"/>
                <w:bCs/>
                <w:sz w:val="20"/>
                <w:lang w:val="es-ES_tradnl"/>
              </w:rPr>
              <w:t xml:space="preserve">Martinez Del Pero M, Chaudhry A, Jones RB et al. </w:t>
            </w:r>
            <w:r w:rsidRPr="00A84EDE">
              <w:rPr>
                <w:rFonts w:ascii="Arial Narrow" w:hAnsi="Arial Narrow" w:cs="Calibri"/>
                <w:bCs/>
                <w:sz w:val="20"/>
              </w:rPr>
              <w:t>B-cell depletion with rituximab for refractory head and neck Wegener's</w:t>
            </w:r>
            <w:r>
              <w:rPr>
                <w:rFonts w:ascii="Arial Narrow" w:hAnsi="Arial Narrow" w:cs="Calibri"/>
                <w:bCs/>
                <w:sz w:val="20"/>
              </w:rPr>
              <w:t xml:space="preserve"> granulomatosis: A cohort study</w:t>
            </w:r>
          </w:p>
        </w:tc>
        <w:tc>
          <w:tcPr>
            <w:tcW w:w="1421" w:type="pct"/>
          </w:tcPr>
          <w:p w:rsidR="00CF758C" w:rsidRPr="00A84EDE" w:rsidRDefault="00CF758C" w:rsidP="005134E4">
            <w:pPr>
              <w:jc w:val="left"/>
              <w:rPr>
                <w:rFonts w:ascii="Arial Narrow" w:hAnsi="Arial Narrow"/>
                <w:sz w:val="20"/>
              </w:rPr>
            </w:pPr>
            <w:r w:rsidRPr="00A84EDE">
              <w:rPr>
                <w:rFonts w:ascii="Arial Narrow" w:hAnsi="Arial Narrow" w:cs="Calibri"/>
                <w:bCs/>
                <w:i/>
                <w:sz w:val="20"/>
              </w:rPr>
              <w:t>Clinical Otolaryngology. 2009;34(4):328-35</w:t>
            </w:r>
          </w:p>
        </w:tc>
      </w:tr>
      <w:tr w:rsidR="00CF758C" w:rsidRPr="004E2ADC" w:rsidTr="005C2DD7">
        <w:tc>
          <w:tcPr>
            <w:tcW w:w="1080" w:type="pct"/>
          </w:tcPr>
          <w:p w:rsidR="00CF758C" w:rsidRPr="00F60E98" w:rsidRDefault="00CF758C" w:rsidP="001717FE">
            <w:pPr>
              <w:jc w:val="left"/>
              <w:rPr>
                <w:rFonts w:ascii="Arial Narrow" w:hAnsi="Arial Narrow"/>
                <w:sz w:val="20"/>
              </w:rPr>
            </w:pPr>
            <w:r>
              <w:rPr>
                <w:rFonts w:ascii="Arial Narrow" w:hAnsi="Arial Narrow"/>
                <w:sz w:val="20"/>
              </w:rPr>
              <w:t xml:space="preserve">Omdal </w:t>
            </w:r>
          </w:p>
        </w:tc>
        <w:tc>
          <w:tcPr>
            <w:tcW w:w="2499" w:type="pct"/>
          </w:tcPr>
          <w:p w:rsidR="00CF758C" w:rsidRPr="00A84EDE" w:rsidRDefault="00CF758C" w:rsidP="005134E4">
            <w:pPr>
              <w:jc w:val="left"/>
              <w:rPr>
                <w:rFonts w:ascii="Arial Narrow" w:hAnsi="Arial Narrow"/>
                <w:sz w:val="20"/>
              </w:rPr>
            </w:pPr>
            <w:r w:rsidRPr="00D11171">
              <w:rPr>
                <w:rFonts w:ascii="Arial Narrow" w:hAnsi="Arial Narrow" w:cs="Calibri"/>
                <w:bCs/>
                <w:sz w:val="20"/>
                <w:lang w:val="de-DE"/>
              </w:rPr>
              <w:t xml:space="preserve">Omdal R, Wildhagen K, Hansen T et al. </w:t>
            </w:r>
            <w:r w:rsidRPr="00A84EDE">
              <w:rPr>
                <w:rFonts w:ascii="Arial Narrow" w:hAnsi="Arial Narrow" w:cs="Calibri"/>
                <w:bCs/>
                <w:sz w:val="20"/>
              </w:rPr>
              <w:t>Anti-CD20 therapy of treatment-resistant Wegener’s granulomatosis: fa</w:t>
            </w:r>
            <w:r>
              <w:rPr>
                <w:rFonts w:ascii="Arial Narrow" w:hAnsi="Arial Narrow" w:cs="Calibri"/>
                <w:bCs/>
                <w:sz w:val="20"/>
              </w:rPr>
              <w:t>vourable but temporary response</w:t>
            </w:r>
          </w:p>
        </w:tc>
        <w:tc>
          <w:tcPr>
            <w:tcW w:w="1421" w:type="pct"/>
          </w:tcPr>
          <w:p w:rsidR="00CF758C" w:rsidRPr="00A84EDE" w:rsidRDefault="00CF758C" w:rsidP="005134E4">
            <w:pPr>
              <w:jc w:val="left"/>
              <w:rPr>
                <w:rFonts w:ascii="Arial Narrow" w:hAnsi="Arial Narrow"/>
                <w:sz w:val="20"/>
              </w:rPr>
            </w:pPr>
            <w:r w:rsidRPr="00A84EDE">
              <w:rPr>
                <w:rFonts w:ascii="Arial Narrow" w:hAnsi="Arial Narrow" w:cs="Calibri"/>
                <w:bCs/>
                <w:i/>
                <w:sz w:val="20"/>
              </w:rPr>
              <w:t xml:space="preserve">Scandinavian Journal of Rheumatology </w:t>
            </w:r>
            <w:r w:rsidRPr="00A84EDE">
              <w:rPr>
                <w:rFonts w:ascii="Arial Narrow" w:hAnsi="Arial Narrow" w:cs="Calibri"/>
                <w:bCs/>
                <w:sz w:val="20"/>
              </w:rPr>
              <w:t>2005;34:229-32.</w:t>
            </w:r>
          </w:p>
        </w:tc>
      </w:tr>
      <w:tr w:rsidR="00CF758C" w:rsidRPr="004E2ADC" w:rsidTr="005C2DD7">
        <w:tc>
          <w:tcPr>
            <w:tcW w:w="1080" w:type="pct"/>
          </w:tcPr>
          <w:p w:rsidR="00CF758C" w:rsidRPr="00F60E98" w:rsidRDefault="00CF758C" w:rsidP="001717FE">
            <w:pPr>
              <w:jc w:val="left"/>
              <w:rPr>
                <w:rFonts w:ascii="Arial Narrow" w:hAnsi="Arial Narrow"/>
                <w:sz w:val="20"/>
              </w:rPr>
            </w:pPr>
            <w:r>
              <w:rPr>
                <w:rFonts w:ascii="Arial Narrow" w:hAnsi="Arial Narrow"/>
                <w:sz w:val="20"/>
              </w:rPr>
              <w:t xml:space="preserve">Rees </w:t>
            </w:r>
          </w:p>
        </w:tc>
        <w:tc>
          <w:tcPr>
            <w:tcW w:w="2499" w:type="pct"/>
          </w:tcPr>
          <w:p w:rsidR="00CF758C" w:rsidRPr="00A84EDE" w:rsidRDefault="00CF758C" w:rsidP="005134E4">
            <w:pPr>
              <w:jc w:val="left"/>
              <w:rPr>
                <w:rFonts w:ascii="Arial Narrow" w:hAnsi="Arial Narrow"/>
                <w:sz w:val="20"/>
              </w:rPr>
            </w:pPr>
            <w:r w:rsidRPr="00A84EDE">
              <w:rPr>
                <w:rFonts w:ascii="Arial Narrow" w:hAnsi="Arial Narrow" w:cs="Calibri"/>
                <w:bCs/>
                <w:sz w:val="20"/>
              </w:rPr>
              <w:t>Rees F, Yazdani R, Lanyon P. Long-term follow-up of different refractory systemic vasculitides treated with rituximab</w:t>
            </w:r>
          </w:p>
        </w:tc>
        <w:tc>
          <w:tcPr>
            <w:tcW w:w="1421" w:type="pct"/>
          </w:tcPr>
          <w:p w:rsidR="00CF758C" w:rsidRPr="00A84EDE" w:rsidRDefault="00CF758C" w:rsidP="005134E4">
            <w:pPr>
              <w:jc w:val="left"/>
              <w:rPr>
                <w:rFonts w:ascii="Arial Narrow" w:hAnsi="Arial Narrow"/>
                <w:sz w:val="20"/>
              </w:rPr>
            </w:pPr>
            <w:r w:rsidRPr="00A84EDE">
              <w:rPr>
                <w:rFonts w:ascii="Arial Narrow" w:hAnsi="Arial Narrow" w:cs="Calibri"/>
                <w:bCs/>
                <w:i/>
                <w:sz w:val="20"/>
              </w:rPr>
              <w:t>Clinical Rheumatology</w:t>
            </w:r>
            <w:r w:rsidRPr="00A84EDE">
              <w:rPr>
                <w:rFonts w:ascii="Arial Narrow" w:hAnsi="Arial Narrow" w:cs="Calibri"/>
                <w:bCs/>
                <w:sz w:val="20"/>
              </w:rPr>
              <w:t>. 2011;30(9):1241-45</w:t>
            </w:r>
          </w:p>
        </w:tc>
      </w:tr>
      <w:tr w:rsidR="00CF758C" w:rsidRPr="004E2ADC" w:rsidTr="005C2DD7">
        <w:tc>
          <w:tcPr>
            <w:tcW w:w="1080" w:type="pct"/>
          </w:tcPr>
          <w:p w:rsidR="00CF758C" w:rsidRPr="00F60E98" w:rsidRDefault="00CF758C" w:rsidP="001717FE">
            <w:pPr>
              <w:jc w:val="left"/>
              <w:rPr>
                <w:rFonts w:ascii="Arial Narrow" w:hAnsi="Arial Narrow"/>
                <w:sz w:val="20"/>
              </w:rPr>
            </w:pPr>
            <w:r>
              <w:rPr>
                <w:rFonts w:ascii="Arial Narrow" w:hAnsi="Arial Narrow"/>
                <w:sz w:val="20"/>
              </w:rPr>
              <w:t xml:space="preserve">Roccatello </w:t>
            </w:r>
          </w:p>
        </w:tc>
        <w:tc>
          <w:tcPr>
            <w:tcW w:w="2499" w:type="pct"/>
          </w:tcPr>
          <w:p w:rsidR="00CF758C" w:rsidRPr="00A84EDE" w:rsidRDefault="00CF758C" w:rsidP="005134E4">
            <w:pPr>
              <w:spacing w:before="40" w:after="20"/>
              <w:rPr>
                <w:rFonts w:ascii="Arial Narrow" w:hAnsi="Arial Narrow" w:cs="Calibri"/>
                <w:bCs/>
                <w:sz w:val="20"/>
              </w:rPr>
            </w:pPr>
            <w:r w:rsidRPr="00D11171">
              <w:rPr>
                <w:rFonts w:ascii="Arial Narrow" w:hAnsi="Arial Narrow" w:cs="Calibri"/>
                <w:bCs/>
                <w:sz w:val="20"/>
                <w:lang w:val="it-IT"/>
              </w:rPr>
              <w:t xml:space="preserve">Roccatello D, Baldovino S, Alpa M et al. </w:t>
            </w:r>
            <w:r w:rsidRPr="00A84EDE">
              <w:rPr>
                <w:rFonts w:ascii="Arial Narrow" w:hAnsi="Arial Narrow" w:cs="Calibri"/>
                <w:bCs/>
                <w:sz w:val="20"/>
              </w:rPr>
              <w:t>Effects of anti-CD20 monoclonal antibody as a rescue treatment for ANCA-associated idiopathic systemic vasculitis with or without overt renal involvement</w:t>
            </w:r>
          </w:p>
          <w:p w:rsidR="00CF758C" w:rsidRPr="00A84EDE" w:rsidRDefault="00CF758C" w:rsidP="005134E4">
            <w:pPr>
              <w:jc w:val="left"/>
              <w:rPr>
                <w:rFonts w:ascii="Arial Narrow" w:hAnsi="Arial Narrow"/>
                <w:sz w:val="20"/>
              </w:rPr>
            </w:pPr>
            <w:r w:rsidRPr="00D11171">
              <w:rPr>
                <w:rFonts w:ascii="Arial Narrow" w:hAnsi="Arial Narrow" w:cs="Calibri"/>
                <w:bCs/>
                <w:sz w:val="20"/>
                <w:lang w:val="it-IT"/>
              </w:rPr>
              <w:t xml:space="preserve">Roccatello D, Sciascia S, Rossi D et al. </w:t>
            </w:r>
            <w:r w:rsidRPr="00A84EDE">
              <w:rPr>
                <w:rFonts w:ascii="Arial Narrow" w:hAnsi="Arial Narrow" w:cs="Calibri"/>
                <w:bCs/>
                <w:sz w:val="20"/>
              </w:rPr>
              <w:t>Long-term effects of rituximab added to cyclophosphamide in refr</w:t>
            </w:r>
            <w:r>
              <w:rPr>
                <w:rFonts w:ascii="Arial Narrow" w:hAnsi="Arial Narrow" w:cs="Calibri"/>
                <w:bCs/>
                <w:sz w:val="20"/>
              </w:rPr>
              <w:t>actory patients with vasculitis</w:t>
            </w:r>
          </w:p>
        </w:tc>
        <w:tc>
          <w:tcPr>
            <w:tcW w:w="1421" w:type="pct"/>
          </w:tcPr>
          <w:p w:rsidR="00CF758C" w:rsidRPr="00A84EDE" w:rsidRDefault="00CF758C" w:rsidP="005134E4">
            <w:pPr>
              <w:spacing w:before="40" w:after="20"/>
              <w:rPr>
                <w:rFonts w:ascii="Arial Narrow" w:hAnsi="Arial Narrow" w:cs="Calibri"/>
                <w:bCs/>
                <w:sz w:val="20"/>
              </w:rPr>
            </w:pPr>
            <w:r w:rsidRPr="00A84EDE">
              <w:rPr>
                <w:rFonts w:ascii="Arial Narrow" w:hAnsi="Arial Narrow" w:cs="Calibri"/>
                <w:bCs/>
                <w:i/>
                <w:sz w:val="20"/>
              </w:rPr>
              <w:t>Clinical and Experimental Rheumatology</w:t>
            </w:r>
            <w:r w:rsidRPr="00A84EDE">
              <w:rPr>
                <w:rFonts w:ascii="Arial Narrow" w:hAnsi="Arial Narrow" w:cs="Calibri"/>
                <w:bCs/>
                <w:sz w:val="20"/>
              </w:rPr>
              <w:t>. 2008;26(3 SUPPL. 49)</w:t>
            </w:r>
            <w:r>
              <w:rPr>
                <w:rFonts w:ascii="Arial Narrow" w:hAnsi="Arial Narrow" w:cs="Calibri"/>
                <w:bCs/>
                <w:sz w:val="20"/>
              </w:rPr>
              <w:t>:S67-S71</w:t>
            </w:r>
          </w:p>
          <w:p w:rsidR="00CF758C" w:rsidRDefault="00CF758C" w:rsidP="005134E4">
            <w:pPr>
              <w:jc w:val="left"/>
              <w:rPr>
                <w:rFonts w:ascii="Arial Narrow" w:hAnsi="Arial Narrow" w:cs="Calibri"/>
                <w:bCs/>
                <w:i/>
                <w:sz w:val="20"/>
              </w:rPr>
            </w:pPr>
          </w:p>
          <w:p w:rsidR="00CF758C" w:rsidRPr="00A84EDE" w:rsidRDefault="00CF758C" w:rsidP="005134E4">
            <w:pPr>
              <w:jc w:val="left"/>
              <w:rPr>
                <w:rFonts w:ascii="Arial Narrow" w:hAnsi="Arial Narrow"/>
                <w:sz w:val="20"/>
              </w:rPr>
            </w:pPr>
            <w:r>
              <w:rPr>
                <w:rFonts w:ascii="Arial Narrow" w:hAnsi="Arial Narrow" w:cs="Calibri"/>
                <w:bCs/>
                <w:i/>
                <w:sz w:val="20"/>
              </w:rPr>
              <w:t>A</w:t>
            </w:r>
            <w:r w:rsidRPr="00A84EDE">
              <w:rPr>
                <w:rFonts w:ascii="Arial Narrow" w:hAnsi="Arial Narrow" w:cs="Calibri"/>
                <w:bCs/>
                <w:i/>
                <w:sz w:val="20"/>
              </w:rPr>
              <w:t>merican Journal of Nephrology</w:t>
            </w:r>
            <w:r w:rsidRPr="00A84EDE">
              <w:rPr>
                <w:rFonts w:ascii="Arial Narrow" w:hAnsi="Arial Narrow" w:cs="Calibri"/>
                <w:bCs/>
                <w:sz w:val="20"/>
              </w:rPr>
              <w:t>. 2011;34(2):175-80</w:t>
            </w:r>
          </w:p>
        </w:tc>
      </w:tr>
      <w:tr w:rsidR="00CF758C" w:rsidRPr="004E2ADC" w:rsidTr="005C2DD7">
        <w:tc>
          <w:tcPr>
            <w:tcW w:w="1080" w:type="pct"/>
          </w:tcPr>
          <w:p w:rsidR="00CF758C" w:rsidRPr="006256F5" w:rsidRDefault="00CF758C" w:rsidP="001717FE">
            <w:pPr>
              <w:jc w:val="left"/>
              <w:rPr>
                <w:rFonts w:ascii="Arial Narrow" w:hAnsi="Arial Narrow"/>
                <w:sz w:val="20"/>
              </w:rPr>
            </w:pPr>
            <w:r w:rsidRPr="006256F5">
              <w:rPr>
                <w:rFonts w:ascii="Arial Narrow" w:hAnsi="Arial Narrow"/>
                <w:sz w:val="20"/>
              </w:rPr>
              <w:t xml:space="preserve">Roll </w:t>
            </w:r>
          </w:p>
        </w:tc>
        <w:tc>
          <w:tcPr>
            <w:tcW w:w="2499" w:type="pct"/>
          </w:tcPr>
          <w:p w:rsidR="00CF758C" w:rsidRPr="006256F5" w:rsidRDefault="00CF758C" w:rsidP="005134E4">
            <w:pPr>
              <w:jc w:val="left"/>
              <w:rPr>
                <w:rFonts w:ascii="Arial Narrow" w:hAnsi="Arial Narrow"/>
                <w:sz w:val="20"/>
              </w:rPr>
            </w:pPr>
            <w:r w:rsidRPr="00D11171">
              <w:rPr>
                <w:rFonts w:ascii="Arial Narrow" w:hAnsi="Arial Narrow" w:cs="Calibri"/>
                <w:bCs/>
                <w:sz w:val="20"/>
                <w:lang w:val="de-DE"/>
              </w:rPr>
              <w:t xml:space="preserve">Roll P, Ostermeier E, Haubitz M et al. </w:t>
            </w:r>
            <w:r w:rsidRPr="006256F5">
              <w:rPr>
                <w:rFonts w:ascii="Arial Narrow" w:hAnsi="Arial Narrow" w:cs="Calibri"/>
                <w:bCs/>
                <w:sz w:val="20"/>
              </w:rPr>
              <w:t>Efficacy and safety of rituximab treatment in patients with antineutrophil cytoplasmic antibody-associated vasculitides: Results from a German registry (GRAID)</w:t>
            </w:r>
          </w:p>
        </w:tc>
        <w:tc>
          <w:tcPr>
            <w:tcW w:w="1421" w:type="pct"/>
          </w:tcPr>
          <w:p w:rsidR="00CF758C" w:rsidRPr="006256F5" w:rsidRDefault="00CF758C" w:rsidP="005134E4">
            <w:pPr>
              <w:jc w:val="left"/>
              <w:rPr>
                <w:rFonts w:ascii="Arial Narrow" w:hAnsi="Arial Narrow"/>
                <w:sz w:val="20"/>
              </w:rPr>
            </w:pPr>
            <w:r w:rsidRPr="006256F5">
              <w:rPr>
                <w:rFonts w:ascii="Arial Narrow" w:hAnsi="Arial Narrow" w:cs="Calibri"/>
                <w:bCs/>
                <w:i/>
                <w:sz w:val="20"/>
              </w:rPr>
              <w:t>Journal of Rheumatology. 2012;39(11):2153-56</w:t>
            </w:r>
          </w:p>
        </w:tc>
      </w:tr>
      <w:tr w:rsidR="00CF758C" w:rsidRPr="004E2ADC" w:rsidTr="005C2DD7">
        <w:tc>
          <w:tcPr>
            <w:tcW w:w="1080" w:type="pct"/>
          </w:tcPr>
          <w:p w:rsidR="00CF758C" w:rsidRPr="006256F5" w:rsidRDefault="00CF758C" w:rsidP="001717FE">
            <w:pPr>
              <w:jc w:val="left"/>
              <w:rPr>
                <w:rFonts w:ascii="Arial Narrow" w:hAnsi="Arial Narrow"/>
                <w:sz w:val="20"/>
              </w:rPr>
            </w:pPr>
            <w:r w:rsidRPr="006256F5">
              <w:rPr>
                <w:rFonts w:ascii="Arial Narrow" w:hAnsi="Arial Narrow"/>
                <w:sz w:val="20"/>
              </w:rPr>
              <w:t xml:space="preserve">Sanchez-Cano </w:t>
            </w:r>
          </w:p>
        </w:tc>
        <w:tc>
          <w:tcPr>
            <w:tcW w:w="2499" w:type="pct"/>
          </w:tcPr>
          <w:p w:rsidR="00CF758C" w:rsidRPr="006256F5" w:rsidRDefault="00CF758C" w:rsidP="005134E4">
            <w:pPr>
              <w:jc w:val="left"/>
              <w:rPr>
                <w:rFonts w:ascii="Arial Narrow" w:hAnsi="Arial Narrow"/>
                <w:sz w:val="20"/>
              </w:rPr>
            </w:pPr>
            <w:r w:rsidRPr="006256F5">
              <w:rPr>
                <w:rFonts w:ascii="Arial Narrow" w:hAnsi="Arial Narrow" w:cs="Calibri"/>
                <w:bCs/>
                <w:sz w:val="20"/>
              </w:rPr>
              <w:t>Sanchez-Cano D, Callejas-Rubio JL, Ortego-Centeno N. Effect of rituximab on refractory Wegener granulomatosis with predominant granulomatous disease</w:t>
            </w:r>
          </w:p>
        </w:tc>
        <w:tc>
          <w:tcPr>
            <w:tcW w:w="1421" w:type="pct"/>
          </w:tcPr>
          <w:p w:rsidR="00CF758C" w:rsidRPr="006256F5" w:rsidRDefault="00CF758C" w:rsidP="005134E4">
            <w:pPr>
              <w:jc w:val="left"/>
              <w:rPr>
                <w:rFonts w:ascii="Arial Narrow" w:hAnsi="Arial Narrow"/>
                <w:sz w:val="20"/>
              </w:rPr>
            </w:pPr>
            <w:r w:rsidRPr="006256F5">
              <w:rPr>
                <w:rFonts w:ascii="Arial Narrow" w:hAnsi="Arial Narrow" w:cs="Calibri"/>
                <w:bCs/>
                <w:i/>
                <w:sz w:val="20"/>
              </w:rPr>
              <w:t>Journal of Clinical Rheumatology</w:t>
            </w:r>
            <w:r w:rsidRPr="006256F5">
              <w:rPr>
                <w:rFonts w:ascii="Arial Narrow" w:hAnsi="Arial Narrow" w:cs="Calibri"/>
                <w:bCs/>
                <w:sz w:val="20"/>
              </w:rPr>
              <w:t>. 2008;14(2):92-93</w:t>
            </w:r>
          </w:p>
        </w:tc>
      </w:tr>
      <w:tr w:rsidR="00CF758C" w:rsidRPr="004E2ADC" w:rsidTr="005C2DD7">
        <w:tc>
          <w:tcPr>
            <w:tcW w:w="1080" w:type="pct"/>
          </w:tcPr>
          <w:p w:rsidR="00CF758C" w:rsidRPr="006256F5" w:rsidRDefault="00CF758C" w:rsidP="001717FE">
            <w:pPr>
              <w:jc w:val="left"/>
              <w:rPr>
                <w:rFonts w:ascii="Arial Narrow" w:hAnsi="Arial Narrow"/>
                <w:sz w:val="20"/>
              </w:rPr>
            </w:pPr>
            <w:r w:rsidRPr="006256F5">
              <w:rPr>
                <w:rFonts w:ascii="Arial Narrow" w:hAnsi="Arial Narrow"/>
                <w:sz w:val="20"/>
              </w:rPr>
              <w:t xml:space="preserve">Seo </w:t>
            </w:r>
          </w:p>
        </w:tc>
        <w:tc>
          <w:tcPr>
            <w:tcW w:w="2499" w:type="pct"/>
          </w:tcPr>
          <w:p w:rsidR="00CF758C" w:rsidRPr="006256F5" w:rsidRDefault="00CF758C" w:rsidP="005134E4">
            <w:pPr>
              <w:jc w:val="left"/>
              <w:rPr>
                <w:rFonts w:ascii="Arial Narrow" w:hAnsi="Arial Narrow"/>
                <w:sz w:val="20"/>
              </w:rPr>
            </w:pPr>
            <w:r w:rsidRPr="006256F5">
              <w:rPr>
                <w:rFonts w:ascii="Arial Narrow" w:hAnsi="Arial Narrow" w:cs="Segoe UI"/>
                <w:sz w:val="20"/>
              </w:rPr>
              <w:t>Seo P, Specks U, Keogh KA et al. Efficacy of rituximab in limited Wegener's granulomatosis with refractory granulomatous manifestations</w:t>
            </w:r>
          </w:p>
        </w:tc>
        <w:tc>
          <w:tcPr>
            <w:tcW w:w="1421" w:type="pct"/>
          </w:tcPr>
          <w:p w:rsidR="00CF758C" w:rsidRPr="006256F5" w:rsidRDefault="00CF758C" w:rsidP="005134E4">
            <w:pPr>
              <w:jc w:val="left"/>
              <w:rPr>
                <w:rFonts w:ascii="Arial Narrow" w:hAnsi="Arial Narrow"/>
                <w:sz w:val="20"/>
              </w:rPr>
            </w:pPr>
            <w:r w:rsidRPr="006256F5">
              <w:rPr>
                <w:rFonts w:ascii="Arial Narrow" w:hAnsi="Arial Narrow" w:cs="Segoe UI"/>
                <w:i/>
                <w:sz w:val="20"/>
              </w:rPr>
              <w:t>Journal of Rheumatology</w:t>
            </w:r>
            <w:r w:rsidRPr="006256F5">
              <w:rPr>
                <w:rFonts w:ascii="Arial Narrow" w:hAnsi="Arial Narrow" w:cs="Segoe UI"/>
                <w:sz w:val="20"/>
              </w:rPr>
              <w:t>. 2008;35(10):2017-23.</w:t>
            </w:r>
          </w:p>
        </w:tc>
      </w:tr>
      <w:tr w:rsidR="00CF758C" w:rsidRPr="004E2ADC" w:rsidTr="005C2DD7">
        <w:tc>
          <w:tcPr>
            <w:tcW w:w="1080" w:type="pct"/>
          </w:tcPr>
          <w:p w:rsidR="00CF758C" w:rsidRPr="006256F5" w:rsidRDefault="00CF758C" w:rsidP="001717FE">
            <w:pPr>
              <w:jc w:val="left"/>
              <w:rPr>
                <w:rFonts w:ascii="Arial Narrow" w:hAnsi="Arial Narrow"/>
                <w:sz w:val="20"/>
              </w:rPr>
            </w:pPr>
            <w:r w:rsidRPr="006256F5">
              <w:rPr>
                <w:rFonts w:ascii="Arial Narrow" w:hAnsi="Arial Narrow"/>
                <w:sz w:val="20"/>
              </w:rPr>
              <w:t xml:space="preserve">Smith </w:t>
            </w:r>
          </w:p>
        </w:tc>
        <w:tc>
          <w:tcPr>
            <w:tcW w:w="2499" w:type="pct"/>
          </w:tcPr>
          <w:p w:rsidR="00CF758C" w:rsidRPr="006256F5" w:rsidRDefault="00CF758C" w:rsidP="005134E4">
            <w:pPr>
              <w:jc w:val="left"/>
              <w:rPr>
                <w:rFonts w:ascii="Arial Narrow" w:hAnsi="Arial Narrow"/>
                <w:sz w:val="20"/>
              </w:rPr>
            </w:pPr>
            <w:r w:rsidRPr="006256F5">
              <w:rPr>
                <w:rFonts w:ascii="Arial Narrow" w:hAnsi="Arial Narrow" w:cs="Segoe UI"/>
                <w:sz w:val="20"/>
              </w:rPr>
              <w:t>Smith KGC, Jones RB, Burns SM, Jayne DRW et al. Long-term comparison of rituximab treatment for refractory systemic lupus erythematosus and vasculitis: Remission, relapse, and re-treatment</w:t>
            </w:r>
          </w:p>
        </w:tc>
        <w:tc>
          <w:tcPr>
            <w:tcW w:w="1421" w:type="pct"/>
          </w:tcPr>
          <w:p w:rsidR="00CF758C" w:rsidRPr="006256F5" w:rsidRDefault="00CF758C" w:rsidP="005134E4">
            <w:pPr>
              <w:jc w:val="left"/>
              <w:rPr>
                <w:rFonts w:ascii="Arial Narrow" w:hAnsi="Arial Narrow"/>
                <w:sz w:val="20"/>
              </w:rPr>
            </w:pPr>
            <w:r w:rsidRPr="006256F5">
              <w:rPr>
                <w:rFonts w:ascii="Arial Narrow" w:hAnsi="Arial Narrow" w:cs="Segoe UI"/>
                <w:i/>
                <w:sz w:val="20"/>
              </w:rPr>
              <w:t>Arthritis and Rheumatism</w:t>
            </w:r>
            <w:r w:rsidRPr="006256F5">
              <w:rPr>
                <w:rFonts w:ascii="Arial Narrow" w:hAnsi="Arial Narrow" w:cs="Segoe UI"/>
                <w:sz w:val="20"/>
              </w:rPr>
              <w:t>. 2006;54(9):2970-82.</w:t>
            </w:r>
          </w:p>
        </w:tc>
      </w:tr>
      <w:tr w:rsidR="00CF758C" w:rsidRPr="004E2ADC" w:rsidTr="005C2DD7">
        <w:tc>
          <w:tcPr>
            <w:tcW w:w="1080" w:type="pct"/>
          </w:tcPr>
          <w:p w:rsidR="00CF758C" w:rsidRPr="006256F5" w:rsidRDefault="00CF758C" w:rsidP="005134E4">
            <w:pPr>
              <w:jc w:val="left"/>
              <w:rPr>
                <w:rFonts w:ascii="Arial Narrow" w:hAnsi="Arial Narrow"/>
                <w:sz w:val="20"/>
              </w:rPr>
            </w:pPr>
            <w:r w:rsidRPr="006256F5">
              <w:rPr>
                <w:rFonts w:ascii="Arial Narrow" w:hAnsi="Arial Narrow"/>
                <w:sz w:val="20"/>
              </w:rPr>
              <w:t xml:space="preserve">Taylor </w:t>
            </w:r>
          </w:p>
          <w:p w:rsidR="00CF758C" w:rsidRPr="006256F5" w:rsidRDefault="00CF758C" w:rsidP="005134E4">
            <w:pPr>
              <w:jc w:val="center"/>
              <w:rPr>
                <w:rFonts w:ascii="Arial Narrow" w:hAnsi="Arial Narrow"/>
                <w:sz w:val="20"/>
              </w:rPr>
            </w:pPr>
          </w:p>
        </w:tc>
        <w:tc>
          <w:tcPr>
            <w:tcW w:w="2499" w:type="pct"/>
          </w:tcPr>
          <w:p w:rsidR="00CF758C" w:rsidRPr="006256F5" w:rsidRDefault="00CF758C" w:rsidP="005134E4">
            <w:pPr>
              <w:jc w:val="left"/>
              <w:rPr>
                <w:rFonts w:ascii="Arial Narrow" w:hAnsi="Arial Narrow"/>
                <w:sz w:val="20"/>
              </w:rPr>
            </w:pPr>
            <w:r w:rsidRPr="00D11171">
              <w:rPr>
                <w:rFonts w:ascii="Arial Narrow" w:hAnsi="Arial Narrow" w:cs="Calibri"/>
                <w:bCs/>
                <w:sz w:val="20"/>
                <w:lang w:val="it-IT"/>
              </w:rPr>
              <w:t xml:space="preserve">Taylor SRJ, Salama AD, Joshi L et al. </w:t>
            </w:r>
            <w:r w:rsidRPr="006256F5">
              <w:rPr>
                <w:rFonts w:ascii="Arial Narrow" w:hAnsi="Arial Narrow" w:cs="Calibri"/>
                <w:bCs/>
                <w:sz w:val="20"/>
              </w:rPr>
              <w:t>Rituximab is effective in the treatment of refractory ophthalmic Wegener's granulomatosis</w:t>
            </w:r>
          </w:p>
        </w:tc>
        <w:tc>
          <w:tcPr>
            <w:tcW w:w="1421" w:type="pct"/>
          </w:tcPr>
          <w:p w:rsidR="00CF758C" w:rsidRPr="006256F5" w:rsidRDefault="00CF758C" w:rsidP="005134E4">
            <w:pPr>
              <w:jc w:val="left"/>
              <w:rPr>
                <w:rFonts w:ascii="Arial Narrow" w:hAnsi="Arial Narrow"/>
                <w:sz w:val="20"/>
              </w:rPr>
            </w:pPr>
            <w:r w:rsidRPr="006256F5">
              <w:rPr>
                <w:rFonts w:ascii="Arial Narrow" w:hAnsi="Arial Narrow" w:cs="Calibri"/>
                <w:bCs/>
                <w:i/>
                <w:sz w:val="20"/>
              </w:rPr>
              <w:t>Arthritis and Rheumatism. 2009;60(5):1540-47</w:t>
            </w:r>
          </w:p>
        </w:tc>
      </w:tr>
      <w:tr w:rsidR="00CF758C" w:rsidRPr="004E2ADC" w:rsidTr="005C2DD7">
        <w:tc>
          <w:tcPr>
            <w:tcW w:w="1080" w:type="pct"/>
          </w:tcPr>
          <w:p w:rsidR="00CF758C" w:rsidRPr="00A66CCE" w:rsidRDefault="00CF758C" w:rsidP="001717FE">
            <w:pPr>
              <w:jc w:val="left"/>
              <w:rPr>
                <w:rFonts w:ascii="Arial Narrow" w:hAnsi="Arial Narrow"/>
                <w:sz w:val="20"/>
              </w:rPr>
            </w:pPr>
            <w:r w:rsidRPr="00A66CCE">
              <w:rPr>
                <w:rFonts w:ascii="Arial Narrow" w:hAnsi="Arial Narrow"/>
                <w:sz w:val="20"/>
              </w:rPr>
              <w:t xml:space="preserve">Stasi </w:t>
            </w:r>
          </w:p>
        </w:tc>
        <w:tc>
          <w:tcPr>
            <w:tcW w:w="2499" w:type="pct"/>
          </w:tcPr>
          <w:p w:rsidR="00CF758C" w:rsidRPr="00A66CCE" w:rsidRDefault="00CF758C" w:rsidP="005134E4">
            <w:pPr>
              <w:jc w:val="left"/>
              <w:rPr>
                <w:rFonts w:ascii="Arial Narrow" w:hAnsi="Arial Narrow"/>
                <w:sz w:val="20"/>
              </w:rPr>
            </w:pPr>
            <w:r w:rsidRPr="00D11171">
              <w:rPr>
                <w:rFonts w:ascii="Arial Narrow" w:hAnsi="Arial Narrow" w:cs="Calibri"/>
                <w:bCs/>
                <w:sz w:val="20"/>
                <w:lang w:val="it-IT"/>
              </w:rPr>
              <w:t xml:space="preserve">Stasi R, Stipa E, Del Poeta G et al. </w:t>
            </w:r>
            <w:r w:rsidRPr="00A66CCE">
              <w:rPr>
                <w:rFonts w:ascii="Arial Narrow" w:hAnsi="Arial Narrow" w:cs="Calibri"/>
                <w:bCs/>
                <w:sz w:val="20"/>
              </w:rPr>
              <w:t>Long-term observation of patients with anti-neutrophil cytoplasmic antibody-associated vasculitis treated with rituximab</w:t>
            </w:r>
          </w:p>
        </w:tc>
        <w:tc>
          <w:tcPr>
            <w:tcW w:w="1421" w:type="pct"/>
          </w:tcPr>
          <w:p w:rsidR="00CF758C" w:rsidRPr="00A66CCE" w:rsidRDefault="00CF758C" w:rsidP="005134E4">
            <w:pPr>
              <w:jc w:val="left"/>
              <w:rPr>
                <w:rFonts w:ascii="Arial Narrow" w:hAnsi="Arial Narrow"/>
                <w:sz w:val="20"/>
              </w:rPr>
            </w:pPr>
            <w:r w:rsidRPr="00A66CCE">
              <w:rPr>
                <w:rFonts w:ascii="Arial Narrow" w:hAnsi="Arial Narrow" w:cs="Calibri"/>
                <w:bCs/>
                <w:i/>
                <w:sz w:val="20"/>
              </w:rPr>
              <w:t>Rheumatology</w:t>
            </w:r>
            <w:r w:rsidRPr="00A66CCE">
              <w:rPr>
                <w:rFonts w:ascii="Arial Narrow" w:hAnsi="Arial Narrow" w:cs="Calibri"/>
                <w:bCs/>
                <w:sz w:val="20"/>
              </w:rPr>
              <w:t>. 2006;45(11):1432-36</w:t>
            </w:r>
          </w:p>
        </w:tc>
      </w:tr>
      <w:tr w:rsidR="00CF758C" w:rsidRPr="004E2ADC" w:rsidTr="005C2DD7">
        <w:tc>
          <w:tcPr>
            <w:tcW w:w="1080" w:type="pct"/>
          </w:tcPr>
          <w:p w:rsidR="00CF758C" w:rsidRPr="00A66CCE" w:rsidRDefault="00CF758C" w:rsidP="001717FE">
            <w:pPr>
              <w:jc w:val="left"/>
              <w:rPr>
                <w:rFonts w:ascii="Arial Narrow" w:hAnsi="Arial Narrow"/>
                <w:sz w:val="20"/>
              </w:rPr>
            </w:pPr>
            <w:r w:rsidRPr="00A66CCE">
              <w:rPr>
                <w:rFonts w:ascii="Arial Narrow" w:hAnsi="Arial Narrow"/>
                <w:sz w:val="20"/>
              </w:rPr>
              <w:t xml:space="preserve">Wendt </w:t>
            </w:r>
          </w:p>
        </w:tc>
        <w:tc>
          <w:tcPr>
            <w:tcW w:w="2499" w:type="pct"/>
          </w:tcPr>
          <w:p w:rsidR="00CF758C" w:rsidRPr="00A66CCE" w:rsidRDefault="00CF758C" w:rsidP="005134E4">
            <w:pPr>
              <w:spacing w:before="40" w:after="20"/>
              <w:rPr>
                <w:rFonts w:ascii="Arial Narrow" w:hAnsi="Arial Narrow" w:cs="Calibri"/>
                <w:bCs/>
                <w:sz w:val="20"/>
              </w:rPr>
            </w:pPr>
            <w:r w:rsidRPr="00D11171">
              <w:rPr>
                <w:rFonts w:ascii="Arial Narrow" w:hAnsi="Arial Narrow" w:cs="Calibri"/>
                <w:bCs/>
                <w:sz w:val="20"/>
                <w:lang w:val="it-IT"/>
              </w:rPr>
              <w:t xml:space="preserve">Wendt M, Gunnarsson I, Bratt J et al. </w:t>
            </w:r>
            <w:r w:rsidRPr="00A66CCE">
              <w:rPr>
                <w:rFonts w:ascii="Arial Narrow" w:hAnsi="Arial Narrow" w:cs="Calibri"/>
                <w:bCs/>
                <w:sz w:val="20"/>
              </w:rPr>
              <w:t>Rituximab in relapsing or refractory ANCA-associated vasculitis: A case series of 16 patients</w:t>
            </w:r>
          </w:p>
          <w:p w:rsidR="00CF758C" w:rsidRPr="00A66CCE" w:rsidRDefault="00CF758C" w:rsidP="005134E4">
            <w:pPr>
              <w:rPr>
                <w:rFonts w:ascii="Arial Narrow" w:hAnsi="Arial Narrow"/>
              </w:rPr>
            </w:pPr>
          </w:p>
          <w:p w:rsidR="00CF758C" w:rsidRPr="00A66CCE" w:rsidRDefault="00CF758C" w:rsidP="005134E4">
            <w:pPr>
              <w:jc w:val="left"/>
              <w:rPr>
                <w:rFonts w:ascii="Arial Narrow" w:hAnsi="Arial Narrow"/>
                <w:sz w:val="20"/>
              </w:rPr>
            </w:pPr>
            <w:r w:rsidRPr="00A66CCE">
              <w:rPr>
                <w:rFonts w:ascii="Arial Narrow" w:hAnsi="Arial Narrow" w:cs="Calibri"/>
                <w:bCs/>
                <w:sz w:val="20"/>
              </w:rPr>
              <w:t>Wendt M, Gunnarsson I, Bratt J, Bruchfeld A. Rituximab in ANCA-associated Vasculitis (AAV), a case series</w:t>
            </w:r>
          </w:p>
        </w:tc>
        <w:tc>
          <w:tcPr>
            <w:tcW w:w="1421" w:type="pct"/>
          </w:tcPr>
          <w:p w:rsidR="00CF758C" w:rsidRPr="00A66CCE" w:rsidRDefault="00CF758C" w:rsidP="005134E4">
            <w:pPr>
              <w:spacing w:before="40" w:after="20"/>
              <w:rPr>
                <w:rFonts w:ascii="Arial Narrow" w:hAnsi="Arial Narrow" w:cs="Calibri"/>
                <w:bCs/>
                <w:sz w:val="20"/>
              </w:rPr>
            </w:pPr>
            <w:r w:rsidRPr="00A66CCE">
              <w:rPr>
                <w:rFonts w:ascii="Arial Narrow" w:hAnsi="Arial Narrow" w:cs="Calibri"/>
                <w:bCs/>
                <w:i/>
                <w:sz w:val="20"/>
              </w:rPr>
              <w:t>Scandinavian Journal of Rheumatology</w:t>
            </w:r>
            <w:r w:rsidRPr="00A66CCE">
              <w:rPr>
                <w:rFonts w:ascii="Arial Narrow" w:hAnsi="Arial Narrow" w:cs="Calibri"/>
                <w:bCs/>
                <w:sz w:val="20"/>
              </w:rPr>
              <w:t>. 2012;41(2):116-19</w:t>
            </w:r>
          </w:p>
          <w:p w:rsidR="00CF758C" w:rsidRPr="00A66CCE" w:rsidRDefault="00CF758C" w:rsidP="005134E4">
            <w:pPr>
              <w:pStyle w:val="TableNotes1"/>
              <w:rPr>
                <w:rFonts w:ascii="Arial Narrow" w:hAnsi="Arial Narrow"/>
              </w:rPr>
            </w:pPr>
          </w:p>
          <w:p w:rsidR="00CF758C" w:rsidRPr="00A66CCE" w:rsidRDefault="00CF758C" w:rsidP="005134E4">
            <w:pPr>
              <w:jc w:val="left"/>
              <w:rPr>
                <w:rFonts w:ascii="Arial Narrow" w:hAnsi="Arial Narrow"/>
                <w:sz w:val="20"/>
              </w:rPr>
            </w:pPr>
            <w:r w:rsidRPr="00A66CCE">
              <w:rPr>
                <w:rFonts w:ascii="Arial Narrow" w:hAnsi="Arial Narrow" w:cs="Calibri"/>
                <w:bCs/>
                <w:i/>
                <w:sz w:val="20"/>
              </w:rPr>
              <w:t>APMIS. 2009;117:80</w:t>
            </w:r>
          </w:p>
        </w:tc>
      </w:tr>
      <w:tr w:rsidR="00CF758C" w:rsidRPr="004E2ADC" w:rsidTr="005C2DD7">
        <w:tc>
          <w:tcPr>
            <w:tcW w:w="5000" w:type="pct"/>
            <w:gridSpan w:val="3"/>
          </w:tcPr>
          <w:p w:rsidR="00CF758C" w:rsidRPr="00A66CCE" w:rsidRDefault="00CF758C" w:rsidP="005134E4">
            <w:pPr>
              <w:jc w:val="left"/>
              <w:rPr>
                <w:rFonts w:ascii="Arial Narrow" w:hAnsi="Arial Narrow"/>
                <w:b/>
                <w:sz w:val="20"/>
              </w:rPr>
            </w:pPr>
            <w:r>
              <w:rPr>
                <w:rFonts w:ascii="Arial Narrow" w:hAnsi="Arial Narrow"/>
                <w:b/>
                <w:sz w:val="20"/>
              </w:rPr>
              <w:t>Alemtuzumab</w:t>
            </w:r>
          </w:p>
        </w:tc>
      </w:tr>
      <w:tr w:rsidR="00CF758C" w:rsidRPr="004E2ADC" w:rsidTr="005C2DD7">
        <w:tc>
          <w:tcPr>
            <w:tcW w:w="1080" w:type="pct"/>
          </w:tcPr>
          <w:p w:rsidR="00CF758C" w:rsidRPr="00F60E98" w:rsidRDefault="00CF758C" w:rsidP="001717FE">
            <w:pPr>
              <w:jc w:val="left"/>
              <w:rPr>
                <w:rFonts w:ascii="Arial Narrow" w:hAnsi="Arial Narrow"/>
                <w:sz w:val="20"/>
              </w:rPr>
            </w:pPr>
            <w:r>
              <w:rPr>
                <w:rFonts w:ascii="Arial Narrow" w:hAnsi="Arial Narrow"/>
                <w:sz w:val="20"/>
              </w:rPr>
              <w:t xml:space="preserve">Walsh </w:t>
            </w:r>
          </w:p>
        </w:tc>
        <w:tc>
          <w:tcPr>
            <w:tcW w:w="2499" w:type="pct"/>
          </w:tcPr>
          <w:p w:rsidR="00CF758C" w:rsidRPr="003259DE" w:rsidRDefault="00CF758C" w:rsidP="005134E4">
            <w:pPr>
              <w:jc w:val="left"/>
              <w:rPr>
                <w:rFonts w:ascii="Arial Narrow" w:hAnsi="Arial Narrow"/>
                <w:sz w:val="20"/>
              </w:rPr>
            </w:pPr>
            <w:r w:rsidRPr="003259DE">
              <w:rPr>
                <w:rFonts w:ascii="Arial Narrow" w:hAnsi="Arial Narrow"/>
                <w:sz w:val="20"/>
              </w:rPr>
              <w:t>Walsh M, Chaudhry A, Jayne D. Long-term follow-up of relapsing/refractory anti-neutrophil cytoplasm antibody associated vasculitis treated with the lymphocyte depleting antibody alemtuzumab (CAMPATH-1H)</w:t>
            </w:r>
          </w:p>
        </w:tc>
        <w:tc>
          <w:tcPr>
            <w:tcW w:w="1421" w:type="pct"/>
          </w:tcPr>
          <w:p w:rsidR="00CF758C" w:rsidRPr="003259DE" w:rsidRDefault="00CF758C" w:rsidP="005134E4">
            <w:pPr>
              <w:jc w:val="left"/>
              <w:rPr>
                <w:rFonts w:ascii="Arial Narrow" w:hAnsi="Arial Narrow"/>
                <w:sz w:val="20"/>
              </w:rPr>
            </w:pPr>
            <w:r w:rsidRPr="003259DE">
              <w:rPr>
                <w:rFonts w:ascii="Arial Narrow" w:hAnsi="Arial Narrow"/>
                <w:i/>
                <w:sz w:val="20"/>
              </w:rPr>
              <w:t xml:space="preserve">Annals of the Rheumatic Diseases. </w:t>
            </w:r>
            <w:r w:rsidRPr="003259DE">
              <w:rPr>
                <w:rFonts w:ascii="Arial Narrow" w:hAnsi="Arial Narrow"/>
                <w:sz w:val="20"/>
              </w:rPr>
              <w:t>2008;67(9):1322-27</w:t>
            </w:r>
          </w:p>
        </w:tc>
      </w:tr>
      <w:tr w:rsidR="00CF758C" w:rsidRPr="004E2ADC" w:rsidTr="005C2DD7">
        <w:tc>
          <w:tcPr>
            <w:tcW w:w="5000" w:type="pct"/>
            <w:gridSpan w:val="3"/>
          </w:tcPr>
          <w:p w:rsidR="00CF758C" w:rsidRPr="00B90985" w:rsidRDefault="00CF758C" w:rsidP="005134E4">
            <w:pPr>
              <w:jc w:val="left"/>
              <w:rPr>
                <w:rFonts w:ascii="Arial Narrow" w:hAnsi="Arial Narrow"/>
                <w:b/>
                <w:sz w:val="20"/>
              </w:rPr>
            </w:pPr>
            <w:r>
              <w:rPr>
                <w:rFonts w:ascii="Arial Narrow" w:hAnsi="Arial Narrow"/>
                <w:b/>
                <w:sz w:val="20"/>
              </w:rPr>
              <w:t>Anti-thymocyte globulin</w:t>
            </w:r>
          </w:p>
        </w:tc>
      </w:tr>
      <w:tr w:rsidR="00CF758C" w:rsidRPr="004E2ADC" w:rsidTr="005C2DD7">
        <w:tc>
          <w:tcPr>
            <w:tcW w:w="1080" w:type="pct"/>
          </w:tcPr>
          <w:p w:rsidR="00CF758C" w:rsidRPr="00F60E98" w:rsidRDefault="00CF758C" w:rsidP="001717FE">
            <w:pPr>
              <w:jc w:val="left"/>
              <w:rPr>
                <w:rFonts w:ascii="Arial Narrow" w:hAnsi="Arial Narrow"/>
                <w:sz w:val="20"/>
              </w:rPr>
            </w:pPr>
            <w:r>
              <w:rPr>
                <w:rFonts w:ascii="Arial Narrow" w:hAnsi="Arial Narrow"/>
                <w:sz w:val="20"/>
              </w:rPr>
              <w:t xml:space="preserve">Schmitt </w:t>
            </w:r>
          </w:p>
        </w:tc>
        <w:tc>
          <w:tcPr>
            <w:tcW w:w="2499" w:type="pct"/>
          </w:tcPr>
          <w:p w:rsidR="00CF758C" w:rsidRPr="00B90985" w:rsidRDefault="00CF758C" w:rsidP="005134E4">
            <w:pPr>
              <w:jc w:val="left"/>
              <w:rPr>
                <w:rFonts w:ascii="Arial Narrow" w:hAnsi="Arial Narrow"/>
                <w:sz w:val="20"/>
              </w:rPr>
            </w:pPr>
            <w:r w:rsidRPr="00D11171">
              <w:rPr>
                <w:rFonts w:ascii="Arial Narrow" w:hAnsi="Arial Narrow"/>
                <w:sz w:val="20"/>
                <w:lang w:val="de-DE"/>
              </w:rPr>
              <w:t xml:space="preserve">Schmitt W, Hagen E, Neumann I et al. </w:t>
            </w:r>
            <w:r w:rsidRPr="00B90985">
              <w:rPr>
                <w:rFonts w:ascii="Arial Narrow" w:hAnsi="Arial Narrow"/>
                <w:sz w:val="20"/>
              </w:rPr>
              <w:t>Treatment of refractory Wegener's granulomatosis with antithymocyte globulin (ATG</w:t>
            </w:r>
            <w:r>
              <w:rPr>
                <w:rFonts w:ascii="Arial Narrow" w:hAnsi="Arial Narrow"/>
                <w:sz w:val="20"/>
              </w:rPr>
              <w:t>): An open study in 15 patients</w:t>
            </w:r>
          </w:p>
        </w:tc>
        <w:tc>
          <w:tcPr>
            <w:tcW w:w="1421" w:type="pct"/>
          </w:tcPr>
          <w:p w:rsidR="00CF758C" w:rsidRPr="00B90985" w:rsidRDefault="00CF758C" w:rsidP="005134E4">
            <w:pPr>
              <w:jc w:val="left"/>
              <w:rPr>
                <w:rFonts w:ascii="Arial Narrow" w:hAnsi="Arial Narrow"/>
                <w:sz w:val="20"/>
              </w:rPr>
            </w:pPr>
            <w:r w:rsidRPr="00B90985">
              <w:rPr>
                <w:rFonts w:ascii="Arial Narrow" w:hAnsi="Arial Narrow"/>
                <w:i/>
                <w:sz w:val="20"/>
              </w:rPr>
              <w:t>Kidney International</w:t>
            </w:r>
            <w:r w:rsidRPr="00B90985">
              <w:rPr>
                <w:rFonts w:ascii="Arial Narrow" w:hAnsi="Arial Narrow"/>
                <w:sz w:val="20"/>
              </w:rPr>
              <w:t>. 2004; 65(4):1440-48</w:t>
            </w:r>
          </w:p>
        </w:tc>
      </w:tr>
      <w:tr w:rsidR="00CF758C" w:rsidRPr="004E2ADC" w:rsidTr="005C2DD7">
        <w:tc>
          <w:tcPr>
            <w:tcW w:w="5000" w:type="pct"/>
            <w:gridSpan w:val="3"/>
          </w:tcPr>
          <w:p w:rsidR="00CF758C" w:rsidRPr="00B90985" w:rsidRDefault="00CF758C" w:rsidP="005134E4">
            <w:pPr>
              <w:jc w:val="left"/>
              <w:rPr>
                <w:rFonts w:ascii="Arial Narrow" w:hAnsi="Arial Narrow"/>
                <w:b/>
                <w:sz w:val="20"/>
              </w:rPr>
            </w:pPr>
            <w:r>
              <w:rPr>
                <w:rFonts w:ascii="Arial Narrow" w:hAnsi="Arial Narrow"/>
                <w:b/>
                <w:sz w:val="20"/>
              </w:rPr>
              <w:t>Intravenous immunoglobulin</w:t>
            </w:r>
          </w:p>
        </w:tc>
      </w:tr>
      <w:tr w:rsidR="00CF758C" w:rsidRPr="004E2ADC" w:rsidTr="005C2DD7">
        <w:tc>
          <w:tcPr>
            <w:tcW w:w="1080" w:type="pct"/>
          </w:tcPr>
          <w:p w:rsidR="00CF758C" w:rsidRPr="00F60E98" w:rsidRDefault="00CF758C" w:rsidP="001717FE">
            <w:pPr>
              <w:jc w:val="left"/>
              <w:rPr>
                <w:rFonts w:ascii="Arial Narrow" w:hAnsi="Arial Narrow"/>
                <w:sz w:val="20"/>
              </w:rPr>
            </w:pPr>
            <w:r>
              <w:rPr>
                <w:rFonts w:ascii="Arial Narrow" w:hAnsi="Arial Narrow"/>
                <w:sz w:val="20"/>
              </w:rPr>
              <w:t xml:space="preserve">Jayne </w:t>
            </w:r>
          </w:p>
        </w:tc>
        <w:tc>
          <w:tcPr>
            <w:tcW w:w="2499" w:type="pct"/>
            <w:tcBorders>
              <w:top w:val="single" w:sz="4" w:space="0" w:color="auto"/>
              <w:left w:val="single" w:sz="4" w:space="0" w:color="auto"/>
              <w:bottom w:val="single" w:sz="4" w:space="0" w:color="auto"/>
              <w:right w:val="single" w:sz="4" w:space="0" w:color="auto"/>
            </w:tcBorders>
          </w:tcPr>
          <w:p w:rsidR="00CF758C" w:rsidRPr="00EE5A93" w:rsidRDefault="00CF758C" w:rsidP="005134E4">
            <w:pPr>
              <w:jc w:val="left"/>
              <w:rPr>
                <w:rFonts w:ascii="Arial Narrow" w:hAnsi="Arial Narrow"/>
                <w:sz w:val="20"/>
              </w:rPr>
            </w:pPr>
            <w:r w:rsidRPr="00D11171">
              <w:rPr>
                <w:rFonts w:ascii="Arial Narrow" w:hAnsi="Arial Narrow"/>
                <w:sz w:val="20"/>
                <w:lang w:val="fr-FR"/>
              </w:rPr>
              <w:t xml:space="preserve">Jayne, DR, Davies, MJ, Fox, CJ, et al. </w:t>
            </w:r>
            <w:r w:rsidRPr="00EE5A93">
              <w:rPr>
                <w:rFonts w:ascii="Arial Narrow" w:hAnsi="Arial Narrow"/>
                <w:sz w:val="20"/>
              </w:rPr>
              <w:t>Treatment of systemic vasculitis with po</w:t>
            </w:r>
            <w:r>
              <w:rPr>
                <w:rFonts w:ascii="Arial Narrow" w:hAnsi="Arial Narrow"/>
                <w:sz w:val="20"/>
              </w:rPr>
              <w:t>oled intravenous immunoglobulin</w:t>
            </w:r>
          </w:p>
        </w:tc>
        <w:tc>
          <w:tcPr>
            <w:tcW w:w="1421" w:type="pct"/>
            <w:tcBorders>
              <w:top w:val="single" w:sz="4" w:space="0" w:color="auto"/>
              <w:left w:val="single" w:sz="4" w:space="0" w:color="auto"/>
              <w:bottom w:val="single" w:sz="4" w:space="0" w:color="auto"/>
              <w:right w:val="single" w:sz="4" w:space="0" w:color="auto"/>
            </w:tcBorders>
          </w:tcPr>
          <w:p w:rsidR="00CF758C" w:rsidRPr="00EE5A93" w:rsidRDefault="00CF758C" w:rsidP="005134E4">
            <w:pPr>
              <w:jc w:val="left"/>
              <w:rPr>
                <w:rFonts w:ascii="Arial Narrow" w:hAnsi="Arial Narrow"/>
                <w:sz w:val="20"/>
              </w:rPr>
            </w:pPr>
            <w:r w:rsidRPr="00EE5A93">
              <w:rPr>
                <w:rFonts w:ascii="Arial Narrow" w:hAnsi="Arial Narrow"/>
                <w:i/>
                <w:sz w:val="20"/>
              </w:rPr>
              <w:t>Lancet</w:t>
            </w:r>
            <w:r w:rsidRPr="00EE5A93">
              <w:rPr>
                <w:rFonts w:ascii="Arial Narrow" w:hAnsi="Arial Narrow"/>
                <w:sz w:val="20"/>
              </w:rPr>
              <w:t>. 1991; 337(8750):1137–39</w:t>
            </w:r>
          </w:p>
        </w:tc>
      </w:tr>
      <w:tr w:rsidR="00CF758C" w:rsidRPr="004E2ADC" w:rsidTr="005C2DD7">
        <w:tc>
          <w:tcPr>
            <w:tcW w:w="1080" w:type="pct"/>
          </w:tcPr>
          <w:p w:rsidR="00CF758C" w:rsidRPr="00F60E98" w:rsidRDefault="00CF758C" w:rsidP="001717FE">
            <w:pPr>
              <w:jc w:val="left"/>
              <w:rPr>
                <w:rFonts w:ascii="Arial Narrow" w:hAnsi="Arial Narrow"/>
                <w:sz w:val="20"/>
              </w:rPr>
            </w:pPr>
            <w:r>
              <w:rPr>
                <w:rFonts w:ascii="Arial Narrow" w:hAnsi="Arial Narrow"/>
                <w:sz w:val="20"/>
              </w:rPr>
              <w:t xml:space="preserve">Jayne </w:t>
            </w:r>
          </w:p>
        </w:tc>
        <w:tc>
          <w:tcPr>
            <w:tcW w:w="2499" w:type="pct"/>
            <w:tcBorders>
              <w:top w:val="single" w:sz="4" w:space="0" w:color="auto"/>
              <w:left w:val="single" w:sz="4" w:space="0" w:color="auto"/>
              <w:bottom w:val="single" w:sz="4" w:space="0" w:color="auto"/>
              <w:right w:val="single" w:sz="4" w:space="0" w:color="auto"/>
            </w:tcBorders>
          </w:tcPr>
          <w:p w:rsidR="00CF758C" w:rsidRPr="00EE5A93" w:rsidRDefault="00CF758C" w:rsidP="005134E4">
            <w:pPr>
              <w:jc w:val="left"/>
              <w:rPr>
                <w:rFonts w:ascii="Arial Narrow" w:hAnsi="Arial Narrow"/>
                <w:sz w:val="20"/>
              </w:rPr>
            </w:pPr>
            <w:r w:rsidRPr="00D11171">
              <w:rPr>
                <w:rFonts w:ascii="Arial Narrow" w:hAnsi="Arial Narrow"/>
                <w:sz w:val="20"/>
                <w:lang w:val="fr-FR"/>
              </w:rPr>
              <w:t xml:space="preserve">Jayne DRW, Chapel H, Adu D et al. </w:t>
            </w:r>
            <w:r w:rsidRPr="00EE5A93">
              <w:rPr>
                <w:rFonts w:ascii="Arial Narrow" w:hAnsi="Arial Narrow"/>
                <w:sz w:val="20"/>
              </w:rPr>
              <w:t>Intravenous immunoglobulin for ANCA-associated systemic vasculitis w</w:t>
            </w:r>
            <w:r>
              <w:rPr>
                <w:rFonts w:ascii="Arial Narrow" w:hAnsi="Arial Narrow"/>
                <w:sz w:val="20"/>
              </w:rPr>
              <w:t>ith persistent disease activity</w:t>
            </w:r>
          </w:p>
        </w:tc>
        <w:tc>
          <w:tcPr>
            <w:tcW w:w="1421" w:type="pct"/>
            <w:tcBorders>
              <w:top w:val="single" w:sz="4" w:space="0" w:color="auto"/>
              <w:left w:val="single" w:sz="4" w:space="0" w:color="auto"/>
              <w:bottom w:val="single" w:sz="4" w:space="0" w:color="auto"/>
              <w:right w:val="single" w:sz="4" w:space="0" w:color="auto"/>
            </w:tcBorders>
          </w:tcPr>
          <w:p w:rsidR="00CF758C" w:rsidRPr="00EE5A93" w:rsidRDefault="00CF758C" w:rsidP="005134E4">
            <w:pPr>
              <w:jc w:val="left"/>
              <w:rPr>
                <w:rFonts w:ascii="Arial Narrow" w:hAnsi="Arial Narrow"/>
                <w:sz w:val="20"/>
              </w:rPr>
            </w:pPr>
            <w:r w:rsidRPr="00EE5A93">
              <w:rPr>
                <w:rFonts w:ascii="Arial Narrow" w:hAnsi="Arial Narrow"/>
                <w:i/>
                <w:sz w:val="20"/>
              </w:rPr>
              <w:t>QJM - Monthly Journal of the Association of Physicians.</w:t>
            </w:r>
            <w:r w:rsidRPr="00EE5A93">
              <w:rPr>
                <w:rFonts w:ascii="Arial Narrow" w:hAnsi="Arial Narrow"/>
                <w:sz w:val="20"/>
              </w:rPr>
              <w:t xml:space="preserve"> 2000;93(7):433-39</w:t>
            </w:r>
          </w:p>
        </w:tc>
      </w:tr>
      <w:tr w:rsidR="00CF758C" w:rsidRPr="004E2ADC" w:rsidTr="005C2DD7">
        <w:tc>
          <w:tcPr>
            <w:tcW w:w="1080" w:type="pct"/>
          </w:tcPr>
          <w:p w:rsidR="00CF758C" w:rsidRPr="00F60E98" w:rsidRDefault="00CF758C" w:rsidP="001717FE">
            <w:pPr>
              <w:jc w:val="left"/>
              <w:rPr>
                <w:rFonts w:ascii="Arial Narrow" w:hAnsi="Arial Narrow"/>
                <w:sz w:val="20"/>
              </w:rPr>
            </w:pPr>
            <w:r>
              <w:rPr>
                <w:rFonts w:ascii="Arial Narrow" w:hAnsi="Arial Narrow"/>
                <w:sz w:val="20"/>
              </w:rPr>
              <w:t xml:space="preserve">Kamali </w:t>
            </w:r>
          </w:p>
        </w:tc>
        <w:tc>
          <w:tcPr>
            <w:tcW w:w="2499" w:type="pct"/>
            <w:tcBorders>
              <w:top w:val="single" w:sz="4" w:space="0" w:color="auto"/>
              <w:left w:val="single" w:sz="4" w:space="0" w:color="auto"/>
              <w:bottom w:val="single" w:sz="4" w:space="0" w:color="auto"/>
              <w:right w:val="single" w:sz="4" w:space="0" w:color="auto"/>
            </w:tcBorders>
          </w:tcPr>
          <w:p w:rsidR="00CF758C" w:rsidRPr="00EE5A93" w:rsidRDefault="00CF758C" w:rsidP="005134E4">
            <w:pPr>
              <w:jc w:val="left"/>
              <w:rPr>
                <w:rFonts w:ascii="Arial Narrow" w:hAnsi="Arial Narrow"/>
                <w:sz w:val="20"/>
              </w:rPr>
            </w:pPr>
            <w:r w:rsidRPr="00EE5A93">
              <w:rPr>
                <w:rFonts w:ascii="Arial Narrow" w:hAnsi="Arial Narrow"/>
                <w:sz w:val="20"/>
              </w:rPr>
              <w:t>Kamali S, Cefle A, Sayarlioglu M et al. Experience with monthly, high-dose, intravenous immunoglobulin therapy in patients with diffe</w:t>
            </w:r>
            <w:r>
              <w:rPr>
                <w:rFonts w:ascii="Arial Narrow" w:hAnsi="Arial Narrow"/>
                <w:sz w:val="20"/>
              </w:rPr>
              <w:t>rent connective tissue diseases</w:t>
            </w:r>
          </w:p>
        </w:tc>
        <w:tc>
          <w:tcPr>
            <w:tcW w:w="1421" w:type="pct"/>
            <w:tcBorders>
              <w:top w:val="single" w:sz="4" w:space="0" w:color="auto"/>
              <w:left w:val="single" w:sz="4" w:space="0" w:color="auto"/>
              <w:bottom w:val="single" w:sz="4" w:space="0" w:color="auto"/>
              <w:right w:val="single" w:sz="4" w:space="0" w:color="auto"/>
            </w:tcBorders>
          </w:tcPr>
          <w:p w:rsidR="00CF758C" w:rsidRPr="00EE5A93" w:rsidRDefault="00CF758C" w:rsidP="005134E4">
            <w:pPr>
              <w:jc w:val="left"/>
              <w:rPr>
                <w:rFonts w:ascii="Arial Narrow" w:hAnsi="Arial Narrow"/>
                <w:sz w:val="20"/>
              </w:rPr>
            </w:pPr>
            <w:r w:rsidRPr="00EE5A93">
              <w:rPr>
                <w:rFonts w:ascii="Arial Narrow" w:hAnsi="Arial Narrow"/>
                <w:i/>
                <w:sz w:val="20"/>
              </w:rPr>
              <w:t>Rheumatology International</w:t>
            </w:r>
            <w:r w:rsidRPr="00EE5A93">
              <w:rPr>
                <w:rFonts w:ascii="Arial Narrow" w:hAnsi="Arial Narrow"/>
                <w:sz w:val="20"/>
              </w:rPr>
              <w:t>. 2005;25(3):211-14</w:t>
            </w:r>
          </w:p>
        </w:tc>
      </w:tr>
      <w:tr w:rsidR="00CF758C" w:rsidRPr="004E2ADC" w:rsidTr="005C2DD7">
        <w:tc>
          <w:tcPr>
            <w:tcW w:w="1080" w:type="pct"/>
          </w:tcPr>
          <w:p w:rsidR="00CF758C" w:rsidRPr="00F60E98" w:rsidRDefault="00CF758C" w:rsidP="001717FE">
            <w:pPr>
              <w:jc w:val="left"/>
              <w:rPr>
                <w:rFonts w:ascii="Arial Narrow" w:hAnsi="Arial Narrow"/>
                <w:sz w:val="20"/>
              </w:rPr>
            </w:pPr>
            <w:r>
              <w:rPr>
                <w:rFonts w:ascii="Arial Narrow" w:hAnsi="Arial Narrow"/>
                <w:sz w:val="20"/>
              </w:rPr>
              <w:t xml:space="preserve">Martinez </w:t>
            </w:r>
          </w:p>
        </w:tc>
        <w:tc>
          <w:tcPr>
            <w:tcW w:w="2499" w:type="pct"/>
            <w:tcBorders>
              <w:top w:val="single" w:sz="4" w:space="0" w:color="auto"/>
              <w:left w:val="single" w:sz="4" w:space="0" w:color="auto"/>
              <w:bottom w:val="single" w:sz="4" w:space="0" w:color="auto"/>
              <w:right w:val="single" w:sz="4" w:space="0" w:color="auto"/>
            </w:tcBorders>
          </w:tcPr>
          <w:p w:rsidR="00CF758C" w:rsidRPr="00EE5A93" w:rsidRDefault="00CF758C" w:rsidP="005134E4">
            <w:pPr>
              <w:jc w:val="left"/>
              <w:rPr>
                <w:rFonts w:ascii="Arial Narrow" w:hAnsi="Arial Narrow"/>
                <w:sz w:val="20"/>
              </w:rPr>
            </w:pPr>
            <w:r w:rsidRPr="00D11171">
              <w:rPr>
                <w:rFonts w:ascii="Arial Narrow" w:hAnsi="Arial Narrow"/>
                <w:sz w:val="20"/>
                <w:lang w:val="fr-FR"/>
              </w:rPr>
              <w:t xml:space="preserve">Martinez V, Cohen P, Pagnoux C et al. </w:t>
            </w:r>
            <w:r w:rsidRPr="00EE5A93">
              <w:rPr>
                <w:rFonts w:ascii="Arial Narrow" w:hAnsi="Arial Narrow"/>
                <w:sz w:val="20"/>
              </w:rPr>
              <w:t>Intravenous immunoglobulins for relapses of systemic vasculitides associated with antineutrophil cytoplasmic autoantibodies: Results of a multicenter, prospective, open-label study of twenty-two patients</w:t>
            </w:r>
          </w:p>
        </w:tc>
        <w:tc>
          <w:tcPr>
            <w:tcW w:w="1421" w:type="pct"/>
            <w:tcBorders>
              <w:top w:val="single" w:sz="4" w:space="0" w:color="auto"/>
              <w:left w:val="single" w:sz="4" w:space="0" w:color="auto"/>
              <w:bottom w:val="single" w:sz="4" w:space="0" w:color="auto"/>
              <w:right w:val="single" w:sz="4" w:space="0" w:color="auto"/>
            </w:tcBorders>
          </w:tcPr>
          <w:p w:rsidR="00CF758C" w:rsidRPr="00EE5A93" w:rsidRDefault="00CF758C" w:rsidP="005134E4">
            <w:pPr>
              <w:jc w:val="left"/>
              <w:rPr>
                <w:rFonts w:ascii="Arial Narrow" w:hAnsi="Arial Narrow"/>
                <w:sz w:val="20"/>
              </w:rPr>
            </w:pPr>
            <w:r w:rsidRPr="00EE5A93">
              <w:rPr>
                <w:rFonts w:ascii="Arial Narrow" w:hAnsi="Arial Narrow"/>
                <w:i/>
                <w:sz w:val="20"/>
              </w:rPr>
              <w:t>Arthritis and Rheumatism.</w:t>
            </w:r>
            <w:r w:rsidRPr="00EE5A93">
              <w:rPr>
                <w:rFonts w:ascii="Arial Narrow" w:hAnsi="Arial Narrow"/>
                <w:sz w:val="20"/>
              </w:rPr>
              <w:t xml:space="preserve"> 2008; 58(1):308-17</w:t>
            </w:r>
          </w:p>
        </w:tc>
      </w:tr>
      <w:tr w:rsidR="00CF758C" w:rsidRPr="004E2ADC" w:rsidTr="005C2DD7">
        <w:tc>
          <w:tcPr>
            <w:tcW w:w="1080" w:type="pct"/>
          </w:tcPr>
          <w:p w:rsidR="00CF758C" w:rsidRPr="00F60E98" w:rsidRDefault="00CF758C" w:rsidP="001717FE">
            <w:pPr>
              <w:jc w:val="left"/>
              <w:rPr>
                <w:rFonts w:ascii="Arial Narrow" w:hAnsi="Arial Narrow"/>
                <w:sz w:val="20"/>
              </w:rPr>
            </w:pPr>
            <w:r>
              <w:rPr>
                <w:rFonts w:ascii="Arial Narrow" w:hAnsi="Arial Narrow"/>
                <w:sz w:val="20"/>
              </w:rPr>
              <w:t xml:space="preserve">Richter </w:t>
            </w:r>
          </w:p>
        </w:tc>
        <w:tc>
          <w:tcPr>
            <w:tcW w:w="2499" w:type="pct"/>
            <w:tcBorders>
              <w:top w:val="single" w:sz="4" w:space="0" w:color="auto"/>
              <w:left w:val="single" w:sz="4" w:space="0" w:color="auto"/>
              <w:bottom w:val="single" w:sz="4" w:space="0" w:color="auto"/>
              <w:right w:val="single" w:sz="4" w:space="0" w:color="auto"/>
            </w:tcBorders>
          </w:tcPr>
          <w:p w:rsidR="00CF758C" w:rsidRPr="00EE5A93" w:rsidRDefault="00CF758C" w:rsidP="005134E4">
            <w:pPr>
              <w:jc w:val="left"/>
              <w:rPr>
                <w:rFonts w:ascii="Arial Narrow" w:hAnsi="Arial Narrow"/>
                <w:sz w:val="20"/>
              </w:rPr>
            </w:pPr>
            <w:r w:rsidRPr="00EE5A93">
              <w:rPr>
                <w:rFonts w:ascii="Arial Narrow" w:hAnsi="Arial Narrow"/>
                <w:sz w:val="20"/>
              </w:rPr>
              <w:t>Richter C, Schnabel A, Csernok E et al. Treatment of anti-neutrophil cytoplasmic antibody (ANCA)-associated systemic vasculitis with high-</w:t>
            </w:r>
            <w:r>
              <w:rPr>
                <w:rFonts w:ascii="Arial Narrow" w:hAnsi="Arial Narrow"/>
                <w:sz w:val="20"/>
              </w:rPr>
              <w:t>dose intravenous immunoglobulin</w:t>
            </w:r>
          </w:p>
        </w:tc>
        <w:tc>
          <w:tcPr>
            <w:tcW w:w="1421" w:type="pct"/>
            <w:tcBorders>
              <w:top w:val="single" w:sz="4" w:space="0" w:color="auto"/>
              <w:left w:val="single" w:sz="4" w:space="0" w:color="auto"/>
              <w:bottom w:val="single" w:sz="4" w:space="0" w:color="auto"/>
              <w:right w:val="single" w:sz="4" w:space="0" w:color="auto"/>
            </w:tcBorders>
          </w:tcPr>
          <w:p w:rsidR="00CF758C" w:rsidRPr="00EE5A93" w:rsidRDefault="00CF758C" w:rsidP="005134E4">
            <w:pPr>
              <w:jc w:val="left"/>
              <w:rPr>
                <w:rFonts w:ascii="Arial Narrow" w:hAnsi="Arial Narrow"/>
                <w:sz w:val="20"/>
              </w:rPr>
            </w:pPr>
            <w:r w:rsidRPr="00EE5A93">
              <w:rPr>
                <w:rFonts w:ascii="Arial Narrow" w:hAnsi="Arial Narrow"/>
                <w:i/>
                <w:sz w:val="20"/>
              </w:rPr>
              <w:t xml:space="preserve">Clinical and Experimental Immunology. </w:t>
            </w:r>
            <w:r w:rsidRPr="00EE5A93">
              <w:rPr>
                <w:rFonts w:ascii="Arial Narrow" w:hAnsi="Arial Narrow"/>
                <w:sz w:val="20"/>
              </w:rPr>
              <w:t>1995;101(1):2-7</w:t>
            </w:r>
          </w:p>
        </w:tc>
      </w:tr>
      <w:tr w:rsidR="00CF758C" w:rsidRPr="004E2ADC" w:rsidTr="005C2DD7">
        <w:tc>
          <w:tcPr>
            <w:tcW w:w="5000" w:type="pct"/>
            <w:gridSpan w:val="3"/>
          </w:tcPr>
          <w:p w:rsidR="00CF758C" w:rsidRPr="00930948" w:rsidRDefault="00CF758C" w:rsidP="005134E4">
            <w:pPr>
              <w:jc w:val="left"/>
              <w:rPr>
                <w:rFonts w:ascii="Arial Narrow" w:hAnsi="Arial Narrow"/>
                <w:b/>
                <w:sz w:val="20"/>
              </w:rPr>
            </w:pPr>
            <w:r>
              <w:rPr>
                <w:rFonts w:ascii="Arial Narrow" w:hAnsi="Arial Narrow"/>
                <w:b/>
                <w:sz w:val="20"/>
              </w:rPr>
              <w:t>Mycophenolate mofetil</w:t>
            </w:r>
          </w:p>
        </w:tc>
      </w:tr>
      <w:tr w:rsidR="00CF758C" w:rsidRPr="004E2ADC" w:rsidTr="005C2DD7">
        <w:tc>
          <w:tcPr>
            <w:tcW w:w="1080" w:type="pct"/>
          </w:tcPr>
          <w:p w:rsidR="00CF758C" w:rsidRPr="00F60E98" w:rsidRDefault="00CF758C" w:rsidP="001717FE">
            <w:pPr>
              <w:jc w:val="left"/>
              <w:rPr>
                <w:rFonts w:ascii="Arial Narrow" w:hAnsi="Arial Narrow"/>
                <w:sz w:val="20"/>
              </w:rPr>
            </w:pPr>
            <w:r>
              <w:rPr>
                <w:rFonts w:ascii="Arial Narrow" w:hAnsi="Arial Narrow"/>
                <w:sz w:val="20"/>
              </w:rPr>
              <w:t xml:space="preserve">Kazderova </w:t>
            </w:r>
          </w:p>
        </w:tc>
        <w:tc>
          <w:tcPr>
            <w:tcW w:w="2499" w:type="pct"/>
            <w:tcBorders>
              <w:top w:val="single" w:sz="4" w:space="0" w:color="auto"/>
              <w:left w:val="single" w:sz="4" w:space="0" w:color="auto"/>
              <w:bottom w:val="single" w:sz="4" w:space="0" w:color="auto"/>
              <w:right w:val="single" w:sz="4" w:space="0" w:color="auto"/>
            </w:tcBorders>
          </w:tcPr>
          <w:p w:rsidR="00CF758C" w:rsidRPr="00930948" w:rsidRDefault="00CF758C" w:rsidP="005134E4">
            <w:pPr>
              <w:pStyle w:val="TableText0"/>
              <w:spacing w:after="20"/>
            </w:pPr>
            <w:r w:rsidRPr="00D11171">
              <w:rPr>
                <w:lang w:val="pt-PT"/>
              </w:rPr>
              <w:t xml:space="preserve">Kazderova M, Jancova E, Rysava R et al. </w:t>
            </w:r>
            <w:r w:rsidRPr="00930948">
              <w:t>Mycophenolate Mofetil in Low Doses Stabilizes and Improves Antineutrophil Cytoplasmic Antibody-associated Vasculitis and Lupus Nephritis</w:t>
            </w:r>
          </w:p>
        </w:tc>
        <w:tc>
          <w:tcPr>
            <w:tcW w:w="1421" w:type="pct"/>
            <w:tcBorders>
              <w:top w:val="single" w:sz="4" w:space="0" w:color="auto"/>
              <w:left w:val="single" w:sz="4" w:space="0" w:color="auto"/>
              <w:bottom w:val="single" w:sz="4" w:space="0" w:color="auto"/>
              <w:right w:val="single" w:sz="4" w:space="0" w:color="auto"/>
            </w:tcBorders>
          </w:tcPr>
          <w:p w:rsidR="00CF758C" w:rsidRPr="00930948" w:rsidRDefault="00CF758C" w:rsidP="005134E4">
            <w:pPr>
              <w:jc w:val="left"/>
              <w:rPr>
                <w:rFonts w:ascii="Arial Narrow" w:hAnsi="Arial Narrow"/>
                <w:sz w:val="20"/>
              </w:rPr>
            </w:pPr>
            <w:r w:rsidRPr="00930948">
              <w:rPr>
                <w:rFonts w:ascii="Arial Narrow" w:hAnsi="Arial Narrow"/>
                <w:i/>
                <w:sz w:val="20"/>
              </w:rPr>
              <w:t>Archives of Medical Research</w:t>
            </w:r>
            <w:r w:rsidRPr="00930948">
              <w:rPr>
                <w:rFonts w:ascii="Arial Narrow" w:hAnsi="Arial Narrow"/>
                <w:sz w:val="20"/>
              </w:rPr>
              <w:t>. 2008; 39(1):115-19</w:t>
            </w:r>
          </w:p>
        </w:tc>
      </w:tr>
      <w:tr w:rsidR="00CF758C" w:rsidRPr="004E2ADC" w:rsidTr="005C2DD7">
        <w:tc>
          <w:tcPr>
            <w:tcW w:w="1080" w:type="pct"/>
          </w:tcPr>
          <w:p w:rsidR="00CF758C" w:rsidRPr="00F60E98" w:rsidRDefault="00CF758C" w:rsidP="001717FE">
            <w:pPr>
              <w:jc w:val="left"/>
              <w:rPr>
                <w:rFonts w:ascii="Arial Narrow" w:hAnsi="Arial Narrow"/>
                <w:sz w:val="20"/>
              </w:rPr>
            </w:pPr>
            <w:r>
              <w:rPr>
                <w:rFonts w:ascii="Arial Narrow" w:hAnsi="Arial Narrow"/>
                <w:sz w:val="20"/>
              </w:rPr>
              <w:t xml:space="preserve">Silva </w:t>
            </w:r>
          </w:p>
        </w:tc>
        <w:tc>
          <w:tcPr>
            <w:tcW w:w="2499" w:type="pct"/>
            <w:tcBorders>
              <w:top w:val="single" w:sz="4" w:space="0" w:color="auto"/>
              <w:left w:val="single" w:sz="4" w:space="0" w:color="auto"/>
              <w:bottom w:val="single" w:sz="4" w:space="0" w:color="auto"/>
              <w:right w:val="single" w:sz="4" w:space="0" w:color="auto"/>
            </w:tcBorders>
          </w:tcPr>
          <w:p w:rsidR="00CF758C" w:rsidRPr="00930948" w:rsidRDefault="00CF758C" w:rsidP="005134E4">
            <w:pPr>
              <w:jc w:val="left"/>
              <w:rPr>
                <w:rFonts w:ascii="Arial Narrow" w:hAnsi="Arial Narrow"/>
                <w:sz w:val="20"/>
              </w:rPr>
            </w:pPr>
            <w:r w:rsidRPr="00930948">
              <w:rPr>
                <w:rFonts w:ascii="Arial Narrow" w:hAnsi="Arial Narrow"/>
                <w:sz w:val="20"/>
              </w:rPr>
              <w:t>Silva F, Specks U, Kalra S et al. Mycophenolate mofetil for induction and maintenance of remission in microscopic polyangiitis with mild to moderate renal involvement - A prospective, open-label pilot trial</w:t>
            </w:r>
          </w:p>
        </w:tc>
        <w:tc>
          <w:tcPr>
            <w:tcW w:w="1421" w:type="pct"/>
            <w:tcBorders>
              <w:top w:val="single" w:sz="4" w:space="0" w:color="auto"/>
              <w:left w:val="single" w:sz="4" w:space="0" w:color="auto"/>
              <w:bottom w:val="single" w:sz="4" w:space="0" w:color="auto"/>
              <w:right w:val="single" w:sz="4" w:space="0" w:color="auto"/>
            </w:tcBorders>
          </w:tcPr>
          <w:p w:rsidR="00CF758C" w:rsidRPr="00930948" w:rsidRDefault="00CF758C" w:rsidP="005134E4">
            <w:pPr>
              <w:jc w:val="left"/>
              <w:rPr>
                <w:rFonts w:ascii="Arial Narrow" w:hAnsi="Arial Narrow"/>
                <w:sz w:val="20"/>
              </w:rPr>
            </w:pPr>
            <w:r w:rsidRPr="00930948">
              <w:rPr>
                <w:rFonts w:ascii="Arial Narrow" w:hAnsi="Arial Narrow"/>
                <w:i/>
                <w:sz w:val="20"/>
              </w:rPr>
              <w:t xml:space="preserve">Clinical Journal of the American Society of Nephrology. </w:t>
            </w:r>
            <w:r w:rsidRPr="00930948">
              <w:rPr>
                <w:rFonts w:ascii="Arial Narrow" w:hAnsi="Arial Narrow"/>
                <w:sz w:val="20"/>
              </w:rPr>
              <w:t>2010;5(3):445-53</w:t>
            </w:r>
          </w:p>
        </w:tc>
      </w:tr>
      <w:tr w:rsidR="00CF758C" w:rsidRPr="004E2ADC" w:rsidTr="005C2DD7">
        <w:tc>
          <w:tcPr>
            <w:tcW w:w="1080" w:type="pct"/>
          </w:tcPr>
          <w:p w:rsidR="00CF758C" w:rsidRPr="00F60E98" w:rsidRDefault="00CF758C" w:rsidP="001717FE">
            <w:pPr>
              <w:jc w:val="left"/>
              <w:rPr>
                <w:rFonts w:ascii="Arial Narrow" w:hAnsi="Arial Narrow"/>
                <w:sz w:val="20"/>
              </w:rPr>
            </w:pPr>
            <w:r>
              <w:rPr>
                <w:rFonts w:ascii="Arial Narrow" w:hAnsi="Arial Narrow"/>
                <w:sz w:val="20"/>
              </w:rPr>
              <w:t xml:space="preserve">Stassen </w:t>
            </w:r>
          </w:p>
        </w:tc>
        <w:tc>
          <w:tcPr>
            <w:tcW w:w="2499" w:type="pct"/>
            <w:tcBorders>
              <w:top w:val="single" w:sz="4" w:space="0" w:color="auto"/>
              <w:left w:val="single" w:sz="4" w:space="0" w:color="auto"/>
              <w:bottom w:val="single" w:sz="4" w:space="0" w:color="auto"/>
              <w:right w:val="single" w:sz="4" w:space="0" w:color="auto"/>
            </w:tcBorders>
          </w:tcPr>
          <w:p w:rsidR="00CF758C" w:rsidRPr="00930948" w:rsidRDefault="00CF758C" w:rsidP="005134E4">
            <w:pPr>
              <w:jc w:val="left"/>
              <w:rPr>
                <w:rFonts w:ascii="Arial Narrow" w:hAnsi="Arial Narrow"/>
                <w:sz w:val="20"/>
              </w:rPr>
            </w:pPr>
            <w:r w:rsidRPr="00930948">
              <w:rPr>
                <w:rFonts w:ascii="Arial Narrow" w:hAnsi="Arial Narrow"/>
                <w:sz w:val="20"/>
              </w:rPr>
              <w:t>Stassen P, Tervaert J, Stegeman CA. Induction of remission in active anti-neutrophil cytoplasmic antibody-associated vasculitis with mycophenolate mofetil in patients who cannot b</w:t>
            </w:r>
            <w:r>
              <w:rPr>
                <w:rFonts w:ascii="Arial Narrow" w:hAnsi="Arial Narrow"/>
                <w:sz w:val="20"/>
              </w:rPr>
              <w:t>e treated with cyclophosphamide</w:t>
            </w:r>
          </w:p>
        </w:tc>
        <w:tc>
          <w:tcPr>
            <w:tcW w:w="1421" w:type="pct"/>
            <w:tcBorders>
              <w:top w:val="single" w:sz="4" w:space="0" w:color="auto"/>
              <w:left w:val="single" w:sz="4" w:space="0" w:color="auto"/>
              <w:bottom w:val="single" w:sz="4" w:space="0" w:color="auto"/>
              <w:right w:val="single" w:sz="4" w:space="0" w:color="auto"/>
            </w:tcBorders>
          </w:tcPr>
          <w:p w:rsidR="00CF758C" w:rsidRPr="00930948" w:rsidRDefault="00CF758C" w:rsidP="005134E4">
            <w:pPr>
              <w:jc w:val="left"/>
              <w:rPr>
                <w:rFonts w:ascii="Arial Narrow" w:hAnsi="Arial Narrow"/>
                <w:sz w:val="20"/>
              </w:rPr>
            </w:pPr>
            <w:r w:rsidRPr="00930948">
              <w:rPr>
                <w:rFonts w:ascii="Arial Narrow" w:hAnsi="Arial Narrow"/>
                <w:i/>
                <w:sz w:val="20"/>
              </w:rPr>
              <w:t>Annals of the Rheumatic Diseases</w:t>
            </w:r>
            <w:r w:rsidRPr="00930948">
              <w:rPr>
                <w:rFonts w:ascii="Arial Narrow" w:hAnsi="Arial Narrow"/>
                <w:sz w:val="20"/>
              </w:rPr>
              <w:t>. 2007; 66(6):798-802</w:t>
            </w:r>
          </w:p>
        </w:tc>
      </w:tr>
    </w:tbl>
    <w:p w:rsidR="00CF758C" w:rsidRPr="00D13A3E" w:rsidRDefault="00CF758C" w:rsidP="00CF758C">
      <w:pPr>
        <w:pStyle w:val="TableFooter"/>
        <w:ind w:left="720"/>
      </w:pPr>
      <w:r w:rsidRPr="00D13A3E">
        <w:t>Source:</w:t>
      </w:r>
      <w:r>
        <w:t xml:space="preserve"> </w:t>
      </w:r>
      <w:r w:rsidRPr="00D13A3E">
        <w:t>Table</w:t>
      </w:r>
      <w:r>
        <w:t xml:space="preserve"> B.2.3, p7-8, Section B-DRT</w:t>
      </w:r>
      <w:r w:rsidRPr="00D13A3E">
        <w:t xml:space="preserve"> of the submission</w:t>
      </w:r>
      <w:r>
        <w:t xml:space="preserve"> and Table B.2.10x, p16-19 of Section B-Supp of the submission</w:t>
      </w:r>
    </w:p>
    <w:p w:rsidR="00CF758C" w:rsidRPr="008F120A" w:rsidRDefault="00CF758C" w:rsidP="00CF758C">
      <w:pPr>
        <w:ind w:firstLine="720"/>
        <w:rPr>
          <w:szCs w:val="22"/>
        </w:rPr>
      </w:pPr>
    </w:p>
    <w:p w:rsidR="00CF758C" w:rsidRDefault="00CF758C" w:rsidP="00DD3A69">
      <w:pPr>
        <w:pStyle w:val="ListParagraph"/>
        <w:widowControl/>
        <w:numPr>
          <w:ilvl w:val="1"/>
          <w:numId w:val="2"/>
        </w:numPr>
        <w:rPr>
          <w:szCs w:val="22"/>
        </w:rPr>
      </w:pPr>
      <w:r w:rsidRPr="00A41A7D">
        <w:rPr>
          <w:szCs w:val="22"/>
        </w:rPr>
        <w:t xml:space="preserve">The key features of the RAVE trial </w:t>
      </w:r>
      <w:r w:rsidR="007A5475">
        <w:rPr>
          <w:szCs w:val="22"/>
        </w:rPr>
        <w:t xml:space="preserve">and the supplementary studies </w:t>
      </w:r>
      <w:r w:rsidRPr="00A41A7D">
        <w:rPr>
          <w:szCs w:val="22"/>
        </w:rPr>
        <w:t>are summarised in the table below.</w:t>
      </w:r>
    </w:p>
    <w:p w:rsidR="00CF758C" w:rsidRDefault="00CF758C" w:rsidP="00CF758C">
      <w:pPr>
        <w:widowControl/>
        <w:rPr>
          <w:szCs w:val="22"/>
        </w:rPr>
      </w:pPr>
      <w:r w:rsidRPr="007127AD">
        <w:rPr>
          <w:szCs w:val="22"/>
        </w:rPr>
        <w:t xml:space="preserve"> </w:t>
      </w:r>
    </w:p>
    <w:p w:rsidR="00CF758C" w:rsidRPr="00E2771E" w:rsidRDefault="00CF758C" w:rsidP="00781655">
      <w:pPr>
        <w:widowControl/>
        <w:ind w:left="720"/>
        <w:jc w:val="left"/>
        <w:rPr>
          <w:rStyle w:val="CommentReference"/>
        </w:rPr>
      </w:pPr>
      <w:r w:rsidRPr="00E2771E">
        <w:rPr>
          <w:rStyle w:val="CommentReference"/>
        </w:rPr>
        <w:t>Key features of the included evidence</w:t>
      </w:r>
      <w:r>
        <w:rPr>
          <w:rStyle w:val="CommentReference"/>
        </w:rPr>
        <w:t xml:space="preserve"> </w:t>
      </w:r>
    </w:p>
    <w:tbl>
      <w:tblPr>
        <w:tblW w:w="4698"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
      </w:tblPr>
      <w:tblGrid>
        <w:gridCol w:w="911"/>
        <w:gridCol w:w="666"/>
        <w:gridCol w:w="1932"/>
        <w:gridCol w:w="959"/>
        <w:gridCol w:w="2068"/>
        <w:gridCol w:w="1997"/>
      </w:tblGrid>
      <w:tr w:rsidR="00CF758C" w:rsidRPr="00E2771E" w:rsidTr="005134E4">
        <w:tc>
          <w:tcPr>
            <w:tcW w:w="534" w:type="pct"/>
            <w:vAlign w:val="center"/>
          </w:tcPr>
          <w:p w:rsidR="00CF758C" w:rsidRPr="00E2771E" w:rsidRDefault="00CF758C" w:rsidP="005134E4">
            <w:pPr>
              <w:jc w:val="left"/>
              <w:rPr>
                <w:rFonts w:ascii="Arial Narrow" w:hAnsi="Arial Narrow"/>
                <w:b/>
                <w:sz w:val="20"/>
                <w:lang w:val="en-US"/>
              </w:rPr>
            </w:pPr>
            <w:r>
              <w:rPr>
                <w:rFonts w:ascii="Arial Narrow" w:hAnsi="Arial Narrow"/>
                <w:b/>
                <w:sz w:val="20"/>
                <w:lang w:val="en-US"/>
              </w:rPr>
              <w:t>Trial</w:t>
            </w:r>
          </w:p>
        </w:tc>
        <w:tc>
          <w:tcPr>
            <w:tcW w:w="390" w:type="pct"/>
            <w:shd w:val="clear" w:color="auto" w:fill="auto"/>
            <w:vAlign w:val="center"/>
          </w:tcPr>
          <w:p w:rsidR="00CF758C" w:rsidRPr="00E2771E" w:rsidRDefault="00CF758C" w:rsidP="005134E4">
            <w:pPr>
              <w:jc w:val="center"/>
              <w:rPr>
                <w:rFonts w:ascii="Arial Narrow" w:hAnsi="Arial Narrow"/>
                <w:b/>
                <w:sz w:val="20"/>
                <w:lang w:val="en-US"/>
              </w:rPr>
            </w:pPr>
            <w:r w:rsidRPr="00E2771E">
              <w:rPr>
                <w:rFonts w:ascii="Arial Narrow" w:hAnsi="Arial Narrow"/>
                <w:b/>
                <w:sz w:val="20"/>
                <w:lang w:val="en-US"/>
              </w:rPr>
              <w:t>N</w:t>
            </w:r>
          </w:p>
        </w:tc>
        <w:tc>
          <w:tcPr>
            <w:tcW w:w="1132" w:type="pct"/>
            <w:shd w:val="clear" w:color="auto" w:fill="auto"/>
            <w:vAlign w:val="center"/>
          </w:tcPr>
          <w:p w:rsidR="00CF758C" w:rsidRPr="00E2771E" w:rsidRDefault="00CF758C" w:rsidP="007A5475">
            <w:pPr>
              <w:jc w:val="center"/>
              <w:rPr>
                <w:rFonts w:ascii="Arial Narrow" w:hAnsi="Arial Narrow"/>
                <w:b/>
                <w:sz w:val="20"/>
                <w:lang w:val="en-US"/>
              </w:rPr>
            </w:pPr>
            <w:r w:rsidRPr="00E2771E">
              <w:rPr>
                <w:rFonts w:ascii="Arial Narrow" w:hAnsi="Arial Narrow"/>
                <w:b/>
                <w:sz w:val="20"/>
                <w:lang w:val="en-US"/>
              </w:rPr>
              <w:t>Design/ duration</w:t>
            </w:r>
            <w:r>
              <w:rPr>
                <w:rFonts w:ascii="Arial Narrow" w:hAnsi="Arial Narrow"/>
                <w:b/>
                <w:sz w:val="20"/>
                <w:lang w:val="en-US"/>
              </w:rPr>
              <w:t xml:space="preserve"> </w:t>
            </w:r>
          </w:p>
        </w:tc>
        <w:tc>
          <w:tcPr>
            <w:tcW w:w="562" w:type="pct"/>
            <w:shd w:val="clear" w:color="auto" w:fill="auto"/>
            <w:vAlign w:val="center"/>
          </w:tcPr>
          <w:p w:rsidR="00CF758C" w:rsidRPr="00E2771E" w:rsidRDefault="00CF758C" w:rsidP="005134E4">
            <w:pPr>
              <w:jc w:val="center"/>
              <w:rPr>
                <w:rFonts w:ascii="Arial Narrow" w:hAnsi="Arial Narrow"/>
                <w:b/>
                <w:sz w:val="20"/>
                <w:lang w:val="en-US"/>
              </w:rPr>
            </w:pPr>
            <w:r w:rsidRPr="00E2771E">
              <w:rPr>
                <w:rFonts w:ascii="Arial Narrow" w:hAnsi="Arial Narrow"/>
                <w:b/>
                <w:sz w:val="20"/>
                <w:lang w:val="en-US"/>
              </w:rPr>
              <w:t>Risk of bias</w:t>
            </w:r>
          </w:p>
        </w:tc>
        <w:tc>
          <w:tcPr>
            <w:tcW w:w="1212" w:type="pct"/>
            <w:shd w:val="clear" w:color="auto" w:fill="auto"/>
            <w:vAlign w:val="center"/>
          </w:tcPr>
          <w:p w:rsidR="00CF758C" w:rsidRPr="00E2771E" w:rsidRDefault="00CF758C" w:rsidP="005134E4">
            <w:pPr>
              <w:jc w:val="center"/>
              <w:rPr>
                <w:rFonts w:ascii="Arial Narrow" w:hAnsi="Arial Narrow"/>
                <w:b/>
                <w:sz w:val="20"/>
                <w:lang w:val="en-US"/>
              </w:rPr>
            </w:pPr>
            <w:r w:rsidRPr="00E2771E">
              <w:rPr>
                <w:rFonts w:ascii="Arial Narrow" w:hAnsi="Arial Narrow"/>
                <w:b/>
                <w:sz w:val="20"/>
                <w:lang w:val="en-US"/>
              </w:rPr>
              <w:t>Patient population</w:t>
            </w:r>
          </w:p>
        </w:tc>
        <w:tc>
          <w:tcPr>
            <w:tcW w:w="1170" w:type="pct"/>
            <w:shd w:val="clear" w:color="auto" w:fill="auto"/>
            <w:vAlign w:val="center"/>
          </w:tcPr>
          <w:p w:rsidR="00CF758C" w:rsidRPr="00E2771E" w:rsidRDefault="00CF758C" w:rsidP="005134E4">
            <w:pPr>
              <w:jc w:val="center"/>
              <w:rPr>
                <w:rFonts w:ascii="Arial Narrow" w:hAnsi="Arial Narrow"/>
                <w:b/>
                <w:sz w:val="20"/>
                <w:lang w:val="en-US"/>
              </w:rPr>
            </w:pPr>
            <w:r w:rsidRPr="00E2771E">
              <w:rPr>
                <w:rFonts w:ascii="Arial Narrow" w:hAnsi="Arial Narrow"/>
                <w:b/>
                <w:sz w:val="20"/>
                <w:lang w:val="en-US"/>
              </w:rPr>
              <w:t>Outcome</w:t>
            </w:r>
          </w:p>
        </w:tc>
      </w:tr>
      <w:tr w:rsidR="00CF758C" w:rsidRPr="00E2771E" w:rsidTr="005134E4">
        <w:tc>
          <w:tcPr>
            <w:tcW w:w="534" w:type="pct"/>
            <w:vAlign w:val="center"/>
          </w:tcPr>
          <w:p w:rsidR="00CF758C" w:rsidRDefault="00CF758C" w:rsidP="005134E4">
            <w:pPr>
              <w:jc w:val="left"/>
              <w:rPr>
                <w:rFonts w:ascii="Arial Narrow" w:hAnsi="Arial Narrow"/>
                <w:sz w:val="20"/>
                <w:lang w:val="en-US"/>
              </w:rPr>
            </w:pPr>
            <w:r>
              <w:rPr>
                <w:rFonts w:ascii="Arial Narrow" w:hAnsi="Arial Narrow"/>
                <w:sz w:val="20"/>
                <w:lang w:val="en-US"/>
              </w:rPr>
              <w:t>RAVE</w:t>
            </w:r>
          </w:p>
        </w:tc>
        <w:tc>
          <w:tcPr>
            <w:tcW w:w="390" w:type="pct"/>
            <w:shd w:val="clear" w:color="auto" w:fill="auto"/>
            <w:vAlign w:val="center"/>
          </w:tcPr>
          <w:p w:rsidR="00CF758C" w:rsidRPr="00E2771E" w:rsidRDefault="00CF758C" w:rsidP="005134E4">
            <w:pPr>
              <w:jc w:val="center"/>
              <w:rPr>
                <w:rFonts w:ascii="Arial Narrow" w:hAnsi="Arial Narrow"/>
                <w:sz w:val="20"/>
                <w:lang w:val="en-US"/>
              </w:rPr>
            </w:pPr>
            <w:r>
              <w:rPr>
                <w:rFonts w:ascii="Arial Narrow" w:hAnsi="Arial Narrow"/>
                <w:sz w:val="20"/>
                <w:lang w:val="en-US"/>
              </w:rPr>
              <w:t>197</w:t>
            </w:r>
          </w:p>
        </w:tc>
        <w:tc>
          <w:tcPr>
            <w:tcW w:w="1132" w:type="pct"/>
            <w:shd w:val="clear" w:color="auto" w:fill="auto"/>
            <w:vAlign w:val="center"/>
          </w:tcPr>
          <w:p w:rsidR="00CF758C" w:rsidRPr="00E2771E" w:rsidRDefault="00CF758C" w:rsidP="005134E4">
            <w:pPr>
              <w:jc w:val="center"/>
              <w:rPr>
                <w:rFonts w:ascii="Arial Narrow" w:hAnsi="Arial Narrow"/>
                <w:sz w:val="20"/>
                <w:lang w:val="en-US"/>
              </w:rPr>
            </w:pPr>
            <w:r w:rsidRPr="00E2771E">
              <w:rPr>
                <w:rFonts w:ascii="Arial Narrow" w:hAnsi="Arial Narrow"/>
                <w:sz w:val="20"/>
                <w:lang w:val="en-US"/>
              </w:rPr>
              <w:t>R, DB</w:t>
            </w:r>
            <w:r>
              <w:rPr>
                <w:rFonts w:ascii="Arial Narrow" w:hAnsi="Arial Narrow"/>
                <w:sz w:val="20"/>
                <w:lang w:val="en-US"/>
              </w:rPr>
              <w:t>, MC trial comparing rituximab and CYC</w:t>
            </w:r>
          </w:p>
          <w:p w:rsidR="00CF758C" w:rsidRDefault="00CF758C" w:rsidP="005134E4">
            <w:pPr>
              <w:jc w:val="center"/>
              <w:rPr>
                <w:rFonts w:ascii="Arial Narrow" w:hAnsi="Arial Narrow"/>
                <w:sz w:val="20"/>
                <w:lang w:val="en-US"/>
              </w:rPr>
            </w:pPr>
            <w:r>
              <w:rPr>
                <w:rFonts w:ascii="Arial Narrow" w:hAnsi="Arial Narrow"/>
                <w:sz w:val="20"/>
                <w:lang w:val="en-US"/>
              </w:rPr>
              <w:t>6 months</w:t>
            </w:r>
          </w:p>
          <w:p w:rsidR="00CF758C" w:rsidRPr="00E2771E" w:rsidRDefault="00CF758C" w:rsidP="005134E4">
            <w:pPr>
              <w:jc w:val="center"/>
              <w:rPr>
                <w:rFonts w:ascii="Arial Narrow" w:hAnsi="Arial Narrow"/>
                <w:sz w:val="20"/>
                <w:lang w:val="en-US"/>
              </w:rPr>
            </w:pPr>
          </w:p>
        </w:tc>
        <w:tc>
          <w:tcPr>
            <w:tcW w:w="562" w:type="pct"/>
            <w:shd w:val="clear" w:color="auto" w:fill="auto"/>
            <w:vAlign w:val="center"/>
          </w:tcPr>
          <w:p w:rsidR="00CF758C" w:rsidRPr="00E2771E" w:rsidRDefault="00CF758C" w:rsidP="005134E4">
            <w:pPr>
              <w:jc w:val="center"/>
              <w:rPr>
                <w:rFonts w:ascii="Arial Narrow" w:hAnsi="Arial Narrow"/>
                <w:sz w:val="20"/>
                <w:lang w:val="en-US"/>
              </w:rPr>
            </w:pPr>
            <w:r w:rsidRPr="00E2771E">
              <w:rPr>
                <w:rFonts w:ascii="Arial Narrow" w:hAnsi="Arial Narrow"/>
                <w:sz w:val="20"/>
                <w:lang w:val="en-US"/>
              </w:rPr>
              <w:t>Low</w:t>
            </w:r>
          </w:p>
        </w:tc>
        <w:tc>
          <w:tcPr>
            <w:tcW w:w="1212" w:type="pct"/>
            <w:shd w:val="clear" w:color="auto" w:fill="auto"/>
            <w:vAlign w:val="center"/>
          </w:tcPr>
          <w:p w:rsidR="00CF758C" w:rsidRPr="00E2771E" w:rsidRDefault="00CF758C" w:rsidP="005134E4">
            <w:pPr>
              <w:jc w:val="center"/>
              <w:rPr>
                <w:rFonts w:ascii="Arial Narrow" w:hAnsi="Arial Narrow"/>
                <w:sz w:val="20"/>
                <w:lang w:val="en-US"/>
              </w:rPr>
            </w:pPr>
            <w:r>
              <w:rPr>
                <w:rFonts w:ascii="Arial Narrow" w:hAnsi="Arial Narrow"/>
                <w:sz w:val="20"/>
                <w:lang w:val="en-US"/>
              </w:rPr>
              <w:t>Patients with severe active GPA or MPA; either newly diagnosed or with  relapsing disease at baseline</w:t>
            </w:r>
          </w:p>
        </w:tc>
        <w:tc>
          <w:tcPr>
            <w:tcW w:w="1170" w:type="pct"/>
            <w:shd w:val="clear" w:color="auto" w:fill="auto"/>
            <w:vAlign w:val="center"/>
          </w:tcPr>
          <w:p w:rsidR="00CF758C" w:rsidRPr="00E2771E" w:rsidRDefault="00CF758C" w:rsidP="005134E4">
            <w:pPr>
              <w:jc w:val="center"/>
              <w:rPr>
                <w:rFonts w:ascii="Arial Narrow" w:hAnsi="Arial Narrow"/>
                <w:sz w:val="20"/>
                <w:lang w:val="en-US"/>
              </w:rPr>
            </w:pPr>
            <w:r>
              <w:rPr>
                <w:rFonts w:ascii="Arial Narrow" w:hAnsi="Arial Narrow"/>
                <w:sz w:val="20"/>
                <w:lang w:val="en-US"/>
              </w:rPr>
              <w:t>Complete remission at 6 months</w:t>
            </w:r>
          </w:p>
        </w:tc>
      </w:tr>
      <w:tr w:rsidR="00CF758C" w:rsidRPr="00E2771E" w:rsidTr="005134E4">
        <w:tc>
          <w:tcPr>
            <w:tcW w:w="534" w:type="pct"/>
            <w:vAlign w:val="center"/>
          </w:tcPr>
          <w:p w:rsidR="00CF758C" w:rsidRPr="000538F3" w:rsidRDefault="00CF758C" w:rsidP="005134E4">
            <w:pPr>
              <w:jc w:val="left"/>
              <w:rPr>
                <w:rFonts w:ascii="Arial Narrow" w:hAnsi="Arial Narrow"/>
                <w:sz w:val="20"/>
                <w:lang w:val="en-US"/>
              </w:rPr>
            </w:pPr>
            <w:r w:rsidRPr="000538F3">
              <w:rPr>
                <w:rFonts w:ascii="Arial Narrow" w:hAnsi="Arial Narrow"/>
                <w:sz w:val="20"/>
                <w:lang w:val="en-US"/>
              </w:rPr>
              <w:t>Salvage therapy comparison</w:t>
            </w:r>
          </w:p>
        </w:tc>
        <w:tc>
          <w:tcPr>
            <w:tcW w:w="390" w:type="pct"/>
            <w:shd w:val="clear" w:color="auto" w:fill="auto"/>
            <w:vAlign w:val="center"/>
          </w:tcPr>
          <w:p w:rsidR="00CF758C" w:rsidRPr="000538F3" w:rsidRDefault="00CF758C" w:rsidP="005134E4">
            <w:pPr>
              <w:jc w:val="center"/>
              <w:rPr>
                <w:rFonts w:ascii="Arial Narrow" w:hAnsi="Arial Narrow"/>
                <w:sz w:val="20"/>
                <w:lang w:val="en-US"/>
              </w:rPr>
            </w:pPr>
            <w:r w:rsidRPr="000538F3">
              <w:rPr>
                <w:rFonts w:ascii="Arial Narrow" w:hAnsi="Arial Narrow"/>
                <w:sz w:val="20"/>
                <w:lang w:val="en-US"/>
              </w:rPr>
              <w:t>35 studies</w:t>
            </w:r>
          </w:p>
          <w:p w:rsidR="00CF758C" w:rsidRPr="000538F3" w:rsidRDefault="00CF758C" w:rsidP="005134E4">
            <w:pPr>
              <w:jc w:val="center"/>
              <w:rPr>
                <w:rFonts w:ascii="Arial Narrow" w:hAnsi="Arial Narrow"/>
                <w:sz w:val="20"/>
                <w:lang w:val="en-US"/>
              </w:rPr>
            </w:pPr>
            <w:r w:rsidRPr="000538F3">
              <w:rPr>
                <w:rFonts w:ascii="Arial Narrow" w:hAnsi="Arial Narrow"/>
                <w:sz w:val="20"/>
                <w:lang w:val="en-US"/>
              </w:rPr>
              <w:t>864 patients</w:t>
            </w:r>
          </w:p>
        </w:tc>
        <w:tc>
          <w:tcPr>
            <w:tcW w:w="1132" w:type="pct"/>
            <w:shd w:val="clear" w:color="auto" w:fill="auto"/>
            <w:vAlign w:val="center"/>
          </w:tcPr>
          <w:p w:rsidR="00CF758C" w:rsidRPr="000538F3" w:rsidRDefault="00177F30" w:rsidP="00820063">
            <w:pPr>
              <w:jc w:val="center"/>
              <w:rPr>
                <w:rFonts w:ascii="Arial Narrow" w:hAnsi="Arial Narrow"/>
                <w:sz w:val="20"/>
                <w:lang w:val="en-US"/>
              </w:rPr>
            </w:pPr>
            <w:r>
              <w:rPr>
                <w:rFonts w:ascii="Arial Narrow" w:hAnsi="Arial Narrow"/>
                <w:sz w:val="20"/>
                <w:lang w:val="en-US"/>
              </w:rPr>
              <w:t xml:space="preserve">Variety of designs, including RR, CS, SA, OL with one DB trial; durations varied from </w:t>
            </w:r>
            <w:r w:rsidR="00820063">
              <w:rPr>
                <w:rFonts w:ascii="Arial Narrow" w:hAnsi="Arial Narrow"/>
                <w:sz w:val="20"/>
                <w:lang w:val="en-US"/>
              </w:rPr>
              <w:t>6 months to 5 years</w:t>
            </w:r>
          </w:p>
        </w:tc>
        <w:tc>
          <w:tcPr>
            <w:tcW w:w="562" w:type="pct"/>
            <w:shd w:val="clear" w:color="auto" w:fill="auto"/>
            <w:vAlign w:val="center"/>
          </w:tcPr>
          <w:p w:rsidR="00CF758C" w:rsidRPr="000538F3" w:rsidRDefault="00CF758C" w:rsidP="005134E4">
            <w:pPr>
              <w:jc w:val="center"/>
              <w:rPr>
                <w:rFonts w:ascii="Arial Narrow" w:hAnsi="Arial Narrow"/>
                <w:sz w:val="20"/>
                <w:lang w:val="en-US"/>
              </w:rPr>
            </w:pPr>
            <w:r w:rsidRPr="000538F3">
              <w:rPr>
                <w:rFonts w:ascii="Arial Narrow" w:hAnsi="Arial Narrow"/>
                <w:sz w:val="20"/>
                <w:lang w:val="en-US"/>
              </w:rPr>
              <w:t>High</w:t>
            </w:r>
          </w:p>
        </w:tc>
        <w:tc>
          <w:tcPr>
            <w:tcW w:w="1212" w:type="pct"/>
            <w:shd w:val="clear" w:color="auto" w:fill="auto"/>
            <w:vAlign w:val="center"/>
          </w:tcPr>
          <w:p w:rsidR="00CF758C" w:rsidRPr="000538F3" w:rsidRDefault="00CF758C" w:rsidP="005134E4">
            <w:pPr>
              <w:jc w:val="center"/>
              <w:rPr>
                <w:rFonts w:ascii="Arial Narrow" w:hAnsi="Arial Narrow"/>
                <w:sz w:val="20"/>
                <w:lang w:val="en-US"/>
              </w:rPr>
            </w:pPr>
            <w:r w:rsidRPr="000538F3">
              <w:rPr>
                <w:rFonts w:ascii="Arial Narrow" w:hAnsi="Arial Narrow"/>
                <w:sz w:val="20"/>
                <w:lang w:val="en-US"/>
              </w:rPr>
              <w:t>Severe active GPA/MPA refractory (or intolerant) to CYC, or in some cases new onset disease where CYC was contraindicated.</w:t>
            </w:r>
          </w:p>
        </w:tc>
        <w:tc>
          <w:tcPr>
            <w:tcW w:w="1170" w:type="pct"/>
            <w:shd w:val="clear" w:color="auto" w:fill="auto"/>
            <w:vAlign w:val="center"/>
          </w:tcPr>
          <w:p w:rsidR="00CF758C" w:rsidRPr="000538F3" w:rsidRDefault="00CF758C" w:rsidP="005134E4">
            <w:pPr>
              <w:jc w:val="center"/>
              <w:rPr>
                <w:rFonts w:ascii="Arial Narrow" w:hAnsi="Arial Narrow"/>
                <w:sz w:val="20"/>
                <w:lang w:val="en-US"/>
              </w:rPr>
            </w:pPr>
            <w:r w:rsidRPr="000538F3">
              <w:rPr>
                <w:rFonts w:ascii="Arial Narrow" w:hAnsi="Arial Narrow"/>
                <w:sz w:val="20"/>
                <w:lang w:val="en-US"/>
              </w:rPr>
              <w:t>Varied: complete and partial remission, and relapse rates</w:t>
            </w:r>
          </w:p>
        </w:tc>
      </w:tr>
    </w:tbl>
    <w:p w:rsidR="00CF758C" w:rsidRDefault="00CF758C" w:rsidP="00CF758C">
      <w:pPr>
        <w:pStyle w:val="TableFooter"/>
        <w:ind w:left="720"/>
      </w:pPr>
      <w:r>
        <w:t>Source: Compiled during the evaluation</w:t>
      </w:r>
    </w:p>
    <w:p w:rsidR="00CF758C" w:rsidRPr="0072416F" w:rsidRDefault="00CF758C" w:rsidP="00CF758C">
      <w:pPr>
        <w:pStyle w:val="TableFooter"/>
        <w:ind w:left="720"/>
      </w:pPr>
      <w:r>
        <w:t xml:space="preserve">Abbreviations: </w:t>
      </w:r>
      <w:r w:rsidR="00177F30">
        <w:t xml:space="preserve">CS=case series; </w:t>
      </w:r>
      <w:r>
        <w:t xml:space="preserve">CYC=cyclophosphamide; </w:t>
      </w:r>
      <w:r w:rsidR="00177F30" w:rsidRPr="0072416F">
        <w:t>DB=double blind;</w:t>
      </w:r>
      <w:r w:rsidR="00177F30">
        <w:t xml:space="preserve"> </w:t>
      </w:r>
      <w:r>
        <w:t>GPA=granulomatosis polyangiitis MPA=microscopic polyangiitis</w:t>
      </w:r>
      <w:r w:rsidR="00177F30">
        <w:t xml:space="preserve">; </w:t>
      </w:r>
      <w:r w:rsidR="00177F30" w:rsidRPr="0072416F">
        <w:t xml:space="preserve">MC=multi-centre; </w:t>
      </w:r>
      <w:r w:rsidR="00177F30">
        <w:t>OL=open label; R=randomised; RR=retrospective review; SA=single arm</w:t>
      </w:r>
    </w:p>
    <w:p w:rsidR="00CF758C" w:rsidRDefault="00CF758C" w:rsidP="00CF758C"/>
    <w:p w:rsidR="00CF758C" w:rsidRPr="0095541F" w:rsidRDefault="00CF758C" w:rsidP="005C2DD7">
      <w:pPr>
        <w:pStyle w:val="Heading2"/>
      </w:pPr>
      <w:bookmarkStart w:id="10" w:name="_Toc392858195"/>
      <w:bookmarkStart w:id="11" w:name="_Toc409509651"/>
      <w:r w:rsidRPr="0095541F">
        <w:t>Comparative effectiveness</w:t>
      </w:r>
      <w:bookmarkEnd w:id="10"/>
      <w:bookmarkEnd w:id="11"/>
    </w:p>
    <w:p w:rsidR="00CF758C" w:rsidRPr="00882085" w:rsidRDefault="00CF758C" w:rsidP="00CF758C">
      <w:pPr>
        <w:rPr>
          <w:szCs w:val="22"/>
        </w:rPr>
      </w:pPr>
    </w:p>
    <w:p w:rsidR="00CF758C" w:rsidRPr="00713F50" w:rsidRDefault="00CF758C" w:rsidP="00DD3A69">
      <w:pPr>
        <w:pStyle w:val="ListParagraph"/>
        <w:widowControl/>
        <w:numPr>
          <w:ilvl w:val="1"/>
          <w:numId w:val="2"/>
        </w:numPr>
        <w:rPr>
          <w:i/>
          <w:color w:val="000000" w:themeColor="text1"/>
          <w:szCs w:val="22"/>
        </w:rPr>
      </w:pPr>
      <w:r w:rsidRPr="004B34A0">
        <w:rPr>
          <w:color w:val="000000" w:themeColor="text1"/>
          <w:szCs w:val="22"/>
        </w:rPr>
        <w:t xml:space="preserve">Results from the RAVE trial are presented in </w:t>
      </w:r>
      <w:r w:rsidR="00C52096">
        <w:rPr>
          <w:color w:val="000000" w:themeColor="text1"/>
          <w:szCs w:val="22"/>
        </w:rPr>
        <w:t>the table below</w:t>
      </w:r>
      <w:r w:rsidRPr="004B34A0">
        <w:rPr>
          <w:color w:val="000000" w:themeColor="text1"/>
          <w:szCs w:val="22"/>
        </w:rPr>
        <w:t>.</w:t>
      </w:r>
      <w:r>
        <w:rPr>
          <w:i/>
          <w:color w:val="000000" w:themeColor="text1"/>
          <w:szCs w:val="22"/>
        </w:rPr>
        <w:t xml:space="preserve">  </w:t>
      </w:r>
      <w:r w:rsidRPr="007815A6">
        <w:rPr>
          <w:color w:val="000000" w:themeColor="text1"/>
          <w:szCs w:val="22"/>
        </w:rPr>
        <w:t>The results demonstrated a similar rate of complete remission for patients treated with rituximab compared to CYC, supporting the clinical claim made in the submission that rituximab is non-inferior to CYC for patients relatively contraindicated to CYC.  A sub-group analysis also showed that more patients with relapsing disease at baseline achieved complete remission with rituximab (67% for rituximab versus 42% for CYC, p=0.01).</w:t>
      </w:r>
    </w:p>
    <w:p w:rsidR="00CF758C" w:rsidRDefault="00CF758C" w:rsidP="00CF758C">
      <w:pPr>
        <w:ind w:firstLine="720"/>
        <w:rPr>
          <w:rStyle w:val="CommentReference"/>
        </w:rPr>
      </w:pPr>
    </w:p>
    <w:p w:rsidR="00CF758C" w:rsidRDefault="00CF758C" w:rsidP="00FF50E8">
      <w:pPr>
        <w:keepNext/>
        <w:keepLines/>
        <w:ind w:firstLine="720"/>
        <w:rPr>
          <w:rStyle w:val="CommentReference"/>
        </w:rPr>
      </w:pPr>
      <w:r w:rsidRPr="001F7361">
        <w:rPr>
          <w:rStyle w:val="CommentReference"/>
        </w:rPr>
        <w:t xml:space="preserve">Results of the </w:t>
      </w:r>
      <w:r>
        <w:rPr>
          <w:rStyle w:val="CommentReference"/>
        </w:rPr>
        <w:t>RAVE trial</w:t>
      </w:r>
      <w:r w:rsidRPr="001F7361">
        <w:rPr>
          <w:rStyle w:val="CommentReference"/>
        </w:rPr>
        <w:t xml:space="preserve"> </w:t>
      </w:r>
    </w:p>
    <w:tbl>
      <w:tblPr>
        <w:tblW w:w="4687"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Comparative effectiveness"/>
      </w:tblPr>
      <w:tblGrid>
        <w:gridCol w:w="2005"/>
        <w:gridCol w:w="1716"/>
        <w:gridCol w:w="1841"/>
        <w:gridCol w:w="1984"/>
        <w:gridCol w:w="967"/>
      </w:tblGrid>
      <w:tr w:rsidR="00CF758C" w:rsidRPr="004E2ADC" w:rsidTr="005134E4">
        <w:tc>
          <w:tcPr>
            <w:tcW w:w="1177" w:type="pct"/>
            <w:vAlign w:val="center"/>
          </w:tcPr>
          <w:p w:rsidR="00CF758C" w:rsidRPr="002D453E" w:rsidRDefault="00CF758C" w:rsidP="00FF50E8">
            <w:pPr>
              <w:keepNext/>
              <w:keepLines/>
              <w:jc w:val="left"/>
              <w:rPr>
                <w:rFonts w:ascii="Arial Narrow" w:hAnsi="Arial Narrow"/>
                <w:sz w:val="20"/>
              </w:rPr>
            </w:pPr>
          </w:p>
        </w:tc>
        <w:tc>
          <w:tcPr>
            <w:tcW w:w="1008" w:type="pct"/>
            <w:vAlign w:val="center"/>
          </w:tcPr>
          <w:p w:rsidR="00CF758C" w:rsidRPr="004E2ADC" w:rsidRDefault="00CF758C" w:rsidP="00FF50E8">
            <w:pPr>
              <w:keepNext/>
              <w:keepLines/>
              <w:jc w:val="center"/>
              <w:rPr>
                <w:rFonts w:ascii="Arial Narrow" w:hAnsi="Arial Narrow"/>
                <w:b/>
                <w:sz w:val="20"/>
              </w:rPr>
            </w:pPr>
            <w:r>
              <w:rPr>
                <w:rFonts w:ascii="Arial Narrow" w:hAnsi="Arial Narrow"/>
                <w:b/>
                <w:sz w:val="20"/>
              </w:rPr>
              <w:t>Rituximab</w:t>
            </w:r>
          </w:p>
          <w:p w:rsidR="00CF758C" w:rsidRDefault="00CF758C" w:rsidP="00FF50E8">
            <w:pPr>
              <w:keepNext/>
              <w:keepLines/>
              <w:ind w:right="-108"/>
              <w:jc w:val="center"/>
              <w:rPr>
                <w:rFonts w:ascii="Arial Narrow" w:hAnsi="Arial Narrow"/>
                <w:b/>
                <w:sz w:val="20"/>
              </w:rPr>
            </w:pPr>
            <w:r>
              <w:rPr>
                <w:rFonts w:ascii="Arial Narrow" w:hAnsi="Arial Narrow"/>
                <w:b/>
                <w:sz w:val="20"/>
              </w:rPr>
              <w:t>(n=99)</w:t>
            </w:r>
          </w:p>
          <w:p w:rsidR="00CF758C" w:rsidRPr="004E2ADC" w:rsidRDefault="00CF758C" w:rsidP="00FF50E8">
            <w:pPr>
              <w:keepNext/>
              <w:keepLines/>
              <w:ind w:right="-108"/>
              <w:jc w:val="center"/>
              <w:rPr>
                <w:rFonts w:ascii="Arial Narrow" w:hAnsi="Arial Narrow"/>
                <w:sz w:val="20"/>
              </w:rPr>
            </w:pPr>
            <w:r w:rsidRPr="004E2ADC">
              <w:rPr>
                <w:rFonts w:ascii="Arial Narrow" w:hAnsi="Arial Narrow"/>
                <w:b/>
                <w:sz w:val="20"/>
              </w:rPr>
              <w:t xml:space="preserve">n with event/N (%) </w:t>
            </w:r>
          </w:p>
        </w:tc>
        <w:tc>
          <w:tcPr>
            <w:tcW w:w="1081" w:type="pct"/>
            <w:vAlign w:val="center"/>
          </w:tcPr>
          <w:p w:rsidR="00CF758C" w:rsidRPr="004E2ADC" w:rsidRDefault="00CF758C" w:rsidP="00FF50E8">
            <w:pPr>
              <w:keepNext/>
              <w:keepLines/>
              <w:jc w:val="center"/>
              <w:rPr>
                <w:rFonts w:ascii="Arial Narrow" w:hAnsi="Arial Narrow"/>
                <w:b/>
                <w:sz w:val="20"/>
              </w:rPr>
            </w:pPr>
            <w:r>
              <w:rPr>
                <w:rFonts w:ascii="Arial Narrow" w:hAnsi="Arial Narrow"/>
                <w:b/>
                <w:sz w:val="20"/>
              </w:rPr>
              <w:t>Cyclophosphamide</w:t>
            </w:r>
          </w:p>
          <w:p w:rsidR="00CF758C" w:rsidRDefault="00CF758C" w:rsidP="00FF50E8">
            <w:pPr>
              <w:keepNext/>
              <w:keepLines/>
              <w:jc w:val="center"/>
              <w:rPr>
                <w:rFonts w:ascii="Arial Narrow" w:hAnsi="Arial Narrow"/>
                <w:b/>
                <w:sz w:val="20"/>
              </w:rPr>
            </w:pPr>
            <w:r>
              <w:rPr>
                <w:rFonts w:ascii="Arial Narrow" w:hAnsi="Arial Narrow"/>
                <w:b/>
                <w:sz w:val="20"/>
              </w:rPr>
              <w:t>(n=98)</w:t>
            </w:r>
          </w:p>
          <w:p w:rsidR="00CF758C" w:rsidRPr="004E2ADC" w:rsidRDefault="00CF758C" w:rsidP="00FF50E8">
            <w:pPr>
              <w:keepNext/>
              <w:keepLines/>
              <w:jc w:val="center"/>
              <w:rPr>
                <w:rFonts w:ascii="Arial Narrow" w:hAnsi="Arial Narrow"/>
                <w:sz w:val="20"/>
              </w:rPr>
            </w:pPr>
            <w:r>
              <w:rPr>
                <w:rFonts w:ascii="Arial Narrow" w:hAnsi="Arial Narrow"/>
                <w:b/>
                <w:sz w:val="20"/>
              </w:rPr>
              <w:t xml:space="preserve">n with event/N (%) </w:t>
            </w:r>
          </w:p>
        </w:tc>
        <w:tc>
          <w:tcPr>
            <w:tcW w:w="1165" w:type="pct"/>
            <w:vAlign w:val="center"/>
          </w:tcPr>
          <w:p w:rsidR="00CF758C" w:rsidRPr="004E2ADC" w:rsidRDefault="00CF758C" w:rsidP="00FF50E8">
            <w:pPr>
              <w:keepNext/>
              <w:keepLines/>
              <w:jc w:val="center"/>
              <w:rPr>
                <w:rFonts w:ascii="Arial Narrow" w:hAnsi="Arial Narrow"/>
                <w:b/>
                <w:sz w:val="20"/>
              </w:rPr>
            </w:pPr>
            <w:r w:rsidRPr="004E2ADC">
              <w:rPr>
                <w:rFonts w:ascii="Arial Narrow" w:hAnsi="Arial Narrow"/>
                <w:b/>
                <w:sz w:val="20"/>
              </w:rPr>
              <w:t xml:space="preserve">Absolute difference </w:t>
            </w:r>
          </w:p>
          <w:p w:rsidR="00CF758C" w:rsidRPr="004E2ADC" w:rsidRDefault="00CF758C" w:rsidP="00FF50E8">
            <w:pPr>
              <w:keepNext/>
              <w:keepLines/>
              <w:jc w:val="center"/>
              <w:rPr>
                <w:rFonts w:ascii="Arial Narrow" w:hAnsi="Arial Narrow"/>
                <w:b/>
                <w:sz w:val="20"/>
              </w:rPr>
            </w:pPr>
            <w:r w:rsidRPr="004E2ADC">
              <w:rPr>
                <w:rFonts w:ascii="Arial Narrow" w:hAnsi="Arial Narrow"/>
                <w:b/>
                <w:sz w:val="20"/>
              </w:rPr>
              <w:t>(95% CI)</w:t>
            </w:r>
          </w:p>
        </w:tc>
        <w:tc>
          <w:tcPr>
            <w:tcW w:w="568" w:type="pct"/>
            <w:vAlign w:val="center"/>
          </w:tcPr>
          <w:p w:rsidR="00CF758C" w:rsidRPr="004E2ADC" w:rsidRDefault="00CF758C" w:rsidP="00FF50E8">
            <w:pPr>
              <w:keepNext/>
              <w:keepLines/>
              <w:jc w:val="center"/>
              <w:rPr>
                <w:rFonts w:ascii="Arial Narrow" w:hAnsi="Arial Narrow"/>
                <w:sz w:val="20"/>
              </w:rPr>
            </w:pPr>
            <w:r>
              <w:rPr>
                <w:rFonts w:ascii="Arial Narrow" w:hAnsi="Arial Narrow"/>
                <w:b/>
                <w:sz w:val="20"/>
              </w:rPr>
              <w:t>p-value</w:t>
            </w:r>
          </w:p>
        </w:tc>
      </w:tr>
      <w:tr w:rsidR="00CF758C" w:rsidRPr="004E2ADC" w:rsidTr="005134E4">
        <w:tc>
          <w:tcPr>
            <w:tcW w:w="1177" w:type="pct"/>
            <w:vAlign w:val="center"/>
          </w:tcPr>
          <w:p w:rsidR="00CF758C" w:rsidRPr="004E2ADC" w:rsidRDefault="00CF758C" w:rsidP="00FF50E8">
            <w:pPr>
              <w:keepNext/>
              <w:keepLines/>
              <w:jc w:val="left"/>
              <w:rPr>
                <w:rFonts w:ascii="Arial Narrow" w:hAnsi="Arial Narrow"/>
                <w:sz w:val="20"/>
              </w:rPr>
            </w:pPr>
            <w:r>
              <w:rPr>
                <w:rFonts w:ascii="Arial Narrow" w:hAnsi="Arial Narrow"/>
                <w:sz w:val="20"/>
              </w:rPr>
              <w:t>Complete remission at 6 months - ITT without worse case imputation*</w:t>
            </w:r>
          </w:p>
        </w:tc>
        <w:tc>
          <w:tcPr>
            <w:tcW w:w="1008" w:type="pct"/>
            <w:vAlign w:val="center"/>
          </w:tcPr>
          <w:p w:rsidR="00CF758C" w:rsidRPr="004E2ADC" w:rsidRDefault="00CF758C" w:rsidP="00FF50E8">
            <w:pPr>
              <w:keepNext/>
              <w:keepLines/>
              <w:jc w:val="center"/>
              <w:rPr>
                <w:rFonts w:ascii="Arial Narrow" w:hAnsi="Arial Narrow"/>
                <w:sz w:val="20"/>
              </w:rPr>
            </w:pPr>
            <w:r>
              <w:rPr>
                <w:rFonts w:ascii="Arial Narrow" w:hAnsi="Arial Narrow"/>
                <w:sz w:val="20"/>
              </w:rPr>
              <w:t>63 (64.3%)</w:t>
            </w:r>
          </w:p>
        </w:tc>
        <w:tc>
          <w:tcPr>
            <w:tcW w:w="1081" w:type="pct"/>
            <w:vAlign w:val="center"/>
          </w:tcPr>
          <w:p w:rsidR="00CF758C" w:rsidRPr="004E2ADC" w:rsidRDefault="00CF758C" w:rsidP="00FF50E8">
            <w:pPr>
              <w:keepNext/>
              <w:keepLines/>
              <w:jc w:val="center"/>
              <w:rPr>
                <w:rFonts w:ascii="Arial Narrow" w:hAnsi="Arial Narrow"/>
                <w:sz w:val="20"/>
              </w:rPr>
            </w:pPr>
            <w:r>
              <w:rPr>
                <w:rFonts w:ascii="Arial Narrow" w:hAnsi="Arial Narrow"/>
                <w:sz w:val="20"/>
              </w:rPr>
              <w:t>52 (54.7%)</w:t>
            </w:r>
          </w:p>
        </w:tc>
        <w:tc>
          <w:tcPr>
            <w:tcW w:w="1165" w:type="pct"/>
            <w:vAlign w:val="center"/>
          </w:tcPr>
          <w:p w:rsidR="00CF758C" w:rsidRPr="004E2ADC" w:rsidRDefault="00CF758C" w:rsidP="00FF50E8">
            <w:pPr>
              <w:keepNext/>
              <w:keepLines/>
              <w:jc w:val="center"/>
              <w:rPr>
                <w:rFonts w:ascii="Arial Narrow" w:hAnsi="Arial Narrow"/>
                <w:sz w:val="20"/>
              </w:rPr>
            </w:pPr>
            <w:r>
              <w:rPr>
                <w:rFonts w:ascii="Arial Narrow" w:hAnsi="Arial Narrow"/>
                <w:sz w:val="20"/>
              </w:rPr>
              <w:t>9.5% (-4.3% to 23.4%)</w:t>
            </w:r>
          </w:p>
        </w:tc>
        <w:tc>
          <w:tcPr>
            <w:tcW w:w="568" w:type="pct"/>
            <w:vAlign w:val="center"/>
          </w:tcPr>
          <w:p w:rsidR="00CF758C" w:rsidRDefault="00CF758C" w:rsidP="00FF50E8">
            <w:pPr>
              <w:keepNext/>
              <w:keepLines/>
              <w:jc w:val="center"/>
              <w:rPr>
                <w:rFonts w:ascii="Arial Narrow" w:hAnsi="Arial Narrow"/>
                <w:sz w:val="20"/>
              </w:rPr>
            </w:pPr>
            <w:r>
              <w:rPr>
                <w:rFonts w:ascii="Arial Narrow" w:hAnsi="Arial Narrow"/>
                <w:sz w:val="20"/>
              </w:rPr>
              <w:t>0.18</w:t>
            </w:r>
          </w:p>
          <w:p w:rsidR="00CF758C" w:rsidRPr="004E2ADC" w:rsidRDefault="00CF758C" w:rsidP="00FF50E8">
            <w:pPr>
              <w:keepNext/>
              <w:keepLines/>
              <w:jc w:val="center"/>
              <w:rPr>
                <w:rFonts w:ascii="Arial Narrow" w:hAnsi="Arial Narrow"/>
                <w:sz w:val="20"/>
              </w:rPr>
            </w:pPr>
          </w:p>
        </w:tc>
      </w:tr>
      <w:tr w:rsidR="00CF758C" w:rsidRPr="004E2ADC" w:rsidTr="005134E4">
        <w:tc>
          <w:tcPr>
            <w:tcW w:w="1177" w:type="pct"/>
            <w:vAlign w:val="center"/>
          </w:tcPr>
          <w:p w:rsidR="00CF758C" w:rsidRDefault="00CF758C" w:rsidP="00FF50E8">
            <w:pPr>
              <w:keepNext/>
              <w:keepLines/>
              <w:jc w:val="left"/>
              <w:rPr>
                <w:rFonts w:ascii="Arial Narrow" w:hAnsi="Arial Narrow"/>
                <w:sz w:val="20"/>
              </w:rPr>
            </w:pPr>
            <w:r>
              <w:rPr>
                <w:rFonts w:ascii="Arial Narrow" w:hAnsi="Arial Narrow"/>
                <w:sz w:val="20"/>
              </w:rPr>
              <w:t>Complete remission at 6 months – ITT with worse case imputation</w:t>
            </w:r>
          </w:p>
        </w:tc>
        <w:tc>
          <w:tcPr>
            <w:tcW w:w="1008" w:type="pct"/>
            <w:vAlign w:val="center"/>
          </w:tcPr>
          <w:p w:rsidR="00CF758C" w:rsidRDefault="00CF758C" w:rsidP="00FF50E8">
            <w:pPr>
              <w:keepNext/>
              <w:keepLines/>
              <w:jc w:val="center"/>
              <w:rPr>
                <w:rFonts w:ascii="Arial Narrow" w:hAnsi="Arial Narrow"/>
                <w:sz w:val="20"/>
              </w:rPr>
            </w:pPr>
            <w:r>
              <w:rPr>
                <w:rFonts w:ascii="Arial Narrow" w:hAnsi="Arial Narrow"/>
                <w:sz w:val="20"/>
              </w:rPr>
              <w:t>63 (63.6%)</w:t>
            </w:r>
          </w:p>
        </w:tc>
        <w:tc>
          <w:tcPr>
            <w:tcW w:w="1081" w:type="pct"/>
            <w:vAlign w:val="center"/>
          </w:tcPr>
          <w:p w:rsidR="00CF758C" w:rsidRDefault="00CF758C" w:rsidP="00FF50E8">
            <w:pPr>
              <w:keepNext/>
              <w:keepLines/>
              <w:jc w:val="center"/>
              <w:rPr>
                <w:rFonts w:ascii="Arial Narrow" w:hAnsi="Arial Narrow"/>
                <w:sz w:val="20"/>
              </w:rPr>
            </w:pPr>
            <w:r>
              <w:rPr>
                <w:rFonts w:ascii="Arial Narrow" w:hAnsi="Arial Narrow"/>
                <w:sz w:val="20"/>
              </w:rPr>
              <w:t>52 (53.1%)</w:t>
            </w:r>
          </w:p>
        </w:tc>
        <w:tc>
          <w:tcPr>
            <w:tcW w:w="1165" w:type="pct"/>
            <w:vAlign w:val="center"/>
          </w:tcPr>
          <w:p w:rsidR="00CF758C" w:rsidRDefault="00CF758C" w:rsidP="00FF50E8">
            <w:pPr>
              <w:keepNext/>
              <w:keepLines/>
              <w:jc w:val="center"/>
              <w:rPr>
                <w:rFonts w:ascii="Arial Narrow" w:hAnsi="Arial Narrow"/>
                <w:sz w:val="20"/>
              </w:rPr>
            </w:pPr>
            <w:r>
              <w:rPr>
                <w:rFonts w:ascii="Arial Narrow" w:hAnsi="Arial Narrow"/>
                <w:sz w:val="20"/>
              </w:rPr>
              <w:t>10.6% (-3.2% to 24.3%)</w:t>
            </w:r>
          </w:p>
        </w:tc>
        <w:tc>
          <w:tcPr>
            <w:tcW w:w="568" w:type="pct"/>
            <w:vAlign w:val="center"/>
          </w:tcPr>
          <w:p w:rsidR="00CF758C" w:rsidRDefault="00CF758C" w:rsidP="00FF50E8">
            <w:pPr>
              <w:keepNext/>
              <w:keepLines/>
              <w:jc w:val="center"/>
              <w:rPr>
                <w:rFonts w:ascii="Arial Narrow" w:hAnsi="Arial Narrow"/>
                <w:sz w:val="20"/>
              </w:rPr>
            </w:pPr>
            <w:r>
              <w:rPr>
                <w:rFonts w:ascii="Arial Narrow" w:hAnsi="Arial Narrow"/>
                <w:sz w:val="20"/>
              </w:rPr>
              <w:t>0.13</w:t>
            </w:r>
          </w:p>
        </w:tc>
      </w:tr>
      <w:tr w:rsidR="00CF758C" w:rsidRPr="004E2ADC" w:rsidTr="005134E4">
        <w:trPr>
          <w:trHeight w:val="987"/>
        </w:trPr>
        <w:tc>
          <w:tcPr>
            <w:tcW w:w="1177" w:type="pct"/>
            <w:vAlign w:val="center"/>
          </w:tcPr>
          <w:p w:rsidR="00CF758C" w:rsidRDefault="00CF758C" w:rsidP="00FF50E8">
            <w:pPr>
              <w:keepNext/>
              <w:keepLines/>
              <w:ind w:right="-108"/>
              <w:jc w:val="left"/>
              <w:rPr>
                <w:rFonts w:ascii="Arial Narrow" w:hAnsi="Arial Narrow"/>
                <w:sz w:val="20"/>
              </w:rPr>
            </w:pPr>
            <w:r>
              <w:rPr>
                <w:rFonts w:ascii="Arial Narrow" w:hAnsi="Arial Narrow"/>
                <w:sz w:val="20"/>
              </w:rPr>
              <w:t>Complete remission at 6 months in patients with relapsing disease at baseline - ITT</w:t>
            </w:r>
          </w:p>
        </w:tc>
        <w:tc>
          <w:tcPr>
            <w:tcW w:w="1008" w:type="pct"/>
            <w:vAlign w:val="center"/>
          </w:tcPr>
          <w:p w:rsidR="00CF758C" w:rsidRDefault="00CF758C" w:rsidP="00FF50E8">
            <w:pPr>
              <w:keepNext/>
              <w:keepLines/>
              <w:jc w:val="center"/>
              <w:rPr>
                <w:rFonts w:ascii="Arial Narrow" w:hAnsi="Arial Narrow"/>
                <w:sz w:val="20"/>
              </w:rPr>
            </w:pPr>
            <w:r>
              <w:rPr>
                <w:rFonts w:ascii="Arial Narrow" w:hAnsi="Arial Narrow"/>
                <w:sz w:val="20"/>
              </w:rPr>
              <w:t>34/51 (67%)</w:t>
            </w:r>
          </w:p>
        </w:tc>
        <w:tc>
          <w:tcPr>
            <w:tcW w:w="1081" w:type="pct"/>
            <w:vAlign w:val="center"/>
          </w:tcPr>
          <w:p w:rsidR="00CF758C" w:rsidRDefault="00CF758C" w:rsidP="00FF50E8">
            <w:pPr>
              <w:keepNext/>
              <w:keepLines/>
              <w:jc w:val="center"/>
              <w:rPr>
                <w:rFonts w:ascii="Arial Narrow" w:hAnsi="Arial Narrow"/>
                <w:sz w:val="20"/>
              </w:rPr>
            </w:pPr>
            <w:r>
              <w:rPr>
                <w:rFonts w:ascii="Arial Narrow" w:hAnsi="Arial Narrow"/>
                <w:sz w:val="20"/>
              </w:rPr>
              <w:t>21/50 (42%)</w:t>
            </w:r>
          </w:p>
        </w:tc>
        <w:tc>
          <w:tcPr>
            <w:tcW w:w="1165" w:type="pct"/>
            <w:vAlign w:val="center"/>
          </w:tcPr>
          <w:p w:rsidR="00CF758C" w:rsidRDefault="00CF758C" w:rsidP="00FF50E8">
            <w:pPr>
              <w:keepNext/>
              <w:keepLines/>
              <w:jc w:val="center"/>
              <w:rPr>
                <w:rFonts w:ascii="Arial Narrow" w:hAnsi="Arial Narrow"/>
                <w:sz w:val="20"/>
              </w:rPr>
            </w:pPr>
            <w:r>
              <w:rPr>
                <w:rFonts w:ascii="Arial Narrow" w:hAnsi="Arial Narrow"/>
                <w:sz w:val="20"/>
              </w:rPr>
              <w:t>25% (5.8% to 44.2%)</w:t>
            </w:r>
          </w:p>
        </w:tc>
        <w:tc>
          <w:tcPr>
            <w:tcW w:w="568" w:type="pct"/>
            <w:vAlign w:val="center"/>
          </w:tcPr>
          <w:p w:rsidR="00CF758C" w:rsidRDefault="00CF758C" w:rsidP="00FF50E8">
            <w:pPr>
              <w:keepNext/>
              <w:keepLines/>
              <w:jc w:val="center"/>
              <w:rPr>
                <w:rFonts w:ascii="Arial Narrow" w:hAnsi="Arial Narrow"/>
                <w:sz w:val="20"/>
              </w:rPr>
            </w:pPr>
            <w:r>
              <w:rPr>
                <w:rFonts w:ascii="Arial Narrow" w:hAnsi="Arial Narrow"/>
                <w:sz w:val="20"/>
              </w:rPr>
              <w:t>0.01</w:t>
            </w:r>
          </w:p>
        </w:tc>
      </w:tr>
      <w:tr w:rsidR="00CF758C" w:rsidRPr="004E2ADC" w:rsidTr="005134E4">
        <w:tc>
          <w:tcPr>
            <w:tcW w:w="1177" w:type="pct"/>
            <w:vAlign w:val="center"/>
          </w:tcPr>
          <w:p w:rsidR="00CF758C" w:rsidRDefault="00CF758C" w:rsidP="00FF50E8">
            <w:pPr>
              <w:keepNext/>
              <w:keepLines/>
              <w:ind w:right="-108"/>
              <w:jc w:val="left"/>
              <w:rPr>
                <w:rFonts w:ascii="Arial Narrow" w:hAnsi="Arial Narrow"/>
                <w:sz w:val="20"/>
              </w:rPr>
            </w:pPr>
            <w:r>
              <w:rPr>
                <w:rFonts w:ascii="Arial Narrow" w:hAnsi="Arial Narrow"/>
                <w:sz w:val="20"/>
              </w:rPr>
              <w:t>Complete remission at 6 months in newly diagnosed patients - ITT</w:t>
            </w:r>
          </w:p>
        </w:tc>
        <w:tc>
          <w:tcPr>
            <w:tcW w:w="1008" w:type="pct"/>
            <w:vAlign w:val="center"/>
          </w:tcPr>
          <w:p w:rsidR="00CF758C" w:rsidRDefault="00CF758C" w:rsidP="00FF50E8">
            <w:pPr>
              <w:keepNext/>
              <w:keepLines/>
              <w:jc w:val="center"/>
              <w:rPr>
                <w:rFonts w:ascii="Arial Narrow" w:hAnsi="Arial Narrow"/>
                <w:sz w:val="20"/>
              </w:rPr>
            </w:pPr>
            <w:r>
              <w:rPr>
                <w:rFonts w:ascii="Arial Narrow" w:hAnsi="Arial Narrow"/>
                <w:sz w:val="20"/>
              </w:rPr>
              <w:t>29/48 (60.4%)</w:t>
            </w:r>
          </w:p>
        </w:tc>
        <w:tc>
          <w:tcPr>
            <w:tcW w:w="1081" w:type="pct"/>
            <w:vAlign w:val="center"/>
          </w:tcPr>
          <w:p w:rsidR="00CF758C" w:rsidRDefault="00CF758C" w:rsidP="00FF50E8">
            <w:pPr>
              <w:keepNext/>
              <w:keepLines/>
              <w:jc w:val="center"/>
              <w:rPr>
                <w:rFonts w:ascii="Arial Narrow" w:hAnsi="Arial Narrow"/>
                <w:sz w:val="20"/>
              </w:rPr>
            </w:pPr>
            <w:r>
              <w:rPr>
                <w:rFonts w:ascii="Arial Narrow" w:hAnsi="Arial Narrow"/>
                <w:sz w:val="20"/>
              </w:rPr>
              <w:t>31/48 (64.6%)</w:t>
            </w:r>
          </w:p>
        </w:tc>
        <w:tc>
          <w:tcPr>
            <w:tcW w:w="1165" w:type="pct"/>
            <w:vAlign w:val="center"/>
          </w:tcPr>
          <w:p w:rsidR="00CF758C" w:rsidRDefault="00CF758C" w:rsidP="00FF50E8">
            <w:pPr>
              <w:keepNext/>
              <w:keepLines/>
              <w:jc w:val="center"/>
              <w:rPr>
                <w:rFonts w:ascii="Arial Narrow" w:hAnsi="Arial Narrow"/>
                <w:sz w:val="20"/>
              </w:rPr>
            </w:pPr>
            <w:r>
              <w:rPr>
                <w:rFonts w:ascii="Arial Narrow" w:hAnsi="Arial Narrow"/>
                <w:sz w:val="20"/>
              </w:rPr>
              <w:t>-4.2% (-23.6% to 15.3%)</w:t>
            </w:r>
          </w:p>
        </w:tc>
        <w:tc>
          <w:tcPr>
            <w:tcW w:w="568" w:type="pct"/>
            <w:vAlign w:val="center"/>
          </w:tcPr>
          <w:p w:rsidR="00CF758C" w:rsidRDefault="00CF758C" w:rsidP="00FF50E8">
            <w:pPr>
              <w:keepNext/>
              <w:keepLines/>
              <w:jc w:val="center"/>
              <w:rPr>
                <w:rFonts w:ascii="Arial Narrow" w:hAnsi="Arial Narrow"/>
                <w:sz w:val="20"/>
              </w:rPr>
            </w:pPr>
            <w:r>
              <w:rPr>
                <w:rFonts w:ascii="Arial Narrow" w:hAnsi="Arial Narrow"/>
                <w:sz w:val="20"/>
              </w:rPr>
              <w:t>0.67</w:t>
            </w:r>
          </w:p>
        </w:tc>
      </w:tr>
    </w:tbl>
    <w:p w:rsidR="00CF758C" w:rsidRDefault="00CF758C" w:rsidP="00FF50E8">
      <w:pPr>
        <w:pStyle w:val="TableFooter"/>
        <w:keepNext/>
        <w:keepLines/>
        <w:ind w:left="720"/>
      </w:pPr>
      <w:r w:rsidRPr="00D13A3E">
        <w:t xml:space="preserve">Source: </w:t>
      </w:r>
      <w:r>
        <w:t xml:space="preserve">Table B.2.5, </w:t>
      </w:r>
      <w:r w:rsidRPr="00D13A3E">
        <w:t>Table</w:t>
      </w:r>
      <w:r>
        <w:t xml:space="preserve"> B.6.1, B.6.2, B.6.7, p12 and pp38-39 and p43 of Section B-DRT of the submission, CSR p146, p154, p174</w:t>
      </w:r>
    </w:p>
    <w:p w:rsidR="00CF758C" w:rsidRDefault="00CF758C" w:rsidP="00FF50E8">
      <w:pPr>
        <w:pStyle w:val="TableFooter"/>
        <w:keepNext/>
        <w:keepLines/>
        <w:ind w:left="720"/>
      </w:pPr>
      <w:r>
        <w:t xml:space="preserve">Abbreviations: </w:t>
      </w:r>
      <w:r w:rsidRPr="00B07072">
        <w:t>SD = standard deviation</w:t>
      </w:r>
    </w:p>
    <w:p w:rsidR="00CF758C" w:rsidRDefault="00CF758C" w:rsidP="00FF50E8">
      <w:pPr>
        <w:pStyle w:val="TableFooter"/>
        <w:keepNext/>
        <w:keepLines/>
        <w:ind w:left="720"/>
      </w:pPr>
      <w:r>
        <w:t xml:space="preserve">Note: * For worst case imputation patients with missing values were deemed to have failed treatment. All ITT analyses assume worst case imputation apart from those designated ITT without worst case imputation </w:t>
      </w:r>
    </w:p>
    <w:p w:rsidR="00CF758C" w:rsidRDefault="00CF758C" w:rsidP="00CF758C">
      <w:pPr>
        <w:rPr>
          <w:szCs w:val="22"/>
        </w:rPr>
      </w:pPr>
    </w:p>
    <w:p w:rsidR="00CF758C" w:rsidRPr="00F115F8" w:rsidRDefault="00CF758C" w:rsidP="00DD3A69">
      <w:pPr>
        <w:pStyle w:val="ListParagraph"/>
        <w:widowControl/>
        <w:numPr>
          <w:ilvl w:val="1"/>
          <w:numId w:val="2"/>
        </w:numPr>
        <w:rPr>
          <w:i/>
          <w:color w:val="000000" w:themeColor="text1"/>
          <w:szCs w:val="22"/>
        </w:rPr>
      </w:pPr>
      <w:r>
        <w:rPr>
          <w:szCs w:val="22"/>
        </w:rPr>
        <w:t xml:space="preserve">The submission presented a weighted average of </w:t>
      </w:r>
      <w:r w:rsidR="00E42946">
        <w:rPr>
          <w:szCs w:val="22"/>
        </w:rPr>
        <w:t xml:space="preserve">the proportion of patients with </w:t>
      </w:r>
      <w:r>
        <w:rPr>
          <w:szCs w:val="22"/>
        </w:rPr>
        <w:t>remission across the 25</w:t>
      </w:r>
      <w:r w:rsidR="000F54A2">
        <w:rPr>
          <w:szCs w:val="22"/>
        </w:rPr>
        <w:t xml:space="preserve"> </w:t>
      </w:r>
      <w:r>
        <w:rPr>
          <w:szCs w:val="22"/>
        </w:rPr>
        <w:t xml:space="preserve">rituximab studies and the 10 comparator studies.  </w:t>
      </w:r>
      <w:r w:rsidRPr="007815A6">
        <w:rPr>
          <w:color w:val="000000" w:themeColor="text1"/>
          <w:szCs w:val="22"/>
        </w:rPr>
        <w:t xml:space="preserve">Presentation of weighted average results </w:t>
      </w:r>
      <w:r w:rsidR="00E42946" w:rsidRPr="007815A6">
        <w:rPr>
          <w:color w:val="000000" w:themeColor="text1"/>
          <w:szCs w:val="22"/>
        </w:rPr>
        <w:t>across each group of studies</w:t>
      </w:r>
      <w:r w:rsidRPr="007815A6">
        <w:rPr>
          <w:color w:val="000000" w:themeColor="text1"/>
          <w:szCs w:val="22"/>
        </w:rPr>
        <w:t xml:space="preserve"> was not appropriate since the outcomes reported and the patient populations in the studies were not comparable. The </w:t>
      </w:r>
      <w:r w:rsidR="00675814">
        <w:rPr>
          <w:color w:val="000000" w:themeColor="text1"/>
          <w:szCs w:val="22"/>
        </w:rPr>
        <w:t xml:space="preserve">evaluation considered that the </w:t>
      </w:r>
      <w:r w:rsidRPr="007815A6">
        <w:rPr>
          <w:color w:val="000000" w:themeColor="text1"/>
          <w:szCs w:val="22"/>
        </w:rPr>
        <w:t xml:space="preserve">results </w:t>
      </w:r>
      <w:r w:rsidR="0095465B">
        <w:rPr>
          <w:color w:val="000000" w:themeColor="text1"/>
          <w:szCs w:val="22"/>
        </w:rPr>
        <w:t xml:space="preserve">do not </w:t>
      </w:r>
      <w:r w:rsidRPr="007815A6">
        <w:rPr>
          <w:color w:val="000000" w:themeColor="text1"/>
          <w:szCs w:val="22"/>
        </w:rPr>
        <w:t xml:space="preserve">allow </w:t>
      </w:r>
      <w:r w:rsidR="0095465B">
        <w:rPr>
          <w:color w:val="000000" w:themeColor="text1"/>
          <w:szCs w:val="22"/>
        </w:rPr>
        <w:t xml:space="preserve">any </w:t>
      </w:r>
      <w:r w:rsidRPr="007815A6">
        <w:rPr>
          <w:color w:val="000000" w:themeColor="text1"/>
          <w:szCs w:val="22"/>
        </w:rPr>
        <w:t>meaningful conclusion</w:t>
      </w:r>
      <w:r w:rsidR="0095465B">
        <w:rPr>
          <w:color w:val="000000" w:themeColor="text1"/>
          <w:szCs w:val="22"/>
        </w:rPr>
        <w:t>s</w:t>
      </w:r>
      <w:r w:rsidRPr="007815A6">
        <w:rPr>
          <w:color w:val="000000" w:themeColor="text1"/>
          <w:szCs w:val="22"/>
        </w:rPr>
        <w:t xml:space="preserve"> to be made.</w:t>
      </w:r>
    </w:p>
    <w:p w:rsidR="00F115F8" w:rsidRPr="00F115F8" w:rsidRDefault="00F115F8" w:rsidP="00F115F8">
      <w:pPr>
        <w:pStyle w:val="ListParagraph"/>
        <w:widowControl/>
        <w:rPr>
          <w:color w:val="000000" w:themeColor="text1"/>
          <w:szCs w:val="22"/>
        </w:rPr>
      </w:pPr>
    </w:p>
    <w:p w:rsidR="00F115F8" w:rsidRPr="00F115F8" w:rsidRDefault="00F115F8" w:rsidP="00F115F8">
      <w:pPr>
        <w:pStyle w:val="ListParagraph"/>
        <w:widowControl/>
        <w:numPr>
          <w:ilvl w:val="1"/>
          <w:numId w:val="2"/>
        </w:numPr>
        <w:rPr>
          <w:color w:val="000000" w:themeColor="text1"/>
          <w:szCs w:val="22"/>
        </w:rPr>
      </w:pPr>
      <w:r w:rsidRPr="00F115F8">
        <w:rPr>
          <w:color w:val="000000" w:themeColor="text1"/>
          <w:szCs w:val="22"/>
        </w:rPr>
        <w:t xml:space="preserve">The ESC considered that the clinical evidence submitted did not provide an </w:t>
      </w:r>
      <w:r w:rsidR="000F54A2">
        <w:rPr>
          <w:color w:val="000000" w:themeColor="text1"/>
          <w:szCs w:val="22"/>
        </w:rPr>
        <w:t>estimate</w:t>
      </w:r>
      <w:r w:rsidRPr="00F115F8">
        <w:rPr>
          <w:color w:val="000000" w:themeColor="text1"/>
          <w:szCs w:val="22"/>
        </w:rPr>
        <w:t xml:space="preserve"> of the comparative effectiveness of rituximab against the salvage therapies for patients who are strictly contraindicated or refractory to treatment with CYC.</w:t>
      </w:r>
    </w:p>
    <w:p w:rsidR="00F115F8" w:rsidRDefault="00F115F8" w:rsidP="00F115F8">
      <w:pPr>
        <w:pStyle w:val="ListParagraph"/>
        <w:widowControl/>
        <w:rPr>
          <w:i/>
          <w:color w:val="000000" w:themeColor="text1"/>
          <w:szCs w:val="22"/>
        </w:rPr>
      </w:pPr>
    </w:p>
    <w:p w:rsidR="00F115F8" w:rsidRPr="0095541F" w:rsidRDefault="00F115F8" w:rsidP="00F115F8">
      <w:pPr>
        <w:pStyle w:val="ListParagraph"/>
        <w:widowControl/>
        <w:numPr>
          <w:ilvl w:val="1"/>
          <w:numId w:val="2"/>
        </w:numPr>
        <w:rPr>
          <w:color w:val="000000" w:themeColor="text1"/>
          <w:szCs w:val="22"/>
        </w:rPr>
      </w:pPr>
      <w:r w:rsidRPr="00F115F8">
        <w:rPr>
          <w:color w:val="000000" w:themeColor="text1"/>
          <w:szCs w:val="22"/>
        </w:rPr>
        <w:t xml:space="preserve">Further, the ESC considered that fixed dosing of rituximab may not be appropriate given the lack of comparative data to show that this is as effective as the higher TGA-approved weight-based dosing used in the comparative trial (RAVE). </w:t>
      </w:r>
    </w:p>
    <w:p w:rsidR="00CF758C" w:rsidRDefault="00CF758C" w:rsidP="00CF758C">
      <w:pPr>
        <w:rPr>
          <w:szCs w:val="22"/>
        </w:rPr>
      </w:pPr>
    </w:p>
    <w:p w:rsidR="00CF758C" w:rsidRPr="0095541F" w:rsidRDefault="00CF758C" w:rsidP="005C2DD7">
      <w:pPr>
        <w:pStyle w:val="Heading2"/>
      </w:pPr>
      <w:bookmarkStart w:id="12" w:name="_Toc392858196"/>
      <w:bookmarkStart w:id="13" w:name="_Toc409509652"/>
      <w:r w:rsidRPr="0095541F">
        <w:t>Comparative harms</w:t>
      </w:r>
      <w:bookmarkEnd w:id="12"/>
      <w:bookmarkEnd w:id="13"/>
    </w:p>
    <w:p w:rsidR="00CF758C" w:rsidRPr="00882085" w:rsidRDefault="00CF758C" w:rsidP="00CF758C">
      <w:pPr>
        <w:ind w:left="720" w:hanging="720"/>
        <w:rPr>
          <w:szCs w:val="22"/>
        </w:rPr>
      </w:pPr>
    </w:p>
    <w:p w:rsidR="00CF758C" w:rsidRPr="007815A6" w:rsidRDefault="00CF758C" w:rsidP="00DD3A69">
      <w:pPr>
        <w:pStyle w:val="ListParagraph"/>
        <w:widowControl/>
        <w:numPr>
          <w:ilvl w:val="1"/>
          <w:numId w:val="2"/>
        </w:numPr>
        <w:rPr>
          <w:szCs w:val="22"/>
        </w:rPr>
      </w:pPr>
      <w:r w:rsidRPr="00807AEF">
        <w:rPr>
          <w:color w:val="000000" w:themeColor="text1"/>
        </w:rPr>
        <w:t>Based on the results of the RAVE trial, rituximab had a similar adverse ev</w:t>
      </w:r>
      <w:r w:rsidRPr="00807AEF">
        <w:t>ent profile to CYC in the first 6 months of follow-up.  A similar proportion of patients experienced any adverse event, any severe (grade 3 or above) adverse event and any serious adverse event</w:t>
      </w:r>
      <w:r w:rsidRPr="007815A6">
        <w:t>. Rituximab and CYC are likely to have a comparable adverse event profile.</w:t>
      </w:r>
    </w:p>
    <w:p w:rsidR="00CF758C" w:rsidRPr="007815A6" w:rsidRDefault="00CF758C" w:rsidP="00CF758C">
      <w:pPr>
        <w:widowControl/>
        <w:rPr>
          <w:szCs w:val="22"/>
        </w:rPr>
      </w:pPr>
    </w:p>
    <w:p w:rsidR="00CF758C" w:rsidRPr="007815A6" w:rsidRDefault="00CF758C" w:rsidP="00DD3A69">
      <w:pPr>
        <w:pStyle w:val="ListParagraph"/>
        <w:widowControl/>
        <w:numPr>
          <w:ilvl w:val="1"/>
          <w:numId w:val="2"/>
        </w:numPr>
        <w:rPr>
          <w:szCs w:val="22"/>
        </w:rPr>
      </w:pPr>
      <w:r w:rsidRPr="007815A6">
        <w:t>It was not possible to make a comparison of harms between rituximab and the salvage therapies (alemtuzumab, ATG, IVIg and MMF) based on the data provided.</w:t>
      </w:r>
    </w:p>
    <w:p w:rsidR="00CF758C" w:rsidRPr="007815A6" w:rsidRDefault="00CF758C" w:rsidP="00CF758C">
      <w:pPr>
        <w:pStyle w:val="ListParagraph"/>
        <w:ind w:left="0"/>
        <w:rPr>
          <w:szCs w:val="22"/>
        </w:rPr>
      </w:pPr>
    </w:p>
    <w:p w:rsidR="00CF758C" w:rsidRPr="0095541F" w:rsidRDefault="00CF758C" w:rsidP="005C2DD7">
      <w:pPr>
        <w:pStyle w:val="Heading2"/>
      </w:pPr>
      <w:bookmarkStart w:id="14" w:name="_Toc392858198"/>
      <w:bookmarkStart w:id="15" w:name="_Toc409509654"/>
      <w:r w:rsidRPr="0095541F">
        <w:t>Clinical claim</w:t>
      </w:r>
      <w:bookmarkEnd w:id="14"/>
      <w:bookmarkEnd w:id="15"/>
    </w:p>
    <w:p w:rsidR="00CF758C" w:rsidRPr="00734528" w:rsidRDefault="00CF758C" w:rsidP="00CF758C">
      <w:pPr>
        <w:ind w:left="720" w:hanging="720"/>
        <w:rPr>
          <w:color w:val="000000" w:themeColor="text1"/>
          <w:szCs w:val="22"/>
        </w:rPr>
      </w:pPr>
    </w:p>
    <w:p w:rsidR="00CF758C" w:rsidRPr="007815A6" w:rsidRDefault="008D27BC" w:rsidP="00DD3A69">
      <w:pPr>
        <w:pStyle w:val="ListParagraph"/>
        <w:widowControl/>
        <w:numPr>
          <w:ilvl w:val="1"/>
          <w:numId w:val="2"/>
        </w:numPr>
        <w:rPr>
          <w:color w:val="000000" w:themeColor="text1"/>
        </w:rPr>
      </w:pPr>
      <w:r w:rsidRPr="00293C4E">
        <w:rPr>
          <w:color w:val="000000" w:themeColor="text1"/>
        </w:rPr>
        <w:t>For patients relatively contraindicated to CYC</w:t>
      </w:r>
      <w:r>
        <w:rPr>
          <w:i/>
          <w:color w:val="000000" w:themeColor="text1"/>
        </w:rPr>
        <w:t xml:space="preserve">, </w:t>
      </w:r>
      <w:r>
        <w:rPr>
          <w:color w:val="000000" w:themeColor="text1"/>
        </w:rPr>
        <w:t>t</w:t>
      </w:r>
      <w:r w:rsidR="00CF758C" w:rsidRPr="00734528">
        <w:rPr>
          <w:color w:val="000000" w:themeColor="text1"/>
        </w:rPr>
        <w:t>he submission describe</w:t>
      </w:r>
      <w:r w:rsidR="00CF758C">
        <w:rPr>
          <w:color w:val="000000" w:themeColor="text1"/>
        </w:rPr>
        <w:t>d</w:t>
      </w:r>
      <w:r w:rsidR="00CF758C" w:rsidRPr="00734528">
        <w:rPr>
          <w:color w:val="000000" w:themeColor="text1"/>
        </w:rPr>
        <w:t xml:space="preserve"> rituximab as non-inferior </w:t>
      </w:r>
      <w:r w:rsidR="008F19BC">
        <w:rPr>
          <w:color w:val="000000" w:themeColor="text1"/>
        </w:rPr>
        <w:t xml:space="preserve">to CYC </w:t>
      </w:r>
      <w:r w:rsidR="00CF758C" w:rsidRPr="00734528">
        <w:rPr>
          <w:color w:val="000000" w:themeColor="text1"/>
        </w:rPr>
        <w:t>in terms of comparative effectiveness and comparable in terms of short to medium term safety.</w:t>
      </w:r>
      <w:r w:rsidR="00675814">
        <w:rPr>
          <w:color w:val="000000" w:themeColor="text1"/>
        </w:rPr>
        <w:t xml:space="preserve"> The evaluation considered that t</w:t>
      </w:r>
      <w:r w:rsidR="00CF758C" w:rsidRPr="007815A6">
        <w:rPr>
          <w:color w:val="000000" w:themeColor="text1"/>
        </w:rPr>
        <w:t xml:space="preserve">his claim was adequately supported. </w:t>
      </w:r>
      <w:r w:rsidR="00854477" w:rsidRPr="008C2D23">
        <w:rPr>
          <w:color w:val="000000" w:themeColor="text1"/>
        </w:rPr>
        <w:t>The ESC agreed that results of the RAVE trial indicate that rituximab i</w:t>
      </w:r>
      <w:r w:rsidR="00B32B40">
        <w:rPr>
          <w:color w:val="000000" w:themeColor="text1"/>
        </w:rPr>
        <w:t>s</w:t>
      </w:r>
      <w:r w:rsidR="00854477" w:rsidRPr="008C2D23">
        <w:rPr>
          <w:color w:val="000000" w:themeColor="text1"/>
        </w:rPr>
        <w:t xml:space="preserve"> non-inferior to CYC in this patient population.</w:t>
      </w:r>
      <w:r w:rsidR="00854477">
        <w:rPr>
          <w:i/>
          <w:color w:val="000000" w:themeColor="text1"/>
        </w:rPr>
        <w:t xml:space="preserve"> </w:t>
      </w:r>
      <w:r w:rsidR="00CF758C" w:rsidRPr="007815A6">
        <w:rPr>
          <w:color w:val="000000" w:themeColor="text1"/>
        </w:rPr>
        <w:t xml:space="preserve">The </w:t>
      </w:r>
      <w:r w:rsidR="00E52649">
        <w:rPr>
          <w:color w:val="000000" w:themeColor="text1"/>
        </w:rPr>
        <w:t xml:space="preserve">ESC considered that the submission’s </w:t>
      </w:r>
      <w:r w:rsidR="00CF758C" w:rsidRPr="007815A6">
        <w:rPr>
          <w:color w:val="000000" w:themeColor="text1"/>
        </w:rPr>
        <w:t>suggestion that rituximab is associated with better long-term safety than CYC</w:t>
      </w:r>
      <w:r w:rsidR="006B3FC7" w:rsidRPr="007815A6">
        <w:rPr>
          <w:color w:val="000000" w:themeColor="text1"/>
        </w:rPr>
        <w:t>, which forms the basis of the submission’s use of a cost analysis,</w:t>
      </w:r>
      <w:r w:rsidR="00CF758C" w:rsidRPr="007815A6">
        <w:rPr>
          <w:color w:val="000000" w:themeColor="text1"/>
        </w:rPr>
        <w:t xml:space="preserve"> could not be substantiated.</w:t>
      </w:r>
      <w:r w:rsidR="00B15337">
        <w:rPr>
          <w:color w:val="000000" w:themeColor="text1"/>
        </w:rPr>
        <w:t xml:space="preserve"> </w:t>
      </w:r>
    </w:p>
    <w:p w:rsidR="00CF758C" w:rsidRPr="00734528" w:rsidRDefault="00CF758C" w:rsidP="00CF758C">
      <w:pPr>
        <w:widowControl/>
        <w:rPr>
          <w:color w:val="000000" w:themeColor="text1"/>
        </w:rPr>
      </w:pPr>
    </w:p>
    <w:p w:rsidR="00CF758C" w:rsidRPr="00C52096" w:rsidRDefault="00CF758C" w:rsidP="00DD3A69">
      <w:pPr>
        <w:pStyle w:val="ListParagraph"/>
        <w:widowControl/>
        <w:numPr>
          <w:ilvl w:val="1"/>
          <w:numId w:val="2"/>
        </w:numPr>
        <w:rPr>
          <w:color w:val="000000" w:themeColor="text1"/>
          <w:szCs w:val="22"/>
        </w:rPr>
      </w:pPr>
      <w:r w:rsidRPr="004D7A85">
        <w:rPr>
          <w:color w:val="000000" w:themeColor="text1"/>
        </w:rPr>
        <w:t>For patients strictly contraindicated or refractory to CYC</w:t>
      </w:r>
      <w:r w:rsidRPr="00734528">
        <w:rPr>
          <w:i/>
          <w:color w:val="000000" w:themeColor="text1"/>
        </w:rPr>
        <w:t>,</w:t>
      </w:r>
      <w:r>
        <w:rPr>
          <w:color w:val="000000" w:themeColor="text1"/>
        </w:rPr>
        <w:t xml:space="preserve"> </w:t>
      </w:r>
      <w:r>
        <w:t>the submission did not make a claim in terms of superior or similar efficacy and safety</w:t>
      </w:r>
      <w:r w:rsidR="000F54A2">
        <w:t>.</w:t>
      </w:r>
      <w:r>
        <w:t xml:space="preserve"> </w:t>
      </w:r>
      <w:r w:rsidR="000F54A2">
        <w:t>I</w:t>
      </w:r>
      <w:r>
        <w:t xml:space="preserve">nstead </w:t>
      </w:r>
      <w:r w:rsidR="000F54A2">
        <w:t xml:space="preserve">it </w:t>
      </w:r>
      <w:r>
        <w:t xml:space="preserve">stated </w:t>
      </w:r>
      <w:r w:rsidR="000F54A2">
        <w:t xml:space="preserve">that </w:t>
      </w:r>
      <w:r>
        <w:t xml:space="preserve">there is a large body of evidence to support efficacy and safety of rituximab compared to a small body of evidence to support the efficacy of the salvage therapies.  </w:t>
      </w:r>
      <w:r w:rsidRPr="007815A6">
        <w:t xml:space="preserve">The statement made by the submission did not constitute a clinical claim and the </w:t>
      </w:r>
      <w:r w:rsidR="00B625A9" w:rsidRPr="007815A6">
        <w:t xml:space="preserve">assessment of </w:t>
      </w:r>
      <w:r w:rsidRPr="007815A6">
        <w:t xml:space="preserve">available evidence </w:t>
      </w:r>
      <w:r w:rsidR="00D0706D" w:rsidRPr="007815A6">
        <w:t xml:space="preserve">made by the submission </w:t>
      </w:r>
      <w:r w:rsidRPr="007815A6">
        <w:t>did not provide an indication of the comparative efficacy and safety of rituximab versus the salvage therapies.</w:t>
      </w:r>
      <w:r w:rsidR="00B625A9" w:rsidRPr="007815A6">
        <w:t xml:space="preserve">  </w:t>
      </w:r>
      <w:r w:rsidR="008A69A1" w:rsidRPr="007815A6">
        <w:t xml:space="preserve">While the submission acknowledged the limitations of the data, the methods applied were not adequate.  </w:t>
      </w:r>
      <w:r w:rsidR="00B625A9" w:rsidRPr="007815A6">
        <w:t>Appropriate assessment of the available salvage therapy evidence, including use of the available rituximab meta-analysis (</w:t>
      </w:r>
      <w:r w:rsidR="00FC0361" w:rsidRPr="007815A6">
        <w:rPr>
          <w:szCs w:val="22"/>
        </w:rPr>
        <w:t>Mejia 2012</w:t>
      </w:r>
      <w:r w:rsidR="00852DF1" w:rsidRPr="007815A6">
        <w:rPr>
          <w:rStyle w:val="FootnoteReference"/>
          <w:szCs w:val="22"/>
        </w:rPr>
        <w:footnoteReference w:id="1"/>
      </w:r>
      <w:r w:rsidR="00B625A9" w:rsidRPr="007815A6">
        <w:t>)</w:t>
      </w:r>
      <w:r w:rsidR="00A24C63" w:rsidRPr="007815A6">
        <w:t xml:space="preserve"> as well as consideration of possible </w:t>
      </w:r>
      <w:r w:rsidR="00BF1342" w:rsidRPr="007815A6">
        <w:t xml:space="preserve">statistical analysis of data for the other salvage therapies </w:t>
      </w:r>
      <w:r w:rsidR="00AA1654" w:rsidRPr="007815A6">
        <w:t xml:space="preserve">may </w:t>
      </w:r>
      <w:r w:rsidR="00564EE0" w:rsidRPr="007815A6">
        <w:t xml:space="preserve">have </w:t>
      </w:r>
      <w:r w:rsidR="00AA1654" w:rsidRPr="007815A6">
        <w:t>been informative</w:t>
      </w:r>
      <w:r w:rsidR="00BF1342" w:rsidRPr="007815A6">
        <w:t>.</w:t>
      </w:r>
      <w:r w:rsidR="00E3706C">
        <w:t xml:space="preserve"> </w:t>
      </w:r>
      <w:r w:rsidR="00E3706C" w:rsidRPr="008C2D23">
        <w:t xml:space="preserve">The ESC considered that this additional data was unlikely to make a large impact on the </w:t>
      </w:r>
      <w:r w:rsidR="0095465B" w:rsidRPr="008C2D23">
        <w:t xml:space="preserve">assessment of the </w:t>
      </w:r>
      <w:r w:rsidR="00E3706C" w:rsidRPr="008C2D23">
        <w:t>overall clinical claim being made.</w:t>
      </w:r>
    </w:p>
    <w:p w:rsidR="00C52096" w:rsidRPr="00C52096" w:rsidRDefault="00C52096" w:rsidP="00C52096">
      <w:pPr>
        <w:pStyle w:val="ListParagraph"/>
        <w:rPr>
          <w:color w:val="000000" w:themeColor="text1"/>
          <w:szCs w:val="22"/>
        </w:rPr>
      </w:pPr>
    </w:p>
    <w:p w:rsidR="00C52096" w:rsidRDefault="00C52096" w:rsidP="00DD3A69">
      <w:pPr>
        <w:pStyle w:val="ListParagraph"/>
        <w:widowControl/>
        <w:numPr>
          <w:ilvl w:val="1"/>
          <w:numId w:val="2"/>
        </w:numPr>
        <w:rPr>
          <w:color w:val="000000" w:themeColor="text1"/>
          <w:szCs w:val="22"/>
        </w:rPr>
      </w:pPr>
      <w:r>
        <w:rPr>
          <w:color w:val="000000" w:themeColor="text1"/>
          <w:szCs w:val="22"/>
        </w:rPr>
        <w:t>The PBAC considered that the claim of non-inferior comparative effectiveness</w:t>
      </w:r>
      <w:r w:rsidR="00A800D7">
        <w:rPr>
          <w:color w:val="000000" w:themeColor="text1"/>
          <w:szCs w:val="22"/>
        </w:rPr>
        <w:t xml:space="preserve"> and safety</w:t>
      </w:r>
      <w:r>
        <w:rPr>
          <w:color w:val="000000" w:themeColor="text1"/>
          <w:szCs w:val="22"/>
        </w:rPr>
        <w:t xml:space="preserve"> of rituximab compared to cyclophosphamide is reasonable. </w:t>
      </w:r>
    </w:p>
    <w:p w:rsidR="00E3706C" w:rsidRDefault="00E3706C" w:rsidP="00B533D9">
      <w:pPr>
        <w:widowControl/>
        <w:rPr>
          <w:color w:val="000000" w:themeColor="text1"/>
          <w:szCs w:val="22"/>
        </w:rPr>
      </w:pPr>
    </w:p>
    <w:p w:rsidR="006B0DD1" w:rsidRPr="00BB7EC3" w:rsidRDefault="006B0DD1" w:rsidP="006B0DD1">
      <w:pPr>
        <w:pStyle w:val="ListParagraph"/>
        <w:ind w:left="709"/>
        <w:rPr>
          <w:i/>
          <w:szCs w:val="22"/>
        </w:rPr>
      </w:pPr>
      <w:r>
        <w:rPr>
          <w:i/>
          <w:szCs w:val="22"/>
        </w:rPr>
        <w:t>For more detail on PBAC’s view, see section 7 “PBAC outcome”</w:t>
      </w:r>
    </w:p>
    <w:p w:rsidR="00CF758C" w:rsidRPr="00882085" w:rsidRDefault="00CF758C" w:rsidP="00CF758C">
      <w:pPr>
        <w:ind w:left="720" w:hanging="720"/>
        <w:rPr>
          <w:szCs w:val="22"/>
        </w:rPr>
      </w:pPr>
    </w:p>
    <w:p w:rsidR="00CF758C" w:rsidRPr="0095541F" w:rsidRDefault="00CF758C" w:rsidP="005C2DD7">
      <w:pPr>
        <w:pStyle w:val="Heading2"/>
      </w:pPr>
      <w:bookmarkStart w:id="16" w:name="_Toc392858199"/>
      <w:bookmarkStart w:id="17" w:name="_Toc409509655"/>
      <w:r w:rsidRPr="0095541F">
        <w:t>Economic analysis</w:t>
      </w:r>
      <w:bookmarkEnd w:id="16"/>
      <w:bookmarkEnd w:id="17"/>
      <w:r w:rsidRPr="0095541F">
        <w:t xml:space="preserve"> </w:t>
      </w:r>
    </w:p>
    <w:p w:rsidR="00CF758C" w:rsidRPr="00882085" w:rsidRDefault="00CF758C" w:rsidP="00A800D7">
      <w:pPr>
        <w:keepNext/>
        <w:keepLines/>
        <w:ind w:left="720" w:hanging="720"/>
        <w:rPr>
          <w:szCs w:val="22"/>
        </w:rPr>
      </w:pPr>
    </w:p>
    <w:p w:rsidR="001E2003" w:rsidRDefault="00CF758C" w:rsidP="00A800D7">
      <w:pPr>
        <w:pStyle w:val="ListParagraph"/>
        <w:keepNext/>
        <w:keepLines/>
        <w:widowControl/>
        <w:numPr>
          <w:ilvl w:val="1"/>
          <w:numId w:val="2"/>
        </w:numPr>
        <w:rPr>
          <w:color w:val="000000" w:themeColor="text1"/>
        </w:rPr>
      </w:pPr>
      <w:r w:rsidRPr="001E2003">
        <w:rPr>
          <w:color w:val="000000" w:themeColor="text1"/>
        </w:rPr>
        <w:t xml:space="preserve">The submission presented a cost analysis. </w:t>
      </w:r>
      <w:r w:rsidR="00675814">
        <w:rPr>
          <w:color w:val="000000" w:themeColor="text1"/>
        </w:rPr>
        <w:t>The evaluation considered that a</w:t>
      </w:r>
      <w:r w:rsidRPr="001E2003">
        <w:rPr>
          <w:color w:val="000000" w:themeColor="text1"/>
        </w:rPr>
        <w:t xml:space="preserve"> cost analysis was not appropriate for </w:t>
      </w:r>
      <w:r w:rsidR="009F7E7D" w:rsidRPr="001E2003">
        <w:rPr>
          <w:color w:val="000000" w:themeColor="text1"/>
        </w:rPr>
        <w:t>either</w:t>
      </w:r>
      <w:r w:rsidRPr="001E2003">
        <w:rPr>
          <w:color w:val="000000" w:themeColor="text1"/>
        </w:rPr>
        <w:t xml:space="preserve"> the </w:t>
      </w:r>
      <w:r w:rsidR="009F7E7D" w:rsidRPr="001E2003">
        <w:rPr>
          <w:color w:val="000000" w:themeColor="text1"/>
        </w:rPr>
        <w:t xml:space="preserve">relatively contraindicated to CYC or strictly contraindicated to CYC </w:t>
      </w:r>
      <w:r w:rsidRPr="001E2003">
        <w:rPr>
          <w:color w:val="000000" w:themeColor="text1"/>
        </w:rPr>
        <w:t>patient groups.</w:t>
      </w:r>
      <w:r w:rsidRPr="001E2003">
        <w:rPr>
          <w:i/>
          <w:color w:val="000000" w:themeColor="text1"/>
        </w:rPr>
        <w:t xml:space="preserve"> </w:t>
      </w:r>
      <w:r w:rsidR="007D1804" w:rsidRPr="001E2003">
        <w:rPr>
          <w:color w:val="000000" w:themeColor="text1"/>
        </w:rPr>
        <w:t xml:space="preserve">The ESC considered that it may have been appropriate to conduct separate economic analyses for </w:t>
      </w:r>
      <w:r w:rsidR="00E52649">
        <w:rPr>
          <w:color w:val="000000" w:themeColor="text1"/>
        </w:rPr>
        <w:t>the two</w:t>
      </w:r>
      <w:r w:rsidR="007D1804" w:rsidRPr="001E2003">
        <w:rPr>
          <w:color w:val="000000" w:themeColor="text1"/>
        </w:rPr>
        <w:t xml:space="preserve"> patient groups (relatively contraindicated to CYC and strictly contraindicated to CYC)</w:t>
      </w:r>
      <w:r w:rsidR="001E2003">
        <w:rPr>
          <w:color w:val="000000" w:themeColor="text1"/>
        </w:rPr>
        <w:t>.</w:t>
      </w:r>
    </w:p>
    <w:p w:rsidR="008D27BC" w:rsidRPr="001E2003" w:rsidRDefault="001E2003" w:rsidP="007D1804">
      <w:pPr>
        <w:pStyle w:val="ListParagraph"/>
        <w:widowControl/>
        <w:rPr>
          <w:szCs w:val="22"/>
        </w:rPr>
      </w:pPr>
      <w:r w:rsidRPr="001E2003">
        <w:rPr>
          <w:i/>
          <w:color w:val="000000" w:themeColor="text1"/>
        </w:rPr>
        <w:t xml:space="preserve"> </w:t>
      </w:r>
    </w:p>
    <w:p w:rsidR="00CF758C" w:rsidRPr="001E2003" w:rsidRDefault="00E52649" w:rsidP="001E2003">
      <w:pPr>
        <w:pStyle w:val="ListParagraph"/>
        <w:widowControl/>
        <w:numPr>
          <w:ilvl w:val="1"/>
          <w:numId w:val="2"/>
        </w:numPr>
        <w:tabs>
          <w:tab w:val="left" w:pos="7088"/>
        </w:tabs>
        <w:rPr>
          <w:szCs w:val="22"/>
        </w:rPr>
      </w:pPr>
      <w:r>
        <w:rPr>
          <w:color w:val="000000" w:themeColor="text1"/>
        </w:rPr>
        <w:t>The evaluation considered that a</w:t>
      </w:r>
      <w:r w:rsidR="00CF758C" w:rsidRPr="007815A6">
        <w:rPr>
          <w:color w:val="000000" w:themeColor="text1"/>
        </w:rPr>
        <w:t xml:space="preserve"> cost-minimisation analysis versus CYC would have been more appropriate for patients relatively contraindicated to CYC</w:t>
      </w:r>
      <w:r w:rsidR="009C6944" w:rsidRPr="007815A6">
        <w:rPr>
          <w:color w:val="000000" w:themeColor="text1"/>
        </w:rPr>
        <w:t xml:space="preserve">, </w:t>
      </w:r>
      <w:r w:rsidR="00293C4E" w:rsidRPr="00293C4E">
        <w:t>However</w:t>
      </w:r>
      <w:r w:rsidR="00BA5FB2">
        <w:t>,</w:t>
      </w:r>
      <w:r w:rsidR="00293C4E" w:rsidRPr="00293C4E">
        <w:t xml:space="preserve"> since the administration costs of rituximab ($</w:t>
      </w:r>
      <w:r w:rsidR="00293C4E" w:rsidRPr="00B83EAF">
        <w:t>1,262</w:t>
      </w:r>
      <w:r w:rsidR="00293C4E" w:rsidRPr="00293C4E">
        <w:t>) exceed the total cost of oral CYC ($608.90/91 day cycle) a cost-minimisation</w:t>
      </w:r>
      <w:r w:rsidR="000F54A2">
        <w:t xml:space="preserve"> analysis</w:t>
      </w:r>
      <w:r w:rsidR="00293C4E" w:rsidRPr="00293C4E">
        <w:t xml:space="preserve"> is not feasible</w:t>
      </w:r>
      <w:r w:rsidR="00C52387">
        <w:t>.</w:t>
      </w:r>
    </w:p>
    <w:p w:rsidR="001E2003" w:rsidRPr="001E2003" w:rsidRDefault="001E2003" w:rsidP="001E2003">
      <w:pPr>
        <w:pStyle w:val="ListParagraph"/>
        <w:rPr>
          <w:szCs w:val="22"/>
        </w:rPr>
      </w:pPr>
    </w:p>
    <w:p w:rsidR="001E2003" w:rsidRPr="004D5A8A" w:rsidRDefault="00E52649" w:rsidP="001E2003">
      <w:pPr>
        <w:pStyle w:val="ListParagraph"/>
        <w:widowControl/>
        <w:numPr>
          <w:ilvl w:val="1"/>
          <w:numId w:val="2"/>
        </w:numPr>
        <w:rPr>
          <w:szCs w:val="22"/>
        </w:rPr>
      </w:pPr>
      <w:r>
        <w:rPr>
          <w:color w:val="000000" w:themeColor="text1"/>
        </w:rPr>
        <w:t>The evaluation further considered that a</w:t>
      </w:r>
      <w:r w:rsidR="001E2003" w:rsidRPr="004D5A8A">
        <w:rPr>
          <w:color w:val="000000" w:themeColor="text1"/>
        </w:rPr>
        <w:t xml:space="preserve"> cost effectiveness analysis would have been more appropriate for patients strictly contraindicated or refractory to CYC treatment, however there was inadequate evidence presented to determine comparative efficacy and safety versus salvage therapies. </w:t>
      </w:r>
    </w:p>
    <w:p w:rsidR="00CF758C" w:rsidRPr="00B0410C" w:rsidRDefault="00CF758C" w:rsidP="001E2003">
      <w:pPr>
        <w:widowControl/>
        <w:jc w:val="left"/>
        <w:rPr>
          <w:szCs w:val="22"/>
        </w:rPr>
      </w:pPr>
    </w:p>
    <w:p w:rsidR="00CF758C" w:rsidRPr="007815A6" w:rsidRDefault="009C6944" w:rsidP="00DD3A69">
      <w:pPr>
        <w:pStyle w:val="ListParagraph"/>
        <w:widowControl/>
        <w:numPr>
          <w:ilvl w:val="1"/>
          <w:numId w:val="2"/>
        </w:numPr>
        <w:rPr>
          <w:szCs w:val="22"/>
        </w:rPr>
      </w:pPr>
      <w:r w:rsidRPr="007815A6">
        <w:rPr>
          <w:color w:val="000000" w:themeColor="text1"/>
        </w:rPr>
        <w:t>The submission ha</w:t>
      </w:r>
      <w:r w:rsidR="00675814">
        <w:rPr>
          <w:color w:val="000000" w:themeColor="text1"/>
        </w:rPr>
        <w:t>d</w:t>
      </w:r>
      <w:r w:rsidRPr="007815A6">
        <w:rPr>
          <w:color w:val="000000" w:themeColor="text1"/>
        </w:rPr>
        <w:t xml:space="preserve"> made an error in its calculation of administration costs for CYC in the cost analysis.  While </w:t>
      </w:r>
      <w:r w:rsidR="00EF3A54">
        <w:rPr>
          <w:color w:val="000000" w:themeColor="text1"/>
        </w:rPr>
        <w:t>the submission correctly applied</w:t>
      </w:r>
      <w:r w:rsidRPr="007815A6">
        <w:rPr>
          <w:color w:val="000000" w:themeColor="text1"/>
        </w:rPr>
        <w:t xml:space="preserve"> 50% use for oral CYC and 50% use for IV CYC to calculate treatment costs, administration costs for IV use of CYC w</w:t>
      </w:r>
      <w:r w:rsidR="00675814">
        <w:rPr>
          <w:color w:val="000000" w:themeColor="text1"/>
        </w:rPr>
        <w:t>ere</w:t>
      </w:r>
      <w:r w:rsidRPr="007815A6">
        <w:rPr>
          <w:color w:val="000000" w:themeColor="text1"/>
        </w:rPr>
        <w:t xml:space="preserve"> applied to 100% of patients when it should only be applied to 50% of patients. Correcting this decreased administration costs from $4,283 to $2,142 and therefore increased the rituximab incremental cost to $</w:t>
      </w:r>
      <w:r w:rsidRPr="00B32B40">
        <w:rPr>
          <w:color w:val="000000" w:themeColor="text1"/>
        </w:rPr>
        <w:t>5,941</w:t>
      </w:r>
      <w:r w:rsidRPr="007815A6">
        <w:rPr>
          <w:color w:val="000000" w:themeColor="text1"/>
        </w:rPr>
        <w:t xml:space="preserve"> compared </w:t>
      </w:r>
      <w:r w:rsidR="00D46448" w:rsidRPr="007815A6">
        <w:rPr>
          <w:color w:val="000000" w:themeColor="text1"/>
        </w:rPr>
        <w:t>to</w:t>
      </w:r>
      <w:r w:rsidRPr="007815A6">
        <w:rPr>
          <w:color w:val="000000" w:themeColor="text1"/>
        </w:rPr>
        <w:t xml:space="preserve"> the $</w:t>
      </w:r>
      <w:r w:rsidRPr="00B32B40">
        <w:rPr>
          <w:color w:val="000000" w:themeColor="text1"/>
        </w:rPr>
        <w:t>3,800</w:t>
      </w:r>
      <w:r w:rsidRPr="007815A6">
        <w:rPr>
          <w:color w:val="000000" w:themeColor="text1"/>
        </w:rPr>
        <w:t xml:space="preserve"> estimate</w:t>
      </w:r>
      <w:r w:rsidR="007815A6">
        <w:rPr>
          <w:color w:val="000000" w:themeColor="text1"/>
        </w:rPr>
        <w:t xml:space="preserve">d by the submission. </w:t>
      </w:r>
      <w:r w:rsidR="00BA5FB2">
        <w:rPr>
          <w:color w:val="000000" w:themeColor="text1"/>
        </w:rPr>
        <w:t>The table below</w:t>
      </w:r>
      <w:r w:rsidR="00EA6A2B">
        <w:rPr>
          <w:color w:val="000000" w:themeColor="text1"/>
        </w:rPr>
        <w:t xml:space="preserve"> </w:t>
      </w:r>
      <w:r w:rsidRPr="007815A6">
        <w:rPr>
          <w:color w:val="000000" w:themeColor="text1"/>
        </w:rPr>
        <w:t>provides the corrected CYC administration cost and resultant incremental cost versus rituximab.</w:t>
      </w:r>
      <w:r w:rsidR="00241121" w:rsidRPr="007815A6">
        <w:rPr>
          <w:color w:val="000000" w:themeColor="text1"/>
        </w:rPr>
        <w:t xml:space="preserve"> The submission applied ex-manufacturer costs to determine treatment costs of rituximab and </w:t>
      </w:r>
      <w:r w:rsidR="00AA16BC" w:rsidRPr="007815A6">
        <w:rPr>
          <w:color w:val="000000" w:themeColor="text1"/>
        </w:rPr>
        <w:t xml:space="preserve">IV </w:t>
      </w:r>
      <w:r w:rsidR="00241121" w:rsidRPr="007815A6">
        <w:rPr>
          <w:color w:val="000000" w:themeColor="text1"/>
        </w:rPr>
        <w:t>CYC, which is appropriate.</w:t>
      </w:r>
    </w:p>
    <w:p w:rsidR="00CF758C" w:rsidRPr="00275C5A" w:rsidRDefault="00CF758C" w:rsidP="00CF758C">
      <w:pPr>
        <w:widowControl/>
        <w:rPr>
          <w:szCs w:val="22"/>
        </w:rPr>
      </w:pPr>
    </w:p>
    <w:p w:rsidR="00BE020A" w:rsidRPr="008166EF" w:rsidRDefault="00BE020A" w:rsidP="00E52649">
      <w:pPr>
        <w:keepNext/>
        <w:keepLines/>
        <w:ind w:left="720"/>
        <w:rPr>
          <w:rStyle w:val="CommentReference"/>
        </w:rPr>
      </w:pPr>
      <w:r>
        <w:rPr>
          <w:rStyle w:val="CommentReference"/>
        </w:rPr>
        <w:t>Summary</w:t>
      </w:r>
      <w:r w:rsidRPr="008166EF">
        <w:rPr>
          <w:rStyle w:val="CommentReference"/>
        </w:rPr>
        <w:t xml:space="preserve"> of incremental cost </w:t>
      </w:r>
    </w:p>
    <w:tbl>
      <w:tblPr>
        <w:tblW w:w="4607" w:type="pct"/>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Economic analysis"/>
      </w:tblPr>
      <w:tblGrid>
        <w:gridCol w:w="2106"/>
        <w:gridCol w:w="1156"/>
        <w:gridCol w:w="867"/>
        <w:gridCol w:w="1156"/>
        <w:gridCol w:w="1065"/>
        <w:gridCol w:w="989"/>
        <w:gridCol w:w="1130"/>
      </w:tblGrid>
      <w:tr w:rsidR="00BE020A" w:rsidRPr="00DB4EA7" w:rsidTr="00A94127">
        <w:trPr>
          <w:cantSplit/>
          <w:trHeight w:val="454"/>
        </w:trPr>
        <w:tc>
          <w:tcPr>
            <w:tcW w:w="210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E020A" w:rsidRPr="009C6944" w:rsidRDefault="00BE020A" w:rsidP="00E52649">
            <w:pPr>
              <w:keepNext/>
              <w:keepLines/>
              <w:tabs>
                <w:tab w:val="left" w:pos="198"/>
              </w:tabs>
              <w:jc w:val="left"/>
              <w:rPr>
                <w:rFonts w:ascii="Arial Narrow" w:hAnsi="Arial Narrow" w:cs="Times New Roman"/>
                <w:b/>
                <w:sz w:val="20"/>
              </w:rPr>
            </w:pPr>
            <w:r w:rsidRPr="009C6944">
              <w:rPr>
                <w:rFonts w:ascii="Arial Narrow" w:hAnsi="Arial Narrow" w:cs="Times New Roman"/>
                <w:b/>
                <w:sz w:val="20"/>
              </w:rPr>
              <w:t>Type of resource item</w:t>
            </w:r>
          </w:p>
        </w:tc>
        <w:tc>
          <w:tcPr>
            <w:tcW w:w="115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E020A" w:rsidRPr="009C6944" w:rsidRDefault="00BE020A" w:rsidP="00E52649">
            <w:pPr>
              <w:keepNext/>
              <w:keepLines/>
              <w:jc w:val="center"/>
              <w:rPr>
                <w:rFonts w:ascii="Arial Narrow" w:hAnsi="Arial Narrow" w:cs="Times New Roman"/>
                <w:b/>
                <w:sz w:val="20"/>
              </w:rPr>
            </w:pPr>
            <w:r w:rsidRPr="009C6944">
              <w:rPr>
                <w:rFonts w:ascii="Arial Narrow" w:hAnsi="Arial Narrow" w:cs="Times New Roman"/>
                <w:b/>
                <w:sz w:val="20"/>
              </w:rPr>
              <w:t>Rituximab</w:t>
            </w:r>
            <w:r w:rsidR="00356057">
              <w:rPr>
                <w:rFonts w:ascii="Arial Narrow" w:hAnsi="Arial Narrow"/>
                <w:b/>
                <w:sz w:val="20"/>
              </w:rPr>
              <w:t>^</w:t>
            </w:r>
          </w:p>
        </w:tc>
        <w:tc>
          <w:tcPr>
            <w:tcW w:w="8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E020A" w:rsidRPr="009C6944" w:rsidRDefault="00BE020A" w:rsidP="00E52649">
            <w:pPr>
              <w:keepNext/>
              <w:keepLines/>
              <w:jc w:val="center"/>
              <w:rPr>
                <w:rFonts w:ascii="Arial Narrow" w:hAnsi="Arial Narrow" w:cs="Times New Roman"/>
                <w:b/>
                <w:sz w:val="20"/>
              </w:rPr>
            </w:pPr>
            <w:r w:rsidRPr="009C6944">
              <w:rPr>
                <w:rFonts w:ascii="Arial Narrow" w:hAnsi="Arial Narrow" w:cs="Times New Roman"/>
                <w:b/>
                <w:sz w:val="20"/>
              </w:rPr>
              <w:t>CYC</w:t>
            </w:r>
            <w:r w:rsidR="00045329">
              <w:rPr>
                <w:rFonts w:ascii="Arial Narrow" w:hAnsi="Arial Narrow"/>
                <w:b/>
                <w:sz w:val="20"/>
              </w:rPr>
              <w:t>^</w:t>
            </w:r>
          </w:p>
        </w:tc>
        <w:tc>
          <w:tcPr>
            <w:tcW w:w="1156" w:type="dxa"/>
            <w:tcBorders>
              <w:top w:val="single" w:sz="4" w:space="0" w:color="auto"/>
              <w:left w:val="single" w:sz="4" w:space="0" w:color="auto"/>
              <w:bottom w:val="single" w:sz="4" w:space="0" w:color="auto"/>
              <w:right w:val="single" w:sz="4" w:space="0" w:color="auto"/>
            </w:tcBorders>
            <w:vAlign w:val="center"/>
          </w:tcPr>
          <w:p w:rsidR="00BE020A" w:rsidRPr="009C6944" w:rsidRDefault="00BE020A" w:rsidP="00E52649">
            <w:pPr>
              <w:keepNext/>
              <w:keepLines/>
              <w:ind w:right="-20"/>
              <w:jc w:val="center"/>
              <w:rPr>
                <w:rFonts w:ascii="Arial Narrow" w:hAnsi="Arial Narrow" w:cs="Times New Roman"/>
                <w:b/>
                <w:sz w:val="20"/>
              </w:rPr>
            </w:pPr>
            <w:r w:rsidRPr="009C6944">
              <w:rPr>
                <w:rFonts w:ascii="Arial Narrow" w:hAnsi="Arial Narrow" w:cs="Times New Roman"/>
                <w:b/>
                <w:sz w:val="20"/>
              </w:rPr>
              <w:t>AMB</w:t>
            </w:r>
            <w:r w:rsidR="001E2188">
              <w:rPr>
                <w:rFonts w:ascii="Arial Narrow" w:hAnsi="Arial Narrow" w:cs="Times New Roman"/>
                <w:b/>
                <w:sz w:val="20"/>
              </w:rPr>
              <w:t>*</w:t>
            </w:r>
          </w:p>
        </w:tc>
        <w:tc>
          <w:tcPr>
            <w:tcW w:w="1065" w:type="dxa"/>
            <w:tcBorders>
              <w:top w:val="single" w:sz="4" w:space="0" w:color="auto"/>
              <w:left w:val="single" w:sz="4" w:space="0" w:color="auto"/>
              <w:bottom w:val="single" w:sz="4" w:space="0" w:color="auto"/>
              <w:right w:val="single" w:sz="4" w:space="0" w:color="auto"/>
            </w:tcBorders>
            <w:vAlign w:val="center"/>
          </w:tcPr>
          <w:p w:rsidR="00BE020A" w:rsidRPr="009C6944" w:rsidRDefault="00BE020A" w:rsidP="00E52649">
            <w:pPr>
              <w:keepNext/>
              <w:keepLines/>
              <w:ind w:right="-20"/>
              <w:jc w:val="center"/>
              <w:rPr>
                <w:rFonts w:ascii="Arial Narrow" w:hAnsi="Arial Narrow" w:cs="Times New Roman"/>
                <w:b/>
                <w:sz w:val="20"/>
              </w:rPr>
            </w:pPr>
            <w:r w:rsidRPr="009C6944">
              <w:rPr>
                <w:rFonts w:ascii="Arial Narrow" w:hAnsi="Arial Narrow" w:cs="Times New Roman"/>
                <w:b/>
                <w:sz w:val="20"/>
              </w:rPr>
              <w:t>ATG</w:t>
            </w:r>
          </w:p>
        </w:tc>
        <w:tc>
          <w:tcPr>
            <w:tcW w:w="989" w:type="dxa"/>
            <w:tcBorders>
              <w:top w:val="single" w:sz="4" w:space="0" w:color="auto"/>
              <w:left w:val="single" w:sz="4" w:space="0" w:color="auto"/>
              <w:bottom w:val="single" w:sz="4" w:space="0" w:color="auto"/>
              <w:right w:val="single" w:sz="4" w:space="0" w:color="auto"/>
            </w:tcBorders>
            <w:vAlign w:val="center"/>
          </w:tcPr>
          <w:p w:rsidR="00BE020A" w:rsidRPr="009C6944" w:rsidRDefault="00BE020A" w:rsidP="00E52649">
            <w:pPr>
              <w:keepNext/>
              <w:keepLines/>
              <w:ind w:right="-20"/>
              <w:jc w:val="center"/>
              <w:rPr>
                <w:rFonts w:ascii="Arial Narrow" w:hAnsi="Arial Narrow" w:cs="Times New Roman"/>
                <w:b/>
                <w:sz w:val="20"/>
              </w:rPr>
            </w:pPr>
            <w:r w:rsidRPr="009C6944">
              <w:rPr>
                <w:rFonts w:ascii="Arial Narrow" w:hAnsi="Arial Narrow" w:cs="Times New Roman"/>
                <w:b/>
                <w:sz w:val="20"/>
              </w:rPr>
              <w:t>IVIg</w:t>
            </w:r>
            <w:r w:rsidR="001E2188">
              <w:rPr>
                <w:rFonts w:ascii="Arial Narrow" w:hAnsi="Arial Narrow" w:cs="Times New Roman"/>
                <w:b/>
                <w:sz w:val="20"/>
              </w:rPr>
              <w:t>*</w:t>
            </w:r>
          </w:p>
        </w:tc>
        <w:tc>
          <w:tcPr>
            <w:tcW w:w="1130" w:type="dxa"/>
            <w:tcBorders>
              <w:top w:val="single" w:sz="4" w:space="0" w:color="auto"/>
              <w:left w:val="single" w:sz="4" w:space="0" w:color="auto"/>
              <w:bottom w:val="single" w:sz="4" w:space="0" w:color="auto"/>
              <w:right w:val="single" w:sz="4" w:space="0" w:color="auto"/>
            </w:tcBorders>
            <w:vAlign w:val="center"/>
          </w:tcPr>
          <w:p w:rsidR="00BE020A" w:rsidRPr="009C6944" w:rsidRDefault="00BE020A" w:rsidP="00E52649">
            <w:pPr>
              <w:keepNext/>
              <w:keepLines/>
              <w:ind w:right="-20"/>
              <w:jc w:val="center"/>
              <w:rPr>
                <w:rFonts w:ascii="Arial Narrow" w:hAnsi="Arial Narrow" w:cs="Times New Roman"/>
                <w:b/>
                <w:sz w:val="20"/>
              </w:rPr>
            </w:pPr>
            <w:r w:rsidRPr="009C6944">
              <w:rPr>
                <w:rFonts w:ascii="Arial Narrow" w:hAnsi="Arial Narrow" w:cs="Times New Roman"/>
                <w:b/>
                <w:sz w:val="20"/>
              </w:rPr>
              <w:t>MMF</w:t>
            </w:r>
          </w:p>
        </w:tc>
      </w:tr>
      <w:tr w:rsidR="00BE020A" w:rsidRPr="00DB4EA7" w:rsidTr="00A94127">
        <w:trPr>
          <w:cantSplit/>
          <w:trHeight w:val="227"/>
        </w:trPr>
        <w:tc>
          <w:tcPr>
            <w:tcW w:w="210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E020A" w:rsidRPr="009C6944" w:rsidRDefault="00BE020A" w:rsidP="00E52649">
            <w:pPr>
              <w:keepNext/>
              <w:keepLines/>
              <w:tabs>
                <w:tab w:val="left" w:pos="198"/>
              </w:tabs>
              <w:jc w:val="left"/>
              <w:rPr>
                <w:rFonts w:ascii="Arial Narrow" w:hAnsi="Arial Narrow" w:cs="Times New Roman"/>
                <w:sz w:val="20"/>
              </w:rPr>
            </w:pPr>
            <w:r w:rsidRPr="009C6944">
              <w:rPr>
                <w:rFonts w:ascii="Arial Narrow" w:hAnsi="Arial Narrow" w:cs="Times New Roman"/>
                <w:sz w:val="20"/>
              </w:rPr>
              <w:t>Cost of treatment</w:t>
            </w:r>
          </w:p>
        </w:tc>
        <w:tc>
          <w:tcPr>
            <w:tcW w:w="115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E020A" w:rsidRPr="00415D8B" w:rsidRDefault="00BE020A" w:rsidP="00E52649">
            <w:pPr>
              <w:keepNext/>
              <w:keepLines/>
              <w:jc w:val="center"/>
              <w:rPr>
                <w:rFonts w:ascii="Arial Narrow" w:hAnsi="Arial Narrow" w:cs="Times New Roman"/>
                <w:sz w:val="20"/>
              </w:rPr>
            </w:pPr>
            <w:r w:rsidRPr="00415D8B">
              <w:rPr>
                <w:rFonts w:ascii="Arial Narrow" w:hAnsi="Arial Narrow" w:cs="Times New Roman"/>
                <w:sz w:val="20"/>
              </w:rPr>
              <w:t>$</w:t>
            </w:r>
            <w:r w:rsidRPr="00B32B40">
              <w:rPr>
                <w:rFonts w:ascii="Arial Narrow" w:hAnsi="Arial Narrow" w:cs="Times New Roman"/>
                <w:sz w:val="20"/>
              </w:rPr>
              <w:t>7,756</w:t>
            </w:r>
          </w:p>
        </w:tc>
        <w:tc>
          <w:tcPr>
            <w:tcW w:w="8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E020A" w:rsidRPr="00415D8B" w:rsidRDefault="00BE020A" w:rsidP="00E52649">
            <w:pPr>
              <w:keepNext/>
              <w:keepLines/>
              <w:jc w:val="center"/>
              <w:rPr>
                <w:rFonts w:ascii="Arial Narrow" w:hAnsi="Arial Narrow" w:cs="Times New Roman"/>
                <w:i/>
                <w:sz w:val="20"/>
              </w:rPr>
            </w:pPr>
            <w:r w:rsidRPr="00415D8B">
              <w:rPr>
                <w:rFonts w:ascii="Arial Narrow" w:hAnsi="Arial Narrow" w:cs="Times New Roman"/>
                <w:i/>
                <w:sz w:val="20"/>
              </w:rPr>
              <w:t>$935</w:t>
            </w:r>
          </w:p>
        </w:tc>
        <w:tc>
          <w:tcPr>
            <w:tcW w:w="1156" w:type="dxa"/>
            <w:tcBorders>
              <w:top w:val="single" w:sz="4" w:space="0" w:color="auto"/>
              <w:left w:val="single" w:sz="4" w:space="0" w:color="auto"/>
              <w:bottom w:val="single" w:sz="4" w:space="0" w:color="auto"/>
              <w:right w:val="single" w:sz="4" w:space="0" w:color="auto"/>
            </w:tcBorders>
            <w:vAlign w:val="center"/>
          </w:tcPr>
          <w:p w:rsidR="00BE020A" w:rsidRPr="00415D8B" w:rsidRDefault="00BE020A" w:rsidP="00E52649">
            <w:pPr>
              <w:keepNext/>
              <w:keepLines/>
              <w:jc w:val="center"/>
              <w:rPr>
                <w:rFonts w:ascii="Arial Narrow" w:hAnsi="Arial Narrow" w:cs="Times New Roman"/>
                <w:sz w:val="20"/>
              </w:rPr>
            </w:pPr>
            <w:r w:rsidRPr="00415D8B">
              <w:rPr>
                <w:rFonts w:ascii="Arial Narrow" w:hAnsi="Arial Narrow" w:cs="Times New Roman"/>
                <w:sz w:val="20"/>
              </w:rPr>
              <w:t>$14,000</w:t>
            </w:r>
          </w:p>
        </w:tc>
        <w:tc>
          <w:tcPr>
            <w:tcW w:w="1065" w:type="dxa"/>
            <w:tcBorders>
              <w:top w:val="single" w:sz="4" w:space="0" w:color="auto"/>
              <w:left w:val="single" w:sz="4" w:space="0" w:color="auto"/>
              <w:bottom w:val="single" w:sz="4" w:space="0" w:color="auto"/>
              <w:right w:val="single" w:sz="4" w:space="0" w:color="auto"/>
            </w:tcBorders>
            <w:vAlign w:val="center"/>
          </w:tcPr>
          <w:p w:rsidR="00BE020A" w:rsidRPr="00415D8B" w:rsidRDefault="00BE020A" w:rsidP="00E52649">
            <w:pPr>
              <w:keepNext/>
              <w:keepLines/>
              <w:jc w:val="center"/>
              <w:rPr>
                <w:rFonts w:ascii="Arial Narrow" w:hAnsi="Arial Narrow" w:cs="Times New Roman"/>
                <w:sz w:val="20"/>
              </w:rPr>
            </w:pPr>
            <w:r w:rsidRPr="00415D8B">
              <w:rPr>
                <w:rFonts w:ascii="Arial Narrow" w:hAnsi="Arial Narrow" w:cs="Times New Roman"/>
                <w:sz w:val="20"/>
              </w:rPr>
              <w:t>$33,210</w:t>
            </w:r>
          </w:p>
        </w:tc>
        <w:tc>
          <w:tcPr>
            <w:tcW w:w="989" w:type="dxa"/>
            <w:tcBorders>
              <w:top w:val="single" w:sz="4" w:space="0" w:color="auto"/>
              <w:left w:val="single" w:sz="4" w:space="0" w:color="auto"/>
              <w:bottom w:val="single" w:sz="4" w:space="0" w:color="auto"/>
              <w:right w:val="single" w:sz="4" w:space="0" w:color="auto"/>
            </w:tcBorders>
            <w:vAlign w:val="center"/>
          </w:tcPr>
          <w:p w:rsidR="00BE020A" w:rsidRPr="00415D8B" w:rsidRDefault="00BE020A" w:rsidP="00E52649">
            <w:pPr>
              <w:keepNext/>
              <w:keepLines/>
              <w:jc w:val="center"/>
              <w:rPr>
                <w:rFonts w:ascii="Arial Narrow" w:hAnsi="Arial Narrow" w:cs="Times New Roman"/>
                <w:sz w:val="20"/>
              </w:rPr>
            </w:pPr>
            <w:r w:rsidRPr="00415D8B">
              <w:rPr>
                <w:rFonts w:ascii="Arial Narrow" w:hAnsi="Arial Narrow" w:cs="Times New Roman"/>
                <w:sz w:val="20"/>
              </w:rPr>
              <w:t>$4,741</w:t>
            </w:r>
          </w:p>
        </w:tc>
        <w:tc>
          <w:tcPr>
            <w:tcW w:w="1130" w:type="dxa"/>
            <w:tcBorders>
              <w:top w:val="single" w:sz="4" w:space="0" w:color="auto"/>
              <w:left w:val="single" w:sz="4" w:space="0" w:color="auto"/>
              <w:bottom w:val="single" w:sz="4" w:space="0" w:color="auto"/>
              <w:right w:val="single" w:sz="4" w:space="0" w:color="auto"/>
            </w:tcBorders>
            <w:vAlign w:val="center"/>
          </w:tcPr>
          <w:p w:rsidR="00BE020A" w:rsidRPr="00415D8B" w:rsidRDefault="00BE020A" w:rsidP="00E52649">
            <w:pPr>
              <w:keepNext/>
              <w:keepLines/>
              <w:jc w:val="center"/>
              <w:rPr>
                <w:rFonts w:ascii="Arial Narrow" w:hAnsi="Arial Narrow" w:cs="Times New Roman"/>
                <w:sz w:val="20"/>
              </w:rPr>
            </w:pPr>
            <w:r w:rsidRPr="00415D8B">
              <w:rPr>
                <w:rFonts w:ascii="Arial Narrow" w:hAnsi="Arial Narrow" w:cs="Times New Roman"/>
                <w:sz w:val="20"/>
              </w:rPr>
              <w:t>$1,659</w:t>
            </w:r>
          </w:p>
        </w:tc>
      </w:tr>
      <w:tr w:rsidR="00BE020A" w:rsidRPr="00DB4EA7" w:rsidTr="00A94127">
        <w:trPr>
          <w:cantSplit/>
          <w:trHeight w:val="227"/>
        </w:trPr>
        <w:tc>
          <w:tcPr>
            <w:tcW w:w="210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E020A" w:rsidRPr="009C6944" w:rsidRDefault="00BE020A" w:rsidP="00E52649">
            <w:pPr>
              <w:keepNext/>
              <w:keepLines/>
              <w:tabs>
                <w:tab w:val="left" w:pos="198"/>
              </w:tabs>
              <w:jc w:val="left"/>
              <w:rPr>
                <w:rFonts w:ascii="Arial Narrow" w:hAnsi="Arial Narrow" w:cs="Times New Roman"/>
                <w:sz w:val="20"/>
              </w:rPr>
            </w:pPr>
            <w:r w:rsidRPr="009C6944">
              <w:rPr>
                <w:rFonts w:ascii="Arial Narrow" w:hAnsi="Arial Narrow" w:cs="Times New Roman"/>
                <w:sz w:val="20"/>
              </w:rPr>
              <w:t>Administration cost</w:t>
            </w:r>
          </w:p>
        </w:tc>
        <w:tc>
          <w:tcPr>
            <w:tcW w:w="115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E020A" w:rsidRPr="00415D8B" w:rsidRDefault="00BE020A" w:rsidP="00E52649">
            <w:pPr>
              <w:keepNext/>
              <w:keepLines/>
              <w:jc w:val="center"/>
              <w:rPr>
                <w:rFonts w:ascii="Arial Narrow" w:hAnsi="Arial Narrow" w:cs="Times New Roman"/>
                <w:sz w:val="20"/>
              </w:rPr>
            </w:pPr>
            <w:r w:rsidRPr="00415D8B">
              <w:rPr>
                <w:rFonts w:ascii="Arial Narrow" w:hAnsi="Arial Narrow" w:cs="Times New Roman"/>
                <w:sz w:val="20"/>
              </w:rPr>
              <w:t>$1,262</w:t>
            </w:r>
          </w:p>
        </w:tc>
        <w:tc>
          <w:tcPr>
            <w:tcW w:w="8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E020A" w:rsidRPr="00415D8B" w:rsidRDefault="00BE020A" w:rsidP="00E52649">
            <w:pPr>
              <w:keepNext/>
              <w:keepLines/>
              <w:jc w:val="center"/>
              <w:rPr>
                <w:rFonts w:ascii="Arial Narrow" w:hAnsi="Arial Narrow" w:cs="Times New Roman"/>
                <w:i/>
                <w:sz w:val="20"/>
              </w:rPr>
            </w:pPr>
            <w:r w:rsidRPr="00415D8B">
              <w:rPr>
                <w:rFonts w:ascii="Arial Narrow" w:hAnsi="Arial Narrow" w:cs="Times New Roman"/>
                <w:i/>
                <w:sz w:val="20"/>
              </w:rPr>
              <w:t>$2,142</w:t>
            </w:r>
            <w:r w:rsidR="009C6944" w:rsidRPr="00415D8B">
              <w:rPr>
                <w:rFonts w:ascii="Arial Narrow" w:hAnsi="Arial Narrow" w:cs="Times New Roman"/>
                <w:i/>
                <w:sz w:val="20"/>
              </w:rPr>
              <w:t>*</w:t>
            </w:r>
            <w:r w:rsidR="001E2188" w:rsidRPr="00415D8B">
              <w:rPr>
                <w:rFonts w:ascii="Arial Narrow" w:hAnsi="Arial Narrow" w:cs="Times New Roman"/>
                <w:i/>
                <w:sz w:val="20"/>
              </w:rPr>
              <w:t>*</w:t>
            </w:r>
          </w:p>
        </w:tc>
        <w:tc>
          <w:tcPr>
            <w:tcW w:w="1156" w:type="dxa"/>
            <w:tcBorders>
              <w:top w:val="single" w:sz="4" w:space="0" w:color="auto"/>
              <w:left w:val="single" w:sz="4" w:space="0" w:color="auto"/>
              <w:bottom w:val="single" w:sz="4" w:space="0" w:color="auto"/>
              <w:right w:val="single" w:sz="4" w:space="0" w:color="auto"/>
            </w:tcBorders>
            <w:vAlign w:val="center"/>
          </w:tcPr>
          <w:p w:rsidR="00BE020A" w:rsidRPr="00415D8B" w:rsidRDefault="00BE020A" w:rsidP="00E52649">
            <w:pPr>
              <w:keepNext/>
              <w:keepLines/>
              <w:jc w:val="center"/>
              <w:rPr>
                <w:rFonts w:ascii="Arial Narrow" w:hAnsi="Arial Narrow" w:cs="Times New Roman"/>
                <w:sz w:val="20"/>
              </w:rPr>
            </w:pPr>
            <w:r w:rsidRPr="00415D8B">
              <w:rPr>
                <w:rFonts w:ascii="Arial Narrow" w:hAnsi="Arial Narrow" w:cs="Times New Roman"/>
                <w:sz w:val="20"/>
              </w:rPr>
              <w:t>$2,677</w:t>
            </w:r>
          </w:p>
        </w:tc>
        <w:tc>
          <w:tcPr>
            <w:tcW w:w="1065" w:type="dxa"/>
            <w:tcBorders>
              <w:top w:val="single" w:sz="4" w:space="0" w:color="auto"/>
              <w:left w:val="single" w:sz="4" w:space="0" w:color="auto"/>
              <w:bottom w:val="single" w:sz="4" w:space="0" w:color="auto"/>
              <w:right w:val="single" w:sz="4" w:space="0" w:color="auto"/>
            </w:tcBorders>
            <w:vAlign w:val="center"/>
          </w:tcPr>
          <w:p w:rsidR="00BE020A" w:rsidRPr="00415D8B" w:rsidRDefault="00BE020A" w:rsidP="00E52649">
            <w:pPr>
              <w:keepNext/>
              <w:keepLines/>
              <w:jc w:val="center"/>
              <w:rPr>
                <w:rFonts w:ascii="Arial Narrow" w:hAnsi="Arial Narrow" w:cs="Times New Roman"/>
                <w:sz w:val="20"/>
              </w:rPr>
            </w:pPr>
            <w:r w:rsidRPr="00415D8B">
              <w:rPr>
                <w:rFonts w:ascii="Arial Narrow" w:hAnsi="Arial Narrow" w:cs="Times New Roman"/>
                <w:sz w:val="20"/>
              </w:rPr>
              <w:t>$5,354</w:t>
            </w:r>
          </w:p>
        </w:tc>
        <w:tc>
          <w:tcPr>
            <w:tcW w:w="989" w:type="dxa"/>
            <w:tcBorders>
              <w:top w:val="single" w:sz="4" w:space="0" w:color="auto"/>
              <w:left w:val="single" w:sz="4" w:space="0" w:color="auto"/>
              <w:bottom w:val="single" w:sz="4" w:space="0" w:color="auto"/>
              <w:right w:val="single" w:sz="4" w:space="0" w:color="auto"/>
            </w:tcBorders>
            <w:vAlign w:val="center"/>
          </w:tcPr>
          <w:p w:rsidR="00BE020A" w:rsidRPr="00415D8B" w:rsidRDefault="00BE020A" w:rsidP="00E52649">
            <w:pPr>
              <w:keepNext/>
              <w:keepLines/>
              <w:jc w:val="center"/>
              <w:rPr>
                <w:rFonts w:ascii="Arial Narrow" w:hAnsi="Arial Narrow" w:cs="Times New Roman"/>
                <w:sz w:val="20"/>
              </w:rPr>
            </w:pPr>
            <w:r w:rsidRPr="00415D8B">
              <w:rPr>
                <w:rFonts w:ascii="Arial Narrow" w:hAnsi="Arial Narrow" w:cs="Times New Roman"/>
                <w:sz w:val="20"/>
              </w:rPr>
              <w:t>$5,354</w:t>
            </w:r>
          </w:p>
        </w:tc>
        <w:tc>
          <w:tcPr>
            <w:tcW w:w="1130" w:type="dxa"/>
            <w:tcBorders>
              <w:top w:val="single" w:sz="4" w:space="0" w:color="auto"/>
              <w:left w:val="single" w:sz="4" w:space="0" w:color="auto"/>
              <w:bottom w:val="single" w:sz="4" w:space="0" w:color="auto"/>
              <w:right w:val="single" w:sz="4" w:space="0" w:color="auto"/>
            </w:tcBorders>
            <w:vAlign w:val="center"/>
          </w:tcPr>
          <w:p w:rsidR="00BE020A" w:rsidRPr="00415D8B" w:rsidRDefault="00BE020A" w:rsidP="00E52649">
            <w:pPr>
              <w:keepNext/>
              <w:keepLines/>
              <w:jc w:val="center"/>
              <w:rPr>
                <w:rFonts w:ascii="Arial Narrow" w:hAnsi="Arial Narrow" w:cs="Times New Roman"/>
                <w:sz w:val="20"/>
              </w:rPr>
            </w:pPr>
            <w:r w:rsidRPr="00415D8B">
              <w:rPr>
                <w:rFonts w:ascii="Arial Narrow" w:hAnsi="Arial Narrow" w:cs="Times New Roman"/>
                <w:sz w:val="20"/>
              </w:rPr>
              <w:t>$0</w:t>
            </w:r>
          </w:p>
        </w:tc>
      </w:tr>
      <w:tr w:rsidR="00BE020A" w:rsidRPr="00DB4EA7" w:rsidTr="00A94127">
        <w:trPr>
          <w:cantSplit/>
          <w:trHeight w:val="227"/>
        </w:trPr>
        <w:tc>
          <w:tcPr>
            <w:tcW w:w="210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E020A" w:rsidRPr="0012267E" w:rsidRDefault="00BE020A" w:rsidP="00E52649">
            <w:pPr>
              <w:keepNext/>
              <w:keepLines/>
              <w:tabs>
                <w:tab w:val="left" w:pos="198"/>
              </w:tabs>
              <w:jc w:val="left"/>
              <w:rPr>
                <w:rFonts w:ascii="Arial Narrow" w:hAnsi="Arial Narrow" w:cs="Times New Roman"/>
                <w:sz w:val="20"/>
              </w:rPr>
            </w:pPr>
            <w:r w:rsidRPr="0012267E">
              <w:rPr>
                <w:rFonts w:ascii="Arial Narrow" w:hAnsi="Arial Narrow" w:cs="Times New Roman"/>
                <w:sz w:val="20"/>
              </w:rPr>
              <w:t>Total</w:t>
            </w:r>
            <w:r w:rsidR="0012267E">
              <w:rPr>
                <w:rFonts w:ascii="Arial Narrow" w:hAnsi="Arial Narrow" w:cs="Times New Roman"/>
                <w:sz w:val="20"/>
              </w:rPr>
              <w:t xml:space="preserve"> cost</w:t>
            </w:r>
          </w:p>
        </w:tc>
        <w:tc>
          <w:tcPr>
            <w:tcW w:w="115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E020A" w:rsidRPr="00415D8B" w:rsidRDefault="00BE020A" w:rsidP="00E52649">
            <w:pPr>
              <w:keepNext/>
              <w:keepLines/>
              <w:jc w:val="center"/>
              <w:rPr>
                <w:rFonts w:ascii="Arial Narrow" w:hAnsi="Arial Narrow" w:cs="Times New Roman"/>
                <w:sz w:val="20"/>
              </w:rPr>
            </w:pPr>
            <w:r w:rsidRPr="00415D8B">
              <w:rPr>
                <w:rFonts w:ascii="Arial Narrow" w:hAnsi="Arial Narrow" w:cs="Times New Roman"/>
                <w:sz w:val="20"/>
              </w:rPr>
              <w:t>$</w:t>
            </w:r>
            <w:r w:rsidRPr="00B32B40">
              <w:rPr>
                <w:rFonts w:ascii="Arial Narrow" w:hAnsi="Arial Narrow" w:cs="Times New Roman"/>
                <w:sz w:val="20"/>
              </w:rPr>
              <w:t>9,018</w:t>
            </w:r>
          </w:p>
        </w:tc>
        <w:tc>
          <w:tcPr>
            <w:tcW w:w="8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E020A" w:rsidRPr="00415D8B" w:rsidRDefault="00BE020A" w:rsidP="00E52649">
            <w:pPr>
              <w:keepNext/>
              <w:keepLines/>
              <w:jc w:val="center"/>
              <w:rPr>
                <w:rFonts w:ascii="Arial Narrow" w:hAnsi="Arial Narrow" w:cs="Times New Roman"/>
                <w:i/>
                <w:sz w:val="20"/>
              </w:rPr>
            </w:pPr>
            <w:r w:rsidRPr="00415D8B">
              <w:rPr>
                <w:rFonts w:ascii="Arial Narrow" w:hAnsi="Arial Narrow" w:cs="Times New Roman"/>
                <w:i/>
                <w:sz w:val="20"/>
              </w:rPr>
              <w:t>$3,077</w:t>
            </w:r>
          </w:p>
        </w:tc>
        <w:tc>
          <w:tcPr>
            <w:tcW w:w="1156" w:type="dxa"/>
            <w:tcBorders>
              <w:top w:val="single" w:sz="4" w:space="0" w:color="auto"/>
              <w:left w:val="single" w:sz="4" w:space="0" w:color="auto"/>
              <w:bottom w:val="single" w:sz="4" w:space="0" w:color="auto"/>
              <w:right w:val="single" w:sz="4" w:space="0" w:color="auto"/>
            </w:tcBorders>
            <w:vAlign w:val="center"/>
          </w:tcPr>
          <w:p w:rsidR="00BE020A" w:rsidRPr="00415D8B" w:rsidRDefault="00BE020A" w:rsidP="00E52649">
            <w:pPr>
              <w:keepNext/>
              <w:keepLines/>
              <w:jc w:val="center"/>
              <w:rPr>
                <w:rFonts w:ascii="Arial Narrow" w:hAnsi="Arial Narrow" w:cs="Times New Roman"/>
                <w:sz w:val="20"/>
              </w:rPr>
            </w:pPr>
            <w:r w:rsidRPr="00415D8B">
              <w:rPr>
                <w:rFonts w:ascii="Arial Narrow" w:hAnsi="Arial Narrow" w:cs="Times New Roman"/>
                <w:sz w:val="20"/>
              </w:rPr>
              <w:t>$16,677</w:t>
            </w:r>
          </w:p>
        </w:tc>
        <w:tc>
          <w:tcPr>
            <w:tcW w:w="1065" w:type="dxa"/>
            <w:tcBorders>
              <w:top w:val="single" w:sz="4" w:space="0" w:color="auto"/>
              <w:left w:val="single" w:sz="4" w:space="0" w:color="auto"/>
              <w:bottom w:val="single" w:sz="4" w:space="0" w:color="auto"/>
              <w:right w:val="single" w:sz="4" w:space="0" w:color="auto"/>
            </w:tcBorders>
            <w:vAlign w:val="center"/>
          </w:tcPr>
          <w:p w:rsidR="00BE020A" w:rsidRPr="00415D8B" w:rsidRDefault="00BE020A" w:rsidP="00E52649">
            <w:pPr>
              <w:keepNext/>
              <w:keepLines/>
              <w:jc w:val="center"/>
              <w:rPr>
                <w:rFonts w:ascii="Arial Narrow" w:hAnsi="Arial Narrow" w:cs="Times New Roman"/>
                <w:sz w:val="20"/>
              </w:rPr>
            </w:pPr>
            <w:r w:rsidRPr="00415D8B">
              <w:rPr>
                <w:rFonts w:ascii="Arial Narrow" w:hAnsi="Arial Narrow" w:cs="Times New Roman"/>
                <w:sz w:val="20"/>
              </w:rPr>
              <w:t>$38,564</w:t>
            </w:r>
          </w:p>
        </w:tc>
        <w:tc>
          <w:tcPr>
            <w:tcW w:w="989" w:type="dxa"/>
            <w:tcBorders>
              <w:top w:val="single" w:sz="4" w:space="0" w:color="auto"/>
              <w:left w:val="single" w:sz="4" w:space="0" w:color="auto"/>
              <w:bottom w:val="single" w:sz="4" w:space="0" w:color="auto"/>
              <w:right w:val="single" w:sz="4" w:space="0" w:color="auto"/>
            </w:tcBorders>
            <w:vAlign w:val="center"/>
          </w:tcPr>
          <w:p w:rsidR="00BE020A" w:rsidRPr="00415D8B" w:rsidRDefault="00BE020A" w:rsidP="00E52649">
            <w:pPr>
              <w:keepNext/>
              <w:keepLines/>
              <w:jc w:val="center"/>
              <w:rPr>
                <w:rFonts w:ascii="Arial Narrow" w:hAnsi="Arial Narrow" w:cs="Times New Roman"/>
                <w:sz w:val="20"/>
              </w:rPr>
            </w:pPr>
            <w:r w:rsidRPr="00415D8B">
              <w:rPr>
                <w:rFonts w:ascii="Arial Narrow" w:hAnsi="Arial Narrow" w:cs="Times New Roman"/>
                <w:sz w:val="20"/>
              </w:rPr>
              <w:t>$10,094</w:t>
            </w:r>
          </w:p>
        </w:tc>
        <w:tc>
          <w:tcPr>
            <w:tcW w:w="1130" w:type="dxa"/>
            <w:tcBorders>
              <w:top w:val="single" w:sz="4" w:space="0" w:color="auto"/>
              <w:left w:val="single" w:sz="4" w:space="0" w:color="auto"/>
              <w:bottom w:val="single" w:sz="4" w:space="0" w:color="auto"/>
              <w:right w:val="single" w:sz="4" w:space="0" w:color="auto"/>
            </w:tcBorders>
            <w:vAlign w:val="center"/>
          </w:tcPr>
          <w:p w:rsidR="00BE020A" w:rsidRPr="00415D8B" w:rsidRDefault="00BE020A" w:rsidP="00E52649">
            <w:pPr>
              <w:keepNext/>
              <w:keepLines/>
              <w:jc w:val="center"/>
              <w:rPr>
                <w:rFonts w:ascii="Arial Narrow" w:hAnsi="Arial Narrow" w:cs="Times New Roman"/>
                <w:sz w:val="20"/>
              </w:rPr>
            </w:pPr>
            <w:r w:rsidRPr="00415D8B">
              <w:rPr>
                <w:rFonts w:ascii="Arial Narrow" w:hAnsi="Arial Narrow" w:cs="Times New Roman"/>
                <w:sz w:val="20"/>
              </w:rPr>
              <w:t>$1,659</w:t>
            </w:r>
          </w:p>
        </w:tc>
      </w:tr>
      <w:tr w:rsidR="00BE020A" w:rsidRPr="004E2ADC" w:rsidTr="00A94127">
        <w:trPr>
          <w:cantSplit/>
          <w:trHeight w:val="227"/>
        </w:trPr>
        <w:tc>
          <w:tcPr>
            <w:tcW w:w="210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E020A" w:rsidRPr="009C6944" w:rsidRDefault="00BE020A" w:rsidP="00E52649">
            <w:pPr>
              <w:keepNext/>
              <w:keepLines/>
              <w:tabs>
                <w:tab w:val="left" w:pos="198"/>
              </w:tabs>
              <w:jc w:val="left"/>
              <w:rPr>
                <w:rFonts w:ascii="Arial Narrow" w:hAnsi="Arial Narrow" w:cs="Times New Roman"/>
                <w:b/>
                <w:sz w:val="20"/>
              </w:rPr>
            </w:pPr>
            <w:r w:rsidRPr="009C6944">
              <w:rPr>
                <w:rFonts w:ascii="Arial Narrow" w:hAnsi="Arial Narrow" w:cs="Times New Roman"/>
                <w:b/>
                <w:sz w:val="20"/>
              </w:rPr>
              <w:t>Incremental cost per induction</w:t>
            </w:r>
          </w:p>
        </w:tc>
        <w:tc>
          <w:tcPr>
            <w:tcW w:w="115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E020A" w:rsidRPr="00415D8B" w:rsidRDefault="00BE020A" w:rsidP="00E52649">
            <w:pPr>
              <w:keepNext/>
              <w:keepLines/>
              <w:jc w:val="center"/>
              <w:rPr>
                <w:rFonts w:ascii="Arial Narrow" w:hAnsi="Arial Narrow" w:cs="Times New Roman"/>
                <w:b/>
                <w:sz w:val="20"/>
              </w:rPr>
            </w:pPr>
            <w:r w:rsidRPr="00415D8B">
              <w:rPr>
                <w:rFonts w:ascii="Arial Narrow" w:hAnsi="Arial Narrow" w:cs="Times New Roman"/>
                <w:b/>
                <w:sz w:val="20"/>
              </w:rPr>
              <w:t>-</w:t>
            </w:r>
          </w:p>
        </w:tc>
        <w:tc>
          <w:tcPr>
            <w:tcW w:w="8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E020A" w:rsidRPr="00415D8B" w:rsidRDefault="00BE020A" w:rsidP="00E52649">
            <w:pPr>
              <w:keepNext/>
              <w:keepLines/>
              <w:jc w:val="center"/>
              <w:rPr>
                <w:rFonts w:ascii="Arial Narrow" w:hAnsi="Arial Narrow" w:cs="Times New Roman"/>
                <w:b/>
                <w:i/>
                <w:sz w:val="20"/>
              </w:rPr>
            </w:pPr>
            <w:r w:rsidRPr="00415D8B">
              <w:rPr>
                <w:rFonts w:ascii="Arial Narrow" w:hAnsi="Arial Narrow" w:cs="Times New Roman"/>
                <w:b/>
                <w:i/>
                <w:sz w:val="20"/>
              </w:rPr>
              <w:t>$</w:t>
            </w:r>
            <w:r w:rsidRPr="00B32B40">
              <w:rPr>
                <w:rFonts w:ascii="Arial Narrow" w:hAnsi="Arial Narrow" w:cs="Times New Roman"/>
                <w:b/>
                <w:i/>
                <w:sz w:val="20"/>
              </w:rPr>
              <w:t>5,941</w:t>
            </w:r>
          </w:p>
        </w:tc>
        <w:tc>
          <w:tcPr>
            <w:tcW w:w="1156" w:type="dxa"/>
            <w:tcBorders>
              <w:top w:val="single" w:sz="4" w:space="0" w:color="auto"/>
              <w:left w:val="single" w:sz="4" w:space="0" w:color="auto"/>
              <w:bottom w:val="single" w:sz="4" w:space="0" w:color="auto"/>
              <w:right w:val="single" w:sz="4" w:space="0" w:color="auto"/>
            </w:tcBorders>
            <w:vAlign w:val="center"/>
          </w:tcPr>
          <w:p w:rsidR="00BE020A" w:rsidRPr="00415D8B" w:rsidRDefault="00BE020A" w:rsidP="00E52649">
            <w:pPr>
              <w:keepNext/>
              <w:keepLines/>
              <w:jc w:val="center"/>
              <w:rPr>
                <w:rFonts w:ascii="Arial Narrow" w:hAnsi="Arial Narrow" w:cs="Times New Roman"/>
                <w:b/>
                <w:sz w:val="20"/>
              </w:rPr>
            </w:pPr>
            <w:r w:rsidRPr="00415D8B">
              <w:rPr>
                <w:rFonts w:ascii="Arial Narrow" w:hAnsi="Arial Narrow" w:cs="Times New Roman"/>
                <w:b/>
                <w:sz w:val="20"/>
              </w:rPr>
              <w:t>-$</w:t>
            </w:r>
            <w:r w:rsidRPr="00B32B40">
              <w:rPr>
                <w:rFonts w:ascii="Arial Narrow" w:hAnsi="Arial Narrow" w:cs="Times New Roman"/>
                <w:b/>
                <w:sz w:val="20"/>
              </w:rPr>
              <w:t>7,659</w:t>
            </w:r>
          </w:p>
        </w:tc>
        <w:tc>
          <w:tcPr>
            <w:tcW w:w="1065" w:type="dxa"/>
            <w:tcBorders>
              <w:top w:val="single" w:sz="4" w:space="0" w:color="auto"/>
              <w:left w:val="single" w:sz="4" w:space="0" w:color="auto"/>
              <w:bottom w:val="single" w:sz="4" w:space="0" w:color="auto"/>
              <w:right w:val="single" w:sz="4" w:space="0" w:color="auto"/>
            </w:tcBorders>
            <w:vAlign w:val="center"/>
          </w:tcPr>
          <w:p w:rsidR="00BE020A" w:rsidRPr="00415D8B" w:rsidRDefault="00BE020A" w:rsidP="00E52649">
            <w:pPr>
              <w:keepNext/>
              <w:keepLines/>
              <w:jc w:val="center"/>
              <w:rPr>
                <w:rFonts w:ascii="Arial Narrow" w:hAnsi="Arial Narrow" w:cs="Times New Roman"/>
                <w:b/>
                <w:sz w:val="20"/>
              </w:rPr>
            </w:pPr>
            <w:r w:rsidRPr="00415D8B">
              <w:rPr>
                <w:rFonts w:ascii="Arial Narrow" w:hAnsi="Arial Narrow" w:cs="Times New Roman"/>
                <w:b/>
                <w:sz w:val="20"/>
              </w:rPr>
              <w:t>-$</w:t>
            </w:r>
            <w:r w:rsidRPr="00B32B40">
              <w:rPr>
                <w:rFonts w:ascii="Arial Narrow" w:hAnsi="Arial Narrow" w:cs="Times New Roman"/>
                <w:b/>
                <w:sz w:val="20"/>
              </w:rPr>
              <w:t>29,546</w:t>
            </w:r>
          </w:p>
        </w:tc>
        <w:tc>
          <w:tcPr>
            <w:tcW w:w="989" w:type="dxa"/>
            <w:tcBorders>
              <w:top w:val="single" w:sz="4" w:space="0" w:color="auto"/>
              <w:left w:val="single" w:sz="4" w:space="0" w:color="auto"/>
              <w:bottom w:val="single" w:sz="4" w:space="0" w:color="auto"/>
              <w:right w:val="single" w:sz="4" w:space="0" w:color="auto"/>
            </w:tcBorders>
            <w:vAlign w:val="center"/>
          </w:tcPr>
          <w:p w:rsidR="00BE020A" w:rsidRPr="00415D8B" w:rsidRDefault="00BE020A" w:rsidP="00E52649">
            <w:pPr>
              <w:keepNext/>
              <w:keepLines/>
              <w:jc w:val="center"/>
              <w:rPr>
                <w:rFonts w:ascii="Arial Narrow" w:hAnsi="Arial Narrow" w:cs="Times New Roman"/>
                <w:b/>
                <w:sz w:val="20"/>
              </w:rPr>
            </w:pPr>
            <w:r w:rsidRPr="00415D8B">
              <w:rPr>
                <w:rFonts w:ascii="Arial Narrow" w:hAnsi="Arial Narrow" w:cs="Times New Roman"/>
                <w:b/>
                <w:sz w:val="20"/>
              </w:rPr>
              <w:t>-$</w:t>
            </w:r>
            <w:r w:rsidRPr="00B32B40">
              <w:rPr>
                <w:rFonts w:ascii="Arial Narrow" w:hAnsi="Arial Narrow" w:cs="Times New Roman"/>
                <w:b/>
                <w:sz w:val="20"/>
              </w:rPr>
              <w:t>1,076</w:t>
            </w:r>
          </w:p>
        </w:tc>
        <w:tc>
          <w:tcPr>
            <w:tcW w:w="1130" w:type="dxa"/>
            <w:tcBorders>
              <w:top w:val="single" w:sz="4" w:space="0" w:color="auto"/>
              <w:left w:val="single" w:sz="4" w:space="0" w:color="auto"/>
              <w:bottom w:val="single" w:sz="4" w:space="0" w:color="auto"/>
              <w:right w:val="single" w:sz="4" w:space="0" w:color="auto"/>
            </w:tcBorders>
            <w:vAlign w:val="center"/>
          </w:tcPr>
          <w:p w:rsidR="00BE020A" w:rsidRPr="00415D8B" w:rsidRDefault="00BE020A" w:rsidP="00E52649">
            <w:pPr>
              <w:keepNext/>
              <w:keepLines/>
              <w:jc w:val="center"/>
              <w:rPr>
                <w:rFonts w:ascii="Arial Narrow" w:hAnsi="Arial Narrow" w:cs="Times New Roman"/>
                <w:b/>
                <w:sz w:val="20"/>
              </w:rPr>
            </w:pPr>
            <w:r w:rsidRPr="00415D8B">
              <w:rPr>
                <w:rFonts w:ascii="Arial Narrow" w:hAnsi="Arial Narrow" w:cs="Times New Roman"/>
                <w:b/>
                <w:sz w:val="20"/>
              </w:rPr>
              <w:t>$</w:t>
            </w:r>
            <w:r w:rsidRPr="00B32B40">
              <w:rPr>
                <w:rFonts w:ascii="Arial Narrow" w:hAnsi="Arial Narrow" w:cs="Times New Roman"/>
                <w:b/>
                <w:sz w:val="20"/>
              </w:rPr>
              <w:t>7,359</w:t>
            </w:r>
          </w:p>
        </w:tc>
      </w:tr>
    </w:tbl>
    <w:p w:rsidR="00BE020A" w:rsidRDefault="00BE020A" w:rsidP="00E52649">
      <w:pPr>
        <w:pStyle w:val="TableFooter"/>
        <w:keepNext/>
        <w:keepLines/>
        <w:ind w:left="720"/>
      </w:pPr>
      <w:r w:rsidRPr="00D13A3E">
        <w:t xml:space="preserve">Source: </w:t>
      </w:r>
      <w:r>
        <w:t>Table D.2.1, p6 of Section D of the submission</w:t>
      </w:r>
    </w:p>
    <w:p w:rsidR="00BE020A" w:rsidRDefault="00BE020A" w:rsidP="00E52649">
      <w:pPr>
        <w:pStyle w:val="TableFooter"/>
        <w:keepNext/>
        <w:keepLines/>
        <w:ind w:left="720"/>
      </w:pPr>
      <w:r>
        <w:t>Abbreviations: CYC = cyclophosphamide; ATG = anti-thymocyte globulin; AMB = alemtuzumab; IVIg = intravenous immunoglobulin; MMF = mycophenolate mofetil</w:t>
      </w:r>
    </w:p>
    <w:p w:rsidR="00356057" w:rsidRPr="00356057" w:rsidRDefault="00356057" w:rsidP="00E52649">
      <w:pPr>
        <w:pStyle w:val="TableFooter"/>
        <w:keepNext/>
        <w:keepLines/>
        <w:tabs>
          <w:tab w:val="left" w:pos="851"/>
        </w:tabs>
        <w:ind w:left="851" w:hanging="131"/>
        <w:rPr>
          <w:szCs w:val="18"/>
          <w:lang w:val="en-US"/>
        </w:rPr>
      </w:pPr>
      <w:r>
        <w:rPr>
          <w:b/>
          <w:sz w:val="20"/>
        </w:rPr>
        <w:t>^</w:t>
      </w:r>
      <w:r>
        <w:rPr>
          <w:rFonts w:ascii="MS Gothic" w:eastAsia="MS Gothic" w:cs="Times New Roman"/>
          <w:b/>
          <w:sz w:val="20"/>
          <w:lang w:val="en-US"/>
        </w:rPr>
        <w:tab/>
      </w:r>
      <w:r w:rsidRPr="00356057">
        <w:rPr>
          <w:rFonts w:eastAsia="MS Gothic" w:cs="Times New Roman"/>
          <w:szCs w:val="18"/>
          <w:lang w:val="en-US"/>
        </w:rPr>
        <w:t>500mg ex-manufacturer cost</w:t>
      </w:r>
      <w:r>
        <w:rPr>
          <w:rFonts w:eastAsia="MS Gothic" w:cs="Times New Roman"/>
          <w:szCs w:val="18"/>
          <w:lang w:val="en-US"/>
        </w:rPr>
        <w:t xml:space="preserve"> of rituximab is $</w:t>
      </w:r>
      <w:r w:rsidRPr="00B32B40">
        <w:rPr>
          <w:rFonts w:eastAsia="MS Gothic" w:cs="Times New Roman"/>
          <w:szCs w:val="18"/>
          <w:lang w:val="en-US"/>
        </w:rPr>
        <w:t>2,032.91;</w:t>
      </w:r>
      <w:r>
        <w:rPr>
          <w:rFonts w:eastAsia="MS Gothic" w:cs="Times New Roman"/>
          <w:szCs w:val="18"/>
          <w:lang w:val="en-US"/>
        </w:rPr>
        <w:t xml:space="preserve"> CYC</w:t>
      </w:r>
      <w:r w:rsidR="00AA16BC">
        <w:rPr>
          <w:rFonts w:eastAsia="MS Gothic" w:cs="Times New Roman"/>
          <w:szCs w:val="18"/>
          <w:lang w:val="en-US"/>
        </w:rPr>
        <w:t xml:space="preserve"> 500mg $19.23, 1000mg $29.42,</w:t>
      </w:r>
      <w:r w:rsidR="00DF7E97">
        <w:rPr>
          <w:rFonts w:eastAsia="MS Gothic" w:cs="Times New Roman"/>
          <w:szCs w:val="18"/>
          <w:lang w:val="en-US"/>
        </w:rPr>
        <w:t xml:space="preserve"> 2000mg $58.85, </w:t>
      </w:r>
      <w:r w:rsidR="00AA16BC">
        <w:rPr>
          <w:rFonts w:eastAsia="MS Gothic" w:cs="Times New Roman"/>
          <w:szCs w:val="18"/>
          <w:lang w:val="en-US"/>
        </w:rPr>
        <w:t>170mg tablet $</w:t>
      </w:r>
      <w:r w:rsidR="00AA16BC" w:rsidRPr="00B83EAF">
        <w:rPr>
          <w:rFonts w:eastAsia="MS Gothic" w:cs="Times New Roman"/>
          <w:szCs w:val="18"/>
          <w:lang w:val="en-US"/>
        </w:rPr>
        <w:t>83.64</w:t>
      </w:r>
      <w:r w:rsidR="00AA16BC">
        <w:rPr>
          <w:rFonts w:eastAsia="MS Gothic" w:cs="Times New Roman"/>
          <w:szCs w:val="18"/>
          <w:lang w:val="en-US"/>
        </w:rPr>
        <w:t xml:space="preserve"> (DPMQ)</w:t>
      </w:r>
      <w:r>
        <w:rPr>
          <w:rFonts w:eastAsia="MS Gothic" w:cs="Times New Roman"/>
          <w:szCs w:val="18"/>
          <w:lang w:val="en-US"/>
        </w:rPr>
        <w:t xml:space="preserve"> </w:t>
      </w:r>
    </w:p>
    <w:p w:rsidR="001E2188" w:rsidRDefault="001E2188" w:rsidP="00E52649">
      <w:pPr>
        <w:pStyle w:val="TableFooter"/>
        <w:keepNext/>
        <w:keepLines/>
        <w:tabs>
          <w:tab w:val="left" w:pos="851"/>
        </w:tabs>
        <w:ind w:left="851" w:hanging="131"/>
      </w:pPr>
      <w:r>
        <w:t>*</w:t>
      </w:r>
      <w:r>
        <w:tab/>
        <w:t xml:space="preserve">The submission stated that the costs for alemtuzumab and IVIg were provided as commercial in confidence </w:t>
      </w:r>
      <w:r w:rsidR="00E71387">
        <w:rPr>
          <w:noProof/>
          <w:color w:val="000000"/>
          <w:highlight w:val="black"/>
        </w:rPr>
        <w:t>'''''''''' '''''''''''''''' '''''''''''''''''</w:t>
      </w:r>
      <w:r>
        <w:t xml:space="preserve">.  </w:t>
      </w:r>
      <w:r w:rsidRPr="00313E58">
        <w:rPr>
          <w:i/>
        </w:rPr>
        <w:t xml:space="preserve">The cost of these products could not be verified and given that drug costs may vary across hospitals, the costs used by the submission may not </w:t>
      </w:r>
      <w:r w:rsidR="00313E58" w:rsidRPr="00313E58">
        <w:rPr>
          <w:i/>
        </w:rPr>
        <w:t>provide</w:t>
      </w:r>
      <w:r w:rsidRPr="00313E58">
        <w:rPr>
          <w:i/>
        </w:rPr>
        <w:t xml:space="preserve"> </w:t>
      </w:r>
      <w:r w:rsidR="00313E58" w:rsidRPr="00313E58">
        <w:rPr>
          <w:i/>
        </w:rPr>
        <w:t>a precise representation of cost.</w:t>
      </w:r>
    </w:p>
    <w:p w:rsidR="009C6944" w:rsidRDefault="001E2188" w:rsidP="00E52649">
      <w:pPr>
        <w:pStyle w:val="TableFooter"/>
        <w:keepNext/>
        <w:keepLines/>
        <w:tabs>
          <w:tab w:val="left" w:pos="851"/>
        </w:tabs>
        <w:ind w:left="851" w:hanging="131"/>
        <w:rPr>
          <w:rFonts w:cs="Calibri"/>
          <w:snapToGrid/>
          <w:szCs w:val="18"/>
          <w:lang w:val="en-US" w:eastAsia="en-AU"/>
        </w:rPr>
      </w:pPr>
      <w:r>
        <w:t>*</w:t>
      </w:r>
      <w:r w:rsidR="009C6944">
        <w:t>*</w:t>
      </w:r>
      <w:r w:rsidR="009C6944">
        <w:tab/>
      </w:r>
      <w:r w:rsidR="009C6944" w:rsidRPr="00D64645">
        <w:t xml:space="preserve">For CYC administration cost cell I20 of the ‘results_cost analysis’ worksheet had the following formula: </w:t>
      </w:r>
      <w:r w:rsidR="009C6944" w:rsidRPr="00D46448">
        <w:rPr>
          <w:rFonts w:cs="Calibri"/>
          <w:snapToGrid/>
          <w:szCs w:val="18"/>
          <w:lang w:val="en-US" w:eastAsia="en-AU"/>
        </w:rPr>
        <w:t>=c_weighted_admin_CYC_IV*cyc_CYC_IV.  The formula should be: =(c_weighted_admin_CYC_IV*cyc_CYC_IV)*pCYC_IV.  Variable names are: c_weighted_admin_CYC_IV=</w:t>
      </w:r>
      <w:r w:rsidR="009C6944" w:rsidRPr="00D46448">
        <w:rPr>
          <w:rFonts w:cs="Lucida Grande"/>
        </w:rPr>
        <w:t>'Administration costs'!$E$20</w:t>
      </w:r>
      <w:r w:rsidR="009C6944" w:rsidRPr="00D46448">
        <w:rPr>
          <w:rFonts w:cs="Calibri"/>
          <w:snapToGrid/>
          <w:szCs w:val="18"/>
          <w:lang w:val="en-US" w:eastAsia="en-AU"/>
        </w:rPr>
        <w:t xml:space="preserve"> which is $535.38; cyc_CYC_IV=’General inputs’D50 which is 8 cycles; pCYC_IV=’General inputs’D25 which is 50%.</w:t>
      </w:r>
    </w:p>
    <w:p w:rsidR="00D06E1E" w:rsidRPr="00D13A3E" w:rsidRDefault="00D06E1E" w:rsidP="009C6944">
      <w:pPr>
        <w:pStyle w:val="TableFooter"/>
        <w:tabs>
          <w:tab w:val="left" w:pos="851"/>
        </w:tabs>
        <w:ind w:left="851" w:hanging="131"/>
      </w:pPr>
    </w:p>
    <w:p w:rsidR="00A34A51" w:rsidRDefault="00A34A51" w:rsidP="00DD3A69">
      <w:pPr>
        <w:pStyle w:val="ListParagraph"/>
        <w:widowControl/>
        <w:numPr>
          <w:ilvl w:val="1"/>
          <w:numId w:val="2"/>
        </w:numPr>
      </w:pPr>
      <w:r w:rsidRPr="007815A6">
        <w:t>Non-inferiority in the RAVE trial was established using doses of rituximab 375mg/m</w:t>
      </w:r>
      <w:r w:rsidRPr="007815A6">
        <w:rPr>
          <w:vertAlign w:val="superscript"/>
        </w:rPr>
        <w:t>2</w:t>
      </w:r>
      <w:r w:rsidRPr="007815A6">
        <w:t xml:space="preserve"> once per week for 4 weeks over 6 months and oral CYC 2mg/kg/day for 3 months as opposed to the fixed dosing regimen used in the submission’s cost analysis.  An additional sensitivity analysis undertaken during the evaluation using weight-based rituximab dosing showed that the incremental cost per induction was most sensitive to this change, with the regimen of 375mg/m</w:t>
      </w:r>
      <w:r w:rsidRPr="007815A6">
        <w:rPr>
          <w:vertAlign w:val="superscript"/>
        </w:rPr>
        <w:t>2</w:t>
      </w:r>
      <w:r w:rsidRPr="007815A6">
        <w:t xml:space="preserve"> once per week as recommended in the PI increasing the incremental cost per induction of rituximab by approximately $</w:t>
      </w:r>
      <w:r w:rsidRPr="00B32B40">
        <w:t>9,400</w:t>
      </w:r>
      <w:r w:rsidRPr="007815A6">
        <w:t xml:space="preserve"> compared to each of the comparators.</w:t>
      </w:r>
    </w:p>
    <w:p w:rsidR="006A7430" w:rsidRDefault="006A7430" w:rsidP="006A7430">
      <w:pPr>
        <w:pStyle w:val="ListParagraph"/>
        <w:widowControl/>
      </w:pPr>
    </w:p>
    <w:p w:rsidR="006A7430" w:rsidRPr="001E2003" w:rsidRDefault="00675814" w:rsidP="00DD3A69">
      <w:pPr>
        <w:pStyle w:val="ListParagraph"/>
        <w:widowControl/>
        <w:numPr>
          <w:ilvl w:val="1"/>
          <w:numId w:val="2"/>
        </w:numPr>
        <w:rPr>
          <w:szCs w:val="22"/>
        </w:rPr>
      </w:pPr>
      <w:r>
        <w:rPr>
          <w:szCs w:val="22"/>
        </w:rPr>
        <w:t>The evaluation considered that a</w:t>
      </w:r>
      <w:r w:rsidR="006A7430" w:rsidRPr="007815A6">
        <w:rPr>
          <w:szCs w:val="22"/>
        </w:rPr>
        <w:t xml:space="preserve">ppropriate assessment of the available salvage therapy evidence would have provided a basis on which to make a clinical claim for treatment of strictly contraindicated patients. Depending on the clinical claim made, </w:t>
      </w:r>
      <w:r w:rsidR="00613C5A" w:rsidRPr="007815A6">
        <w:rPr>
          <w:szCs w:val="22"/>
        </w:rPr>
        <w:t>i.e.</w:t>
      </w:r>
      <w:r w:rsidR="006A7430" w:rsidRPr="007815A6">
        <w:rPr>
          <w:szCs w:val="22"/>
        </w:rPr>
        <w:t xml:space="preserve"> superiority or non-inferiority, the type of economic evaluation to be used could then be determined. </w:t>
      </w:r>
      <w:r>
        <w:rPr>
          <w:szCs w:val="22"/>
        </w:rPr>
        <w:t>The evaluation noted that i</w:t>
      </w:r>
      <w:r w:rsidR="006A7430" w:rsidRPr="007815A6">
        <w:rPr>
          <w:szCs w:val="22"/>
        </w:rPr>
        <w:t xml:space="preserve">t may be feasible to consider cost per remission induction for the economic analysis. </w:t>
      </w:r>
      <w:r w:rsidR="006A7430" w:rsidRPr="001E2003">
        <w:rPr>
          <w:szCs w:val="22"/>
        </w:rPr>
        <w:t xml:space="preserve">The PSCR provided the incremental cost per complete remission at 6 months for relapsed patients from the RAVE trial. This is presented in </w:t>
      </w:r>
      <w:r w:rsidR="00BA5FB2">
        <w:rPr>
          <w:szCs w:val="22"/>
        </w:rPr>
        <w:t>the table</w:t>
      </w:r>
      <w:r w:rsidR="006A7430" w:rsidRPr="001E2003">
        <w:rPr>
          <w:szCs w:val="22"/>
        </w:rPr>
        <w:t xml:space="preserve"> below. </w:t>
      </w:r>
    </w:p>
    <w:p w:rsidR="006A7430" w:rsidRDefault="006A7430" w:rsidP="006A7430">
      <w:pPr>
        <w:pStyle w:val="ListParagraph"/>
        <w:widowControl/>
      </w:pPr>
    </w:p>
    <w:p w:rsidR="006A7430" w:rsidRPr="001E2003" w:rsidRDefault="006A7430" w:rsidP="006A7430">
      <w:pPr>
        <w:pStyle w:val="ListParagraph"/>
        <w:rPr>
          <w:rFonts w:ascii="Arial Narrow" w:hAnsi="Arial Narrow"/>
          <w:b/>
          <w:sz w:val="20"/>
        </w:rPr>
      </w:pPr>
      <w:r w:rsidRPr="001E2003">
        <w:rPr>
          <w:rFonts w:ascii="Arial Narrow" w:hAnsi="Arial Narrow"/>
          <w:b/>
          <w:sz w:val="20"/>
        </w:rPr>
        <w:t>Incremental cost per complete remission at 6 months</w:t>
      </w:r>
    </w:p>
    <w:tbl>
      <w:tblPr>
        <w:tblStyle w:val="TableGrid"/>
        <w:tblW w:w="4558" w:type="pct"/>
        <w:tblInd w:w="817" w:type="dxa"/>
        <w:tblLook w:val="04A0" w:firstRow="1" w:lastRow="0" w:firstColumn="1" w:lastColumn="0" w:noHBand="0" w:noVBand="1"/>
        <w:tblCaption w:val="Economic analysis"/>
      </w:tblPr>
      <w:tblGrid>
        <w:gridCol w:w="4111"/>
        <w:gridCol w:w="2270"/>
        <w:gridCol w:w="2044"/>
      </w:tblGrid>
      <w:tr w:rsidR="006A7430" w:rsidRPr="001E2003" w:rsidTr="00C52387">
        <w:trPr>
          <w:tblHeader/>
        </w:trPr>
        <w:tc>
          <w:tcPr>
            <w:tcW w:w="2440" w:type="pct"/>
          </w:tcPr>
          <w:p w:rsidR="006A7430" w:rsidRPr="001E2003" w:rsidRDefault="006A7430" w:rsidP="00D35736">
            <w:pPr>
              <w:pStyle w:val="ListParagraph"/>
              <w:widowControl/>
              <w:ind w:left="0"/>
              <w:rPr>
                <w:rFonts w:ascii="Arial Narrow" w:hAnsi="Arial Narrow"/>
                <w:sz w:val="20"/>
              </w:rPr>
            </w:pPr>
          </w:p>
        </w:tc>
        <w:tc>
          <w:tcPr>
            <w:tcW w:w="1347" w:type="pct"/>
          </w:tcPr>
          <w:p w:rsidR="006A7430" w:rsidRPr="001E2003" w:rsidRDefault="006A7430" w:rsidP="00D35736">
            <w:pPr>
              <w:pStyle w:val="ListParagraph"/>
              <w:widowControl/>
              <w:ind w:left="0"/>
              <w:rPr>
                <w:rFonts w:ascii="Arial Narrow" w:hAnsi="Arial Narrow"/>
                <w:b/>
                <w:sz w:val="20"/>
              </w:rPr>
            </w:pPr>
            <w:r w:rsidRPr="001E2003">
              <w:rPr>
                <w:rFonts w:ascii="Arial Narrow" w:hAnsi="Arial Narrow"/>
                <w:b/>
                <w:sz w:val="20"/>
              </w:rPr>
              <w:t>Rituximab</w:t>
            </w:r>
          </w:p>
        </w:tc>
        <w:tc>
          <w:tcPr>
            <w:tcW w:w="1213" w:type="pct"/>
          </w:tcPr>
          <w:p w:rsidR="006A7430" w:rsidRPr="001E2003" w:rsidRDefault="006A7430" w:rsidP="00D35736">
            <w:pPr>
              <w:pStyle w:val="ListParagraph"/>
              <w:widowControl/>
              <w:ind w:left="0"/>
              <w:rPr>
                <w:rFonts w:ascii="Arial Narrow" w:hAnsi="Arial Narrow"/>
                <w:b/>
                <w:sz w:val="20"/>
              </w:rPr>
            </w:pPr>
            <w:r w:rsidRPr="001E2003">
              <w:rPr>
                <w:rFonts w:ascii="Arial Narrow" w:hAnsi="Arial Narrow"/>
                <w:b/>
                <w:sz w:val="20"/>
              </w:rPr>
              <w:t>CYC</w:t>
            </w:r>
          </w:p>
        </w:tc>
      </w:tr>
      <w:tr w:rsidR="006A7430" w:rsidRPr="001E2003" w:rsidTr="00D35736">
        <w:tc>
          <w:tcPr>
            <w:tcW w:w="2440" w:type="pct"/>
          </w:tcPr>
          <w:p w:rsidR="006A7430" w:rsidRPr="001E2003" w:rsidRDefault="006A7430" w:rsidP="00D35736">
            <w:pPr>
              <w:pStyle w:val="ListParagraph"/>
              <w:widowControl/>
              <w:ind w:left="0"/>
              <w:rPr>
                <w:rFonts w:ascii="Arial Narrow" w:hAnsi="Arial Narrow"/>
                <w:sz w:val="20"/>
              </w:rPr>
            </w:pPr>
            <w:r w:rsidRPr="001E2003">
              <w:rPr>
                <w:rFonts w:ascii="Arial Narrow" w:hAnsi="Arial Narrow"/>
                <w:sz w:val="20"/>
              </w:rPr>
              <w:t>Proportion of patients with relapsed disease achieving complete remission at 6 months</w:t>
            </w:r>
          </w:p>
        </w:tc>
        <w:tc>
          <w:tcPr>
            <w:tcW w:w="1347" w:type="pct"/>
            <w:vAlign w:val="center"/>
          </w:tcPr>
          <w:p w:rsidR="006A7430" w:rsidRPr="001E2003" w:rsidRDefault="006A7430" w:rsidP="00D35736">
            <w:pPr>
              <w:pStyle w:val="ListParagraph"/>
              <w:widowControl/>
              <w:ind w:left="0"/>
              <w:jc w:val="left"/>
              <w:rPr>
                <w:rFonts w:ascii="Arial Narrow" w:hAnsi="Arial Narrow"/>
                <w:sz w:val="20"/>
              </w:rPr>
            </w:pPr>
            <w:r w:rsidRPr="001E2003">
              <w:rPr>
                <w:rFonts w:ascii="Arial Narrow" w:hAnsi="Arial Narrow"/>
                <w:sz w:val="20"/>
              </w:rPr>
              <w:t>66.7%</w:t>
            </w:r>
          </w:p>
        </w:tc>
        <w:tc>
          <w:tcPr>
            <w:tcW w:w="1213" w:type="pct"/>
            <w:vAlign w:val="center"/>
          </w:tcPr>
          <w:p w:rsidR="006A7430" w:rsidRPr="001E2003" w:rsidRDefault="006A7430" w:rsidP="00D35736">
            <w:pPr>
              <w:pStyle w:val="ListParagraph"/>
              <w:widowControl/>
              <w:ind w:left="0"/>
              <w:jc w:val="left"/>
              <w:rPr>
                <w:rFonts w:ascii="Arial Narrow" w:hAnsi="Arial Narrow"/>
                <w:sz w:val="20"/>
              </w:rPr>
            </w:pPr>
            <w:r w:rsidRPr="001E2003">
              <w:rPr>
                <w:rFonts w:ascii="Arial Narrow" w:hAnsi="Arial Narrow"/>
                <w:sz w:val="20"/>
              </w:rPr>
              <w:t>42.0%</w:t>
            </w:r>
          </w:p>
        </w:tc>
      </w:tr>
      <w:tr w:rsidR="006A7430" w:rsidRPr="001E2003" w:rsidTr="00D35736">
        <w:tc>
          <w:tcPr>
            <w:tcW w:w="2440" w:type="pct"/>
          </w:tcPr>
          <w:p w:rsidR="006A7430" w:rsidRPr="001E2003" w:rsidRDefault="006A7430" w:rsidP="00D35736">
            <w:pPr>
              <w:pStyle w:val="ListParagraph"/>
              <w:widowControl/>
              <w:ind w:left="0"/>
              <w:rPr>
                <w:rFonts w:ascii="Arial Narrow" w:hAnsi="Arial Narrow"/>
                <w:sz w:val="20"/>
              </w:rPr>
            </w:pPr>
            <w:r w:rsidRPr="001E2003">
              <w:rPr>
                <w:rFonts w:ascii="Arial Narrow" w:hAnsi="Arial Narrow"/>
                <w:sz w:val="20"/>
              </w:rPr>
              <w:t>Mean total cost per induction of remission</w:t>
            </w:r>
          </w:p>
        </w:tc>
        <w:tc>
          <w:tcPr>
            <w:tcW w:w="1347" w:type="pct"/>
            <w:vAlign w:val="center"/>
          </w:tcPr>
          <w:p w:rsidR="006A7430" w:rsidRPr="001E2003" w:rsidRDefault="006A7430" w:rsidP="00D35736">
            <w:pPr>
              <w:pStyle w:val="ListParagraph"/>
              <w:widowControl/>
              <w:ind w:left="0"/>
              <w:jc w:val="left"/>
              <w:rPr>
                <w:rFonts w:ascii="Arial Narrow" w:hAnsi="Arial Narrow"/>
                <w:sz w:val="20"/>
              </w:rPr>
            </w:pPr>
            <w:r w:rsidRPr="001E2003">
              <w:rPr>
                <w:rFonts w:ascii="Arial Narrow" w:hAnsi="Arial Narrow"/>
                <w:sz w:val="20"/>
              </w:rPr>
              <w:t>$</w:t>
            </w:r>
            <w:r w:rsidRPr="00B32B40">
              <w:rPr>
                <w:rFonts w:ascii="Arial Narrow" w:hAnsi="Arial Narrow"/>
                <w:sz w:val="20"/>
              </w:rPr>
              <w:t>9,018</w:t>
            </w:r>
          </w:p>
        </w:tc>
        <w:tc>
          <w:tcPr>
            <w:tcW w:w="1213" w:type="pct"/>
            <w:vAlign w:val="center"/>
          </w:tcPr>
          <w:p w:rsidR="006A7430" w:rsidRPr="001E2003" w:rsidRDefault="006A7430" w:rsidP="00D35736">
            <w:pPr>
              <w:pStyle w:val="ListParagraph"/>
              <w:widowControl/>
              <w:ind w:left="0"/>
              <w:jc w:val="left"/>
              <w:rPr>
                <w:rFonts w:ascii="Arial Narrow" w:hAnsi="Arial Narrow"/>
                <w:sz w:val="20"/>
              </w:rPr>
            </w:pPr>
            <w:r w:rsidRPr="001E2003">
              <w:rPr>
                <w:rFonts w:ascii="Arial Narrow" w:hAnsi="Arial Narrow"/>
                <w:sz w:val="20"/>
              </w:rPr>
              <w:t>$3,077</w:t>
            </w:r>
          </w:p>
        </w:tc>
      </w:tr>
      <w:tr w:rsidR="006A7430" w:rsidRPr="001E2003" w:rsidTr="00D35736">
        <w:tc>
          <w:tcPr>
            <w:tcW w:w="2440" w:type="pct"/>
          </w:tcPr>
          <w:p w:rsidR="006A7430" w:rsidRPr="001E2003" w:rsidRDefault="006A7430" w:rsidP="00D35736">
            <w:pPr>
              <w:pStyle w:val="ListParagraph"/>
              <w:widowControl/>
              <w:ind w:left="0"/>
              <w:rPr>
                <w:rFonts w:ascii="Arial Narrow" w:hAnsi="Arial Narrow"/>
                <w:sz w:val="20"/>
              </w:rPr>
            </w:pPr>
            <w:r w:rsidRPr="001E2003">
              <w:rPr>
                <w:rFonts w:ascii="Arial Narrow" w:hAnsi="Arial Narrow"/>
                <w:sz w:val="20"/>
              </w:rPr>
              <w:t>Incremental cost per additional complete response at 6 months</w:t>
            </w:r>
          </w:p>
        </w:tc>
        <w:tc>
          <w:tcPr>
            <w:tcW w:w="2560" w:type="pct"/>
            <w:gridSpan w:val="2"/>
            <w:vAlign w:val="center"/>
          </w:tcPr>
          <w:p w:rsidR="006A7430" w:rsidRPr="001E2003" w:rsidRDefault="006A7430" w:rsidP="00D35736">
            <w:pPr>
              <w:pStyle w:val="ListParagraph"/>
              <w:widowControl/>
              <w:ind w:left="0"/>
              <w:jc w:val="center"/>
              <w:rPr>
                <w:rFonts w:ascii="Arial Narrow" w:hAnsi="Arial Narrow"/>
                <w:sz w:val="20"/>
              </w:rPr>
            </w:pPr>
            <w:r w:rsidRPr="001E2003">
              <w:rPr>
                <w:rFonts w:ascii="Arial Narrow" w:hAnsi="Arial Narrow"/>
                <w:sz w:val="20"/>
              </w:rPr>
              <w:t>$</w:t>
            </w:r>
            <w:r w:rsidRPr="00B32B40">
              <w:rPr>
                <w:rFonts w:ascii="Arial Narrow" w:hAnsi="Arial Narrow"/>
                <w:sz w:val="20"/>
              </w:rPr>
              <w:t>24,086</w:t>
            </w:r>
          </w:p>
        </w:tc>
      </w:tr>
    </w:tbl>
    <w:p w:rsidR="00A34A51" w:rsidRPr="001E2003" w:rsidRDefault="006A7430" w:rsidP="004862E8">
      <w:pPr>
        <w:widowControl/>
        <w:ind w:firstLine="720"/>
        <w:rPr>
          <w:szCs w:val="22"/>
        </w:rPr>
      </w:pPr>
      <w:r w:rsidRPr="001E2003">
        <w:rPr>
          <w:rFonts w:ascii="Arial Narrow" w:hAnsi="Arial Narrow"/>
          <w:sz w:val="20"/>
          <w:szCs w:val="22"/>
        </w:rPr>
        <w:t xml:space="preserve">Source: PSCR Table 1, p5 </w:t>
      </w:r>
    </w:p>
    <w:p w:rsidR="00BE020A" w:rsidRPr="00BE020A" w:rsidRDefault="00BE020A" w:rsidP="00BE020A">
      <w:pPr>
        <w:pStyle w:val="ListParagraph"/>
        <w:widowControl/>
        <w:rPr>
          <w:szCs w:val="22"/>
        </w:rPr>
      </w:pPr>
    </w:p>
    <w:p w:rsidR="001D294D" w:rsidRPr="001E2003" w:rsidRDefault="001D294D" w:rsidP="00DD3A69">
      <w:pPr>
        <w:pStyle w:val="ListParagraph"/>
        <w:widowControl/>
        <w:numPr>
          <w:ilvl w:val="1"/>
          <w:numId w:val="2"/>
        </w:numPr>
        <w:rPr>
          <w:szCs w:val="22"/>
        </w:rPr>
      </w:pPr>
      <w:r w:rsidRPr="001E2003">
        <w:rPr>
          <w:szCs w:val="22"/>
        </w:rPr>
        <w:t xml:space="preserve">The ESC </w:t>
      </w:r>
      <w:r w:rsidR="00135CBE" w:rsidRPr="001E2003">
        <w:rPr>
          <w:szCs w:val="22"/>
        </w:rPr>
        <w:t xml:space="preserve">agreed that a pragmatic approach for assessing </w:t>
      </w:r>
      <w:r w:rsidR="001360A2" w:rsidRPr="001E2003">
        <w:rPr>
          <w:szCs w:val="22"/>
        </w:rPr>
        <w:t xml:space="preserve">value for money for </w:t>
      </w:r>
      <w:r w:rsidR="00135CBE" w:rsidRPr="001E2003">
        <w:rPr>
          <w:szCs w:val="22"/>
        </w:rPr>
        <w:t>rituximab</w:t>
      </w:r>
      <w:r w:rsidR="001360A2" w:rsidRPr="001E2003">
        <w:rPr>
          <w:szCs w:val="22"/>
        </w:rPr>
        <w:t xml:space="preserve"> in </w:t>
      </w:r>
      <w:r w:rsidR="00675814">
        <w:rPr>
          <w:szCs w:val="22"/>
        </w:rPr>
        <w:t>GPA and MPA</w:t>
      </w:r>
      <w:r w:rsidR="00135CBE" w:rsidRPr="001E2003">
        <w:rPr>
          <w:szCs w:val="22"/>
        </w:rPr>
        <w:t xml:space="preserve"> may be reasonable due </w:t>
      </w:r>
      <w:r w:rsidR="00135CBE" w:rsidRPr="001E2003">
        <w:t>to the genuine clinical need and the lack of comparative data</w:t>
      </w:r>
      <w:r w:rsidR="00135CBE" w:rsidRPr="001E2003">
        <w:rPr>
          <w:szCs w:val="22"/>
        </w:rPr>
        <w:t xml:space="preserve"> and </w:t>
      </w:r>
      <w:r w:rsidRPr="001E2003">
        <w:rPr>
          <w:szCs w:val="22"/>
        </w:rPr>
        <w:t xml:space="preserve">considered it relevant to compare the price per milligram of rituximab requested for this indication to other </w:t>
      </w:r>
      <w:r w:rsidR="00135CBE" w:rsidRPr="001E2003">
        <w:rPr>
          <w:szCs w:val="22"/>
        </w:rPr>
        <w:t>PBS</w:t>
      </w:r>
      <w:r w:rsidR="00321103" w:rsidRPr="001E2003">
        <w:rPr>
          <w:szCs w:val="22"/>
        </w:rPr>
        <w:t xml:space="preserve"> </w:t>
      </w:r>
      <w:r w:rsidRPr="001E2003">
        <w:rPr>
          <w:szCs w:val="22"/>
        </w:rPr>
        <w:t>indications</w:t>
      </w:r>
      <w:r w:rsidR="00E45152" w:rsidRPr="001E2003">
        <w:rPr>
          <w:szCs w:val="22"/>
        </w:rPr>
        <w:t xml:space="preserve">, noting the proposed </w:t>
      </w:r>
      <w:r w:rsidR="005B1A05" w:rsidRPr="001E2003">
        <w:rPr>
          <w:szCs w:val="22"/>
        </w:rPr>
        <w:t xml:space="preserve">listing is for </w:t>
      </w:r>
      <w:r w:rsidR="00E45152" w:rsidRPr="001E2003">
        <w:rPr>
          <w:szCs w:val="22"/>
        </w:rPr>
        <w:t>1g fixed dose regimen</w:t>
      </w:r>
      <w:r w:rsidRPr="001E2003">
        <w:rPr>
          <w:szCs w:val="22"/>
        </w:rPr>
        <w:t xml:space="preserve">. </w:t>
      </w:r>
      <w:r w:rsidR="005B1A05" w:rsidRPr="001E2003">
        <w:rPr>
          <w:szCs w:val="22"/>
        </w:rPr>
        <w:t>Prices for PBS indications</w:t>
      </w:r>
      <w:r w:rsidRPr="001E2003">
        <w:rPr>
          <w:szCs w:val="22"/>
        </w:rPr>
        <w:t xml:space="preserve"> </w:t>
      </w:r>
      <w:r w:rsidR="005B1A05" w:rsidRPr="001E2003">
        <w:rPr>
          <w:szCs w:val="22"/>
        </w:rPr>
        <w:t>are</w:t>
      </w:r>
      <w:r w:rsidRPr="001E2003">
        <w:rPr>
          <w:szCs w:val="22"/>
        </w:rPr>
        <w:t xml:space="preserve"> shown in </w:t>
      </w:r>
      <w:r w:rsidR="00BA5FB2">
        <w:rPr>
          <w:szCs w:val="22"/>
        </w:rPr>
        <w:t>the table</w:t>
      </w:r>
      <w:r w:rsidR="00802C64" w:rsidRPr="001E2003">
        <w:rPr>
          <w:szCs w:val="22"/>
        </w:rPr>
        <w:t xml:space="preserve"> </w:t>
      </w:r>
      <w:r w:rsidRPr="001E2003">
        <w:rPr>
          <w:szCs w:val="22"/>
        </w:rPr>
        <w:t xml:space="preserve">below. </w:t>
      </w:r>
      <w:r w:rsidR="002E7030">
        <w:rPr>
          <w:szCs w:val="22"/>
        </w:rPr>
        <w:t xml:space="preserve">Note that the price requested in this submission is the current price for rituximab, which has been weighted across all of rituximab’s listed indications. </w:t>
      </w:r>
    </w:p>
    <w:p w:rsidR="00D06E1E" w:rsidRPr="001E2003" w:rsidRDefault="00D06E1E" w:rsidP="00A800D7">
      <w:pPr>
        <w:keepNext/>
        <w:keepLines/>
        <w:widowControl/>
        <w:ind w:firstLine="720"/>
        <w:jc w:val="left"/>
        <w:rPr>
          <w:rFonts w:ascii="Arial Narrow" w:hAnsi="Arial Narrow"/>
          <w:b/>
          <w:sz w:val="20"/>
          <w:szCs w:val="22"/>
        </w:rPr>
      </w:pPr>
      <w:r w:rsidRPr="001E2003">
        <w:rPr>
          <w:rFonts w:ascii="Arial Narrow" w:hAnsi="Arial Narrow"/>
          <w:b/>
          <w:sz w:val="20"/>
          <w:szCs w:val="22"/>
        </w:rPr>
        <w:t>Rituximab indication-specific pricing</w:t>
      </w:r>
    </w:p>
    <w:tbl>
      <w:tblPr>
        <w:tblW w:w="0" w:type="auto"/>
        <w:tblInd w:w="817" w:type="dxa"/>
        <w:tblLayout w:type="fixed"/>
        <w:tblLook w:val="04A0" w:firstRow="1" w:lastRow="0" w:firstColumn="1" w:lastColumn="0" w:noHBand="0" w:noVBand="1"/>
        <w:tblCaption w:val="Economic analysis"/>
      </w:tblPr>
      <w:tblGrid>
        <w:gridCol w:w="2268"/>
        <w:gridCol w:w="1134"/>
        <w:gridCol w:w="1134"/>
        <w:gridCol w:w="2693"/>
        <w:gridCol w:w="1196"/>
      </w:tblGrid>
      <w:tr w:rsidR="00D06E1E" w:rsidRPr="001E2003" w:rsidTr="004220F9">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6E1E" w:rsidRPr="001E2003" w:rsidRDefault="00D06E1E" w:rsidP="00A800D7">
            <w:pPr>
              <w:keepNext/>
              <w:keepLines/>
              <w:widowControl/>
              <w:jc w:val="left"/>
              <w:rPr>
                <w:rFonts w:ascii="Arial Narrow" w:hAnsi="Arial Narrow" w:cs="Times New Roman"/>
                <w:b/>
                <w:snapToGrid/>
                <w:color w:val="000000"/>
                <w:sz w:val="20"/>
                <w:lang w:eastAsia="en-AU"/>
              </w:rPr>
            </w:pPr>
            <w:r w:rsidRPr="001E2003">
              <w:rPr>
                <w:rFonts w:ascii="Arial Narrow" w:hAnsi="Arial Narrow" w:cs="Times New Roman"/>
                <w:b/>
                <w:snapToGrid/>
                <w:color w:val="000000"/>
                <w:sz w:val="20"/>
                <w:lang w:eastAsia="en-AU"/>
              </w:rPr>
              <w:t>Indication</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4220F9" w:rsidRDefault="00D06E1E" w:rsidP="00A800D7">
            <w:pPr>
              <w:keepNext/>
              <w:keepLines/>
              <w:widowControl/>
              <w:jc w:val="left"/>
              <w:rPr>
                <w:rFonts w:ascii="Arial Narrow" w:hAnsi="Arial Narrow" w:cs="Times New Roman"/>
                <w:b/>
                <w:snapToGrid/>
                <w:color w:val="000000"/>
                <w:sz w:val="20"/>
                <w:lang w:eastAsia="en-AU"/>
              </w:rPr>
            </w:pPr>
            <w:r w:rsidRPr="001E2003">
              <w:rPr>
                <w:rFonts w:ascii="Arial Narrow" w:hAnsi="Arial Narrow" w:cs="Times New Roman"/>
                <w:b/>
                <w:snapToGrid/>
                <w:color w:val="000000"/>
                <w:sz w:val="20"/>
                <w:lang w:eastAsia="en-AU"/>
              </w:rPr>
              <w:t xml:space="preserve">Ex-man </w:t>
            </w:r>
          </w:p>
          <w:p w:rsidR="00D06E1E" w:rsidRPr="001E2003" w:rsidRDefault="00D06E1E" w:rsidP="00A800D7">
            <w:pPr>
              <w:keepNext/>
              <w:keepLines/>
              <w:widowControl/>
              <w:jc w:val="left"/>
              <w:rPr>
                <w:rFonts w:ascii="Arial Narrow" w:hAnsi="Arial Narrow" w:cs="Times New Roman"/>
                <w:b/>
                <w:snapToGrid/>
                <w:color w:val="000000"/>
                <w:sz w:val="20"/>
                <w:lang w:eastAsia="en-AU"/>
              </w:rPr>
            </w:pPr>
            <w:r w:rsidRPr="001E2003">
              <w:rPr>
                <w:rFonts w:ascii="Arial Narrow" w:hAnsi="Arial Narrow" w:cs="Times New Roman"/>
                <w:b/>
                <w:snapToGrid/>
                <w:color w:val="000000"/>
                <w:sz w:val="20"/>
                <w:lang w:eastAsia="en-AU"/>
              </w:rPr>
              <w:t>500 mg</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4220F9" w:rsidRDefault="00D06E1E" w:rsidP="00A800D7">
            <w:pPr>
              <w:keepNext/>
              <w:keepLines/>
              <w:widowControl/>
              <w:jc w:val="left"/>
              <w:rPr>
                <w:rFonts w:ascii="Arial Narrow" w:hAnsi="Arial Narrow" w:cs="Times New Roman"/>
                <w:b/>
                <w:snapToGrid/>
                <w:color w:val="000000"/>
                <w:sz w:val="20"/>
                <w:lang w:eastAsia="en-AU"/>
              </w:rPr>
            </w:pPr>
            <w:r w:rsidRPr="001E2003">
              <w:rPr>
                <w:rFonts w:ascii="Arial Narrow" w:hAnsi="Arial Narrow" w:cs="Times New Roman"/>
                <w:b/>
                <w:snapToGrid/>
                <w:color w:val="000000"/>
                <w:sz w:val="20"/>
                <w:lang w:eastAsia="en-AU"/>
              </w:rPr>
              <w:t>Ex-man</w:t>
            </w:r>
          </w:p>
          <w:p w:rsidR="00D06E1E" w:rsidRPr="001E2003" w:rsidRDefault="00D06E1E" w:rsidP="00A800D7">
            <w:pPr>
              <w:keepNext/>
              <w:keepLines/>
              <w:widowControl/>
              <w:jc w:val="left"/>
              <w:rPr>
                <w:rFonts w:ascii="Arial Narrow" w:hAnsi="Arial Narrow" w:cs="Times New Roman"/>
                <w:b/>
                <w:snapToGrid/>
                <w:color w:val="000000"/>
                <w:sz w:val="20"/>
                <w:lang w:eastAsia="en-AU"/>
              </w:rPr>
            </w:pPr>
            <w:r w:rsidRPr="001E2003">
              <w:rPr>
                <w:rFonts w:ascii="Arial Narrow" w:hAnsi="Arial Narrow" w:cs="Times New Roman"/>
                <w:b/>
                <w:snapToGrid/>
                <w:color w:val="000000"/>
                <w:sz w:val="20"/>
                <w:lang w:eastAsia="en-AU"/>
              </w:rPr>
              <w:t xml:space="preserve"> 100 mg</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D06E1E" w:rsidRPr="001E2003" w:rsidRDefault="00D06E1E" w:rsidP="00A800D7">
            <w:pPr>
              <w:keepNext/>
              <w:keepLines/>
              <w:widowControl/>
              <w:jc w:val="left"/>
              <w:rPr>
                <w:rFonts w:ascii="Arial Narrow" w:hAnsi="Arial Narrow" w:cs="Times New Roman"/>
                <w:b/>
                <w:snapToGrid/>
                <w:color w:val="000000"/>
                <w:sz w:val="20"/>
                <w:lang w:eastAsia="en-AU"/>
              </w:rPr>
            </w:pPr>
            <w:r w:rsidRPr="001E2003">
              <w:rPr>
                <w:rFonts w:ascii="Arial Narrow" w:hAnsi="Arial Narrow" w:cs="Times New Roman"/>
                <w:b/>
                <w:snapToGrid/>
                <w:color w:val="000000"/>
                <w:sz w:val="20"/>
                <w:lang w:eastAsia="en-AU"/>
              </w:rPr>
              <w:t>Comment</w:t>
            </w:r>
          </w:p>
        </w:tc>
        <w:tc>
          <w:tcPr>
            <w:tcW w:w="1196" w:type="dxa"/>
            <w:tcBorders>
              <w:top w:val="single" w:sz="4" w:space="0" w:color="auto"/>
              <w:left w:val="nil"/>
              <w:bottom w:val="single" w:sz="4" w:space="0" w:color="auto"/>
              <w:right w:val="single" w:sz="4" w:space="0" w:color="auto"/>
            </w:tcBorders>
            <w:shd w:val="clear" w:color="auto" w:fill="auto"/>
            <w:noWrap/>
            <w:vAlign w:val="bottom"/>
            <w:hideMark/>
          </w:tcPr>
          <w:p w:rsidR="00D06E1E" w:rsidRPr="001E2003" w:rsidRDefault="00D06E1E" w:rsidP="00A800D7">
            <w:pPr>
              <w:keepNext/>
              <w:keepLines/>
              <w:widowControl/>
              <w:jc w:val="center"/>
              <w:rPr>
                <w:rFonts w:ascii="Arial Narrow" w:hAnsi="Arial Narrow" w:cs="Times New Roman"/>
                <w:b/>
                <w:snapToGrid/>
                <w:color w:val="000000"/>
                <w:sz w:val="20"/>
                <w:lang w:eastAsia="en-AU"/>
              </w:rPr>
            </w:pPr>
            <w:r w:rsidRPr="001E2003">
              <w:rPr>
                <w:rFonts w:ascii="Arial Narrow" w:hAnsi="Arial Narrow" w:cs="Times New Roman"/>
                <w:b/>
                <w:snapToGrid/>
                <w:color w:val="000000"/>
                <w:sz w:val="20"/>
                <w:lang w:eastAsia="en-AU"/>
              </w:rPr>
              <w:t>Listing Date</w:t>
            </w:r>
          </w:p>
        </w:tc>
      </w:tr>
      <w:tr w:rsidR="00A800D7" w:rsidRPr="001E2003" w:rsidTr="004220F9">
        <w:trPr>
          <w:trHeight w:val="629"/>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800D7" w:rsidRPr="001E2003" w:rsidRDefault="00A800D7" w:rsidP="00A800D7">
            <w:pPr>
              <w:keepNext/>
              <w:keepLines/>
              <w:widowControl/>
              <w:jc w:val="left"/>
              <w:rPr>
                <w:rFonts w:ascii="Arial Narrow" w:hAnsi="Arial Narrow" w:cs="Times New Roman"/>
                <w:snapToGrid/>
                <w:color w:val="000000"/>
                <w:sz w:val="20"/>
                <w:lang w:eastAsia="en-AU"/>
              </w:rPr>
            </w:pPr>
            <w:r>
              <w:rPr>
                <w:rFonts w:ascii="Arial Narrow" w:hAnsi="Arial Narrow" w:cs="Times New Roman"/>
                <w:snapToGrid/>
                <w:color w:val="000000"/>
                <w:sz w:val="20"/>
                <w:lang w:eastAsia="en-AU"/>
              </w:rPr>
              <w:t>Price requested for GPA and MPA</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800D7" w:rsidRPr="00415D8B" w:rsidRDefault="00C5703F" w:rsidP="00A800D7">
            <w:pPr>
              <w:keepNext/>
              <w:keepLines/>
              <w:widowControl/>
              <w:jc w:val="right"/>
              <w:rPr>
                <w:rFonts w:ascii="Arial Narrow" w:hAnsi="Arial Narrow" w:cs="Times New Roman"/>
                <w:snapToGrid/>
                <w:color w:val="000000"/>
                <w:sz w:val="20"/>
                <w:lang w:eastAsia="en-AU"/>
              </w:rPr>
            </w:pPr>
            <w:r w:rsidRPr="00415D8B">
              <w:rPr>
                <w:rFonts w:ascii="Arial Narrow" w:hAnsi="Arial Narrow" w:cs="Times New Roman"/>
                <w:snapToGrid/>
                <w:color w:val="000000"/>
                <w:sz w:val="20"/>
                <w:lang w:eastAsia="en-AU"/>
              </w:rPr>
              <w:t>$</w:t>
            </w:r>
            <w:r w:rsidRPr="002421BE">
              <w:rPr>
                <w:rFonts w:ascii="Arial Narrow" w:hAnsi="Arial Narrow" w:cs="Times New Roman"/>
                <w:snapToGrid/>
                <w:color w:val="000000"/>
                <w:sz w:val="20"/>
                <w:lang w:eastAsia="en-AU"/>
              </w:rPr>
              <w:t>2</w:t>
            </w:r>
            <w:r w:rsidR="004220F9" w:rsidRPr="002421BE">
              <w:rPr>
                <w:rFonts w:ascii="Arial Narrow" w:hAnsi="Arial Narrow" w:cs="Times New Roman"/>
                <w:snapToGrid/>
                <w:color w:val="000000"/>
                <w:sz w:val="20"/>
                <w:lang w:eastAsia="en-AU"/>
              </w:rPr>
              <w:t>,</w:t>
            </w:r>
            <w:r w:rsidRPr="002421BE">
              <w:rPr>
                <w:rFonts w:ascii="Arial Narrow" w:hAnsi="Arial Narrow" w:cs="Times New Roman"/>
                <w:snapToGrid/>
                <w:color w:val="000000"/>
                <w:sz w:val="20"/>
                <w:lang w:eastAsia="en-AU"/>
              </w:rPr>
              <w:t>032.91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800D7" w:rsidRPr="00415D8B" w:rsidRDefault="00C5703F" w:rsidP="00A800D7">
            <w:pPr>
              <w:keepNext/>
              <w:keepLines/>
              <w:widowControl/>
              <w:jc w:val="right"/>
              <w:rPr>
                <w:rFonts w:ascii="Arial Narrow" w:hAnsi="Arial Narrow" w:cs="Times New Roman"/>
                <w:snapToGrid/>
                <w:color w:val="000000"/>
                <w:sz w:val="20"/>
                <w:lang w:eastAsia="en-AU"/>
              </w:rPr>
            </w:pPr>
            <w:r w:rsidRPr="00415D8B">
              <w:rPr>
                <w:rFonts w:ascii="Arial Narrow" w:hAnsi="Arial Narrow" w:cs="Times New Roman"/>
                <w:snapToGrid/>
                <w:color w:val="000000"/>
                <w:sz w:val="20"/>
                <w:lang w:eastAsia="en-AU"/>
              </w:rPr>
              <w:t>-</w:t>
            </w:r>
          </w:p>
        </w:tc>
        <w:tc>
          <w:tcPr>
            <w:tcW w:w="2693" w:type="dxa"/>
            <w:tcBorders>
              <w:top w:val="single" w:sz="4" w:space="0" w:color="auto"/>
              <w:left w:val="nil"/>
              <w:bottom w:val="single" w:sz="4" w:space="0" w:color="auto"/>
              <w:right w:val="single" w:sz="4" w:space="0" w:color="auto"/>
            </w:tcBorders>
            <w:shd w:val="clear" w:color="auto" w:fill="auto"/>
            <w:vAlign w:val="bottom"/>
          </w:tcPr>
          <w:p w:rsidR="00A800D7" w:rsidRPr="001E2003" w:rsidRDefault="004220F9" w:rsidP="004220F9">
            <w:pPr>
              <w:keepNext/>
              <w:keepLines/>
              <w:widowControl/>
              <w:jc w:val="left"/>
              <w:rPr>
                <w:rFonts w:ascii="Arial Narrow" w:hAnsi="Arial Narrow" w:cs="Times New Roman"/>
                <w:snapToGrid/>
                <w:color w:val="000000"/>
                <w:sz w:val="20"/>
                <w:lang w:eastAsia="en-AU"/>
              </w:rPr>
            </w:pPr>
            <w:r>
              <w:rPr>
                <w:rFonts w:ascii="Arial Narrow" w:hAnsi="Arial Narrow" w:cs="Times New Roman"/>
                <w:snapToGrid/>
                <w:color w:val="000000"/>
                <w:sz w:val="20"/>
                <w:lang w:eastAsia="en-AU"/>
              </w:rPr>
              <w:t>This is the published ex-man price, which is weighted for the prices outlined below.</w:t>
            </w:r>
            <w:r>
              <w:rPr>
                <w:rFonts w:ascii="Arial Narrow" w:hAnsi="Arial Narrow" w:cs="Times New Roman"/>
                <w:snapToGrid/>
                <w:color w:val="000000"/>
                <w:sz w:val="20"/>
                <w:vertAlign w:val="superscript"/>
                <w:lang w:eastAsia="en-AU"/>
              </w:rPr>
              <w:t>a</w:t>
            </w:r>
            <w:r>
              <w:rPr>
                <w:rFonts w:ascii="Arial Narrow" w:hAnsi="Arial Narrow" w:cs="Times New Roman"/>
                <w:snapToGrid/>
                <w:color w:val="000000"/>
                <w:sz w:val="20"/>
                <w:lang w:eastAsia="en-AU"/>
              </w:rPr>
              <w:t xml:space="preserve"> </w:t>
            </w:r>
          </w:p>
        </w:tc>
        <w:tc>
          <w:tcPr>
            <w:tcW w:w="1196" w:type="dxa"/>
            <w:tcBorders>
              <w:top w:val="single" w:sz="4" w:space="0" w:color="auto"/>
              <w:left w:val="nil"/>
              <w:bottom w:val="single" w:sz="4" w:space="0" w:color="auto"/>
              <w:right w:val="single" w:sz="4" w:space="0" w:color="auto"/>
            </w:tcBorders>
            <w:shd w:val="clear" w:color="auto" w:fill="auto"/>
            <w:noWrap/>
            <w:vAlign w:val="bottom"/>
          </w:tcPr>
          <w:p w:rsidR="00A800D7" w:rsidRPr="001E2003" w:rsidRDefault="00A800D7" w:rsidP="00A800D7">
            <w:pPr>
              <w:keepNext/>
              <w:keepLines/>
              <w:widowControl/>
              <w:jc w:val="center"/>
              <w:rPr>
                <w:rFonts w:ascii="Arial Narrow" w:hAnsi="Arial Narrow" w:cs="Times New Roman"/>
                <w:snapToGrid/>
                <w:color w:val="000000"/>
                <w:sz w:val="20"/>
                <w:lang w:eastAsia="en-AU"/>
              </w:rPr>
            </w:pPr>
          </w:p>
        </w:tc>
      </w:tr>
      <w:tr w:rsidR="00D06E1E" w:rsidRPr="002421BE" w:rsidTr="004220F9">
        <w:trPr>
          <w:trHeight w:val="319"/>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E1E" w:rsidRPr="002421BE" w:rsidRDefault="00D06E1E" w:rsidP="00A800D7">
            <w:pPr>
              <w:keepNext/>
              <w:keepLines/>
              <w:widowControl/>
              <w:jc w:val="lef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FNHL RR- induction</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righ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w:t>
            </w:r>
            <w:r w:rsidR="00E71387">
              <w:rPr>
                <w:rFonts w:ascii="Arial Narrow" w:hAnsi="Arial Narrow" w:cs="Times New Roman"/>
                <w:noProof/>
                <w:snapToGrid/>
                <w:color w:val="000000"/>
                <w:sz w:val="20"/>
                <w:highlight w:val="black"/>
                <w:lang w:eastAsia="en-AU"/>
              </w:rPr>
              <w: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righ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w:t>
            </w:r>
            <w:r w:rsidR="00E71387">
              <w:rPr>
                <w:rFonts w:ascii="Arial Narrow" w:hAnsi="Arial Narrow" w:cs="Times New Roman"/>
                <w:noProof/>
                <w:snapToGrid/>
                <w:color w:val="000000"/>
                <w:sz w:val="20"/>
                <w:highlight w:val="black"/>
                <w:lang w:eastAsia="en-AU"/>
              </w:rPr>
              <w:t>''''''''''''''''</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D06E1E" w:rsidRPr="002421BE" w:rsidRDefault="00D06E1E" w:rsidP="00A800D7">
            <w:pPr>
              <w:keepNext/>
              <w:keepLines/>
              <w:widowControl/>
              <w:jc w:val="lef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First indication listed</w:t>
            </w:r>
          </w:p>
        </w:tc>
        <w:tc>
          <w:tcPr>
            <w:tcW w:w="1196"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center"/>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1-Feb-99</w:t>
            </w:r>
          </w:p>
        </w:tc>
      </w:tr>
      <w:tr w:rsidR="00D06E1E" w:rsidRPr="002421BE" w:rsidTr="004220F9">
        <w:trPr>
          <w:trHeight w:val="42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E1E" w:rsidRPr="002421BE" w:rsidRDefault="00D06E1E" w:rsidP="00A800D7">
            <w:pPr>
              <w:keepNext/>
              <w:keepLines/>
              <w:widowControl/>
              <w:jc w:val="lef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FNHL RR- maintenance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righ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w:t>
            </w:r>
            <w:r w:rsidR="00E71387">
              <w:rPr>
                <w:rFonts w:ascii="Arial Narrow" w:hAnsi="Arial Narrow" w:cs="Times New Roman"/>
                <w:noProof/>
                <w:snapToGrid/>
                <w:color w:val="000000"/>
                <w:sz w:val="20"/>
                <w:highlight w:val="black"/>
                <w:lang w:eastAsia="en-AU"/>
              </w:rPr>
              <w: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righ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w:t>
            </w:r>
            <w:r w:rsidR="00E71387">
              <w:rPr>
                <w:rFonts w:ascii="Arial Narrow" w:hAnsi="Arial Narrow" w:cs="Times New Roman"/>
                <w:noProof/>
                <w:snapToGrid/>
                <w:color w:val="000000"/>
                <w:sz w:val="20"/>
                <w:highlight w:val="black"/>
                <w:lang w:eastAsia="en-AU"/>
              </w:rPr>
              <w:t>''''''''''''''''</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D06E1E" w:rsidRPr="00E71387" w:rsidRDefault="00E71387" w:rsidP="00A800D7">
            <w:pPr>
              <w:keepNext/>
              <w:keepLines/>
              <w:widowControl/>
              <w:jc w:val="left"/>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 ''''''''' '''''''''' '''''''' ''''''''''''''''' ''''''''''</w:t>
            </w:r>
          </w:p>
        </w:tc>
        <w:tc>
          <w:tcPr>
            <w:tcW w:w="1196"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center"/>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1-Dec-14</w:t>
            </w:r>
          </w:p>
        </w:tc>
      </w:tr>
      <w:tr w:rsidR="00D06E1E" w:rsidRPr="002421BE" w:rsidTr="004220F9">
        <w:trPr>
          <w:trHeight w:val="1127"/>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E1E" w:rsidRPr="002421BE" w:rsidRDefault="00D06E1E" w:rsidP="00A800D7">
            <w:pPr>
              <w:keepNext/>
              <w:keepLines/>
              <w:widowControl/>
              <w:jc w:val="lef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DLBCL previously untreated in combination with chemotherapy</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righ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w:t>
            </w:r>
            <w:r w:rsidR="00E71387">
              <w:rPr>
                <w:rFonts w:ascii="Arial Narrow" w:hAnsi="Arial Narrow" w:cs="Times New Roman"/>
                <w:noProof/>
                <w:snapToGrid/>
                <w:color w:val="000000"/>
                <w:sz w:val="20"/>
                <w:highlight w:val="black"/>
                <w:lang w:eastAsia="en-AU"/>
              </w:rPr>
              <w: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righ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w:t>
            </w:r>
            <w:r w:rsidR="00E71387">
              <w:rPr>
                <w:rFonts w:ascii="Arial Narrow" w:hAnsi="Arial Narrow" w:cs="Times New Roman"/>
                <w:noProof/>
                <w:snapToGrid/>
                <w:color w:val="000000"/>
                <w:sz w:val="20"/>
                <w:highlight w:val="black"/>
                <w:lang w:eastAsia="en-AU"/>
              </w:rPr>
              <w:t>'''''''''''''''</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D06E1E" w:rsidRPr="00E71387" w:rsidRDefault="00E71387" w:rsidP="00A800D7">
            <w:pPr>
              <w:keepNext/>
              <w:keepLines/>
              <w:widowControl/>
              <w:jc w:val="left"/>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 '''''''''' ''''''''''' '''''''' ''''''''''''''' ''''''''''''''''''''''''''''''''' ''''''''''' ''''''''''''''''''''''' '''''' ''''''''''''' '''''' '''''' '''''''''''''''''''''''''' ''''''''''' '''' '''''' '''''''</w:t>
            </w:r>
          </w:p>
        </w:tc>
        <w:tc>
          <w:tcPr>
            <w:tcW w:w="1196"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center"/>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1-Jul-03</w:t>
            </w:r>
          </w:p>
        </w:tc>
      </w:tr>
      <w:tr w:rsidR="00D06E1E" w:rsidRPr="002421BE" w:rsidTr="004220F9">
        <w:trPr>
          <w:trHeight w:val="379"/>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E1E" w:rsidRPr="002421BE" w:rsidRDefault="00D06E1E" w:rsidP="00A800D7">
            <w:pPr>
              <w:keepNext/>
              <w:keepLines/>
              <w:widowControl/>
              <w:jc w:val="lef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DLBCL RR</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06E1E" w:rsidRPr="002421BE" w:rsidRDefault="00D06E1E" w:rsidP="00A800D7">
            <w:pPr>
              <w:keepNext/>
              <w:keepLines/>
              <w:widowControl/>
              <w:jc w:val="righ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w:t>
            </w:r>
            <w:r w:rsidR="00E71387">
              <w:rPr>
                <w:rFonts w:ascii="Arial Narrow" w:hAnsi="Arial Narrow" w:cs="Times New Roman"/>
                <w:noProof/>
                <w:snapToGrid/>
                <w:color w:val="000000"/>
                <w:sz w:val="20"/>
                <w:highlight w:val="black"/>
                <w:lang w:eastAsia="en-AU"/>
              </w:rPr>
              <w:t>'''''''''''''''''''''''</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06E1E" w:rsidRPr="002421BE" w:rsidRDefault="00D06E1E" w:rsidP="00A800D7">
            <w:pPr>
              <w:keepNext/>
              <w:keepLines/>
              <w:widowControl/>
              <w:jc w:val="righ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w:t>
            </w:r>
            <w:r w:rsidR="00E71387">
              <w:rPr>
                <w:rFonts w:ascii="Arial Narrow" w:hAnsi="Arial Narrow" w:cs="Times New Roman"/>
                <w:noProof/>
                <w:snapToGrid/>
                <w:color w:val="000000"/>
                <w:sz w:val="20"/>
                <w:highlight w:val="black"/>
                <w:lang w:eastAsia="en-AU"/>
              </w:rPr>
              <w:t>'''''''''''''''</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D06E1E" w:rsidRPr="00E71387" w:rsidRDefault="00E71387" w:rsidP="00A800D7">
            <w:pPr>
              <w:keepNext/>
              <w:keepLines/>
              <w:widowControl/>
              <w:jc w:val="left"/>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 ''''' ''''''' ''''''''''''' ''''''''''' '''''' ''''''''''''''''</w:t>
            </w:r>
          </w:p>
        </w:tc>
        <w:tc>
          <w:tcPr>
            <w:tcW w:w="1196" w:type="dxa"/>
            <w:tcBorders>
              <w:top w:val="single" w:sz="4" w:space="0" w:color="auto"/>
              <w:left w:val="nil"/>
              <w:bottom w:val="single" w:sz="4" w:space="0" w:color="auto"/>
              <w:right w:val="single" w:sz="4" w:space="0" w:color="000000"/>
            </w:tcBorders>
            <w:shd w:val="clear" w:color="auto" w:fill="auto"/>
            <w:vAlign w:val="bottom"/>
            <w:hideMark/>
          </w:tcPr>
          <w:p w:rsidR="00D06E1E" w:rsidRPr="002421BE" w:rsidRDefault="00D06E1E" w:rsidP="00A800D7">
            <w:pPr>
              <w:keepNext/>
              <w:keepLines/>
              <w:widowControl/>
              <w:jc w:val="center"/>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Between Mar-06 and Mar-07 PBAC</w:t>
            </w:r>
          </w:p>
        </w:tc>
      </w:tr>
      <w:tr w:rsidR="00D06E1E" w:rsidRPr="002421BE" w:rsidTr="004220F9">
        <w:trPr>
          <w:trHeight w:val="40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E1E" w:rsidRPr="002421BE" w:rsidRDefault="00D06E1E" w:rsidP="00A800D7">
            <w:pPr>
              <w:keepNext/>
              <w:keepLines/>
              <w:widowControl/>
              <w:jc w:val="lef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CLL in combination with FC</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righ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w:t>
            </w:r>
            <w:r w:rsidR="00E71387">
              <w:rPr>
                <w:rFonts w:ascii="Arial Narrow" w:hAnsi="Arial Narrow" w:cs="Times New Roman"/>
                <w:noProof/>
                <w:snapToGrid/>
                <w:color w:val="000000"/>
                <w:sz w:val="20"/>
                <w:highlight w:val="black"/>
                <w:lang w:eastAsia="en-AU"/>
              </w:rPr>
              <w: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righ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w:t>
            </w:r>
            <w:r w:rsidR="00E71387">
              <w:rPr>
                <w:rFonts w:ascii="Arial Narrow" w:hAnsi="Arial Narrow" w:cs="Times New Roman"/>
                <w:noProof/>
                <w:snapToGrid/>
                <w:color w:val="000000"/>
                <w:sz w:val="20"/>
                <w:highlight w:val="black"/>
                <w:lang w:eastAsia="en-AU"/>
              </w:rPr>
              <w:t>'''''''''''''''''</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D06E1E" w:rsidRPr="002421BE" w:rsidRDefault="00D06E1E" w:rsidP="00A800D7">
            <w:pPr>
              <w:keepNext/>
              <w:keepLines/>
              <w:widowControl/>
              <w:jc w:val="left"/>
              <w:rPr>
                <w:rFonts w:ascii="Arial Narrow" w:hAnsi="Arial Narrow" w:cs="Times New Roman"/>
                <w:snapToGrid/>
                <w:color w:val="000000"/>
                <w:sz w:val="20"/>
                <w:lang w:eastAsia="en-AU"/>
              </w:rPr>
            </w:pPr>
          </w:p>
        </w:tc>
        <w:tc>
          <w:tcPr>
            <w:tcW w:w="1196"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center"/>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1-Apr-12</w:t>
            </w:r>
          </w:p>
        </w:tc>
      </w:tr>
      <w:tr w:rsidR="00D06E1E" w:rsidRPr="002421BE" w:rsidTr="004220F9">
        <w:trPr>
          <w:trHeight w:val="22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E1E" w:rsidRPr="002421BE" w:rsidRDefault="00D06E1E" w:rsidP="00A800D7">
            <w:pPr>
              <w:keepNext/>
              <w:keepLines/>
              <w:widowControl/>
              <w:jc w:val="lef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 xml:space="preserve">CLL non-FC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righ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w:t>
            </w:r>
            <w:r w:rsidR="00E71387">
              <w:rPr>
                <w:rFonts w:ascii="Arial Narrow" w:hAnsi="Arial Narrow" w:cs="Times New Roman"/>
                <w:noProof/>
                <w:snapToGrid/>
                <w:color w:val="000000"/>
                <w:sz w:val="20"/>
                <w:highlight w:val="black"/>
                <w:lang w:eastAsia="en-AU"/>
              </w:rPr>
              <w: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righ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w:t>
            </w:r>
            <w:r w:rsidR="00E71387">
              <w:rPr>
                <w:rFonts w:ascii="Arial Narrow" w:hAnsi="Arial Narrow" w:cs="Times New Roman"/>
                <w:noProof/>
                <w:snapToGrid/>
                <w:color w:val="000000"/>
                <w:sz w:val="20"/>
                <w:highlight w:val="black"/>
                <w:lang w:eastAsia="en-AU"/>
              </w:rPr>
              <w:t>'''''''''''''''</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D06E1E" w:rsidRPr="00E71387" w:rsidRDefault="00E71387" w:rsidP="00A800D7">
            <w:pPr>
              <w:keepNext/>
              <w:keepLines/>
              <w:widowControl/>
              <w:jc w:val="left"/>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 '''''''''' ''''''''''' '''''''' '''''''''' '''' ''''''''''''''' ''''''''' ''''''''</w:t>
            </w:r>
          </w:p>
        </w:tc>
        <w:tc>
          <w:tcPr>
            <w:tcW w:w="1196"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center"/>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1-Dec-14</w:t>
            </w:r>
          </w:p>
        </w:tc>
      </w:tr>
      <w:tr w:rsidR="00D06E1E" w:rsidRPr="002421BE" w:rsidTr="004220F9">
        <w:trPr>
          <w:trHeight w:val="80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E1E" w:rsidRPr="002421BE" w:rsidRDefault="00D06E1E" w:rsidP="00A800D7">
            <w:pPr>
              <w:keepNext/>
              <w:keepLines/>
              <w:widowControl/>
              <w:jc w:val="lef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FNHL previously untreated in combination with chemotherapy- induction</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righ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w:t>
            </w:r>
            <w:r w:rsidR="00E71387">
              <w:rPr>
                <w:rFonts w:ascii="Arial Narrow" w:hAnsi="Arial Narrow" w:cs="Times New Roman"/>
                <w:noProof/>
                <w:snapToGrid/>
                <w:color w:val="000000"/>
                <w:sz w:val="20"/>
                <w:highlight w:val="black"/>
                <w:lang w:eastAsia="en-AU"/>
              </w:rPr>
              <w:t>'''''''''''''''''''</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06E1E" w:rsidRPr="002421BE" w:rsidRDefault="00D06E1E" w:rsidP="00A800D7">
            <w:pPr>
              <w:keepNext/>
              <w:keepLines/>
              <w:widowControl/>
              <w:jc w:val="righ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w:t>
            </w:r>
            <w:r w:rsidR="00E71387">
              <w:rPr>
                <w:rFonts w:ascii="Arial Narrow" w:hAnsi="Arial Narrow" w:cs="Times New Roman"/>
                <w:noProof/>
                <w:snapToGrid/>
                <w:color w:val="000000"/>
                <w:sz w:val="20"/>
                <w:highlight w:val="black"/>
                <w:lang w:eastAsia="en-AU"/>
              </w:rPr>
              <w:t>'''''''''''''''''</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D06E1E" w:rsidRPr="00E71387" w:rsidRDefault="00E71387" w:rsidP="00A800D7">
            <w:pPr>
              <w:keepNext/>
              <w:keepLines/>
              <w:widowControl/>
              <w:jc w:val="left"/>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 '''' ''''''''' '''''''''''''' '''''''''''' '''''' ''''''''''''''''</w:t>
            </w:r>
          </w:p>
        </w:tc>
        <w:tc>
          <w:tcPr>
            <w:tcW w:w="1196" w:type="dxa"/>
            <w:tcBorders>
              <w:top w:val="single" w:sz="4" w:space="0" w:color="auto"/>
              <w:left w:val="nil"/>
              <w:bottom w:val="single" w:sz="4" w:space="0" w:color="auto"/>
              <w:right w:val="single" w:sz="4" w:space="0" w:color="000000"/>
            </w:tcBorders>
            <w:shd w:val="clear" w:color="auto" w:fill="auto"/>
            <w:vAlign w:val="bottom"/>
            <w:hideMark/>
          </w:tcPr>
          <w:p w:rsidR="00D06E1E" w:rsidRPr="002421BE" w:rsidRDefault="00D06E1E" w:rsidP="00A800D7">
            <w:pPr>
              <w:keepNext/>
              <w:keepLines/>
              <w:widowControl/>
              <w:jc w:val="center"/>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Considered Mar-06 PBAC</w:t>
            </w:r>
          </w:p>
        </w:tc>
      </w:tr>
      <w:tr w:rsidR="00D06E1E" w:rsidRPr="002421BE" w:rsidTr="004220F9">
        <w:trPr>
          <w:trHeight w:val="994"/>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E1E" w:rsidRPr="002421BE" w:rsidRDefault="00D06E1E" w:rsidP="00A800D7">
            <w:pPr>
              <w:keepNext/>
              <w:keepLines/>
              <w:widowControl/>
              <w:jc w:val="lef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FNHL previously untreated in combination with chemotherapy- maintenance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righ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w:t>
            </w:r>
            <w:r w:rsidR="00E71387">
              <w:rPr>
                <w:rFonts w:ascii="Arial Narrow" w:hAnsi="Arial Narrow" w:cs="Times New Roman"/>
                <w:noProof/>
                <w:snapToGrid/>
                <w:color w:val="000000"/>
                <w:sz w:val="20"/>
                <w:highlight w:val="black"/>
                <w:lang w:eastAsia="en-AU"/>
              </w:rPr>
              <w:t>'''''''''''''''''''''''</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06E1E" w:rsidRPr="002421BE" w:rsidRDefault="00D06E1E" w:rsidP="00A800D7">
            <w:pPr>
              <w:keepNext/>
              <w:keepLines/>
              <w:widowControl/>
              <w:jc w:val="righ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w:t>
            </w:r>
            <w:r w:rsidR="00E71387">
              <w:rPr>
                <w:rFonts w:ascii="Arial Narrow" w:hAnsi="Arial Narrow" w:cs="Times New Roman"/>
                <w:noProof/>
                <w:snapToGrid/>
                <w:color w:val="000000"/>
                <w:sz w:val="20"/>
                <w:highlight w:val="black"/>
                <w:lang w:eastAsia="en-AU"/>
              </w:rPr>
              <w:t>''''''''''''''''''</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D06E1E" w:rsidRPr="00E71387" w:rsidRDefault="00E71387" w:rsidP="00A800D7">
            <w:pPr>
              <w:keepNext/>
              <w:keepLines/>
              <w:widowControl/>
              <w:jc w:val="left"/>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 '''''''''' ''''''''''' '''''''' '''''''''''''''' ''''''''''</w:t>
            </w:r>
          </w:p>
        </w:tc>
        <w:tc>
          <w:tcPr>
            <w:tcW w:w="1196"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center"/>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1-Dec-14</w:t>
            </w:r>
          </w:p>
        </w:tc>
      </w:tr>
      <w:tr w:rsidR="00D06E1E" w:rsidRPr="002421BE" w:rsidTr="004220F9">
        <w:trPr>
          <w:trHeight w:val="74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lef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Rheumatoid arthritis</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06E1E" w:rsidRPr="00E71387" w:rsidRDefault="00E71387" w:rsidP="00A800D7">
            <w:pPr>
              <w:keepNext/>
              <w:keepLines/>
              <w:widowControl/>
              <w:autoSpaceDE w:val="0"/>
              <w:autoSpaceDN w:val="0"/>
              <w:jc w:val="right"/>
              <w:rPr>
                <w:rFonts w:ascii="Arial Narrow" w:hAnsi="Arial Narrow" w:cs="Times New Roman"/>
                <w:snapToGrid/>
                <w:color w:val="000000"/>
                <w:sz w:val="20"/>
                <w:highlight w:val="black"/>
                <w:vertAlign w:val="superscript"/>
                <w:lang w:eastAsia="en-AU"/>
              </w:rPr>
            </w:pPr>
            <w:r>
              <w:rPr>
                <w:rFonts w:ascii="Arial Narrow" w:hAnsi="Arial Narrow" w:cs="Segoe UI"/>
                <w:noProof/>
                <w:snapToGrid/>
                <w:color w:val="000000"/>
                <w:sz w:val="20"/>
                <w:highlight w:val="black"/>
                <w:lang w:eastAsia="en-AU"/>
              </w:rPr>
              <w:t>''''''''''''''''''''''''''</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06E1E" w:rsidRPr="00E71387" w:rsidRDefault="00E71387" w:rsidP="00A800D7">
            <w:pPr>
              <w:keepNext/>
              <w:keepLines/>
              <w:widowControl/>
              <w:jc w:val="right"/>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p w:rsidR="00D06E1E" w:rsidRPr="002421BE" w:rsidRDefault="00D06E1E" w:rsidP="00A800D7">
            <w:pPr>
              <w:keepNext/>
              <w:keepLines/>
              <w:widowControl/>
              <w:jc w:val="right"/>
              <w:rPr>
                <w:rFonts w:ascii="Arial Narrow" w:hAnsi="Arial Narrow" w:cs="Times New Roman"/>
                <w:snapToGrid/>
                <w:color w:val="000000"/>
                <w:sz w:val="20"/>
                <w:lang w:eastAsia="en-AU"/>
              </w:rPr>
            </w:pPr>
          </w:p>
        </w:tc>
        <w:tc>
          <w:tcPr>
            <w:tcW w:w="2693" w:type="dxa"/>
            <w:tcBorders>
              <w:top w:val="single" w:sz="4" w:space="0" w:color="auto"/>
              <w:left w:val="nil"/>
              <w:bottom w:val="single" w:sz="4" w:space="0" w:color="auto"/>
              <w:right w:val="single" w:sz="4" w:space="0" w:color="auto"/>
            </w:tcBorders>
            <w:shd w:val="clear" w:color="000000" w:fill="FFFFFF"/>
            <w:vAlign w:val="bottom"/>
            <w:hideMark/>
          </w:tcPr>
          <w:p w:rsidR="00D06E1E" w:rsidRPr="00E71387" w:rsidRDefault="00E71387" w:rsidP="00A800D7">
            <w:pPr>
              <w:keepNext/>
              <w:keepLines/>
              <w:widowControl/>
              <w:jc w:val="left"/>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 xml:space="preserve">''''''''''''' '''' '''''''''' ''' ''''''''''''''''' '''''''''''''''' ''''''' ''' '''''''''''''' '''' '''' ''''''''' '''''' ''''''''''''''''''''' '''''''''''''''''' ''''''''''' '''''''''''''''' '''' ''''''''' '''''''''''''''''' '''' ''''''''' '''''''''''''''''' '''''''''' ''''''''''''' ''''''''''''' </w:t>
            </w:r>
          </w:p>
        </w:tc>
        <w:tc>
          <w:tcPr>
            <w:tcW w:w="1196"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center"/>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1-Mar-08</w:t>
            </w:r>
          </w:p>
        </w:tc>
      </w:tr>
    </w:tbl>
    <w:p w:rsidR="00E45152" w:rsidRPr="002421BE" w:rsidRDefault="00D06E1E" w:rsidP="00A800D7">
      <w:pPr>
        <w:keepNext/>
        <w:keepLines/>
        <w:widowControl/>
        <w:ind w:firstLine="720"/>
        <w:jc w:val="left"/>
        <w:rPr>
          <w:rFonts w:ascii="Arial Narrow" w:hAnsi="Arial Narrow"/>
          <w:sz w:val="20"/>
          <w:szCs w:val="22"/>
        </w:rPr>
      </w:pPr>
      <w:r w:rsidRPr="002421BE">
        <w:rPr>
          <w:rFonts w:ascii="Arial Narrow" w:hAnsi="Arial Narrow"/>
          <w:sz w:val="20"/>
          <w:szCs w:val="22"/>
        </w:rPr>
        <w:t>Source: compiled by Department at request of ESC</w:t>
      </w:r>
    </w:p>
    <w:p w:rsidR="004220F9" w:rsidRPr="002421BE" w:rsidRDefault="004220F9" w:rsidP="000C1F48">
      <w:pPr>
        <w:keepNext/>
        <w:keepLines/>
        <w:widowControl/>
        <w:ind w:left="720"/>
        <w:jc w:val="left"/>
        <w:rPr>
          <w:rFonts w:ascii="Arial Narrow" w:hAnsi="Arial Narrow"/>
          <w:sz w:val="20"/>
          <w:szCs w:val="22"/>
        </w:rPr>
      </w:pPr>
      <w:r w:rsidRPr="002421BE">
        <w:rPr>
          <w:rFonts w:ascii="Arial Narrow" w:hAnsi="Arial Narrow"/>
          <w:sz w:val="20"/>
          <w:szCs w:val="22"/>
          <w:vertAlign w:val="superscript"/>
        </w:rPr>
        <w:t>a</w:t>
      </w:r>
      <w:r w:rsidRPr="002421BE">
        <w:rPr>
          <w:rFonts w:ascii="Arial Narrow" w:hAnsi="Arial Narrow"/>
          <w:sz w:val="20"/>
          <w:szCs w:val="22"/>
        </w:rPr>
        <w:t xml:space="preserve">Price is current as of 1 December 2014, </w:t>
      </w:r>
      <w:r w:rsidR="00537C50" w:rsidRPr="002421BE">
        <w:rPr>
          <w:rFonts w:ascii="Arial Narrow" w:hAnsi="Arial Narrow"/>
          <w:sz w:val="20"/>
          <w:szCs w:val="22"/>
        </w:rPr>
        <w:t>at which time</w:t>
      </w:r>
      <w:r w:rsidRPr="002421BE">
        <w:rPr>
          <w:rFonts w:ascii="Arial Narrow" w:hAnsi="Arial Narrow"/>
          <w:sz w:val="20"/>
          <w:szCs w:val="22"/>
        </w:rPr>
        <w:t xml:space="preserve"> a </w:t>
      </w:r>
      <w:r w:rsidR="00E71387">
        <w:rPr>
          <w:rFonts w:ascii="Arial Narrow" w:hAnsi="Arial Narrow"/>
          <w:noProof/>
          <w:color w:val="000000"/>
          <w:sz w:val="20"/>
          <w:szCs w:val="22"/>
          <w:highlight w:val="black"/>
        </w:rPr>
        <w:t>''''''''''''''''' '''''''''''''''''''''' '''''''''''''''''''''''</w:t>
      </w:r>
      <w:r w:rsidRPr="002421BE">
        <w:rPr>
          <w:rFonts w:ascii="Arial Narrow" w:hAnsi="Arial Narrow"/>
          <w:sz w:val="20"/>
          <w:szCs w:val="22"/>
        </w:rPr>
        <w:t xml:space="preserve"> was applied.</w:t>
      </w:r>
    </w:p>
    <w:p w:rsidR="004220F9" w:rsidRPr="00E71387" w:rsidRDefault="00E71387" w:rsidP="000C1F48">
      <w:pPr>
        <w:keepNext/>
        <w:keepLines/>
        <w:widowControl/>
        <w:ind w:left="720"/>
        <w:jc w:val="left"/>
        <w:rPr>
          <w:rFonts w:ascii="Arial Narrow" w:hAnsi="Arial Narrow"/>
          <w:sz w:val="20"/>
          <w:szCs w:val="22"/>
          <w:highlight w:val="black"/>
        </w:rPr>
      </w:pPr>
      <w:r>
        <w:rPr>
          <w:rFonts w:ascii="Arial Narrow" w:hAnsi="Arial Narrow"/>
          <w:noProof/>
          <w:color w:val="000000"/>
          <w:sz w:val="20"/>
          <w:szCs w:val="22"/>
          <w:highlight w:val="black"/>
          <w:vertAlign w:val="superscript"/>
        </w:rPr>
        <w:t>'''''''' ''''''''''''''''''' '''''''''''''' '''' '''''''''''''''''' '''' ''''''' '''''''''''''''''' ''''''''''' '''''' ''''''''' '''''''''''''''''''''''''' ''''''''''''''''''' '''''''''''''''''''''''</w:t>
      </w:r>
    </w:p>
    <w:p w:rsidR="00A60FDD" w:rsidRPr="001E2003" w:rsidRDefault="009F0BD1" w:rsidP="000C1F48">
      <w:pPr>
        <w:keepNext/>
        <w:keepLines/>
        <w:widowControl/>
        <w:ind w:left="720"/>
        <w:jc w:val="left"/>
        <w:rPr>
          <w:rFonts w:ascii="Arial Narrow" w:hAnsi="Arial Narrow"/>
          <w:b/>
          <w:sz w:val="20"/>
          <w:szCs w:val="22"/>
        </w:rPr>
      </w:pPr>
      <w:r>
        <w:rPr>
          <w:rFonts w:ascii="Arial Narrow" w:hAnsi="Arial Narrow"/>
          <w:sz w:val="20"/>
          <w:szCs w:val="22"/>
        </w:rPr>
        <w:t>GPA = g</w:t>
      </w:r>
      <w:r w:rsidR="000E2AD0">
        <w:rPr>
          <w:rFonts w:ascii="Arial Narrow" w:hAnsi="Arial Narrow"/>
          <w:sz w:val="20"/>
          <w:szCs w:val="22"/>
        </w:rPr>
        <w:t>r</w:t>
      </w:r>
      <w:r>
        <w:rPr>
          <w:rFonts w:ascii="Arial Narrow" w:hAnsi="Arial Narrow"/>
          <w:sz w:val="20"/>
          <w:szCs w:val="22"/>
        </w:rPr>
        <w:t xml:space="preserve">anulomatosis with polyangiitis; MPA = microscopic polyangiitis; FNHL </w:t>
      </w:r>
      <w:r w:rsidR="00537C50">
        <w:rPr>
          <w:rFonts w:ascii="Arial Narrow" w:hAnsi="Arial Narrow"/>
          <w:sz w:val="20"/>
          <w:szCs w:val="22"/>
        </w:rPr>
        <w:t xml:space="preserve">= </w:t>
      </w:r>
      <w:r w:rsidR="000C1F48">
        <w:rPr>
          <w:rFonts w:ascii="Arial Narrow" w:hAnsi="Arial Narrow"/>
          <w:sz w:val="20"/>
          <w:szCs w:val="22"/>
        </w:rPr>
        <w:t xml:space="preserve">follicular B-cell non-Hodgkin’s lymphoma; </w:t>
      </w:r>
      <w:r w:rsidR="000E2AD0">
        <w:rPr>
          <w:rFonts w:ascii="Arial Narrow" w:hAnsi="Arial Narrow"/>
          <w:sz w:val="20"/>
          <w:szCs w:val="22"/>
        </w:rPr>
        <w:t xml:space="preserve">RR = </w:t>
      </w:r>
      <w:r w:rsidR="00537C50" w:rsidRPr="00537C50">
        <w:rPr>
          <w:rFonts w:ascii="Arial Narrow" w:hAnsi="Arial Narrow"/>
          <w:sz w:val="20"/>
          <w:szCs w:val="22"/>
        </w:rPr>
        <w:t>relapsed or refractory</w:t>
      </w:r>
      <w:r w:rsidR="00537C50">
        <w:rPr>
          <w:rFonts w:ascii="Arial Narrow" w:hAnsi="Arial Narrow"/>
          <w:sz w:val="20"/>
          <w:szCs w:val="22"/>
        </w:rPr>
        <w:t>;</w:t>
      </w:r>
      <w:r w:rsidR="00537C50" w:rsidRPr="00537C50">
        <w:rPr>
          <w:rFonts w:ascii="Arial Narrow" w:hAnsi="Arial Narrow"/>
          <w:sz w:val="20"/>
          <w:szCs w:val="22"/>
        </w:rPr>
        <w:t xml:space="preserve"> </w:t>
      </w:r>
      <w:r w:rsidR="000C1F48">
        <w:rPr>
          <w:rFonts w:ascii="Arial Narrow" w:hAnsi="Arial Narrow"/>
          <w:sz w:val="20"/>
          <w:szCs w:val="22"/>
        </w:rPr>
        <w:t>DLBCL = diffuse large B-cell non-Hodgkin’s lymphoma;</w:t>
      </w:r>
      <w:r w:rsidR="00F46B65">
        <w:rPr>
          <w:rFonts w:ascii="Arial Narrow" w:hAnsi="Arial Narrow"/>
          <w:sz w:val="20"/>
          <w:szCs w:val="22"/>
        </w:rPr>
        <w:t xml:space="preserve"> CLL = chron</w:t>
      </w:r>
      <w:r w:rsidR="000E2AD0">
        <w:rPr>
          <w:rFonts w:ascii="Arial Narrow" w:hAnsi="Arial Narrow"/>
          <w:sz w:val="20"/>
          <w:szCs w:val="22"/>
        </w:rPr>
        <w:t xml:space="preserve">ic lymphocytic leukaemia; FC = </w:t>
      </w:r>
      <w:r w:rsidR="00F46B65">
        <w:rPr>
          <w:rFonts w:ascii="Arial Narrow" w:hAnsi="Arial Narrow"/>
          <w:sz w:val="20"/>
          <w:szCs w:val="22"/>
        </w:rPr>
        <w:t>fludarabine and cyclophosphamide; bDMARD = biological disease-modifying anti-rheumatic drug</w:t>
      </w:r>
      <w:r w:rsidR="00537C50">
        <w:rPr>
          <w:rFonts w:ascii="Arial Narrow" w:hAnsi="Arial Narrow"/>
          <w:sz w:val="20"/>
          <w:szCs w:val="22"/>
        </w:rPr>
        <w:t>.</w:t>
      </w:r>
    </w:p>
    <w:p w:rsidR="00E505DE" w:rsidRPr="001E2003" w:rsidRDefault="00E505DE" w:rsidP="00E2790B">
      <w:pPr>
        <w:rPr>
          <w:szCs w:val="22"/>
        </w:rPr>
      </w:pPr>
    </w:p>
    <w:p w:rsidR="00802C64" w:rsidRPr="001E2003" w:rsidRDefault="00E505DE" w:rsidP="00DD3A69">
      <w:pPr>
        <w:pStyle w:val="ListParagraph"/>
        <w:widowControl/>
        <w:numPr>
          <w:ilvl w:val="1"/>
          <w:numId w:val="2"/>
        </w:numPr>
        <w:rPr>
          <w:szCs w:val="22"/>
        </w:rPr>
      </w:pPr>
      <w:r w:rsidRPr="001E2003">
        <w:rPr>
          <w:szCs w:val="22"/>
        </w:rPr>
        <w:t xml:space="preserve">The ESC noted that a Markov model for rituximab in GPA/MPA was presented to NICE but </w:t>
      </w:r>
      <w:r w:rsidR="00802C64" w:rsidRPr="001E2003">
        <w:rPr>
          <w:szCs w:val="22"/>
        </w:rPr>
        <w:t xml:space="preserve">agreed with the PSCR that </w:t>
      </w:r>
      <w:r w:rsidR="00E45152" w:rsidRPr="001E2003">
        <w:rPr>
          <w:szCs w:val="22"/>
        </w:rPr>
        <w:t>a</w:t>
      </w:r>
      <w:r w:rsidR="00802C64" w:rsidRPr="001E2003">
        <w:rPr>
          <w:szCs w:val="22"/>
        </w:rPr>
        <w:t xml:space="preserve"> cost-effectiveness model is unlike</w:t>
      </w:r>
      <w:r w:rsidR="001360A2" w:rsidRPr="001E2003">
        <w:rPr>
          <w:szCs w:val="22"/>
        </w:rPr>
        <w:t>ly to be informative for</w:t>
      </w:r>
      <w:r w:rsidR="00802C64" w:rsidRPr="001E2003">
        <w:rPr>
          <w:szCs w:val="22"/>
        </w:rPr>
        <w:t xml:space="preserve"> </w:t>
      </w:r>
      <w:r w:rsidR="00E45152" w:rsidRPr="001E2003">
        <w:rPr>
          <w:szCs w:val="22"/>
        </w:rPr>
        <w:t xml:space="preserve">PBAC </w:t>
      </w:r>
      <w:r w:rsidR="00802C64" w:rsidRPr="001E2003">
        <w:rPr>
          <w:szCs w:val="22"/>
        </w:rPr>
        <w:t>decision-making</w:t>
      </w:r>
      <w:r w:rsidR="00EA6A2B" w:rsidRPr="001E2003">
        <w:rPr>
          <w:szCs w:val="22"/>
        </w:rPr>
        <w:t xml:space="preserve"> in this instance</w:t>
      </w:r>
      <w:r w:rsidR="0095465B" w:rsidRPr="001E2003">
        <w:rPr>
          <w:szCs w:val="22"/>
        </w:rPr>
        <w:t xml:space="preserve"> because</w:t>
      </w:r>
      <w:r w:rsidR="003A5B25" w:rsidRPr="001E2003">
        <w:rPr>
          <w:szCs w:val="22"/>
        </w:rPr>
        <w:t xml:space="preserve"> of the lack of comparative data for most of the patient subgroups in the proposed PBS restriction.</w:t>
      </w:r>
      <w:r w:rsidR="00802C64" w:rsidRPr="001E2003">
        <w:rPr>
          <w:szCs w:val="22"/>
        </w:rPr>
        <w:t xml:space="preserve"> </w:t>
      </w:r>
    </w:p>
    <w:p w:rsidR="00780700" w:rsidRDefault="00780700" w:rsidP="006B0DD1">
      <w:pPr>
        <w:rPr>
          <w:szCs w:val="22"/>
        </w:rPr>
      </w:pPr>
    </w:p>
    <w:p w:rsidR="00CF758C" w:rsidRPr="0095541F" w:rsidRDefault="00CF758C" w:rsidP="005C2DD7">
      <w:pPr>
        <w:pStyle w:val="Heading2"/>
      </w:pPr>
      <w:bookmarkStart w:id="18" w:name="_Toc392858200"/>
      <w:bookmarkStart w:id="19" w:name="_Toc409509656"/>
      <w:r w:rsidRPr="0095541F">
        <w:t>Drug cost/patient/course: $</w:t>
      </w:r>
      <w:r w:rsidRPr="00B32B40">
        <w:t>7,756</w:t>
      </w:r>
      <w:bookmarkEnd w:id="18"/>
      <w:bookmarkEnd w:id="19"/>
    </w:p>
    <w:p w:rsidR="00CF758C" w:rsidRPr="00C25D9C" w:rsidRDefault="00CF758C" w:rsidP="00CF758C">
      <w:pPr>
        <w:widowControl/>
        <w:rPr>
          <w:szCs w:val="22"/>
        </w:rPr>
      </w:pPr>
    </w:p>
    <w:p w:rsidR="00CF758C" w:rsidRPr="00175232" w:rsidRDefault="009C0C11" w:rsidP="008D2EF7">
      <w:pPr>
        <w:pStyle w:val="ListParagraph"/>
        <w:numPr>
          <w:ilvl w:val="1"/>
          <w:numId w:val="2"/>
        </w:numPr>
        <w:rPr>
          <w:b/>
          <w:szCs w:val="22"/>
        </w:rPr>
      </w:pPr>
      <w:r w:rsidRPr="007815A6">
        <w:rPr>
          <w:szCs w:val="22"/>
        </w:rPr>
        <w:t>The drug cost</w:t>
      </w:r>
      <w:r w:rsidR="00CF758C" w:rsidRPr="007815A6">
        <w:rPr>
          <w:szCs w:val="22"/>
        </w:rPr>
        <w:t xml:space="preserve"> was based on fixed dosing</w:t>
      </w:r>
      <w:r w:rsidR="000F54A2">
        <w:rPr>
          <w:szCs w:val="22"/>
        </w:rPr>
        <w:t>.</w:t>
      </w:r>
      <w:r w:rsidR="00CF758C" w:rsidRPr="007815A6">
        <w:rPr>
          <w:szCs w:val="22"/>
        </w:rPr>
        <w:t xml:space="preserve"> </w:t>
      </w:r>
      <w:r w:rsidR="000F54A2">
        <w:rPr>
          <w:szCs w:val="22"/>
        </w:rPr>
        <w:t>I</w:t>
      </w:r>
      <w:r w:rsidR="00CF758C" w:rsidRPr="007815A6">
        <w:rPr>
          <w:szCs w:val="22"/>
        </w:rPr>
        <w:t>f weight-based dosing is used by clinicians the cost of rituximab will be substantially higher</w:t>
      </w:r>
      <w:r w:rsidR="000F54A2">
        <w:rPr>
          <w:szCs w:val="22"/>
        </w:rPr>
        <w:t>,</w:t>
      </w:r>
      <w:r w:rsidR="00CF758C" w:rsidRPr="007815A6">
        <w:rPr>
          <w:szCs w:val="22"/>
        </w:rPr>
        <w:t xml:space="preserve"> at $</w:t>
      </w:r>
      <w:r w:rsidR="00CF758C" w:rsidRPr="00B32B40">
        <w:rPr>
          <w:szCs w:val="22"/>
        </w:rPr>
        <w:t>15,390</w:t>
      </w:r>
      <w:r w:rsidR="00CF758C" w:rsidRPr="007815A6">
        <w:rPr>
          <w:szCs w:val="22"/>
        </w:rPr>
        <w:t xml:space="preserve"> per 4-week course</w:t>
      </w:r>
      <w:r w:rsidRPr="007815A6">
        <w:rPr>
          <w:szCs w:val="22"/>
        </w:rPr>
        <w:t>.</w:t>
      </w:r>
      <w:r w:rsidR="00175232">
        <w:rPr>
          <w:szCs w:val="22"/>
        </w:rPr>
        <w:t xml:space="preserve"> </w:t>
      </w:r>
      <w:r w:rsidR="005E1071">
        <w:rPr>
          <w:szCs w:val="22"/>
        </w:rPr>
        <w:t xml:space="preserve">The </w:t>
      </w:r>
      <w:r w:rsidR="00175232" w:rsidRPr="00175232">
        <w:rPr>
          <w:szCs w:val="22"/>
        </w:rPr>
        <w:t>DUSC considered that use of weight based dosing is likely</w:t>
      </w:r>
      <w:r w:rsidR="008D2EF7">
        <w:rPr>
          <w:szCs w:val="22"/>
        </w:rPr>
        <w:t xml:space="preserve"> given that t</w:t>
      </w:r>
      <w:r w:rsidR="008D2EF7" w:rsidRPr="008D2EF7">
        <w:rPr>
          <w:szCs w:val="22"/>
        </w:rPr>
        <w:t>he recommended course of rituximab in the Australian PI and the dose used in the pivotal (RAVE) trial is 375 mg/m</w:t>
      </w:r>
      <w:r w:rsidR="008D2EF7" w:rsidRPr="00361C1B">
        <w:rPr>
          <w:szCs w:val="22"/>
          <w:vertAlign w:val="superscript"/>
        </w:rPr>
        <w:t>2</w:t>
      </w:r>
      <w:r w:rsidR="008D2EF7" w:rsidRPr="008D2EF7">
        <w:rPr>
          <w:szCs w:val="22"/>
        </w:rPr>
        <w:t xml:space="preserve"> once per week for four weeks for induction of remission</w:t>
      </w:r>
      <w:r w:rsidR="00175232" w:rsidRPr="00175232">
        <w:rPr>
          <w:szCs w:val="22"/>
        </w:rPr>
        <w:t>.</w:t>
      </w:r>
    </w:p>
    <w:p w:rsidR="00CF758C" w:rsidRPr="004E6255" w:rsidRDefault="00CF758C" w:rsidP="00CF758C">
      <w:pPr>
        <w:widowControl/>
        <w:rPr>
          <w:szCs w:val="22"/>
        </w:rPr>
      </w:pPr>
    </w:p>
    <w:p w:rsidR="00CF758C" w:rsidRPr="00C74482" w:rsidRDefault="00CF758C" w:rsidP="00DD3A69">
      <w:pPr>
        <w:pStyle w:val="ListParagraph"/>
        <w:numPr>
          <w:ilvl w:val="1"/>
          <w:numId w:val="2"/>
        </w:numPr>
        <w:rPr>
          <w:i/>
          <w:szCs w:val="22"/>
        </w:rPr>
      </w:pPr>
      <w:r w:rsidRPr="00C74482">
        <w:rPr>
          <w:szCs w:val="22"/>
        </w:rPr>
        <w:t xml:space="preserve">The cost presented in the submission was based on a weighted average of 2.36 scripts per patient, assuming 9.7% use of the 500mg x 2 regimen, 17.9% use of the 500mg x 4 regimen and 72.4% use of the 1g x 2 regimen.  </w:t>
      </w:r>
      <w:r w:rsidRPr="007815A6">
        <w:rPr>
          <w:szCs w:val="22"/>
        </w:rPr>
        <w:t>Should a patient not achieve complete remission by month 3, the requested PBS listing does not preclude a further course of therapy.</w:t>
      </w:r>
      <w:r w:rsidR="00051B3F">
        <w:rPr>
          <w:szCs w:val="22"/>
        </w:rPr>
        <w:t xml:space="preserve"> </w:t>
      </w:r>
      <w:r w:rsidR="00441626" w:rsidRPr="001E2003">
        <w:rPr>
          <w:szCs w:val="22"/>
        </w:rPr>
        <w:t>The ESC considered that only patients who achieve a complete initial response and have a subsequent relapse should receive a further course of therapy.</w:t>
      </w:r>
      <w:r w:rsidRPr="001E2003">
        <w:rPr>
          <w:szCs w:val="22"/>
        </w:rPr>
        <w:t xml:space="preserve"> </w:t>
      </w:r>
      <w:r w:rsidRPr="007815A6">
        <w:rPr>
          <w:szCs w:val="22"/>
        </w:rPr>
        <w:t xml:space="preserve">The cost of a further course of therapy was not included in the cost estimates.  The </w:t>
      </w:r>
      <w:r w:rsidR="008629F0" w:rsidRPr="007815A6">
        <w:rPr>
          <w:szCs w:val="22"/>
        </w:rPr>
        <w:t xml:space="preserve">approved </w:t>
      </w:r>
      <w:r w:rsidRPr="007815A6">
        <w:rPr>
          <w:szCs w:val="22"/>
        </w:rPr>
        <w:t>PI states that the efficacy and safety of retreatment with rit</w:t>
      </w:r>
      <w:r w:rsidR="00C52387">
        <w:rPr>
          <w:szCs w:val="22"/>
        </w:rPr>
        <w:t>uximab has not been established.</w:t>
      </w:r>
    </w:p>
    <w:p w:rsidR="00CF758C" w:rsidRDefault="00CF758C" w:rsidP="00CF758C">
      <w:pPr>
        <w:rPr>
          <w:szCs w:val="22"/>
        </w:rPr>
      </w:pPr>
    </w:p>
    <w:p w:rsidR="006B0DD1" w:rsidRPr="00BB7EC3" w:rsidRDefault="006B0DD1" w:rsidP="006B0DD1">
      <w:pPr>
        <w:pStyle w:val="ListParagraph"/>
        <w:ind w:left="709"/>
        <w:rPr>
          <w:i/>
          <w:szCs w:val="22"/>
        </w:rPr>
      </w:pPr>
      <w:r>
        <w:rPr>
          <w:i/>
          <w:szCs w:val="22"/>
        </w:rPr>
        <w:t>For more detail on PBAC’s view, see section 7 “PBAC outcome”</w:t>
      </w:r>
    </w:p>
    <w:p w:rsidR="006B0DD1" w:rsidRPr="001E2B1E" w:rsidRDefault="006B0DD1" w:rsidP="00CF758C">
      <w:pPr>
        <w:rPr>
          <w:szCs w:val="22"/>
        </w:rPr>
      </w:pPr>
    </w:p>
    <w:p w:rsidR="00CF758C" w:rsidRPr="0095541F" w:rsidRDefault="00CF758C" w:rsidP="005C2DD7">
      <w:pPr>
        <w:pStyle w:val="Heading2"/>
      </w:pPr>
      <w:bookmarkStart w:id="20" w:name="_Toc392858201"/>
      <w:bookmarkStart w:id="21" w:name="_Toc409509657"/>
      <w:r w:rsidRPr="0095541F">
        <w:t>Estimated PBS usage &amp; financial implications</w:t>
      </w:r>
      <w:bookmarkEnd w:id="20"/>
      <w:bookmarkEnd w:id="21"/>
    </w:p>
    <w:p w:rsidR="00CF758C" w:rsidRPr="00882085" w:rsidRDefault="00CF758C" w:rsidP="00CF758C">
      <w:pPr>
        <w:ind w:left="720" w:hanging="720"/>
        <w:rPr>
          <w:b/>
          <w:i/>
          <w:szCs w:val="22"/>
        </w:rPr>
      </w:pPr>
    </w:p>
    <w:p w:rsidR="00175232" w:rsidRDefault="00BA5FB2" w:rsidP="00175232">
      <w:pPr>
        <w:pStyle w:val="ListParagraph"/>
        <w:numPr>
          <w:ilvl w:val="1"/>
          <w:numId w:val="2"/>
        </w:numPr>
        <w:rPr>
          <w:szCs w:val="22"/>
        </w:rPr>
      </w:pPr>
      <w:r>
        <w:rPr>
          <w:szCs w:val="22"/>
        </w:rPr>
        <w:t xml:space="preserve">The submission was considered by DUSC. </w:t>
      </w:r>
      <w:r w:rsidR="00632C2A">
        <w:rPr>
          <w:szCs w:val="22"/>
        </w:rPr>
        <w:t xml:space="preserve">The </w:t>
      </w:r>
      <w:r w:rsidR="00175232">
        <w:rPr>
          <w:szCs w:val="22"/>
        </w:rPr>
        <w:t xml:space="preserve">estimate of the total cost of rituximab in the first five </w:t>
      </w:r>
      <w:r w:rsidR="00E369DA">
        <w:rPr>
          <w:szCs w:val="22"/>
        </w:rPr>
        <w:t xml:space="preserve">years </w:t>
      </w:r>
      <w:r w:rsidR="00175232">
        <w:rPr>
          <w:szCs w:val="22"/>
        </w:rPr>
        <w:t>of listing on the PBS for this indication</w:t>
      </w:r>
      <w:r w:rsidR="002774A7">
        <w:rPr>
          <w:szCs w:val="22"/>
        </w:rPr>
        <w:t xml:space="preserve"> in the submission </w:t>
      </w:r>
      <w:r w:rsidR="00175232">
        <w:rPr>
          <w:szCs w:val="22"/>
        </w:rPr>
        <w:t>is presented in the table below.</w:t>
      </w:r>
    </w:p>
    <w:p w:rsidR="00E369DA" w:rsidRPr="00351A57" w:rsidRDefault="00E369DA" w:rsidP="00175232">
      <w:pPr>
        <w:rPr>
          <w:szCs w:val="22"/>
        </w:rPr>
      </w:pPr>
    </w:p>
    <w:p w:rsidR="00175232" w:rsidRPr="002826DA" w:rsidRDefault="00175232" w:rsidP="00175232">
      <w:pPr>
        <w:ind w:firstLine="720"/>
        <w:rPr>
          <w:b/>
          <w:sz w:val="20"/>
          <w:szCs w:val="22"/>
        </w:rPr>
      </w:pPr>
      <w:r>
        <w:rPr>
          <w:b/>
          <w:sz w:val="20"/>
          <w:szCs w:val="22"/>
        </w:rPr>
        <w:t>Total cost of rituximab in the first five years of PBS listing</w:t>
      </w:r>
    </w:p>
    <w:tbl>
      <w:tblPr>
        <w:tblStyle w:val="TableGrid"/>
        <w:tblW w:w="8206" w:type="dxa"/>
        <w:tblInd w:w="817" w:type="dxa"/>
        <w:tblLook w:val="04A0" w:firstRow="1" w:lastRow="0" w:firstColumn="1" w:lastColumn="0" w:noHBand="0" w:noVBand="1"/>
        <w:tblCaption w:val="Estimated PBS usage &amp; financial implications"/>
        <w:tblDescription w:val="Year 1 to 5"/>
      </w:tblPr>
      <w:tblGrid>
        <w:gridCol w:w="1251"/>
        <w:gridCol w:w="1862"/>
        <w:gridCol w:w="1256"/>
        <w:gridCol w:w="1262"/>
        <w:gridCol w:w="1257"/>
        <w:gridCol w:w="1318"/>
      </w:tblGrid>
      <w:tr w:rsidR="002774A7" w:rsidRPr="002774A7" w:rsidTr="00C52387">
        <w:trPr>
          <w:tblHeader/>
        </w:trPr>
        <w:tc>
          <w:tcPr>
            <w:tcW w:w="1251" w:type="dxa"/>
          </w:tcPr>
          <w:p w:rsidR="002774A7" w:rsidRPr="002774A7" w:rsidRDefault="002774A7" w:rsidP="002774A7">
            <w:pPr>
              <w:jc w:val="left"/>
              <w:rPr>
                <w:rFonts w:ascii="Arial Narrow" w:hAnsi="Arial Narrow" w:cs="Times New Roman"/>
                <w:color w:val="000000" w:themeColor="text1"/>
                <w:sz w:val="20"/>
              </w:rPr>
            </w:pPr>
          </w:p>
        </w:tc>
        <w:tc>
          <w:tcPr>
            <w:tcW w:w="6955" w:type="dxa"/>
            <w:gridSpan w:val="5"/>
            <w:vAlign w:val="center"/>
          </w:tcPr>
          <w:p w:rsidR="002774A7" w:rsidRPr="002774A7" w:rsidRDefault="002774A7" w:rsidP="002774A7">
            <w:pPr>
              <w:jc w:val="center"/>
              <w:rPr>
                <w:rFonts w:ascii="Arial Narrow" w:hAnsi="Arial Narrow" w:cs="Times New Roman"/>
                <w:b/>
                <w:color w:val="000000" w:themeColor="text1"/>
                <w:sz w:val="20"/>
              </w:rPr>
            </w:pPr>
            <w:r w:rsidRPr="002774A7">
              <w:rPr>
                <w:rFonts w:ascii="Arial Narrow" w:hAnsi="Arial Narrow" w:cs="Times New Roman"/>
                <w:b/>
                <w:color w:val="000000" w:themeColor="text1"/>
                <w:sz w:val="20"/>
              </w:rPr>
              <w:t>Year of PBS listing</w:t>
            </w:r>
          </w:p>
        </w:tc>
      </w:tr>
      <w:tr w:rsidR="002774A7" w:rsidRPr="002774A7" w:rsidTr="002774A7">
        <w:tc>
          <w:tcPr>
            <w:tcW w:w="1251" w:type="dxa"/>
          </w:tcPr>
          <w:p w:rsidR="002774A7" w:rsidRPr="002774A7" w:rsidRDefault="002774A7" w:rsidP="002774A7">
            <w:pPr>
              <w:jc w:val="left"/>
              <w:rPr>
                <w:rFonts w:ascii="Arial Narrow" w:hAnsi="Arial Narrow" w:cs="Times New Roman"/>
                <w:color w:val="000000" w:themeColor="text1"/>
                <w:sz w:val="20"/>
              </w:rPr>
            </w:pPr>
          </w:p>
        </w:tc>
        <w:tc>
          <w:tcPr>
            <w:tcW w:w="1862" w:type="dxa"/>
            <w:vAlign w:val="center"/>
          </w:tcPr>
          <w:p w:rsidR="002774A7" w:rsidRPr="002774A7" w:rsidRDefault="002774A7" w:rsidP="002774A7">
            <w:pPr>
              <w:jc w:val="center"/>
              <w:rPr>
                <w:rFonts w:ascii="Arial Narrow" w:hAnsi="Arial Narrow" w:cs="Times New Roman"/>
                <w:b/>
                <w:color w:val="000000" w:themeColor="text1"/>
                <w:sz w:val="20"/>
              </w:rPr>
            </w:pPr>
            <w:r w:rsidRPr="002774A7">
              <w:rPr>
                <w:rFonts w:ascii="Arial Narrow" w:hAnsi="Arial Narrow" w:cs="Times New Roman"/>
                <w:b/>
                <w:color w:val="000000" w:themeColor="text1"/>
                <w:sz w:val="20"/>
              </w:rPr>
              <w:t>Year 1</w:t>
            </w:r>
          </w:p>
        </w:tc>
        <w:tc>
          <w:tcPr>
            <w:tcW w:w="1256" w:type="dxa"/>
            <w:vAlign w:val="center"/>
          </w:tcPr>
          <w:p w:rsidR="002774A7" w:rsidRPr="002774A7" w:rsidRDefault="002774A7" w:rsidP="002774A7">
            <w:pPr>
              <w:jc w:val="center"/>
              <w:rPr>
                <w:rFonts w:ascii="Arial Narrow" w:hAnsi="Arial Narrow" w:cs="Times New Roman"/>
                <w:b/>
                <w:color w:val="000000" w:themeColor="text1"/>
                <w:sz w:val="20"/>
              </w:rPr>
            </w:pPr>
            <w:r w:rsidRPr="002774A7">
              <w:rPr>
                <w:rFonts w:ascii="Arial Narrow" w:hAnsi="Arial Narrow" w:cs="Times New Roman"/>
                <w:b/>
                <w:color w:val="000000" w:themeColor="text1"/>
                <w:sz w:val="20"/>
              </w:rPr>
              <w:t>Year 2</w:t>
            </w:r>
          </w:p>
        </w:tc>
        <w:tc>
          <w:tcPr>
            <w:tcW w:w="1262" w:type="dxa"/>
            <w:vAlign w:val="center"/>
          </w:tcPr>
          <w:p w:rsidR="002774A7" w:rsidRPr="002774A7" w:rsidRDefault="002774A7" w:rsidP="002774A7">
            <w:pPr>
              <w:jc w:val="center"/>
              <w:rPr>
                <w:rFonts w:ascii="Arial Narrow" w:hAnsi="Arial Narrow" w:cs="Times New Roman"/>
                <w:b/>
                <w:color w:val="000000" w:themeColor="text1"/>
                <w:sz w:val="20"/>
              </w:rPr>
            </w:pPr>
            <w:r w:rsidRPr="002774A7">
              <w:rPr>
                <w:rFonts w:ascii="Arial Narrow" w:hAnsi="Arial Narrow" w:cs="Times New Roman"/>
                <w:b/>
                <w:color w:val="000000" w:themeColor="text1"/>
                <w:sz w:val="20"/>
              </w:rPr>
              <w:t>Year 3</w:t>
            </w:r>
          </w:p>
        </w:tc>
        <w:tc>
          <w:tcPr>
            <w:tcW w:w="1257" w:type="dxa"/>
            <w:vAlign w:val="center"/>
          </w:tcPr>
          <w:p w:rsidR="002774A7" w:rsidRPr="002774A7" w:rsidRDefault="002774A7" w:rsidP="002774A7">
            <w:pPr>
              <w:jc w:val="center"/>
              <w:rPr>
                <w:rFonts w:ascii="Arial Narrow" w:hAnsi="Arial Narrow" w:cs="Times New Roman"/>
                <w:b/>
                <w:color w:val="000000" w:themeColor="text1"/>
                <w:sz w:val="20"/>
              </w:rPr>
            </w:pPr>
            <w:r w:rsidRPr="002774A7">
              <w:rPr>
                <w:rFonts w:ascii="Arial Narrow" w:hAnsi="Arial Narrow" w:cs="Times New Roman"/>
                <w:b/>
                <w:color w:val="000000" w:themeColor="text1"/>
                <w:sz w:val="20"/>
              </w:rPr>
              <w:t>Year 4</w:t>
            </w:r>
          </w:p>
        </w:tc>
        <w:tc>
          <w:tcPr>
            <w:tcW w:w="1318" w:type="dxa"/>
            <w:vAlign w:val="center"/>
          </w:tcPr>
          <w:p w:rsidR="002774A7" w:rsidRPr="002774A7" w:rsidRDefault="002774A7" w:rsidP="002774A7">
            <w:pPr>
              <w:jc w:val="center"/>
              <w:rPr>
                <w:rFonts w:ascii="Arial Narrow" w:hAnsi="Arial Narrow" w:cs="Times New Roman"/>
                <w:b/>
                <w:color w:val="000000" w:themeColor="text1"/>
                <w:sz w:val="20"/>
              </w:rPr>
            </w:pPr>
            <w:r w:rsidRPr="002774A7">
              <w:rPr>
                <w:rFonts w:ascii="Arial Narrow" w:hAnsi="Arial Narrow" w:cs="Times New Roman"/>
                <w:b/>
                <w:color w:val="000000" w:themeColor="text1"/>
                <w:sz w:val="20"/>
              </w:rPr>
              <w:t>Year 5</w:t>
            </w:r>
          </w:p>
        </w:tc>
      </w:tr>
      <w:tr w:rsidR="002774A7" w:rsidRPr="002774A7" w:rsidTr="002774A7">
        <w:tc>
          <w:tcPr>
            <w:tcW w:w="1251" w:type="dxa"/>
          </w:tcPr>
          <w:p w:rsidR="002774A7" w:rsidRPr="002774A7" w:rsidRDefault="002774A7" w:rsidP="002774A7">
            <w:pPr>
              <w:jc w:val="left"/>
              <w:rPr>
                <w:rFonts w:ascii="Arial Narrow" w:hAnsi="Arial Narrow" w:cs="Times New Roman"/>
                <w:color w:val="000000" w:themeColor="text1"/>
                <w:sz w:val="20"/>
              </w:rPr>
            </w:pPr>
            <w:r w:rsidRPr="002774A7">
              <w:rPr>
                <w:rFonts w:ascii="Arial Narrow" w:hAnsi="Arial Narrow" w:cs="Times New Roman"/>
                <w:color w:val="000000" w:themeColor="text1"/>
                <w:sz w:val="20"/>
              </w:rPr>
              <w:t>Number of patients treated</w:t>
            </w:r>
          </w:p>
        </w:tc>
        <w:tc>
          <w:tcPr>
            <w:tcW w:w="1862" w:type="dxa"/>
            <w:vAlign w:val="center"/>
          </w:tcPr>
          <w:p w:rsidR="002774A7" w:rsidRPr="00415D8B" w:rsidRDefault="002774A7" w:rsidP="002774A7">
            <w:pPr>
              <w:jc w:val="center"/>
              <w:rPr>
                <w:rFonts w:ascii="Arial Narrow" w:hAnsi="Arial Narrow" w:cs="Times New Roman"/>
                <w:color w:val="000000" w:themeColor="text1"/>
                <w:sz w:val="20"/>
              </w:rPr>
            </w:pPr>
            <w:r w:rsidRPr="00B32B40">
              <w:rPr>
                <w:rFonts w:ascii="Arial Narrow" w:hAnsi="Arial Narrow" w:cs="Times New Roman"/>
                <w:bCs/>
                <w:sz w:val="20"/>
              </w:rPr>
              <w:t>229</w:t>
            </w:r>
          </w:p>
        </w:tc>
        <w:tc>
          <w:tcPr>
            <w:tcW w:w="1256" w:type="dxa"/>
            <w:vAlign w:val="center"/>
          </w:tcPr>
          <w:p w:rsidR="002774A7" w:rsidRPr="00415D8B" w:rsidRDefault="002774A7" w:rsidP="002774A7">
            <w:pPr>
              <w:jc w:val="center"/>
              <w:rPr>
                <w:rFonts w:ascii="Arial Narrow" w:hAnsi="Arial Narrow" w:cs="Times New Roman"/>
                <w:color w:val="000000" w:themeColor="text1"/>
                <w:sz w:val="20"/>
              </w:rPr>
            </w:pPr>
            <w:r w:rsidRPr="00B32B40">
              <w:rPr>
                <w:rFonts w:ascii="Arial Narrow" w:hAnsi="Arial Narrow" w:cs="Times New Roman"/>
                <w:bCs/>
                <w:sz w:val="20"/>
              </w:rPr>
              <w:t>233</w:t>
            </w:r>
          </w:p>
        </w:tc>
        <w:tc>
          <w:tcPr>
            <w:tcW w:w="1262" w:type="dxa"/>
            <w:vAlign w:val="center"/>
          </w:tcPr>
          <w:p w:rsidR="002774A7" w:rsidRPr="00415D8B" w:rsidRDefault="002774A7" w:rsidP="002774A7">
            <w:pPr>
              <w:jc w:val="center"/>
              <w:rPr>
                <w:rFonts w:ascii="Arial Narrow" w:hAnsi="Arial Narrow" w:cs="Times New Roman"/>
                <w:color w:val="000000" w:themeColor="text1"/>
                <w:sz w:val="20"/>
              </w:rPr>
            </w:pPr>
            <w:r w:rsidRPr="00B32B40">
              <w:rPr>
                <w:rFonts w:ascii="Arial Narrow" w:hAnsi="Arial Narrow" w:cs="Times New Roman"/>
                <w:bCs/>
                <w:sz w:val="20"/>
              </w:rPr>
              <w:t>237</w:t>
            </w:r>
          </w:p>
        </w:tc>
        <w:tc>
          <w:tcPr>
            <w:tcW w:w="1257" w:type="dxa"/>
            <w:vAlign w:val="center"/>
          </w:tcPr>
          <w:p w:rsidR="002774A7" w:rsidRPr="00415D8B" w:rsidRDefault="002774A7" w:rsidP="002774A7">
            <w:pPr>
              <w:jc w:val="center"/>
              <w:rPr>
                <w:rFonts w:ascii="Arial Narrow" w:hAnsi="Arial Narrow" w:cs="Times New Roman"/>
                <w:color w:val="000000" w:themeColor="text1"/>
                <w:sz w:val="20"/>
              </w:rPr>
            </w:pPr>
            <w:r w:rsidRPr="00B32B40">
              <w:rPr>
                <w:rFonts w:ascii="Arial Narrow" w:hAnsi="Arial Narrow" w:cs="Times New Roman"/>
                <w:bCs/>
                <w:sz w:val="20"/>
              </w:rPr>
              <w:t>241</w:t>
            </w:r>
          </w:p>
        </w:tc>
        <w:tc>
          <w:tcPr>
            <w:tcW w:w="1318" w:type="dxa"/>
            <w:vAlign w:val="center"/>
          </w:tcPr>
          <w:p w:rsidR="002774A7" w:rsidRPr="00415D8B" w:rsidRDefault="002774A7" w:rsidP="002774A7">
            <w:pPr>
              <w:jc w:val="center"/>
              <w:rPr>
                <w:rFonts w:ascii="Arial Narrow" w:hAnsi="Arial Narrow" w:cs="Times New Roman"/>
                <w:color w:val="000000" w:themeColor="text1"/>
                <w:sz w:val="20"/>
              </w:rPr>
            </w:pPr>
            <w:r w:rsidRPr="00B32B40">
              <w:rPr>
                <w:rFonts w:ascii="Arial Narrow" w:hAnsi="Arial Narrow" w:cs="Times New Roman"/>
                <w:bCs/>
                <w:sz w:val="20"/>
              </w:rPr>
              <w:t>245</w:t>
            </w:r>
          </w:p>
        </w:tc>
      </w:tr>
      <w:tr w:rsidR="002774A7" w:rsidRPr="002774A7" w:rsidTr="002774A7">
        <w:tc>
          <w:tcPr>
            <w:tcW w:w="1251" w:type="dxa"/>
          </w:tcPr>
          <w:p w:rsidR="002774A7" w:rsidRPr="002774A7" w:rsidRDefault="002774A7" w:rsidP="002774A7">
            <w:pPr>
              <w:jc w:val="left"/>
              <w:rPr>
                <w:rFonts w:ascii="Arial Narrow" w:hAnsi="Arial Narrow" w:cs="Times New Roman"/>
                <w:color w:val="000000" w:themeColor="text1"/>
                <w:sz w:val="20"/>
              </w:rPr>
            </w:pPr>
            <w:r w:rsidRPr="002774A7">
              <w:rPr>
                <w:rFonts w:ascii="Arial Narrow" w:hAnsi="Arial Narrow" w:cs="Times New Roman"/>
                <w:color w:val="000000" w:themeColor="text1"/>
                <w:sz w:val="20"/>
              </w:rPr>
              <w:t>Total cost of rituximab to PBS</w:t>
            </w:r>
          </w:p>
        </w:tc>
        <w:tc>
          <w:tcPr>
            <w:tcW w:w="1862"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B32B40">
              <w:rPr>
                <w:rFonts w:ascii="Arial Narrow" w:hAnsi="Arial Narrow" w:cs="Times New Roman"/>
                <w:color w:val="000000" w:themeColor="text1"/>
                <w:sz w:val="20"/>
              </w:rPr>
              <w:t>1,776,703</w:t>
            </w:r>
          </w:p>
        </w:tc>
        <w:tc>
          <w:tcPr>
            <w:tcW w:w="1256"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B32B40">
              <w:rPr>
                <w:rFonts w:ascii="Arial Narrow" w:hAnsi="Arial Narrow" w:cs="Times New Roman"/>
                <w:color w:val="000000" w:themeColor="text1"/>
                <w:sz w:val="20"/>
              </w:rPr>
              <w:t>1,807,591</w:t>
            </w:r>
          </w:p>
        </w:tc>
        <w:tc>
          <w:tcPr>
            <w:tcW w:w="1262"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B32B40">
              <w:rPr>
                <w:rFonts w:ascii="Arial Narrow" w:hAnsi="Arial Narrow" w:cs="Times New Roman"/>
                <w:color w:val="000000" w:themeColor="text1"/>
                <w:sz w:val="20"/>
              </w:rPr>
              <w:t>1,838,496</w:t>
            </w:r>
          </w:p>
        </w:tc>
        <w:tc>
          <w:tcPr>
            <w:tcW w:w="1257"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B32B40">
              <w:rPr>
                <w:rFonts w:ascii="Arial Narrow" w:hAnsi="Arial Narrow" w:cs="Times New Roman"/>
                <w:color w:val="000000" w:themeColor="text1"/>
                <w:sz w:val="20"/>
              </w:rPr>
              <w:t>1,869,295</w:t>
            </w:r>
          </w:p>
        </w:tc>
        <w:tc>
          <w:tcPr>
            <w:tcW w:w="1318"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B32B40">
              <w:rPr>
                <w:rFonts w:ascii="Arial Narrow" w:hAnsi="Arial Narrow" w:cs="Times New Roman"/>
                <w:color w:val="000000" w:themeColor="text1"/>
                <w:sz w:val="20"/>
              </w:rPr>
              <w:t>1,899,997</w:t>
            </w:r>
          </w:p>
        </w:tc>
      </w:tr>
      <w:tr w:rsidR="002774A7" w:rsidRPr="002774A7" w:rsidTr="002774A7">
        <w:tc>
          <w:tcPr>
            <w:tcW w:w="1251" w:type="dxa"/>
          </w:tcPr>
          <w:p w:rsidR="002774A7" w:rsidRPr="002774A7" w:rsidRDefault="002774A7" w:rsidP="002774A7">
            <w:pPr>
              <w:jc w:val="left"/>
              <w:rPr>
                <w:rFonts w:ascii="Arial Narrow" w:hAnsi="Arial Narrow" w:cs="Times New Roman"/>
                <w:color w:val="000000" w:themeColor="text1"/>
                <w:sz w:val="20"/>
              </w:rPr>
            </w:pPr>
            <w:r w:rsidRPr="002774A7">
              <w:rPr>
                <w:rFonts w:ascii="Arial Narrow" w:hAnsi="Arial Narrow" w:cs="Times New Roman"/>
                <w:color w:val="000000" w:themeColor="text1"/>
                <w:sz w:val="20"/>
              </w:rPr>
              <w:t>PBS patient co-payments</w:t>
            </w:r>
          </w:p>
        </w:tc>
        <w:tc>
          <w:tcPr>
            <w:tcW w:w="1862"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5,034</w:t>
            </w:r>
          </w:p>
        </w:tc>
        <w:tc>
          <w:tcPr>
            <w:tcW w:w="1256"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5,121</w:t>
            </w:r>
          </w:p>
        </w:tc>
        <w:tc>
          <w:tcPr>
            <w:tcW w:w="1262"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5,209</w:t>
            </w:r>
          </w:p>
        </w:tc>
        <w:tc>
          <w:tcPr>
            <w:tcW w:w="1257"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5,296</w:t>
            </w:r>
          </w:p>
        </w:tc>
        <w:tc>
          <w:tcPr>
            <w:tcW w:w="1318"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5,383</w:t>
            </w:r>
          </w:p>
        </w:tc>
      </w:tr>
      <w:tr w:rsidR="002774A7" w:rsidRPr="002774A7" w:rsidTr="002774A7">
        <w:tc>
          <w:tcPr>
            <w:tcW w:w="1251" w:type="dxa"/>
          </w:tcPr>
          <w:p w:rsidR="002774A7" w:rsidRPr="002774A7" w:rsidRDefault="002774A7" w:rsidP="002774A7">
            <w:pPr>
              <w:jc w:val="left"/>
              <w:rPr>
                <w:rFonts w:ascii="Arial Narrow" w:hAnsi="Arial Narrow" w:cs="Times New Roman"/>
                <w:color w:val="000000" w:themeColor="text1"/>
                <w:sz w:val="20"/>
              </w:rPr>
            </w:pPr>
            <w:r w:rsidRPr="002774A7">
              <w:rPr>
                <w:rFonts w:ascii="Arial Narrow" w:hAnsi="Arial Narrow" w:cs="Times New Roman"/>
                <w:color w:val="000000" w:themeColor="text1"/>
                <w:sz w:val="20"/>
              </w:rPr>
              <w:t>Total cost of rituximab to RPBS</w:t>
            </w:r>
          </w:p>
        </w:tc>
        <w:tc>
          <w:tcPr>
            <w:tcW w:w="1862"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34,873</w:t>
            </w:r>
          </w:p>
        </w:tc>
        <w:tc>
          <w:tcPr>
            <w:tcW w:w="1256"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35,479</w:t>
            </w:r>
          </w:p>
        </w:tc>
        <w:tc>
          <w:tcPr>
            <w:tcW w:w="1262"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36,086</w:t>
            </w:r>
          </w:p>
        </w:tc>
        <w:tc>
          <w:tcPr>
            <w:tcW w:w="1257"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36,690</w:t>
            </w:r>
          </w:p>
        </w:tc>
        <w:tc>
          <w:tcPr>
            <w:tcW w:w="1318"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37,293</w:t>
            </w:r>
          </w:p>
        </w:tc>
      </w:tr>
      <w:tr w:rsidR="002774A7" w:rsidRPr="002774A7" w:rsidTr="002774A7">
        <w:tc>
          <w:tcPr>
            <w:tcW w:w="1251" w:type="dxa"/>
          </w:tcPr>
          <w:p w:rsidR="002774A7" w:rsidRPr="002774A7" w:rsidRDefault="002774A7" w:rsidP="002774A7">
            <w:pPr>
              <w:jc w:val="left"/>
              <w:rPr>
                <w:rFonts w:ascii="Arial Narrow" w:hAnsi="Arial Narrow" w:cs="Times New Roman"/>
                <w:color w:val="000000" w:themeColor="text1"/>
                <w:sz w:val="20"/>
              </w:rPr>
            </w:pPr>
            <w:r w:rsidRPr="002774A7">
              <w:rPr>
                <w:rFonts w:ascii="Arial Narrow" w:hAnsi="Arial Narrow" w:cs="Times New Roman"/>
                <w:color w:val="000000" w:themeColor="text1"/>
                <w:sz w:val="20"/>
              </w:rPr>
              <w:t>RPBS patient co-payments</w:t>
            </w:r>
          </w:p>
        </w:tc>
        <w:tc>
          <w:tcPr>
            <w:tcW w:w="1862"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30</w:t>
            </w:r>
          </w:p>
        </w:tc>
        <w:tc>
          <w:tcPr>
            <w:tcW w:w="1256"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31</w:t>
            </w:r>
          </w:p>
        </w:tc>
        <w:tc>
          <w:tcPr>
            <w:tcW w:w="1262"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31</w:t>
            </w:r>
          </w:p>
        </w:tc>
        <w:tc>
          <w:tcPr>
            <w:tcW w:w="1257"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31</w:t>
            </w:r>
          </w:p>
        </w:tc>
        <w:tc>
          <w:tcPr>
            <w:tcW w:w="1318"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32</w:t>
            </w:r>
          </w:p>
        </w:tc>
      </w:tr>
      <w:tr w:rsidR="002774A7" w:rsidRPr="002774A7" w:rsidTr="002774A7">
        <w:tc>
          <w:tcPr>
            <w:tcW w:w="1251" w:type="dxa"/>
          </w:tcPr>
          <w:p w:rsidR="002774A7" w:rsidRPr="002774A7" w:rsidRDefault="002774A7" w:rsidP="002774A7">
            <w:pPr>
              <w:jc w:val="left"/>
              <w:rPr>
                <w:rFonts w:ascii="Arial Narrow" w:hAnsi="Arial Narrow" w:cs="Times New Roman"/>
                <w:color w:val="000000" w:themeColor="text1"/>
                <w:sz w:val="20"/>
              </w:rPr>
            </w:pPr>
            <w:r w:rsidRPr="002774A7">
              <w:rPr>
                <w:rFonts w:ascii="Arial Narrow" w:hAnsi="Arial Narrow" w:cs="Times New Roman"/>
                <w:color w:val="000000" w:themeColor="text1"/>
                <w:sz w:val="20"/>
              </w:rPr>
              <w:t>Net cost of rituximab to PBS and RPBS</w:t>
            </w:r>
          </w:p>
        </w:tc>
        <w:tc>
          <w:tcPr>
            <w:tcW w:w="1862" w:type="dxa"/>
            <w:vAlign w:val="center"/>
          </w:tcPr>
          <w:p w:rsidR="002774A7" w:rsidRPr="00415D8B" w:rsidRDefault="002774A7" w:rsidP="002774A7">
            <w:pPr>
              <w:jc w:val="center"/>
              <w:rPr>
                <w:rFonts w:ascii="Arial Narrow" w:hAnsi="Arial Narrow" w:cs="Times New Roman"/>
                <w:i/>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1,806,512</w:t>
            </w:r>
          </w:p>
        </w:tc>
        <w:tc>
          <w:tcPr>
            <w:tcW w:w="1256" w:type="dxa"/>
            <w:vAlign w:val="center"/>
          </w:tcPr>
          <w:p w:rsidR="002774A7" w:rsidRPr="00415D8B" w:rsidRDefault="002774A7" w:rsidP="002774A7">
            <w:pPr>
              <w:jc w:val="center"/>
              <w:rPr>
                <w:rFonts w:ascii="Arial Narrow" w:hAnsi="Arial Narrow" w:cs="Times New Roman"/>
                <w:i/>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1,837,919</w:t>
            </w:r>
          </w:p>
        </w:tc>
        <w:tc>
          <w:tcPr>
            <w:tcW w:w="1262" w:type="dxa"/>
            <w:vAlign w:val="center"/>
          </w:tcPr>
          <w:p w:rsidR="002774A7" w:rsidRPr="00415D8B" w:rsidRDefault="002774A7" w:rsidP="002774A7">
            <w:pPr>
              <w:jc w:val="center"/>
              <w:rPr>
                <w:rFonts w:ascii="Arial Narrow" w:hAnsi="Arial Narrow" w:cs="Times New Roman"/>
                <w:i/>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1,869,342</w:t>
            </w:r>
          </w:p>
        </w:tc>
        <w:tc>
          <w:tcPr>
            <w:tcW w:w="1257" w:type="dxa"/>
            <w:vAlign w:val="center"/>
          </w:tcPr>
          <w:p w:rsidR="002774A7" w:rsidRPr="00415D8B" w:rsidRDefault="002774A7" w:rsidP="002774A7">
            <w:pPr>
              <w:jc w:val="center"/>
              <w:rPr>
                <w:rFonts w:ascii="Arial Narrow" w:hAnsi="Arial Narrow" w:cs="Times New Roman"/>
                <w:i/>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1,900,658</w:t>
            </w:r>
          </w:p>
        </w:tc>
        <w:tc>
          <w:tcPr>
            <w:tcW w:w="1318" w:type="dxa"/>
            <w:vAlign w:val="center"/>
          </w:tcPr>
          <w:p w:rsidR="002774A7" w:rsidRPr="00415D8B" w:rsidRDefault="002774A7" w:rsidP="002774A7">
            <w:pPr>
              <w:jc w:val="center"/>
              <w:rPr>
                <w:rFonts w:ascii="Arial Narrow" w:hAnsi="Arial Narrow" w:cs="Times New Roman"/>
                <w:i/>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1,931,875</w:t>
            </w:r>
          </w:p>
        </w:tc>
      </w:tr>
    </w:tbl>
    <w:p w:rsidR="002774A7" w:rsidRPr="002774A7" w:rsidRDefault="002774A7" w:rsidP="002774A7">
      <w:pPr>
        <w:ind w:firstLine="720"/>
        <w:rPr>
          <w:rFonts w:ascii="Arial Narrow" w:hAnsi="Arial Narrow" w:cs="Times New Roman"/>
          <w:color w:val="000000" w:themeColor="text1"/>
          <w:sz w:val="18"/>
          <w:szCs w:val="18"/>
        </w:rPr>
      </w:pPr>
      <w:r w:rsidRPr="002774A7">
        <w:rPr>
          <w:rFonts w:ascii="Arial Narrow" w:hAnsi="Arial Narrow" w:cs="Times New Roman"/>
          <w:color w:val="000000" w:themeColor="text1"/>
          <w:sz w:val="18"/>
          <w:szCs w:val="18"/>
        </w:rPr>
        <w:t>Source: Table E.2.2 Comm., p.56, based on Table E.2.1 and E.4.1, pp15-16 of Section E of the submission</w:t>
      </w:r>
    </w:p>
    <w:p w:rsidR="002774A7" w:rsidRPr="002774A7" w:rsidRDefault="002774A7" w:rsidP="002774A7">
      <w:pPr>
        <w:ind w:firstLine="720"/>
        <w:rPr>
          <w:rFonts w:ascii="Arial Narrow" w:hAnsi="Arial Narrow" w:cs="Times New Roman"/>
          <w:color w:val="000000" w:themeColor="text1"/>
          <w:sz w:val="18"/>
          <w:szCs w:val="18"/>
        </w:rPr>
      </w:pPr>
      <w:r w:rsidRPr="002774A7">
        <w:rPr>
          <w:rFonts w:ascii="Arial Narrow" w:hAnsi="Arial Narrow" w:cs="Times New Roman"/>
          <w:color w:val="000000" w:themeColor="text1"/>
          <w:sz w:val="18"/>
          <w:szCs w:val="18"/>
        </w:rPr>
        <w:t>Note: Cost for rituximab is the dispensed cost</w:t>
      </w:r>
    </w:p>
    <w:p w:rsidR="00175232" w:rsidRDefault="00175232" w:rsidP="001E2003">
      <w:pPr>
        <w:pStyle w:val="Heading3"/>
        <w:rPr>
          <w:i/>
          <w:szCs w:val="22"/>
        </w:rPr>
      </w:pPr>
    </w:p>
    <w:p w:rsidR="002774A7" w:rsidRDefault="00AC5181" w:rsidP="00B6143F">
      <w:pPr>
        <w:pStyle w:val="ListParagraph"/>
        <w:numPr>
          <w:ilvl w:val="1"/>
          <w:numId w:val="2"/>
        </w:numPr>
        <w:rPr>
          <w:szCs w:val="22"/>
        </w:rPr>
      </w:pPr>
      <w:r>
        <w:rPr>
          <w:szCs w:val="22"/>
        </w:rPr>
        <w:t>The DUSC noted that t</w:t>
      </w:r>
      <w:r w:rsidR="002774A7" w:rsidRPr="002774A7">
        <w:rPr>
          <w:szCs w:val="22"/>
        </w:rPr>
        <w:t>he submission underestimated the number of treated patients, particularly in the first year.</w:t>
      </w:r>
      <w:r w:rsidR="00E240DF">
        <w:rPr>
          <w:szCs w:val="22"/>
        </w:rPr>
        <w:t xml:space="preserve"> </w:t>
      </w:r>
      <w:r w:rsidR="00571746">
        <w:t xml:space="preserve">The </w:t>
      </w:r>
      <w:r w:rsidR="00B6143F" w:rsidRPr="00B6143F">
        <w:rPr>
          <w:szCs w:val="22"/>
        </w:rPr>
        <w:t>DUSC agreed with the Commentary that it is likely that the number of eligible new patients contraindicated to CYC will be substantially higher than 5% of the in</w:t>
      </w:r>
      <w:r w:rsidR="008A4A59">
        <w:rPr>
          <w:szCs w:val="22"/>
        </w:rPr>
        <w:t xml:space="preserve">cident population. The </w:t>
      </w:r>
      <w:r w:rsidR="00B6143F" w:rsidRPr="00B6143F">
        <w:rPr>
          <w:szCs w:val="22"/>
        </w:rPr>
        <w:t>DUSC considered the 20% used in the additional sensitivity analysis undertaken during the evaluation to be a better estimate,</w:t>
      </w:r>
      <w:r w:rsidR="00601CFD">
        <w:rPr>
          <w:szCs w:val="22"/>
        </w:rPr>
        <w:t xml:space="preserve"> but that the true estimate </w:t>
      </w:r>
      <w:r w:rsidR="00B6143F" w:rsidRPr="00B6143F">
        <w:rPr>
          <w:szCs w:val="22"/>
        </w:rPr>
        <w:t xml:space="preserve">is likely to be higher </w:t>
      </w:r>
      <w:r w:rsidR="00601CFD">
        <w:rPr>
          <w:szCs w:val="22"/>
        </w:rPr>
        <w:t>still</w:t>
      </w:r>
      <w:r w:rsidR="001508A0">
        <w:rPr>
          <w:szCs w:val="22"/>
        </w:rPr>
        <w:t>.</w:t>
      </w:r>
    </w:p>
    <w:p w:rsidR="007A1E85" w:rsidRDefault="007A1E85" w:rsidP="007A1E85">
      <w:pPr>
        <w:pStyle w:val="ListParagraph"/>
        <w:rPr>
          <w:szCs w:val="22"/>
        </w:rPr>
      </w:pPr>
    </w:p>
    <w:p w:rsidR="007A1E85" w:rsidRDefault="002E20D3" w:rsidP="00831A7B">
      <w:pPr>
        <w:pStyle w:val="ListParagraph"/>
        <w:numPr>
          <w:ilvl w:val="1"/>
          <w:numId w:val="2"/>
        </w:numPr>
        <w:rPr>
          <w:szCs w:val="22"/>
        </w:rPr>
      </w:pPr>
      <w:r>
        <w:rPr>
          <w:szCs w:val="22"/>
        </w:rPr>
        <w:t xml:space="preserve">The </w:t>
      </w:r>
      <w:r w:rsidR="00831A7B" w:rsidRPr="00831A7B">
        <w:rPr>
          <w:szCs w:val="22"/>
        </w:rPr>
        <w:t xml:space="preserve">DUSC agreed with the Commentary that the proportion of prevalent patients that relapse is a large underestimate in Year 1 due to a large pool of patients who are currently relapsed who would be switched to rituximab if it is listed </w:t>
      </w:r>
      <w:r w:rsidR="007D13F8">
        <w:rPr>
          <w:szCs w:val="22"/>
        </w:rPr>
        <w:t xml:space="preserve">on the PBS. The </w:t>
      </w:r>
      <w:r w:rsidR="00831A7B" w:rsidRPr="00831A7B">
        <w:rPr>
          <w:szCs w:val="22"/>
        </w:rPr>
        <w:t>DUSC considered the 25% used in the additional sensitivity analysis undertaken during the evaluation to be a more appropriate estimate.</w:t>
      </w:r>
      <w:r w:rsidR="00246C33">
        <w:rPr>
          <w:szCs w:val="22"/>
        </w:rPr>
        <w:t xml:space="preserve">  The </w:t>
      </w:r>
      <w:r w:rsidR="00831A7B" w:rsidRPr="00831A7B">
        <w:rPr>
          <w:szCs w:val="22"/>
        </w:rPr>
        <w:t xml:space="preserve">DUSC considered 10% was reasonable for </w:t>
      </w:r>
      <w:r w:rsidR="0078362B">
        <w:rPr>
          <w:szCs w:val="22"/>
        </w:rPr>
        <w:t xml:space="preserve">years </w:t>
      </w:r>
      <w:r w:rsidR="00831A7B" w:rsidRPr="00831A7B">
        <w:rPr>
          <w:szCs w:val="22"/>
        </w:rPr>
        <w:t>2-5.</w:t>
      </w:r>
    </w:p>
    <w:p w:rsidR="00A94413" w:rsidRPr="00895F04" w:rsidRDefault="00A94413" w:rsidP="00895F04">
      <w:pPr>
        <w:rPr>
          <w:szCs w:val="22"/>
        </w:rPr>
      </w:pPr>
    </w:p>
    <w:p w:rsidR="00AB51B8" w:rsidRDefault="00A94413" w:rsidP="00A94413">
      <w:pPr>
        <w:pStyle w:val="ListParagraph"/>
        <w:numPr>
          <w:ilvl w:val="1"/>
          <w:numId w:val="2"/>
        </w:numPr>
        <w:rPr>
          <w:szCs w:val="22"/>
        </w:rPr>
      </w:pPr>
      <w:r>
        <w:rPr>
          <w:szCs w:val="22"/>
        </w:rPr>
        <w:t xml:space="preserve">The PBAC noted that revised </w:t>
      </w:r>
      <w:r w:rsidR="00FC1B73">
        <w:rPr>
          <w:szCs w:val="22"/>
        </w:rPr>
        <w:t xml:space="preserve">estimates </w:t>
      </w:r>
      <w:r>
        <w:rPr>
          <w:szCs w:val="22"/>
        </w:rPr>
        <w:t>w</w:t>
      </w:r>
      <w:r w:rsidR="00FC1B73">
        <w:rPr>
          <w:szCs w:val="22"/>
        </w:rPr>
        <w:t>ere</w:t>
      </w:r>
      <w:r>
        <w:rPr>
          <w:szCs w:val="22"/>
        </w:rPr>
        <w:t xml:space="preserve"> presented in the pre-PBAC response</w:t>
      </w:r>
      <w:r w:rsidR="00FC1B73">
        <w:rPr>
          <w:szCs w:val="22"/>
        </w:rPr>
        <w:t xml:space="preserve"> and considered</w:t>
      </w:r>
      <w:r w:rsidR="002001A2">
        <w:rPr>
          <w:szCs w:val="22"/>
        </w:rPr>
        <w:t xml:space="preserve"> th</w:t>
      </w:r>
      <w:r w:rsidR="00E240DF">
        <w:rPr>
          <w:szCs w:val="22"/>
        </w:rPr>
        <w:t>at these</w:t>
      </w:r>
      <w:r w:rsidR="002001A2">
        <w:rPr>
          <w:szCs w:val="22"/>
        </w:rPr>
        <w:t xml:space="preserve"> estimates provided a closer estimate of use</w:t>
      </w:r>
      <w:r w:rsidR="00DB3C35">
        <w:rPr>
          <w:szCs w:val="22"/>
        </w:rPr>
        <w:t>, however were still overall an underestimation</w:t>
      </w:r>
      <w:r>
        <w:rPr>
          <w:szCs w:val="22"/>
        </w:rPr>
        <w:t>.</w:t>
      </w:r>
      <w:r w:rsidR="00E94227">
        <w:rPr>
          <w:szCs w:val="22"/>
        </w:rPr>
        <w:t xml:space="preserve"> </w:t>
      </w:r>
      <w:r w:rsidR="002001A2">
        <w:rPr>
          <w:szCs w:val="22"/>
        </w:rPr>
        <w:t>The PBAC noted that the revised estimates had the following changes compared to those presented in the submission:</w:t>
      </w:r>
    </w:p>
    <w:p w:rsidR="002001A2" w:rsidRPr="002001A2" w:rsidRDefault="002001A2" w:rsidP="002001A2">
      <w:pPr>
        <w:pStyle w:val="ListParagraph"/>
        <w:rPr>
          <w:szCs w:val="22"/>
        </w:rPr>
      </w:pPr>
    </w:p>
    <w:p w:rsidR="002001A2" w:rsidRPr="002001A2" w:rsidRDefault="002001A2" w:rsidP="002001A2">
      <w:pPr>
        <w:pStyle w:val="ListParagraph"/>
        <w:numPr>
          <w:ilvl w:val="0"/>
          <w:numId w:val="15"/>
        </w:numPr>
        <w:rPr>
          <w:szCs w:val="22"/>
        </w:rPr>
      </w:pPr>
      <w:r w:rsidRPr="002001A2">
        <w:rPr>
          <w:szCs w:val="22"/>
        </w:rPr>
        <w:t>a higher proportion of GPA/MPA incident patients contraindicated to cyclophosphamide</w:t>
      </w:r>
      <w:r w:rsidR="00882248">
        <w:rPr>
          <w:szCs w:val="22"/>
        </w:rPr>
        <w:t xml:space="preserve">.  </w:t>
      </w:r>
      <w:r w:rsidR="003B48A1">
        <w:rPr>
          <w:szCs w:val="22"/>
        </w:rPr>
        <w:t xml:space="preserve">The revised estimate was </w:t>
      </w:r>
      <w:r w:rsidRPr="002001A2">
        <w:rPr>
          <w:szCs w:val="22"/>
        </w:rPr>
        <w:t>20%</w:t>
      </w:r>
      <w:r w:rsidR="003B48A1">
        <w:rPr>
          <w:szCs w:val="22"/>
        </w:rPr>
        <w:t>,</w:t>
      </w:r>
      <w:r w:rsidRPr="002001A2">
        <w:rPr>
          <w:szCs w:val="22"/>
        </w:rPr>
        <w:t xml:space="preserve"> as used in the evaluation</w:t>
      </w:r>
      <w:r w:rsidR="00BC2C09">
        <w:rPr>
          <w:szCs w:val="22"/>
        </w:rPr>
        <w:t xml:space="preserve">, increased </w:t>
      </w:r>
      <w:r w:rsidRPr="002001A2">
        <w:rPr>
          <w:szCs w:val="22"/>
        </w:rPr>
        <w:t>from 5%</w:t>
      </w:r>
      <w:r w:rsidR="00BC2C09">
        <w:rPr>
          <w:szCs w:val="22"/>
        </w:rPr>
        <w:t xml:space="preserve"> in the submission.</w:t>
      </w:r>
    </w:p>
    <w:p w:rsidR="002001A2" w:rsidRPr="002001A2" w:rsidRDefault="002001A2" w:rsidP="002001A2">
      <w:pPr>
        <w:pStyle w:val="ListParagraph"/>
        <w:numPr>
          <w:ilvl w:val="0"/>
          <w:numId w:val="15"/>
        </w:numPr>
        <w:rPr>
          <w:szCs w:val="22"/>
        </w:rPr>
      </w:pPr>
      <w:r w:rsidRPr="002001A2">
        <w:rPr>
          <w:szCs w:val="22"/>
        </w:rPr>
        <w:t>a small increase to the proportion of prevalent patients in Year 1</w:t>
      </w:r>
      <w:r w:rsidR="00581C55">
        <w:rPr>
          <w:szCs w:val="22"/>
        </w:rPr>
        <w:t xml:space="preserve">.  The revised estimate was 15%, increased from </w:t>
      </w:r>
      <w:r w:rsidRPr="002001A2">
        <w:rPr>
          <w:szCs w:val="22"/>
        </w:rPr>
        <w:t>10% in the submission</w:t>
      </w:r>
      <w:r w:rsidR="00581C55">
        <w:rPr>
          <w:szCs w:val="22"/>
        </w:rPr>
        <w:t>,</w:t>
      </w:r>
      <w:r w:rsidRPr="002001A2">
        <w:rPr>
          <w:szCs w:val="22"/>
        </w:rPr>
        <w:t xml:space="preserve"> and;</w:t>
      </w:r>
    </w:p>
    <w:p w:rsidR="002001A2" w:rsidRDefault="00C21BAA" w:rsidP="002001A2">
      <w:pPr>
        <w:pStyle w:val="ListParagraph"/>
        <w:numPr>
          <w:ilvl w:val="0"/>
          <w:numId w:val="15"/>
        </w:numPr>
        <w:rPr>
          <w:szCs w:val="22"/>
        </w:rPr>
      </w:pPr>
      <w:r>
        <w:rPr>
          <w:szCs w:val="22"/>
        </w:rPr>
        <w:t>a change in th</w:t>
      </w:r>
      <w:r w:rsidR="002001A2" w:rsidRPr="002001A2">
        <w:rPr>
          <w:szCs w:val="22"/>
        </w:rPr>
        <w:t>e prevalence calculation for MPA</w:t>
      </w:r>
      <w:r>
        <w:rPr>
          <w:szCs w:val="22"/>
        </w:rPr>
        <w:t xml:space="preserve"> to 39.1 per million from 33 per million in the submission.  This</w:t>
      </w:r>
      <w:r w:rsidR="00A628BB">
        <w:rPr>
          <w:szCs w:val="22"/>
        </w:rPr>
        <w:t xml:space="preserve"> corrects the inconsistency </w:t>
      </w:r>
      <w:r>
        <w:rPr>
          <w:szCs w:val="22"/>
        </w:rPr>
        <w:t>identified by the DUSC</w:t>
      </w:r>
      <w:r w:rsidR="00E7036E">
        <w:rPr>
          <w:szCs w:val="22"/>
        </w:rPr>
        <w:t xml:space="preserve"> (</w:t>
      </w:r>
      <w:r w:rsidR="00A628BB">
        <w:rPr>
          <w:szCs w:val="22"/>
        </w:rPr>
        <w:t>39.1/million is the prevalence</w:t>
      </w:r>
      <w:r w:rsidR="002001A2" w:rsidRPr="002001A2">
        <w:rPr>
          <w:szCs w:val="22"/>
        </w:rPr>
        <w:t xml:space="preserve"> figure for adults from </w:t>
      </w:r>
      <w:r w:rsidR="00A628BB">
        <w:rPr>
          <w:szCs w:val="22"/>
        </w:rPr>
        <w:t>Ormerod 2008</w:t>
      </w:r>
      <w:r w:rsidR="00E7036E">
        <w:rPr>
          <w:szCs w:val="22"/>
        </w:rPr>
        <w:t>, consistent with the other prevalence figures for adults used in the submission).</w:t>
      </w:r>
    </w:p>
    <w:p w:rsidR="00AB51B8" w:rsidRPr="00AB51B8" w:rsidRDefault="00AB51B8" w:rsidP="00AB51B8">
      <w:pPr>
        <w:pStyle w:val="ListParagraph"/>
        <w:rPr>
          <w:szCs w:val="22"/>
        </w:rPr>
      </w:pPr>
    </w:p>
    <w:p w:rsidR="00A94413" w:rsidRDefault="00C17D84" w:rsidP="00A94413">
      <w:pPr>
        <w:pStyle w:val="ListParagraph"/>
        <w:numPr>
          <w:ilvl w:val="1"/>
          <w:numId w:val="2"/>
        </w:numPr>
        <w:rPr>
          <w:szCs w:val="22"/>
        </w:rPr>
      </w:pPr>
      <w:r>
        <w:rPr>
          <w:szCs w:val="22"/>
        </w:rPr>
        <w:t xml:space="preserve">The PBAC also noted that the sponsor expressed its willingness to enter into a risk sharing arrangement </w:t>
      </w:r>
      <w:r w:rsidR="00E240DF">
        <w:rPr>
          <w:szCs w:val="22"/>
        </w:rPr>
        <w:t xml:space="preserve">with a cap </w:t>
      </w:r>
      <w:r>
        <w:rPr>
          <w:szCs w:val="22"/>
        </w:rPr>
        <w:t xml:space="preserve">based on </w:t>
      </w:r>
      <w:r w:rsidR="00E240DF">
        <w:rPr>
          <w:szCs w:val="22"/>
        </w:rPr>
        <w:t xml:space="preserve">the revised </w:t>
      </w:r>
      <w:r>
        <w:rPr>
          <w:szCs w:val="22"/>
        </w:rPr>
        <w:t>utilisation estimates in the pre</w:t>
      </w:r>
      <w:r w:rsidR="00E240DF">
        <w:rPr>
          <w:szCs w:val="22"/>
        </w:rPr>
        <w:noBreakHyphen/>
      </w:r>
      <w:r w:rsidR="00895F04">
        <w:rPr>
          <w:szCs w:val="22"/>
        </w:rPr>
        <w:t>PBAC response.</w:t>
      </w:r>
    </w:p>
    <w:p w:rsidR="00A94127" w:rsidRPr="00A94127" w:rsidRDefault="00A94127" w:rsidP="00A94127">
      <w:pPr>
        <w:rPr>
          <w:szCs w:val="22"/>
        </w:rPr>
      </w:pPr>
    </w:p>
    <w:p w:rsidR="006B0DD1" w:rsidRPr="00BB7EC3" w:rsidRDefault="006B0DD1" w:rsidP="006B0DD1">
      <w:pPr>
        <w:pStyle w:val="ListParagraph"/>
        <w:ind w:left="709"/>
        <w:rPr>
          <w:i/>
          <w:szCs w:val="22"/>
        </w:rPr>
      </w:pPr>
      <w:r>
        <w:rPr>
          <w:i/>
          <w:szCs w:val="22"/>
        </w:rPr>
        <w:t>For more detail on PBAC’s view, see section 7 “PBAC outcome”</w:t>
      </w:r>
    </w:p>
    <w:p w:rsidR="006B0DD1" w:rsidRDefault="006B0DD1" w:rsidP="00CF758C">
      <w:pPr>
        <w:widowControl/>
        <w:rPr>
          <w:szCs w:val="22"/>
        </w:rPr>
      </w:pPr>
    </w:p>
    <w:p w:rsidR="00CF758C" w:rsidRPr="0095541F" w:rsidRDefault="00CF758C" w:rsidP="005C2DD7">
      <w:pPr>
        <w:pStyle w:val="Heading2"/>
      </w:pPr>
      <w:bookmarkStart w:id="22" w:name="_Toc392858203"/>
      <w:bookmarkStart w:id="23" w:name="_Toc409509659"/>
      <w:r w:rsidRPr="0095541F">
        <w:t>Financial Management – Risk Sharing Arrangements</w:t>
      </w:r>
      <w:bookmarkEnd w:id="22"/>
      <w:r w:rsidR="00603706" w:rsidRPr="0095541F">
        <w:t>/Other Relevant Factors</w:t>
      </w:r>
      <w:bookmarkEnd w:id="23"/>
    </w:p>
    <w:p w:rsidR="00CF758C" w:rsidRPr="00576972" w:rsidRDefault="00CF758C" w:rsidP="00CF758C">
      <w:pPr>
        <w:widowControl/>
        <w:rPr>
          <w:szCs w:val="22"/>
        </w:rPr>
      </w:pPr>
    </w:p>
    <w:p w:rsidR="00603706" w:rsidRPr="007815A6" w:rsidRDefault="00603706" w:rsidP="00DD3A69">
      <w:pPr>
        <w:pStyle w:val="ListParagraph"/>
        <w:widowControl/>
        <w:numPr>
          <w:ilvl w:val="1"/>
          <w:numId w:val="2"/>
        </w:numPr>
        <w:rPr>
          <w:szCs w:val="22"/>
        </w:rPr>
      </w:pPr>
      <w:r w:rsidRPr="00666737">
        <w:t xml:space="preserve">The submission </w:t>
      </w:r>
      <w:r>
        <w:t>indicated</w:t>
      </w:r>
      <w:r w:rsidRPr="00666737">
        <w:t xml:space="preserve"> that the ‘rule of rescue’ should apply. </w:t>
      </w:r>
      <w:r w:rsidR="00E240DF">
        <w:t>The evaluation considered that r</w:t>
      </w:r>
      <w:r w:rsidRPr="007815A6">
        <w:t>ituximab does not meet criterion one for ‘rule of rescue’ since a number of alternative therapies are available, including CYC, IVIg, chlorambucil and etoposide.  In addition, as the submission does not provide any indication of whether rituximab is better or worse than the salvage therapies, it is not clear that rituximab provides a worthwhile clinical improvement sufficient to qualify as a rescue from the medical condition (criterion four).</w:t>
      </w:r>
      <w:r w:rsidR="00B15337">
        <w:t xml:space="preserve"> </w:t>
      </w:r>
      <w:r w:rsidR="00B15337" w:rsidRPr="00BA5FB2">
        <w:t>The PSCR (p6) argued that salvage therapies are theoretical comparators only based on their mechanism of action and are rarely used due to the lack of RCT data to support their efficacy and safety.</w:t>
      </w:r>
    </w:p>
    <w:p w:rsidR="00780700" w:rsidRDefault="00780700" w:rsidP="00780700">
      <w:pPr>
        <w:widowControl/>
        <w:rPr>
          <w:szCs w:val="22"/>
        </w:rPr>
      </w:pPr>
    </w:p>
    <w:p w:rsidR="006B0DD1" w:rsidRPr="00BB7EC3" w:rsidRDefault="006B0DD1" w:rsidP="006B0DD1">
      <w:pPr>
        <w:pStyle w:val="ListParagraph"/>
        <w:ind w:left="709"/>
        <w:rPr>
          <w:i/>
          <w:szCs w:val="22"/>
        </w:rPr>
      </w:pPr>
      <w:r>
        <w:rPr>
          <w:i/>
          <w:szCs w:val="22"/>
        </w:rPr>
        <w:t>For more detail on PBAC’s view, see section 7 “PBAC outcome”</w:t>
      </w:r>
    </w:p>
    <w:p w:rsidR="006B0DD1" w:rsidRDefault="006B0DD1" w:rsidP="00780700">
      <w:pPr>
        <w:widowControl/>
        <w:rPr>
          <w:szCs w:val="22"/>
        </w:rPr>
      </w:pPr>
    </w:p>
    <w:p w:rsidR="006B0DD1" w:rsidRPr="00882085" w:rsidRDefault="006B0DD1" w:rsidP="006B0DD1">
      <w:pPr>
        <w:rPr>
          <w:b/>
          <w:szCs w:val="22"/>
        </w:rPr>
      </w:pPr>
    </w:p>
    <w:p w:rsidR="006B0DD1" w:rsidRPr="00882085" w:rsidRDefault="006B0DD1" w:rsidP="006B0DD1">
      <w:pPr>
        <w:pStyle w:val="PBACHeading1"/>
        <w:rPr>
          <w:b w:val="0"/>
        </w:rPr>
      </w:pPr>
      <w:r w:rsidRPr="00882085">
        <w:t xml:space="preserve">PBAC Outcome </w:t>
      </w:r>
    </w:p>
    <w:p w:rsidR="006B0DD1" w:rsidRDefault="006B0DD1" w:rsidP="006B0DD1">
      <w:pPr>
        <w:rPr>
          <w:b/>
          <w:szCs w:val="22"/>
        </w:rPr>
      </w:pPr>
    </w:p>
    <w:p w:rsidR="00632C2A" w:rsidRDefault="00632C2A" w:rsidP="00E240DF">
      <w:pPr>
        <w:pStyle w:val="ListParagraph"/>
        <w:widowControl/>
        <w:numPr>
          <w:ilvl w:val="1"/>
          <w:numId w:val="2"/>
        </w:numPr>
        <w:rPr>
          <w:szCs w:val="22"/>
        </w:rPr>
      </w:pPr>
      <w:r>
        <w:rPr>
          <w:szCs w:val="22"/>
        </w:rPr>
        <w:t xml:space="preserve">The PBAC deferred </w:t>
      </w:r>
      <w:r w:rsidR="00E240DF">
        <w:rPr>
          <w:szCs w:val="22"/>
        </w:rPr>
        <w:t xml:space="preserve">its </w:t>
      </w:r>
      <w:r w:rsidR="00895F04">
        <w:rPr>
          <w:szCs w:val="22"/>
        </w:rPr>
        <w:t>consideration</w:t>
      </w:r>
      <w:r w:rsidR="004943BE">
        <w:rPr>
          <w:szCs w:val="22"/>
        </w:rPr>
        <w:t xml:space="preserve"> </w:t>
      </w:r>
      <w:r w:rsidR="00E240DF">
        <w:rPr>
          <w:szCs w:val="22"/>
        </w:rPr>
        <w:t>of rituximab</w:t>
      </w:r>
      <w:r w:rsidR="00E240DF" w:rsidRPr="00E240DF">
        <w:t xml:space="preserve"> </w:t>
      </w:r>
      <w:r w:rsidR="007D17F7">
        <w:rPr>
          <w:szCs w:val="22"/>
        </w:rPr>
        <w:t>for the treatment of CYC</w:t>
      </w:r>
      <w:r w:rsidR="007D17F7">
        <w:rPr>
          <w:szCs w:val="22"/>
        </w:rPr>
        <w:noBreakHyphen/>
      </w:r>
      <w:r w:rsidR="00E240DF" w:rsidRPr="00E240DF">
        <w:rPr>
          <w:szCs w:val="22"/>
        </w:rPr>
        <w:t>contraindicated or resistant severe active GPA and MPA</w:t>
      </w:r>
      <w:r w:rsidR="00E240DF">
        <w:rPr>
          <w:szCs w:val="22"/>
        </w:rPr>
        <w:t xml:space="preserve"> because it could not determine whether rituximab was cost</w:t>
      </w:r>
      <w:r w:rsidR="005D0F12">
        <w:rPr>
          <w:szCs w:val="22"/>
        </w:rPr>
        <w:t>-</w:t>
      </w:r>
      <w:r w:rsidR="00E240DF">
        <w:rPr>
          <w:szCs w:val="22"/>
        </w:rPr>
        <w:t xml:space="preserve">effective at the price proposed. Given that no further data is likely to become available to inform this consideration, the PBAC deferred </w:t>
      </w:r>
      <w:r w:rsidR="008C1959">
        <w:rPr>
          <w:szCs w:val="22"/>
        </w:rPr>
        <w:t>the submission</w:t>
      </w:r>
      <w:r w:rsidR="00E240DF" w:rsidRPr="00E240DF">
        <w:rPr>
          <w:szCs w:val="22"/>
        </w:rPr>
        <w:t xml:space="preserve"> to enable the Department to</w:t>
      </w:r>
      <w:r w:rsidR="00E240DF">
        <w:rPr>
          <w:szCs w:val="22"/>
        </w:rPr>
        <w:t xml:space="preserve"> negotiate an appropriate price.</w:t>
      </w:r>
    </w:p>
    <w:p w:rsidR="005906E9" w:rsidRDefault="005906E9" w:rsidP="005906E9">
      <w:pPr>
        <w:pStyle w:val="ListParagraph"/>
        <w:widowControl/>
        <w:rPr>
          <w:szCs w:val="22"/>
        </w:rPr>
      </w:pPr>
    </w:p>
    <w:p w:rsidR="005906E9" w:rsidRDefault="00E240DF" w:rsidP="00DD3A69">
      <w:pPr>
        <w:pStyle w:val="ListParagraph"/>
        <w:widowControl/>
        <w:numPr>
          <w:ilvl w:val="1"/>
          <w:numId w:val="2"/>
        </w:numPr>
        <w:rPr>
          <w:szCs w:val="22"/>
        </w:rPr>
      </w:pPr>
      <w:r>
        <w:rPr>
          <w:szCs w:val="22"/>
        </w:rPr>
        <w:t>T</w:t>
      </w:r>
      <w:r w:rsidR="00196C31">
        <w:rPr>
          <w:szCs w:val="22"/>
        </w:rPr>
        <w:t xml:space="preserve">he PBAC considered </w:t>
      </w:r>
      <w:r>
        <w:rPr>
          <w:szCs w:val="22"/>
        </w:rPr>
        <w:t xml:space="preserve">that </w:t>
      </w:r>
      <w:r w:rsidR="00196C31">
        <w:rPr>
          <w:szCs w:val="22"/>
        </w:rPr>
        <w:t>the restriction should allow</w:t>
      </w:r>
      <w:r w:rsidR="002F400E">
        <w:rPr>
          <w:szCs w:val="22"/>
        </w:rPr>
        <w:t xml:space="preserve"> rituximab to be used for re</w:t>
      </w:r>
      <w:r>
        <w:rPr>
          <w:szCs w:val="22"/>
        </w:rPr>
        <w:noBreakHyphen/>
      </w:r>
      <w:r w:rsidR="002F400E">
        <w:rPr>
          <w:szCs w:val="22"/>
        </w:rPr>
        <w:t>treatment due to the relapsing-remitting nature of the disease</w:t>
      </w:r>
      <w:r w:rsidR="005906E9">
        <w:rPr>
          <w:szCs w:val="22"/>
        </w:rPr>
        <w:t xml:space="preserve">. </w:t>
      </w:r>
      <w:r w:rsidR="00B26A29">
        <w:rPr>
          <w:szCs w:val="22"/>
        </w:rPr>
        <w:t xml:space="preserve">The re-treatment should be limited to </w:t>
      </w:r>
      <w:r w:rsidR="00042BC9">
        <w:rPr>
          <w:szCs w:val="22"/>
        </w:rPr>
        <w:t>previous responders.</w:t>
      </w:r>
    </w:p>
    <w:p w:rsidR="005906E9" w:rsidRPr="005906E9" w:rsidRDefault="005906E9" w:rsidP="005906E9">
      <w:pPr>
        <w:pStyle w:val="ListParagraph"/>
        <w:rPr>
          <w:szCs w:val="22"/>
        </w:rPr>
      </w:pPr>
    </w:p>
    <w:p w:rsidR="005906E9" w:rsidRDefault="00BB37DF" w:rsidP="00DD3A69">
      <w:pPr>
        <w:pStyle w:val="ListParagraph"/>
        <w:widowControl/>
        <w:numPr>
          <w:ilvl w:val="1"/>
          <w:numId w:val="2"/>
        </w:numPr>
        <w:rPr>
          <w:szCs w:val="22"/>
        </w:rPr>
      </w:pPr>
      <w:r>
        <w:rPr>
          <w:szCs w:val="22"/>
        </w:rPr>
        <w:t xml:space="preserve">The PBAC </w:t>
      </w:r>
      <w:r w:rsidR="005D0F12">
        <w:rPr>
          <w:szCs w:val="22"/>
        </w:rPr>
        <w:t xml:space="preserve">welcomed and </w:t>
      </w:r>
      <w:r>
        <w:rPr>
          <w:szCs w:val="22"/>
        </w:rPr>
        <w:t xml:space="preserve">noted the </w:t>
      </w:r>
      <w:r w:rsidR="005D0F12">
        <w:rPr>
          <w:szCs w:val="22"/>
        </w:rPr>
        <w:t xml:space="preserve">input received from individuals and health care professionals in support of the submission. The comments outlined the benefits of </w:t>
      </w:r>
      <w:r>
        <w:rPr>
          <w:szCs w:val="22"/>
        </w:rPr>
        <w:t>rituximab treatment</w:t>
      </w:r>
      <w:r w:rsidR="005D0F12">
        <w:rPr>
          <w:szCs w:val="22"/>
        </w:rPr>
        <w:t xml:space="preserve"> </w:t>
      </w:r>
      <w:r w:rsidR="00622B38">
        <w:rPr>
          <w:szCs w:val="22"/>
        </w:rPr>
        <w:t xml:space="preserve">in GPA and MPA </w:t>
      </w:r>
      <w:r w:rsidR="005D0F12">
        <w:rPr>
          <w:szCs w:val="22"/>
        </w:rPr>
        <w:t>including improve</w:t>
      </w:r>
      <w:r w:rsidR="00622B38">
        <w:rPr>
          <w:szCs w:val="22"/>
        </w:rPr>
        <w:t xml:space="preserve">ments in </w:t>
      </w:r>
      <w:r w:rsidR="005D0F12">
        <w:rPr>
          <w:szCs w:val="22"/>
        </w:rPr>
        <w:t>quality of life and the avoidance of CYC and its associated risks and harms</w:t>
      </w:r>
      <w:r w:rsidR="00967170">
        <w:rPr>
          <w:szCs w:val="22"/>
        </w:rPr>
        <w:t xml:space="preserve">. </w:t>
      </w:r>
    </w:p>
    <w:p w:rsidR="00361750" w:rsidRDefault="00361750" w:rsidP="00361750">
      <w:pPr>
        <w:pStyle w:val="ListParagraph"/>
        <w:rPr>
          <w:szCs w:val="22"/>
        </w:rPr>
      </w:pPr>
    </w:p>
    <w:p w:rsidR="00622B38" w:rsidRPr="00622B38" w:rsidRDefault="00622B38" w:rsidP="00361750">
      <w:pPr>
        <w:pStyle w:val="ListParagraph"/>
        <w:widowControl/>
        <w:numPr>
          <w:ilvl w:val="1"/>
          <w:numId w:val="2"/>
        </w:numPr>
        <w:rPr>
          <w:szCs w:val="22"/>
        </w:rPr>
      </w:pPr>
      <w:r w:rsidRPr="00622B38">
        <w:rPr>
          <w:szCs w:val="22"/>
        </w:rPr>
        <w:t xml:space="preserve">The PBAC considered that there is a high clinical need for rituximab for rare and potentially life-threatening conditions such as GPA and MPA. </w:t>
      </w:r>
    </w:p>
    <w:p w:rsidR="00622B38" w:rsidRPr="00361750" w:rsidRDefault="00622B38" w:rsidP="00361750">
      <w:pPr>
        <w:pStyle w:val="ListParagraph"/>
        <w:rPr>
          <w:szCs w:val="22"/>
        </w:rPr>
      </w:pPr>
    </w:p>
    <w:p w:rsidR="00361750" w:rsidRPr="00622B38" w:rsidRDefault="00361750" w:rsidP="00DD3A69">
      <w:pPr>
        <w:pStyle w:val="ListParagraph"/>
        <w:widowControl/>
        <w:numPr>
          <w:ilvl w:val="1"/>
          <w:numId w:val="2"/>
        </w:numPr>
        <w:rPr>
          <w:szCs w:val="22"/>
        </w:rPr>
      </w:pPr>
      <w:r w:rsidRPr="00622B38">
        <w:rPr>
          <w:szCs w:val="22"/>
        </w:rPr>
        <w:t xml:space="preserve">The PBAC </w:t>
      </w:r>
      <w:r w:rsidR="00622B38">
        <w:rPr>
          <w:szCs w:val="22"/>
        </w:rPr>
        <w:t>agreed with the s</w:t>
      </w:r>
      <w:r w:rsidR="00457644" w:rsidRPr="00622B38">
        <w:rPr>
          <w:szCs w:val="22"/>
        </w:rPr>
        <w:t>ubmission</w:t>
      </w:r>
      <w:r w:rsidR="00622B38">
        <w:rPr>
          <w:szCs w:val="22"/>
        </w:rPr>
        <w:t>’s</w:t>
      </w:r>
      <w:r w:rsidR="00457644" w:rsidRPr="00622B38">
        <w:rPr>
          <w:szCs w:val="22"/>
        </w:rPr>
        <w:t xml:space="preserve"> nominated</w:t>
      </w:r>
      <w:r w:rsidR="00622B38">
        <w:rPr>
          <w:szCs w:val="22"/>
        </w:rPr>
        <w:t xml:space="preserve"> comparator,</w:t>
      </w:r>
      <w:r w:rsidR="00457644" w:rsidRPr="00622B38">
        <w:rPr>
          <w:szCs w:val="22"/>
        </w:rPr>
        <w:t xml:space="preserve"> CYC</w:t>
      </w:r>
      <w:r w:rsidR="00622B38">
        <w:rPr>
          <w:szCs w:val="22"/>
        </w:rPr>
        <w:t xml:space="preserve">, for the </w:t>
      </w:r>
      <w:r w:rsidR="00622B38" w:rsidRPr="00622B38">
        <w:rPr>
          <w:szCs w:val="22"/>
        </w:rPr>
        <w:t xml:space="preserve">group of </w:t>
      </w:r>
      <w:r w:rsidR="00C05124" w:rsidRPr="00622B38">
        <w:rPr>
          <w:szCs w:val="22"/>
        </w:rPr>
        <w:t xml:space="preserve">patients who </w:t>
      </w:r>
      <w:r w:rsidR="00622B38" w:rsidRPr="00622B38">
        <w:rPr>
          <w:szCs w:val="22"/>
        </w:rPr>
        <w:t>a</w:t>
      </w:r>
      <w:r w:rsidR="00C05124" w:rsidRPr="00622B38">
        <w:rPr>
          <w:szCs w:val="22"/>
        </w:rPr>
        <w:t>re relatively contraindicated to CYC</w:t>
      </w:r>
      <w:r w:rsidR="00622B38" w:rsidRPr="00622B38">
        <w:rPr>
          <w:szCs w:val="22"/>
        </w:rPr>
        <w:t xml:space="preserve">. The </w:t>
      </w:r>
      <w:r w:rsidR="00A800D7">
        <w:rPr>
          <w:szCs w:val="22"/>
        </w:rPr>
        <w:t xml:space="preserve">PBAC considered that best supportive care was the appropriate comparator </w:t>
      </w:r>
      <w:r w:rsidR="00741DFE" w:rsidRPr="00622B38">
        <w:rPr>
          <w:szCs w:val="22"/>
        </w:rPr>
        <w:t>for</w:t>
      </w:r>
      <w:r w:rsidR="008C1959" w:rsidRPr="00622B38">
        <w:rPr>
          <w:szCs w:val="22"/>
        </w:rPr>
        <w:t xml:space="preserve"> </w:t>
      </w:r>
      <w:r w:rsidR="00C05124" w:rsidRPr="00622B38">
        <w:rPr>
          <w:szCs w:val="22"/>
        </w:rPr>
        <w:t xml:space="preserve">patients who </w:t>
      </w:r>
      <w:r w:rsidR="00A800D7">
        <w:rPr>
          <w:szCs w:val="22"/>
        </w:rPr>
        <w:t>a</w:t>
      </w:r>
      <w:r w:rsidR="00C05124" w:rsidRPr="00622B38">
        <w:rPr>
          <w:szCs w:val="22"/>
        </w:rPr>
        <w:t>re strictly contraindicated to</w:t>
      </w:r>
      <w:r w:rsidR="00A800D7">
        <w:rPr>
          <w:szCs w:val="22"/>
        </w:rPr>
        <w:t>,</w:t>
      </w:r>
      <w:r w:rsidR="00C05124" w:rsidRPr="00622B38">
        <w:rPr>
          <w:szCs w:val="22"/>
        </w:rPr>
        <w:t xml:space="preserve"> or refractory to</w:t>
      </w:r>
      <w:r w:rsidR="00A800D7">
        <w:rPr>
          <w:szCs w:val="22"/>
        </w:rPr>
        <w:t>,</w:t>
      </w:r>
      <w:r w:rsidR="00C05124" w:rsidRPr="00622B38">
        <w:rPr>
          <w:szCs w:val="22"/>
        </w:rPr>
        <w:t xml:space="preserve"> CYC.</w:t>
      </w:r>
      <w:r w:rsidR="009B15B1" w:rsidRPr="00622B38">
        <w:rPr>
          <w:szCs w:val="22"/>
        </w:rPr>
        <w:t xml:space="preserve"> </w:t>
      </w:r>
    </w:p>
    <w:p w:rsidR="00A949E9" w:rsidRPr="00F83D66" w:rsidRDefault="00A949E9" w:rsidP="00F83D66">
      <w:pPr>
        <w:rPr>
          <w:szCs w:val="22"/>
        </w:rPr>
      </w:pPr>
    </w:p>
    <w:p w:rsidR="00A949E9" w:rsidRDefault="00A949E9" w:rsidP="00DD3A69">
      <w:pPr>
        <w:pStyle w:val="ListParagraph"/>
        <w:widowControl/>
        <w:numPr>
          <w:ilvl w:val="1"/>
          <w:numId w:val="2"/>
        </w:numPr>
        <w:rPr>
          <w:szCs w:val="22"/>
        </w:rPr>
      </w:pPr>
      <w:r>
        <w:rPr>
          <w:szCs w:val="22"/>
        </w:rPr>
        <w:t xml:space="preserve">The PBAC noted </w:t>
      </w:r>
      <w:r w:rsidR="00A800D7">
        <w:rPr>
          <w:szCs w:val="22"/>
        </w:rPr>
        <w:t xml:space="preserve">that </w:t>
      </w:r>
      <w:r w:rsidR="00B44B20">
        <w:rPr>
          <w:szCs w:val="22"/>
        </w:rPr>
        <w:t xml:space="preserve">the RAVE trial showed </w:t>
      </w:r>
      <w:r w:rsidR="0099169F">
        <w:rPr>
          <w:szCs w:val="22"/>
        </w:rPr>
        <w:t xml:space="preserve">similar </w:t>
      </w:r>
      <w:r>
        <w:rPr>
          <w:szCs w:val="22"/>
        </w:rPr>
        <w:t xml:space="preserve">rates of </w:t>
      </w:r>
      <w:r w:rsidR="0099169F">
        <w:rPr>
          <w:szCs w:val="22"/>
        </w:rPr>
        <w:t xml:space="preserve">complete </w:t>
      </w:r>
      <w:r>
        <w:rPr>
          <w:szCs w:val="22"/>
        </w:rPr>
        <w:t xml:space="preserve">remission </w:t>
      </w:r>
      <w:r w:rsidR="0099169F">
        <w:rPr>
          <w:szCs w:val="22"/>
        </w:rPr>
        <w:t xml:space="preserve">for patients treated </w:t>
      </w:r>
      <w:r>
        <w:rPr>
          <w:szCs w:val="22"/>
        </w:rPr>
        <w:t xml:space="preserve">with rituximab </w:t>
      </w:r>
      <w:r w:rsidR="0099169F">
        <w:rPr>
          <w:szCs w:val="22"/>
        </w:rPr>
        <w:t>compared with CYC. The PBAC</w:t>
      </w:r>
      <w:r>
        <w:rPr>
          <w:szCs w:val="22"/>
        </w:rPr>
        <w:t xml:space="preserve"> </w:t>
      </w:r>
      <w:r w:rsidR="0099169F">
        <w:rPr>
          <w:szCs w:val="22"/>
        </w:rPr>
        <w:t xml:space="preserve">accepted that rituximab is non-inferior to CYC for remission induction in patients with </w:t>
      </w:r>
      <w:r w:rsidR="009B15B1">
        <w:rPr>
          <w:szCs w:val="22"/>
        </w:rPr>
        <w:t>GPA and MPA.</w:t>
      </w:r>
    </w:p>
    <w:p w:rsidR="00A949E9" w:rsidRPr="00A949E9" w:rsidRDefault="00A949E9" w:rsidP="00A949E9">
      <w:pPr>
        <w:pStyle w:val="ListParagraph"/>
        <w:rPr>
          <w:szCs w:val="22"/>
        </w:rPr>
      </w:pPr>
    </w:p>
    <w:p w:rsidR="00A949E9" w:rsidRDefault="00A949E9" w:rsidP="00A949E9">
      <w:pPr>
        <w:pStyle w:val="ListParagraph"/>
        <w:widowControl/>
        <w:numPr>
          <w:ilvl w:val="1"/>
          <w:numId w:val="2"/>
        </w:numPr>
        <w:rPr>
          <w:szCs w:val="22"/>
        </w:rPr>
      </w:pPr>
      <w:r>
        <w:rPr>
          <w:szCs w:val="22"/>
        </w:rPr>
        <w:t xml:space="preserve">The PBAC </w:t>
      </w:r>
      <w:r w:rsidR="007D17F7">
        <w:rPr>
          <w:szCs w:val="22"/>
        </w:rPr>
        <w:t>considered</w:t>
      </w:r>
      <w:r>
        <w:rPr>
          <w:szCs w:val="22"/>
        </w:rPr>
        <w:t xml:space="preserve"> that it was difficult to assess comparative harms, but considered that rituximab is likely to have les</w:t>
      </w:r>
      <w:r w:rsidR="0099169F">
        <w:rPr>
          <w:szCs w:val="22"/>
        </w:rPr>
        <w:t>s toxicity than CYC</w:t>
      </w:r>
      <w:r>
        <w:rPr>
          <w:szCs w:val="22"/>
        </w:rPr>
        <w:t xml:space="preserve">. </w:t>
      </w:r>
    </w:p>
    <w:p w:rsidR="007E76AD" w:rsidRPr="007E76AD" w:rsidRDefault="007E76AD" w:rsidP="007E76AD">
      <w:pPr>
        <w:pStyle w:val="ListParagraph"/>
        <w:rPr>
          <w:szCs w:val="22"/>
        </w:rPr>
      </w:pPr>
    </w:p>
    <w:p w:rsidR="00A949E9" w:rsidRDefault="007E76AD" w:rsidP="00A949E9">
      <w:pPr>
        <w:pStyle w:val="ListParagraph"/>
        <w:widowControl/>
        <w:numPr>
          <w:ilvl w:val="1"/>
          <w:numId w:val="2"/>
        </w:numPr>
        <w:rPr>
          <w:szCs w:val="22"/>
        </w:rPr>
      </w:pPr>
      <w:r w:rsidRPr="00C15CEA">
        <w:rPr>
          <w:szCs w:val="22"/>
        </w:rPr>
        <w:t xml:space="preserve">The PBAC </w:t>
      </w:r>
      <w:r w:rsidR="007D17F7" w:rsidRPr="00C15CEA">
        <w:rPr>
          <w:szCs w:val="22"/>
        </w:rPr>
        <w:t xml:space="preserve">considered that it was </w:t>
      </w:r>
      <w:r w:rsidR="000271A3" w:rsidRPr="00C15CEA">
        <w:rPr>
          <w:szCs w:val="22"/>
        </w:rPr>
        <w:t>not possible</w:t>
      </w:r>
      <w:r w:rsidR="007D17F7" w:rsidRPr="00C15CEA">
        <w:rPr>
          <w:szCs w:val="22"/>
        </w:rPr>
        <w:t xml:space="preserve"> to deter</w:t>
      </w:r>
      <w:r w:rsidR="00295D59" w:rsidRPr="00C15CEA">
        <w:rPr>
          <w:szCs w:val="22"/>
        </w:rPr>
        <w:t>mine whether rituximab was cost</w:t>
      </w:r>
      <w:r w:rsidR="00295D59" w:rsidRPr="00C15CEA">
        <w:rPr>
          <w:szCs w:val="22"/>
        </w:rPr>
        <w:noBreakHyphen/>
      </w:r>
      <w:r w:rsidR="007D17F7" w:rsidRPr="00C15CEA">
        <w:rPr>
          <w:szCs w:val="22"/>
        </w:rPr>
        <w:t xml:space="preserve">effective for the treatment of GPA and MPA at the price proposed. The PBAC </w:t>
      </w:r>
      <w:r w:rsidR="00C15CEA" w:rsidRPr="00C15CEA">
        <w:rPr>
          <w:szCs w:val="22"/>
        </w:rPr>
        <w:t>consider</w:t>
      </w:r>
      <w:r w:rsidR="007D17F7" w:rsidRPr="00C15CEA">
        <w:rPr>
          <w:szCs w:val="22"/>
        </w:rPr>
        <w:t>ed that a cost</w:t>
      </w:r>
      <w:r w:rsidR="00C15CEA" w:rsidRPr="00C15CEA">
        <w:rPr>
          <w:szCs w:val="22"/>
        </w:rPr>
        <w:t xml:space="preserve"> </w:t>
      </w:r>
      <w:r w:rsidR="007D17F7" w:rsidRPr="00C15CEA">
        <w:rPr>
          <w:szCs w:val="22"/>
        </w:rPr>
        <w:t xml:space="preserve">utility analysis against BSC </w:t>
      </w:r>
      <w:r w:rsidR="000271A3" w:rsidRPr="00C15CEA">
        <w:rPr>
          <w:szCs w:val="22"/>
        </w:rPr>
        <w:t>in the group of</w:t>
      </w:r>
      <w:r w:rsidR="00295D59" w:rsidRPr="00C15CEA">
        <w:rPr>
          <w:szCs w:val="22"/>
        </w:rPr>
        <w:t xml:space="preserve"> patients strictly contraindicated or refractory to CYC </w:t>
      </w:r>
      <w:r w:rsidR="007D17F7" w:rsidRPr="00C15CEA">
        <w:rPr>
          <w:szCs w:val="22"/>
        </w:rPr>
        <w:t>would not be reliable because</w:t>
      </w:r>
      <w:r w:rsidR="00FC0EFF" w:rsidRPr="00C15CEA">
        <w:rPr>
          <w:szCs w:val="22"/>
        </w:rPr>
        <w:t xml:space="preserve"> of the lack of </w:t>
      </w:r>
      <w:r w:rsidR="000271A3" w:rsidRPr="00C15CEA">
        <w:rPr>
          <w:szCs w:val="22"/>
        </w:rPr>
        <w:t xml:space="preserve">comparative data. Further, </w:t>
      </w:r>
      <w:r w:rsidR="00FC0EFF" w:rsidRPr="00C15CEA">
        <w:rPr>
          <w:szCs w:val="22"/>
        </w:rPr>
        <w:t xml:space="preserve">a cost minimisation analysis versus CYC </w:t>
      </w:r>
      <w:r w:rsidR="000271A3" w:rsidRPr="00C15CEA">
        <w:rPr>
          <w:szCs w:val="22"/>
        </w:rPr>
        <w:t>in the group of</w:t>
      </w:r>
      <w:r w:rsidR="00FC0EFF" w:rsidRPr="00C15CEA">
        <w:rPr>
          <w:szCs w:val="22"/>
        </w:rPr>
        <w:t xml:space="preserve"> patients relatively contraindicated to CYC would not be f</w:t>
      </w:r>
      <w:r w:rsidR="00B005EA" w:rsidRPr="00C15CEA">
        <w:rPr>
          <w:szCs w:val="22"/>
        </w:rPr>
        <w:t>easible as the administration costs of rituximab exceed the total cost of oral CYC.</w:t>
      </w:r>
      <w:r w:rsidR="00F3184F" w:rsidRPr="00C15CEA">
        <w:rPr>
          <w:szCs w:val="22"/>
        </w:rPr>
        <w:t xml:space="preserve"> The PBAC agreed with the ESC that a pragmatic approach for assessing </w:t>
      </w:r>
      <w:r w:rsidR="000271A3" w:rsidRPr="00C15CEA">
        <w:rPr>
          <w:szCs w:val="22"/>
        </w:rPr>
        <w:t xml:space="preserve">the cost-effectiveness of </w:t>
      </w:r>
      <w:r w:rsidR="00F3184F" w:rsidRPr="00C15CEA">
        <w:rPr>
          <w:szCs w:val="22"/>
        </w:rPr>
        <w:t xml:space="preserve">rituximab </w:t>
      </w:r>
      <w:r w:rsidR="000271A3" w:rsidRPr="00C15CEA">
        <w:rPr>
          <w:szCs w:val="22"/>
        </w:rPr>
        <w:t xml:space="preserve">for the treatment of </w:t>
      </w:r>
      <w:r w:rsidR="008C1959" w:rsidRPr="00C15CEA">
        <w:rPr>
          <w:szCs w:val="22"/>
        </w:rPr>
        <w:t>GPA and MPA</w:t>
      </w:r>
      <w:r w:rsidR="00F3184F" w:rsidRPr="00C15CEA">
        <w:rPr>
          <w:szCs w:val="22"/>
        </w:rPr>
        <w:t xml:space="preserve"> may be </w:t>
      </w:r>
      <w:r w:rsidR="000271A3" w:rsidRPr="00C15CEA">
        <w:rPr>
          <w:szCs w:val="22"/>
        </w:rPr>
        <w:t>appropriate</w:t>
      </w:r>
      <w:r w:rsidR="00F3184F" w:rsidRPr="00C15CEA">
        <w:rPr>
          <w:szCs w:val="22"/>
        </w:rPr>
        <w:t>.</w:t>
      </w:r>
      <w:r w:rsidR="00295D59" w:rsidRPr="00C15CEA">
        <w:rPr>
          <w:szCs w:val="22"/>
        </w:rPr>
        <w:t xml:space="preserve"> </w:t>
      </w:r>
      <w:r w:rsidR="000271A3" w:rsidRPr="00C15CEA">
        <w:rPr>
          <w:szCs w:val="22"/>
        </w:rPr>
        <w:t xml:space="preserve">In view of the high clinical need and given that it is unlikely that further information will become available in the future to inform the cost-effectiveness of rituximab in this setting, </w:t>
      </w:r>
      <w:r w:rsidR="00295D59" w:rsidRPr="00C15CEA">
        <w:rPr>
          <w:szCs w:val="22"/>
        </w:rPr>
        <w:t xml:space="preserve">the PBAC requested that the Department negotiate a reduction to the </w:t>
      </w:r>
      <w:r w:rsidR="008C1959" w:rsidRPr="00C15CEA">
        <w:rPr>
          <w:szCs w:val="22"/>
        </w:rPr>
        <w:t>proposed price</w:t>
      </w:r>
      <w:r w:rsidR="00295D59" w:rsidRPr="00C15CEA">
        <w:rPr>
          <w:szCs w:val="22"/>
        </w:rPr>
        <w:t>.</w:t>
      </w:r>
      <w:r w:rsidR="00C15CEA" w:rsidRPr="00C15CEA">
        <w:rPr>
          <w:szCs w:val="22"/>
        </w:rPr>
        <w:t xml:space="preserve"> </w:t>
      </w:r>
    </w:p>
    <w:p w:rsidR="00C15CEA" w:rsidRPr="00C15CEA" w:rsidRDefault="00C15CEA" w:rsidP="00C15CEA">
      <w:pPr>
        <w:pStyle w:val="ListParagraph"/>
        <w:rPr>
          <w:szCs w:val="22"/>
        </w:rPr>
      </w:pPr>
    </w:p>
    <w:p w:rsidR="00C15CEA" w:rsidRPr="00C15CEA" w:rsidRDefault="00C15CEA" w:rsidP="00EC0BB4">
      <w:pPr>
        <w:pStyle w:val="ListParagraph"/>
        <w:numPr>
          <w:ilvl w:val="1"/>
          <w:numId w:val="2"/>
        </w:numPr>
        <w:rPr>
          <w:szCs w:val="22"/>
        </w:rPr>
      </w:pPr>
      <w:r w:rsidRPr="00C15CEA">
        <w:rPr>
          <w:szCs w:val="22"/>
        </w:rPr>
        <w:t xml:space="preserve">The PBAC agreed with the DUSC that the utilisation is likely </w:t>
      </w:r>
      <w:r w:rsidR="00AE1DC6">
        <w:rPr>
          <w:szCs w:val="22"/>
        </w:rPr>
        <w:t xml:space="preserve">to have been </w:t>
      </w:r>
      <w:r w:rsidRPr="00C15CEA">
        <w:rPr>
          <w:szCs w:val="22"/>
        </w:rPr>
        <w:t xml:space="preserve">underestimated noting that revised estimates were presented in the pre-PBAC response. </w:t>
      </w:r>
      <w:r w:rsidR="00EC0BB4">
        <w:rPr>
          <w:szCs w:val="22"/>
        </w:rPr>
        <w:t xml:space="preserve">The PBAC considered that the </w:t>
      </w:r>
      <w:r w:rsidR="00EC0BB4" w:rsidRPr="00EC0BB4">
        <w:rPr>
          <w:szCs w:val="22"/>
        </w:rPr>
        <w:t>patient numbers</w:t>
      </w:r>
      <w:r w:rsidR="00EC0BB4">
        <w:rPr>
          <w:szCs w:val="22"/>
        </w:rPr>
        <w:t xml:space="preserve"> are uncertain </w:t>
      </w:r>
      <w:r w:rsidR="00EC0BB4" w:rsidRPr="00EC0BB4">
        <w:rPr>
          <w:szCs w:val="22"/>
        </w:rPr>
        <w:t>and the</w:t>
      </w:r>
      <w:r w:rsidR="00EC0BB4">
        <w:rPr>
          <w:szCs w:val="22"/>
        </w:rPr>
        <w:t>re is a high</w:t>
      </w:r>
      <w:r w:rsidR="00EC0BB4" w:rsidRPr="00EC0BB4">
        <w:rPr>
          <w:szCs w:val="22"/>
        </w:rPr>
        <w:t xml:space="preserve"> risk of use of </w:t>
      </w:r>
      <w:r w:rsidR="00EC0BB4">
        <w:rPr>
          <w:szCs w:val="22"/>
        </w:rPr>
        <w:t>rituximab</w:t>
      </w:r>
      <w:r w:rsidR="00EC0BB4" w:rsidRPr="00EC0BB4">
        <w:rPr>
          <w:szCs w:val="22"/>
        </w:rPr>
        <w:t xml:space="preserve"> outside the requested restriction.</w:t>
      </w:r>
    </w:p>
    <w:p w:rsidR="00C15CEA" w:rsidRPr="00C15CEA" w:rsidRDefault="00C15CEA" w:rsidP="00C15CEA">
      <w:pPr>
        <w:pStyle w:val="ListParagraph"/>
        <w:rPr>
          <w:szCs w:val="22"/>
        </w:rPr>
      </w:pPr>
    </w:p>
    <w:p w:rsidR="00967170" w:rsidRDefault="00295D59" w:rsidP="00967170">
      <w:pPr>
        <w:pStyle w:val="ListParagraph"/>
        <w:widowControl/>
        <w:numPr>
          <w:ilvl w:val="1"/>
          <w:numId w:val="2"/>
        </w:numPr>
        <w:rPr>
          <w:szCs w:val="22"/>
        </w:rPr>
      </w:pPr>
      <w:r>
        <w:rPr>
          <w:szCs w:val="22"/>
        </w:rPr>
        <w:t xml:space="preserve">Further to its consideration of the submission, the PBAC also noted that rituximab is </w:t>
      </w:r>
      <w:r w:rsidR="008C1959">
        <w:rPr>
          <w:szCs w:val="22"/>
        </w:rPr>
        <w:t xml:space="preserve">being </w:t>
      </w:r>
      <w:r>
        <w:rPr>
          <w:szCs w:val="22"/>
        </w:rPr>
        <w:t>used in a broad range of other non-cancer indications. The PBAC considered that it may be appropriate to consider all non-cancer indications in the same context and requested that the sponsor provide a list of other non-cancer indications in which rituximab is currently being used in Australian clinical practice.</w:t>
      </w:r>
    </w:p>
    <w:p w:rsidR="00E11E90" w:rsidRPr="00E11E90" w:rsidRDefault="00E11E90" w:rsidP="00E11E90">
      <w:pPr>
        <w:widowControl/>
        <w:rPr>
          <w:szCs w:val="22"/>
        </w:rPr>
      </w:pPr>
    </w:p>
    <w:p w:rsidR="00554638" w:rsidRPr="00554638" w:rsidRDefault="00554638" w:rsidP="00554638">
      <w:pPr>
        <w:widowControl/>
        <w:rPr>
          <w:b/>
          <w:szCs w:val="22"/>
        </w:rPr>
      </w:pPr>
    </w:p>
    <w:p w:rsidR="006B0DD1" w:rsidRPr="00882085" w:rsidRDefault="006B0DD1" w:rsidP="00463047">
      <w:pPr>
        <w:keepNext/>
        <w:rPr>
          <w:b/>
          <w:szCs w:val="22"/>
        </w:rPr>
      </w:pPr>
      <w:r w:rsidRPr="00882085">
        <w:rPr>
          <w:b/>
          <w:szCs w:val="22"/>
        </w:rPr>
        <w:t>Outcome:</w:t>
      </w:r>
    </w:p>
    <w:p w:rsidR="006B0DD1" w:rsidRDefault="006B0DD1" w:rsidP="006B0DD1">
      <w:pPr>
        <w:rPr>
          <w:szCs w:val="22"/>
        </w:rPr>
      </w:pPr>
      <w:r w:rsidRPr="00882085">
        <w:rPr>
          <w:szCs w:val="22"/>
        </w:rPr>
        <w:t>Deferred</w:t>
      </w:r>
    </w:p>
    <w:p w:rsidR="006B0DD1" w:rsidRDefault="006B0DD1" w:rsidP="006B0DD1"/>
    <w:p w:rsidR="00463047" w:rsidRDefault="00463047" w:rsidP="006B0DD1"/>
    <w:p w:rsidR="00843161" w:rsidRPr="00463047" w:rsidRDefault="00463047" w:rsidP="00463047">
      <w:pPr>
        <w:pStyle w:val="Heading1"/>
        <w:rPr>
          <w:sz w:val="28"/>
          <w:szCs w:val="28"/>
        </w:rPr>
      </w:pPr>
      <w:r w:rsidRPr="00463047">
        <w:rPr>
          <w:sz w:val="28"/>
          <w:szCs w:val="28"/>
        </w:rPr>
        <w:t>ADDENDUM</w:t>
      </w:r>
    </w:p>
    <w:p w:rsidR="00463047" w:rsidRDefault="00463047" w:rsidP="00463047"/>
    <w:p w:rsidR="00463047" w:rsidRPr="001B0192" w:rsidRDefault="00463047" w:rsidP="00463047">
      <w:pPr>
        <w:pStyle w:val="NormalWeb"/>
        <w:spacing w:before="0" w:after="0"/>
        <w:rPr>
          <w:rFonts w:ascii="Arial" w:hAnsi="Arial" w:cs="Arial"/>
          <w:sz w:val="22"/>
          <w:szCs w:val="22"/>
        </w:rPr>
      </w:pPr>
      <w:r w:rsidRPr="001B0192">
        <w:rPr>
          <w:rFonts w:ascii="Arial" w:hAnsi="Arial" w:cs="Arial"/>
          <w:sz w:val="22"/>
          <w:szCs w:val="22"/>
        </w:rPr>
        <w:t>Subsequent to the March 2015 meeting, the sponsor provided the PBAC with the following information:</w:t>
      </w:r>
    </w:p>
    <w:p w:rsidR="00463047" w:rsidRPr="001B0192" w:rsidRDefault="00463047" w:rsidP="00463047">
      <w:pPr>
        <w:pStyle w:val="NormalWeb"/>
        <w:numPr>
          <w:ilvl w:val="0"/>
          <w:numId w:val="17"/>
        </w:numPr>
        <w:spacing w:before="0" w:after="0"/>
        <w:ind w:left="284" w:hanging="284"/>
        <w:rPr>
          <w:rFonts w:ascii="Arial" w:hAnsi="Arial" w:cs="Arial"/>
          <w:sz w:val="22"/>
          <w:szCs w:val="22"/>
        </w:rPr>
      </w:pPr>
      <w:r w:rsidRPr="001B0192">
        <w:rPr>
          <w:rFonts w:ascii="Arial" w:hAnsi="Arial" w:cs="Arial"/>
          <w:sz w:val="22"/>
          <w:szCs w:val="22"/>
        </w:rPr>
        <w:t>acceptance of the restriction wording and written authority, as outlined in the PBAC minutes;</w:t>
      </w:r>
    </w:p>
    <w:p w:rsidR="00463047" w:rsidRPr="001B0192" w:rsidRDefault="00463047" w:rsidP="00463047">
      <w:pPr>
        <w:pStyle w:val="NormalWeb"/>
        <w:numPr>
          <w:ilvl w:val="0"/>
          <w:numId w:val="17"/>
        </w:numPr>
        <w:spacing w:before="0" w:after="0"/>
        <w:ind w:left="284" w:hanging="284"/>
        <w:rPr>
          <w:rFonts w:ascii="Arial" w:hAnsi="Arial" w:cs="Arial"/>
          <w:sz w:val="22"/>
          <w:szCs w:val="22"/>
        </w:rPr>
      </w:pPr>
      <w:r w:rsidRPr="001B0192">
        <w:rPr>
          <w:rFonts w:ascii="Arial" w:hAnsi="Arial" w:cs="Arial"/>
          <w:sz w:val="22"/>
          <w:szCs w:val="22"/>
        </w:rPr>
        <w:t>a revised price for rituximab for the treatment of severe active granulomatosis with polyangiitis (GPA) and microscopic polyangiitis (MPA) (</w:t>
      </w:r>
      <w:r w:rsidR="004807C1">
        <w:rPr>
          <w:rFonts w:ascii="Arial" w:hAnsi="Arial" w:cs="Arial"/>
          <w:noProof/>
          <w:color w:val="000000"/>
          <w:sz w:val="22"/>
          <w:szCs w:val="22"/>
          <w:highlight w:val="black"/>
        </w:rPr>
        <w:t>'''''''''''''''</w:t>
      </w:r>
      <w:r w:rsidR="00E67AD1">
        <w:rPr>
          <w:rFonts w:ascii="Arial" w:hAnsi="Arial" w:cs="Arial"/>
          <w:sz w:val="22"/>
          <w:szCs w:val="22"/>
        </w:rPr>
        <w:t>% rebate on the ex</w:t>
      </w:r>
      <w:r w:rsidR="00E67AD1">
        <w:rPr>
          <w:rFonts w:ascii="Arial" w:hAnsi="Arial" w:cs="Arial"/>
          <w:sz w:val="22"/>
          <w:szCs w:val="22"/>
        </w:rPr>
        <w:noBreakHyphen/>
      </w:r>
      <w:r w:rsidRPr="001B0192">
        <w:rPr>
          <w:rFonts w:ascii="Arial" w:hAnsi="Arial" w:cs="Arial"/>
          <w:sz w:val="22"/>
          <w:szCs w:val="22"/>
        </w:rPr>
        <w:t xml:space="preserve">manufacturer price of the 500 mg vial, as per the listing for </w:t>
      </w:r>
      <w:r w:rsidR="004807C1">
        <w:rPr>
          <w:rFonts w:ascii="Arial" w:hAnsi="Arial" w:cs="Arial"/>
          <w:noProof/>
          <w:color w:val="000000"/>
          <w:sz w:val="22"/>
          <w:szCs w:val="22"/>
          <w:highlight w:val="black"/>
        </w:rPr>
        <w:t>''''''''''''''''''''''''''''' ''''''''''''''''''</w:t>
      </w:r>
      <w:r w:rsidRPr="001B0192">
        <w:rPr>
          <w:rFonts w:ascii="Arial" w:hAnsi="Arial" w:cs="Arial"/>
          <w:sz w:val="22"/>
          <w:szCs w:val="22"/>
        </w:rPr>
        <w:t>);</w:t>
      </w:r>
    </w:p>
    <w:p w:rsidR="00463047" w:rsidRPr="001B0192" w:rsidRDefault="00463047" w:rsidP="00463047">
      <w:pPr>
        <w:pStyle w:val="NormalWeb"/>
        <w:numPr>
          <w:ilvl w:val="0"/>
          <w:numId w:val="17"/>
        </w:numPr>
        <w:spacing w:before="0" w:after="0"/>
        <w:ind w:left="284" w:hanging="284"/>
        <w:rPr>
          <w:rFonts w:ascii="Arial" w:hAnsi="Arial" w:cs="Arial"/>
          <w:sz w:val="22"/>
          <w:szCs w:val="22"/>
        </w:rPr>
      </w:pPr>
      <w:r w:rsidRPr="001B0192">
        <w:rPr>
          <w:rFonts w:ascii="Arial" w:hAnsi="Arial" w:cs="Arial"/>
          <w:sz w:val="22"/>
          <w:szCs w:val="22"/>
        </w:rPr>
        <w:t>revised financial estimates;</w:t>
      </w:r>
    </w:p>
    <w:p w:rsidR="00463047" w:rsidRPr="001B0192" w:rsidRDefault="00463047" w:rsidP="00463047">
      <w:pPr>
        <w:pStyle w:val="NormalWeb"/>
        <w:numPr>
          <w:ilvl w:val="0"/>
          <w:numId w:val="17"/>
        </w:numPr>
        <w:spacing w:before="0" w:after="0"/>
        <w:ind w:left="284" w:hanging="284"/>
        <w:rPr>
          <w:rFonts w:ascii="Arial" w:hAnsi="Arial" w:cs="Arial"/>
          <w:sz w:val="22"/>
          <w:szCs w:val="22"/>
        </w:rPr>
      </w:pPr>
      <w:r w:rsidRPr="001B0192">
        <w:rPr>
          <w:rFonts w:ascii="Arial" w:hAnsi="Arial" w:cs="Arial"/>
          <w:sz w:val="22"/>
          <w:szCs w:val="22"/>
        </w:rPr>
        <w:t xml:space="preserve">the status of ongoing clinical trials with rituximab; and </w:t>
      </w:r>
    </w:p>
    <w:p w:rsidR="00463047" w:rsidRPr="001B0192" w:rsidRDefault="00463047" w:rsidP="00463047">
      <w:pPr>
        <w:pStyle w:val="NormalWeb"/>
        <w:numPr>
          <w:ilvl w:val="0"/>
          <w:numId w:val="17"/>
        </w:numPr>
        <w:spacing w:before="0" w:after="0"/>
        <w:ind w:left="284" w:hanging="284"/>
        <w:rPr>
          <w:rFonts w:ascii="Arial" w:hAnsi="Arial" w:cs="Arial"/>
          <w:sz w:val="22"/>
          <w:szCs w:val="22"/>
        </w:rPr>
      </w:pPr>
      <w:r w:rsidRPr="001B0192">
        <w:rPr>
          <w:rFonts w:ascii="Arial" w:hAnsi="Arial" w:cs="Arial"/>
          <w:sz w:val="22"/>
          <w:szCs w:val="22"/>
        </w:rPr>
        <w:t xml:space="preserve">a list of non-cancer indications for which rituximab is currently being used off-label. </w:t>
      </w:r>
    </w:p>
    <w:p w:rsidR="00463047" w:rsidRPr="001B0192" w:rsidRDefault="00463047" w:rsidP="00463047">
      <w:pPr>
        <w:pStyle w:val="NormalWeb"/>
        <w:spacing w:before="0" w:after="0"/>
        <w:rPr>
          <w:rFonts w:ascii="Arial" w:hAnsi="Arial" w:cs="Arial"/>
          <w:sz w:val="22"/>
          <w:szCs w:val="22"/>
        </w:rPr>
      </w:pPr>
    </w:p>
    <w:p w:rsidR="00463047" w:rsidRPr="001B0192" w:rsidRDefault="00463047" w:rsidP="00463047">
      <w:pPr>
        <w:pStyle w:val="NormalWeb"/>
        <w:spacing w:before="0" w:after="0"/>
        <w:rPr>
          <w:rFonts w:ascii="Arial" w:hAnsi="Arial" w:cs="Arial"/>
          <w:sz w:val="22"/>
          <w:szCs w:val="22"/>
        </w:rPr>
      </w:pPr>
      <w:r w:rsidRPr="001B0192">
        <w:rPr>
          <w:rFonts w:ascii="Arial" w:hAnsi="Arial" w:cs="Arial"/>
          <w:sz w:val="22"/>
          <w:szCs w:val="22"/>
        </w:rPr>
        <w:t>The PBAC recommended the listing of rituximab, on the basis that it should be available only under special arrangements under the Section 100 Highly Specialised Drugs Program, for remission induction in patients with severe, active GPA and MPA.</w:t>
      </w:r>
    </w:p>
    <w:p w:rsidR="00463047" w:rsidRPr="001B0192" w:rsidRDefault="00463047" w:rsidP="00463047">
      <w:pPr>
        <w:pStyle w:val="NormalWeb"/>
        <w:spacing w:before="0" w:after="0"/>
        <w:rPr>
          <w:rFonts w:ascii="Arial" w:hAnsi="Arial" w:cs="Arial"/>
          <w:sz w:val="22"/>
          <w:szCs w:val="22"/>
        </w:rPr>
      </w:pPr>
    </w:p>
    <w:p w:rsidR="00463047" w:rsidRPr="001B0192" w:rsidRDefault="00463047" w:rsidP="00463047">
      <w:pPr>
        <w:pStyle w:val="NormalWeb"/>
        <w:spacing w:before="0" w:after="0"/>
        <w:rPr>
          <w:rFonts w:ascii="Arial" w:hAnsi="Arial" w:cs="Arial"/>
          <w:sz w:val="22"/>
          <w:szCs w:val="22"/>
        </w:rPr>
      </w:pPr>
      <w:r w:rsidRPr="001B0192">
        <w:rPr>
          <w:rFonts w:ascii="Arial" w:hAnsi="Arial" w:cs="Arial"/>
          <w:sz w:val="22"/>
          <w:szCs w:val="22"/>
        </w:rPr>
        <w:t>The PBAC noted that rituximab is the treatment of choice in patients who have contraindications to cyclophosphamide (CYC).</w:t>
      </w:r>
    </w:p>
    <w:p w:rsidR="00463047" w:rsidRPr="001B0192" w:rsidRDefault="00463047" w:rsidP="00463047">
      <w:pPr>
        <w:pStyle w:val="NormalWeb"/>
        <w:spacing w:before="0" w:after="0"/>
        <w:rPr>
          <w:rFonts w:ascii="Arial" w:hAnsi="Arial" w:cs="Arial"/>
          <w:sz w:val="22"/>
          <w:szCs w:val="22"/>
        </w:rPr>
      </w:pPr>
    </w:p>
    <w:p w:rsidR="00463047" w:rsidRPr="001B0192" w:rsidRDefault="00463047" w:rsidP="00463047">
      <w:pPr>
        <w:pStyle w:val="NormalWeb"/>
        <w:spacing w:before="0" w:after="0"/>
        <w:rPr>
          <w:rFonts w:ascii="Arial" w:hAnsi="Arial" w:cs="Arial"/>
          <w:sz w:val="22"/>
          <w:szCs w:val="22"/>
        </w:rPr>
      </w:pPr>
      <w:r w:rsidRPr="001B0192">
        <w:rPr>
          <w:rFonts w:ascii="Arial" w:hAnsi="Arial" w:cs="Arial"/>
          <w:sz w:val="22"/>
          <w:szCs w:val="22"/>
        </w:rPr>
        <w:t xml:space="preserve">The PBAC accepted the revised price, noting that the rebate was equivalent to that provided for rituximab for the treatment of </w:t>
      </w:r>
      <w:r w:rsidR="004807C1">
        <w:rPr>
          <w:rFonts w:ascii="Arial" w:hAnsi="Arial" w:cs="Arial"/>
          <w:noProof/>
          <w:color w:val="000000"/>
          <w:sz w:val="22"/>
          <w:szCs w:val="22"/>
          <w:highlight w:val="black"/>
        </w:rPr>
        <w:t>'''''''''''''''''''''''''''' '''''''''''''''''</w:t>
      </w:r>
      <w:r w:rsidRPr="001B0192">
        <w:rPr>
          <w:rFonts w:ascii="Arial" w:hAnsi="Arial" w:cs="Arial"/>
          <w:sz w:val="22"/>
          <w:szCs w:val="22"/>
        </w:rPr>
        <w:t>. While the cost effectiveness of rituximab compared with CYC was unable to be determined, for the specific population included in the written authority where CYC is not the comparator, the PBAC pragmatically considered that the proposed reduced price was acceptable.</w:t>
      </w:r>
    </w:p>
    <w:p w:rsidR="00463047" w:rsidRPr="001B0192" w:rsidRDefault="00463047" w:rsidP="00463047">
      <w:pPr>
        <w:pStyle w:val="NormalWeb"/>
        <w:spacing w:before="0" w:after="0"/>
        <w:rPr>
          <w:rFonts w:ascii="Arial" w:hAnsi="Arial" w:cs="Arial"/>
          <w:sz w:val="22"/>
          <w:szCs w:val="22"/>
        </w:rPr>
      </w:pPr>
    </w:p>
    <w:p w:rsidR="00463047" w:rsidRPr="001B0192" w:rsidRDefault="00463047" w:rsidP="00463047">
      <w:pPr>
        <w:pStyle w:val="NormalWeb"/>
        <w:spacing w:before="0" w:after="0"/>
        <w:rPr>
          <w:rFonts w:ascii="Arial" w:hAnsi="Arial" w:cs="Arial"/>
          <w:sz w:val="22"/>
          <w:szCs w:val="22"/>
        </w:rPr>
      </w:pPr>
      <w:r w:rsidRPr="001B0192">
        <w:rPr>
          <w:rFonts w:ascii="Arial" w:hAnsi="Arial" w:cs="Arial"/>
          <w:sz w:val="22"/>
          <w:szCs w:val="22"/>
        </w:rPr>
        <w:t>The PBAC requested the Department negotiate a Risk Share Arrangement with a cap based on the DUSC</w:t>
      </w:r>
      <w:r w:rsidRPr="001B0192">
        <w:rPr>
          <w:rFonts w:ascii="Arial" w:hAnsi="Arial" w:cs="Arial"/>
          <w:sz w:val="22"/>
          <w:szCs w:val="22"/>
        </w:rPr>
        <w:noBreakHyphen/>
        <w:t>revised utilisation estimates, in a manner that can be implemented and managed by the Department. The PBAC considered that as use in a broader than intended population would mostly include patients where CYC was a legitimate alternative, any additional rebate that is applied to any Government expenditure on rituximab beyond the financial cap should reduce the cost of rituximab further, at least to a level where the total cost per induction for rituximab does not exceed the total cost per induction of CYC.</w:t>
      </w:r>
    </w:p>
    <w:p w:rsidR="00463047" w:rsidRPr="001B0192" w:rsidRDefault="00463047" w:rsidP="00463047">
      <w:pPr>
        <w:pStyle w:val="NormalWeb"/>
        <w:spacing w:before="0" w:after="0"/>
        <w:rPr>
          <w:rFonts w:ascii="Arial" w:hAnsi="Arial" w:cs="Arial"/>
          <w:sz w:val="22"/>
          <w:szCs w:val="22"/>
        </w:rPr>
      </w:pPr>
    </w:p>
    <w:p w:rsidR="00463047" w:rsidRPr="001B0192" w:rsidRDefault="00463047" w:rsidP="00463047">
      <w:pPr>
        <w:pStyle w:val="NormalWeb"/>
        <w:spacing w:before="0" w:after="0"/>
        <w:rPr>
          <w:rFonts w:ascii="Arial" w:hAnsi="Arial" w:cs="Arial"/>
          <w:sz w:val="22"/>
          <w:szCs w:val="22"/>
        </w:rPr>
      </w:pPr>
      <w:r w:rsidRPr="001B0192">
        <w:rPr>
          <w:rFonts w:ascii="Arial" w:hAnsi="Arial" w:cs="Arial"/>
          <w:sz w:val="22"/>
          <w:szCs w:val="22"/>
        </w:rPr>
        <w:t>The PBAC advised that rituximab is not suitable for prescribing by nurse practitioners.</w:t>
      </w:r>
    </w:p>
    <w:p w:rsidR="00463047" w:rsidRPr="001B0192" w:rsidRDefault="00463047" w:rsidP="00463047">
      <w:pPr>
        <w:pStyle w:val="NormalWeb"/>
        <w:spacing w:before="0" w:after="0"/>
        <w:rPr>
          <w:rFonts w:ascii="Arial" w:hAnsi="Arial" w:cs="Arial"/>
          <w:sz w:val="22"/>
          <w:szCs w:val="22"/>
        </w:rPr>
      </w:pPr>
    </w:p>
    <w:p w:rsidR="00463047" w:rsidRPr="001B0192" w:rsidRDefault="00463047" w:rsidP="00463047">
      <w:pPr>
        <w:pStyle w:val="NormalWeb"/>
        <w:spacing w:before="0" w:after="0"/>
        <w:rPr>
          <w:rFonts w:ascii="Arial" w:hAnsi="Arial" w:cs="Arial"/>
          <w:sz w:val="22"/>
          <w:szCs w:val="22"/>
        </w:rPr>
      </w:pPr>
      <w:r w:rsidRPr="001B0192">
        <w:rPr>
          <w:rFonts w:ascii="Arial" w:hAnsi="Arial" w:cs="Arial"/>
          <w:sz w:val="22"/>
          <w:szCs w:val="22"/>
        </w:rPr>
        <w:t>The PBAC recommended that the Safety Net 20 Day Rule should not apply.</w:t>
      </w:r>
    </w:p>
    <w:p w:rsidR="00463047" w:rsidRPr="001B0192" w:rsidRDefault="00463047" w:rsidP="00463047">
      <w:pPr>
        <w:pStyle w:val="NormalWeb"/>
        <w:spacing w:before="0" w:after="0"/>
        <w:rPr>
          <w:rFonts w:ascii="Arial" w:hAnsi="Arial" w:cs="Arial"/>
          <w:sz w:val="22"/>
          <w:szCs w:val="22"/>
        </w:rPr>
      </w:pPr>
    </w:p>
    <w:p w:rsidR="00463047" w:rsidRPr="001B0192" w:rsidRDefault="00463047" w:rsidP="00463047">
      <w:pPr>
        <w:pStyle w:val="NormalWeb"/>
        <w:spacing w:before="0" w:after="0"/>
        <w:rPr>
          <w:rFonts w:ascii="Arial" w:hAnsi="Arial" w:cs="Arial"/>
          <w:sz w:val="22"/>
          <w:szCs w:val="22"/>
        </w:rPr>
      </w:pPr>
    </w:p>
    <w:p w:rsidR="00463047" w:rsidRPr="001B0192" w:rsidRDefault="00463047" w:rsidP="00463047">
      <w:pPr>
        <w:pStyle w:val="NormalWeb"/>
        <w:spacing w:before="0" w:after="0"/>
        <w:rPr>
          <w:rFonts w:ascii="Arial" w:hAnsi="Arial" w:cs="Arial"/>
          <w:b/>
          <w:sz w:val="22"/>
          <w:szCs w:val="22"/>
        </w:rPr>
      </w:pPr>
      <w:r w:rsidRPr="001B0192">
        <w:rPr>
          <w:rFonts w:ascii="Arial" w:hAnsi="Arial" w:cs="Arial"/>
          <w:b/>
          <w:sz w:val="22"/>
          <w:szCs w:val="22"/>
        </w:rPr>
        <w:t>Outcome:</w:t>
      </w:r>
    </w:p>
    <w:p w:rsidR="00463047" w:rsidRPr="001B0192" w:rsidRDefault="00463047" w:rsidP="00C52387">
      <w:pPr>
        <w:pStyle w:val="NormalWeb"/>
        <w:tabs>
          <w:tab w:val="left" w:pos="1843"/>
        </w:tabs>
        <w:spacing w:before="0" w:after="0"/>
        <w:rPr>
          <w:rFonts w:ascii="Arial" w:hAnsi="Arial" w:cs="Arial"/>
          <w:sz w:val="22"/>
          <w:szCs w:val="22"/>
        </w:rPr>
      </w:pPr>
      <w:r w:rsidRPr="001B0192">
        <w:rPr>
          <w:rFonts w:ascii="Arial" w:hAnsi="Arial" w:cs="Arial"/>
          <w:sz w:val="22"/>
          <w:szCs w:val="22"/>
        </w:rPr>
        <w:t>Recommended</w:t>
      </w:r>
    </w:p>
    <w:p w:rsidR="00463047" w:rsidRDefault="00463047" w:rsidP="00C52387">
      <w:pPr>
        <w:tabs>
          <w:tab w:val="left" w:pos="1843"/>
        </w:tabs>
        <w:rPr>
          <w:b/>
        </w:rPr>
      </w:pPr>
    </w:p>
    <w:p w:rsidR="00463047" w:rsidRPr="001B0192" w:rsidRDefault="00463047" w:rsidP="00C52387">
      <w:pPr>
        <w:tabs>
          <w:tab w:val="left" w:pos="1843"/>
        </w:tabs>
      </w:pPr>
    </w:p>
    <w:p w:rsidR="00463047" w:rsidRPr="001B0192" w:rsidRDefault="00463047" w:rsidP="00463047">
      <w:pPr>
        <w:pStyle w:val="Header"/>
        <w:widowControl/>
        <w:numPr>
          <w:ilvl w:val="0"/>
          <w:numId w:val="2"/>
        </w:numPr>
        <w:tabs>
          <w:tab w:val="clear" w:pos="4513"/>
          <w:tab w:val="clear" w:pos="9026"/>
        </w:tabs>
        <w:rPr>
          <w:b/>
          <w:i/>
          <w:szCs w:val="22"/>
        </w:rPr>
      </w:pPr>
      <w:r w:rsidRPr="001B0192">
        <w:rPr>
          <w:b/>
          <w:szCs w:val="22"/>
        </w:rPr>
        <w:t>Recommended listing</w:t>
      </w:r>
    </w:p>
    <w:p w:rsidR="00463047" w:rsidRPr="001B0192" w:rsidRDefault="00463047" w:rsidP="00463047">
      <w:pPr>
        <w:pStyle w:val="Header"/>
        <w:rPr>
          <w:szCs w:val="22"/>
        </w:rPr>
      </w:pPr>
    </w:p>
    <w:p w:rsidR="00463047" w:rsidRPr="001B0192" w:rsidRDefault="00463047" w:rsidP="00463047">
      <w:pPr>
        <w:pStyle w:val="Header"/>
        <w:widowControl/>
        <w:numPr>
          <w:ilvl w:val="1"/>
          <w:numId w:val="2"/>
        </w:numPr>
        <w:tabs>
          <w:tab w:val="clear" w:pos="4513"/>
          <w:tab w:val="clear" w:pos="9026"/>
        </w:tabs>
      </w:pPr>
      <w:r w:rsidRPr="001B0192">
        <w:t>Amend existing listing. Restriction to be finalised.</w:t>
      </w:r>
    </w:p>
    <w:p w:rsidR="00463047" w:rsidRPr="00DA5569" w:rsidRDefault="00463047" w:rsidP="00463047">
      <w:pPr>
        <w:pStyle w:val="PBACHeading1"/>
        <w:rPr>
          <w:rFonts w:eastAsia="SimSun"/>
          <w:snapToGrid/>
        </w:rPr>
      </w:pPr>
      <w:r w:rsidRPr="00DA5569">
        <w:rPr>
          <w:rFonts w:eastAsia="SimSun"/>
          <w:snapToGrid/>
        </w:rPr>
        <w:t>Context for Decision</w:t>
      </w:r>
    </w:p>
    <w:p w:rsidR="00463047" w:rsidRPr="00DA5569" w:rsidRDefault="00463047" w:rsidP="00463047">
      <w:pPr>
        <w:widowControl/>
        <w:ind w:left="720"/>
        <w:contextualSpacing/>
        <w:jc w:val="left"/>
        <w:rPr>
          <w:rFonts w:ascii="Times New Roman" w:hAnsi="Times New Roman" w:cs="Times New Roman"/>
          <w:b/>
          <w:snapToGrid/>
          <w:sz w:val="24"/>
          <w:szCs w:val="24"/>
          <w:lang w:eastAsia="en-AU"/>
        </w:rPr>
      </w:pPr>
    </w:p>
    <w:p w:rsidR="00463047" w:rsidRPr="00DA5569" w:rsidRDefault="00463047" w:rsidP="00463047">
      <w:pPr>
        <w:widowControl/>
        <w:ind w:left="720"/>
        <w:jc w:val="left"/>
        <w:rPr>
          <w:bCs/>
          <w:szCs w:val="22"/>
          <w:lang w:eastAsia="en-AU"/>
        </w:rPr>
      </w:pPr>
      <w:r w:rsidRPr="00DA5569">
        <w:rPr>
          <w:bCs/>
          <w:szCs w:val="22"/>
          <w:lang w:eastAsia="en-AU"/>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63047" w:rsidRDefault="00463047" w:rsidP="00463047">
      <w:pPr>
        <w:widowControl/>
        <w:jc w:val="left"/>
        <w:rPr>
          <w:rFonts w:ascii="Times New Roman" w:hAnsi="Times New Roman" w:cs="Times New Roman"/>
          <w:snapToGrid/>
          <w:sz w:val="24"/>
          <w:szCs w:val="24"/>
          <w:lang w:eastAsia="en-AU"/>
        </w:rPr>
      </w:pPr>
    </w:p>
    <w:p w:rsidR="00463047" w:rsidRPr="00DA5569" w:rsidRDefault="00463047" w:rsidP="00463047">
      <w:pPr>
        <w:widowControl/>
        <w:jc w:val="left"/>
        <w:rPr>
          <w:rFonts w:ascii="Times New Roman" w:hAnsi="Times New Roman" w:cs="Times New Roman"/>
          <w:snapToGrid/>
          <w:sz w:val="24"/>
          <w:szCs w:val="24"/>
          <w:lang w:eastAsia="en-AU"/>
        </w:rPr>
      </w:pPr>
    </w:p>
    <w:p w:rsidR="00463047" w:rsidRPr="00DA5569" w:rsidRDefault="00463047" w:rsidP="00463047">
      <w:pPr>
        <w:pStyle w:val="PBACHeading1"/>
        <w:rPr>
          <w:rFonts w:eastAsia="SimSun"/>
          <w:snapToGrid/>
        </w:rPr>
      </w:pPr>
      <w:r w:rsidRPr="00DA5569">
        <w:rPr>
          <w:rFonts w:eastAsia="SimSun"/>
          <w:snapToGrid/>
        </w:rPr>
        <w:t>Sponsor’s Comment</w:t>
      </w:r>
    </w:p>
    <w:p w:rsidR="00463047" w:rsidRDefault="00C267A8" w:rsidP="00463047">
      <w:pPr>
        <w:ind w:left="720"/>
      </w:pPr>
      <w:r w:rsidRPr="00C267A8">
        <w:t>.</w:t>
      </w:r>
    </w:p>
    <w:p w:rsidR="00C267A8" w:rsidRPr="00463047" w:rsidRDefault="00C267A8" w:rsidP="00463047">
      <w:pPr>
        <w:ind w:left="720"/>
      </w:pPr>
      <w:r w:rsidRPr="00C267A8">
        <w:t xml:space="preserve">The PBAC’s decision to recommend </w:t>
      </w:r>
      <w:r>
        <w:t>rituximab</w:t>
      </w:r>
      <w:r w:rsidRPr="00C267A8">
        <w:t xml:space="preserve"> for PBS listing is welcome news for patients </w:t>
      </w:r>
      <w:r>
        <w:t xml:space="preserve">with severe, active GPA/MPA, </w:t>
      </w:r>
      <w:r w:rsidRPr="00C267A8">
        <w:t>their families</w:t>
      </w:r>
      <w:r>
        <w:t xml:space="preserve"> and clinicians</w:t>
      </w:r>
      <w:r w:rsidRPr="00C267A8">
        <w:t>.</w:t>
      </w:r>
    </w:p>
    <w:sectPr w:rsidR="00C267A8" w:rsidRPr="00463047" w:rsidSect="007815A6">
      <w:headerReference w:type="default" r:id="rId9"/>
      <w:footerReference w:type="default" r:id="rId10"/>
      <w:pgSz w:w="11906" w:h="16838"/>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D8C54A" w15:done="0"/>
  <w15:commentEx w15:paraId="556738AC" w15:paraIdParent="39D8C54A" w15:done="0"/>
  <w15:commentEx w15:paraId="72E2FB4A" w15:done="0"/>
  <w15:commentEx w15:paraId="7C455127" w15:done="0"/>
  <w15:commentEx w15:paraId="516179B4" w15:paraIdParent="7C455127" w15:done="0"/>
  <w15:commentEx w15:paraId="67427A30" w15:done="0"/>
  <w15:commentEx w15:paraId="7C5675DA" w15:paraIdParent="67427A30" w15:done="0"/>
  <w15:commentEx w15:paraId="5AC9745F" w15:done="0"/>
  <w15:commentEx w15:paraId="5471FB42" w15:done="0"/>
  <w15:commentEx w15:paraId="7412B39E" w15:done="0"/>
  <w15:commentEx w15:paraId="6491F263" w15:done="0"/>
  <w15:commentEx w15:paraId="5EFAB3FC" w15:done="0"/>
  <w15:commentEx w15:paraId="162B107E" w15:paraIdParent="5EFAB3FC" w15:done="0"/>
  <w15:commentEx w15:paraId="50EDDC87" w15:done="0"/>
  <w15:commentEx w15:paraId="07A0DF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7C1" w:rsidRDefault="004807C1" w:rsidP="00124A51">
      <w:r>
        <w:separator/>
      </w:r>
    </w:p>
  </w:endnote>
  <w:endnote w:type="continuationSeparator" w:id="0">
    <w:p w:rsidR="004807C1" w:rsidRDefault="004807C1"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Lucida Grande">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423252"/>
      <w:docPartObj>
        <w:docPartGallery w:val="Page Numbers (Bottom of Page)"/>
        <w:docPartUnique/>
      </w:docPartObj>
    </w:sdtPr>
    <w:sdtEndPr>
      <w:rPr>
        <w:noProof/>
      </w:rPr>
    </w:sdtEndPr>
    <w:sdtContent>
      <w:p w:rsidR="002421BE" w:rsidRDefault="002421BE" w:rsidP="006B0DD1">
        <w:pPr>
          <w:pStyle w:val="Footer"/>
          <w:jc w:val="center"/>
        </w:pPr>
        <w:r>
          <w:fldChar w:fldCharType="begin"/>
        </w:r>
        <w:r>
          <w:instrText xml:space="preserve"> PAGE   \* MERGEFORMAT </w:instrText>
        </w:r>
        <w:r>
          <w:fldChar w:fldCharType="separate"/>
        </w:r>
        <w:r w:rsidR="00517379">
          <w:rPr>
            <w:noProof/>
          </w:rPr>
          <w:t>2</w:t>
        </w:r>
        <w:r>
          <w:rPr>
            <w:noProof/>
          </w:rPr>
          <w:fldChar w:fldCharType="end"/>
        </w:r>
      </w:p>
    </w:sdtContent>
  </w:sdt>
  <w:p w:rsidR="002421BE" w:rsidRDefault="00242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7C1" w:rsidRDefault="004807C1" w:rsidP="00124A51">
      <w:r>
        <w:separator/>
      </w:r>
    </w:p>
  </w:footnote>
  <w:footnote w:type="continuationSeparator" w:id="0">
    <w:p w:rsidR="004807C1" w:rsidRDefault="004807C1" w:rsidP="00124A51">
      <w:r>
        <w:continuationSeparator/>
      </w:r>
    </w:p>
  </w:footnote>
  <w:footnote w:id="1">
    <w:p w:rsidR="002421BE" w:rsidRPr="00852DF1" w:rsidRDefault="002421BE">
      <w:pPr>
        <w:pStyle w:val="FootnoteText"/>
        <w:rPr>
          <w:lang w:val="en-US"/>
        </w:rPr>
      </w:pPr>
      <w:r>
        <w:rPr>
          <w:rStyle w:val="FootnoteReference"/>
        </w:rPr>
        <w:footnoteRef/>
      </w:r>
      <w:r>
        <w:t xml:space="preserve"> Mejia</w:t>
      </w:r>
      <w:r w:rsidRPr="00E06FE9">
        <w:t xml:space="preserve"> C, Lozada CJ. Rituximab for ANCA-Associated Vasculitis: A Meta-Analysis of Randomized Trials. </w:t>
      </w:r>
      <w:r w:rsidRPr="00E06FE9">
        <w:rPr>
          <w:i/>
          <w:iCs/>
        </w:rPr>
        <w:t>Arthritis and Rheumatism</w:t>
      </w:r>
      <w:r w:rsidRPr="00E06FE9">
        <w:t xml:space="preserve"> 2012; 64: S660-S660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1BE" w:rsidRPr="00DF217D" w:rsidRDefault="002421BE" w:rsidP="006B0DD1">
    <w:pPr>
      <w:pStyle w:val="Header"/>
      <w:jc w:val="center"/>
      <w:rPr>
        <w:i/>
        <w:color w:val="808080"/>
      </w:rPr>
    </w:pPr>
    <w:r>
      <w:rPr>
        <w:i/>
        <w:color w:val="808080"/>
      </w:rPr>
      <w:t xml:space="preserve">Public Summary Document </w:t>
    </w:r>
    <w:r w:rsidRPr="00DF217D">
      <w:rPr>
        <w:i/>
        <w:color w:val="808080"/>
      </w:rPr>
      <w:t xml:space="preserve">– </w:t>
    </w:r>
    <w:r w:rsidR="00E67AD1">
      <w:rPr>
        <w:i/>
        <w:color w:val="808080"/>
      </w:rPr>
      <w:t>July</w:t>
    </w:r>
    <w:r>
      <w:rPr>
        <w:i/>
        <w:color w:val="808080"/>
      </w:rPr>
      <w:t xml:space="preserve"> 2015 </w:t>
    </w:r>
    <w:r w:rsidRPr="00DF217D">
      <w:rPr>
        <w:i/>
        <w:color w:val="808080"/>
      </w:rPr>
      <w:t>PBAC</w:t>
    </w:r>
    <w:r>
      <w:rPr>
        <w:i/>
        <w:color w:val="808080"/>
      </w:rPr>
      <w:t xml:space="preserve"> </w:t>
    </w:r>
    <w:r w:rsidRPr="00DF217D">
      <w:rPr>
        <w:i/>
        <w:color w:val="808080"/>
      </w:rPr>
      <w:t>Meeting</w:t>
    </w:r>
  </w:p>
  <w:p w:rsidR="002421BE" w:rsidRDefault="002421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43429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B46BAE"/>
    <w:multiLevelType w:val="hybridMultilevel"/>
    <w:tmpl w:val="71682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3B3FC6"/>
    <w:multiLevelType w:val="hybridMultilevel"/>
    <w:tmpl w:val="71A66BC8"/>
    <w:lvl w:ilvl="0" w:tplc="131C715C">
      <w:start w:val="1"/>
      <w:numFmt w:val="bullet"/>
      <w:pStyle w:val="ListBullet"/>
      <w:lvlText w:val=""/>
      <w:lvlJc w:val="left"/>
      <w:pPr>
        <w:tabs>
          <w:tab w:val="num" w:pos="360"/>
        </w:tabs>
        <w:ind w:left="360" w:hanging="360"/>
      </w:pPr>
      <w:rPr>
        <w:rFonts w:ascii="Symbol" w:hAnsi="Symbol" w:hint="default"/>
      </w:rPr>
    </w:lvl>
    <w:lvl w:ilvl="1" w:tplc="70F83F9A">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95169D5"/>
    <w:multiLevelType w:val="hybridMultilevel"/>
    <w:tmpl w:val="A6BAB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CD1278F"/>
    <w:multiLevelType w:val="hybridMultilevel"/>
    <w:tmpl w:val="C59A4D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6">
    <w:nsid w:val="25A60C0D"/>
    <w:multiLevelType w:val="hybridMultilevel"/>
    <w:tmpl w:val="DFA204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B307B63"/>
    <w:multiLevelType w:val="hybridMultilevel"/>
    <w:tmpl w:val="414EA3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B9A67A3"/>
    <w:multiLevelType w:val="hybridMultilevel"/>
    <w:tmpl w:val="48ECF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2ED4C16"/>
    <w:multiLevelType w:val="hybridMultilevel"/>
    <w:tmpl w:val="63DC8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10E11D6"/>
    <w:multiLevelType w:val="hybridMultilevel"/>
    <w:tmpl w:val="BC966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45108BB"/>
    <w:multiLevelType w:val="hybridMultilevel"/>
    <w:tmpl w:val="4DD8DD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784D033C"/>
    <w:multiLevelType w:val="multilevel"/>
    <w:tmpl w:val="4D38E6C4"/>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8634BF8"/>
    <w:multiLevelType w:val="hybridMultilevel"/>
    <w:tmpl w:val="4DD09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0"/>
  </w:num>
  <w:num w:numId="2">
    <w:abstractNumId w:val="14"/>
  </w:num>
  <w:num w:numId="3">
    <w:abstractNumId w:val="3"/>
  </w:num>
  <w:num w:numId="4">
    <w:abstractNumId w:val="8"/>
  </w:num>
  <w:num w:numId="5">
    <w:abstractNumId w:val="2"/>
  </w:num>
  <w:num w:numId="6">
    <w:abstractNumId w:val="15"/>
  </w:num>
  <w:num w:numId="7">
    <w:abstractNumId w:val="6"/>
  </w:num>
  <w:num w:numId="8">
    <w:abstractNumId w:val="11"/>
  </w:num>
  <w:num w:numId="9">
    <w:abstractNumId w:val="10"/>
  </w:num>
  <w:num w:numId="10">
    <w:abstractNumId w:val="13"/>
  </w:num>
  <w:num w:numId="11">
    <w:abstractNumId w:val="16"/>
  </w:num>
  <w:num w:numId="12">
    <w:abstractNumId w:val="5"/>
  </w:num>
  <w:num w:numId="13">
    <w:abstractNumId w:val="9"/>
  </w:num>
  <w:num w:numId="14">
    <w:abstractNumId w:val="7"/>
  </w:num>
  <w:num w:numId="15">
    <w:abstractNumId w:val="4"/>
  </w:num>
  <w:num w:numId="16">
    <w:abstractNumId w:val="12"/>
  </w:num>
  <w:num w:numId="17">
    <w:abstractNumId w:val="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nie Firipis">
    <w15:presenceInfo w15:providerId="AD" w15:userId="S-1-5-21-248963057-614103661-3067232799-3493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5D6"/>
    <w:rsid w:val="00000B5E"/>
    <w:rsid w:val="00000BD5"/>
    <w:rsid w:val="0000110B"/>
    <w:rsid w:val="000013CD"/>
    <w:rsid w:val="00002384"/>
    <w:rsid w:val="000028CA"/>
    <w:rsid w:val="000030BA"/>
    <w:rsid w:val="0000503E"/>
    <w:rsid w:val="00005D1D"/>
    <w:rsid w:val="000069DE"/>
    <w:rsid w:val="000101E4"/>
    <w:rsid w:val="000101FA"/>
    <w:rsid w:val="000116E1"/>
    <w:rsid w:val="00013247"/>
    <w:rsid w:val="00013E7D"/>
    <w:rsid w:val="00015886"/>
    <w:rsid w:val="000162EF"/>
    <w:rsid w:val="0002158B"/>
    <w:rsid w:val="0002225F"/>
    <w:rsid w:val="00023763"/>
    <w:rsid w:val="000271A3"/>
    <w:rsid w:val="00027B50"/>
    <w:rsid w:val="000302DE"/>
    <w:rsid w:val="00031313"/>
    <w:rsid w:val="00031416"/>
    <w:rsid w:val="00032021"/>
    <w:rsid w:val="000350DC"/>
    <w:rsid w:val="000356E0"/>
    <w:rsid w:val="000356E3"/>
    <w:rsid w:val="000364D1"/>
    <w:rsid w:val="00036688"/>
    <w:rsid w:val="000403BE"/>
    <w:rsid w:val="00040895"/>
    <w:rsid w:val="0004235D"/>
    <w:rsid w:val="00042BC9"/>
    <w:rsid w:val="00043C37"/>
    <w:rsid w:val="00043DEB"/>
    <w:rsid w:val="00045329"/>
    <w:rsid w:val="00047A1A"/>
    <w:rsid w:val="0005129C"/>
    <w:rsid w:val="00051B3F"/>
    <w:rsid w:val="000538F3"/>
    <w:rsid w:val="000546D7"/>
    <w:rsid w:val="000605C1"/>
    <w:rsid w:val="0006068E"/>
    <w:rsid w:val="00060DE4"/>
    <w:rsid w:val="000610BF"/>
    <w:rsid w:val="0006115F"/>
    <w:rsid w:val="00071248"/>
    <w:rsid w:val="00071C93"/>
    <w:rsid w:val="000720B9"/>
    <w:rsid w:val="00073C72"/>
    <w:rsid w:val="0008041C"/>
    <w:rsid w:val="0008095D"/>
    <w:rsid w:val="000812CA"/>
    <w:rsid w:val="00083AC8"/>
    <w:rsid w:val="00083B2F"/>
    <w:rsid w:val="000845B2"/>
    <w:rsid w:val="00085CC6"/>
    <w:rsid w:val="00085F0F"/>
    <w:rsid w:val="00086CAF"/>
    <w:rsid w:val="00090790"/>
    <w:rsid w:val="00090C7E"/>
    <w:rsid w:val="00091798"/>
    <w:rsid w:val="000918B4"/>
    <w:rsid w:val="00091C03"/>
    <w:rsid w:val="000944E3"/>
    <w:rsid w:val="000946CC"/>
    <w:rsid w:val="000957D1"/>
    <w:rsid w:val="00096159"/>
    <w:rsid w:val="000A0DF8"/>
    <w:rsid w:val="000A3CB6"/>
    <w:rsid w:val="000A7728"/>
    <w:rsid w:val="000B0936"/>
    <w:rsid w:val="000B105C"/>
    <w:rsid w:val="000B1532"/>
    <w:rsid w:val="000B2BFC"/>
    <w:rsid w:val="000B4D13"/>
    <w:rsid w:val="000B7C03"/>
    <w:rsid w:val="000C0231"/>
    <w:rsid w:val="000C1EEB"/>
    <w:rsid w:val="000C1F48"/>
    <w:rsid w:val="000C215C"/>
    <w:rsid w:val="000C22EA"/>
    <w:rsid w:val="000C39D5"/>
    <w:rsid w:val="000C3A8E"/>
    <w:rsid w:val="000C3B4E"/>
    <w:rsid w:val="000C3C57"/>
    <w:rsid w:val="000C42E3"/>
    <w:rsid w:val="000C5FD9"/>
    <w:rsid w:val="000C6FFE"/>
    <w:rsid w:val="000C7208"/>
    <w:rsid w:val="000D022A"/>
    <w:rsid w:val="000D176A"/>
    <w:rsid w:val="000D1BFC"/>
    <w:rsid w:val="000E2061"/>
    <w:rsid w:val="000E2AD0"/>
    <w:rsid w:val="000E380E"/>
    <w:rsid w:val="000E45ED"/>
    <w:rsid w:val="000E479E"/>
    <w:rsid w:val="000E4C18"/>
    <w:rsid w:val="000E5C93"/>
    <w:rsid w:val="000E5D06"/>
    <w:rsid w:val="000E5F32"/>
    <w:rsid w:val="000E6EC0"/>
    <w:rsid w:val="000F02C5"/>
    <w:rsid w:val="000F38E4"/>
    <w:rsid w:val="000F44CB"/>
    <w:rsid w:val="000F49C2"/>
    <w:rsid w:val="000F524E"/>
    <w:rsid w:val="000F54A2"/>
    <w:rsid w:val="000F631F"/>
    <w:rsid w:val="000F6E4A"/>
    <w:rsid w:val="00100F8A"/>
    <w:rsid w:val="00101C93"/>
    <w:rsid w:val="0010285C"/>
    <w:rsid w:val="0010599D"/>
    <w:rsid w:val="00107B36"/>
    <w:rsid w:val="0011032E"/>
    <w:rsid w:val="00111F53"/>
    <w:rsid w:val="00112574"/>
    <w:rsid w:val="00112748"/>
    <w:rsid w:val="00112749"/>
    <w:rsid w:val="001132D7"/>
    <w:rsid w:val="00113643"/>
    <w:rsid w:val="0011425A"/>
    <w:rsid w:val="0011553A"/>
    <w:rsid w:val="00120562"/>
    <w:rsid w:val="00120F6F"/>
    <w:rsid w:val="0012173F"/>
    <w:rsid w:val="00121799"/>
    <w:rsid w:val="001222FC"/>
    <w:rsid w:val="0012267E"/>
    <w:rsid w:val="00122C9C"/>
    <w:rsid w:val="00124A51"/>
    <w:rsid w:val="00125289"/>
    <w:rsid w:val="0012658F"/>
    <w:rsid w:val="00126621"/>
    <w:rsid w:val="001301E9"/>
    <w:rsid w:val="001308C1"/>
    <w:rsid w:val="001355EA"/>
    <w:rsid w:val="00135CB9"/>
    <w:rsid w:val="00135CBE"/>
    <w:rsid w:val="001360A2"/>
    <w:rsid w:val="00137645"/>
    <w:rsid w:val="00137BC2"/>
    <w:rsid w:val="00137FD4"/>
    <w:rsid w:val="00140314"/>
    <w:rsid w:val="001403CC"/>
    <w:rsid w:val="00140E99"/>
    <w:rsid w:val="00141CAD"/>
    <w:rsid w:val="00141FA5"/>
    <w:rsid w:val="0014613B"/>
    <w:rsid w:val="001470ED"/>
    <w:rsid w:val="001508A0"/>
    <w:rsid w:val="00150C02"/>
    <w:rsid w:val="00152FE3"/>
    <w:rsid w:val="00153BD1"/>
    <w:rsid w:val="00156005"/>
    <w:rsid w:val="00156851"/>
    <w:rsid w:val="00157014"/>
    <w:rsid w:val="00157130"/>
    <w:rsid w:val="00157B57"/>
    <w:rsid w:val="001601C4"/>
    <w:rsid w:val="00161045"/>
    <w:rsid w:val="001610F0"/>
    <w:rsid w:val="00165503"/>
    <w:rsid w:val="00165C13"/>
    <w:rsid w:val="001661FB"/>
    <w:rsid w:val="00166787"/>
    <w:rsid w:val="0016746C"/>
    <w:rsid w:val="0016789D"/>
    <w:rsid w:val="00170791"/>
    <w:rsid w:val="00170CFF"/>
    <w:rsid w:val="001717FE"/>
    <w:rsid w:val="00171C3D"/>
    <w:rsid w:val="00172176"/>
    <w:rsid w:val="00173C4A"/>
    <w:rsid w:val="00174D36"/>
    <w:rsid w:val="00175232"/>
    <w:rsid w:val="00177F30"/>
    <w:rsid w:val="00180E6C"/>
    <w:rsid w:val="001818C7"/>
    <w:rsid w:val="001847F8"/>
    <w:rsid w:val="00185339"/>
    <w:rsid w:val="001856F6"/>
    <w:rsid w:val="00185A90"/>
    <w:rsid w:val="00186FF9"/>
    <w:rsid w:val="0018741C"/>
    <w:rsid w:val="00191C81"/>
    <w:rsid w:val="00192117"/>
    <w:rsid w:val="00193C28"/>
    <w:rsid w:val="00194B4A"/>
    <w:rsid w:val="00195222"/>
    <w:rsid w:val="00196B89"/>
    <w:rsid w:val="00196C31"/>
    <w:rsid w:val="001975D8"/>
    <w:rsid w:val="001A0073"/>
    <w:rsid w:val="001A1FEA"/>
    <w:rsid w:val="001B0403"/>
    <w:rsid w:val="001B07E0"/>
    <w:rsid w:val="001B0DF3"/>
    <w:rsid w:val="001B1F52"/>
    <w:rsid w:val="001B293D"/>
    <w:rsid w:val="001B3443"/>
    <w:rsid w:val="001B43E2"/>
    <w:rsid w:val="001B4723"/>
    <w:rsid w:val="001B5AAD"/>
    <w:rsid w:val="001B6892"/>
    <w:rsid w:val="001C3B88"/>
    <w:rsid w:val="001C419A"/>
    <w:rsid w:val="001C419E"/>
    <w:rsid w:val="001C4B1E"/>
    <w:rsid w:val="001C5331"/>
    <w:rsid w:val="001C6965"/>
    <w:rsid w:val="001C6E66"/>
    <w:rsid w:val="001C72D3"/>
    <w:rsid w:val="001D19BA"/>
    <w:rsid w:val="001D1D70"/>
    <w:rsid w:val="001D294D"/>
    <w:rsid w:val="001D2A00"/>
    <w:rsid w:val="001D4BEC"/>
    <w:rsid w:val="001D6A6F"/>
    <w:rsid w:val="001E2003"/>
    <w:rsid w:val="001E2188"/>
    <w:rsid w:val="001E52EB"/>
    <w:rsid w:val="001E7B4E"/>
    <w:rsid w:val="001F0331"/>
    <w:rsid w:val="001F1116"/>
    <w:rsid w:val="001F1235"/>
    <w:rsid w:val="001F1CB3"/>
    <w:rsid w:val="001F3BE6"/>
    <w:rsid w:val="001F48E9"/>
    <w:rsid w:val="001F48EE"/>
    <w:rsid w:val="001F4E14"/>
    <w:rsid w:val="001F5A87"/>
    <w:rsid w:val="001F7361"/>
    <w:rsid w:val="002001A2"/>
    <w:rsid w:val="002019FE"/>
    <w:rsid w:val="00201BDE"/>
    <w:rsid w:val="002036B4"/>
    <w:rsid w:val="00203F66"/>
    <w:rsid w:val="002041B3"/>
    <w:rsid w:val="00205160"/>
    <w:rsid w:val="00207123"/>
    <w:rsid w:val="002105C1"/>
    <w:rsid w:val="00210E0A"/>
    <w:rsid w:val="00216E42"/>
    <w:rsid w:val="002175E0"/>
    <w:rsid w:val="0022240C"/>
    <w:rsid w:val="00222919"/>
    <w:rsid w:val="00222B6E"/>
    <w:rsid w:val="00223B49"/>
    <w:rsid w:val="00223F12"/>
    <w:rsid w:val="00224DD4"/>
    <w:rsid w:val="002276F6"/>
    <w:rsid w:val="00227FE3"/>
    <w:rsid w:val="002309CC"/>
    <w:rsid w:val="00231770"/>
    <w:rsid w:val="002325A5"/>
    <w:rsid w:val="00233767"/>
    <w:rsid w:val="0023554A"/>
    <w:rsid w:val="0023556E"/>
    <w:rsid w:val="002366B4"/>
    <w:rsid w:val="00241121"/>
    <w:rsid w:val="002421BE"/>
    <w:rsid w:val="002427A4"/>
    <w:rsid w:val="00246C33"/>
    <w:rsid w:val="00247909"/>
    <w:rsid w:val="00250033"/>
    <w:rsid w:val="002539F2"/>
    <w:rsid w:val="00253BD6"/>
    <w:rsid w:val="00253F4B"/>
    <w:rsid w:val="00253FC0"/>
    <w:rsid w:val="002549AF"/>
    <w:rsid w:val="0025534B"/>
    <w:rsid w:val="00255BB7"/>
    <w:rsid w:val="002579EF"/>
    <w:rsid w:val="00261034"/>
    <w:rsid w:val="002617DD"/>
    <w:rsid w:val="00262A87"/>
    <w:rsid w:val="0026305C"/>
    <w:rsid w:val="00263705"/>
    <w:rsid w:val="002652A0"/>
    <w:rsid w:val="00265BF5"/>
    <w:rsid w:val="002662CB"/>
    <w:rsid w:val="00272706"/>
    <w:rsid w:val="00273EAE"/>
    <w:rsid w:val="002749A5"/>
    <w:rsid w:val="002774A7"/>
    <w:rsid w:val="00282BE9"/>
    <w:rsid w:val="00284A3E"/>
    <w:rsid w:val="0028603B"/>
    <w:rsid w:val="0028643D"/>
    <w:rsid w:val="0028687D"/>
    <w:rsid w:val="00292D53"/>
    <w:rsid w:val="00293C4E"/>
    <w:rsid w:val="00295D59"/>
    <w:rsid w:val="00296DA7"/>
    <w:rsid w:val="00296FED"/>
    <w:rsid w:val="00297CDA"/>
    <w:rsid w:val="002A14AB"/>
    <w:rsid w:val="002A2FDB"/>
    <w:rsid w:val="002A38B4"/>
    <w:rsid w:val="002A4753"/>
    <w:rsid w:val="002A4854"/>
    <w:rsid w:val="002A4B08"/>
    <w:rsid w:val="002A5F11"/>
    <w:rsid w:val="002B0B8A"/>
    <w:rsid w:val="002B104B"/>
    <w:rsid w:val="002B1C1F"/>
    <w:rsid w:val="002B1E0C"/>
    <w:rsid w:val="002B37CB"/>
    <w:rsid w:val="002B432F"/>
    <w:rsid w:val="002B4B8F"/>
    <w:rsid w:val="002B519A"/>
    <w:rsid w:val="002B575C"/>
    <w:rsid w:val="002B5D17"/>
    <w:rsid w:val="002B63C2"/>
    <w:rsid w:val="002B6705"/>
    <w:rsid w:val="002B6CCE"/>
    <w:rsid w:val="002C0DE9"/>
    <w:rsid w:val="002C1D35"/>
    <w:rsid w:val="002C27C1"/>
    <w:rsid w:val="002C399A"/>
    <w:rsid w:val="002C626C"/>
    <w:rsid w:val="002C70A0"/>
    <w:rsid w:val="002D0FDF"/>
    <w:rsid w:val="002D368D"/>
    <w:rsid w:val="002D375A"/>
    <w:rsid w:val="002D51CF"/>
    <w:rsid w:val="002E20D3"/>
    <w:rsid w:val="002E2681"/>
    <w:rsid w:val="002E5D2A"/>
    <w:rsid w:val="002E648A"/>
    <w:rsid w:val="002E64AB"/>
    <w:rsid w:val="002E7030"/>
    <w:rsid w:val="002F244A"/>
    <w:rsid w:val="002F3811"/>
    <w:rsid w:val="002F3F10"/>
    <w:rsid w:val="002F400E"/>
    <w:rsid w:val="002F440D"/>
    <w:rsid w:val="002F4DBD"/>
    <w:rsid w:val="002F5697"/>
    <w:rsid w:val="002F5883"/>
    <w:rsid w:val="002F5A76"/>
    <w:rsid w:val="003007AE"/>
    <w:rsid w:val="0030085B"/>
    <w:rsid w:val="00301017"/>
    <w:rsid w:val="00303FE3"/>
    <w:rsid w:val="003055B8"/>
    <w:rsid w:val="0030786C"/>
    <w:rsid w:val="0031031A"/>
    <w:rsid w:val="0031081C"/>
    <w:rsid w:val="003129DB"/>
    <w:rsid w:val="00313E58"/>
    <w:rsid w:val="00314574"/>
    <w:rsid w:val="003149C0"/>
    <w:rsid w:val="00314D4E"/>
    <w:rsid w:val="00315196"/>
    <w:rsid w:val="00315498"/>
    <w:rsid w:val="00315638"/>
    <w:rsid w:val="0031566A"/>
    <w:rsid w:val="003200FC"/>
    <w:rsid w:val="00321103"/>
    <w:rsid w:val="00322C4E"/>
    <w:rsid w:val="00326D9B"/>
    <w:rsid w:val="003275AF"/>
    <w:rsid w:val="0032771F"/>
    <w:rsid w:val="00332265"/>
    <w:rsid w:val="003338A9"/>
    <w:rsid w:val="003344D1"/>
    <w:rsid w:val="00335650"/>
    <w:rsid w:val="00335D35"/>
    <w:rsid w:val="003366C9"/>
    <w:rsid w:val="00340DD5"/>
    <w:rsid w:val="00342656"/>
    <w:rsid w:val="00342BF7"/>
    <w:rsid w:val="00344451"/>
    <w:rsid w:val="00344A19"/>
    <w:rsid w:val="00345040"/>
    <w:rsid w:val="003472DC"/>
    <w:rsid w:val="0035404D"/>
    <w:rsid w:val="00355DC5"/>
    <w:rsid w:val="00356057"/>
    <w:rsid w:val="0035620E"/>
    <w:rsid w:val="00361750"/>
    <w:rsid w:val="003619D0"/>
    <w:rsid w:val="00361C1B"/>
    <w:rsid w:val="003625C7"/>
    <w:rsid w:val="00366D74"/>
    <w:rsid w:val="00367144"/>
    <w:rsid w:val="00367BC1"/>
    <w:rsid w:val="00367DC9"/>
    <w:rsid w:val="003700C3"/>
    <w:rsid w:val="003702EA"/>
    <w:rsid w:val="00371958"/>
    <w:rsid w:val="00371F52"/>
    <w:rsid w:val="003755F2"/>
    <w:rsid w:val="00375A6E"/>
    <w:rsid w:val="0038071B"/>
    <w:rsid w:val="0038365C"/>
    <w:rsid w:val="00383BAB"/>
    <w:rsid w:val="003840CB"/>
    <w:rsid w:val="0038429A"/>
    <w:rsid w:val="003861EE"/>
    <w:rsid w:val="00387B34"/>
    <w:rsid w:val="00387DD8"/>
    <w:rsid w:val="00392AC2"/>
    <w:rsid w:val="0039306D"/>
    <w:rsid w:val="00393BDE"/>
    <w:rsid w:val="00396FD0"/>
    <w:rsid w:val="0039764B"/>
    <w:rsid w:val="00397F72"/>
    <w:rsid w:val="003A1193"/>
    <w:rsid w:val="003A1A7A"/>
    <w:rsid w:val="003A3367"/>
    <w:rsid w:val="003A4A1B"/>
    <w:rsid w:val="003A4C34"/>
    <w:rsid w:val="003A5A97"/>
    <w:rsid w:val="003A5B25"/>
    <w:rsid w:val="003A6893"/>
    <w:rsid w:val="003B0257"/>
    <w:rsid w:val="003B2673"/>
    <w:rsid w:val="003B2863"/>
    <w:rsid w:val="003B2B4F"/>
    <w:rsid w:val="003B3F90"/>
    <w:rsid w:val="003B425D"/>
    <w:rsid w:val="003B48A1"/>
    <w:rsid w:val="003B5ABD"/>
    <w:rsid w:val="003B606C"/>
    <w:rsid w:val="003C0C31"/>
    <w:rsid w:val="003C1D18"/>
    <w:rsid w:val="003C2F42"/>
    <w:rsid w:val="003C48DB"/>
    <w:rsid w:val="003C4AA0"/>
    <w:rsid w:val="003C60C5"/>
    <w:rsid w:val="003C6E72"/>
    <w:rsid w:val="003C7B5B"/>
    <w:rsid w:val="003D0590"/>
    <w:rsid w:val="003D1828"/>
    <w:rsid w:val="003D1FDC"/>
    <w:rsid w:val="003D2422"/>
    <w:rsid w:val="003D279F"/>
    <w:rsid w:val="003D2E72"/>
    <w:rsid w:val="003D4F77"/>
    <w:rsid w:val="003D537B"/>
    <w:rsid w:val="003D62FF"/>
    <w:rsid w:val="003D7BB2"/>
    <w:rsid w:val="003E01A4"/>
    <w:rsid w:val="003E400B"/>
    <w:rsid w:val="003E4F3B"/>
    <w:rsid w:val="003E5B3E"/>
    <w:rsid w:val="003E6B3C"/>
    <w:rsid w:val="003E708D"/>
    <w:rsid w:val="003F01C1"/>
    <w:rsid w:val="003F2BA4"/>
    <w:rsid w:val="003F2D80"/>
    <w:rsid w:val="003F4156"/>
    <w:rsid w:val="003F4172"/>
    <w:rsid w:val="0040003F"/>
    <w:rsid w:val="00402A30"/>
    <w:rsid w:val="00402D85"/>
    <w:rsid w:val="00403573"/>
    <w:rsid w:val="00404350"/>
    <w:rsid w:val="00405051"/>
    <w:rsid w:val="00405A32"/>
    <w:rsid w:val="00407BA9"/>
    <w:rsid w:val="00410EC7"/>
    <w:rsid w:val="00410F6B"/>
    <w:rsid w:val="00413F9F"/>
    <w:rsid w:val="00414476"/>
    <w:rsid w:val="00415D8B"/>
    <w:rsid w:val="0041680B"/>
    <w:rsid w:val="00420B9F"/>
    <w:rsid w:val="00422049"/>
    <w:rsid w:val="004220F9"/>
    <w:rsid w:val="004228C5"/>
    <w:rsid w:val="00426060"/>
    <w:rsid w:val="004312DB"/>
    <w:rsid w:val="004319F8"/>
    <w:rsid w:val="004321A7"/>
    <w:rsid w:val="004340C5"/>
    <w:rsid w:val="00440192"/>
    <w:rsid w:val="00441626"/>
    <w:rsid w:val="00442148"/>
    <w:rsid w:val="0044363C"/>
    <w:rsid w:val="004439F1"/>
    <w:rsid w:val="004443A7"/>
    <w:rsid w:val="004445FB"/>
    <w:rsid w:val="00445FD3"/>
    <w:rsid w:val="00446373"/>
    <w:rsid w:val="004464EB"/>
    <w:rsid w:val="00446E9D"/>
    <w:rsid w:val="004475FF"/>
    <w:rsid w:val="00450DFE"/>
    <w:rsid w:val="00452023"/>
    <w:rsid w:val="0045202F"/>
    <w:rsid w:val="0045354D"/>
    <w:rsid w:val="00453CC6"/>
    <w:rsid w:val="0045492C"/>
    <w:rsid w:val="00455D45"/>
    <w:rsid w:val="00455E5D"/>
    <w:rsid w:val="00456958"/>
    <w:rsid w:val="0045698B"/>
    <w:rsid w:val="004569DE"/>
    <w:rsid w:val="00457644"/>
    <w:rsid w:val="004576FA"/>
    <w:rsid w:val="00462420"/>
    <w:rsid w:val="00463047"/>
    <w:rsid w:val="0046330F"/>
    <w:rsid w:val="00463787"/>
    <w:rsid w:val="0046392B"/>
    <w:rsid w:val="00464595"/>
    <w:rsid w:val="0046687A"/>
    <w:rsid w:val="00471EAE"/>
    <w:rsid w:val="00474DAF"/>
    <w:rsid w:val="0047653B"/>
    <w:rsid w:val="00477098"/>
    <w:rsid w:val="004807C1"/>
    <w:rsid w:val="00480EDD"/>
    <w:rsid w:val="0048359C"/>
    <w:rsid w:val="004848A0"/>
    <w:rsid w:val="00485960"/>
    <w:rsid w:val="004862E8"/>
    <w:rsid w:val="0048651D"/>
    <w:rsid w:val="00486784"/>
    <w:rsid w:val="004867E2"/>
    <w:rsid w:val="004876FF"/>
    <w:rsid w:val="004877F2"/>
    <w:rsid w:val="00490699"/>
    <w:rsid w:val="0049075B"/>
    <w:rsid w:val="00490E2A"/>
    <w:rsid w:val="00491918"/>
    <w:rsid w:val="00493B04"/>
    <w:rsid w:val="004943BE"/>
    <w:rsid w:val="00495C26"/>
    <w:rsid w:val="00495CBC"/>
    <w:rsid w:val="004966E2"/>
    <w:rsid w:val="004971AD"/>
    <w:rsid w:val="004A096E"/>
    <w:rsid w:val="004A0DA1"/>
    <w:rsid w:val="004A1A2F"/>
    <w:rsid w:val="004A266B"/>
    <w:rsid w:val="004A3243"/>
    <w:rsid w:val="004A6597"/>
    <w:rsid w:val="004A705C"/>
    <w:rsid w:val="004B2F18"/>
    <w:rsid w:val="004B3DDB"/>
    <w:rsid w:val="004B449A"/>
    <w:rsid w:val="004B44FD"/>
    <w:rsid w:val="004B5041"/>
    <w:rsid w:val="004B5CFC"/>
    <w:rsid w:val="004B6CDE"/>
    <w:rsid w:val="004B6D83"/>
    <w:rsid w:val="004C06A0"/>
    <w:rsid w:val="004C080B"/>
    <w:rsid w:val="004C0827"/>
    <w:rsid w:val="004C19B6"/>
    <w:rsid w:val="004C1D29"/>
    <w:rsid w:val="004C46EA"/>
    <w:rsid w:val="004C4AED"/>
    <w:rsid w:val="004C4E1A"/>
    <w:rsid w:val="004C6D0C"/>
    <w:rsid w:val="004C7221"/>
    <w:rsid w:val="004D01C6"/>
    <w:rsid w:val="004D04B1"/>
    <w:rsid w:val="004D0BC9"/>
    <w:rsid w:val="004D36AA"/>
    <w:rsid w:val="004D3F48"/>
    <w:rsid w:val="004D5A8A"/>
    <w:rsid w:val="004D6301"/>
    <w:rsid w:val="004D6E27"/>
    <w:rsid w:val="004D7A85"/>
    <w:rsid w:val="004E2528"/>
    <w:rsid w:val="004E26BD"/>
    <w:rsid w:val="004E2ADC"/>
    <w:rsid w:val="004E4AA1"/>
    <w:rsid w:val="004E5769"/>
    <w:rsid w:val="004E6255"/>
    <w:rsid w:val="004F118C"/>
    <w:rsid w:val="004F1CBE"/>
    <w:rsid w:val="004F1D02"/>
    <w:rsid w:val="004F2353"/>
    <w:rsid w:val="004F2679"/>
    <w:rsid w:val="004F5196"/>
    <w:rsid w:val="0050179D"/>
    <w:rsid w:val="005018CE"/>
    <w:rsid w:val="005020FD"/>
    <w:rsid w:val="00502B0F"/>
    <w:rsid w:val="00502C91"/>
    <w:rsid w:val="0050683E"/>
    <w:rsid w:val="00506DAE"/>
    <w:rsid w:val="0050752E"/>
    <w:rsid w:val="00507EE0"/>
    <w:rsid w:val="00510333"/>
    <w:rsid w:val="00510689"/>
    <w:rsid w:val="00510A49"/>
    <w:rsid w:val="00512E88"/>
    <w:rsid w:val="005134E4"/>
    <w:rsid w:val="00514852"/>
    <w:rsid w:val="00514A80"/>
    <w:rsid w:val="005152B5"/>
    <w:rsid w:val="00517379"/>
    <w:rsid w:val="00521319"/>
    <w:rsid w:val="00523C28"/>
    <w:rsid w:val="005258AC"/>
    <w:rsid w:val="00527DE1"/>
    <w:rsid w:val="00530E4D"/>
    <w:rsid w:val="00533C39"/>
    <w:rsid w:val="005341D8"/>
    <w:rsid w:val="0053476A"/>
    <w:rsid w:val="00536AF2"/>
    <w:rsid w:val="00537C50"/>
    <w:rsid w:val="005427C4"/>
    <w:rsid w:val="00545310"/>
    <w:rsid w:val="00546DE9"/>
    <w:rsid w:val="005470D5"/>
    <w:rsid w:val="00547388"/>
    <w:rsid w:val="00547D9A"/>
    <w:rsid w:val="00550594"/>
    <w:rsid w:val="00550AEF"/>
    <w:rsid w:val="005516EB"/>
    <w:rsid w:val="00552FEB"/>
    <w:rsid w:val="005533A4"/>
    <w:rsid w:val="00554638"/>
    <w:rsid w:val="00554EE9"/>
    <w:rsid w:val="00555109"/>
    <w:rsid w:val="00555B6D"/>
    <w:rsid w:val="00555C52"/>
    <w:rsid w:val="00557473"/>
    <w:rsid w:val="0056130F"/>
    <w:rsid w:val="005623D6"/>
    <w:rsid w:val="00562AFC"/>
    <w:rsid w:val="005643E9"/>
    <w:rsid w:val="00564977"/>
    <w:rsid w:val="00564EE0"/>
    <w:rsid w:val="0056696F"/>
    <w:rsid w:val="005677ED"/>
    <w:rsid w:val="00567D37"/>
    <w:rsid w:val="0057113E"/>
    <w:rsid w:val="00571337"/>
    <w:rsid w:val="00571746"/>
    <w:rsid w:val="00571902"/>
    <w:rsid w:val="00571CB5"/>
    <w:rsid w:val="005721E2"/>
    <w:rsid w:val="0057234A"/>
    <w:rsid w:val="005734BC"/>
    <w:rsid w:val="00574B54"/>
    <w:rsid w:val="00576590"/>
    <w:rsid w:val="00581C55"/>
    <w:rsid w:val="00583699"/>
    <w:rsid w:val="00584D42"/>
    <w:rsid w:val="005870EC"/>
    <w:rsid w:val="005906E9"/>
    <w:rsid w:val="00592B50"/>
    <w:rsid w:val="005942FC"/>
    <w:rsid w:val="0059558E"/>
    <w:rsid w:val="005A03D9"/>
    <w:rsid w:val="005A07D3"/>
    <w:rsid w:val="005A34CF"/>
    <w:rsid w:val="005A4AA6"/>
    <w:rsid w:val="005B04A8"/>
    <w:rsid w:val="005B1A05"/>
    <w:rsid w:val="005B3D04"/>
    <w:rsid w:val="005B4729"/>
    <w:rsid w:val="005B5857"/>
    <w:rsid w:val="005B5D97"/>
    <w:rsid w:val="005B6D8A"/>
    <w:rsid w:val="005B7110"/>
    <w:rsid w:val="005B731B"/>
    <w:rsid w:val="005C185D"/>
    <w:rsid w:val="005C2DD7"/>
    <w:rsid w:val="005C346B"/>
    <w:rsid w:val="005C4CFF"/>
    <w:rsid w:val="005C6699"/>
    <w:rsid w:val="005C68D3"/>
    <w:rsid w:val="005C6AA9"/>
    <w:rsid w:val="005C7AD9"/>
    <w:rsid w:val="005C7C85"/>
    <w:rsid w:val="005D0840"/>
    <w:rsid w:val="005D0F12"/>
    <w:rsid w:val="005D0F30"/>
    <w:rsid w:val="005D18AD"/>
    <w:rsid w:val="005D304E"/>
    <w:rsid w:val="005D3E16"/>
    <w:rsid w:val="005D40FB"/>
    <w:rsid w:val="005D4298"/>
    <w:rsid w:val="005D7B4D"/>
    <w:rsid w:val="005E1071"/>
    <w:rsid w:val="005E3A9B"/>
    <w:rsid w:val="005E4E15"/>
    <w:rsid w:val="005E4F74"/>
    <w:rsid w:val="005E5902"/>
    <w:rsid w:val="005E5B58"/>
    <w:rsid w:val="005E63C1"/>
    <w:rsid w:val="005F002B"/>
    <w:rsid w:val="005F1E56"/>
    <w:rsid w:val="005F2706"/>
    <w:rsid w:val="005F2E88"/>
    <w:rsid w:val="005F3346"/>
    <w:rsid w:val="005F4035"/>
    <w:rsid w:val="005F673E"/>
    <w:rsid w:val="005F6A8F"/>
    <w:rsid w:val="005F6E69"/>
    <w:rsid w:val="005F7872"/>
    <w:rsid w:val="005F7D56"/>
    <w:rsid w:val="006015FD"/>
    <w:rsid w:val="00601CFD"/>
    <w:rsid w:val="006028F4"/>
    <w:rsid w:val="00603583"/>
    <w:rsid w:val="00603706"/>
    <w:rsid w:val="00604CD1"/>
    <w:rsid w:val="006075F1"/>
    <w:rsid w:val="00607669"/>
    <w:rsid w:val="00607FF1"/>
    <w:rsid w:val="00612F97"/>
    <w:rsid w:val="00613C5A"/>
    <w:rsid w:val="00614D6E"/>
    <w:rsid w:val="0061564E"/>
    <w:rsid w:val="006159EE"/>
    <w:rsid w:val="0061602E"/>
    <w:rsid w:val="00616802"/>
    <w:rsid w:val="00621477"/>
    <w:rsid w:val="00622B38"/>
    <w:rsid w:val="0062310A"/>
    <w:rsid w:val="00626210"/>
    <w:rsid w:val="006273F3"/>
    <w:rsid w:val="00631D6B"/>
    <w:rsid w:val="00632C2A"/>
    <w:rsid w:val="006332BA"/>
    <w:rsid w:val="006343C1"/>
    <w:rsid w:val="0063479F"/>
    <w:rsid w:val="006364A1"/>
    <w:rsid w:val="00637BFD"/>
    <w:rsid w:val="006430DE"/>
    <w:rsid w:val="00644ACE"/>
    <w:rsid w:val="006451F1"/>
    <w:rsid w:val="00645DAD"/>
    <w:rsid w:val="006471CC"/>
    <w:rsid w:val="00647558"/>
    <w:rsid w:val="0065079F"/>
    <w:rsid w:val="006531F6"/>
    <w:rsid w:val="006537EF"/>
    <w:rsid w:val="00653F64"/>
    <w:rsid w:val="0065495E"/>
    <w:rsid w:val="00654B49"/>
    <w:rsid w:val="00656300"/>
    <w:rsid w:val="00657CE7"/>
    <w:rsid w:val="00661017"/>
    <w:rsid w:val="00661F10"/>
    <w:rsid w:val="00662B18"/>
    <w:rsid w:val="0066345C"/>
    <w:rsid w:val="00663769"/>
    <w:rsid w:val="00665058"/>
    <w:rsid w:val="00666C42"/>
    <w:rsid w:val="006677F2"/>
    <w:rsid w:val="00667CD5"/>
    <w:rsid w:val="00667EDF"/>
    <w:rsid w:val="00672066"/>
    <w:rsid w:val="006724F3"/>
    <w:rsid w:val="0067276E"/>
    <w:rsid w:val="00672924"/>
    <w:rsid w:val="00672A7D"/>
    <w:rsid w:val="00673587"/>
    <w:rsid w:val="00673C83"/>
    <w:rsid w:val="00674107"/>
    <w:rsid w:val="00674BD3"/>
    <w:rsid w:val="00674E42"/>
    <w:rsid w:val="00675158"/>
    <w:rsid w:val="00675814"/>
    <w:rsid w:val="006762B4"/>
    <w:rsid w:val="006766C6"/>
    <w:rsid w:val="00680508"/>
    <w:rsid w:val="00682112"/>
    <w:rsid w:val="00683062"/>
    <w:rsid w:val="006832C3"/>
    <w:rsid w:val="00683AD4"/>
    <w:rsid w:val="0068650B"/>
    <w:rsid w:val="00686612"/>
    <w:rsid w:val="00690044"/>
    <w:rsid w:val="00690842"/>
    <w:rsid w:val="006914F7"/>
    <w:rsid w:val="0069334D"/>
    <w:rsid w:val="006A0FCB"/>
    <w:rsid w:val="006A1F24"/>
    <w:rsid w:val="006A2605"/>
    <w:rsid w:val="006A3971"/>
    <w:rsid w:val="006A48F1"/>
    <w:rsid w:val="006A7430"/>
    <w:rsid w:val="006A7AB6"/>
    <w:rsid w:val="006B0DD1"/>
    <w:rsid w:val="006B3FC7"/>
    <w:rsid w:val="006B59B0"/>
    <w:rsid w:val="006B647E"/>
    <w:rsid w:val="006C2A8E"/>
    <w:rsid w:val="006C2D33"/>
    <w:rsid w:val="006C3CFF"/>
    <w:rsid w:val="006C42F0"/>
    <w:rsid w:val="006C67FD"/>
    <w:rsid w:val="006D0788"/>
    <w:rsid w:val="006D1339"/>
    <w:rsid w:val="006D20E7"/>
    <w:rsid w:val="006D2E24"/>
    <w:rsid w:val="006D3C7D"/>
    <w:rsid w:val="006D3E2B"/>
    <w:rsid w:val="006D5CCD"/>
    <w:rsid w:val="006D6D77"/>
    <w:rsid w:val="006E281A"/>
    <w:rsid w:val="006E5BCB"/>
    <w:rsid w:val="006E7BFB"/>
    <w:rsid w:val="006E7C88"/>
    <w:rsid w:val="006F03FC"/>
    <w:rsid w:val="006F1C4A"/>
    <w:rsid w:val="006F2363"/>
    <w:rsid w:val="006F2BAC"/>
    <w:rsid w:val="006F2E00"/>
    <w:rsid w:val="006F3050"/>
    <w:rsid w:val="006F5836"/>
    <w:rsid w:val="006F63A5"/>
    <w:rsid w:val="006F6904"/>
    <w:rsid w:val="00700193"/>
    <w:rsid w:val="0070068C"/>
    <w:rsid w:val="00700F77"/>
    <w:rsid w:val="00701192"/>
    <w:rsid w:val="00701E56"/>
    <w:rsid w:val="00701ECD"/>
    <w:rsid w:val="0070276E"/>
    <w:rsid w:val="00704897"/>
    <w:rsid w:val="00706B94"/>
    <w:rsid w:val="00706CC0"/>
    <w:rsid w:val="0071099B"/>
    <w:rsid w:val="00711A36"/>
    <w:rsid w:val="00711D53"/>
    <w:rsid w:val="00711D8A"/>
    <w:rsid w:val="007127AD"/>
    <w:rsid w:val="0071290E"/>
    <w:rsid w:val="007135CF"/>
    <w:rsid w:val="00714641"/>
    <w:rsid w:val="00714678"/>
    <w:rsid w:val="0071546A"/>
    <w:rsid w:val="0071555A"/>
    <w:rsid w:val="00716124"/>
    <w:rsid w:val="007172AD"/>
    <w:rsid w:val="00717B91"/>
    <w:rsid w:val="00717C66"/>
    <w:rsid w:val="00717F16"/>
    <w:rsid w:val="00721219"/>
    <w:rsid w:val="0072135C"/>
    <w:rsid w:val="00722F2B"/>
    <w:rsid w:val="00724360"/>
    <w:rsid w:val="00724599"/>
    <w:rsid w:val="00724648"/>
    <w:rsid w:val="00727E9C"/>
    <w:rsid w:val="00731427"/>
    <w:rsid w:val="007322B5"/>
    <w:rsid w:val="00732C54"/>
    <w:rsid w:val="007339A4"/>
    <w:rsid w:val="00734943"/>
    <w:rsid w:val="00735328"/>
    <w:rsid w:val="0073685B"/>
    <w:rsid w:val="00737B22"/>
    <w:rsid w:val="00740048"/>
    <w:rsid w:val="00740ECA"/>
    <w:rsid w:val="0074179C"/>
    <w:rsid w:val="00741DFE"/>
    <w:rsid w:val="00744302"/>
    <w:rsid w:val="007454C0"/>
    <w:rsid w:val="00745F87"/>
    <w:rsid w:val="00746DB5"/>
    <w:rsid w:val="00747446"/>
    <w:rsid w:val="00747785"/>
    <w:rsid w:val="00747EF8"/>
    <w:rsid w:val="007534E5"/>
    <w:rsid w:val="00756830"/>
    <w:rsid w:val="00760D9A"/>
    <w:rsid w:val="007613B6"/>
    <w:rsid w:val="00761D4C"/>
    <w:rsid w:val="00762713"/>
    <w:rsid w:val="00764424"/>
    <w:rsid w:val="007668CD"/>
    <w:rsid w:val="0077167F"/>
    <w:rsid w:val="00771733"/>
    <w:rsid w:val="00773E95"/>
    <w:rsid w:val="00775235"/>
    <w:rsid w:val="00775A84"/>
    <w:rsid w:val="00775C5B"/>
    <w:rsid w:val="00780700"/>
    <w:rsid w:val="007815A6"/>
    <w:rsid w:val="00781655"/>
    <w:rsid w:val="00781B78"/>
    <w:rsid w:val="00782A7A"/>
    <w:rsid w:val="0078362B"/>
    <w:rsid w:val="007865D9"/>
    <w:rsid w:val="00790D8A"/>
    <w:rsid w:val="007A1E85"/>
    <w:rsid w:val="007A2E64"/>
    <w:rsid w:val="007A3EB1"/>
    <w:rsid w:val="007A4549"/>
    <w:rsid w:val="007A5475"/>
    <w:rsid w:val="007A6AD1"/>
    <w:rsid w:val="007B0593"/>
    <w:rsid w:val="007B0BFD"/>
    <w:rsid w:val="007B1D80"/>
    <w:rsid w:val="007B251D"/>
    <w:rsid w:val="007B6CB0"/>
    <w:rsid w:val="007B6F4C"/>
    <w:rsid w:val="007B7504"/>
    <w:rsid w:val="007B77D1"/>
    <w:rsid w:val="007C2830"/>
    <w:rsid w:val="007C2AA8"/>
    <w:rsid w:val="007C2D01"/>
    <w:rsid w:val="007C3814"/>
    <w:rsid w:val="007C73D8"/>
    <w:rsid w:val="007C7434"/>
    <w:rsid w:val="007D039D"/>
    <w:rsid w:val="007D0B38"/>
    <w:rsid w:val="007D13F8"/>
    <w:rsid w:val="007D17F7"/>
    <w:rsid w:val="007D1804"/>
    <w:rsid w:val="007D3621"/>
    <w:rsid w:val="007D36E7"/>
    <w:rsid w:val="007D3A6C"/>
    <w:rsid w:val="007D3BBC"/>
    <w:rsid w:val="007D49B8"/>
    <w:rsid w:val="007D5DDF"/>
    <w:rsid w:val="007D6AAA"/>
    <w:rsid w:val="007E0CE1"/>
    <w:rsid w:val="007E1A14"/>
    <w:rsid w:val="007E2053"/>
    <w:rsid w:val="007E2D95"/>
    <w:rsid w:val="007E55D5"/>
    <w:rsid w:val="007E6517"/>
    <w:rsid w:val="007E76AD"/>
    <w:rsid w:val="007E7FC4"/>
    <w:rsid w:val="007F1470"/>
    <w:rsid w:val="007F206E"/>
    <w:rsid w:val="007F55B4"/>
    <w:rsid w:val="0080000E"/>
    <w:rsid w:val="00801587"/>
    <w:rsid w:val="00801B51"/>
    <w:rsid w:val="008025C1"/>
    <w:rsid w:val="00802C64"/>
    <w:rsid w:val="00803F02"/>
    <w:rsid w:val="00805142"/>
    <w:rsid w:val="00805298"/>
    <w:rsid w:val="00805C70"/>
    <w:rsid w:val="00805EA5"/>
    <w:rsid w:val="008065C3"/>
    <w:rsid w:val="00807A8B"/>
    <w:rsid w:val="00807AEF"/>
    <w:rsid w:val="00812149"/>
    <w:rsid w:val="00812A07"/>
    <w:rsid w:val="0081392E"/>
    <w:rsid w:val="008141F5"/>
    <w:rsid w:val="008166EF"/>
    <w:rsid w:val="00816BDE"/>
    <w:rsid w:val="00817C10"/>
    <w:rsid w:val="00820063"/>
    <w:rsid w:val="00820087"/>
    <w:rsid w:val="0082043D"/>
    <w:rsid w:val="008205CD"/>
    <w:rsid w:val="00822721"/>
    <w:rsid w:val="008235A8"/>
    <w:rsid w:val="008264EB"/>
    <w:rsid w:val="00826938"/>
    <w:rsid w:val="00831537"/>
    <w:rsid w:val="00831A7B"/>
    <w:rsid w:val="0083287E"/>
    <w:rsid w:val="00836A2E"/>
    <w:rsid w:val="008401FC"/>
    <w:rsid w:val="00840CA2"/>
    <w:rsid w:val="0084150D"/>
    <w:rsid w:val="008426FA"/>
    <w:rsid w:val="00843161"/>
    <w:rsid w:val="00843893"/>
    <w:rsid w:val="00843A30"/>
    <w:rsid w:val="00845AC8"/>
    <w:rsid w:val="008502A2"/>
    <w:rsid w:val="0085050E"/>
    <w:rsid w:val="0085208C"/>
    <w:rsid w:val="00852DF1"/>
    <w:rsid w:val="008542FA"/>
    <w:rsid w:val="00854477"/>
    <w:rsid w:val="00856A3D"/>
    <w:rsid w:val="00856E9A"/>
    <w:rsid w:val="008629F0"/>
    <w:rsid w:val="008646AF"/>
    <w:rsid w:val="008656A9"/>
    <w:rsid w:val="00871D18"/>
    <w:rsid w:val="00871DF2"/>
    <w:rsid w:val="00872793"/>
    <w:rsid w:val="00872E88"/>
    <w:rsid w:val="00873724"/>
    <w:rsid w:val="00875E05"/>
    <w:rsid w:val="0087778D"/>
    <w:rsid w:val="00882248"/>
    <w:rsid w:val="00882728"/>
    <w:rsid w:val="00882874"/>
    <w:rsid w:val="008829A5"/>
    <w:rsid w:val="00882C85"/>
    <w:rsid w:val="008835CB"/>
    <w:rsid w:val="00883787"/>
    <w:rsid w:val="00884D0C"/>
    <w:rsid w:val="00884EF8"/>
    <w:rsid w:val="00887551"/>
    <w:rsid w:val="00890F3A"/>
    <w:rsid w:val="0089398E"/>
    <w:rsid w:val="00893DBB"/>
    <w:rsid w:val="0089534D"/>
    <w:rsid w:val="00895F04"/>
    <w:rsid w:val="008963A5"/>
    <w:rsid w:val="00897D22"/>
    <w:rsid w:val="008A4A59"/>
    <w:rsid w:val="008A69A1"/>
    <w:rsid w:val="008A79DE"/>
    <w:rsid w:val="008B11AE"/>
    <w:rsid w:val="008B20A8"/>
    <w:rsid w:val="008B2B56"/>
    <w:rsid w:val="008B5D3C"/>
    <w:rsid w:val="008B7D7E"/>
    <w:rsid w:val="008C062B"/>
    <w:rsid w:val="008C0896"/>
    <w:rsid w:val="008C0A32"/>
    <w:rsid w:val="008C11C0"/>
    <w:rsid w:val="008C17C2"/>
    <w:rsid w:val="008C1959"/>
    <w:rsid w:val="008C1DDD"/>
    <w:rsid w:val="008C2D23"/>
    <w:rsid w:val="008C314C"/>
    <w:rsid w:val="008C31D0"/>
    <w:rsid w:val="008C4BEC"/>
    <w:rsid w:val="008C4FAD"/>
    <w:rsid w:val="008C72F9"/>
    <w:rsid w:val="008C7ECB"/>
    <w:rsid w:val="008D0440"/>
    <w:rsid w:val="008D0C54"/>
    <w:rsid w:val="008D12DD"/>
    <w:rsid w:val="008D13AA"/>
    <w:rsid w:val="008D27BC"/>
    <w:rsid w:val="008D2EF7"/>
    <w:rsid w:val="008D7967"/>
    <w:rsid w:val="008E04D2"/>
    <w:rsid w:val="008E08E0"/>
    <w:rsid w:val="008E1A8A"/>
    <w:rsid w:val="008E1B9E"/>
    <w:rsid w:val="008E1E13"/>
    <w:rsid w:val="008E38E0"/>
    <w:rsid w:val="008E3C6B"/>
    <w:rsid w:val="008E3E4B"/>
    <w:rsid w:val="008E4B7E"/>
    <w:rsid w:val="008E524C"/>
    <w:rsid w:val="008E556D"/>
    <w:rsid w:val="008E600C"/>
    <w:rsid w:val="008E6BA8"/>
    <w:rsid w:val="008F19BC"/>
    <w:rsid w:val="008F1B70"/>
    <w:rsid w:val="008F2A23"/>
    <w:rsid w:val="008F2D7D"/>
    <w:rsid w:val="008F3147"/>
    <w:rsid w:val="008F3E35"/>
    <w:rsid w:val="008F48EB"/>
    <w:rsid w:val="008F4F0B"/>
    <w:rsid w:val="008F55B0"/>
    <w:rsid w:val="008F6DAA"/>
    <w:rsid w:val="008F7636"/>
    <w:rsid w:val="0090166F"/>
    <w:rsid w:val="00902F6E"/>
    <w:rsid w:val="0090309D"/>
    <w:rsid w:val="009037C1"/>
    <w:rsid w:val="00903E8F"/>
    <w:rsid w:val="00905285"/>
    <w:rsid w:val="00905CD4"/>
    <w:rsid w:val="009062A5"/>
    <w:rsid w:val="00906978"/>
    <w:rsid w:val="0090697B"/>
    <w:rsid w:val="00907C5D"/>
    <w:rsid w:val="00910519"/>
    <w:rsid w:val="00911272"/>
    <w:rsid w:val="00912262"/>
    <w:rsid w:val="009125AD"/>
    <w:rsid w:val="009145C7"/>
    <w:rsid w:val="00915120"/>
    <w:rsid w:val="0091540A"/>
    <w:rsid w:val="00915B60"/>
    <w:rsid w:val="009218DB"/>
    <w:rsid w:val="00924E5D"/>
    <w:rsid w:val="00926149"/>
    <w:rsid w:val="00926FE2"/>
    <w:rsid w:val="00927B58"/>
    <w:rsid w:val="00930F2B"/>
    <w:rsid w:val="00931B79"/>
    <w:rsid w:val="009323DD"/>
    <w:rsid w:val="00932EF0"/>
    <w:rsid w:val="00934DDE"/>
    <w:rsid w:val="00936EC6"/>
    <w:rsid w:val="009405CC"/>
    <w:rsid w:val="00940A99"/>
    <w:rsid w:val="00940F99"/>
    <w:rsid w:val="0094174A"/>
    <w:rsid w:val="00942EAA"/>
    <w:rsid w:val="00945149"/>
    <w:rsid w:val="00945183"/>
    <w:rsid w:val="0094545B"/>
    <w:rsid w:val="00946B1B"/>
    <w:rsid w:val="0095012C"/>
    <w:rsid w:val="009517F4"/>
    <w:rsid w:val="009536CA"/>
    <w:rsid w:val="0095465B"/>
    <w:rsid w:val="00954999"/>
    <w:rsid w:val="0095541F"/>
    <w:rsid w:val="00956449"/>
    <w:rsid w:val="00960BA0"/>
    <w:rsid w:val="00964312"/>
    <w:rsid w:val="00964591"/>
    <w:rsid w:val="00964AF2"/>
    <w:rsid w:val="00964E53"/>
    <w:rsid w:val="009658D3"/>
    <w:rsid w:val="00967130"/>
    <w:rsid w:val="00967170"/>
    <w:rsid w:val="00970FEF"/>
    <w:rsid w:val="00972469"/>
    <w:rsid w:val="0097400E"/>
    <w:rsid w:val="00974327"/>
    <w:rsid w:val="00975585"/>
    <w:rsid w:val="00977FDB"/>
    <w:rsid w:val="009805DD"/>
    <w:rsid w:val="00981085"/>
    <w:rsid w:val="00981B27"/>
    <w:rsid w:val="00982B58"/>
    <w:rsid w:val="009830E0"/>
    <w:rsid w:val="00983E57"/>
    <w:rsid w:val="00984FD2"/>
    <w:rsid w:val="00986B08"/>
    <w:rsid w:val="00990C61"/>
    <w:rsid w:val="00990F43"/>
    <w:rsid w:val="0099169F"/>
    <w:rsid w:val="00991FDB"/>
    <w:rsid w:val="00993B45"/>
    <w:rsid w:val="00994283"/>
    <w:rsid w:val="00994779"/>
    <w:rsid w:val="009979EF"/>
    <w:rsid w:val="00997BF3"/>
    <w:rsid w:val="00997ECB"/>
    <w:rsid w:val="009A185F"/>
    <w:rsid w:val="009A1DCA"/>
    <w:rsid w:val="009A3AE3"/>
    <w:rsid w:val="009A42E6"/>
    <w:rsid w:val="009A46D9"/>
    <w:rsid w:val="009A4762"/>
    <w:rsid w:val="009A4E34"/>
    <w:rsid w:val="009A5C11"/>
    <w:rsid w:val="009B15B1"/>
    <w:rsid w:val="009B21DA"/>
    <w:rsid w:val="009B3E26"/>
    <w:rsid w:val="009B3F10"/>
    <w:rsid w:val="009B47E6"/>
    <w:rsid w:val="009B5A41"/>
    <w:rsid w:val="009B7850"/>
    <w:rsid w:val="009C0277"/>
    <w:rsid w:val="009C0C11"/>
    <w:rsid w:val="009C0DA4"/>
    <w:rsid w:val="009C1299"/>
    <w:rsid w:val="009C1577"/>
    <w:rsid w:val="009C21B1"/>
    <w:rsid w:val="009C293C"/>
    <w:rsid w:val="009C3E12"/>
    <w:rsid w:val="009C3F5F"/>
    <w:rsid w:val="009C5219"/>
    <w:rsid w:val="009C54E2"/>
    <w:rsid w:val="009C5F5B"/>
    <w:rsid w:val="009C6944"/>
    <w:rsid w:val="009C70B5"/>
    <w:rsid w:val="009C79E2"/>
    <w:rsid w:val="009D1CA5"/>
    <w:rsid w:val="009D5450"/>
    <w:rsid w:val="009D5A93"/>
    <w:rsid w:val="009E00F1"/>
    <w:rsid w:val="009E1E89"/>
    <w:rsid w:val="009E30AF"/>
    <w:rsid w:val="009E4C07"/>
    <w:rsid w:val="009F018D"/>
    <w:rsid w:val="009F0BD1"/>
    <w:rsid w:val="009F10DD"/>
    <w:rsid w:val="009F3C17"/>
    <w:rsid w:val="009F70DB"/>
    <w:rsid w:val="009F7E7D"/>
    <w:rsid w:val="00A03D43"/>
    <w:rsid w:val="00A04380"/>
    <w:rsid w:val="00A04F15"/>
    <w:rsid w:val="00A05FC0"/>
    <w:rsid w:val="00A0660B"/>
    <w:rsid w:val="00A06AF9"/>
    <w:rsid w:val="00A06FDF"/>
    <w:rsid w:val="00A1100C"/>
    <w:rsid w:val="00A11749"/>
    <w:rsid w:val="00A11FC7"/>
    <w:rsid w:val="00A13948"/>
    <w:rsid w:val="00A1511A"/>
    <w:rsid w:val="00A158C3"/>
    <w:rsid w:val="00A17675"/>
    <w:rsid w:val="00A20694"/>
    <w:rsid w:val="00A22762"/>
    <w:rsid w:val="00A24C63"/>
    <w:rsid w:val="00A25347"/>
    <w:rsid w:val="00A26300"/>
    <w:rsid w:val="00A26E38"/>
    <w:rsid w:val="00A27AEC"/>
    <w:rsid w:val="00A328D4"/>
    <w:rsid w:val="00A32D74"/>
    <w:rsid w:val="00A337DC"/>
    <w:rsid w:val="00A344AA"/>
    <w:rsid w:val="00A34A51"/>
    <w:rsid w:val="00A35F98"/>
    <w:rsid w:val="00A36010"/>
    <w:rsid w:val="00A40B33"/>
    <w:rsid w:val="00A40DE6"/>
    <w:rsid w:val="00A417D1"/>
    <w:rsid w:val="00A4311A"/>
    <w:rsid w:val="00A43C59"/>
    <w:rsid w:val="00A4425F"/>
    <w:rsid w:val="00A47AB2"/>
    <w:rsid w:val="00A5046C"/>
    <w:rsid w:val="00A507DC"/>
    <w:rsid w:val="00A50ECD"/>
    <w:rsid w:val="00A52729"/>
    <w:rsid w:val="00A53675"/>
    <w:rsid w:val="00A54554"/>
    <w:rsid w:val="00A546AA"/>
    <w:rsid w:val="00A56222"/>
    <w:rsid w:val="00A562E6"/>
    <w:rsid w:val="00A56B6A"/>
    <w:rsid w:val="00A578DC"/>
    <w:rsid w:val="00A60FDD"/>
    <w:rsid w:val="00A62633"/>
    <w:rsid w:val="00A628BB"/>
    <w:rsid w:val="00A63F83"/>
    <w:rsid w:val="00A64D8C"/>
    <w:rsid w:val="00A6614B"/>
    <w:rsid w:val="00A66D88"/>
    <w:rsid w:val="00A6725B"/>
    <w:rsid w:val="00A678B8"/>
    <w:rsid w:val="00A71774"/>
    <w:rsid w:val="00A730DF"/>
    <w:rsid w:val="00A738DF"/>
    <w:rsid w:val="00A74484"/>
    <w:rsid w:val="00A751CE"/>
    <w:rsid w:val="00A75B80"/>
    <w:rsid w:val="00A76372"/>
    <w:rsid w:val="00A800D7"/>
    <w:rsid w:val="00A8039B"/>
    <w:rsid w:val="00A806BE"/>
    <w:rsid w:val="00A83CB8"/>
    <w:rsid w:val="00A83E4E"/>
    <w:rsid w:val="00A8410F"/>
    <w:rsid w:val="00A84134"/>
    <w:rsid w:val="00A84583"/>
    <w:rsid w:val="00A8481B"/>
    <w:rsid w:val="00A870D4"/>
    <w:rsid w:val="00A87706"/>
    <w:rsid w:val="00A91F9B"/>
    <w:rsid w:val="00A92A25"/>
    <w:rsid w:val="00A93072"/>
    <w:rsid w:val="00A94127"/>
    <w:rsid w:val="00A94413"/>
    <w:rsid w:val="00A9461B"/>
    <w:rsid w:val="00A949E9"/>
    <w:rsid w:val="00A9520B"/>
    <w:rsid w:val="00A95A48"/>
    <w:rsid w:val="00A95CDA"/>
    <w:rsid w:val="00AA1654"/>
    <w:rsid w:val="00AA16BC"/>
    <w:rsid w:val="00AA20F1"/>
    <w:rsid w:val="00AA6819"/>
    <w:rsid w:val="00AA6E67"/>
    <w:rsid w:val="00AA70C5"/>
    <w:rsid w:val="00AB042A"/>
    <w:rsid w:val="00AB1407"/>
    <w:rsid w:val="00AB3430"/>
    <w:rsid w:val="00AB3830"/>
    <w:rsid w:val="00AB51B8"/>
    <w:rsid w:val="00AB59EA"/>
    <w:rsid w:val="00AB7048"/>
    <w:rsid w:val="00AB7BF1"/>
    <w:rsid w:val="00AB7CFA"/>
    <w:rsid w:val="00AC2660"/>
    <w:rsid w:val="00AC3A85"/>
    <w:rsid w:val="00AC3F1A"/>
    <w:rsid w:val="00AC5181"/>
    <w:rsid w:val="00AC5315"/>
    <w:rsid w:val="00AC57B2"/>
    <w:rsid w:val="00AC7D83"/>
    <w:rsid w:val="00AD074A"/>
    <w:rsid w:val="00AD0EA0"/>
    <w:rsid w:val="00AD39B2"/>
    <w:rsid w:val="00AD573D"/>
    <w:rsid w:val="00AE07AF"/>
    <w:rsid w:val="00AE1DC6"/>
    <w:rsid w:val="00AE3BAF"/>
    <w:rsid w:val="00AE5476"/>
    <w:rsid w:val="00AE6FF0"/>
    <w:rsid w:val="00AE750E"/>
    <w:rsid w:val="00AE78A0"/>
    <w:rsid w:val="00AF0FC1"/>
    <w:rsid w:val="00AF3E16"/>
    <w:rsid w:val="00AF592A"/>
    <w:rsid w:val="00AF5C96"/>
    <w:rsid w:val="00B005EA"/>
    <w:rsid w:val="00B028F0"/>
    <w:rsid w:val="00B0477C"/>
    <w:rsid w:val="00B11241"/>
    <w:rsid w:val="00B1144D"/>
    <w:rsid w:val="00B120A4"/>
    <w:rsid w:val="00B126F8"/>
    <w:rsid w:val="00B13EB6"/>
    <w:rsid w:val="00B14B8B"/>
    <w:rsid w:val="00B15337"/>
    <w:rsid w:val="00B17104"/>
    <w:rsid w:val="00B22596"/>
    <w:rsid w:val="00B234EA"/>
    <w:rsid w:val="00B2426A"/>
    <w:rsid w:val="00B2435C"/>
    <w:rsid w:val="00B26A29"/>
    <w:rsid w:val="00B26A7D"/>
    <w:rsid w:val="00B279B2"/>
    <w:rsid w:val="00B306F4"/>
    <w:rsid w:val="00B32B40"/>
    <w:rsid w:val="00B330C4"/>
    <w:rsid w:val="00B33B0A"/>
    <w:rsid w:val="00B342AD"/>
    <w:rsid w:val="00B343BC"/>
    <w:rsid w:val="00B3481A"/>
    <w:rsid w:val="00B3675E"/>
    <w:rsid w:val="00B40D6E"/>
    <w:rsid w:val="00B42851"/>
    <w:rsid w:val="00B42BD4"/>
    <w:rsid w:val="00B44B20"/>
    <w:rsid w:val="00B44BC2"/>
    <w:rsid w:val="00B46739"/>
    <w:rsid w:val="00B47E16"/>
    <w:rsid w:val="00B50684"/>
    <w:rsid w:val="00B51693"/>
    <w:rsid w:val="00B51881"/>
    <w:rsid w:val="00B51B0D"/>
    <w:rsid w:val="00B533D9"/>
    <w:rsid w:val="00B53960"/>
    <w:rsid w:val="00B54B5B"/>
    <w:rsid w:val="00B55420"/>
    <w:rsid w:val="00B5562E"/>
    <w:rsid w:val="00B56544"/>
    <w:rsid w:val="00B57000"/>
    <w:rsid w:val="00B5746F"/>
    <w:rsid w:val="00B5765E"/>
    <w:rsid w:val="00B607C7"/>
    <w:rsid w:val="00B60AFD"/>
    <w:rsid w:val="00B6143F"/>
    <w:rsid w:val="00B614C0"/>
    <w:rsid w:val="00B625A9"/>
    <w:rsid w:val="00B65F0A"/>
    <w:rsid w:val="00B6621B"/>
    <w:rsid w:val="00B66432"/>
    <w:rsid w:val="00B66767"/>
    <w:rsid w:val="00B6752E"/>
    <w:rsid w:val="00B676DD"/>
    <w:rsid w:val="00B67954"/>
    <w:rsid w:val="00B70C7B"/>
    <w:rsid w:val="00B719AA"/>
    <w:rsid w:val="00B7292E"/>
    <w:rsid w:val="00B72F5C"/>
    <w:rsid w:val="00B75B89"/>
    <w:rsid w:val="00B76A76"/>
    <w:rsid w:val="00B81540"/>
    <w:rsid w:val="00B818A4"/>
    <w:rsid w:val="00B8388E"/>
    <w:rsid w:val="00B83EAF"/>
    <w:rsid w:val="00B84012"/>
    <w:rsid w:val="00B84E03"/>
    <w:rsid w:val="00B86B55"/>
    <w:rsid w:val="00B8747B"/>
    <w:rsid w:val="00B879F8"/>
    <w:rsid w:val="00B90CE1"/>
    <w:rsid w:val="00B912B1"/>
    <w:rsid w:val="00B92FA1"/>
    <w:rsid w:val="00B94945"/>
    <w:rsid w:val="00B9576F"/>
    <w:rsid w:val="00B95E38"/>
    <w:rsid w:val="00B97AB6"/>
    <w:rsid w:val="00BA2BE6"/>
    <w:rsid w:val="00BA2CD2"/>
    <w:rsid w:val="00BA2FE6"/>
    <w:rsid w:val="00BA3436"/>
    <w:rsid w:val="00BA4E8D"/>
    <w:rsid w:val="00BA5693"/>
    <w:rsid w:val="00BA5FB2"/>
    <w:rsid w:val="00BA603A"/>
    <w:rsid w:val="00BB0DC1"/>
    <w:rsid w:val="00BB158F"/>
    <w:rsid w:val="00BB317F"/>
    <w:rsid w:val="00BB37DF"/>
    <w:rsid w:val="00BB4B1B"/>
    <w:rsid w:val="00BB5C60"/>
    <w:rsid w:val="00BC0476"/>
    <w:rsid w:val="00BC0E44"/>
    <w:rsid w:val="00BC0F39"/>
    <w:rsid w:val="00BC27A8"/>
    <w:rsid w:val="00BC2C09"/>
    <w:rsid w:val="00BC36DA"/>
    <w:rsid w:val="00BC4AFB"/>
    <w:rsid w:val="00BC6BF4"/>
    <w:rsid w:val="00BC755C"/>
    <w:rsid w:val="00BC7E47"/>
    <w:rsid w:val="00BD045F"/>
    <w:rsid w:val="00BD093C"/>
    <w:rsid w:val="00BD3453"/>
    <w:rsid w:val="00BD48D2"/>
    <w:rsid w:val="00BD67D9"/>
    <w:rsid w:val="00BE020A"/>
    <w:rsid w:val="00BE11CF"/>
    <w:rsid w:val="00BE2180"/>
    <w:rsid w:val="00BE25BE"/>
    <w:rsid w:val="00BE2D7C"/>
    <w:rsid w:val="00BE396B"/>
    <w:rsid w:val="00BE4275"/>
    <w:rsid w:val="00BE7242"/>
    <w:rsid w:val="00BE7DF3"/>
    <w:rsid w:val="00BF1342"/>
    <w:rsid w:val="00BF2433"/>
    <w:rsid w:val="00BF312F"/>
    <w:rsid w:val="00BF3B86"/>
    <w:rsid w:val="00BF3F6A"/>
    <w:rsid w:val="00BF61C9"/>
    <w:rsid w:val="00BF737C"/>
    <w:rsid w:val="00C01380"/>
    <w:rsid w:val="00C02038"/>
    <w:rsid w:val="00C05124"/>
    <w:rsid w:val="00C0561A"/>
    <w:rsid w:val="00C06D27"/>
    <w:rsid w:val="00C0713C"/>
    <w:rsid w:val="00C11375"/>
    <w:rsid w:val="00C123D0"/>
    <w:rsid w:val="00C15CEA"/>
    <w:rsid w:val="00C170C6"/>
    <w:rsid w:val="00C17D84"/>
    <w:rsid w:val="00C21BAA"/>
    <w:rsid w:val="00C22A5C"/>
    <w:rsid w:val="00C23902"/>
    <w:rsid w:val="00C2475C"/>
    <w:rsid w:val="00C2499E"/>
    <w:rsid w:val="00C25418"/>
    <w:rsid w:val="00C267A8"/>
    <w:rsid w:val="00C26FE9"/>
    <w:rsid w:val="00C3003E"/>
    <w:rsid w:val="00C31649"/>
    <w:rsid w:val="00C40385"/>
    <w:rsid w:val="00C404B7"/>
    <w:rsid w:val="00C40C6D"/>
    <w:rsid w:val="00C40E2C"/>
    <w:rsid w:val="00C41A49"/>
    <w:rsid w:val="00C4281E"/>
    <w:rsid w:val="00C42BC0"/>
    <w:rsid w:val="00C42EEB"/>
    <w:rsid w:val="00C43E84"/>
    <w:rsid w:val="00C45666"/>
    <w:rsid w:val="00C4701C"/>
    <w:rsid w:val="00C51FE2"/>
    <w:rsid w:val="00C52096"/>
    <w:rsid w:val="00C52387"/>
    <w:rsid w:val="00C5387B"/>
    <w:rsid w:val="00C553EF"/>
    <w:rsid w:val="00C55497"/>
    <w:rsid w:val="00C561ED"/>
    <w:rsid w:val="00C5703F"/>
    <w:rsid w:val="00C60418"/>
    <w:rsid w:val="00C621F0"/>
    <w:rsid w:val="00C62772"/>
    <w:rsid w:val="00C6320A"/>
    <w:rsid w:val="00C64D34"/>
    <w:rsid w:val="00C65576"/>
    <w:rsid w:val="00C66165"/>
    <w:rsid w:val="00C66AF4"/>
    <w:rsid w:val="00C71859"/>
    <w:rsid w:val="00C73E15"/>
    <w:rsid w:val="00C740A1"/>
    <w:rsid w:val="00C74507"/>
    <w:rsid w:val="00C74DF5"/>
    <w:rsid w:val="00C74E4A"/>
    <w:rsid w:val="00C765B2"/>
    <w:rsid w:val="00C76913"/>
    <w:rsid w:val="00C81BB6"/>
    <w:rsid w:val="00C8213F"/>
    <w:rsid w:val="00C83841"/>
    <w:rsid w:val="00C84AF8"/>
    <w:rsid w:val="00C85CF9"/>
    <w:rsid w:val="00C8797A"/>
    <w:rsid w:val="00C87CFF"/>
    <w:rsid w:val="00C92DB3"/>
    <w:rsid w:val="00C93130"/>
    <w:rsid w:val="00C932E4"/>
    <w:rsid w:val="00C938CF"/>
    <w:rsid w:val="00C949FE"/>
    <w:rsid w:val="00C96043"/>
    <w:rsid w:val="00C964DF"/>
    <w:rsid w:val="00C97AB4"/>
    <w:rsid w:val="00CA028B"/>
    <w:rsid w:val="00CA034A"/>
    <w:rsid w:val="00CA1961"/>
    <w:rsid w:val="00CA2158"/>
    <w:rsid w:val="00CA3295"/>
    <w:rsid w:val="00CA3F09"/>
    <w:rsid w:val="00CA41F1"/>
    <w:rsid w:val="00CA5245"/>
    <w:rsid w:val="00CA5F18"/>
    <w:rsid w:val="00CA63F0"/>
    <w:rsid w:val="00CA6ABD"/>
    <w:rsid w:val="00CA6C25"/>
    <w:rsid w:val="00CA7B09"/>
    <w:rsid w:val="00CB0DD4"/>
    <w:rsid w:val="00CB149C"/>
    <w:rsid w:val="00CB1A41"/>
    <w:rsid w:val="00CB2F24"/>
    <w:rsid w:val="00CB41B1"/>
    <w:rsid w:val="00CB42A4"/>
    <w:rsid w:val="00CB4747"/>
    <w:rsid w:val="00CB5B1A"/>
    <w:rsid w:val="00CB718D"/>
    <w:rsid w:val="00CC0F2A"/>
    <w:rsid w:val="00CD2AB5"/>
    <w:rsid w:val="00CD3573"/>
    <w:rsid w:val="00CD3EF2"/>
    <w:rsid w:val="00CD6ADC"/>
    <w:rsid w:val="00CE6274"/>
    <w:rsid w:val="00CE7B41"/>
    <w:rsid w:val="00CF0446"/>
    <w:rsid w:val="00CF0C52"/>
    <w:rsid w:val="00CF1C69"/>
    <w:rsid w:val="00CF217F"/>
    <w:rsid w:val="00CF2BD9"/>
    <w:rsid w:val="00CF42F4"/>
    <w:rsid w:val="00CF456B"/>
    <w:rsid w:val="00CF49C0"/>
    <w:rsid w:val="00CF57BB"/>
    <w:rsid w:val="00CF5A22"/>
    <w:rsid w:val="00CF758C"/>
    <w:rsid w:val="00CF7877"/>
    <w:rsid w:val="00D00753"/>
    <w:rsid w:val="00D01D1D"/>
    <w:rsid w:val="00D0249A"/>
    <w:rsid w:val="00D0262E"/>
    <w:rsid w:val="00D06307"/>
    <w:rsid w:val="00D06E1E"/>
    <w:rsid w:val="00D0706D"/>
    <w:rsid w:val="00D10280"/>
    <w:rsid w:val="00D10A14"/>
    <w:rsid w:val="00D10BDB"/>
    <w:rsid w:val="00D10CBE"/>
    <w:rsid w:val="00D11171"/>
    <w:rsid w:val="00D112DF"/>
    <w:rsid w:val="00D11D83"/>
    <w:rsid w:val="00D16D0F"/>
    <w:rsid w:val="00D17C23"/>
    <w:rsid w:val="00D17D6C"/>
    <w:rsid w:val="00D20109"/>
    <w:rsid w:val="00D22749"/>
    <w:rsid w:val="00D24856"/>
    <w:rsid w:val="00D3076B"/>
    <w:rsid w:val="00D31507"/>
    <w:rsid w:val="00D329FA"/>
    <w:rsid w:val="00D3333F"/>
    <w:rsid w:val="00D337B6"/>
    <w:rsid w:val="00D33F32"/>
    <w:rsid w:val="00D352B0"/>
    <w:rsid w:val="00D35736"/>
    <w:rsid w:val="00D37006"/>
    <w:rsid w:val="00D416EB"/>
    <w:rsid w:val="00D43869"/>
    <w:rsid w:val="00D46448"/>
    <w:rsid w:val="00D46B3A"/>
    <w:rsid w:val="00D46D4E"/>
    <w:rsid w:val="00D47616"/>
    <w:rsid w:val="00D50033"/>
    <w:rsid w:val="00D528BF"/>
    <w:rsid w:val="00D52E0A"/>
    <w:rsid w:val="00D53EE1"/>
    <w:rsid w:val="00D5455A"/>
    <w:rsid w:val="00D62F32"/>
    <w:rsid w:val="00D63415"/>
    <w:rsid w:val="00D64273"/>
    <w:rsid w:val="00D64645"/>
    <w:rsid w:val="00D66A0F"/>
    <w:rsid w:val="00D66C15"/>
    <w:rsid w:val="00D66F49"/>
    <w:rsid w:val="00D7086C"/>
    <w:rsid w:val="00D7133F"/>
    <w:rsid w:val="00D727BE"/>
    <w:rsid w:val="00D757C4"/>
    <w:rsid w:val="00D75FBF"/>
    <w:rsid w:val="00D76A44"/>
    <w:rsid w:val="00D76B78"/>
    <w:rsid w:val="00D771D2"/>
    <w:rsid w:val="00D774CF"/>
    <w:rsid w:val="00D81A12"/>
    <w:rsid w:val="00D83B49"/>
    <w:rsid w:val="00D84BF2"/>
    <w:rsid w:val="00D90C02"/>
    <w:rsid w:val="00D90C83"/>
    <w:rsid w:val="00D9230F"/>
    <w:rsid w:val="00D935B4"/>
    <w:rsid w:val="00D93753"/>
    <w:rsid w:val="00D94105"/>
    <w:rsid w:val="00D95712"/>
    <w:rsid w:val="00D96D1B"/>
    <w:rsid w:val="00D9728F"/>
    <w:rsid w:val="00D9739C"/>
    <w:rsid w:val="00D97D9A"/>
    <w:rsid w:val="00DA29D4"/>
    <w:rsid w:val="00DA5569"/>
    <w:rsid w:val="00DA77A3"/>
    <w:rsid w:val="00DA77A5"/>
    <w:rsid w:val="00DA7882"/>
    <w:rsid w:val="00DA7A0B"/>
    <w:rsid w:val="00DB3C35"/>
    <w:rsid w:val="00DB435C"/>
    <w:rsid w:val="00DB4E20"/>
    <w:rsid w:val="00DB5507"/>
    <w:rsid w:val="00DB6AC4"/>
    <w:rsid w:val="00DC18A0"/>
    <w:rsid w:val="00DC3940"/>
    <w:rsid w:val="00DC3D4F"/>
    <w:rsid w:val="00DC3D9D"/>
    <w:rsid w:val="00DC53F2"/>
    <w:rsid w:val="00DC5501"/>
    <w:rsid w:val="00DC6527"/>
    <w:rsid w:val="00DD0630"/>
    <w:rsid w:val="00DD1A64"/>
    <w:rsid w:val="00DD1CF1"/>
    <w:rsid w:val="00DD2B44"/>
    <w:rsid w:val="00DD35EE"/>
    <w:rsid w:val="00DD36E6"/>
    <w:rsid w:val="00DD3A69"/>
    <w:rsid w:val="00DD3EED"/>
    <w:rsid w:val="00DD3F28"/>
    <w:rsid w:val="00DD4278"/>
    <w:rsid w:val="00DD4537"/>
    <w:rsid w:val="00DD4AEA"/>
    <w:rsid w:val="00DD4BE8"/>
    <w:rsid w:val="00DD56D2"/>
    <w:rsid w:val="00DD6F38"/>
    <w:rsid w:val="00DD7C46"/>
    <w:rsid w:val="00DE4083"/>
    <w:rsid w:val="00DE4562"/>
    <w:rsid w:val="00DE49CC"/>
    <w:rsid w:val="00DE4FCB"/>
    <w:rsid w:val="00DE53ED"/>
    <w:rsid w:val="00DE5549"/>
    <w:rsid w:val="00DE563C"/>
    <w:rsid w:val="00DE6597"/>
    <w:rsid w:val="00DE6A31"/>
    <w:rsid w:val="00DF162C"/>
    <w:rsid w:val="00DF1C91"/>
    <w:rsid w:val="00DF1DCD"/>
    <w:rsid w:val="00DF4FA3"/>
    <w:rsid w:val="00DF7123"/>
    <w:rsid w:val="00DF7E97"/>
    <w:rsid w:val="00E00AC0"/>
    <w:rsid w:val="00E00E1B"/>
    <w:rsid w:val="00E0106F"/>
    <w:rsid w:val="00E03EE0"/>
    <w:rsid w:val="00E0691C"/>
    <w:rsid w:val="00E1006D"/>
    <w:rsid w:val="00E10149"/>
    <w:rsid w:val="00E105EF"/>
    <w:rsid w:val="00E119EF"/>
    <w:rsid w:val="00E11E90"/>
    <w:rsid w:val="00E133DF"/>
    <w:rsid w:val="00E1378D"/>
    <w:rsid w:val="00E16372"/>
    <w:rsid w:val="00E16DC5"/>
    <w:rsid w:val="00E20ED6"/>
    <w:rsid w:val="00E21358"/>
    <w:rsid w:val="00E2249B"/>
    <w:rsid w:val="00E22B0E"/>
    <w:rsid w:val="00E22BBA"/>
    <w:rsid w:val="00E2306D"/>
    <w:rsid w:val="00E238AC"/>
    <w:rsid w:val="00E240DF"/>
    <w:rsid w:val="00E24ACB"/>
    <w:rsid w:val="00E251BF"/>
    <w:rsid w:val="00E26504"/>
    <w:rsid w:val="00E2771E"/>
    <w:rsid w:val="00E2790B"/>
    <w:rsid w:val="00E3132F"/>
    <w:rsid w:val="00E33C46"/>
    <w:rsid w:val="00E369DA"/>
    <w:rsid w:val="00E3704B"/>
    <w:rsid w:val="00E3706C"/>
    <w:rsid w:val="00E37569"/>
    <w:rsid w:val="00E37DBD"/>
    <w:rsid w:val="00E400E9"/>
    <w:rsid w:val="00E40AAF"/>
    <w:rsid w:val="00E41A1D"/>
    <w:rsid w:val="00E41E30"/>
    <w:rsid w:val="00E423D9"/>
    <w:rsid w:val="00E42946"/>
    <w:rsid w:val="00E440A8"/>
    <w:rsid w:val="00E45152"/>
    <w:rsid w:val="00E47B2C"/>
    <w:rsid w:val="00E505DE"/>
    <w:rsid w:val="00E50B97"/>
    <w:rsid w:val="00E52324"/>
    <w:rsid w:val="00E52649"/>
    <w:rsid w:val="00E55424"/>
    <w:rsid w:val="00E606D5"/>
    <w:rsid w:val="00E64A47"/>
    <w:rsid w:val="00E65E79"/>
    <w:rsid w:val="00E67416"/>
    <w:rsid w:val="00E67724"/>
    <w:rsid w:val="00E67AD1"/>
    <w:rsid w:val="00E7036E"/>
    <w:rsid w:val="00E71387"/>
    <w:rsid w:val="00E7162F"/>
    <w:rsid w:val="00E718B6"/>
    <w:rsid w:val="00E7351D"/>
    <w:rsid w:val="00E73581"/>
    <w:rsid w:val="00E757E1"/>
    <w:rsid w:val="00E76149"/>
    <w:rsid w:val="00E76636"/>
    <w:rsid w:val="00E76D5A"/>
    <w:rsid w:val="00E82026"/>
    <w:rsid w:val="00E83BDF"/>
    <w:rsid w:val="00E84474"/>
    <w:rsid w:val="00E8497C"/>
    <w:rsid w:val="00E87451"/>
    <w:rsid w:val="00E878B5"/>
    <w:rsid w:val="00E87E4A"/>
    <w:rsid w:val="00E915A5"/>
    <w:rsid w:val="00E91732"/>
    <w:rsid w:val="00E93D78"/>
    <w:rsid w:val="00E94227"/>
    <w:rsid w:val="00E96D32"/>
    <w:rsid w:val="00E96D44"/>
    <w:rsid w:val="00EA0869"/>
    <w:rsid w:val="00EA3526"/>
    <w:rsid w:val="00EA3864"/>
    <w:rsid w:val="00EA3C54"/>
    <w:rsid w:val="00EA4C4E"/>
    <w:rsid w:val="00EA5F77"/>
    <w:rsid w:val="00EA606F"/>
    <w:rsid w:val="00EA6487"/>
    <w:rsid w:val="00EA6A2B"/>
    <w:rsid w:val="00EB1257"/>
    <w:rsid w:val="00EB20CE"/>
    <w:rsid w:val="00EB2FA5"/>
    <w:rsid w:val="00EB50DC"/>
    <w:rsid w:val="00EB5F76"/>
    <w:rsid w:val="00EB73C9"/>
    <w:rsid w:val="00EC0BB4"/>
    <w:rsid w:val="00EC1188"/>
    <w:rsid w:val="00EC1286"/>
    <w:rsid w:val="00EC27A5"/>
    <w:rsid w:val="00EC4BDA"/>
    <w:rsid w:val="00EC4C58"/>
    <w:rsid w:val="00EC55A6"/>
    <w:rsid w:val="00EC69C6"/>
    <w:rsid w:val="00EC711C"/>
    <w:rsid w:val="00ED1B01"/>
    <w:rsid w:val="00ED3AC6"/>
    <w:rsid w:val="00ED3F88"/>
    <w:rsid w:val="00ED4837"/>
    <w:rsid w:val="00ED4C97"/>
    <w:rsid w:val="00ED647B"/>
    <w:rsid w:val="00EE07D3"/>
    <w:rsid w:val="00EE1FDB"/>
    <w:rsid w:val="00EE25D6"/>
    <w:rsid w:val="00EE5A38"/>
    <w:rsid w:val="00EE68A0"/>
    <w:rsid w:val="00EE7994"/>
    <w:rsid w:val="00EE7D9B"/>
    <w:rsid w:val="00EF064F"/>
    <w:rsid w:val="00EF0DE4"/>
    <w:rsid w:val="00EF1852"/>
    <w:rsid w:val="00EF2C2E"/>
    <w:rsid w:val="00EF3A54"/>
    <w:rsid w:val="00EF54CC"/>
    <w:rsid w:val="00EF6196"/>
    <w:rsid w:val="00EF642E"/>
    <w:rsid w:val="00EF70EE"/>
    <w:rsid w:val="00EF79CE"/>
    <w:rsid w:val="00F009DC"/>
    <w:rsid w:val="00F0189C"/>
    <w:rsid w:val="00F02948"/>
    <w:rsid w:val="00F02AA4"/>
    <w:rsid w:val="00F03F8C"/>
    <w:rsid w:val="00F04FBE"/>
    <w:rsid w:val="00F0532B"/>
    <w:rsid w:val="00F05C9D"/>
    <w:rsid w:val="00F05CDB"/>
    <w:rsid w:val="00F06869"/>
    <w:rsid w:val="00F06E44"/>
    <w:rsid w:val="00F06E79"/>
    <w:rsid w:val="00F071B0"/>
    <w:rsid w:val="00F07BE4"/>
    <w:rsid w:val="00F115F8"/>
    <w:rsid w:val="00F121A3"/>
    <w:rsid w:val="00F1287A"/>
    <w:rsid w:val="00F1601D"/>
    <w:rsid w:val="00F16A5A"/>
    <w:rsid w:val="00F202C2"/>
    <w:rsid w:val="00F228FF"/>
    <w:rsid w:val="00F22BC5"/>
    <w:rsid w:val="00F24EBA"/>
    <w:rsid w:val="00F2575F"/>
    <w:rsid w:val="00F30D87"/>
    <w:rsid w:val="00F31094"/>
    <w:rsid w:val="00F3184F"/>
    <w:rsid w:val="00F33074"/>
    <w:rsid w:val="00F332A0"/>
    <w:rsid w:val="00F33DE9"/>
    <w:rsid w:val="00F34BD6"/>
    <w:rsid w:val="00F3619A"/>
    <w:rsid w:val="00F403A9"/>
    <w:rsid w:val="00F41244"/>
    <w:rsid w:val="00F4211F"/>
    <w:rsid w:val="00F426AD"/>
    <w:rsid w:val="00F458C1"/>
    <w:rsid w:val="00F46B65"/>
    <w:rsid w:val="00F46CB6"/>
    <w:rsid w:val="00F508F3"/>
    <w:rsid w:val="00F55467"/>
    <w:rsid w:val="00F55E73"/>
    <w:rsid w:val="00F61061"/>
    <w:rsid w:val="00F678F7"/>
    <w:rsid w:val="00F67FEE"/>
    <w:rsid w:val="00F72B20"/>
    <w:rsid w:val="00F753C6"/>
    <w:rsid w:val="00F76C63"/>
    <w:rsid w:val="00F76ECF"/>
    <w:rsid w:val="00F800AB"/>
    <w:rsid w:val="00F80E5D"/>
    <w:rsid w:val="00F826A2"/>
    <w:rsid w:val="00F832F0"/>
    <w:rsid w:val="00F83AF7"/>
    <w:rsid w:val="00F83D66"/>
    <w:rsid w:val="00F84945"/>
    <w:rsid w:val="00F851CE"/>
    <w:rsid w:val="00F85DAE"/>
    <w:rsid w:val="00F868A6"/>
    <w:rsid w:val="00F879CD"/>
    <w:rsid w:val="00F905DE"/>
    <w:rsid w:val="00F9293B"/>
    <w:rsid w:val="00F95986"/>
    <w:rsid w:val="00F95EFA"/>
    <w:rsid w:val="00F9631F"/>
    <w:rsid w:val="00F9683A"/>
    <w:rsid w:val="00F96BB6"/>
    <w:rsid w:val="00FA0718"/>
    <w:rsid w:val="00FA1711"/>
    <w:rsid w:val="00FA52D5"/>
    <w:rsid w:val="00FA59F7"/>
    <w:rsid w:val="00FA5FD4"/>
    <w:rsid w:val="00FA62CF"/>
    <w:rsid w:val="00FA7768"/>
    <w:rsid w:val="00FA77F9"/>
    <w:rsid w:val="00FB0E45"/>
    <w:rsid w:val="00FB0F6C"/>
    <w:rsid w:val="00FB2FCB"/>
    <w:rsid w:val="00FB3CAB"/>
    <w:rsid w:val="00FB404D"/>
    <w:rsid w:val="00FB652B"/>
    <w:rsid w:val="00FB7330"/>
    <w:rsid w:val="00FC0361"/>
    <w:rsid w:val="00FC055E"/>
    <w:rsid w:val="00FC0EFF"/>
    <w:rsid w:val="00FC1074"/>
    <w:rsid w:val="00FC1B73"/>
    <w:rsid w:val="00FC521E"/>
    <w:rsid w:val="00FC70C5"/>
    <w:rsid w:val="00FD2100"/>
    <w:rsid w:val="00FD2912"/>
    <w:rsid w:val="00FD2C10"/>
    <w:rsid w:val="00FD446D"/>
    <w:rsid w:val="00FD5F4D"/>
    <w:rsid w:val="00FD7E6A"/>
    <w:rsid w:val="00FE0217"/>
    <w:rsid w:val="00FE256F"/>
    <w:rsid w:val="00FE2832"/>
    <w:rsid w:val="00FE2D7E"/>
    <w:rsid w:val="00FE447D"/>
    <w:rsid w:val="00FE489D"/>
    <w:rsid w:val="00FE48ED"/>
    <w:rsid w:val="00FE4D1F"/>
    <w:rsid w:val="00FE511F"/>
    <w:rsid w:val="00FE5514"/>
    <w:rsid w:val="00FE633C"/>
    <w:rsid w:val="00FE6DC9"/>
    <w:rsid w:val="00FF0A25"/>
    <w:rsid w:val="00FF3DCF"/>
    <w:rsid w:val="00FF5009"/>
    <w:rsid w:val="00FF50E8"/>
    <w:rsid w:val="00FF5AA3"/>
    <w:rsid w:val="00FF5B4C"/>
    <w:rsid w:val="00FF5F16"/>
    <w:rsid w:val="00FF619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toc 8" w:uiPriority="39"/>
    <w:lsdException w:name="header" w:uiPriority="99"/>
    <w:lsdException w:name="footer" w:uiPriority="99"/>
    <w:lsdException w:name="table of figures" w:uiPriority="99"/>
    <w:lsdException w:name="annotation reference" w:uiPriority="99" w:qFormat="1"/>
    <w:lsdException w:name="List Bullet" w:uiPriority="4"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730DF"/>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5C2DD7"/>
    <w:pPr>
      <w:outlineLvl w:val="1"/>
    </w:pPr>
    <w:rPr>
      <w:b/>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5C2DD7"/>
    <w:rPr>
      <w:rFonts w:ascii="Arial" w:hAnsi="Arial" w:cs="Arial"/>
      <w:b/>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5C2DD7"/>
    <w:rPr>
      <w:sz w:val="28"/>
    </w:rPr>
  </w:style>
  <w:style w:type="character" w:customStyle="1" w:styleId="TitleChar">
    <w:name w:val="Title Char"/>
    <w:basedOn w:val="DefaultParagraphFont"/>
    <w:link w:val="Title"/>
    <w:rsid w:val="005C2DD7"/>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uiPriority w:val="3"/>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E105EF"/>
    <w:rPr>
      <w:lang w:eastAsia="en-US"/>
    </w:rPr>
  </w:style>
  <w:style w:type="paragraph" w:styleId="Subtitle">
    <w:name w:val="Subtitle"/>
    <w:basedOn w:val="Normal"/>
    <w:link w:val="SubtitleChar"/>
    <w:qFormat/>
    <w:rsid w:val="00E105EF"/>
    <w:pPr>
      <w:widowControl/>
    </w:pPr>
    <w:rPr>
      <w:rFonts w:ascii="Times New Roman" w:hAnsi="Times New Roman" w:cs="Times New Roman"/>
      <w:snapToGrid/>
      <w:sz w:val="20"/>
    </w:rPr>
  </w:style>
  <w:style w:type="character" w:customStyle="1" w:styleId="SubtitleChar1">
    <w:name w:val="Subtitle Char1"/>
    <w:basedOn w:val="DefaultParagraphFont"/>
    <w:rsid w:val="00E105EF"/>
    <w:rPr>
      <w:rFonts w:asciiTheme="minorHAnsi" w:eastAsiaTheme="minorEastAsia" w:hAnsiTheme="minorHAnsi" w:cstheme="minorBidi"/>
      <w:snapToGrid w:val="0"/>
      <w:color w:val="5A5A5A" w:themeColor="text1" w:themeTint="A5"/>
      <w:spacing w:val="15"/>
      <w:sz w:val="22"/>
      <w:szCs w:val="22"/>
      <w:lang w:eastAsia="en-US"/>
    </w:rPr>
  </w:style>
  <w:style w:type="paragraph" w:customStyle="1" w:styleId="PBACHeading1">
    <w:name w:val="PBAC Heading 1"/>
    <w:qFormat/>
    <w:rsid w:val="00E105EF"/>
    <w:pPr>
      <w:numPr>
        <w:numId w:val="2"/>
      </w:numPr>
    </w:pPr>
    <w:rPr>
      <w:rFonts w:ascii="Arial" w:hAnsi="Arial" w:cs="Arial"/>
      <w:b/>
      <w:snapToGrid w:val="0"/>
      <w:sz w:val="22"/>
      <w:szCs w:val="22"/>
      <w:lang w:eastAsia="en-US"/>
    </w:rPr>
  </w:style>
  <w:style w:type="paragraph" w:customStyle="1" w:styleId="TableLeft">
    <w:name w:val="Table Left"/>
    <w:basedOn w:val="Normal"/>
    <w:link w:val="TableLeftChar"/>
    <w:uiPriority w:val="5"/>
    <w:qFormat/>
    <w:rsid w:val="00E105EF"/>
    <w:pPr>
      <w:widowControl/>
      <w:jc w:val="left"/>
    </w:pPr>
    <w:rPr>
      <w:rFonts w:ascii="Calibri" w:eastAsiaTheme="majorEastAsia" w:hAnsi="Calibri" w:cstheme="majorBidi"/>
      <w:snapToGrid/>
      <w:sz w:val="20"/>
      <w:szCs w:val="22"/>
      <w:lang w:bidi="en-US"/>
    </w:rPr>
  </w:style>
  <w:style w:type="character" w:customStyle="1" w:styleId="TableLeftChar">
    <w:name w:val="Table Left Char"/>
    <w:basedOn w:val="DefaultParagraphFont"/>
    <w:link w:val="TableLeft"/>
    <w:uiPriority w:val="5"/>
    <w:rsid w:val="00E105EF"/>
    <w:rPr>
      <w:rFonts w:ascii="Calibri" w:eastAsiaTheme="majorEastAsia" w:hAnsi="Calibri" w:cstheme="majorBidi"/>
      <w:szCs w:val="22"/>
      <w:lang w:eastAsia="en-US" w:bidi="en-US"/>
    </w:rPr>
  </w:style>
  <w:style w:type="paragraph" w:styleId="TableofFigures">
    <w:name w:val="table of figures"/>
    <w:basedOn w:val="Normal"/>
    <w:next w:val="Normal"/>
    <w:uiPriority w:val="99"/>
    <w:unhideWhenUsed/>
    <w:rsid w:val="00E105EF"/>
    <w:pPr>
      <w:widowControl/>
      <w:tabs>
        <w:tab w:val="right" w:leader="dot" w:pos="9016"/>
      </w:tabs>
      <w:spacing w:before="40"/>
    </w:pPr>
    <w:rPr>
      <w:rFonts w:eastAsiaTheme="minorHAnsi" w:cstheme="minorBidi"/>
      <w:noProof/>
      <w:snapToGrid/>
      <w:szCs w:val="22"/>
    </w:rPr>
  </w:style>
  <w:style w:type="paragraph" w:customStyle="1" w:styleId="TableNotes">
    <w:name w:val="Table Notes"/>
    <w:basedOn w:val="Normal"/>
    <w:link w:val="TableNotesChar"/>
    <w:uiPriority w:val="99"/>
    <w:qFormat/>
    <w:rsid w:val="00E105EF"/>
    <w:pPr>
      <w:widowControl/>
      <w:spacing w:after="40"/>
      <w:jc w:val="left"/>
    </w:pPr>
    <w:rPr>
      <w:rFonts w:ascii="Calibri" w:eastAsiaTheme="majorEastAsia" w:hAnsi="Calibri" w:cstheme="majorBidi"/>
      <w:snapToGrid/>
      <w:sz w:val="16"/>
      <w:szCs w:val="22"/>
      <w:lang w:bidi="en-US"/>
    </w:rPr>
  </w:style>
  <w:style w:type="character" w:customStyle="1" w:styleId="TableNotesChar">
    <w:name w:val="Table Notes Char"/>
    <w:basedOn w:val="DefaultParagraphFont"/>
    <w:link w:val="TableNotes"/>
    <w:uiPriority w:val="99"/>
    <w:rsid w:val="00E105EF"/>
    <w:rPr>
      <w:rFonts w:ascii="Calibri" w:eastAsiaTheme="majorEastAsia" w:hAnsi="Calibri" w:cstheme="majorBidi"/>
      <w:sz w:val="16"/>
      <w:szCs w:val="22"/>
      <w:lang w:eastAsia="en-US" w:bidi="en-US"/>
    </w:rPr>
  </w:style>
  <w:style w:type="table" w:customStyle="1" w:styleId="TableGrid1">
    <w:name w:val="Table Grid1"/>
    <w:basedOn w:val="TableNormal"/>
    <w:next w:val="TableGrid"/>
    <w:uiPriority w:val="59"/>
    <w:rsid w:val="00E105EF"/>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105EF"/>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105EF"/>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1">
    <w:name w:val="Table Text"/>
    <w:basedOn w:val="DefaultParagraphFont"/>
    <w:uiPriority w:val="4"/>
    <w:qFormat/>
    <w:rsid w:val="00E105EF"/>
    <w:rPr>
      <w:sz w:val="20"/>
    </w:rPr>
  </w:style>
  <w:style w:type="table" w:customStyle="1" w:styleId="TableGrid4">
    <w:name w:val="Table Grid4"/>
    <w:basedOn w:val="TableNormal"/>
    <w:next w:val="TableGrid"/>
    <w:uiPriority w:val="59"/>
    <w:rsid w:val="00E105EF"/>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105EF"/>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105EF"/>
    <w:pPr>
      <w:jc w:val="both"/>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105EF"/>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E105EF"/>
    <w:pPr>
      <w:jc w:val="both"/>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105EF"/>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105EF"/>
    <w:rPr>
      <w:rFonts w:asciiTheme="minorHAnsi" w:eastAsiaTheme="minorHAnsi" w:hAnsiTheme="minorHAnsi" w:cstheme="minorBid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E105EF"/>
    <w:rPr>
      <w:rFonts w:asciiTheme="minorHAnsi" w:eastAsiaTheme="minorHAnsi" w:hAnsiTheme="minorHAnsi" w:cstheme="minorBid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E105EF"/>
    <w:rPr>
      <w:rFonts w:asciiTheme="minorHAnsi" w:eastAsiaTheme="minorHAnsi" w:hAnsiTheme="minorHAnsi" w:cstheme="minorBid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5A4AA6"/>
    <w:rPr>
      <w:rFonts w:ascii="Arial" w:hAnsi="Arial" w:cs="Arial"/>
      <w:snapToGrid w:val="0"/>
      <w:sz w:val="22"/>
      <w:lang w:eastAsia="en-US"/>
    </w:rPr>
  </w:style>
  <w:style w:type="paragraph" w:styleId="ListBullet">
    <w:name w:val="List Bullet"/>
    <w:basedOn w:val="Normal"/>
    <w:uiPriority w:val="4"/>
    <w:qFormat/>
    <w:rsid w:val="00C765B2"/>
    <w:pPr>
      <w:widowControl/>
      <w:numPr>
        <w:numId w:val="5"/>
      </w:numPr>
      <w:spacing w:after="240" w:line="288" w:lineRule="auto"/>
      <w:contextualSpacing/>
    </w:pPr>
    <w:rPr>
      <w:rFonts w:ascii="Calibri" w:eastAsiaTheme="minorEastAsia" w:hAnsi="Calibri" w:cstheme="minorBidi"/>
      <w:snapToGrid/>
      <w:szCs w:val="22"/>
      <w:lang w:eastAsia="zh-CN"/>
    </w:rPr>
  </w:style>
  <w:style w:type="paragraph" w:styleId="FootnoteText">
    <w:name w:val="footnote text"/>
    <w:basedOn w:val="Normal"/>
    <w:link w:val="FootnoteTextChar"/>
    <w:unhideWhenUsed/>
    <w:rsid w:val="00B614C0"/>
    <w:rPr>
      <w:sz w:val="20"/>
    </w:rPr>
  </w:style>
  <w:style w:type="character" w:customStyle="1" w:styleId="FootnoteTextChar">
    <w:name w:val="Footnote Text Char"/>
    <w:basedOn w:val="DefaultParagraphFont"/>
    <w:link w:val="FootnoteText"/>
    <w:rsid w:val="00B614C0"/>
    <w:rPr>
      <w:rFonts w:ascii="Arial" w:hAnsi="Arial" w:cs="Arial"/>
      <w:snapToGrid w:val="0"/>
      <w:lang w:eastAsia="en-US"/>
    </w:rPr>
  </w:style>
  <w:style w:type="character" w:styleId="FootnoteReference">
    <w:name w:val="footnote reference"/>
    <w:basedOn w:val="DefaultParagraphFont"/>
    <w:unhideWhenUsed/>
    <w:rsid w:val="00B614C0"/>
    <w:rPr>
      <w:vertAlign w:val="superscript"/>
    </w:rPr>
  </w:style>
  <w:style w:type="paragraph" w:customStyle="1" w:styleId="TableNotes1">
    <w:name w:val="TableNotes"/>
    <w:basedOn w:val="Normal"/>
    <w:next w:val="Normal"/>
    <w:uiPriority w:val="3"/>
    <w:qFormat/>
    <w:rsid w:val="00CF758C"/>
    <w:pPr>
      <w:widowControl/>
      <w:tabs>
        <w:tab w:val="left" w:pos="1134"/>
      </w:tabs>
      <w:ind w:left="1134" w:hanging="1134"/>
      <w:jc w:val="left"/>
    </w:pPr>
    <w:rPr>
      <w:rFonts w:ascii="Calibri" w:eastAsiaTheme="minorEastAsia" w:hAnsi="Calibri" w:cstheme="minorBidi"/>
      <w:snapToGrid/>
      <w:sz w:val="18"/>
      <w:szCs w:val="18"/>
    </w:rPr>
  </w:style>
  <w:style w:type="character" w:customStyle="1" w:styleId="TableTextChar0">
    <w:name w:val="TableText Char"/>
    <w:basedOn w:val="DefaultParagraphFont"/>
    <w:link w:val="TableText0"/>
    <w:uiPriority w:val="3"/>
    <w:rsid w:val="00CF758C"/>
    <w:rPr>
      <w:rFonts w:ascii="Arial Narrow" w:hAnsi="Arial Narrow" w:cs="Arial Narrow"/>
      <w:lang w:eastAsia="en-US"/>
    </w:rPr>
  </w:style>
  <w:style w:type="paragraph" w:customStyle="1" w:styleId="LandscapeFooter">
    <w:name w:val="Landscape Footer"/>
    <w:basedOn w:val="Normal"/>
    <w:link w:val="LandscapeFooterChar"/>
    <w:uiPriority w:val="5"/>
    <w:qFormat/>
    <w:rsid w:val="00CF758C"/>
    <w:pPr>
      <w:widowControl/>
      <w:tabs>
        <w:tab w:val="center" w:pos="7655"/>
        <w:tab w:val="right" w:pos="15137"/>
      </w:tabs>
      <w:jc w:val="left"/>
    </w:pPr>
    <w:rPr>
      <w:rFonts w:ascii="Calibri" w:eastAsiaTheme="minorEastAsia" w:hAnsi="Calibri" w:cstheme="minorBidi"/>
      <w:snapToGrid/>
      <w:sz w:val="18"/>
      <w:szCs w:val="18"/>
      <w:lang w:eastAsia="zh-CN"/>
    </w:rPr>
  </w:style>
  <w:style w:type="character" w:customStyle="1" w:styleId="LandscapeFooterChar">
    <w:name w:val="Landscape Footer Char"/>
    <w:basedOn w:val="DefaultParagraphFont"/>
    <w:link w:val="LandscapeFooter"/>
    <w:uiPriority w:val="5"/>
    <w:rsid w:val="00CF758C"/>
    <w:rPr>
      <w:rFonts w:ascii="Calibri" w:eastAsiaTheme="minorEastAsia" w:hAnsi="Calibri" w:cstheme="minorBidi"/>
      <w:sz w:val="18"/>
      <w:szCs w:val="18"/>
      <w:lang w:eastAsia="zh-CN"/>
    </w:rPr>
  </w:style>
  <w:style w:type="character" w:styleId="FollowedHyperlink">
    <w:name w:val="FollowedHyperlink"/>
    <w:basedOn w:val="DefaultParagraphFont"/>
    <w:semiHidden/>
    <w:unhideWhenUsed/>
    <w:rsid w:val="002E64AB"/>
    <w:rPr>
      <w:color w:val="800080" w:themeColor="followedHyperlink"/>
      <w:u w:val="single"/>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B2B4F"/>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DA5569"/>
    <w:pPr>
      <w:ind w:left="720" w:hanging="720"/>
    </w:pPr>
    <w:rPr>
      <w:rFonts w:ascii="Arial" w:eastAsia="SimSun" w:hAnsi="Arial" w:cs="Arial"/>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toc 8" w:uiPriority="39"/>
    <w:lsdException w:name="header" w:uiPriority="99"/>
    <w:lsdException w:name="footer" w:uiPriority="99"/>
    <w:lsdException w:name="table of figures" w:uiPriority="99"/>
    <w:lsdException w:name="annotation reference" w:uiPriority="99" w:qFormat="1"/>
    <w:lsdException w:name="List Bullet" w:uiPriority="4"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730DF"/>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5C2DD7"/>
    <w:pPr>
      <w:outlineLvl w:val="1"/>
    </w:pPr>
    <w:rPr>
      <w:b/>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5C2DD7"/>
    <w:rPr>
      <w:rFonts w:ascii="Arial" w:hAnsi="Arial" w:cs="Arial"/>
      <w:b/>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5C2DD7"/>
    <w:rPr>
      <w:sz w:val="28"/>
    </w:rPr>
  </w:style>
  <w:style w:type="character" w:customStyle="1" w:styleId="TitleChar">
    <w:name w:val="Title Char"/>
    <w:basedOn w:val="DefaultParagraphFont"/>
    <w:link w:val="Title"/>
    <w:rsid w:val="005C2DD7"/>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uiPriority w:val="3"/>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E105EF"/>
    <w:rPr>
      <w:lang w:eastAsia="en-US"/>
    </w:rPr>
  </w:style>
  <w:style w:type="paragraph" w:styleId="Subtitle">
    <w:name w:val="Subtitle"/>
    <w:basedOn w:val="Normal"/>
    <w:link w:val="SubtitleChar"/>
    <w:qFormat/>
    <w:rsid w:val="00E105EF"/>
    <w:pPr>
      <w:widowControl/>
    </w:pPr>
    <w:rPr>
      <w:rFonts w:ascii="Times New Roman" w:hAnsi="Times New Roman" w:cs="Times New Roman"/>
      <w:snapToGrid/>
      <w:sz w:val="20"/>
    </w:rPr>
  </w:style>
  <w:style w:type="character" w:customStyle="1" w:styleId="SubtitleChar1">
    <w:name w:val="Subtitle Char1"/>
    <w:basedOn w:val="DefaultParagraphFont"/>
    <w:rsid w:val="00E105EF"/>
    <w:rPr>
      <w:rFonts w:asciiTheme="minorHAnsi" w:eastAsiaTheme="minorEastAsia" w:hAnsiTheme="minorHAnsi" w:cstheme="minorBidi"/>
      <w:snapToGrid w:val="0"/>
      <w:color w:val="5A5A5A" w:themeColor="text1" w:themeTint="A5"/>
      <w:spacing w:val="15"/>
      <w:sz w:val="22"/>
      <w:szCs w:val="22"/>
      <w:lang w:eastAsia="en-US"/>
    </w:rPr>
  </w:style>
  <w:style w:type="paragraph" w:customStyle="1" w:styleId="PBACHeading1">
    <w:name w:val="PBAC Heading 1"/>
    <w:qFormat/>
    <w:rsid w:val="00E105EF"/>
    <w:pPr>
      <w:numPr>
        <w:numId w:val="2"/>
      </w:numPr>
    </w:pPr>
    <w:rPr>
      <w:rFonts w:ascii="Arial" w:hAnsi="Arial" w:cs="Arial"/>
      <w:b/>
      <w:snapToGrid w:val="0"/>
      <w:sz w:val="22"/>
      <w:szCs w:val="22"/>
      <w:lang w:eastAsia="en-US"/>
    </w:rPr>
  </w:style>
  <w:style w:type="paragraph" w:customStyle="1" w:styleId="TableLeft">
    <w:name w:val="Table Left"/>
    <w:basedOn w:val="Normal"/>
    <w:link w:val="TableLeftChar"/>
    <w:uiPriority w:val="5"/>
    <w:qFormat/>
    <w:rsid w:val="00E105EF"/>
    <w:pPr>
      <w:widowControl/>
      <w:jc w:val="left"/>
    </w:pPr>
    <w:rPr>
      <w:rFonts w:ascii="Calibri" w:eastAsiaTheme="majorEastAsia" w:hAnsi="Calibri" w:cstheme="majorBidi"/>
      <w:snapToGrid/>
      <w:sz w:val="20"/>
      <w:szCs w:val="22"/>
      <w:lang w:bidi="en-US"/>
    </w:rPr>
  </w:style>
  <w:style w:type="character" w:customStyle="1" w:styleId="TableLeftChar">
    <w:name w:val="Table Left Char"/>
    <w:basedOn w:val="DefaultParagraphFont"/>
    <w:link w:val="TableLeft"/>
    <w:uiPriority w:val="5"/>
    <w:rsid w:val="00E105EF"/>
    <w:rPr>
      <w:rFonts w:ascii="Calibri" w:eastAsiaTheme="majorEastAsia" w:hAnsi="Calibri" w:cstheme="majorBidi"/>
      <w:szCs w:val="22"/>
      <w:lang w:eastAsia="en-US" w:bidi="en-US"/>
    </w:rPr>
  </w:style>
  <w:style w:type="paragraph" w:styleId="TableofFigures">
    <w:name w:val="table of figures"/>
    <w:basedOn w:val="Normal"/>
    <w:next w:val="Normal"/>
    <w:uiPriority w:val="99"/>
    <w:unhideWhenUsed/>
    <w:rsid w:val="00E105EF"/>
    <w:pPr>
      <w:widowControl/>
      <w:tabs>
        <w:tab w:val="right" w:leader="dot" w:pos="9016"/>
      </w:tabs>
      <w:spacing w:before="40"/>
    </w:pPr>
    <w:rPr>
      <w:rFonts w:eastAsiaTheme="minorHAnsi" w:cstheme="minorBidi"/>
      <w:noProof/>
      <w:snapToGrid/>
      <w:szCs w:val="22"/>
    </w:rPr>
  </w:style>
  <w:style w:type="paragraph" w:customStyle="1" w:styleId="TableNotes">
    <w:name w:val="Table Notes"/>
    <w:basedOn w:val="Normal"/>
    <w:link w:val="TableNotesChar"/>
    <w:uiPriority w:val="99"/>
    <w:qFormat/>
    <w:rsid w:val="00E105EF"/>
    <w:pPr>
      <w:widowControl/>
      <w:spacing w:after="40"/>
      <w:jc w:val="left"/>
    </w:pPr>
    <w:rPr>
      <w:rFonts w:ascii="Calibri" w:eastAsiaTheme="majorEastAsia" w:hAnsi="Calibri" w:cstheme="majorBidi"/>
      <w:snapToGrid/>
      <w:sz w:val="16"/>
      <w:szCs w:val="22"/>
      <w:lang w:bidi="en-US"/>
    </w:rPr>
  </w:style>
  <w:style w:type="character" w:customStyle="1" w:styleId="TableNotesChar">
    <w:name w:val="Table Notes Char"/>
    <w:basedOn w:val="DefaultParagraphFont"/>
    <w:link w:val="TableNotes"/>
    <w:uiPriority w:val="99"/>
    <w:rsid w:val="00E105EF"/>
    <w:rPr>
      <w:rFonts w:ascii="Calibri" w:eastAsiaTheme="majorEastAsia" w:hAnsi="Calibri" w:cstheme="majorBidi"/>
      <w:sz w:val="16"/>
      <w:szCs w:val="22"/>
      <w:lang w:eastAsia="en-US" w:bidi="en-US"/>
    </w:rPr>
  </w:style>
  <w:style w:type="table" w:customStyle="1" w:styleId="TableGrid1">
    <w:name w:val="Table Grid1"/>
    <w:basedOn w:val="TableNormal"/>
    <w:next w:val="TableGrid"/>
    <w:uiPriority w:val="59"/>
    <w:rsid w:val="00E105EF"/>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105EF"/>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105EF"/>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1">
    <w:name w:val="Table Text"/>
    <w:basedOn w:val="DefaultParagraphFont"/>
    <w:uiPriority w:val="4"/>
    <w:qFormat/>
    <w:rsid w:val="00E105EF"/>
    <w:rPr>
      <w:sz w:val="20"/>
    </w:rPr>
  </w:style>
  <w:style w:type="table" w:customStyle="1" w:styleId="TableGrid4">
    <w:name w:val="Table Grid4"/>
    <w:basedOn w:val="TableNormal"/>
    <w:next w:val="TableGrid"/>
    <w:uiPriority w:val="59"/>
    <w:rsid w:val="00E105EF"/>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105EF"/>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105EF"/>
    <w:pPr>
      <w:jc w:val="both"/>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105EF"/>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E105EF"/>
    <w:pPr>
      <w:jc w:val="both"/>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105EF"/>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105EF"/>
    <w:rPr>
      <w:rFonts w:asciiTheme="minorHAnsi" w:eastAsiaTheme="minorHAnsi" w:hAnsiTheme="minorHAnsi" w:cstheme="minorBid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E105EF"/>
    <w:rPr>
      <w:rFonts w:asciiTheme="minorHAnsi" w:eastAsiaTheme="minorHAnsi" w:hAnsiTheme="minorHAnsi" w:cstheme="minorBid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E105EF"/>
    <w:rPr>
      <w:rFonts w:asciiTheme="minorHAnsi" w:eastAsiaTheme="minorHAnsi" w:hAnsiTheme="minorHAnsi" w:cstheme="minorBid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5A4AA6"/>
    <w:rPr>
      <w:rFonts w:ascii="Arial" w:hAnsi="Arial" w:cs="Arial"/>
      <w:snapToGrid w:val="0"/>
      <w:sz w:val="22"/>
      <w:lang w:eastAsia="en-US"/>
    </w:rPr>
  </w:style>
  <w:style w:type="paragraph" w:styleId="ListBullet">
    <w:name w:val="List Bullet"/>
    <w:basedOn w:val="Normal"/>
    <w:uiPriority w:val="4"/>
    <w:qFormat/>
    <w:rsid w:val="00C765B2"/>
    <w:pPr>
      <w:widowControl/>
      <w:numPr>
        <w:numId w:val="5"/>
      </w:numPr>
      <w:spacing w:after="240" w:line="288" w:lineRule="auto"/>
      <w:contextualSpacing/>
    </w:pPr>
    <w:rPr>
      <w:rFonts w:ascii="Calibri" w:eastAsiaTheme="minorEastAsia" w:hAnsi="Calibri" w:cstheme="minorBidi"/>
      <w:snapToGrid/>
      <w:szCs w:val="22"/>
      <w:lang w:eastAsia="zh-CN"/>
    </w:rPr>
  </w:style>
  <w:style w:type="paragraph" w:styleId="FootnoteText">
    <w:name w:val="footnote text"/>
    <w:basedOn w:val="Normal"/>
    <w:link w:val="FootnoteTextChar"/>
    <w:unhideWhenUsed/>
    <w:rsid w:val="00B614C0"/>
    <w:rPr>
      <w:sz w:val="20"/>
    </w:rPr>
  </w:style>
  <w:style w:type="character" w:customStyle="1" w:styleId="FootnoteTextChar">
    <w:name w:val="Footnote Text Char"/>
    <w:basedOn w:val="DefaultParagraphFont"/>
    <w:link w:val="FootnoteText"/>
    <w:rsid w:val="00B614C0"/>
    <w:rPr>
      <w:rFonts w:ascii="Arial" w:hAnsi="Arial" w:cs="Arial"/>
      <w:snapToGrid w:val="0"/>
      <w:lang w:eastAsia="en-US"/>
    </w:rPr>
  </w:style>
  <w:style w:type="character" w:styleId="FootnoteReference">
    <w:name w:val="footnote reference"/>
    <w:basedOn w:val="DefaultParagraphFont"/>
    <w:unhideWhenUsed/>
    <w:rsid w:val="00B614C0"/>
    <w:rPr>
      <w:vertAlign w:val="superscript"/>
    </w:rPr>
  </w:style>
  <w:style w:type="paragraph" w:customStyle="1" w:styleId="TableNotes1">
    <w:name w:val="TableNotes"/>
    <w:basedOn w:val="Normal"/>
    <w:next w:val="Normal"/>
    <w:uiPriority w:val="3"/>
    <w:qFormat/>
    <w:rsid w:val="00CF758C"/>
    <w:pPr>
      <w:widowControl/>
      <w:tabs>
        <w:tab w:val="left" w:pos="1134"/>
      </w:tabs>
      <w:ind w:left="1134" w:hanging="1134"/>
      <w:jc w:val="left"/>
    </w:pPr>
    <w:rPr>
      <w:rFonts w:ascii="Calibri" w:eastAsiaTheme="minorEastAsia" w:hAnsi="Calibri" w:cstheme="minorBidi"/>
      <w:snapToGrid/>
      <w:sz w:val="18"/>
      <w:szCs w:val="18"/>
    </w:rPr>
  </w:style>
  <w:style w:type="character" w:customStyle="1" w:styleId="TableTextChar0">
    <w:name w:val="TableText Char"/>
    <w:basedOn w:val="DefaultParagraphFont"/>
    <w:link w:val="TableText0"/>
    <w:uiPriority w:val="3"/>
    <w:rsid w:val="00CF758C"/>
    <w:rPr>
      <w:rFonts w:ascii="Arial Narrow" w:hAnsi="Arial Narrow" w:cs="Arial Narrow"/>
      <w:lang w:eastAsia="en-US"/>
    </w:rPr>
  </w:style>
  <w:style w:type="paragraph" w:customStyle="1" w:styleId="LandscapeFooter">
    <w:name w:val="Landscape Footer"/>
    <w:basedOn w:val="Normal"/>
    <w:link w:val="LandscapeFooterChar"/>
    <w:uiPriority w:val="5"/>
    <w:qFormat/>
    <w:rsid w:val="00CF758C"/>
    <w:pPr>
      <w:widowControl/>
      <w:tabs>
        <w:tab w:val="center" w:pos="7655"/>
        <w:tab w:val="right" w:pos="15137"/>
      </w:tabs>
      <w:jc w:val="left"/>
    </w:pPr>
    <w:rPr>
      <w:rFonts w:ascii="Calibri" w:eastAsiaTheme="minorEastAsia" w:hAnsi="Calibri" w:cstheme="minorBidi"/>
      <w:snapToGrid/>
      <w:sz w:val="18"/>
      <w:szCs w:val="18"/>
      <w:lang w:eastAsia="zh-CN"/>
    </w:rPr>
  </w:style>
  <w:style w:type="character" w:customStyle="1" w:styleId="LandscapeFooterChar">
    <w:name w:val="Landscape Footer Char"/>
    <w:basedOn w:val="DefaultParagraphFont"/>
    <w:link w:val="LandscapeFooter"/>
    <w:uiPriority w:val="5"/>
    <w:rsid w:val="00CF758C"/>
    <w:rPr>
      <w:rFonts w:ascii="Calibri" w:eastAsiaTheme="minorEastAsia" w:hAnsi="Calibri" w:cstheme="minorBidi"/>
      <w:sz w:val="18"/>
      <w:szCs w:val="18"/>
      <w:lang w:eastAsia="zh-CN"/>
    </w:rPr>
  </w:style>
  <w:style w:type="character" w:styleId="FollowedHyperlink">
    <w:name w:val="FollowedHyperlink"/>
    <w:basedOn w:val="DefaultParagraphFont"/>
    <w:semiHidden/>
    <w:unhideWhenUsed/>
    <w:rsid w:val="002E64AB"/>
    <w:rPr>
      <w:color w:val="800080" w:themeColor="followedHyperlink"/>
      <w:u w:val="single"/>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B2B4F"/>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DA5569"/>
    <w:pPr>
      <w:ind w:left="720" w:hanging="720"/>
    </w:pPr>
    <w:rPr>
      <w:rFonts w:ascii="Arial" w:eastAsia="SimSun" w:hAnsi="Arial" w:cs="Arial"/>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675126">
      <w:bodyDiv w:val="1"/>
      <w:marLeft w:val="0"/>
      <w:marRight w:val="0"/>
      <w:marTop w:val="0"/>
      <w:marBottom w:val="0"/>
      <w:divBdr>
        <w:top w:val="none" w:sz="0" w:space="0" w:color="auto"/>
        <w:left w:val="none" w:sz="0" w:space="0" w:color="auto"/>
        <w:bottom w:val="none" w:sz="0" w:space="0" w:color="auto"/>
        <w:right w:val="none" w:sz="0" w:space="0" w:color="auto"/>
      </w:divBdr>
    </w:div>
    <w:div w:id="936449280">
      <w:bodyDiv w:val="1"/>
      <w:marLeft w:val="0"/>
      <w:marRight w:val="0"/>
      <w:marTop w:val="0"/>
      <w:marBottom w:val="0"/>
      <w:divBdr>
        <w:top w:val="none" w:sz="0" w:space="0" w:color="auto"/>
        <w:left w:val="none" w:sz="0" w:space="0" w:color="auto"/>
        <w:bottom w:val="none" w:sz="0" w:space="0" w:color="auto"/>
        <w:right w:val="none" w:sz="0" w:space="0" w:color="auto"/>
      </w:divBdr>
    </w:div>
    <w:div w:id="1099452003">
      <w:bodyDiv w:val="1"/>
      <w:marLeft w:val="0"/>
      <w:marRight w:val="0"/>
      <w:marTop w:val="0"/>
      <w:marBottom w:val="0"/>
      <w:divBdr>
        <w:top w:val="none" w:sz="0" w:space="0" w:color="auto"/>
        <w:left w:val="none" w:sz="0" w:space="0" w:color="auto"/>
        <w:bottom w:val="none" w:sz="0" w:space="0" w:color="auto"/>
        <w:right w:val="none" w:sz="0" w:space="0" w:color="auto"/>
      </w:divBdr>
      <w:divsChild>
        <w:div w:id="2002274404">
          <w:marLeft w:val="0"/>
          <w:marRight w:val="0"/>
          <w:marTop w:val="0"/>
          <w:marBottom w:val="0"/>
          <w:divBdr>
            <w:top w:val="none" w:sz="0" w:space="0" w:color="auto"/>
            <w:left w:val="none" w:sz="0" w:space="0" w:color="auto"/>
            <w:bottom w:val="none" w:sz="0" w:space="0" w:color="auto"/>
            <w:right w:val="none" w:sz="0" w:space="0" w:color="auto"/>
          </w:divBdr>
          <w:divsChild>
            <w:div w:id="1752772594">
              <w:marLeft w:val="0"/>
              <w:marRight w:val="0"/>
              <w:marTop w:val="0"/>
              <w:marBottom w:val="0"/>
              <w:divBdr>
                <w:top w:val="none" w:sz="0" w:space="0" w:color="auto"/>
                <w:left w:val="none" w:sz="0" w:space="0" w:color="auto"/>
                <w:bottom w:val="none" w:sz="0" w:space="0" w:color="auto"/>
                <w:right w:val="none" w:sz="0" w:space="0" w:color="auto"/>
              </w:divBdr>
              <w:divsChild>
                <w:div w:id="132062002">
                  <w:marLeft w:val="-300"/>
                  <w:marRight w:val="0"/>
                  <w:marTop w:val="0"/>
                  <w:marBottom w:val="0"/>
                  <w:divBdr>
                    <w:top w:val="none" w:sz="0" w:space="0" w:color="auto"/>
                    <w:left w:val="none" w:sz="0" w:space="0" w:color="auto"/>
                    <w:bottom w:val="none" w:sz="0" w:space="0" w:color="auto"/>
                    <w:right w:val="none" w:sz="0" w:space="0" w:color="auto"/>
                  </w:divBdr>
                  <w:divsChild>
                    <w:div w:id="896359450">
                      <w:marLeft w:val="0"/>
                      <w:marRight w:val="0"/>
                      <w:marTop w:val="0"/>
                      <w:marBottom w:val="0"/>
                      <w:divBdr>
                        <w:top w:val="none" w:sz="0" w:space="0" w:color="auto"/>
                        <w:left w:val="none" w:sz="0" w:space="0" w:color="auto"/>
                        <w:bottom w:val="none" w:sz="0" w:space="0" w:color="auto"/>
                        <w:right w:val="none" w:sz="0" w:space="0" w:color="auto"/>
                      </w:divBdr>
                      <w:divsChild>
                        <w:div w:id="788745776">
                          <w:marLeft w:val="-300"/>
                          <w:marRight w:val="0"/>
                          <w:marTop w:val="0"/>
                          <w:marBottom w:val="0"/>
                          <w:divBdr>
                            <w:top w:val="none" w:sz="0" w:space="0" w:color="auto"/>
                            <w:left w:val="none" w:sz="0" w:space="0" w:color="auto"/>
                            <w:bottom w:val="none" w:sz="0" w:space="0" w:color="auto"/>
                            <w:right w:val="none" w:sz="0" w:space="0" w:color="auto"/>
                          </w:divBdr>
                          <w:divsChild>
                            <w:div w:id="149443137">
                              <w:marLeft w:val="0"/>
                              <w:marRight w:val="0"/>
                              <w:marTop w:val="0"/>
                              <w:marBottom w:val="0"/>
                              <w:divBdr>
                                <w:top w:val="none" w:sz="0" w:space="0" w:color="auto"/>
                                <w:left w:val="none" w:sz="0" w:space="0" w:color="auto"/>
                                <w:bottom w:val="none" w:sz="0" w:space="0" w:color="auto"/>
                                <w:right w:val="none" w:sz="0" w:space="0" w:color="auto"/>
                              </w:divBdr>
                            </w:div>
                          </w:divsChild>
                        </w:div>
                        <w:div w:id="822964780">
                          <w:marLeft w:val="-300"/>
                          <w:marRight w:val="0"/>
                          <w:marTop w:val="0"/>
                          <w:marBottom w:val="0"/>
                          <w:divBdr>
                            <w:top w:val="none" w:sz="0" w:space="0" w:color="auto"/>
                            <w:left w:val="none" w:sz="0" w:space="0" w:color="auto"/>
                            <w:bottom w:val="none" w:sz="0" w:space="0" w:color="auto"/>
                            <w:right w:val="none" w:sz="0" w:space="0" w:color="auto"/>
                          </w:divBdr>
                          <w:divsChild>
                            <w:div w:id="79737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817">
      <w:bodyDiv w:val="1"/>
      <w:marLeft w:val="0"/>
      <w:marRight w:val="0"/>
      <w:marTop w:val="0"/>
      <w:marBottom w:val="0"/>
      <w:divBdr>
        <w:top w:val="none" w:sz="0" w:space="0" w:color="auto"/>
        <w:left w:val="none" w:sz="0" w:space="0" w:color="auto"/>
        <w:bottom w:val="none" w:sz="0" w:space="0" w:color="auto"/>
        <w:right w:val="none" w:sz="0" w:space="0" w:color="auto"/>
      </w:divBdr>
    </w:div>
    <w:div w:id="1416435297">
      <w:bodyDiv w:val="1"/>
      <w:marLeft w:val="0"/>
      <w:marRight w:val="0"/>
      <w:marTop w:val="0"/>
      <w:marBottom w:val="0"/>
      <w:divBdr>
        <w:top w:val="none" w:sz="0" w:space="0" w:color="auto"/>
        <w:left w:val="none" w:sz="0" w:space="0" w:color="auto"/>
        <w:bottom w:val="none" w:sz="0" w:space="0" w:color="auto"/>
        <w:right w:val="none" w:sz="0" w:space="0" w:color="auto"/>
      </w:divBdr>
    </w:div>
    <w:div w:id="187376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E93A3-2EC2-48D8-8BDC-C04AB12E8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6612</Words>
  <Characters>39570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2015-10-22T05:10:00Z</dcterms:created>
  <dcterms:modified xsi:type="dcterms:W3CDTF">2015-10-22T05:11:00Z</dcterms:modified>
</cp:coreProperties>
</file>