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Default="00A0210C" w:rsidP="005A7E75">
      <w:pPr>
        <w:pStyle w:val="Heading1"/>
        <w:widowControl/>
        <w:rPr>
          <w:rFonts w:hint="eastAsia"/>
          <w:sz w:val="28"/>
          <w:szCs w:val="28"/>
        </w:rPr>
      </w:pPr>
      <w:bookmarkStart w:id="0" w:name="_Toc419467331"/>
      <w:r w:rsidRPr="00137230">
        <w:rPr>
          <w:sz w:val="28"/>
        </w:rPr>
        <w:t>5.04</w:t>
      </w:r>
      <w:r w:rsidR="00B60939" w:rsidRPr="00137230">
        <w:rPr>
          <w:sz w:val="28"/>
        </w:rPr>
        <w:tab/>
      </w:r>
      <w:r w:rsidR="00694E6C" w:rsidRPr="00694E6C">
        <w:rPr>
          <w:sz w:val="28"/>
          <w:szCs w:val="28"/>
        </w:rPr>
        <w:t>PERTUSSIS VACCINE-ACELLULAR, combined with DIP</w:t>
      </w:r>
      <w:r w:rsidR="008F1F9B">
        <w:rPr>
          <w:sz w:val="28"/>
          <w:szCs w:val="28"/>
        </w:rPr>
        <w:t>H</w:t>
      </w:r>
      <w:r w:rsidR="00694E6C" w:rsidRPr="00694E6C">
        <w:rPr>
          <w:sz w:val="28"/>
          <w:szCs w:val="28"/>
        </w:rPr>
        <w:t>THERIA and TETANUS TOXOIDS</w:t>
      </w:r>
      <w:r w:rsidR="00694E6C">
        <w:rPr>
          <w:sz w:val="28"/>
          <w:szCs w:val="28"/>
        </w:rPr>
        <w:t xml:space="preserve"> (DT</w:t>
      </w:r>
      <w:r w:rsidR="00694E6C">
        <w:rPr>
          <w:caps w:val="0"/>
          <w:sz w:val="28"/>
          <w:szCs w:val="28"/>
        </w:rPr>
        <w:t>a</w:t>
      </w:r>
      <w:r w:rsidR="00694E6C">
        <w:rPr>
          <w:sz w:val="28"/>
          <w:szCs w:val="28"/>
        </w:rPr>
        <w:t>p)</w:t>
      </w:r>
      <w:r w:rsidR="00B60939" w:rsidRPr="00137230">
        <w:rPr>
          <w:sz w:val="28"/>
          <w:szCs w:val="28"/>
        </w:rPr>
        <w:t xml:space="preserve">, </w:t>
      </w:r>
      <w:r w:rsidR="00694E6C">
        <w:rPr>
          <w:caps w:val="0"/>
          <w:sz w:val="28"/>
          <w:szCs w:val="28"/>
        </w:rPr>
        <w:t>0.5 mL vial, 1</w:t>
      </w:r>
      <w:r w:rsidR="00B60939" w:rsidRPr="00137230">
        <w:rPr>
          <w:sz w:val="28"/>
          <w:szCs w:val="28"/>
        </w:rPr>
        <w:t xml:space="preserve">, </w:t>
      </w:r>
      <w:proofErr w:type="spellStart"/>
      <w:r w:rsidR="0012755E" w:rsidRPr="00137230">
        <w:rPr>
          <w:caps w:val="0"/>
          <w:sz w:val="28"/>
          <w:szCs w:val="28"/>
        </w:rPr>
        <w:t>Tripacel</w:t>
      </w:r>
      <w:proofErr w:type="spellEnd"/>
      <w:r w:rsidR="00B60939" w:rsidRPr="00137230">
        <w:rPr>
          <w:sz w:val="28"/>
          <w:szCs w:val="28"/>
          <w:vertAlign w:val="superscript"/>
        </w:rPr>
        <w:t>®</w:t>
      </w:r>
      <w:r w:rsidR="00B60939" w:rsidRPr="00137230">
        <w:rPr>
          <w:sz w:val="28"/>
          <w:szCs w:val="28"/>
        </w:rPr>
        <w:t xml:space="preserve">, </w:t>
      </w:r>
      <w:proofErr w:type="spellStart"/>
      <w:r w:rsidR="0012755E" w:rsidRPr="00137230">
        <w:rPr>
          <w:caps w:val="0"/>
          <w:sz w:val="28"/>
          <w:szCs w:val="28"/>
        </w:rPr>
        <w:t>Sanofi-aventis</w:t>
      </w:r>
      <w:proofErr w:type="spellEnd"/>
      <w:r w:rsidR="0012755E" w:rsidRPr="00137230">
        <w:rPr>
          <w:caps w:val="0"/>
          <w:sz w:val="28"/>
          <w:szCs w:val="28"/>
        </w:rPr>
        <w:t xml:space="preserve"> Australia Pty Ltd</w:t>
      </w:r>
      <w:r w:rsidR="00B60939" w:rsidRPr="00137230">
        <w:rPr>
          <w:sz w:val="28"/>
          <w:szCs w:val="28"/>
        </w:rPr>
        <w:t>.</w:t>
      </w:r>
      <w:bookmarkEnd w:id="0"/>
    </w:p>
    <w:p w:rsidR="00B60939" w:rsidRDefault="00B60939" w:rsidP="005A7E75">
      <w:pPr>
        <w:widowControl/>
      </w:pPr>
    </w:p>
    <w:p w:rsidR="00FE664D" w:rsidRPr="00137230" w:rsidRDefault="00FE664D" w:rsidP="005A7E75">
      <w:pPr>
        <w:widowControl/>
      </w:pPr>
    </w:p>
    <w:p w:rsidR="00A84528" w:rsidRPr="00A84528" w:rsidRDefault="00B50DB8" w:rsidP="00A84528">
      <w:pPr>
        <w:pStyle w:val="ListParagraph"/>
        <w:widowControl/>
        <w:numPr>
          <w:ilvl w:val="0"/>
          <w:numId w:val="36"/>
        </w:numPr>
        <w:ind w:left="720" w:hanging="720"/>
        <w:rPr>
          <w:rFonts w:eastAsia="Times New Roman"/>
          <w:b/>
          <w:szCs w:val="22"/>
        </w:rPr>
      </w:pPr>
      <w:bookmarkStart w:id="1" w:name="_Toc419467333"/>
      <w:r w:rsidRPr="00A84528">
        <w:rPr>
          <w:rFonts w:eastAsia="Times New Roman"/>
          <w:b/>
          <w:szCs w:val="22"/>
        </w:rPr>
        <w:t>Purpose of Application</w:t>
      </w:r>
      <w:bookmarkEnd w:id="1"/>
    </w:p>
    <w:p w:rsidR="00B60939" w:rsidRPr="00137230" w:rsidRDefault="00B60939" w:rsidP="005A7E75">
      <w:pPr>
        <w:widowControl/>
        <w:rPr>
          <w:szCs w:val="22"/>
        </w:rPr>
      </w:pPr>
    </w:p>
    <w:p w:rsidR="00E12E01" w:rsidRPr="00E12E01" w:rsidRDefault="00E66C45" w:rsidP="00E12E01">
      <w:pPr>
        <w:pStyle w:val="ListParagraph"/>
        <w:widowControl/>
        <w:numPr>
          <w:ilvl w:val="1"/>
          <w:numId w:val="12"/>
        </w:numPr>
        <w:rPr>
          <w:rFonts w:eastAsia="Times New Roman"/>
          <w:b/>
          <w:szCs w:val="22"/>
        </w:rPr>
      </w:pPr>
      <w:r w:rsidRPr="00C973F3">
        <w:rPr>
          <w:rFonts w:eastAsia="Times New Roman"/>
          <w:szCs w:val="24"/>
        </w:rPr>
        <w:t>The submission request</w:t>
      </w:r>
      <w:r>
        <w:rPr>
          <w:rFonts w:eastAsia="Times New Roman"/>
          <w:szCs w:val="24"/>
        </w:rPr>
        <w:t>ed</w:t>
      </w:r>
      <w:r w:rsidRPr="00C973F3">
        <w:rPr>
          <w:rFonts w:eastAsia="Times New Roman"/>
          <w:szCs w:val="24"/>
        </w:rPr>
        <w:t xml:space="preserve"> National Immunisation Program (NIP) listing for the Pertussis Vaccine-</w:t>
      </w:r>
      <w:proofErr w:type="spellStart"/>
      <w:r w:rsidRPr="00C973F3">
        <w:rPr>
          <w:rFonts w:eastAsia="Times New Roman"/>
          <w:szCs w:val="24"/>
        </w:rPr>
        <w:t>Acellular</w:t>
      </w:r>
      <w:proofErr w:type="spellEnd"/>
      <w:r w:rsidRPr="00C973F3">
        <w:rPr>
          <w:rFonts w:eastAsia="Times New Roman"/>
          <w:szCs w:val="24"/>
        </w:rPr>
        <w:t>, combined with Diphtheria and Tetanus Toxoids (Adsorbed) (DTaP) vaccine at approximately 18 months for the prevention of pertussis.</w:t>
      </w:r>
    </w:p>
    <w:p w:rsidR="00E12E01" w:rsidRPr="00E12E01" w:rsidRDefault="00E12E01" w:rsidP="00E12E01">
      <w:pPr>
        <w:pStyle w:val="ListParagraph"/>
        <w:widowControl/>
        <w:rPr>
          <w:rFonts w:eastAsia="Times New Roman"/>
          <w:b/>
          <w:szCs w:val="22"/>
        </w:rPr>
      </w:pPr>
    </w:p>
    <w:p w:rsidR="00A84528" w:rsidRPr="00A84528" w:rsidRDefault="00E12E01" w:rsidP="00E12E01">
      <w:pPr>
        <w:pStyle w:val="ListParagraph"/>
        <w:widowControl/>
        <w:numPr>
          <w:ilvl w:val="0"/>
          <w:numId w:val="36"/>
        </w:numPr>
        <w:ind w:left="720" w:hanging="720"/>
        <w:rPr>
          <w:rFonts w:eastAsia="Times New Roman"/>
          <w:b/>
          <w:szCs w:val="22"/>
        </w:rPr>
      </w:pPr>
      <w:r w:rsidRPr="00A84528">
        <w:rPr>
          <w:rFonts w:eastAsia="Times New Roman"/>
          <w:b/>
          <w:szCs w:val="22"/>
        </w:rPr>
        <w:t xml:space="preserve"> </w:t>
      </w:r>
      <w:r w:rsidR="00A84528" w:rsidRPr="00A84528">
        <w:rPr>
          <w:rFonts w:eastAsia="Times New Roman"/>
          <w:b/>
          <w:szCs w:val="22"/>
        </w:rPr>
        <w:t>Requested listing</w:t>
      </w:r>
    </w:p>
    <w:p w:rsidR="00A84528" w:rsidRPr="006E6E34" w:rsidRDefault="00A84528" w:rsidP="00A84528">
      <w:pPr>
        <w:keepNext/>
        <w:widowControl/>
      </w:pPr>
    </w:p>
    <w:tbl>
      <w:tblPr>
        <w:tblW w:w="4692" w:type="pct"/>
        <w:tblInd w:w="720" w:type="dxa"/>
        <w:tblCellMar>
          <w:left w:w="28" w:type="dxa"/>
          <w:right w:w="28" w:type="dxa"/>
        </w:tblCellMar>
        <w:tblLook w:val="0000" w:firstRow="0" w:lastRow="0" w:firstColumn="0" w:lastColumn="0" w:noHBand="0" w:noVBand="0"/>
      </w:tblPr>
      <w:tblGrid>
        <w:gridCol w:w="3134"/>
        <w:gridCol w:w="568"/>
        <w:gridCol w:w="851"/>
        <w:gridCol w:w="1275"/>
        <w:gridCol w:w="1558"/>
        <w:gridCol w:w="1137"/>
      </w:tblGrid>
      <w:tr w:rsidR="00A84528" w:rsidRPr="009E6456" w:rsidTr="00A84528">
        <w:trPr>
          <w:cantSplit/>
          <w:trHeight w:val="471"/>
        </w:trPr>
        <w:tc>
          <w:tcPr>
            <w:tcW w:w="1839" w:type="pct"/>
            <w:tcBorders>
              <w:bottom w:val="single" w:sz="4" w:space="0" w:color="auto"/>
            </w:tcBorders>
            <w:vAlign w:val="center"/>
          </w:tcPr>
          <w:p w:rsidR="00A84528" w:rsidRPr="009E6456" w:rsidRDefault="00A84528" w:rsidP="00A84528">
            <w:pPr>
              <w:keepNext/>
              <w:widowControl/>
              <w:ind w:left="709" w:hanging="709"/>
              <w:jc w:val="left"/>
              <w:rPr>
                <w:rFonts w:ascii="Arial Narrow" w:hAnsi="Arial Narrow"/>
                <w:sz w:val="20"/>
              </w:rPr>
            </w:pPr>
            <w:r w:rsidRPr="009E6456">
              <w:rPr>
                <w:rFonts w:ascii="Arial Narrow" w:hAnsi="Arial Narrow"/>
                <w:sz w:val="20"/>
              </w:rPr>
              <w:t>Name, Restriction,</w:t>
            </w:r>
          </w:p>
          <w:p w:rsidR="00A84528" w:rsidRPr="009E6456" w:rsidRDefault="00A84528" w:rsidP="00A84528">
            <w:pPr>
              <w:keepNext/>
              <w:widowControl/>
              <w:ind w:left="709" w:hanging="709"/>
              <w:jc w:val="left"/>
              <w:rPr>
                <w:rFonts w:ascii="Arial Narrow" w:hAnsi="Arial Narrow"/>
                <w:sz w:val="20"/>
              </w:rPr>
            </w:pPr>
            <w:r w:rsidRPr="009E6456">
              <w:rPr>
                <w:rFonts w:ascii="Arial Narrow" w:hAnsi="Arial Narrow"/>
                <w:sz w:val="20"/>
              </w:rPr>
              <w:t>Manner of administration and form</w:t>
            </w:r>
          </w:p>
        </w:tc>
        <w:tc>
          <w:tcPr>
            <w:tcW w:w="333" w:type="pct"/>
            <w:tcBorders>
              <w:bottom w:val="single" w:sz="4" w:space="0" w:color="auto"/>
            </w:tcBorders>
            <w:vAlign w:val="center"/>
          </w:tcPr>
          <w:p w:rsidR="00A84528" w:rsidRPr="009E6456" w:rsidRDefault="00A84528" w:rsidP="00A84528">
            <w:pPr>
              <w:keepNext/>
              <w:widowControl/>
              <w:ind w:left="709" w:hanging="709"/>
              <w:jc w:val="center"/>
              <w:rPr>
                <w:rFonts w:ascii="Arial Narrow" w:hAnsi="Arial Narrow"/>
                <w:sz w:val="20"/>
              </w:rPr>
            </w:pPr>
            <w:r w:rsidRPr="009E6456">
              <w:rPr>
                <w:rFonts w:ascii="Arial Narrow" w:hAnsi="Arial Narrow"/>
                <w:sz w:val="20"/>
              </w:rPr>
              <w:t>Max.</w:t>
            </w:r>
          </w:p>
          <w:p w:rsidR="00A84528" w:rsidRPr="009E6456" w:rsidRDefault="00A84528" w:rsidP="00A84528">
            <w:pPr>
              <w:keepNext/>
              <w:widowControl/>
              <w:ind w:left="709" w:hanging="709"/>
              <w:jc w:val="center"/>
              <w:rPr>
                <w:rFonts w:ascii="Arial Narrow" w:hAnsi="Arial Narrow"/>
                <w:sz w:val="20"/>
              </w:rPr>
            </w:pPr>
            <w:r w:rsidRPr="009E6456">
              <w:rPr>
                <w:rFonts w:ascii="Arial Narrow" w:hAnsi="Arial Narrow"/>
                <w:sz w:val="20"/>
              </w:rPr>
              <w:t>Qty</w:t>
            </w:r>
          </w:p>
        </w:tc>
        <w:tc>
          <w:tcPr>
            <w:tcW w:w="499" w:type="pct"/>
            <w:tcBorders>
              <w:bottom w:val="single" w:sz="4" w:space="0" w:color="auto"/>
            </w:tcBorders>
            <w:vAlign w:val="center"/>
          </w:tcPr>
          <w:p w:rsidR="00A84528" w:rsidRPr="009E6456" w:rsidRDefault="00A84528" w:rsidP="00A84528">
            <w:pPr>
              <w:keepNext/>
              <w:widowControl/>
              <w:ind w:left="709" w:hanging="709"/>
              <w:jc w:val="center"/>
              <w:rPr>
                <w:rFonts w:ascii="Arial Narrow" w:hAnsi="Arial Narrow"/>
                <w:sz w:val="20"/>
              </w:rPr>
            </w:pPr>
            <w:r w:rsidRPr="009E6456">
              <w:rPr>
                <w:rFonts w:ascii="Arial Narrow" w:hAnsi="Arial Narrow"/>
                <w:sz w:val="20"/>
              </w:rPr>
              <w:t>№.of</w:t>
            </w:r>
          </w:p>
          <w:p w:rsidR="00A84528" w:rsidRPr="009E6456" w:rsidRDefault="00A84528" w:rsidP="00A84528">
            <w:pPr>
              <w:keepNext/>
              <w:widowControl/>
              <w:ind w:left="709" w:hanging="709"/>
              <w:jc w:val="center"/>
              <w:rPr>
                <w:rFonts w:ascii="Arial Narrow" w:hAnsi="Arial Narrow"/>
                <w:sz w:val="20"/>
              </w:rPr>
            </w:pPr>
            <w:r w:rsidRPr="009E6456">
              <w:rPr>
                <w:rFonts w:ascii="Arial Narrow" w:hAnsi="Arial Narrow"/>
                <w:sz w:val="20"/>
              </w:rPr>
              <w:t>Rpts</w:t>
            </w:r>
          </w:p>
        </w:tc>
        <w:tc>
          <w:tcPr>
            <w:tcW w:w="748" w:type="pct"/>
            <w:tcBorders>
              <w:bottom w:val="single" w:sz="4" w:space="0" w:color="auto"/>
            </w:tcBorders>
            <w:vAlign w:val="center"/>
          </w:tcPr>
          <w:p w:rsidR="00A84528" w:rsidRPr="009E6456" w:rsidRDefault="00A84528" w:rsidP="00A84528">
            <w:pPr>
              <w:keepNext/>
              <w:widowControl/>
              <w:jc w:val="left"/>
              <w:rPr>
                <w:rFonts w:ascii="Arial Narrow" w:hAnsi="Arial Narrow"/>
                <w:sz w:val="20"/>
              </w:rPr>
            </w:pPr>
            <w:r w:rsidRPr="009E6456">
              <w:rPr>
                <w:rFonts w:ascii="Arial Narrow" w:hAnsi="Arial Narrow"/>
                <w:sz w:val="20"/>
              </w:rPr>
              <w:t>Dispensed Price for Max. Qty</w:t>
            </w:r>
          </w:p>
        </w:tc>
        <w:tc>
          <w:tcPr>
            <w:tcW w:w="1580" w:type="pct"/>
            <w:gridSpan w:val="2"/>
            <w:tcBorders>
              <w:bottom w:val="single" w:sz="4" w:space="0" w:color="auto"/>
            </w:tcBorders>
            <w:vAlign w:val="center"/>
          </w:tcPr>
          <w:p w:rsidR="00A84528" w:rsidRPr="009E6456" w:rsidRDefault="00A84528" w:rsidP="00A84528">
            <w:pPr>
              <w:keepNext/>
              <w:widowControl/>
              <w:ind w:left="709" w:hanging="709"/>
              <w:jc w:val="left"/>
              <w:rPr>
                <w:rFonts w:ascii="Arial Narrow" w:hAnsi="Arial Narrow"/>
                <w:sz w:val="20"/>
              </w:rPr>
            </w:pPr>
            <w:r w:rsidRPr="009E6456">
              <w:rPr>
                <w:rFonts w:ascii="Arial Narrow" w:hAnsi="Arial Narrow"/>
                <w:sz w:val="20"/>
              </w:rPr>
              <w:t>Proprietary Name and Manufacturer</w:t>
            </w:r>
          </w:p>
        </w:tc>
      </w:tr>
      <w:tr w:rsidR="00A84528" w:rsidRPr="009E6456" w:rsidTr="00A84528">
        <w:trPr>
          <w:cantSplit/>
          <w:trHeight w:val="577"/>
        </w:trPr>
        <w:tc>
          <w:tcPr>
            <w:tcW w:w="1839" w:type="pct"/>
            <w:vAlign w:val="center"/>
          </w:tcPr>
          <w:p w:rsidR="00A84528" w:rsidRPr="009E6456" w:rsidRDefault="00A84528" w:rsidP="00A84528">
            <w:pPr>
              <w:keepNext/>
              <w:widowControl/>
              <w:ind w:hanging="11"/>
              <w:rPr>
                <w:rFonts w:ascii="Arial Narrow" w:hAnsi="Arial Narrow"/>
                <w:smallCaps/>
                <w:sz w:val="20"/>
              </w:rPr>
            </w:pPr>
            <w:r w:rsidRPr="009E6456">
              <w:rPr>
                <w:rFonts w:ascii="Arial Narrow" w:hAnsi="Arial Narrow"/>
                <w:smallCaps/>
                <w:sz w:val="20"/>
              </w:rPr>
              <w:t>Pertussis Vaccine-</w:t>
            </w:r>
            <w:proofErr w:type="spellStart"/>
            <w:r w:rsidRPr="009E6456">
              <w:rPr>
                <w:rFonts w:ascii="Arial Narrow" w:hAnsi="Arial Narrow"/>
                <w:smallCaps/>
                <w:sz w:val="20"/>
              </w:rPr>
              <w:t>Acellular</w:t>
            </w:r>
            <w:proofErr w:type="spellEnd"/>
            <w:r w:rsidRPr="009E6456">
              <w:rPr>
                <w:rFonts w:ascii="Arial Narrow" w:hAnsi="Arial Narrow"/>
                <w:smallCaps/>
                <w:sz w:val="20"/>
              </w:rPr>
              <w:t>, combined with Diphtheria and Tetanus Toxoids (Adsorbed) (DTaP)</w:t>
            </w:r>
          </w:p>
          <w:p w:rsidR="00A84528" w:rsidRPr="009E6456" w:rsidRDefault="00A84528" w:rsidP="00A84528">
            <w:pPr>
              <w:keepNext/>
              <w:widowControl/>
              <w:ind w:left="709" w:hanging="709"/>
              <w:jc w:val="left"/>
              <w:rPr>
                <w:rFonts w:ascii="Arial Narrow" w:hAnsi="Arial Narrow"/>
                <w:sz w:val="20"/>
              </w:rPr>
            </w:pPr>
            <w:r w:rsidRPr="009E6456">
              <w:rPr>
                <w:rFonts w:ascii="Arial Narrow" w:hAnsi="Arial Narrow"/>
                <w:sz w:val="20"/>
              </w:rPr>
              <w:t>0.5 ml injection</w:t>
            </w:r>
          </w:p>
        </w:tc>
        <w:tc>
          <w:tcPr>
            <w:tcW w:w="333" w:type="pct"/>
            <w:vAlign w:val="center"/>
          </w:tcPr>
          <w:p w:rsidR="00A84528" w:rsidRPr="009E6456" w:rsidRDefault="00A84528" w:rsidP="00A84528">
            <w:pPr>
              <w:keepNext/>
              <w:widowControl/>
              <w:ind w:left="709" w:hanging="709"/>
              <w:jc w:val="center"/>
              <w:rPr>
                <w:rFonts w:ascii="Arial Narrow" w:hAnsi="Arial Narrow"/>
                <w:sz w:val="20"/>
              </w:rPr>
            </w:pPr>
          </w:p>
          <w:p w:rsidR="00A84528" w:rsidRPr="009E6456" w:rsidRDefault="00A84528" w:rsidP="00A84528">
            <w:pPr>
              <w:keepNext/>
              <w:widowControl/>
              <w:ind w:left="709" w:hanging="709"/>
              <w:jc w:val="center"/>
              <w:rPr>
                <w:rFonts w:ascii="Arial Narrow" w:hAnsi="Arial Narrow"/>
                <w:sz w:val="20"/>
              </w:rPr>
            </w:pPr>
            <w:r w:rsidRPr="009E6456">
              <w:rPr>
                <w:rFonts w:ascii="Arial Narrow" w:hAnsi="Arial Narrow"/>
                <w:sz w:val="20"/>
              </w:rPr>
              <w:t>1</w:t>
            </w:r>
          </w:p>
        </w:tc>
        <w:tc>
          <w:tcPr>
            <w:tcW w:w="499" w:type="pct"/>
            <w:vAlign w:val="center"/>
          </w:tcPr>
          <w:p w:rsidR="00A84528" w:rsidRPr="009E6456" w:rsidRDefault="00A84528" w:rsidP="00A84528">
            <w:pPr>
              <w:keepNext/>
              <w:widowControl/>
              <w:ind w:left="709" w:hanging="709"/>
              <w:jc w:val="center"/>
              <w:rPr>
                <w:rFonts w:ascii="Arial Narrow" w:hAnsi="Arial Narrow"/>
                <w:sz w:val="20"/>
              </w:rPr>
            </w:pPr>
          </w:p>
          <w:p w:rsidR="00A84528" w:rsidRPr="009E6456" w:rsidRDefault="00A84528" w:rsidP="00A84528">
            <w:pPr>
              <w:keepNext/>
              <w:widowControl/>
              <w:ind w:left="709" w:hanging="709"/>
              <w:jc w:val="center"/>
              <w:rPr>
                <w:rFonts w:ascii="Arial Narrow" w:hAnsi="Arial Narrow"/>
                <w:sz w:val="20"/>
              </w:rPr>
            </w:pPr>
            <w:r w:rsidRPr="009E6456">
              <w:rPr>
                <w:rFonts w:ascii="Arial Narrow" w:hAnsi="Arial Narrow"/>
                <w:sz w:val="20"/>
              </w:rPr>
              <w:t>0</w:t>
            </w:r>
          </w:p>
        </w:tc>
        <w:tc>
          <w:tcPr>
            <w:tcW w:w="748" w:type="pct"/>
            <w:vAlign w:val="center"/>
          </w:tcPr>
          <w:p w:rsidR="00A84528" w:rsidRPr="009E6456" w:rsidRDefault="00A84528" w:rsidP="00A84528">
            <w:pPr>
              <w:keepNext/>
              <w:widowControl/>
              <w:ind w:left="709" w:hanging="709"/>
              <w:jc w:val="center"/>
              <w:rPr>
                <w:rFonts w:ascii="Arial Narrow" w:hAnsi="Arial Narrow"/>
                <w:sz w:val="20"/>
              </w:rPr>
            </w:pPr>
          </w:p>
          <w:p w:rsidR="00A84528" w:rsidRPr="009E6456" w:rsidRDefault="00A84528" w:rsidP="00A84528">
            <w:pPr>
              <w:keepNext/>
              <w:widowControl/>
              <w:ind w:left="709" w:hanging="709"/>
              <w:jc w:val="center"/>
              <w:rPr>
                <w:rFonts w:ascii="Arial Narrow" w:hAnsi="Arial Narrow"/>
                <w:sz w:val="20"/>
              </w:rPr>
            </w:pPr>
            <w:r w:rsidRPr="009058C4">
              <w:rPr>
                <w:rFonts w:ascii="Arial Narrow" w:hAnsi="Arial Narrow"/>
                <w:sz w:val="20"/>
              </w:rPr>
              <w:t>$</w:t>
            </w:r>
            <w:r w:rsidR="00CB3830">
              <w:rPr>
                <w:rFonts w:ascii="Arial Narrow" w:hAnsi="Arial Narrow"/>
                <w:noProof/>
                <w:color w:val="000000"/>
                <w:sz w:val="20"/>
                <w:highlight w:val="black"/>
              </w:rPr>
              <w:t>''''''''</w:t>
            </w:r>
          </w:p>
        </w:tc>
        <w:tc>
          <w:tcPr>
            <w:tcW w:w="914" w:type="pct"/>
            <w:vAlign w:val="center"/>
          </w:tcPr>
          <w:p w:rsidR="00A84528" w:rsidRPr="009E6456" w:rsidRDefault="00A84528" w:rsidP="00A84528">
            <w:pPr>
              <w:keepNext/>
              <w:widowControl/>
              <w:ind w:left="35" w:hanging="35"/>
              <w:jc w:val="center"/>
              <w:rPr>
                <w:rFonts w:ascii="Arial Narrow" w:hAnsi="Arial Narrow"/>
                <w:sz w:val="20"/>
              </w:rPr>
            </w:pPr>
            <w:r w:rsidRPr="009E6456">
              <w:rPr>
                <w:rFonts w:ascii="Arial Narrow" w:hAnsi="Arial Narrow"/>
                <w:sz w:val="20"/>
              </w:rPr>
              <w:t>TRIPACEL®</w:t>
            </w:r>
          </w:p>
        </w:tc>
        <w:tc>
          <w:tcPr>
            <w:tcW w:w="666" w:type="pct"/>
            <w:vAlign w:val="center"/>
          </w:tcPr>
          <w:p w:rsidR="00A84528" w:rsidRPr="009E6456" w:rsidRDefault="00A84528" w:rsidP="00A84528">
            <w:pPr>
              <w:keepNext/>
              <w:widowControl/>
              <w:ind w:left="35" w:hanging="35"/>
              <w:jc w:val="center"/>
              <w:rPr>
                <w:rFonts w:ascii="Arial Narrow" w:hAnsi="Arial Narrow"/>
                <w:sz w:val="20"/>
              </w:rPr>
            </w:pPr>
            <w:r w:rsidRPr="009E6456">
              <w:rPr>
                <w:rFonts w:ascii="Arial Narrow" w:hAnsi="Arial Narrow"/>
                <w:sz w:val="20"/>
              </w:rPr>
              <w:t>Sanofi Pasteur</w:t>
            </w:r>
          </w:p>
        </w:tc>
      </w:tr>
      <w:tr w:rsidR="00A84528" w:rsidRPr="009E6456" w:rsidTr="00A84528">
        <w:trPr>
          <w:cantSplit/>
          <w:trHeight w:val="360"/>
        </w:trPr>
        <w:tc>
          <w:tcPr>
            <w:tcW w:w="5000" w:type="pct"/>
            <w:gridSpan w:val="6"/>
            <w:vAlign w:val="center"/>
          </w:tcPr>
          <w:p w:rsidR="00A84528" w:rsidRPr="009E6456" w:rsidRDefault="00A84528" w:rsidP="00A84528">
            <w:pPr>
              <w:widowControl/>
              <w:ind w:left="709" w:hanging="709"/>
              <w:jc w:val="left"/>
              <w:rPr>
                <w:rFonts w:ascii="Arial Narrow" w:hAnsi="Arial Narrow"/>
                <w:sz w:val="20"/>
              </w:rPr>
            </w:pPr>
            <w:r w:rsidRPr="009E6456">
              <w:rPr>
                <w:rFonts w:ascii="Arial Narrow" w:hAnsi="Arial Narrow"/>
                <w:b/>
                <w:sz w:val="20"/>
                <w:u w:val="single"/>
              </w:rPr>
              <w:t>NIP listing</w:t>
            </w:r>
          </w:p>
          <w:p w:rsidR="00A84528" w:rsidRPr="009E6456" w:rsidRDefault="00A84528" w:rsidP="00A84528">
            <w:pPr>
              <w:widowControl/>
              <w:ind w:left="709" w:hanging="709"/>
              <w:jc w:val="left"/>
              <w:rPr>
                <w:rFonts w:ascii="Arial Narrow" w:hAnsi="Arial Narrow"/>
                <w:sz w:val="20"/>
              </w:rPr>
            </w:pPr>
            <w:r w:rsidRPr="009E6456">
              <w:rPr>
                <w:rFonts w:ascii="Arial Narrow" w:hAnsi="Arial Narrow"/>
                <w:sz w:val="20"/>
              </w:rPr>
              <w:t>Booster dose for infants aged approximately 18 months</w:t>
            </w:r>
          </w:p>
        </w:tc>
      </w:tr>
    </w:tbl>
    <w:p w:rsidR="00671FC3" w:rsidRPr="00671FC3" w:rsidRDefault="00671FC3" w:rsidP="00671FC3">
      <w:pPr>
        <w:widowControl/>
        <w:rPr>
          <w:rFonts w:eastAsia="Times New Roman"/>
          <w:vanish/>
          <w:szCs w:val="24"/>
        </w:rPr>
      </w:pPr>
    </w:p>
    <w:p w:rsidR="009217F6" w:rsidRDefault="00671FC3" w:rsidP="009217F6">
      <w:pPr>
        <w:pStyle w:val="BodyText"/>
        <w:widowControl/>
        <w:ind w:left="709" w:hanging="709"/>
        <w:jc w:val="both"/>
        <w:rPr>
          <w:rFonts w:eastAsia="Times New Roman"/>
          <w:szCs w:val="24"/>
        </w:rPr>
      </w:pPr>
      <w:r w:rsidRPr="00671FC3">
        <w:rPr>
          <w:rFonts w:eastAsia="Times New Roman"/>
          <w:szCs w:val="24"/>
        </w:rPr>
        <w:t>2.1</w:t>
      </w:r>
      <w:r w:rsidRPr="00671FC3">
        <w:rPr>
          <w:rFonts w:eastAsia="Times New Roman"/>
          <w:szCs w:val="24"/>
        </w:rPr>
        <w:tab/>
        <w:t>The listing was requested on a cost minimisation basis compared to Infanrix (DTPa), recommended as an 18-month booster at the November 2014 PBAC meeting.</w:t>
      </w:r>
    </w:p>
    <w:p w:rsidR="009217F6" w:rsidRDefault="009217F6" w:rsidP="009217F6">
      <w:pPr>
        <w:pStyle w:val="BodyText"/>
        <w:widowControl/>
        <w:ind w:left="709" w:hanging="709"/>
        <w:jc w:val="both"/>
        <w:rPr>
          <w:rFonts w:eastAsia="Times New Roman"/>
          <w:szCs w:val="24"/>
        </w:rPr>
      </w:pPr>
    </w:p>
    <w:p w:rsidR="00B60939" w:rsidRPr="00825130" w:rsidRDefault="00A5282F" w:rsidP="009217F6">
      <w:pPr>
        <w:pStyle w:val="BodyText"/>
        <w:widowControl/>
        <w:ind w:left="709"/>
        <w:jc w:val="both"/>
        <w:rPr>
          <w:i/>
          <w:szCs w:val="22"/>
        </w:rPr>
      </w:pPr>
      <w:r w:rsidRPr="004A2FE7">
        <w:rPr>
          <w:i/>
          <w:szCs w:val="22"/>
        </w:rPr>
        <w:t>For more detail on PBAC’s view, see section 7 “PBAC outcome”</w:t>
      </w:r>
    </w:p>
    <w:p w:rsidR="00465488" w:rsidRDefault="00465488" w:rsidP="005A7E75">
      <w:pPr>
        <w:widowControl/>
      </w:pPr>
    </w:p>
    <w:p w:rsidR="00FE664D" w:rsidRPr="00465488" w:rsidRDefault="00FE664D" w:rsidP="005A7E75">
      <w:pPr>
        <w:widowControl/>
      </w:pPr>
    </w:p>
    <w:p w:rsidR="00E1529D" w:rsidRDefault="000911A8" w:rsidP="005A7E75">
      <w:pPr>
        <w:pStyle w:val="Heading2"/>
        <w:widowControl/>
        <w:numPr>
          <w:ilvl w:val="0"/>
          <w:numId w:val="36"/>
        </w:numPr>
        <w:ind w:left="709" w:hanging="709"/>
        <w:rPr>
          <w:rFonts w:eastAsia="Times New Roman"/>
          <w:szCs w:val="24"/>
        </w:rPr>
      </w:pPr>
      <w:bookmarkStart w:id="2" w:name="_Toc419464745"/>
      <w:r w:rsidRPr="00CB4BA3">
        <w:rPr>
          <w:rFonts w:eastAsia="Times New Roman"/>
          <w:szCs w:val="24"/>
        </w:rPr>
        <w:t>Background</w:t>
      </w:r>
      <w:bookmarkEnd w:id="2"/>
    </w:p>
    <w:p w:rsidR="00FE664D" w:rsidRPr="00FE664D" w:rsidRDefault="00FE664D" w:rsidP="00FE664D"/>
    <w:p w:rsidR="00847F85" w:rsidRPr="00A84528" w:rsidRDefault="00847F85" w:rsidP="00A84528">
      <w:pPr>
        <w:widowControl/>
        <w:rPr>
          <w:rFonts w:eastAsia="Times New Roman"/>
          <w:vanish/>
          <w:szCs w:val="24"/>
        </w:rPr>
      </w:pPr>
    </w:p>
    <w:p w:rsidR="00E66C45" w:rsidRDefault="00B81C17" w:rsidP="00B81C17">
      <w:pPr>
        <w:pStyle w:val="BodyText"/>
        <w:widowControl/>
        <w:ind w:left="720" w:hanging="720"/>
        <w:jc w:val="both"/>
        <w:rPr>
          <w:rFonts w:eastAsia="Times New Roman"/>
          <w:szCs w:val="24"/>
        </w:rPr>
      </w:pPr>
      <w:r w:rsidRPr="00B81C17">
        <w:rPr>
          <w:rFonts w:eastAsia="Times New Roman"/>
          <w:szCs w:val="24"/>
        </w:rPr>
        <w:t>3.1</w:t>
      </w:r>
      <w:r w:rsidRPr="00B81C17">
        <w:rPr>
          <w:rFonts w:eastAsia="Times New Roman"/>
          <w:szCs w:val="24"/>
        </w:rPr>
        <w:tab/>
        <w:t>The DTaP vaccine was approved by the TGA in 1998. Until 2003, the treatment schedule for DTaP included a booster dose at approximately 18 months. In 2003, with the introduction of the booster dose for adolescents (15-17 year), the 18 months dose was removed.</w:t>
      </w:r>
    </w:p>
    <w:p w:rsidR="00B81C17" w:rsidRDefault="00B81C17" w:rsidP="00B81C17">
      <w:pPr>
        <w:pStyle w:val="BodyText"/>
        <w:widowControl/>
        <w:ind w:left="720" w:hanging="720"/>
        <w:jc w:val="both"/>
      </w:pPr>
    </w:p>
    <w:p w:rsidR="00B60939" w:rsidRPr="00B81C17" w:rsidRDefault="00B81C17" w:rsidP="00B81C17">
      <w:pPr>
        <w:pStyle w:val="BodyText"/>
        <w:widowControl/>
        <w:ind w:left="720" w:hanging="720"/>
        <w:jc w:val="both"/>
        <w:rPr>
          <w:rFonts w:eastAsia="Times New Roman"/>
          <w:szCs w:val="24"/>
        </w:rPr>
      </w:pPr>
      <w:r>
        <w:rPr>
          <w:rFonts w:eastAsia="Times New Roman"/>
          <w:szCs w:val="24"/>
        </w:rPr>
        <w:t>3.2</w:t>
      </w:r>
      <w:r>
        <w:rPr>
          <w:rFonts w:eastAsia="Times New Roman"/>
          <w:szCs w:val="24"/>
        </w:rPr>
        <w:tab/>
      </w:r>
      <w:r w:rsidR="006B7162" w:rsidRPr="00B81C17">
        <w:rPr>
          <w:rFonts w:eastAsia="Times New Roman"/>
          <w:szCs w:val="24"/>
        </w:rPr>
        <w:t xml:space="preserve">The Australian Technical Advisory Group on Immunisation </w:t>
      </w:r>
      <w:r w:rsidR="00F435EC" w:rsidRPr="00B81C17">
        <w:rPr>
          <w:rFonts w:eastAsia="Times New Roman"/>
          <w:szCs w:val="24"/>
        </w:rPr>
        <w:t>provided</w:t>
      </w:r>
      <w:r w:rsidR="006D7F27" w:rsidRPr="00B81C17">
        <w:rPr>
          <w:rFonts w:eastAsia="Times New Roman"/>
          <w:szCs w:val="24"/>
        </w:rPr>
        <w:t xml:space="preserve"> pre-PBAC submission advice in June 2014, which indicate</w:t>
      </w:r>
      <w:r w:rsidR="006B7162" w:rsidRPr="00B81C17">
        <w:rPr>
          <w:rFonts w:eastAsia="Times New Roman"/>
          <w:szCs w:val="24"/>
        </w:rPr>
        <w:t>d</w:t>
      </w:r>
      <w:r w:rsidR="006D7F27" w:rsidRPr="00B81C17">
        <w:rPr>
          <w:rFonts w:eastAsia="Times New Roman"/>
          <w:szCs w:val="24"/>
        </w:rPr>
        <w:t xml:space="preserve"> that it endorses the re-instatement of a booster dose of DTaP-containing vaccine onto the NIP schedule. </w:t>
      </w:r>
    </w:p>
    <w:p w:rsidR="00F435EC" w:rsidRPr="00465488" w:rsidRDefault="00F435EC" w:rsidP="005A7E75">
      <w:pPr>
        <w:pStyle w:val="BodyText"/>
        <w:widowControl/>
        <w:ind w:left="709"/>
        <w:jc w:val="both"/>
        <w:rPr>
          <w:rFonts w:eastAsia="Times New Roman"/>
          <w:szCs w:val="24"/>
        </w:rPr>
      </w:pPr>
    </w:p>
    <w:p w:rsidR="00B60939" w:rsidRPr="00465488" w:rsidRDefault="00B81C17" w:rsidP="00B81C17">
      <w:pPr>
        <w:pStyle w:val="BodyText"/>
        <w:widowControl/>
        <w:ind w:left="720" w:hanging="720"/>
        <w:jc w:val="both"/>
        <w:rPr>
          <w:rFonts w:eastAsia="Times New Roman"/>
          <w:szCs w:val="24"/>
        </w:rPr>
      </w:pPr>
      <w:r>
        <w:rPr>
          <w:rFonts w:eastAsia="Times New Roman"/>
          <w:szCs w:val="24"/>
        </w:rPr>
        <w:t>3.3</w:t>
      </w:r>
      <w:r>
        <w:rPr>
          <w:rFonts w:eastAsia="Times New Roman"/>
          <w:szCs w:val="24"/>
        </w:rPr>
        <w:tab/>
      </w:r>
      <w:r w:rsidR="00F435EC" w:rsidRPr="00465488">
        <w:rPr>
          <w:rFonts w:eastAsia="Times New Roman"/>
          <w:szCs w:val="24"/>
        </w:rPr>
        <w:t>At the November 2014 meeti</w:t>
      </w:r>
      <w:r w:rsidR="00694E6C" w:rsidRPr="00465488">
        <w:rPr>
          <w:rFonts w:eastAsia="Times New Roman"/>
          <w:szCs w:val="24"/>
        </w:rPr>
        <w:t>ng, the PBAC recommended DTPa (I</w:t>
      </w:r>
      <w:r w:rsidR="00F435EC" w:rsidRPr="00465488">
        <w:rPr>
          <w:rFonts w:eastAsia="Times New Roman"/>
          <w:szCs w:val="24"/>
        </w:rPr>
        <w:t>nfanrix) as an</w:t>
      </w:r>
      <w:r w:rsidR="00694E6C" w:rsidRPr="00465488">
        <w:rPr>
          <w:rFonts w:eastAsia="Times New Roman"/>
          <w:szCs w:val="24"/>
        </w:rPr>
        <w:t xml:space="preserve"> </w:t>
      </w:r>
      <w:r w:rsidR="00FE664D">
        <w:rPr>
          <w:rFonts w:eastAsia="Times New Roman"/>
          <w:szCs w:val="24"/>
        </w:rPr>
        <w:t>18 </w:t>
      </w:r>
      <w:r w:rsidR="00F435EC" w:rsidRPr="00465488">
        <w:rPr>
          <w:rFonts w:eastAsia="Times New Roman"/>
          <w:szCs w:val="24"/>
        </w:rPr>
        <w:t>months booster</w:t>
      </w:r>
      <w:r w:rsidR="000911A8" w:rsidRPr="00465488">
        <w:rPr>
          <w:rFonts w:eastAsia="Times New Roman"/>
          <w:szCs w:val="24"/>
        </w:rPr>
        <w:t>.</w:t>
      </w:r>
    </w:p>
    <w:p w:rsidR="00465488" w:rsidRDefault="00465488" w:rsidP="00A20763">
      <w:pPr>
        <w:widowControl/>
        <w:jc w:val="left"/>
      </w:pPr>
    </w:p>
    <w:p w:rsidR="00FE664D" w:rsidRDefault="00FE664D" w:rsidP="00A20763">
      <w:pPr>
        <w:widowControl/>
        <w:jc w:val="left"/>
      </w:pPr>
    </w:p>
    <w:p w:rsidR="000911A8" w:rsidRDefault="000911A8" w:rsidP="005A7E75">
      <w:pPr>
        <w:pStyle w:val="Heading2"/>
        <w:widowControl/>
        <w:numPr>
          <w:ilvl w:val="0"/>
          <w:numId w:val="36"/>
        </w:numPr>
        <w:ind w:left="709" w:hanging="709"/>
      </w:pPr>
      <w:bookmarkStart w:id="3" w:name="_Toc419464746"/>
      <w:r w:rsidRPr="00407F2D">
        <w:t>Clinical place for the proposed therapy</w:t>
      </w:r>
      <w:bookmarkEnd w:id="3"/>
    </w:p>
    <w:p w:rsidR="00FE664D" w:rsidRPr="00FE664D" w:rsidRDefault="00FE664D" w:rsidP="00FE664D"/>
    <w:p w:rsidR="00847F85" w:rsidRPr="00847F85" w:rsidRDefault="00847F85" w:rsidP="00A84528">
      <w:pPr>
        <w:pStyle w:val="ListParagraph"/>
        <w:rPr>
          <w:rFonts w:eastAsia="Times New Roman"/>
          <w:vanish/>
          <w:szCs w:val="24"/>
        </w:rPr>
      </w:pPr>
    </w:p>
    <w:p w:rsidR="000911A8" w:rsidRPr="006E6E34" w:rsidRDefault="00B81C17" w:rsidP="00B81C17">
      <w:pPr>
        <w:pStyle w:val="BodyText"/>
        <w:widowControl/>
        <w:ind w:left="720" w:hanging="720"/>
        <w:jc w:val="both"/>
        <w:rPr>
          <w:rFonts w:eastAsia="Times New Roman"/>
          <w:szCs w:val="24"/>
        </w:rPr>
      </w:pPr>
      <w:r>
        <w:rPr>
          <w:rFonts w:eastAsia="Times New Roman"/>
          <w:szCs w:val="24"/>
        </w:rPr>
        <w:t>4.1</w:t>
      </w:r>
      <w:r>
        <w:rPr>
          <w:rFonts w:eastAsia="Times New Roman"/>
          <w:szCs w:val="24"/>
        </w:rPr>
        <w:tab/>
      </w:r>
      <w:r w:rsidR="000911A8" w:rsidRPr="006E6E34">
        <w:rPr>
          <w:rFonts w:eastAsia="Times New Roman"/>
          <w:szCs w:val="24"/>
        </w:rPr>
        <w:t xml:space="preserve">Pertussis is a highly infectious disease of the upper respiratory tract, caused by the bacterial organism </w:t>
      </w:r>
      <w:proofErr w:type="spellStart"/>
      <w:r w:rsidR="000911A8" w:rsidRPr="006E6E34">
        <w:rPr>
          <w:rFonts w:eastAsia="Times New Roman"/>
          <w:szCs w:val="24"/>
        </w:rPr>
        <w:t>Bordetella</w:t>
      </w:r>
      <w:proofErr w:type="spellEnd"/>
      <w:r w:rsidR="000911A8" w:rsidRPr="006E6E34">
        <w:rPr>
          <w:rFonts w:eastAsia="Times New Roman"/>
          <w:szCs w:val="24"/>
        </w:rPr>
        <w:t xml:space="preserve"> pertussis. Currently, there are five scheduled childhood doses of pertussis vaccine. The first three occur in infancy at 2 months, 4 months, and 6 months. Two booster shots are given at 4 years and 15 years.</w:t>
      </w:r>
    </w:p>
    <w:p w:rsidR="000911A8" w:rsidRPr="006E6E34" w:rsidRDefault="000911A8" w:rsidP="005A7E75">
      <w:pPr>
        <w:pStyle w:val="BodyText"/>
        <w:widowControl/>
        <w:ind w:left="709"/>
        <w:jc w:val="both"/>
        <w:rPr>
          <w:rFonts w:eastAsia="Times New Roman"/>
          <w:szCs w:val="24"/>
        </w:rPr>
      </w:pPr>
    </w:p>
    <w:p w:rsidR="000911A8" w:rsidRDefault="00B81C17" w:rsidP="00B81C17">
      <w:pPr>
        <w:pStyle w:val="BodyText"/>
        <w:widowControl/>
        <w:ind w:left="720" w:hanging="720"/>
        <w:jc w:val="both"/>
        <w:rPr>
          <w:rFonts w:eastAsia="Times New Roman"/>
          <w:szCs w:val="24"/>
        </w:rPr>
      </w:pPr>
      <w:r>
        <w:rPr>
          <w:rFonts w:eastAsia="Times New Roman"/>
          <w:szCs w:val="24"/>
        </w:rPr>
        <w:lastRenderedPageBreak/>
        <w:t>4.2</w:t>
      </w:r>
      <w:r>
        <w:rPr>
          <w:rFonts w:eastAsia="Times New Roman"/>
          <w:szCs w:val="24"/>
        </w:rPr>
        <w:tab/>
      </w:r>
      <w:r w:rsidR="000911A8" w:rsidRPr="006E6E34">
        <w:rPr>
          <w:rFonts w:eastAsia="Times New Roman"/>
          <w:szCs w:val="24"/>
        </w:rPr>
        <w:t>The submission proposed a revenue-neutral, clinically equivalent, alternate vaccine as an additional booster of pertussis vaccine at 18 months</w:t>
      </w:r>
      <w:r w:rsidR="00803737">
        <w:rPr>
          <w:rFonts w:eastAsia="Times New Roman"/>
          <w:szCs w:val="24"/>
        </w:rPr>
        <w:t xml:space="preserve"> of age</w:t>
      </w:r>
      <w:r w:rsidR="000911A8" w:rsidRPr="006E6E34">
        <w:rPr>
          <w:rFonts w:eastAsia="Times New Roman"/>
          <w:szCs w:val="24"/>
        </w:rPr>
        <w:t>.</w:t>
      </w:r>
    </w:p>
    <w:p w:rsidR="00E66C45" w:rsidRDefault="00E66C45" w:rsidP="005A7E75">
      <w:pPr>
        <w:pStyle w:val="Heading2"/>
        <w:widowControl/>
      </w:pPr>
      <w:bookmarkStart w:id="4" w:name="_Toc398652403"/>
      <w:bookmarkStart w:id="5" w:name="_Toc419369077"/>
    </w:p>
    <w:p w:rsidR="00A5282F" w:rsidRPr="00825130" w:rsidRDefault="00A5282F" w:rsidP="00825130">
      <w:pPr>
        <w:pStyle w:val="ListParagraph"/>
        <w:ind w:left="709"/>
        <w:rPr>
          <w:i/>
          <w:szCs w:val="22"/>
        </w:rPr>
      </w:pPr>
      <w:r w:rsidRPr="00F74047">
        <w:rPr>
          <w:i/>
          <w:szCs w:val="22"/>
        </w:rPr>
        <w:t>For more detail on PBAC’s view, see section 7 “PBAC outcome”</w:t>
      </w:r>
    </w:p>
    <w:p w:rsidR="00465488" w:rsidRDefault="00465488" w:rsidP="005A7E75">
      <w:pPr>
        <w:widowControl/>
      </w:pPr>
    </w:p>
    <w:p w:rsidR="00FE664D" w:rsidRPr="00465488" w:rsidRDefault="00FE664D" w:rsidP="005A7E75">
      <w:pPr>
        <w:widowControl/>
      </w:pPr>
    </w:p>
    <w:bookmarkEnd w:id="4"/>
    <w:bookmarkEnd w:id="5"/>
    <w:p w:rsidR="00E66C45" w:rsidRPr="00465488" w:rsidRDefault="00E66C45" w:rsidP="005A7E75">
      <w:pPr>
        <w:pStyle w:val="Heading2"/>
        <w:widowControl/>
        <w:numPr>
          <w:ilvl w:val="0"/>
          <w:numId w:val="36"/>
        </w:numPr>
        <w:ind w:left="709" w:hanging="709"/>
      </w:pPr>
      <w:r w:rsidRPr="00E66C45">
        <w:t>Comparator</w:t>
      </w:r>
    </w:p>
    <w:p w:rsidR="00E66C45" w:rsidRDefault="00E66C45" w:rsidP="005A7E75">
      <w:pPr>
        <w:pStyle w:val="ListParagraph"/>
        <w:keepNext/>
        <w:widowControl/>
        <w:ind w:left="709"/>
        <w:contextualSpacing w:val="0"/>
        <w:outlineLvl w:val="1"/>
        <w:rPr>
          <w:b/>
        </w:rPr>
      </w:pPr>
    </w:p>
    <w:p w:rsidR="000911A8" w:rsidRPr="00B81C17" w:rsidRDefault="00B81C17" w:rsidP="00B81C17">
      <w:pPr>
        <w:pStyle w:val="BodyText"/>
        <w:widowControl/>
        <w:ind w:left="720" w:hanging="720"/>
        <w:jc w:val="both"/>
        <w:rPr>
          <w:rFonts w:eastAsia="Times New Roman"/>
          <w:vanish/>
          <w:szCs w:val="24"/>
        </w:rPr>
      </w:pPr>
      <w:r>
        <w:rPr>
          <w:rFonts w:eastAsia="Times New Roman"/>
          <w:szCs w:val="24"/>
        </w:rPr>
        <w:t>5.1</w:t>
      </w:r>
      <w:r>
        <w:rPr>
          <w:rFonts w:eastAsia="Times New Roman"/>
          <w:szCs w:val="24"/>
        </w:rPr>
        <w:tab/>
      </w:r>
      <w:r w:rsidR="000911A8" w:rsidRPr="00B81C17">
        <w:rPr>
          <w:rFonts w:eastAsia="Times New Roman"/>
          <w:szCs w:val="24"/>
        </w:rPr>
        <w:t xml:space="preserve">The submission nominated DTPa (Infanrix) as an 18-month booster. The ESC accepted this was the appropriate comparator. </w:t>
      </w:r>
    </w:p>
    <w:p w:rsidR="000911A8" w:rsidRPr="006E6E34" w:rsidRDefault="000911A8" w:rsidP="005A7E75">
      <w:pPr>
        <w:pStyle w:val="BodyText"/>
        <w:widowControl/>
        <w:ind w:left="709"/>
        <w:jc w:val="both"/>
        <w:rPr>
          <w:rFonts w:eastAsia="Times New Roman"/>
          <w:szCs w:val="24"/>
        </w:rPr>
      </w:pPr>
    </w:p>
    <w:p w:rsidR="000911A8" w:rsidRPr="006E6E34" w:rsidRDefault="00B81C17" w:rsidP="00B81C17">
      <w:pPr>
        <w:pStyle w:val="BodyText"/>
        <w:widowControl/>
        <w:ind w:left="720" w:hanging="720"/>
        <w:jc w:val="both"/>
        <w:rPr>
          <w:rFonts w:eastAsia="Times New Roman"/>
          <w:szCs w:val="24"/>
        </w:rPr>
      </w:pPr>
      <w:r>
        <w:rPr>
          <w:rFonts w:eastAsia="Times New Roman"/>
          <w:szCs w:val="24"/>
        </w:rPr>
        <w:t>5.2</w:t>
      </w:r>
      <w:r>
        <w:rPr>
          <w:rFonts w:eastAsia="Times New Roman"/>
          <w:szCs w:val="24"/>
        </w:rPr>
        <w:tab/>
      </w:r>
      <w:r w:rsidR="000911A8" w:rsidRPr="006E6E34">
        <w:rPr>
          <w:rFonts w:eastAsia="Times New Roman"/>
          <w:szCs w:val="24"/>
        </w:rPr>
        <w:t>The differences in pertussis antigen between DTaP (</w:t>
      </w:r>
      <w:proofErr w:type="spellStart"/>
      <w:r w:rsidR="000911A8" w:rsidRPr="006E6E34">
        <w:rPr>
          <w:rFonts w:eastAsia="Times New Roman"/>
          <w:szCs w:val="24"/>
        </w:rPr>
        <w:t>Tripacel</w:t>
      </w:r>
      <w:proofErr w:type="spellEnd"/>
      <w:r w:rsidR="000911A8" w:rsidRPr="006E6E34">
        <w:rPr>
          <w:rFonts w:eastAsia="Times New Roman"/>
          <w:szCs w:val="24"/>
        </w:rPr>
        <w:t>) and DTPa (Infanrix) are:</w:t>
      </w:r>
    </w:p>
    <w:p w:rsidR="000911A8" w:rsidRPr="006E6E34" w:rsidRDefault="000911A8" w:rsidP="005A7E75">
      <w:pPr>
        <w:pStyle w:val="BodyText"/>
        <w:widowControl/>
        <w:numPr>
          <w:ilvl w:val="0"/>
          <w:numId w:val="38"/>
        </w:numPr>
        <w:ind w:left="993" w:hanging="284"/>
        <w:jc w:val="both"/>
        <w:rPr>
          <w:rFonts w:eastAsia="Times New Roman"/>
          <w:szCs w:val="24"/>
        </w:rPr>
      </w:pPr>
      <w:r w:rsidRPr="006E6E34">
        <w:rPr>
          <w:rFonts w:eastAsia="Times New Roman"/>
          <w:szCs w:val="24"/>
        </w:rPr>
        <w:t xml:space="preserve">DTaP includes four pertussis antigens (pertussis toxoid, filamentous </w:t>
      </w:r>
      <w:proofErr w:type="spellStart"/>
      <w:r w:rsidRPr="006E6E34">
        <w:rPr>
          <w:rFonts w:eastAsia="Times New Roman"/>
          <w:szCs w:val="24"/>
        </w:rPr>
        <w:t>haemagglutinin</w:t>
      </w:r>
      <w:proofErr w:type="spellEnd"/>
      <w:r w:rsidRPr="006E6E34">
        <w:rPr>
          <w:rFonts w:eastAsia="Times New Roman"/>
          <w:szCs w:val="24"/>
        </w:rPr>
        <w:t xml:space="preserve">, </w:t>
      </w:r>
      <w:proofErr w:type="spellStart"/>
      <w:r w:rsidRPr="006E6E34">
        <w:rPr>
          <w:rFonts w:eastAsia="Times New Roman"/>
          <w:szCs w:val="24"/>
        </w:rPr>
        <w:t>pertactin</w:t>
      </w:r>
      <w:proofErr w:type="spellEnd"/>
      <w:r w:rsidRPr="006E6E34">
        <w:rPr>
          <w:rFonts w:eastAsia="Times New Roman"/>
          <w:szCs w:val="24"/>
        </w:rPr>
        <w:t xml:space="preserve"> and fimbriae 2 + 3 (FIM) versus DTPa which includes three pertussis antigens (pertussis toxoid, filamentous </w:t>
      </w:r>
      <w:proofErr w:type="spellStart"/>
      <w:r w:rsidRPr="006E6E34">
        <w:rPr>
          <w:rFonts w:eastAsia="Times New Roman"/>
          <w:szCs w:val="24"/>
        </w:rPr>
        <w:t>haemagglutinin</w:t>
      </w:r>
      <w:proofErr w:type="spellEnd"/>
      <w:r w:rsidRPr="006E6E34">
        <w:rPr>
          <w:rFonts w:eastAsia="Times New Roman"/>
          <w:szCs w:val="24"/>
        </w:rPr>
        <w:t xml:space="preserve"> and </w:t>
      </w:r>
      <w:proofErr w:type="spellStart"/>
      <w:r w:rsidRPr="006E6E34">
        <w:rPr>
          <w:rFonts w:eastAsia="Times New Roman"/>
          <w:szCs w:val="24"/>
        </w:rPr>
        <w:t>pertactin</w:t>
      </w:r>
      <w:proofErr w:type="spellEnd"/>
      <w:r w:rsidRPr="006E6E34">
        <w:rPr>
          <w:rFonts w:eastAsia="Times New Roman"/>
          <w:szCs w:val="24"/>
        </w:rPr>
        <w:t>)</w:t>
      </w:r>
      <w:r w:rsidR="006E6E34">
        <w:rPr>
          <w:rFonts w:eastAsia="Times New Roman"/>
          <w:szCs w:val="24"/>
        </w:rPr>
        <w:t>;</w:t>
      </w:r>
    </w:p>
    <w:p w:rsidR="00B60939" w:rsidRDefault="000911A8" w:rsidP="005A7E75">
      <w:pPr>
        <w:pStyle w:val="BodyText"/>
        <w:widowControl/>
        <w:numPr>
          <w:ilvl w:val="0"/>
          <w:numId w:val="38"/>
        </w:numPr>
        <w:ind w:left="993" w:hanging="284"/>
        <w:jc w:val="both"/>
        <w:rPr>
          <w:rFonts w:eastAsia="Times New Roman"/>
          <w:szCs w:val="24"/>
        </w:rPr>
      </w:pPr>
      <w:r w:rsidRPr="006E6E34">
        <w:rPr>
          <w:rFonts w:eastAsia="Times New Roman"/>
          <w:szCs w:val="24"/>
        </w:rPr>
        <w:t xml:space="preserve">DTaP has lower pertussis antigens level (pertussis toxoid 10 µg, filamentous </w:t>
      </w:r>
      <w:proofErr w:type="spellStart"/>
      <w:r w:rsidRPr="006E6E34">
        <w:rPr>
          <w:rFonts w:eastAsia="Times New Roman"/>
          <w:szCs w:val="24"/>
        </w:rPr>
        <w:t>haemagglutinin</w:t>
      </w:r>
      <w:proofErr w:type="spellEnd"/>
      <w:r w:rsidRPr="006E6E34">
        <w:rPr>
          <w:rFonts w:eastAsia="Times New Roman"/>
          <w:szCs w:val="24"/>
        </w:rPr>
        <w:t xml:space="preserve"> 5 µg and </w:t>
      </w:r>
      <w:proofErr w:type="spellStart"/>
      <w:r w:rsidRPr="006E6E34">
        <w:rPr>
          <w:rFonts w:eastAsia="Times New Roman"/>
          <w:szCs w:val="24"/>
        </w:rPr>
        <w:t>pertactin</w:t>
      </w:r>
      <w:proofErr w:type="spellEnd"/>
      <w:r w:rsidRPr="006E6E34">
        <w:rPr>
          <w:rFonts w:eastAsia="Times New Roman"/>
          <w:szCs w:val="24"/>
        </w:rPr>
        <w:t xml:space="preserve"> 3 µg) compared to DTPa (pertussis toxoid 25µg, filamentous </w:t>
      </w:r>
      <w:proofErr w:type="spellStart"/>
      <w:r w:rsidRPr="006E6E34">
        <w:rPr>
          <w:rFonts w:eastAsia="Times New Roman"/>
          <w:szCs w:val="24"/>
        </w:rPr>
        <w:t>haemagglutinin</w:t>
      </w:r>
      <w:proofErr w:type="spellEnd"/>
      <w:r w:rsidRPr="006E6E34">
        <w:rPr>
          <w:rFonts w:eastAsia="Times New Roman"/>
          <w:szCs w:val="24"/>
        </w:rPr>
        <w:t xml:space="preserve"> 25 µg and </w:t>
      </w:r>
      <w:proofErr w:type="spellStart"/>
      <w:r w:rsidRPr="006E6E34">
        <w:rPr>
          <w:rFonts w:eastAsia="Times New Roman"/>
          <w:szCs w:val="24"/>
        </w:rPr>
        <w:t>pertactin</w:t>
      </w:r>
      <w:proofErr w:type="spellEnd"/>
      <w:r w:rsidRPr="006E6E34">
        <w:rPr>
          <w:rFonts w:eastAsia="Times New Roman"/>
          <w:szCs w:val="24"/>
        </w:rPr>
        <w:t xml:space="preserve"> 8 µg). </w:t>
      </w:r>
    </w:p>
    <w:p w:rsidR="000911A8" w:rsidRDefault="000911A8" w:rsidP="005A7E75">
      <w:pPr>
        <w:pStyle w:val="BodyText"/>
        <w:widowControl/>
        <w:jc w:val="both"/>
        <w:rPr>
          <w:rFonts w:eastAsia="Times New Roman"/>
          <w:szCs w:val="24"/>
        </w:rPr>
      </w:pPr>
    </w:p>
    <w:p w:rsidR="00A5282F" w:rsidRDefault="00A5282F" w:rsidP="00A5282F">
      <w:pPr>
        <w:pStyle w:val="ListParagraph"/>
        <w:ind w:left="709"/>
        <w:rPr>
          <w:i/>
          <w:szCs w:val="22"/>
        </w:rPr>
      </w:pPr>
      <w:r w:rsidRPr="003B7520">
        <w:rPr>
          <w:i/>
          <w:szCs w:val="22"/>
        </w:rPr>
        <w:t>For more detail on PBAC’s view, see section 7 “PBAC outcome”</w:t>
      </w:r>
    </w:p>
    <w:p w:rsidR="00FE664D" w:rsidRDefault="00FE664D" w:rsidP="00A5282F">
      <w:pPr>
        <w:pStyle w:val="ListParagraph"/>
        <w:ind w:left="709"/>
        <w:rPr>
          <w:i/>
          <w:szCs w:val="22"/>
        </w:rPr>
      </w:pPr>
    </w:p>
    <w:p w:rsidR="00FE664D" w:rsidRDefault="00FE664D" w:rsidP="00A5282F">
      <w:pPr>
        <w:pStyle w:val="ListParagraph"/>
        <w:ind w:left="709"/>
        <w:rPr>
          <w:i/>
          <w:szCs w:val="22"/>
        </w:rPr>
      </w:pPr>
    </w:p>
    <w:p w:rsidR="00A5282F" w:rsidRDefault="00A5282F" w:rsidP="00FE664D">
      <w:pPr>
        <w:pStyle w:val="Heading2"/>
        <w:widowControl/>
        <w:numPr>
          <w:ilvl w:val="0"/>
          <w:numId w:val="36"/>
        </w:numPr>
        <w:ind w:left="709" w:hanging="709"/>
      </w:pPr>
      <w:r w:rsidRPr="00FE664D">
        <w:t>C</w:t>
      </w:r>
      <w:r w:rsidRPr="00A5282F">
        <w:t xml:space="preserve">onsideration of the evidence </w:t>
      </w:r>
    </w:p>
    <w:p w:rsidR="00111DAC" w:rsidRDefault="00111DAC" w:rsidP="00111DAC">
      <w:pPr>
        <w:pStyle w:val="Heading2"/>
        <w:widowControl/>
        <w:rPr>
          <w:i/>
        </w:rPr>
      </w:pPr>
    </w:p>
    <w:p w:rsidR="00847F85" w:rsidRPr="00B81C17" w:rsidRDefault="00111DAC" w:rsidP="00B81C17">
      <w:pPr>
        <w:pStyle w:val="Heading2"/>
        <w:widowControl/>
        <w:rPr>
          <w:i/>
        </w:rPr>
      </w:pPr>
      <w:r>
        <w:rPr>
          <w:i/>
        </w:rPr>
        <w:t>Sponsor hearing</w:t>
      </w:r>
    </w:p>
    <w:p w:rsidR="00A5282F" w:rsidRPr="00111DAC" w:rsidRDefault="00A5282F" w:rsidP="00111DAC">
      <w:pPr>
        <w:pStyle w:val="ListParagraph"/>
        <w:rPr>
          <w:bCs/>
          <w:szCs w:val="22"/>
        </w:rPr>
      </w:pPr>
    </w:p>
    <w:p w:rsidR="00A5282F" w:rsidRPr="00B81C17" w:rsidRDefault="00B81C17" w:rsidP="00B81C17">
      <w:pPr>
        <w:pStyle w:val="BodyText"/>
        <w:widowControl/>
        <w:ind w:left="720" w:hanging="720"/>
        <w:jc w:val="both"/>
        <w:rPr>
          <w:bCs/>
          <w:szCs w:val="22"/>
        </w:rPr>
      </w:pPr>
      <w:r>
        <w:rPr>
          <w:bCs/>
          <w:szCs w:val="22"/>
        </w:rPr>
        <w:t>6.1</w:t>
      </w:r>
      <w:r>
        <w:rPr>
          <w:bCs/>
          <w:szCs w:val="22"/>
        </w:rPr>
        <w:tab/>
      </w:r>
      <w:r w:rsidR="00A5282F" w:rsidRPr="00B81C17">
        <w:rPr>
          <w:bCs/>
          <w:szCs w:val="22"/>
        </w:rPr>
        <w:t>The</w:t>
      </w:r>
      <w:r w:rsidR="00111DAC" w:rsidRPr="00B81C17">
        <w:rPr>
          <w:bCs/>
          <w:szCs w:val="22"/>
        </w:rPr>
        <w:t>re was no hearing for this item</w:t>
      </w:r>
      <w:r w:rsidR="00A5282F" w:rsidRPr="00B81C17">
        <w:rPr>
          <w:bCs/>
          <w:szCs w:val="22"/>
        </w:rPr>
        <w:t>.</w:t>
      </w:r>
    </w:p>
    <w:p w:rsidR="00A5282F" w:rsidRPr="00111DAC" w:rsidRDefault="00A5282F" w:rsidP="00847F85">
      <w:pPr>
        <w:rPr>
          <w:bCs/>
          <w:szCs w:val="22"/>
        </w:rPr>
      </w:pPr>
    </w:p>
    <w:p w:rsidR="00A5282F" w:rsidRPr="00111DAC" w:rsidRDefault="00A5282F" w:rsidP="00847F85">
      <w:pPr>
        <w:spacing w:after="200" w:line="276" w:lineRule="auto"/>
        <w:rPr>
          <w:b/>
          <w:bCs/>
          <w:i/>
          <w:szCs w:val="22"/>
        </w:rPr>
      </w:pPr>
      <w:r w:rsidRPr="00111DAC">
        <w:rPr>
          <w:b/>
          <w:bCs/>
          <w:i/>
          <w:szCs w:val="22"/>
        </w:rPr>
        <w:t>Consumer comments</w:t>
      </w:r>
    </w:p>
    <w:p w:rsidR="00A5282F" w:rsidRPr="00111DAC" w:rsidRDefault="00B81C17" w:rsidP="00B81C17">
      <w:pPr>
        <w:pStyle w:val="BodyText"/>
        <w:widowControl/>
        <w:ind w:left="709" w:hanging="720"/>
        <w:jc w:val="both"/>
        <w:rPr>
          <w:bCs/>
          <w:szCs w:val="22"/>
        </w:rPr>
      </w:pPr>
      <w:r>
        <w:rPr>
          <w:bCs/>
          <w:szCs w:val="22"/>
        </w:rPr>
        <w:t>6.2</w:t>
      </w:r>
      <w:r>
        <w:rPr>
          <w:bCs/>
          <w:szCs w:val="22"/>
        </w:rPr>
        <w:tab/>
      </w:r>
      <w:r>
        <w:rPr>
          <w:bCs/>
          <w:szCs w:val="22"/>
        </w:rPr>
        <w:tab/>
      </w:r>
      <w:r w:rsidR="00A5282F" w:rsidRPr="00111DAC">
        <w:rPr>
          <w:bCs/>
          <w:szCs w:val="22"/>
        </w:rPr>
        <w:t>The PBAC noted that no consumer comments were received for this item</w:t>
      </w:r>
      <w:r w:rsidR="00111DAC" w:rsidRPr="00111DAC">
        <w:rPr>
          <w:bCs/>
          <w:szCs w:val="22"/>
        </w:rPr>
        <w:t>.</w:t>
      </w:r>
    </w:p>
    <w:p w:rsidR="00111DAC" w:rsidRPr="00FE664D" w:rsidRDefault="00111DAC" w:rsidP="00A5282F">
      <w:pPr>
        <w:pStyle w:val="Heading2"/>
        <w:widowControl/>
      </w:pPr>
    </w:p>
    <w:p w:rsidR="0049679A" w:rsidRDefault="0049679A" w:rsidP="00A5282F">
      <w:pPr>
        <w:pStyle w:val="Heading2"/>
        <w:widowControl/>
        <w:rPr>
          <w:i/>
        </w:rPr>
      </w:pPr>
      <w:r w:rsidRPr="00137230">
        <w:rPr>
          <w:i/>
        </w:rPr>
        <w:t>Clinical trials</w:t>
      </w:r>
    </w:p>
    <w:p w:rsidR="00862716" w:rsidRPr="00862716" w:rsidRDefault="00862716" w:rsidP="005A7E75">
      <w:pPr>
        <w:widowControl/>
      </w:pPr>
    </w:p>
    <w:p w:rsidR="00862502" w:rsidRDefault="00B81C17" w:rsidP="00B81C17">
      <w:pPr>
        <w:pStyle w:val="BodyText"/>
        <w:widowControl/>
        <w:ind w:left="709" w:hanging="709"/>
        <w:jc w:val="both"/>
        <w:rPr>
          <w:rFonts w:eastAsia="Times New Roman"/>
          <w:szCs w:val="24"/>
        </w:rPr>
      </w:pPr>
      <w:r>
        <w:rPr>
          <w:rFonts w:eastAsia="Times New Roman"/>
          <w:szCs w:val="24"/>
        </w:rPr>
        <w:t>6.3</w:t>
      </w:r>
      <w:r>
        <w:rPr>
          <w:rFonts w:eastAsia="Times New Roman"/>
          <w:szCs w:val="24"/>
        </w:rPr>
        <w:tab/>
      </w:r>
      <w:r w:rsidR="00D83080" w:rsidRPr="006E6E34">
        <w:rPr>
          <w:rFonts w:eastAsia="Times New Roman"/>
          <w:szCs w:val="24"/>
        </w:rPr>
        <w:t xml:space="preserve">The submission </w:t>
      </w:r>
      <w:r w:rsidR="000201CF" w:rsidRPr="006E6E34">
        <w:rPr>
          <w:rFonts w:eastAsia="Times New Roman"/>
          <w:szCs w:val="24"/>
        </w:rPr>
        <w:t>wa</w:t>
      </w:r>
      <w:r w:rsidR="00D83080" w:rsidRPr="006E6E34">
        <w:rPr>
          <w:rFonts w:eastAsia="Times New Roman"/>
          <w:szCs w:val="24"/>
        </w:rPr>
        <w:t>s based on on</w:t>
      </w:r>
      <w:r w:rsidR="00A0210C" w:rsidRPr="006E6E34">
        <w:rPr>
          <w:rFonts w:eastAsia="Times New Roman"/>
          <w:szCs w:val="24"/>
        </w:rPr>
        <w:t>e</w:t>
      </w:r>
      <w:r w:rsidR="003739B1" w:rsidRPr="006E6E34">
        <w:rPr>
          <w:rFonts w:eastAsia="Times New Roman"/>
          <w:szCs w:val="24"/>
        </w:rPr>
        <w:t xml:space="preserve"> small</w:t>
      </w:r>
      <w:r w:rsidR="00A0210C" w:rsidRPr="006E6E34">
        <w:rPr>
          <w:rFonts w:eastAsia="Times New Roman"/>
          <w:szCs w:val="24"/>
        </w:rPr>
        <w:t xml:space="preserve"> head-to-head randomised trial</w:t>
      </w:r>
      <w:r w:rsidR="003739B1" w:rsidRPr="006E6E34">
        <w:rPr>
          <w:rFonts w:eastAsia="Times New Roman"/>
          <w:szCs w:val="24"/>
        </w:rPr>
        <w:t xml:space="preserve"> with 1 year follow-up </w:t>
      </w:r>
      <w:r w:rsidR="000201CF" w:rsidRPr="006E6E34">
        <w:rPr>
          <w:rFonts w:eastAsia="Times New Roman"/>
          <w:szCs w:val="24"/>
        </w:rPr>
        <w:t>(</w:t>
      </w:r>
      <w:r w:rsidR="003739B1" w:rsidRPr="006E6E34">
        <w:rPr>
          <w:rFonts w:eastAsia="Times New Roman"/>
          <w:szCs w:val="24"/>
        </w:rPr>
        <w:t>comprising a series of concurrent</w:t>
      </w:r>
      <w:r w:rsidR="00D83080" w:rsidRPr="006E6E34">
        <w:rPr>
          <w:rFonts w:eastAsia="Times New Roman"/>
          <w:szCs w:val="24"/>
        </w:rPr>
        <w:t xml:space="preserve"> </w:t>
      </w:r>
      <w:r w:rsidR="003739B1" w:rsidRPr="006E6E34">
        <w:rPr>
          <w:rFonts w:eastAsia="Times New Roman"/>
          <w:szCs w:val="24"/>
        </w:rPr>
        <w:t xml:space="preserve">comparisons of 12 </w:t>
      </w:r>
      <w:proofErr w:type="spellStart"/>
      <w:r w:rsidR="00D83080" w:rsidRPr="006E6E34">
        <w:rPr>
          <w:rFonts w:eastAsia="Times New Roman"/>
          <w:szCs w:val="24"/>
        </w:rPr>
        <w:t>acellular</w:t>
      </w:r>
      <w:proofErr w:type="spellEnd"/>
      <w:r w:rsidR="00D83080" w:rsidRPr="006E6E34">
        <w:rPr>
          <w:rFonts w:eastAsia="Times New Roman"/>
          <w:szCs w:val="24"/>
        </w:rPr>
        <w:t xml:space="preserve"> Pertussis Vaccines </w:t>
      </w:r>
      <w:r w:rsidR="00BD56FB" w:rsidRPr="006E6E34">
        <w:rPr>
          <w:rFonts w:eastAsia="Times New Roman"/>
          <w:szCs w:val="24"/>
        </w:rPr>
        <w:t>includ</w:t>
      </w:r>
      <w:r w:rsidR="00367332" w:rsidRPr="006E6E34">
        <w:rPr>
          <w:rFonts w:eastAsia="Times New Roman"/>
          <w:szCs w:val="24"/>
        </w:rPr>
        <w:t>ing</w:t>
      </w:r>
      <w:r w:rsidR="00BD56FB" w:rsidRPr="006E6E34">
        <w:rPr>
          <w:rFonts w:eastAsia="Times New Roman"/>
          <w:szCs w:val="24"/>
        </w:rPr>
        <w:t xml:space="preserve"> </w:t>
      </w:r>
      <w:proofErr w:type="spellStart"/>
      <w:r w:rsidR="00BD56FB" w:rsidRPr="006E6E34">
        <w:rPr>
          <w:rFonts w:eastAsia="Times New Roman"/>
          <w:szCs w:val="24"/>
        </w:rPr>
        <w:t>Tripacel</w:t>
      </w:r>
      <w:proofErr w:type="spellEnd"/>
      <w:r w:rsidR="00BD56FB" w:rsidRPr="006E6E34">
        <w:rPr>
          <w:rFonts w:eastAsia="Times New Roman"/>
          <w:szCs w:val="24"/>
        </w:rPr>
        <w:t xml:space="preserve"> and Infanrix</w:t>
      </w:r>
      <w:r w:rsidR="000201CF" w:rsidRPr="006E6E34">
        <w:rPr>
          <w:rFonts w:eastAsia="Times New Roman"/>
          <w:szCs w:val="24"/>
        </w:rPr>
        <w:t>)</w:t>
      </w:r>
      <w:r w:rsidR="00367332" w:rsidRPr="006E6E34">
        <w:rPr>
          <w:rFonts w:eastAsia="Times New Roman"/>
          <w:szCs w:val="24"/>
        </w:rPr>
        <w:t>, to a single whole cell Pertussis vaccine</w:t>
      </w:r>
      <w:r w:rsidR="00D83080" w:rsidRPr="006E6E34">
        <w:rPr>
          <w:rFonts w:eastAsia="Times New Roman"/>
          <w:szCs w:val="24"/>
        </w:rPr>
        <w:t xml:space="preserve"> (</w:t>
      </w:r>
      <w:proofErr w:type="spellStart"/>
      <w:r w:rsidR="00D83080" w:rsidRPr="006E6E34">
        <w:rPr>
          <w:rFonts w:eastAsia="Times New Roman"/>
          <w:szCs w:val="24"/>
        </w:rPr>
        <w:t>Pichichero</w:t>
      </w:r>
      <w:proofErr w:type="spellEnd"/>
      <w:r w:rsidR="00D83080" w:rsidRPr="006E6E34">
        <w:rPr>
          <w:rFonts w:eastAsia="Times New Roman"/>
          <w:szCs w:val="24"/>
        </w:rPr>
        <w:t xml:space="preserve">, </w:t>
      </w:r>
      <w:proofErr w:type="spellStart"/>
      <w:r w:rsidR="00D83080" w:rsidRPr="006E6E34">
        <w:rPr>
          <w:rFonts w:eastAsia="Times New Roman"/>
          <w:szCs w:val="24"/>
        </w:rPr>
        <w:t>Deloria</w:t>
      </w:r>
      <w:proofErr w:type="spellEnd"/>
      <w:r w:rsidR="00D83080" w:rsidRPr="006E6E34">
        <w:rPr>
          <w:rFonts w:eastAsia="Times New Roman"/>
          <w:szCs w:val="24"/>
        </w:rPr>
        <w:t>, et al. 1997)</w:t>
      </w:r>
      <w:r w:rsidR="00367332" w:rsidRPr="006E6E34">
        <w:rPr>
          <w:rFonts w:eastAsia="Times New Roman"/>
          <w:szCs w:val="24"/>
        </w:rPr>
        <w:t>;</w:t>
      </w:r>
      <w:r w:rsidR="00D83080" w:rsidRPr="006E6E34">
        <w:rPr>
          <w:rFonts w:eastAsia="Times New Roman"/>
          <w:szCs w:val="24"/>
        </w:rPr>
        <w:t xml:space="preserve"> and a naïve comparison of 1</w:t>
      </w:r>
      <w:r w:rsidR="00367332" w:rsidRPr="006E6E34">
        <w:rPr>
          <w:rFonts w:eastAsia="Times New Roman"/>
          <w:szCs w:val="24"/>
        </w:rPr>
        <w:t>3</w:t>
      </w:r>
      <w:r w:rsidR="00D83080" w:rsidRPr="006E6E34">
        <w:rPr>
          <w:rFonts w:eastAsia="Times New Roman"/>
          <w:szCs w:val="24"/>
        </w:rPr>
        <w:t xml:space="preserve"> trials including either DTPa or DTaP (</w:t>
      </w:r>
      <w:proofErr w:type="spellStart"/>
      <w:r w:rsidR="00D83080" w:rsidRPr="006E6E34">
        <w:rPr>
          <w:rFonts w:eastAsia="Times New Roman"/>
          <w:szCs w:val="24"/>
        </w:rPr>
        <w:t>Harlperin</w:t>
      </w:r>
      <w:proofErr w:type="spellEnd"/>
      <w:r w:rsidR="00D83080" w:rsidRPr="006E6E34">
        <w:rPr>
          <w:rFonts w:eastAsia="Times New Roman"/>
          <w:szCs w:val="24"/>
        </w:rPr>
        <w:t xml:space="preserve"> 1996, </w:t>
      </w:r>
      <w:proofErr w:type="spellStart"/>
      <w:r w:rsidR="00D83080" w:rsidRPr="006E6E34">
        <w:rPr>
          <w:rFonts w:eastAsia="Times New Roman"/>
          <w:szCs w:val="24"/>
        </w:rPr>
        <w:t>Halperin</w:t>
      </w:r>
      <w:proofErr w:type="spellEnd"/>
      <w:r w:rsidR="00D83080" w:rsidRPr="006E6E34">
        <w:rPr>
          <w:rFonts w:eastAsia="Times New Roman"/>
          <w:szCs w:val="24"/>
        </w:rPr>
        <w:t xml:space="preserve"> 1995, PHASE IIC, Chatterjee 2012, Guerra 2009, Study PERTB9301, </w:t>
      </w:r>
      <w:proofErr w:type="spellStart"/>
      <w:r w:rsidR="00D83080" w:rsidRPr="006E6E34">
        <w:rPr>
          <w:rFonts w:eastAsia="Times New Roman"/>
          <w:szCs w:val="24"/>
        </w:rPr>
        <w:t>Halperin</w:t>
      </w:r>
      <w:proofErr w:type="spellEnd"/>
      <w:r w:rsidR="00D83080" w:rsidRPr="006E6E34">
        <w:rPr>
          <w:rFonts w:eastAsia="Times New Roman"/>
          <w:szCs w:val="24"/>
        </w:rPr>
        <w:t xml:space="preserve"> 1994, </w:t>
      </w:r>
      <w:proofErr w:type="spellStart"/>
      <w:r w:rsidR="00D83080" w:rsidRPr="006E6E34">
        <w:rPr>
          <w:rFonts w:eastAsia="Times New Roman"/>
          <w:szCs w:val="24"/>
        </w:rPr>
        <w:t>Pichichero</w:t>
      </w:r>
      <w:proofErr w:type="spellEnd"/>
      <w:r w:rsidR="00D83080" w:rsidRPr="006E6E34">
        <w:rPr>
          <w:rFonts w:eastAsia="Times New Roman"/>
          <w:szCs w:val="24"/>
        </w:rPr>
        <w:t xml:space="preserve"> 1996, Nolan 2004, </w:t>
      </w:r>
      <w:proofErr w:type="spellStart"/>
      <w:r w:rsidR="00D83080" w:rsidRPr="006E6E34">
        <w:rPr>
          <w:rFonts w:eastAsia="Times New Roman"/>
          <w:szCs w:val="24"/>
        </w:rPr>
        <w:t>Trofa</w:t>
      </w:r>
      <w:proofErr w:type="spellEnd"/>
      <w:r w:rsidR="00D83080" w:rsidRPr="006E6E34">
        <w:rPr>
          <w:rFonts w:eastAsia="Times New Roman"/>
          <w:szCs w:val="24"/>
        </w:rPr>
        <w:t xml:space="preserve"> 2011, Schmitt 1998, </w:t>
      </w:r>
      <w:proofErr w:type="spellStart"/>
      <w:r w:rsidR="00D83080" w:rsidRPr="006E6E34">
        <w:rPr>
          <w:rFonts w:eastAsia="Times New Roman"/>
          <w:szCs w:val="24"/>
        </w:rPr>
        <w:t>Trofa</w:t>
      </w:r>
      <w:proofErr w:type="spellEnd"/>
      <w:r w:rsidR="00D83080" w:rsidRPr="006E6E34">
        <w:rPr>
          <w:rFonts w:eastAsia="Times New Roman"/>
          <w:szCs w:val="24"/>
        </w:rPr>
        <w:t xml:space="preserve"> 2011, NCT00289913 and Schmitt 1996).</w:t>
      </w:r>
    </w:p>
    <w:p w:rsidR="00465488" w:rsidRPr="00465488" w:rsidRDefault="00465488" w:rsidP="005A7E75">
      <w:pPr>
        <w:pStyle w:val="BodyText"/>
        <w:widowControl/>
        <w:ind w:left="709"/>
        <w:jc w:val="both"/>
        <w:rPr>
          <w:rFonts w:eastAsia="Times New Roman"/>
          <w:szCs w:val="24"/>
        </w:rPr>
      </w:pPr>
    </w:p>
    <w:p w:rsidR="00862502" w:rsidRPr="00137230" w:rsidRDefault="00B81C17" w:rsidP="00E12E01">
      <w:pPr>
        <w:pStyle w:val="BodyText"/>
        <w:widowControl/>
        <w:ind w:left="709" w:hanging="709"/>
        <w:jc w:val="both"/>
        <w:rPr>
          <w:szCs w:val="22"/>
        </w:rPr>
      </w:pPr>
      <w:r>
        <w:rPr>
          <w:rFonts w:eastAsia="Times New Roman"/>
          <w:szCs w:val="24"/>
        </w:rPr>
        <w:t>6.4</w:t>
      </w:r>
      <w:r>
        <w:rPr>
          <w:rFonts w:eastAsia="Times New Roman"/>
          <w:szCs w:val="24"/>
        </w:rPr>
        <w:tab/>
      </w:r>
      <w:r w:rsidR="00862502" w:rsidRPr="006E6E34">
        <w:rPr>
          <w:rFonts w:eastAsia="Times New Roman"/>
          <w:szCs w:val="24"/>
        </w:rPr>
        <w:t>Details of the trials presented in the submission are provided in the table below.</w:t>
      </w:r>
      <w:r w:rsidR="00E12E01" w:rsidRPr="00137230">
        <w:rPr>
          <w:szCs w:val="22"/>
        </w:rPr>
        <w:t xml:space="preserve"> </w:t>
      </w:r>
    </w:p>
    <w:p w:rsidR="008F120A" w:rsidRPr="00137230" w:rsidRDefault="00D83080" w:rsidP="00FE664D">
      <w:pPr>
        <w:keepNext/>
        <w:widowControl/>
        <w:ind w:firstLine="720"/>
        <w:rPr>
          <w:rStyle w:val="CommentReference"/>
        </w:rPr>
      </w:pPr>
      <w:r w:rsidRPr="00137230">
        <w:rPr>
          <w:rStyle w:val="CommentReference"/>
        </w:rPr>
        <w:lastRenderedPageBreak/>
        <w:t>Table 1</w:t>
      </w:r>
      <w:r w:rsidR="008F120A" w:rsidRPr="00137230">
        <w:rPr>
          <w:rStyle w:val="CommentReference"/>
        </w:rPr>
        <w:t>: Trials and associated reports presented in the 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19"/>
        <w:gridCol w:w="4810"/>
        <w:gridCol w:w="1834"/>
      </w:tblGrid>
      <w:tr w:rsidR="00D83080" w:rsidRPr="00137230" w:rsidTr="00CC4C12">
        <w:trPr>
          <w:cantSplit/>
        </w:trPr>
        <w:tc>
          <w:tcPr>
            <w:tcW w:w="0" w:type="auto"/>
            <w:vAlign w:val="center"/>
          </w:tcPr>
          <w:p w:rsidR="00D83080" w:rsidRPr="00137230" w:rsidRDefault="00D83080" w:rsidP="00FE664D">
            <w:pPr>
              <w:keepNext/>
              <w:widowControl/>
              <w:jc w:val="left"/>
              <w:rPr>
                <w:rFonts w:ascii="Arial Narrow" w:hAnsi="Arial Narrow"/>
                <w:b/>
                <w:sz w:val="20"/>
              </w:rPr>
            </w:pPr>
            <w:r w:rsidRPr="00137230">
              <w:rPr>
                <w:rFonts w:ascii="Arial Narrow" w:hAnsi="Arial Narrow"/>
                <w:b/>
                <w:sz w:val="20"/>
              </w:rPr>
              <w:t>Trial ID</w:t>
            </w:r>
          </w:p>
        </w:tc>
        <w:tc>
          <w:tcPr>
            <w:tcW w:w="0" w:type="auto"/>
            <w:vAlign w:val="center"/>
          </w:tcPr>
          <w:p w:rsidR="00D83080" w:rsidRPr="00137230" w:rsidRDefault="00D83080" w:rsidP="00FE664D">
            <w:pPr>
              <w:keepNext/>
              <w:widowControl/>
              <w:jc w:val="left"/>
              <w:rPr>
                <w:rFonts w:ascii="Arial Narrow" w:hAnsi="Arial Narrow"/>
                <w:b/>
                <w:sz w:val="20"/>
              </w:rPr>
            </w:pPr>
            <w:r w:rsidRPr="00137230">
              <w:rPr>
                <w:rFonts w:ascii="Arial Narrow" w:hAnsi="Arial Narrow"/>
                <w:b/>
                <w:sz w:val="20"/>
              </w:rPr>
              <w:t>Protocol title/ Publication title</w:t>
            </w:r>
          </w:p>
        </w:tc>
        <w:tc>
          <w:tcPr>
            <w:tcW w:w="1834" w:type="dxa"/>
            <w:vAlign w:val="center"/>
          </w:tcPr>
          <w:p w:rsidR="00D83080" w:rsidRPr="00137230" w:rsidRDefault="00D83080" w:rsidP="00FE664D">
            <w:pPr>
              <w:keepNext/>
              <w:widowControl/>
              <w:jc w:val="left"/>
              <w:rPr>
                <w:rFonts w:ascii="Arial Narrow" w:hAnsi="Arial Narrow"/>
                <w:b/>
                <w:sz w:val="20"/>
              </w:rPr>
            </w:pPr>
            <w:r w:rsidRPr="00137230">
              <w:rPr>
                <w:rFonts w:ascii="Arial Narrow" w:hAnsi="Arial Narrow"/>
                <w:b/>
                <w:sz w:val="20"/>
              </w:rPr>
              <w:t>Publication citation</w:t>
            </w:r>
          </w:p>
        </w:tc>
      </w:tr>
      <w:tr w:rsidR="00D83080" w:rsidRPr="00137230" w:rsidTr="00CC4C12">
        <w:trPr>
          <w:cantSplit/>
        </w:trPr>
        <w:tc>
          <w:tcPr>
            <w:tcW w:w="8363" w:type="dxa"/>
            <w:gridSpan w:val="3"/>
            <w:vAlign w:val="center"/>
          </w:tcPr>
          <w:p w:rsidR="00D83080" w:rsidRPr="00137230" w:rsidRDefault="00D83080" w:rsidP="00FE664D">
            <w:pPr>
              <w:keepNext/>
              <w:widowControl/>
              <w:jc w:val="left"/>
              <w:rPr>
                <w:rFonts w:ascii="Arial Narrow" w:hAnsi="Arial Narrow"/>
                <w:b/>
                <w:sz w:val="20"/>
              </w:rPr>
            </w:pPr>
            <w:r w:rsidRPr="00137230">
              <w:rPr>
                <w:rFonts w:ascii="Arial Narrow" w:hAnsi="Arial Narrow"/>
                <w:b/>
                <w:sz w:val="20"/>
              </w:rPr>
              <w:t>Direct randomised trial</w:t>
            </w:r>
          </w:p>
        </w:tc>
      </w:tr>
      <w:tr w:rsidR="00D83080" w:rsidRPr="00137230" w:rsidTr="00CC4C12">
        <w:trPr>
          <w:cantSplit/>
          <w:trHeight w:val="663"/>
        </w:trPr>
        <w:tc>
          <w:tcPr>
            <w:tcW w:w="0" w:type="auto"/>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Pichichero</w:t>
            </w:r>
            <w:proofErr w:type="spellEnd"/>
            <w:r w:rsidRPr="00137230">
              <w:rPr>
                <w:rFonts w:ascii="Arial Narrow" w:hAnsi="Arial Narrow"/>
                <w:sz w:val="20"/>
              </w:rPr>
              <w:t xml:space="preserve">, </w:t>
            </w:r>
            <w:proofErr w:type="spellStart"/>
            <w:r w:rsidRPr="00137230">
              <w:rPr>
                <w:rFonts w:ascii="Arial Narrow" w:hAnsi="Arial Narrow"/>
                <w:sz w:val="20"/>
              </w:rPr>
              <w:t>Deloria</w:t>
            </w:r>
            <w:proofErr w:type="spellEnd"/>
            <w:r w:rsidRPr="00137230">
              <w:rPr>
                <w:rFonts w:ascii="Arial Narrow" w:hAnsi="Arial Narrow"/>
                <w:sz w:val="20"/>
              </w:rPr>
              <w:t>, et al. 1997</w:t>
            </w:r>
          </w:p>
        </w:tc>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A Safety and Immunogenicity Comparison of 12 </w:t>
            </w:r>
            <w:proofErr w:type="spellStart"/>
            <w:r w:rsidRPr="00137230">
              <w:rPr>
                <w:rFonts w:ascii="Arial Narrow" w:hAnsi="Arial Narrow"/>
                <w:sz w:val="20"/>
              </w:rPr>
              <w:t>Acellular</w:t>
            </w:r>
            <w:proofErr w:type="spellEnd"/>
            <w:r w:rsidRPr="00137230">
              <w:rPr>
                <w:rFonts w:ascii="Arial Narrow" w:hAnsi="Arial Narrow"/>
                <w:sz w:val="20"/>
              </w:rPr>
              <w:t xml:space="preserve"> Pertussis vaccines and one whole-cellular pertussis vaccine given as a fourth dose in 15- to 20- month-old children.</w:t>
            </w:r>
          </w:p>
        </w:tc>
        <w:tc>
          <w:tcPr>
            <w:tcW w:w="1834" w:type="dxa"/>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Australian vaccine preventable disease epidemiological review series: pertussis, 2006-2012." CDI 38(3):E179.</w:t>
            </w:r>
          </w:p>
        </w:tc>
      </w:tr>
      <w:tr w:rsidR="00D83080" w:rsidRPr="00137230" w:rsidTr="00CC4C12">
        <w:trPr>
          <w:cantSplit/>
        </w:trPr>
        <w:tc>
          <w:tcPr>
            <w:tcW w:w="8363" w:type="dxa"/>
            <w:gridSpan w:val="3"/>
            <w:vAlign w:val="center"/>
          </w:tcPr>
          <w:p w:rsidR="00D83080" w:rsidRPr="00137230" w:rsidRDefault="00D83080" w:rsidP="005A7E75">
            <w:pPr>
              <w:widowControl/>
              <w:jc w:val="left"/>
              <w:rPr>
                <w:rFonts w:ascii="Arial Narrow" w:hAnsi="Arial Narrow"/>
                <w:b/>
                <w:sz w:val="20"/>
              </w:rPr>
            </w:pPr>
            <w:r w:rsidRPr="00137230">
              <w:rPr>
                <w:rFonts w:ascii="Arial Narrow" w:hAnsi="Arial Narrow"/>
                <w:b/>
                <w:sz w:val="20"/>
              </w:rPr>
              <w:t>Supplementary randomised trials</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(CANADA II CSR 1992) </w:t>
            </w:r>
            <w:proofErr w:type="spellStart"/>
            <w:r w:rsidRPr="00137230">
              <w:rPr>
                <w:rFonts w:ascii="Arial Narrow" w:hAnsi="Arial Narrow"/>
                <w:sz w:val="20"/>
              </w:rPr>
              <w:t>Halperin</w:t>
            </w:r>
            <w:proofErr w:type="spellEnd"/>
            <w:r w:rsidRPr="00137230">
              <w:rPr>
                <w:rFonts w:ascii="Arial Narrow" w:hAnsi="Arial Narrow"/>
                <w:sz w:val="20"/>
              </w:rPr>
              <w:t>, Eastwood, et al. 1996</w:t>
            </w:r>
          </w:p>
        </w:tc>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Adverse reactions and antibody response to four doses of </w:t>
            </w:r>
            <w:proofErr w:type="spellStart"/>
            <w:r w:rsidRPr="00137230">
              <w:rPr>
                <w:rFonts w:ascii="Arial Narrow" w:hAnsi="Arial Narrow"/>
                <w:sz w:val="20"/>
              </w:rPr>
              <w:t>acellular</w:t>
            </w:r>
            <w:proofErr w:type="spellEnd"/>
            <w:r w:rsidRPr="00137230">
              <w:rPr>
                <w:rFonts w:ascii="Arial Narrow" w:hAnsi="Arial Narrow"/>
                <w:sz w:val="20"/>
              </w:rPr>
              <w:t xml:space="preserve"> or whole cell pertussis vaccine combined with diphtheria and tetanus toxoids in the first 19 months of life.</w:t>
            </w:r>
          </w:p>
        </w:tc>
        <w:tc>
          <w:tcPr>
            <w:tcW w:w="1834" w:type="dxa"/>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Vaccine Vol. 14, No. 8, pp. 767-772.</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Halperin</w:t>
            </w:r>
            <w:proofErr w:type="spellEnd"/>
            <w:r w:rsidRPr="00137230">
              <w:rPr>
                <w:rFonts w:ascii="Arial Narrow" w:hAnsi="Arial Narrow"/>
                <w:sz w:val="20"/>
              </w:rPr>
              <w:t>, Mills, et al. 1995</w:t>
            </w:r>
          </w:p>
        </w:tc>
        <w:tc>
          <w:tcPr>
            <w:tcW w:w="0" w:type="auto"/>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Acellular</w:t>
            </w:r>
            <w:proofErr w:type="spellEnd"/>
            <w:r w:rsidRPr="00137230">
              <w:rPr>
                <w:rFonts w:ascii="Arial Narrow" w:hAnsi="Arial Narrow"/>
                <w:sz w:val="20"/>
              </w:rPr>
              <w:t xml:space="preserve"> pertussis vaccine as a booster dose for seventeen- to nineteen-month-old children immunized with either whole cell or </w:t>
            </w:r>
            <w:proofErr w:type="spellStart"/>
            <w:r w:rsidRPr="00137230">
              <w:rPr>
                <w:rFonts w:ascii="Arial Narrow" w:hAnsi="Arial Narrow"/>
                <w:sz w:val="20"/>
              </w:rPr>
              <w:t>acellular</w:t>
            </w:r>
            <w:proofErr w:type="spellEnd"/>
            <w:r w:rsidRPr="00137230">
              <w:rPr>
                <w:rFonts w:ascii="Arial Narrow" w:hAnsi="Arial Narrow"/>
                <w:sz w:val="20"/>
              </w:rPr>
              <w:t xml:space="preserve"> pertussis vaccine at two, four and six months of age.</w:t>
            </w:r>
          </w:p>
        </w:tc>
        <w:tc>
          <w:tcPr>
            <w:tcW w:w="1834" w:type="dxa"/>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Pediatr</w:t>
            </w:r>
            <w:proofErr w:type="spellEnd"/>
            <w:r w:rsidRPr="00137230">
              <w:rPr>
                <w:rFonts w:ascii="Arial Narrow" w:hAnsi="Arial Narrow"/>
                <w:sz w:val="20"/>
              </w:rPr>
              <w:t xml:space="preserve"> Infect Dis J. Sep</w:t>
            </w:r>
            <w:proofErr w:type="gramStart"/>
            <w:r w:rsidRPr="00137230">
              <w:rPr>
                <w:rFonts w:ascii="Arial Narrow" w:hAnsi="Arial Narrow"/>
                <w:sz w:val="20"/>
              </w:rPr>
              <w:t>;14</w:t>
            </w:r>
            <w:proofErr w:type="gramEnd"/>
            <w:r w:rsidRPr="00137230">
              <w:rPr>
                <w:rFonts w:ascii="Arial Narrow" w:hAnsi="Arial Narrow"/>
                <w:sz w:val="20"/>
              </w:rPr>
              <w:t>(9):792-7.</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PHASE IIC</w:t>
            </w:r>
          </w:p>
        </w:tc>
        <w:tc>
          <w:tcPr>
            <w:tcW w:w="0" w:type="auto"/>
            <w:vAlign w:val="center"/>
          </w:tcPr>
          <w:p w:rsidR="00D83080" w:rsidRPr="00137230" w:rsidRDefault="008D1584" w:rsidP="005A7E75">
            <w:pPr>
              <w:widowControl/>
              <w:jc w:val="left"/>
              <w:rPr>
                <w:rFonts w:ascii="Arial Narrow" w:hAnsi="Arial Narrow"/>
                <w:sz w:val="20"/>
              </w:rPr>
            </w:pPr>
            <w:r w:rsidRPr="00137230">
              <w:rPr>
                <w:rFonts w:ascii="Arial Narrow" w:hAnsi="Arial Narrow"/>
                <w:sz w:val="20"/>
              </w:rPr>
              <w:t>Safety and Immunogenicity of two Connaught component pertussis vaccines in combination with diphtheria and tetanus toxoids adsorbed in children 2-6 months of age with a booster immunization at 18 months of age</w:t>
            </w:r>
          </w:p>
        </w:tc>
        <w:tc>
          <w:tcPr>
            <w:tcW w:w="1834" w:type="dxa"/>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PHASE IIC CSR</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Chatterjee, et al. 2012); NCT00255047</w:t>
            </w:r>
          </w:p>
        </w:tc>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Comparative immunogenicity and safety of different multivalent component pertussis vaccine formulations and a 5-component </w:t>
            </w:r>
            <w:proofErr w:type="spellStart"/>
            <w:r w:rsidRPr="00137230">
              <w:rPr>
                <w:rFonts w:ascii="Arial Narrow" w:hAnsi="Arial Narrow"/>
                <w:sz w:val="20"/>
              </w:rPr>
              <w:t>acellular</w:t>
            </w:r>
            <w:proofErr w:type="spellEnd"/>
            <w:r w:rsidRPr="00137230">
              <w:rPr>
                <w:rFonts w:ascii="Arial Narrow" w:hAnsi="Arial Narrow"/>
                <w:sz w:val="20"/>
              </w:rPr>
              <w:t xml:space="preserve"> pertussis vaccine in infants and toddlers: A randomized, controlled, open-label, </w:t>
            </w:r>
            <w:proofErr w:type="spellStart"/>
            <w:r w:rsidRPr="00137230">
              <w:rPr>
                <w:rFonts w:ascii="Arial Narrow" w:hAnsi="Arial Narrow"/>
                <w:sz w:val="20"/>
              </w:rPr>
              <w:t>multicenter</w:t>
            </w:r>
            <w:proofErr w:type="spellEnd"/>
            <w:r w:rsidRPr="00137230">
              <w:rPr>
                <w:rFonts w:ascii="Arial Narrow" w:hAnsi="Arial Narrow"/>
                <w:sz w:val="20"/>
              </w:rPr>
              <w:t xml:space="preserve"> study.</w:t>
            </w:r>
          </w:p>
        </w:tc>
        <w:tc>
          <w:tcPr>
            <w:tcW w:w="1834" w:type="dxa"/>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Vaccine 30</w:t>
            </w:r>
            <w:proofErr w:type="gramStart"/>
            <w:r w:rsidRPr="00137230">
              <w:rPr>
                <w:rFonts w:ascii="Arial Narrow" w:hAnsi="Arial Narrow"/>
                <w:sz w:val="20"/>
              </w:rPr>
              <w:t>;3360</w:t>
            </w:r>
            <w:proofErr w:type="gramEnd"/>
            <w:r w:rsidRPr="00137230">
              <w:rPr>
                <w:rFonts w:ascii="Arial Narrow" w:hAnsi="Arial Narrow"/>
                <w:sz w:val="20"/>
              </w:rPr>
              <w:t>– 3368.</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Guerra, et al. 2009</w:t>
            </w:r>
          </w:p>
        </w:tc>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Safety and Immunogenicity of a Pentavalent Vaccine Compared With Separate Administration of Licensed Equivalent Vaccines in US Infants and Toddlers and Persistence of Antibodies Before a Preschool Booster Dose: A Randomized, Clinical Trial.</w:t>
            </w:r>
          </w:p>
        </w:tc>
        <w:tc>
          <w:tcPr>
            <w:tcW w:w="1834" w:type="dxa"/>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Pediatrics</w:t>
            </w:r>
            <w:proofErr w:type="spellEnd"/>
            <w:r w:rsidRPr="00137230">
              <w:rPr>
                <w:rFonts w:ascii="Arial Narrow" w:hAnsi="Arial Narrow"/>
                <w:sz w:val="20"/>
              </w:rPr>
              <w:t xml:space="preserve"> Volume 123, Number 1, pp. 301-315.</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Study PERTB9301</w:t>
            </w:r>
          </w:p>
        </w:tc>
        <w:tc>
          <w:tcPr>
            <w:tcW w:w="0" w:type="auto"/>
            <w:vAlign w:val="center"/>
          </w:tcPr>
          <w:p w:rsidR="00D83080" w:rsidRPr="00137230" w:rsidRDefault="008D1584" w:rsidP="005A7E75">
            <w:pPr>
              <w:widowControl/>
              <w:jc w:val="left"/>
              <w:rPr>
                <w:rFonts w:ascii="Arial Narrow" w:hAnsi="Arial Narrow"/>
                <w:sz w:val="20"/>
                <w:lang w:eastAsia="zh-CN"/>
              </w:rPr>
            </w:pPr>
            <w:r w:rsidRPr="00137230">
              <w:rPr>
                <w:rFonts w:ascii="Arial Narrow" w:hAnsi="Arial Narrow"/>
                <w:sz w:val="20"/>
                <w:lang w:eastAsia="zh-CN"/>
              </w:rPr>
              <w:t xml:space="preserve">Safety and Immunogenicity of two Connaught component pertussis vaccines in combination with diphtheria and tetanus toxoids adsorbed alone or in combination with </w:t>
            </w:r>
            <w:proofErr w:type="spellStart"/>
            <w:r w:rsidRPr="00137230">
              <w:rPr>
                <w:rFonts w:ascii="Arial Narrow" w:hAnsi="Arial Narrow"/>
                <w:sz w:val="20"/>
                <w:lang w:eastAsia="zh-CN"/>
              </w:rPr>
              <w:t>haemophilius</w:t>
            </w:r>
            <w:proofErr w:type="spellEnd"/>
            <w:r w:rsidRPr="00137230">
              <w:rPr>
                <w:rFonts w:ascii="Arial Narrow" w:hAnsi="Arial Narrow"/>
                <w:sz w:val="20"/>
                <w:lang w:eastAsia="zh-CN"/>
              </w:rPr>
              <w:t xml:space="preserve"> influenza B conjugate vaccine in children 17-19 months of age</w:t>
            </w:r>
          </w:p>
        </w:tc>
        <w:tc>
          <w:tcPr>
            <w:tcW w:w="1834" w:type="dxa"/>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Study PERTB9301 CSR</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Halperin</w:t>
            </w:r>
            <w:proofErr w:type="spellEnd"/>
            <w:r w:rsidRPr="00137230">
              <w:rPr>
                <w:rFonts w:ascii="Arial Narrow" w:hAnsi="Arial Narrow"/>
                <w:sz w:val="20"/>
              </w:rPr>
              <w:t xml:space="preserve">, </w:t>
            </w:r>
            <w:proofErr w:type="spellStart"/>
            <w:r w:rsidRPr="00137230">
              <w:rPr>
                <w:rFonts w:ascii="Arial Narrow" w:hAnsi="Arial Narrow"/>
                <w:sz w:val="20"/>
              </w:rPr>
              <w:t>Barreto</w:t>
            </w:r>
            <w:proofErr w:type="spellEnd"/>
            <w:r w:rsidRPr="00137230">
              <w:rPr>
                <w:rFonts w:ascii="Arial Narrow" w:hAnsi="Arial Narrow"/>
                <w:sz w:val="20"/>
              </w:rPr>
              <w:t>, et al. 1994</w:t>
            </w:r>
          </w:p>
        </w:tc>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Safety and Immunogenicity of a Five-Component </w:t>
            </w:r>
            <w:proofErr w:type="spellStart"/>
            <w:r w:rsidRPr="00137230">
              <w:rPr>
                <w:rFonts w:ascii="Arial Narrow" w:hAnsi="Arial Narrow"/>
                <w:sz w:val="20"/>
              </w:rPr>
              <w:t>Acellular</w:t>
            </w:r>
            <w:proofErr w:type="spellEnd"/>
            <w:r w:rsidRPr="00137230">
              <w:rPr>
                <w:rFonts w:ascii="Arial Narrow" w:hAnsi="Arial Narrow"/>
                <w:sz w:val="20"/>
              </w:rPr>
              <w:t xml:space="preserve"> Pertussis Vaccine With Varying Antigen Quantities.</w:t>
            </w:r>
          </w:p>
        </w:tc>
        <w:tc>
          <w:tcPr>
            <w:tcW w:w="1834" w:type="dxa"/>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Arch </w:t>
            </w:r>
            <w:proofErr w:type="spellStart"/>
            <w:r w:rsidRPr="00137230">
              <w:rPr>
                <w:rFonts w:ascii="Arial Narrow" w:hAnsi="Arial Narrow"/>
                <w:sz w:val="20"/>
              </w:rPr>
              <w:t>Pediatr</w:t>
            </w:r>
            <w:proofErr w:type="spellEnd"/>
            <w:r w:rsidRPr="00137230">
              <w:rPr>
                <w:rFonts w:ascii="Arial Narrow" w:hAnsi="Arial Narrow"/>
                <w:sz w:val="20"/>
              </w:rPr>
              <w:t xml:space="preserve"> </w:t>
            </w:r>
            <w:proofErr w:type="spellStart"/>
            <w:r w:rsidRPr="00137230">
              <w:rPr>
                <w:rFonts w:ascii="Arial Narrow" w:hAnsi="Arial Narrow"/>
                <w:sz w:val="20"/>
              </w:rPr>
              <w:t>adolesc</w:t>
            </w:r>
            <w:proofErr w:type="spellEnd"/>
            <w:r w:rsidRPr="00137230">
              <w:rPr>
                <w:rFonts w:ascii="Arial Narrow" w:hAnsi="Arial Narrow"/>
                <w:sz w:val="20"/>
              </w:rPr>
              <w:t xml:space="preserve"> med 148, Nov 1994, pp. 1220-1224.</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Pichichero</w:t>
            </w:r>
            <w:proofErr w:type="spellEnd"/>
            <w:r w:rsidRPr="00137230">
              <w:rPr>
                <w:rFonts w:ascii="Arial Narrow" w:hAnsi="Arial Narrow"/>
                <w:sz w:val="20"/>
              </w:rPr>
              <w:t>, Green, et al. 1996</w:t>
            </w:r>
          </w:p>
        </w:tc>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Antibody Response and Reactions to Completion of a Four-dose Series with a Two- or Three-component </w:t>
            </w:r>
            <w:proofErr w:type="spellStart"/>
            <w:r w:rsidRPr="00137230">
              <w:rPr>
                <w:rFonts w:ascii="Arial Narrow" w:hAnsi="Arial Narrow"/>
                <w:sz w:val="20"/>
              </w:rPr>
              <w:t>Acellular</w:t>
            </w:r>
            <w:proofErr w:type="spellEnd"/>
            <w:r w:rsidRPr="00137230">
              <w:rPr>
                <w:rFonts w:ascii="Arial Narrow" w:hAnsi="Arial Narrow"/>
                <w:sz w:val="20"/>
              </w:rPr>
              <w:t xml:space="preserve"> Pertussis Vaccine Compared to Whole Cell Pertussis Vaccine.</w:t>
            </w:r>
          </w:p>
        </w:tc>
        <w:tc>
          <w:tcPr>
            <w:tcW w:w="1834" w:type="dxa"/>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Scand</w:t>
            </w:r>
            <w:proofErr w:type="spellEnd"/>
            <w:r w:rsidRPr="00137230">
              <w:rPr>
                <w:rFonts w:ascii="Arial Narrow" w:hAnsi="Arial Narrow"/>
                <w:sz w:val="20"/>
              </w:rPr>
              <w:t xml:space="preserve"> J Infect Dis 28: 159-163.</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Nolan, </w:t>
            </w:r>
            <w:proofErr w:type="spellStart"/>
            <w:r w:rsidRPr="00137230">
              <w:rPr>
                <w:rFonts w:ascii="Arial Narrow" w:hAnsi="Arial Narrow"/>
                <w:sz w:val="20"/>
              </w:rPr>
              <w:t>Altmann</w:t>
            </w:r>
            <w:proofErr w:type="spellEnd"/>
            <w:r w:rsidRPr="00137230">
              <w:rPr>
                <w:rFonts w:ascii="Arial Narrow" w:hAnsi="Arial Narrow"/>
                <w:sz w:val="20"/>
              </w:rPr>
              <w:t>, et al. 2004</w:t>
            </w:r>
          </w:p>
        </w:tc>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Antibody persistence, PRP-specific immune memory, and booster responses in infants immunised with a combination DTPa–HBV–IPV/</w:t>
            </w:r>
            <w:proofErr w:type="spellStart"/>
            <w:r w:rsidRPr="00137230">
              <w:rPr>
                <w:rFonts w:ascii="Arial Narrow" w:hAnsi="Arial Narrow"/>
                <w:sz w:val="20"/>
              </w:rPr>
              <w:t>Hib</w:t>
            </w:r>
            <w:proofErr w:type="spellEnd"/>
            <w:r w:rsidRPr="00137230">
              <w:rPr>
                <w:rFonts w:ascii="Arial Narrow" w:hAnsi="Arial Narrow"/>
                <w:sz w:val="20"/>
              </w:rPr>
              <w:t xml:space="preserve"> vaccine.</w:t>
            </w:r>
          </w:p>
        </w:tc>
        <w:tc>
          <w:tcPr>
            <w:tcW w:w="1834" w:type="dxa"/>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Vaccine 23 (2004) 14–20.</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Schmitt, </w:t>
            </w:r>
            <w:proofErr w:type="spellStart"/>
            <w:r w:rsidRPr="00137230">
              <w:rPr>
                <w:rFonts w:ascii="Arial Narrow" w:hAnsi="Arial Narrow"/>
                <w:sz w:val="20"/>
              </w:rPr>
              <w:t>Zepp</w:t>
            </w:r>
            <w:proofErr w:type="spellEnd"/>
            <w:r w:rsidRPr="00137230">
              <w:rPr>
                <w:rFonts w:ascii="Arial Narrow" w:hAnsi="Arial Narrow"/>
                <w:sz w:val="20"/>
              </w:rPr>
              <w:t>, et al. 1998</w:t>
            </w:r>
          </w:p>
        </w:tc>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Immunogenicity and </w:t>
            </w:r>
            <w:proofErr w:type="spellStart"/>
            <w:r w:rsidRPr="00137230">
              <w:rPr>
                <w:rFonts w:ascii="Arial Narrow" w:hAnsi="Arial Narrow"/>
                <w:sz w:val="20"/>
              </w:rPr>
              <w:t>reactogenicity</w:t>
            </w:r>
            <w:proofErr w:type="spellEnd"/>
            <w:r w:rsidRPr="00137230">
              <w:rPr>
                <w:rFonts w:ascii="Arial Narrow" w:hAnsi="Arial Narrow"/>
                <w:sz w:val="20"/>
              </w:rPr>
              <w:t xml:space="preserve"> of </w:t>
            </w:r>
            <w:proofErr w:type="gramStart"/>
            <w:r w:rsidRPr="00137230">
              <w:rPr>
                <w:rFonts w:ascii="Arial Narrow" w:hAnsi="Arial Narrow"/>
                <w:sz w:val="20"/>
              </w:rPr>
              <w:t>a Haemophilus</w:t>
            </w:r>
            <w:proofErr w:type="gramEnd"/>
            <w:r w:rsidRPr="00137230">
              <w:rPr>
                <w:rFonts w:ascii="Arial Narrow" w:hAnsi="Arial Narrow"/>
                <w:sz w:val="20"/>
              </w:rPr>
              <w:t xml:space="preserve"> </w:t>
            </w:r>
            <w:proofErr w:type="spellStart"/>
            <w:r w:rsidRPr="00137230">
              <w:rPr>
                <w:rFonts w:ascii="Arial Narrow" w:hAnsi="Arial Narrow"/>
                <w:sz w:val="20"/>
              </w:rPr>
              <w:t>in¯uenzae</w:t>
            </w:r>
            <w:proofErr w:type="spellEnd"/>
            <w:r w:rsidRPr="00137230">
              <w:rPr>
                <w:rFonts w:ascii="Arial Narrow" w:hAnsi="Arial Narrow"/>
                <w:sz w:val="20"/>
              </w:rPr>
              <w:t xml:space="preserve"> type b tetanus conjugate vaccine when administered separately or mixed with concomitant diphtheria-tetanus-toxoid and </w:t>
            </w:r>
            <w:proofErr w:type="spellStart"/>
            <w:r w:rsidRPr="00137230">
              <w:rPr>
                <w:rFonts w:ascii="Arial Narrow" w:hAnsi="Arial Narrow"/>
                <w:sz w:val="20"/>
              </w:rPr>
              <w:t>acellular</w:t>
            </w:r>
            <w:proofErr w:type="spellEnd"/>
            <w:r w:rsidRPr="00137230">
              <w:rPr>
                <w:rFonts w:ascii="Arial Narrow" w:hAnsi="Arial Narrow"/>
                <w:sz w:val="20"/>
              </w:rPr>
              <w:t xml:space="preserve"> pertussis vaccine for primary and for booster immunizations.</w:t>
            </w:r>
          </w:p>
          <w:p w:rsidR="00D83080" w:rsidRPr="00137230" w:rsidRDefault="00D83080" w:rsidP="005A7E75">
            <w:pPr>
              <w:widowControl/>
              <w:jc w:val="left"/>
              <w:rPr>
                <w:rFonts w:ascii="Arial Narrow" w:hAnsi="Arial Narrow"/>
                <w:sz w:val="20"/>
              </w:rPr>
            </w:pPr>
          </w:p>
        </w:tc>
        <w:tc>
          <w:tcPr>
            <w:tcW w:w="1834" w:type="dxa"/>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Eur</w:t>
            </w:r>
            <w:proofErr w:type="spellEnd"/>
            <w:r w:rsidRPr="00137230">
              <w:rPr>
                <w:rFonts w:ascii="Arial Narrow" w:hAnsi="Arial Narrow"/>
                <w:sz w:val="20"/>
              </w:rPr>
              <w:t xml:space="preserve"> J </w:t>
            </w:r>
            <w:proofErr w:type="spellStart"/>
            <w:r w:rsidRPr="00137230">
              <w:rPr>
                <w:rFonts w:ascii="Arial Narrow" w:hAnsi="Arial Narrow"/>
                <w:sz w:val="20"/>
              </w:rPr>
              <w:t>Pediatr</w:t>
            </w:r>
            <w:proofErr w:type="spellEnd"/>
            <w:r w:rsidRPr="00137230">
              <w:rPr>
                <w:rFonts w:ascii="Arial Narrow" w:hAnsi="Arial Narrow"/>
                <w:sz w:val="20"/>
              </w:rPr>
              <w:t xml:space="preserve"> 157: 208±214.</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w:t>
            </w:r>
            <w:proofErr w:type="spellStart"/>
            <w:r w:rsidRPr="00137230">
              <w:rPr>
                <w:rFonts w:ascii="Arial Narrow" w:hAnsi="Arial Narrow"/>
                <w:sz w:val="20"/>
              </w:rPr>
              <w:t>Trofa</w:t>
            </w:r>
            <w:proofErr w:type="spellEnd"/>
            <w:r w:rsidRPr="00137230">
              <w:rPr>
                <w:rFonts w:ascii="Arial Narrow" w:hAnsi="Arial Narrow"/>
                <w:sz w:val="20"/>
              </w:rPr>
              <w:t>, et al. 2011); NCT00197236</w:t>
            </w:r>
          </w:p>
        </w:tc>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Immunogenicity and Safety of an Inactivated Hepatitis A Vaccine When </w:t>
            </w:r>
            <w:proofErr w:type="spellStart"/>
            <w:r w:rsidRPr="00137230">
              <w:rPr>
                <w:rFonts w:ascii="Arial Narrow" w:hAnsi="Arial Narrow"/>
                <w:sz w:val="20"/>
              </w:rPr>
              <w:t>Coadministered</w:t>
            </w:r>
            <w:proofErr w:type="spellEnd"/>
            <w:r w:rsidRPr="00137230">
              <w:rPr>
                <w:rFonts w:ascii="Arial Narrow" w:hAnsi="Arial Narrow"/>
                <w:sz w:val="20"/>
              </w:rPr>
              <w:t xml:space="preserve"> With Diphtheria-tetanus-</w:t>
            </w:r>
            <w:proofErr w:type="spellStart"/>
            <w:r w:rsidRPr="00137230">
              <w:rPr>
                <w:rFonts w:ascii="Arial Narrow" w:hAnsi="Arial Narrow"/>
                <w:sz w:val="20"/>
              </w:rPr>
              <w:t>acellular</w:t>
            </w:r>
            <w:proofErr w:type="spellEnd"/>
            <w:r w:rsidRPr="00137230">
              <w:rPr>
                <w:rFonts w:ascii="Arial Narrow" w:hAnsi="Arial Narrow"/>
                <w:sz w:val="20"/>
              </w:rPr>
              <w:t xml:space="preserve"> Pertussis and Haemophilus </w:t>
            </w:r>
            <w:proofErr w:type="spellStart"/>
            <w:r w:rsidRPr="00137230">
              <w:rPr>
                <w:rFonts w:ascii="Arial Narrow" w:hAnsi="Arial Narrow"/>
                <w:sz w:val="20"/>
              </w:rPr>
              <w:t>influenzae</w:t>
            </w:r>
            <w:proofErr w:type="spellEnd"/>
            <w:r w:rsidRPr="00137230">
              <w:rPr>
                <w:rFonts w:ascii="Arial Narrow" w:hAnsi="Arial Narrow"/>
                <w:sz w:val="20"/>
              </w:rPr>
              <w:t xml:space="preserve"> Type B Vaccines in Children 15 Months of Age.</w:t>
            </w:r>
          </w:p>
        </w:tc>
        <w:tc>
          <w:tcPr>
            <w:tcW w:w="1834" w:type="dxa"/>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Pediatr</w:t>
            </w:r>
            <w:proofErr w:type="spellEnd"/>
            <w:r w:rsidRPr="00137230">
              <w:rPr>
                <w:rFonts w:ascii="Arial Narrow" w:hAnsi="Arial Narrow"/>
                <w:sz w:val="20"/>
              </w:rPr>
              <w:t xml:space="preserve"> Infect Dis J 30: e164–e169.</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NCT00289913</w:t>
            </w:r>
          </w:p>
        </w:tc>
        <w:tc>
          <w:tcPr>
            <w:tcW w:w="0" w:type="auto"/>
            <w:vAlign w:val="center"/>
          </w:tcPr>
          <w:p w:rsidR="00D83080" w:rsidRPr="00137230" w:rsidRDefault="008D1584" w:rsidP="005A7E75">
            <w:pPr>
              <w:widowControl/>
              <w:jc w:val="left"/>
              <w:rPr>
                <w:rFonts w:ascii="Arial Narrow" w:hAnsi="Arial Narrow"/>
                <w:sz w:val="20"/>
              </w:rPr>
            </w:pPr>
            <w:r w:rsidRPr="00137230">
              <w:rPr>
                <w:rFonts w:ascii="Arial Narrow" w:hAnsi="Arial Narrow"/>
                <w:sz w:val="20"/>
              </w:rPr>
              <w:t xml:space="preserve">Concomitant Use of Hepatitis A Vaccine, Inactivated With Haemophilus b Conjugate Vaccine (Meningococcal Protein Conjugate) and Diphtheria and Tetanus Toxoids and </w:t>
            </w:r>
            <w:proofErr w:type="spellStart"/>
            <w:r w:rsidRPr="00137230">
              <w:rPr>
                <w:rFonts w:ascii="Arial Narrow" w:hAnsi="Arial Narrow"/>
                <w:sz w:val="20"/>
              </w:rPr>
              <w:t>Acellular</w:t>
            </w:r>
            <w:proofErr w:type="spellEnd"/>
            <w:r w:rsidRPr="00137230">
              <w:rPr>
                <w:rFonts w:ascii="Arial Narrow" w:hAnsi="Arial Narrow"/>
                <w:sz w:val="20"/>
              </w:rPr>
              <w:t xml:space="preserve"> Pertussis Vaccine Adsorbed Given to Healthy Children 15 Months of Age (V251-068)</w:t>
            </w:r>
          </w:p>
        </w:tc>
        <w:tc>
          <w:tcPr>
            <w:tcW w:w="1834" w:type="dxa"/>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NCT00289913 CSR</w:t>
            </w:r>
          </w:p>
        </w:tc>
      </w:tr>
      <w:tr w:rsidR="00D83080" w:rsidRPr="00137230" w:rsidTr="00CC4C12">
        <w:trPr>
          <w:cantSplit/>
        </w:trPr>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lastRenderedPageBreak/>
              <w:t xml:space="preserve">Schmitt, </w:t>
            </w:r>
            <w:proofErr w:type="spellStart"/>
            <w:r w:rsidRPr="00137230">
              <w:rPr>
                <w:rFonts w:ascii="Arial Narrow" w:hAnsi="Arial Narrow"/>
                <w:sz w:val="20"/>
              </w:rPr>
              <w:t>Miischenborn</w:t>
            </w:r>
            <w:proofErr w:type="spellEnd"/>
            <w:r w:rsidRPr="00137230">
              <w:rPr>
                <w:rFonts w:ascii="Arial Narrow" w:hAnsi="Arial Narrow"/>
                <w:sz w:val="20"/>
              </w:rPr>
              <w:t>, et al. 1996</w:t>
            </w:r>
          </w:p>
        </w:tc>
        <w:tc>
          <w:tcPr>
            <w:tcW w:w="0" w:type="auto"/>
            <w:vAlign w:val="center"/>
          </w:tcPr>
          <w:p w:rsidR="00D83080" w:rsidRPr="00137230" w:rsidRDefault="00D83080" w:rsidP="005A7E75">
            <w:pPr>
              <w:widowControl/>
              <w:jc w:val="left"/>
              <w:rPr>
                <w:rFonts w:ascii="Arial Narrow" w:hAnsi="Arial Narrow"/>
                <w:sz w:val="20"/>
              </w:rPr>
            </w:pPr>
            <w:r w:rsidRPr="00137230">
              <w:rPr>
                <w:rFonts w:ascii="Arial Narrow" w:hAnsi="Arial Narrow"/>
                <w:sz w:val="20"/>
              </w:rPr>
              <w:t xml:space="preserve">Immunogenicity and </w:t>
            </w:r>
            <w:proofErr w:type="spellStart"/>
            <w:r w:rsidRPr="00137230">
              <w:rPr>
                <w:rFonts w:ascii="Arial Narrow" w:hAnsi="Arial Narrow"/>
                <w:sz w:val="20"/>
              </w:rPr>
              <w:t>Reactogenicity</w:t>
            </w:r>
            <w:proofErr w:type="spellEnd"/>
            <w:r w:rsidRPr="00137230">
              <w:rPr>
                <w:rFonts w:ascii="Arial Narrow" w:hAnsi="Arial Narrow"/>
                <w:sz w:val="20"/>
              </w:rPr>
              <w:t xml:space="preserve"> of a </w:t>
            </w:r>
            <w:proofErr w:type="spellStart"/>
            <w:r w:rsidRPr="00137230">
              <w:rPr>
                <w:rFonts w:ascii="Arial Narrow" w:hAnsi="Arial Narrow"/>
                <w:sz w:val="20"/>
              </w:rPr>
              <w:t>Bicomponent</w:t>
            </w:r>
            <w:proofErr w:type="spellEnd"/>
            <w:r w:rsidRPr="00137230">
              <w:rPr>
                <w:rFonts w:ascii="Arial Narrow" w:hAnsi="Arial Narrow"/>
                <w:sz w:val="20"/>
              </w:rPr>
              <w:t xml:space="preserve"> and a </w:t>
            </w:r>
            <w:proofErr w:type="spellStart"/>
            <w:r w:rsidRPr="00137230">
              <w:rPr>
                <w:rFonts w:ascii="Arial Narrow" w:hAnsi="Arial Narrow"/>
                <w:sz w:val="20"/>
              </w:rPr>
              <w:t>Tricomponent</w:t>
            </w:r>
            <w:proofErr w:type="spellEnd"/>
            <w:r w:rsidRPr="00137230">
              <w:rPr>
                <w:rFonts w:ascii="Arial Narrow" w:hAnsi="Arial Narrow"/>
                <w:sz w:val="20"/>
              </w:rPr>
              <w:t xml:space="preserve"> </w:t>
            </w:r>
            <w:proofErr w:type="spellStart"/>
            <w:r w:rsidRPr="00137230">
              <w:rPr>
                <w:rFonts w:ascii="Arial Narrow" w:hAnsi="Arial Narrow"/>
                <w:sz w:val="20"/>
              </w:rPr>
              <w:t>Acellular</w:t>
            </w:r>
            <w:proofErr w:type="spellEnd"/>
            <w:r w:rsidRPr="00137230">
              <w:rPr>
                <w:rFonts w:ascii="Arial Narrow" w:hAnsi="Arial Narrow"/>
                <w:sz w:val="20"/>
              </w:rPr>
              <w:t xml:space="preserve"> Pertussis-Diphtheria-Tetanus (DTaP) Vaccine in Primary Immunization and as Second Year Booster: A Double-Blind, Randomized Trial.</w:t>
            </w:r>
          </w:p>
        </w:tc>
        <w:tc>
          <w:tcPr>
            <w:tcW w:w="1834" w:type="dxa"/>
            <w:vAlign w:val="center"/>
          </w:tcPr>
          <w:p w:rsidR="00D83080" w:rsidRPr="00137230" w:rsidRDefault="00D83080" w:rsidP="005A7E75">
            <w:pPr>
              <w:widowControl/>
              <w:jc w:val="left"/>
              <w:rPr>
                <w:rFonts w:ascii="Arial Narrow" w:hAnsi="Arial Narrow"/>
                <w:sz w:val="20"/>
              </w:rPr>
            </w:pPr>
            <w:proofErr w:type="spellStart"/>
            <w:r w:rsidRPr="00137230">
              <w:rPr>
                <w:rFonts w:ascii="Arial Narrow" w:hAnsi="Arial Narrow"/>
                <w:sz w:val="20"/>
              </w:rPr>
              <w:t>Int</w:t>
            </w:r>
            <w:proofErr w:type="spellEnd"/>
            <w:r w:rsidRPr="00137230">
              <w:rPr>
                <w:rFonts w:ascii="Arial Narrow" w:hAnsi="Arial Narrow"/>
                <w:sz w:val="20"/>
              </w:rPr>
              <w:t xml:space="preserve"> J Infect Dis 1:6-13.</w:t>
            </w:r>
          </w:p>
        </w:tc>
      </w:tr>
    </w:tbl>
    <w:p w:rsidR="00D83080" w:rsidRPr="00137230" w:rsidRDefault="00D83080" w:rsidP="005A7E75">
      <w:pPr>
        <w:widowControl/>
        <w:ind w:left="709"/>
        <w:jc w:val="left"/>
        <w:rPr>
          <w:rFonts w:ascii="Arial Narrow" w:hAnsi="Arial Narrow"/>
          <w:sz w:val="20"/>
        </w:rPr>
      </w:pPr>
      <w:r w:rsidRPr="00137230">
        <w:rPr>
          <w:rFonts w:ascii="Arial Narrow" w:hAnsi="Arial Narrow"/>
          <w:sz w:val="20"/>
        </w:rPr>
        <w:t>Source: Section B.2, p19 of the submission.</w:t>
      </w:r>
    </w:p>
    <w:p w:rsidR="00862502" w:rsidRPr="00137230" w:rsidRDefault="00862502" w:rsidP="005A7E75">
      <w:pPr>
        <w:widowControl/>
        <w:rPr>
          <w:szCs w:val="22"/>
          <w:highlight w:val="green"/>
        </w:rPr>
      </w:pPr>
    </w:p>
    <w:p w:rsidR="00E12E01" w:rsidRDefault="00B81C17" w:rsidP="00E12E01">
      <w:pPr>
        <w:pStyle w:val="BodyText"/>
        <w:widowControl/>
        <w:ind w:left="709" w:hanging="709"/>
        <w:jc w:val="both"/>
        <w:rPr>
          <w:rFonts w:eastAsia="Times New Roman"/>
          <w:szCs w:val="24"/>
        </w:rPr>
      </w:pPr>
      <w:r>
        <w:rPr>
          <w:rFonts w:eastAsia="Times New Roman"/>
          <w:szCs w:val="24"/>
        </w:rPr>
        <w:t>6.5</w:t>
      </w:r>
      <w:r>
        <w:rPr>
          <w:rFonts w:eastAsia="Times New Roman"/>
          <w:szCs w:val="24"/>
        </w:rPr>
        <w:tab/>
      </w:r>
      <w:r w:rsidR="00D83080" w:rsidRPr="00465488">
        <w:rPr>
          <w:rFonts w:eastAsia="Times New Roman"/>
          <w:szCs w:val="24"/>
        </w:rPr>
        <w:t>The key features of the vaccine effectiveness studies are summarised in Table 2.</w:t>
      </w:r>
    </w:p>
    <w:p w:rsidR="00FE664D" w:rsidRDefault="00E12E01" w:rsidP="00E12E01">
      <w:pPr>
        <w:pStyle w:val="BodyText"/>
        <w:widowControl/>
        <w:ind w:left="709" w:hanging="709"/>
        <w:jc w:val="both"/>
        <w:rPr>
          <w:rStyle w:val="CommentReference"/>
          <w:szCs w:val="20"/>
        </w:rPr>
      </w:pPr>
      <w:r>
        <w:rPr>
          <w:rStyle w:val="CommentReference"/>
          <w:szCs w:val="20"/>
        </w:rPr>
        <w:t xml:space="preserve"> </w:t>
      </w:r>
    </w:p>
    <w:p w:rsidR="007F1017" w:rsidRPr="00137230" w:rsidRDefault="007F1017" w:rsidP="00A9446A">
      <w:pPr>
        <w:keepNext/>
        <w:widowControl/>
        <w:ind w:firstLine="720"/>
        <w:rPr>
          <w:rStyle w:val="CommentReference"/>
          <w:szCs w:val="20"/>
        </w:rPr>
      </w:pPr>
      <w:r w:rsidRPr="00137230">
        <w:rPr>
          <w:rStyle w:val="CommentReference"/>
          <w:szCs w:val="20"/>
        </w:rPr>
        <w:t xml:space="preserve">Table </w:t>
      </w:r>
      <w:r w:rsidR="00534059" w:rsidRPr="00137230">
        <w:rPr>
          <w:rStyle w:val="CommentReference"/>
          <w:szCs w:val="20"/>
        </w:rPr>
        <w:t>2</w:t>
      </w:r>
      <w:r w:rsidRPr="00137230">
        <w:rPr>
          <w:rStyle w:val="CommentReference"/>
          <w:szCs w:val="20"/>
        </w:rPr>
        <w:t>: Key features of the included evidence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19"/>
        <w:gridCol w:w="850"/>
        <w:gridCol w:w="2097"/>
        <w:gridCol w:w="894"/>
        <w:gridCol w:w="1386"/>
      </w:tblGrid>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b/>
                <w:sz w:val="20"/>
              </w:rPr>
            </w:pPr>
            <w:r w:rsidRPr="00137230">
              <w:rPr>
                <w:rFonts w:ascii="Arial Narrow" w:hAnsi="Arial Narrow"/>
                <w:b/>
                <w:sz w:val="20"/>
              </w:rPr>
              <w:t>Trial</w:t>
            </w:r>
          </w:p>
        </w:tc>
        <w:tc>
          <w:tcPr>
            <w:tcW w:w="850" w:type="dxa"/>
            <w:shd w:val="clear" w:color="auto" w:fill="auto"/>
            <w:vAlign w:val="center"/>
          </w:tcPr>
          <w:p w:rsidR="00001247" w:rsidRPr="00137230" w:rsidRDefault="00001247" w:rsidP="005A7E75">
            <w:pPr>
              <w:keepNext/>
              <w:widowControl/>
              <w:jc w:val="center"/>
              <w:rPr>
                <w:rFonts w:ascii="Arial Narrow" w:hAnsi="Arial Narrow"/>
                <w:b/>
                <w:sz w:val="20"/>
              </w:rPr>
            </w:pPr>
            <w:r w:rsidRPr="00137230">
              <w:rPr>
                <w:rFonts w:ascii="Arial Narrow" w:hAnsi="Arial Narrow"/>
                <w:b/>
                <w:sz w:val="20"/>
              </w:rPr>
              <w:t>N</w:t>
            </w:r>
          </w:p>
        </w:tc>
        <w:tc>
          <w:tcPr>
            <w:tcW w:w="2097" w:type="dxa"/>
            <w:shd w:val="clear" w:color="auto" w:fill="auto"/>
            <w:vAlign w:val="center"/>
          </w:tcPr>
          <w:p w:rsidR="00001247" w:rsidRPr="00137230" w:rsidRDefault="00001247" w:rsidP="005A7E75">
            <w:pPr>
              <w:keepNext/>
              <w:widowControl/>
              <w:jc w:val="center"/>
              <w:rPr>
                <w:rFonts w:ascii="Arial Narrow" w:hAnsi="Arial Narrow"/>
                <w:b/>
                <w:sz w:val="20"/>
              </w:rPr>
            </w:pPr>
            <w:r w:rsidRPr="00137230">
              <w:rPr>
                <w:rFonts w:ascii="Arial Narrow" w:hAnsi="Arial Narrow"/>
                <w:b/>
                <w:sz w:val="20"/>
              </w:rPr>
              <w:t>Design/ duration</w:t>
            </w:r>
          </w:p>
        </w:tc>
        <w:tc>
          <w:tcPr>
            <w:tcW w:w="0" w:type="auto"/>
            <w:shd w:val="clear" w:color="auto" w:fill="auto"/>
            <w:vAlign w:val="center"/>
          </w:tcPr>
          <w:p w:rsidR="00001247" w:rsidRPr="00137230" w:rsidRDefault="00001247" w:rsidP="005A7E75">
            <w:pPr>
              <w:keepNext/>
              <w:widowControl/>
              <w:jc w:val="center"/>
              <w:rPr>
                <w:rFonts w:ascii="Arial Narrow" w:hAnsi="Arial Narrow"/>
                <w:b/>
                <w:sz w:val="20"/>
              </w:rPr>
            </w:pPr>
            <w:r w:rsidRPr="00137230">
              <w:rPr>
                <w:rFonts w:ascii="Arial Narrow" w:hAnsi="Arial Narrow"/>
                <w:b/>
                <w:sz w:val="20"/>
              </w:rPr>
              <w:t>Risk of bias</w:t>
            </w:r>
          </w:p>
        </w:tc>
        <w:tc>
          <w:tcPr>
            <w:tcW w:w="0" w:type="auto"/>
            <w:shd w:val="clear" w:color="auto" w:fill="auto"/>
            <w:vAlign w:val="center"/>
          </w:tcPr>
          <w:p w:rsidR="00001247" w:rsidRPr="00137230" w:rsidRDefault="00001247" w:rsidP="005A7E75">
            <w:pPr>
              <w:keepNext/>
              <w:widowControl/>
              <w:jc w:val="center"/>
              <w:rPr>
                <w:rFonts w:ascii="Arial Narrow" w:hAnsi="Arial Narrow"/>
                <w:b/>
                <w:sz w:val="20"/>
              </w:rPr>
            </w:pPr>
            <w:r w:rsidRPr="00137230">
              <w:rPr>
                <w:rFonts w:ascii="Arial Narrow" w:hAnsi="Arial Narrow"/>
                <w:b/>
                <w:sz w:val="20"/>
              </w:rPr>
              <w:t>Outcome(s)</w:t>
            </w: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proofErr w:type="spellStart"/>
            <w:r w:rsidRPr="00137230">
              <w:rPr>
                <w:rFonts w:ascii="Arial Narrow" w:hAnsi="Arial Narrow"/>
                <w:sz w:val="20"/>
              </w:rPr>
              <w:t>Pichichero</w:t>
            </w:r>
            <w:proofErr w:type="spellEnd"/>
            <w:r w:rsidRPr="00137230">
              <w:rPr>
                <w:rFonts w:ascii="Arial Narrow" w:hAnsi="Arial Narrow"/>
                <w:sz w:val="20"/>
              </w:rPr>
              <w:t xml:space="preserve">, </w:t>
            </w:r>
            <w:proofErr w:type="spellStart"/>
            <w:r w:rsidRPr="00137230">
              <w:rPr>
                <w:rFonts w:ascii="Arial Narrow" w:hAnsi="Arial Narrow"/>
                <w:sz w:val="20"/>
              </w:rPr>
              <w:t>Deloria</w:t>
            </w:r>
            <w:proofErr w:type="spellEnd"/>
            <w:r w:rsidRPr="00137230">
              <w:rPr>
                <w:rFonts w:ascii="Arial Narrow" w:hAnsi="Arial Narrow"/>
                <w:sz w:val="20"/>
              </w:rPr>
              <w:t>, et al. 1997</w:t>
            </w:r>
          </w:p>
        </w:tc>
        <w:tc>
          <w:tcPr>
            <w:tcW w:w="850" w:type="dxa"/>
            <w:shd w:val="clear" w:color="auto" w:fill="auto"/>
            <w:vAlign w:val="center"/>
          </w:tcPr>
          <w:p w:rsidR="00D35006" w:rsidRDefault="00D35006" w:rsidP="005A7E75">
            <w:pPr>
              <w:keepNext/>
              <w:widowControl/>
              <w:jc w:val="center"/>
              <w:rPr>
                <w:rFonts w:ascii="Arial Narrow" w:hAnsi="Arial Narrow"/>
                <w:sz w:val="20"/>
              </w:rPr>
            </w:pPr>
            <w:r>
              <w:rPr>
                <w:rFonts w:ascii="Arial Narrow" w:hAnsi="Arial Narrow"/>
                <w:sz w:val="20"/>
              </w:rPr>
              <w:t>85</w:t>
            </w:r>
          </w:p>
          <w:p w:rsidR="00001247" w:rsidRPr="00137230" w:rsidRDefault="00D35006" w:rsidP="005A7E75">
            <w:pPr>
              <w:keepNext/>
              <w:widowControl/>
              <w:jc w:val="center"/>
              <w:rPr>
                <w:rFonts w:ascii="Arial Narrow" w:hAnsi="Arial Narrow"/>
                <w:sz w:val="20"/>
              </w:rPr>
            </w:pPr>
            <w:r>
              <w:rPr>
                <w:rFonts w:ascii="Arial Narrow" w:hAnsi="Arial Narrow"/>
                <w:sz w:val="20"/>
              </w:rPr>
              <w:t xml:space="preserve">Total: </w:t>
            </w:r>
            <w:r w:rsidR="00001247" w:rsidRPr="00137230">
              <w:rPr>
                <w:rFonts w:ascii="Arial Narrow" w:hAnsi="Arial Narrow"/>
                <w:sz w:val="20"/>
              </w:rPr>
              <w:t>1374</w:t>
            </w:r>
            <w:r>
              <w:rPr>
                <w:rFonts w:ascii="Arial Narrow" w:hAnsi="Arial Narrow"/>
                <w:sz w:val="20"/>
              </w:rPr>
              <w:t xml:space="preserve"> </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Double-blind, randomised</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1 year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Safety</w:t>
            </w: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r w:rsidRPr="00137230">
              <w:rPr>
                <w:rFonts w:ascii="Arial Narrow" w:hAnsi="Arial Narrow"/>
                <w:sz w:val="20"/>
              </w:rPr>
              <w:t xml:space="preserve">(CANADA II CSR 1992) </w:t>
            </w:r>
            <w:proofErr w:type="spellStart"/>
            <w:r w:rsidRPr="00137230">
              <w:rPr>
                <w:rFonts w:ascii="Arial Narrow" w:hAnsi="Arial Narrow"/>
                <w:sz w:val="20"/>
              </w:rPr>
              <w:t>Halperin</w:t>
            </w:r>
            <w:proofErr w:type="spellEnd"/>
            <w:r w:rsidRPr="00137230">
              <w:rPr>
                <w:rFonts w:ascii="Arial Narrow" w:hAnsi="Arial Narrow"/>
                <w:sz w:val="20"/>
              </w:rPr>
              <w:t>, Eastwood, et al. 1996</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398</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Double-blind, randomised</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1-2 months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Low</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Safety</w:t>
            </w: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proofErr w:type="spellStart"/>
            <w:r w:rsidRPr="00137230">
              <w:rPr>
                <w:rFonts w:ascii="Arial Narrow" w:hAnsi="Arial Narrow"/>
                <w:sz w:val="20"/>
              </w:rPr>
              <w:t>Halperin</w:t>
            </w:r>
            <w:proofErr w:type="spellEnd"/>
            <w:r w:rsidRPr="00137230">
              <w:rPr>
                <w:rFonts w:ascii="Arial Narrow" w:hAnsi="Arial Narrow"/>
                <w:sz w:val="20"/>
              </w:rPr>
              <w:t>, Mills, et al. 1995</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86</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Double-blind, randomised</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48 hours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Low</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Safety</w:t>
            </w: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r w:rsidRPr="00137230">
              <w:rPr>
                <w:rFonts w:ascii="Arial Narrow" w:hAnsi="Arial Narrow"/>
                <w:sz w:val="20"/>
              </w:rPr>
              <w:t>PHASE IIC</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545</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Double-blind</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28 days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Low</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Safety</w:t>
            </w: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r w:rsidRPr="00137230">
              <w:rPr>
                <w:rFonts w:ascii="Arial Narrow" w:hAnsi="Arial Narrow"/>
                <w:sz w:val="20"/>
              </w:rPr>
              <w:t>Chatterjee, et al. 2012); NCT00255047</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1975</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randomised open-label</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180 days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 xml:space="preserve">Fever rates; </w:t>
            </w:r>
            <w:r w:rsidR="00694E6C" w:rsidRPr="00137230">
              <w:rPr>
                <w:rFonts w:ascii="Arial Narrow" w:hAnsi="Arial Narrow"/>
                <w:sz w:val="20"/>
              </w:rPr>
              <w:t>Safety</w:t>
            </w: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r w:rsidRPr="00137230">
              <w:rPr>
                <w:rFonts w:ascii="Arial Narrow" w:hAnsi="Arial Narrow"/>
                <w:sz w:val="20"/>
              </w:rPr>
              <w:t>Guerra, et al. 2009</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1249</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randomised open-label</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33 months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Safety</w:t>
            </w: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r w:rsidRPr="00137230">
              <w:rPr>
                <w:rFonts w:ascii="Arial Narrow" w:hAnsi="Arial Narrow"/>
                <w:sz w:val="20"/>
              </w:rPr>
              <w:t>Study PERTB9301</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763</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partially blind</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28 days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Safety</w:t>
            </w: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proofErr w:type="spellStart"/>
            <w:r w:rsidRPr="00137230">
              <w:rPr>
                <w:rFonts w:ascii="Arial Narrow" w:hAnsi="Arial Narrow"/>
                <w:sz w:val="20"/>
              </w:rPr>
              <w:t>Halperin</w:t>
            </w:r>
            <w:proofErr w:type="spellEnd"/>
            <w:r w:rsidRPr="00137230">
              <w:rPr>
                <w:rFonts w:ascii="Arial Narrow" w:hAnsi="Arial Narrow"/>
                <w:sz w:val="20"/>
              </w:rPr>
              <w:t xml:space="preserve">, </w:t>
            </w:r>
            <w:proofErr w:type="spellStart"/>
            <w:r w:rsidRPr="00137230">
              <w:rPr>
                <w:rFonts w:ascii="Arial Narrow" w:hAnsi="Arial Narrow"/>
                <w:sz w:val="20"/>
              </w:rPr>
              <w:t>Barreto</w:t>
            </w:r>
            <w:proofErr w:type="spellEnd"/>
            <w:r w:rsidRPr="00137230">
              <w:rPr>
                <w:rFonts w:ascii="Arial Narrow" w:hAnsi="Arial Narrow"/>
                <w:sz w:val="20"/>
              </w:rPr>
              <w:t>, et al. 1994</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91</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Double-blind, randomised</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48 hours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Safety</w:t>
            </w: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proofErr w:type="spellStart"/>
            <w:r w:rsidRPr="00137230">
              <w:rPr>
                <w:rFonts w:ascii="Arial Narrow" w:hAnsi="Arial Narrow"/>
                <w:sz w:val="20"/>
              </w:rPr>
              <w:t>Pichichero</w:t>
            </w:r>
            <w:proofErr w:type="spellEnd"/>
            <w:r w:rsidRPr="00137230">
              <w:rPr>
                <w:rFonts w:ascii="Arial Narrow" w:hAnsi="Arial Narrow"/>
                <w:sz w:val="20"/>
              </w:rPr>
              <w:t>, Green, et al. 1996</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86</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Double-blind, randomised</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30 days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proofErr w:type="spellStart"/>
            <w:r w:rsidRPr="00137230">
              <w:rPr>
                <w:rFonts w:ascii="Arial Narrow" w:hAnsi="Arial Narrow"/>
                <w:sz w:val="20"/>
              </w:rPr>
              <w:t>reactogenicity</w:t>
            </w:r>
            <w:proofErr w:type="spellEnd"/>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r w:rsidRPr="00137230">
              <w:rPr>
                <w:rFonts w:ascii="Arial Narrow" w:hAnsi="Arial Narrow"/>
                <w:sz w:val="20"/>
              </w:rPr>
              <w:t xml:space="preserve">Nolan, </w:t>
            </w:r>
            <w:proofErr w:type="spellStart"/>
            <w:r w:rsidRPr="00137230">
              <w:rPr>
                <w:rFonts w:ascii="Arial Narrow" w:hAnsi="Arial Narrow"/>
                <w:sz w:val="20"/>
              </w:rPr>
              <w:t>Altmann</w:t>
            </w:r>
            <w:proofErr w:type="spellEnd"/>
            <w:r w:rsidRPr="00137230">
              <w:rPr>
                <w:rFonts w:ascii="Arial Narrow" w:hAnsi="Arial Narrow"/>
                <w:sz w:val="20"/>
              </w:rPr>
              <w:t>, et al. 2004</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289</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single-blind</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30-48 days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proofErr w:type="spellStart"/>
            <w:r w:rsidRPr="00137230">
              <w:rPr>
                <w:rFonts w:ascii="Arial Narrow" w:hAnsi="Arial Narrow"/>
                <w:sz w:val="20"/>
              </w:rPr>
              <w:t>reactogenicity</w:t>
            </w:r>
            <w:proofErr w:type="spellEnd"/>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r w:rsidRPr="00137230">
              <w:rPr>
                <w:rFonts w:ascii="Arial Narrow" w:hAnsi="Arial Narrow"/>
                <w:sz w:val="20"/>
              </w:rPr>
              <w:t xml:space="preserve">Schmitt, </w:t>
            </w:r>
            <w:proofErr w:type="spellStart"/>
            <w:r w:rsidRPr="00137230">
              <w:rPr>
                <w:rFonts w:ascii="Arial Narrow" w:hAnsi="Arial Narrow"/>
                <w:sz w:val="20"/>
              </w:rPr>
              <w:t>Zepp</w:t>
            </w:r>
            <w:proofErr w:type="spellEnd"/>
            <w:r w:rsidRPr="00137230">
              <w:rPr>
                <w:rFonts w:ascii="Arial Narrow" w:hAnsi="Arial Narrow"/>
                <w:sz w:val="20"/>
              </w:rPr>
              <w:t>, et al. 1998</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189</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single-blind</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28-35 days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proofErr w:type="spellStart"/>
            <w:r w:rsidRPr="00137230">
              <w:rPr>
                <w:rFonts w:ascii="Arial Narrow" w:hAnsi="Arial Narrow"/>
                <w:sz w:val="20"/>
              </w:rPr>
              <w:t>reactogenicity</w:t>
            </w:r>
            <w:proofErr w:type="spellEnd"/>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r w:rsidRPr="00137230">
              <w:rPr>
                <w:rFonts w:ascii="Arial Narrow" w:hAnsi="Arial Narrow"/>
                <w:sz w:val="20"/>
              </w:rPr>
              <w:t>(</w:t>
            </w:r>
            <w:proofErr w:type="spellStart"/>
            <w:r w:rsidRPr="00137230">
              <w:rPr>
                <w:rFonts w:ascii="Arial Narrow" w:hAnsi="Arial Narrow"/>
                <w:sz w:val="20"/>
              </w:rPr>
              <w:t>Trofa</w:t>
            </w:r>
            <w:proofErr w:type="spellEnd"/>
            <w:r w:rsidRPr="00137230">
              <w:rPr>
                <w:rFonts w:ascii="Arial Narrow" w:hAnsi="Arial Narrow"/>
                <w:sz w:val="20"/>
              </w:rPr>
              <w:t>, et al. 2011); NCT00197236</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394</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open label</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6 months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Safety</w:t>
            </w: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r w:rsidRPr="00137230">
              <w:rPr>
                <w:rFonts w:ascii="Arial Narrow" w:hAnsi="Arial Narrow"/>
                <w:sz w:val="20"/>
              </w:rPr>
              <w:t>NCT00289913</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620</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open label</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14 days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p>
        </w:tc>
      </w:tr>
      <w:tr w:rsidR="00001247" w:rsidRPr="00137230" w:rsidTr="00001247">
        <w:tc>
          <w:tcPr>
            <w:tcW w:w="3119" w:type="dxa"/>
            <w:shd w:val="clear" w:color="auto" w:fill="auto"/>
            <w:vAlign w:val="center"/>
          </w:tcPr>
          <w:p w:rsidR="00001247" w:rsidRPr="00137230" w:rsidRDefault="00001247" w:rsidP="005A7E75">
            <w:pPr>
              <w:keepNext/>
              <w:widowControl/>
              <w:jc w:val="left"/>
              <w:rPr>
                <w:rFonts w:ascii="Arial Narrow" w:hAnsi="Arial Narrow"/>
                <w:sz w:val="20"/>
              </w:rPr>
            </w:pPr>
            <w:r w:rsidRPr="00137230">
              <w:rPr>
                <w:rFonts w:ascii="Arial Narrow" w:hAnsi="Arial Narrow"/>
                <w:sz w:val="20"/>
              </w:rPr>
              <w:t xml:space="preserve">Schmitt, </w:t>
            </w:r>
            <w:proofErr w:type="spellStart"/>
            <w:r w:rsidRPr="00137230">
              <w:rPr>
                <w:rFonts w:ascii="Arial Narrow" w:hAnsi="Arial Narrow"/>
                <w:sz w:val="20"/>
              </w:rPr>
              <w:t>Miischenborn</w:t>
            </w:r>
            <w:proofErr w:type="spellEnd"/>
            <w:r w:rsidRPr="00137230">
              <w:rPr>
                <w:rFonts w:ascii="Arial Narrow" w:hAnsi="Arial Narrow"/>
                <w:sz w:val="20"/>
              </w:rPr>
              <w:t>, et al. 1996</w:t>
            </w:r>
          </w:p>
        </w:tc>
        <w:tc>
          <w:tcPr>
            <w:tcW w:w="850"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157</w:t>
            </w:r>
          </w:p>
        </w:tc>
        <w:tc>
          <w:tcPr>
            <w:tcW w:w="2097" w:type="dxa"/>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Double-blind, randomised</w:t>
            </w:r>
          </w:p>
          <w:p w:rsidR="00001247" w:rsidRPr="00137230" w:rsidRDefault="00001247" w:rsidP="005A7E75">
            <w:pPr>
              <w:keepNext/>
              <w:widowControl/>
              <w:jc w:val="center"/>
              <w:rPr>
                <w:rFonts w:ascii="Arial Narrow" w:hAnsi="Arial Narrow"/>
                <w:sz w:val="20"/>
              </w:rPr>
            </w:pPr>
            <w:r w:rsidRPr="00137230">
              <w:rPr>
                <w:rFonts w:ascii="Arial Narrow" w:hAnsi="Arial Narrow"/>
                <w:sz w:val="20"/>
              </w:rPr>
              <w:t>7 days</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Unclear</w:t>
            </w:r>
          </w:p>
        </w:tc>
        <w:tc>
          <w:tcPr>
            <w:tcW w:w="0" w:type="auto"/>
            <w:shd w:val="clear" w:color="auto" w:fill="auto"/>
            <w:vAlign w:val="center"/>
          </w:tcPr>
          <w:p w:rsidR="00001247" w:rsidRPr="00137230" w:rsidRDefault="00001247" w:rsidP="005A7E75">
            <w:pPr>
              <w:keepNext/>
              <w:widowControl/>
              <w:jc w:val="center"/>
              <w:rPr>
                <w:rFonts w:ascii="Arial Narrow" w:hAnsi="Arial Narrow"/>
                <w:sz w:val="20"/>
              </w:rPr>
            </w:pPr>
            <w:r w:rsidRPr="00137230">
              <w:rPr>
                <w:rFonts w:ascii="Arial Narrow" w:hAnsi="Arial Narrow"/>
                <w:sz w:val="20"/>
              </w:rPr>
              <w:t>Immunogenicity</w:t>
            </w:r>
          </w:p>
          <w:p w:rsidR="00001247" w:rsidRPr="00137230" w:rsidRDefault="00001247" w:rsidP="005A7E75">
            <w:pPr>
              <w:keepNext/>
              <w:widowControl/>
              <w:jc w:val="center"/>
              <w:rPr>
                <w:rFonts w:ascii="Arial Narrow" w:hAnsi="Arial Narrow"/>
                <w:sz w:val="20"/>
              </w:rPr>
            </w:pPr>
            <w:proofErr w:type="spellStart"/>
            <w:r w:rsidRPr="00137230">
              <w:rPr>
                <w:rFonts w:ascii="Arial Narrow" w:hAnsi="Arial Narrow"/>
                <w:sz w:val="20"/>
              </w:rPr>
              <w:t>reactogenicity</w:t>
            </w:r>
            <w:proofErr w:type="spellEnd"/>
          </w:p>
        </w:tc>
      </w:tr>
    </w:tbl>
    <w:p w:rsidR="007F1017" w:rsidRPr="00137230" w:rsidRDefault="007F1017" w:rsidP="005A7E75">
      <w:pPr>
        <w:pStyle w:val="TableFooter"/>
        <w:widowControl/>
        <w:ind w:firstLine="720"/>
        <w:rPr>
          <w:sz w:val="20"/>
        </w:rPr>
      </w:pPr>
      <w:r w:rsidRPr="00137230">
        <w:rPr>
          <w:sz w:val="20"/>
        </w:rPr>
        <w:t>Source: compiled during the evaluation</w:t>
      </w:r>
    </w:p>
    <w:p w:rsidR="007F1017" w:rsidRPr="00A9446A" w:rsidRDefault="007F1017" w:rsidP="005A7E75">
      <w:pPr>
        <w:widowControl/>
        <w:rPr>
          <w:sz w:val="16"/>
          <w:highlight w:val="green"/>
        </w:rPr>
      </w:pPr>
    </w:p>
    <w:p w:rsidR="007F1017" w:rsidRPr="008A4A59" w:rsidRDefault="00B81C17" w:rsidP="00B81C17">
      <w:pPr>
        <w:pStyle w:val="BodyText"/>
        <w:widowControl/>
        <w:ind w:left="709" w:hanging="709"/>
        <w:jc w:val="both"/>
      </w:pPr>
      <w:r>
        <w:t>6.6</w:t>
      </w:r>
      <w:r>
        <w:tab/>
      </w:r>
      <w:r w:rsidR="00534059" w:rsidRPr="008A4A59">
        <w:t xml:space="preserve">The submission </w:t>
      </w:r>
      <w:r w:rsidR="009C0AB0" w:rsidRPr="008A4A59">
        <w:t>presented</w:t>
      </w:r>
      <w:r w:rsidR="00534059" w:rsidRPr="008A4A59">
        <w:t xml:space="preserve"> </w:t>
      </w:r>
      <w:proofErr w:type="spellStart"/>
      <w:r w:rsidR="00534059" w:rsidRPr="008A4A59">
        <w:t>Pichichero</w:t>
      </w:r>
      <w:proofErr w:type="spellEnd"/>
      <w:r w:rsidR="00534059" w:rsidRPr="008A4A59">
        <w:t xml:space="preserve"> 1997 as the </w:t>
      </w:r>
      <w:r w:rsidR="009C0AB0" w:rsidRPr="008A4A59">
        <w:t>main clinical</w:t>
      </w:r>
      <w:r w:rsidR="00534059" w:rsidRPr="008A4A59">
        <w:t xml:space="preserve"> evidence</w:t>
      </w:r>
      <w:r w:rsidR="009C0AB0" w:rsidRPr="008A4A59">
        <w:t>,</w:t>
      </w:r>
      <w:r w:rsidR="00E86A87" w:rsidRPr="008A4A59">
        <w:t xml:space="preserve"> where vaccines similar to DTPa and DTaP were compared alongside an array of other DTaP </w:t>
      </w:r>
      <w:r w:rsidR="00136292" w:rsidRPr="00825130">
        <w:t>vaccines against a single</w:t>
      </w:r>
      <w:r w:rsidR="00E86A87" w:rsidRPr="008A4A59">
        <w:t xml:space="preserve"> pertussis whole-cell vaccines (</w:t>
      </w:r>
      <w:proofErr w:type="spellStart"/>
      <w:r w:rsidR="00E86A87" w:rsidRPr="008A4A59">
        <w:t>DTwP</w:t>
      </w:r>
      <w:proofErr w:type="spellEnd"/>
      <w:r w:rsidR="00E86A87" w:rsidRPr="008A4A59">
        <w:t>) vaccine (a total of 13 vaccines were tested)</w:t>
      </w:r>
      <w:r w:rsidR="00534059" w:rsidRPr="008A4A59">
        <w:t>. The submission also presented a naïve comparison of 13 selected trials including DTaP or DTPa.</w:t>
      </w:r>
      <w:r w:rsidR="00136292">
        <w:t xml:space="preserve"> </w:t>
      </w:r>
      <w:r w:rsidR="00136292" w:rsidRPr="00847F85">
        <w:t xml:space="preserve">The ESC noted </w:t>
      </w:r>
      <w:r w:rsidR="00DB6164" w:rsidRPr="00847F85">
        <w:t>the high level of heterogeneity between the trials, including the fact that the</w:t>
      </w:r>
      <w:r w:rsidR="00136292" w:rsidRPr="00847F85">
        <w:t xml:space="preserve"> naïve comparison include</w:t>
      </w:r>
      <w:r w:rsidR="00367332" w:rsidRPr="00847F85">
        <w:t>d</w:t>
      </w:r>
      <w:r w:rsidR="00136292" w:rsidRPr="00847F85">
        <w:t xml:space="preserve"> trials spanning a long time period (1994-2012), </w:t>
      </w:r>
      <w:r w:rsidR="00DB6164" w:rsidRPr="00847F85">
        <w:t xml:space="preserve">that there was </w:t>
      </w:r>
      <w:r w:rsidR="00136292" w:rsidRPr="00847F85">
        <w:t xml:space="preserve">a range of </w:t>
      </w:r>
      <w:r w:rsidR="00DB6164" w:rsidRPr="00847F85">
        <w:t xml:space="preserve">trial </w:t>
      </w:r>
      <w:r w:rsidR="00136292" w:rsidRPr="00847F85">
        <w:t>designs (double blind, single blind,</w:t>
      </w:r>
      <w:r w:rsidR="006F32E0" w:rsidRPr="00847F85">
        <w:t xml:space="preserve"> partially blind,</w:t>
      </w:r>
      <w:r w:rsidR="00136292" w:rsidRPr="00847F85">
        <w:t xml:space="preserve"> open-label), sample sizes (n=86 though to n=1975) and trial durations </w:t>
      </w:r>
      <w:r w:rsidR="00367332" w:rsidRPr="00847F85">
        <w:t>(</w:t>
      </w:r>
      <w:r w:rsidR="00136292" w:rsidRPr="00847F85">
        <w:t xml:space="preserve">from 48 hours to approximately </w:t>
      </w:r>
      <w:r w:rsidR="006F32E0" w:rsidRPr="00847F85">
        <w:t>1 year</w:t>
      </w:r>
      <w:r w:rsidR="00136292" w:rsidRPr="00847F85">
        <w:t>)</w:t>
      </w:r>
      <w:r w:rsidR="00DB6164" w:rsidRPr="00847F85">
        <w:t xml:space="preserve">, and that the there were differences in both the definitions and follow up reporting </w:t>
      </w:r>
      <w:r w:rsidR="00DB6164" w:rsidRPr="00847F85">
        <w:lastRenderedPageBreak/>
        <w:t>periods for AEs</w:t>
      </w:r>
      <w:r w:rsidR="00136292" w:rsidRPr="00847F85">
        <w:t xml:space="preserve">. Furthermore, there </w:t>
      </w:r>
      <w:r w:rsidR="00367332" w:rsidRPr="00847F85">
        <w:t>were</w:t>
      </w:r>
      <w:r w:rsidR="00136292" w:rsidRPr="00847F85">
        <w:t xml:space="preserve"> systematic differences in potential baseline prognostic factors between trials included in the naïve comparison (e.g. co-administration of </w:t>
      </w:r>
      <w:r w:rsidR="009C31C7" w:rsidRPr="00847F85">
        <w:t xml:space="preserve">Haemophilus </w:t>
      </w:r>
      <w:proofErr w:type="spellStart"/>
      <w:r w:rsidR="009C31C7" w:rsidRPr="00847F85">
        <w:t>influenzae</w:t>
      </w:r>
      <w:proofErr w:type="spellEnd"/>
      <w:r w:rsidR="009C31C7" w:rsidRPr="00847F85">
        <w:t xml:space="preserve"> type B vaccine (</w:t>
      </w:r>
      <w:proofErr w:type="spellStart"/>
      <w:r w:rsidR="00136292" w:rsidRPr="00847F85">
        <w:t>Hib</w:t>
      </w:r>
      <w:proofErr w:type="spellEnd"/>
      <w:r w:rsidR="009C31C7" w:rsidRPr="00847F85">
        <w:t>)</w:t>
      </w:r>
      <w:r w:rsidR="00136292" w:rsidRPr="00847F85">
        <w:t xml:space="preserve">, </w:t>
      </w:r>
      <w:r w:rsidR="009C31C7" w:rsidRPr="00847F85">
        <w:t>inactivated polio vaccine (</w:t>
      </w:r>
      <w:r w:rsidR="00136292" w:rsidRPr="00847F85">
        <w:t>IPV</w:t>
      </w:r>
      <w:r w:rsidR="009C31C7" w:rsidRPr="00847F85">
        <w:t>)</w:t>
      </w:r>
      <w:r w:rsidR="00136292" w:rsidRPr="00847F85">
        <w:t xml:space="preserve">, and </w:t>
      </w:r>
      <w:r w:rsidR="0049679A" w:rsidRPr="00847F85">
        <w:t xml:space="preserve">Hepatitis B </w:t>
      </w:r>
      <w:r w:rsidR="009C31C7" w:rsidRPr="00847F85">
        <w:t xml:space="preserve">vaccine </w:t>
      </w:r>
      <w:r w:rsidR="0049679A" w:rsidRPr="00847F85">
        <w:t>(</w:t>
      </w:r>
      <w:proofErr w:type="spellStart"/>
      <w:r w:rsidR="00136292" w:rsidRPr="00847F85">
        <w:t>HepB</w:t>
      </w:r>
      <w:proofErr w:type="spellEnd"/>
      <w:r w:rsidR="0049679A" w:rsidRPr="00847F85">
        <w:t>)</w:t>
      </w:r>
      <w:r w:rsidR="00136292" w:rsidRPr="00847F85">
        <w:t>)</w:t>
      </w:r>
      <w:r w:rsidR="00DB6164" w:rsidRPr="00847F85">
        <w:t>,</w:t>
      </w:r>
      <w:r w:rsidR="00136292" w:rsidRPr="00847F85">
        <w:t xml:space="preserve"> not all trials reported items including age, race, concomitant and previous vaccine exposure</w:t>
      </w:r>
      <w:r w:rsidR="00DB6164" w:rsidRPr="00847F85">
        <w:t xml:space="preserve">, and there was </w:t>
      </w:r>
      <w:r w:rsidR="000201CF" w:rsidRPr="00847F85">
        <w:t xml:space="preserve">also </w:t>
      </w:r>
      <w:r w:rsidR="00DB6164" w:rsidRPr="00847F85">
        <w:t>a strong degree of selection bias</w:t>
      </w:r>
      <w:r w:rsidR="00136292" w:rsidRPr="00847F85">
        <w:t>.</w:t>
      </w:r>
      <w:r w:rsidR="00534059" w:rsidRPr="00847F85">
        <w:t xml:space="preserve"> </w:t>
      </w:r>
      <w:r w:rsidR="00DB6164" w:rsidRPr="00847F85">
        <w:t>The ESC considered that</w:t>
      </w:r>
      <w:r w:rsidR="00DB6164">
        <w:t xml:space="preserve"> r</w:t>
      </w:r>
      <w:r w:rsidR="00534059" w:rsidRPr="008A4A59">
        <w:t xml:space="preserve">esults of </w:t>
      </w:r>
      <w:r w:rsidR="00DB6164">
        <w:t xml:space="preserve">these </w:t>
      </w:r>
      <w:r w:rsidR="00534059" w:rsidRPr="008A4A59">
        <w:t>comparison</w:t>
      </w:r>
      <w:r w:rsidR="004117E5" w:rsidRPr="008A4A59">
        <w:t>s</w:t>
      </w:r>
      <w:r w:rsidR="00534059" w:rsidRPr="008A4A59">
        <w:t xml:space="preserve"> should be interpreted with caution</w:t>
      </w:r>
      <w:r w:rsidR="00DB6164">
        <w:t>.</w:t>
      </w:r>
    </w:p>
    <w:p w:rsidR="00CB6EC3" w:rsidRDefault="00CB6EC3" w:rsidP="005A7E75">
      <w:pPr>
        <w:pStyle w:val="Heading2"/>
        <w:widowControl/>
        <w:rPr>
          <w:i/>
        </w:rPr>
      </w:pPr>
      <w:bookmarkStart w:id="6" w:name="_Toc419467340"/>
    </w:p>
    <w:p w:rsidR="00B60939" w:rsidRPr="00137230" w:rsidRDefault="00B60939" w:rsidP="005A7E75">
      <w:pPr>
        <w:pStyle w:val="Heading2"/>
        <w:widowControl/>
        <w:rPr>
          <w:i/>
        </w:rPr>
      </w:pPr>
      <w:r w:rsidRPr="00137230">
        <w:rPr>
          <w:i/>
        </w:rPr>
        <w:t>Comparative effectiveness</w:t>
      </w:r>
      <w:bookmarkEnd w:id="6"/>
    </w:p>
    <w:p w:rsidR="00B60939" w:rsidRPr="00137230" w:rsidRDefault="00B60939" w:rsidP="005A7E75">
      <w:pPr>
        <w:widowControl/>
        <w:rPr>
          <w:szCs w:val="22"/>
        </w:rPr>
      </w:pPr>
    </w:p>
    <w:p w:rsidR="007F1017" w:rsidRPr="00465488" w:rsidRDefault="00B81C17" w:rsidP="00B81C17">
      <w:pPr>
        <w:pStyle w:val="BodyText"/>
        <w:widowControl/>
        <w:ind w:left="709" w:hanging="709"/>
        <w:jc w:val="both"/>
      </w:pPr>
      <w:r>
        <w:t>6.7</w:t>
      </w:r>
      <w:r>
        <w:tab/>
      </w:r>
      <w:r w:rsidR="00AF546B" w:rsidRPr="00465488">
        <w:t xml:space="preserve">Table 3 presents the results of Geometric Mean antibody concentrations in </w:t>
      </w:r>
      <w:proofErr w:type="spellStart"/>
      <w:r w:rsidR="00FF3C6B" w:rsidRPr="00465488">
        <w:t>P</w:t>
      </w:r>
      <w:r w:rsidR="00AF546B" w:rsidRPr="00465488">
        <w:t>ichichero</w:t>
      </w:r>
      <w:proofErr w:type="spellEnd"/>
      <w:r w:rsidR="00AF546B" w:rsidRPr="00465488">
        <w:t xml:space="preserve"> 1997</w:t>
      </w:r>
      <w:r w:rsidR="00AD3BA5" w:rsidRPr="00465488">
        <w:t>. Table</w:t>
      </w:r>
      <w:r w:rsidR="00790FF2" w:rsidRPr="00465488">
        <w:t>s</w:t>
      </w:r>
      <w:r w:rsidR="00CC4C12" w:rsidRPr="00465488">
        <w:t xml:space="preserve"> 4 to 6 present</w:t>
      </w:r>
      <w:r w:rsidR="00AD3BA5" w:rsidRPr="00465488">
        <w:t xml:space="preserve"> the results of naïve comparison.</w:t>
      </w:r>
    </w:p>
    <w:p w:rsidR="00AF546B" w:rsidRPr="00137230" w:rsidRDefault="00AF546B" w:rsidP="005A7E75">
      <w:pPr>
        <w:pStyle w:val="ListParagraph"/>
        <w:widowControl/>
        <w:jc w:val="left"/>
        <w:rPr>
          <w:rFonts w:ascii="Arial Narrow" w:hAnsi="Arial Narrow"/>
          <w:b/>
          <w:sz w:val="20"/>
        </w:rPr>
      </w:pPr>
    </w:p>
    <w:p w:rsidR="002A7D09" w:rsidRPr="00137230" w:rsidRDefault="00AF546B" w:rsidP="005A7E75">
      <w:pPr>
        <w:widowControl/>
        <w:ind w:left="709"/>
        <w:jc w:val="left"/>
        <w:rPr>
          <w:rFonts w:ascii="Arial Narrow" w:hAnsi="Arial Narrow"/>
          <w:b/>
          <w:sz w:val="20"/>
        </w:rPr>
      </w:pPr>
      <w:r w:rsidRPr="00137230">
        <w:rPr>
          <w:rFonts w:ascii="Arial Narrow" w:hAnsi="Arial Narrow"/>
          <w:b/>
          <w:sz w:val="20"/>
        </w:rPr>
        <w:t xml:space="preserve">Table 3: </w:t>
      </w:r>
      <w:r w:rsidR="002A7D09" w:rsidRPr="00137230">
        <w:rPr>
          <w:rFonts w:ascii="Arial Narrow" w:hAnsi="Arial Narrow"/>
          <w:b/>
          <w:sz w:val="20"/>
        </w:rPr>
        <w:t xml:space="preserve">Results of Geometric Mean antibody concentrations after fourth dose in </w:t>
      </w:r>
      <w:proofErr w:type="spellStart"/>
      <w:r w:rsidR="002A7D09" w:rsidRPr="00137230">
        <w:rPr>
          <w:rFonts w:ascii="Arial Narrow" w:hAnsi="Arial Narrow"/>
          <w:b/>
          <w:sz w:val="20"/>
        </w:rPr>
        <w:t>Pichichero</w:t>
      </w:r>
      <w:proofErr w:type="spellEnd"/>
      <w:r w:rsidR="002A7D09" w:rsidRPr="00137230">
        <w:rPr>
          <w:rFonts w:ascii="Arial Narrow" w:hAnsi="Arial Narrow"/>
          <w:b/>
          <w:sz w:val="20"/>
        </w:rPr>
        <w:t xml:space="preserve"> 1997</w:t>
      </w:r>
    </w:p>
    <w:tbl>
      <w:tblPr>
        <w:tblStyle w:val="TableGrid"/>
        <w:tblW w:w="4601" w:type="pct"/>
        <w:tblInd w:w="817" w:type="dxa"/>
        <w:tblLook w:val="04A0" w:firstRow="1" w:lastRow="0" w:firstColumn="1" w:lastColumn="0" w:noHBand="0" w:noVBand="1"/>
        <w:tblCaption w:val="Table 3: Results of Geometric Mean antibody concentrations after fourth dose in Pichichero 1997"/>
        <w:tblDescription w:val="Table 3 presents the results of the Geometric Mean antibody concentrations in Pichichero 1997. "/>
      </w:tblPr>
      <w:tblGrid>
        <w:gridCol w:w="673"/>
        <w:gridCol w:w="639"/>
        <w:gridCol w:w="468"/>
        <w:gridCol w:w="1766"/>
        <w:gridCol w:w="1276"/>
        <w:gridCol w:w="424"/>
        <w:gridCol w:w="1844"/>
        <w:gridCol w:w="1415"/>
      </w:tblGrid>
      <w:tr w:rsidR="002A7D09" w:rsidRPr="00137230" w:rsidTr="00FF4A2F">
        <w:trPr>
          <w:tblHeader/>
        </w:trPr>
        <w:tc>
          <w:tcPr>
            <w:tcW w:w="772" w:type="pct"/>
            <w:gridSpan w:val="2"/>
            <w:shd w:val="clear" w:color="auto" w:fill="auto"/>
            <w:vAlign w:val="center"/>
          </w:tcPr>
          <w:p w:rsidR="002A7D09" w:rsidRPr="00137230" w:rsidRDefault="002A7D09" w:rsidP="005A7E75">
            <w:pPr>
              <w:widowControl/>
              <w:jc w:val="left"/>
              <w:rPr>
                <w:rFonts w:ascii="Arial Narrow" w:hAnsi="Arial Narrow"/>
                <w:b/>
                <w:sz w:val="20"/>
              </w:rPr>
            </w:pPr>
          </w:p>
        </w:tc>
        <w:tc>
          <w:tcPr>
            <w:tcW w:w="2062" w:type="pct"/>
            <w:gridSpan w:val="3"/>
            <w:shd w:val="clear" w:color="auto" w:fill="auto"/>
            <w:vAlign w:val="center"/>
          </w:tcPr>
          <w:p w:rsidR="002A7D09" w:rsidRPr="00137230" w:rsidRDefault="002A7D09" w:rsidP="005A7E75">
            <w:pPr>
              <w:widowControl/>
              <w:jc w:val="left"/>
              <w:rPr>
                <w:rFonts w:ascii="Arial Narrow" w:hAnsi="Arial Narrow"/>
                <w:b/>
                <w:sz w:val="20"/>
              </w:rPr>
            </w:pPr>
            <w:proofErr w:type="spellStart"/>
            <w:r w:rsidRPr="00137230">
              <w:rPr>
                <w:rFonts w:ascii="Arial Narrow" w:hAnsi="Arial Narrow"/>
                <w:b/>
                <w:sz w:val="20"/>
              </w:rPr>
              <w:t>Tripacel</w:t>
            </w:r>
            <w:proofErr w:type="spellEnd"/>
            <w:r w:rsidRPr="00137230">
              <w:rPr>
                <w:rFonts w:ascii="Arial Narrow" w:hAnsi="Arial Narrow"/>
                <w:b/>
                <w:sz w:val="20"/>
              </w:rPr>
              <w:t xml:space="preserve"> (CLL-4F2/CLL-4F2)</w:t>
            </w:r>
          </w:p>
        </w:tc>
        <w:tc>
          <w:tcPr>
            <w:tcW w:w="2166" w:type="pct"/>
            <w:gridSpan w:val="3"/>
            <w:shd w:val="clear" w:color="auto" w:fill="auto"/>
            <w:vAlign w:val="center"/>
          </w:tcPr>
          <w:p w:rsidR="002A7D09" w:rsidRPr="00137230" w:rsidRDefault="002A7D09" w:rsidP="005A7E75">
            <w:pPr>
              <w:widowControl/>
              <w:jc w:val="left"/>
              <w:rPr>
                <w:rFonts w:ascii="Arial Narrow" w:hAnsi="Arial Narrow"/>
                <w:b/>
                <w:sz w:val="20"/>
              </w:rPr>
            </w:pPr>
            <w:r w:rsidRPr="00137230">
              <w:rPr>
                <w:rFonts w:ascii="Arial Narrow" w:hAnsi="Arial Narrow"/>
                <w:b/>
                <w:sz w:val="20"/>
              </w:rPr>
              <w:t>Infanrix (SKB-3P/SKB3P)</w:t>
            </w: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b/>
                <w:sz w:val="20"/>
              </w:rPr>
            </w:pPr>
          </w:p>
        </w:tc>
        <w:tc>
          <w:tcPr>
            <w:tcW w:w="376" w:type="pct"/>
            <w:shd w:val="clear" w:color="auto" w:fill="auto"/>
            <w:vAlign w:val="center"/>
          </w:tcPr>
          <w:p w:rsidR="002A7D09" w:rsidRPr="00137230" w:rsidRDefault="002A7D09" w:rsidP="005A7E75">
            <w:pPr>
              <w:widowControl/>
              <w:jc w:val="left"/>
              <w:rPr>
                <w:rFonts w:ascii="Arial Narrow" w:hAnsi="Arial Narrow"/>
                <w:b/>
                <w:sz w:val="20"/>
              </w:rPr>
            </w:pPr>
          </w:p>
        </w:tc>
        <w:tc>
          <w:tcPr>
            <w:tcW w:w="275" w:type="pct"/>
            <w:shd w:val="clear" w:color="auto" w:fill="auto"/>
            <w:vAlign w:val="center"/>
          </w:tcPr>
          <w:p w:rsidR="002A7D09" w:rsidRPr="00137230" w:rsidRDefault="002A7D09" w:rsidP="005A7E75">
            <w:pPr>
              <w:widowControl/>
              <w:jc w:val="left"/>
              <w:rPr>
                <w:rFonts w:ascii="Arial Narrow" w:hAnsi="Arial Narrow"/>
                <w:b/>
                <w:sz w:val="20"/>
              </w:rPr>
            </w:pPr>
            <w:r w:rsidRPr="00137230">
              <w:rPr>
                <w:rFonts w:ascii="Arial Narrow" w:hAnsi="Arial Narrow"/>
                <w:b/>
                <w:sz w:val="20"/>
              </w:rPr>
              <w:t>N</w:t>
            </w:r>
          </w:p>
        </w:tc>
        <w:tc>
          <w:tcPr>
            <w:tcW w:w="1038" w:type="pct"/>
            <w:shd w:val="clear" w:color="auto" w:fill="auto"/>
            <w:vAlign w:val="center"/>
          </w:tcPr>
          <w:p w:rsidR="002A7D09" w:rsidRPr="00137230" w:rsidRDefault="002A7D09" w:rsidP="005A7E75">
            <w:pPr>
              <w:widowControl/>
              <w:jc w:val="left"/>
              <w:rPr>
                <w:rFonts w:ascii="Arial Narrow" w:hAnsi="Arial Narrow"/>
                <w:b/>
                <w:sz w:val="20"/>
              </w:rPr>
            </w:pPr>
            <w:r w:rsidRPr="00137230">
              <w:rPr>
                <w:rFonts w:ascii="Arial Narrow" w:hAnsi="Arial Narrow"/>
                <w:b/>
                <w:sz w:val="20"/>
              </w:rPr>
              <w:t>GMT (95% CI)</w:t>
            </w:r>
          </w:p>
        </w:tc>
        <w:tc>
          <w:tcPr>
            <w:tcW w:w="750" w:type="pct"/>
            <w:shd w:val="clear" w:color="auto" w:fill="auto"/>
            <w:vAlign w:val="center"/>
          </w:tcPr>
          <w:p w:rsidR="002A7D09" w:rsidRPr="00137230" w:rsidRDefault="00FF3C6B" w:rsidP="005A7E75">
            <w:pPr>
              <w:widowControl/>
              <w:jc w:val="left"/>
              <w:rPr>
                <w:rFonts w:ascii="Arial Narrow" w:hAnsi="Arial Narrow"/>
                <w:b/>
                <w:sz w:val="20"/>
              </w:rPr>
            </w:pPr>
            <w:r w:rsidRPr="00137230">
              <w:rPr>
                <w:rFonts w:ascii="Arial Narrow" w:hAnsi="Arial Narrow"/>
                <w:b/>
                <w:sz w:val="20"/>
              </w:rPr>
              <w:t>% Protected</w:t>
            </w:r>
            <w:r w:rsidR="002A7D09" w:rsidRPr="00137230">
              <w:rPr>
                <w:rFonts w:ascii="Arial Narrow" w:hAnsi="Arial Narrow"/>
                <w:b/>
                <w:sz w:val="20"/>
              </w:rPr>
              <w:t xml:space="preserve"> </w:t>
            </w:r>
            <w:r w:rsidRPr="00137230">
              <w:rPr>
                <w:rFonts w:ascii="Arial Narrow" w:hAnsi="Arial Narrow"/>
                <w:b/>
                <w:sz w:val="20"/>
                <w:vertAlign w:val="superscript"/>
              </w:rPr>
              <w:t>a</w:t>
            </w:r>
          </w:p>
        </w:tc>
        <w:tc>
          <w:tcPr>
            <w:tcW w:w="249" w:type="pct"/>
            <w:shd w:val="clear" w:color="auto" w:fill="auto"/>
            <w:vAlign w:val="center"/>
          </w:tcPr>
          <w:p w:rsidR="002A7D09" w:rsidRPr="00137230" w:rsidRDefault="002A7D09" w:rsidP="005A7E75">
            <w:pPr>
              <w:widowControl/>
              <w:jc w:val="left"/>
              <w:rPr>
                <w:rFonts w:ascii="Arial Narrow" w:hAnsi="Arial Narrow"/>
                <w:b/>
                <w:sz w:val="20"/>
              </w:rPr>
            </w:pPr>
            <w:r w:rsidRPr="00137230">
              <w:rPr>
                <w:rFonts w:ascii="Arial Narrow" w:hAnsi="Arial Narrow"/>
                <w:b/>
                <w:sz w:val="20"/>
              </w:rPr>
              <w:t>N</w:t>
            </w:r>
          </w:p>
        </w:tc>
        <w:tc>
          <w:tcPr>
            <w:tcW w:w="1084" w:type="pct"/>
            <w:shd w:val="clear" w:color="auto" w:fill="auto"/>
            <w:vAlign w:val="center"/>
          </w:tcPr>
          <w:p w:rsidR="002A7D09" w:rsidRPr="00137230" w:rsidRDefault="002A7D09" w:rsidP="005A7E75">
            <w:pPr>
              <w:widowControl/>
              <w:jc w:val="left"/>
              <w:rPr>
                <w:rFonts w:ascii="Arial Narrow" w:hAnsi="Arial Narrow"/>
                <w:b/>
                <w:sz w:val="20"/>
              </w:rPr>
            </w:pPr>
            <w:r w:rsidRPr="00137230">
              <w:rPr>
                <w:rFonts w:ascii="Arial Narrow" w:hAnsi="Arial Narrow"/>
                <w:b/>
                <w:sz w:val="20"/>
              </w:rPr>
              <w:t>GMT (95% CI)</w:t>
            </w:r>
          </w:p>
        </w:tc>
        <w:tc>
          <w:tcPr>
            <w:tcW w:w="833" w:type="pct"/>
            <w:shd w:val="clear" w:color="auto" w:fill="auto"/>
            <w:vAlign w:val="center"/>
          </w:tcPr>
          <w:p w:rsidR="002A7D09" w:rsidRPr="00137230" w:rsidRDefault="00FF3C6B" w:rsidP="005A7E75">
            <w:pPr>
              <w:widowControl/>
              <w:jc w:val="left"/>
              <w:rPr>
                <w:rFonts w:ascii="Arial Narrow" w:hAnsi="Arial Narrow"/>
                <w:b/>
                <w:sz w:val="20"/>
              </w:rPr>
            </w:pPr>
            <w:r w:rsidRPr="00137230">
              <w:rPr>
                <w:rFonts w:ascii="Arial Narrow" w:hAnsi="Arial Narrow"/>
                <w:b/>
                <w:sz w:val="20"/>
              </w:rPr>
              <w:t xml:space="preserve">% </w:t>
            </w:r>
            <w:proofErr w:type="spellStart"/>
            <w:r w:rsidRPr="00137230">
              <w:rPr>
                <w:rFonts w:ascii="Arial Narrow" w:hAnsi="Arial Narrow"/>
                <w:b/>
                <w:sz w:val="20"/>
              </w:rPr>
              <w:t>Protected</w:t>
            </w:r>
            <w:r w:rsidRPr="00137230">
              <w:rPr>
                <w:rFonts w:ascii="Arial Narrow" w:hAnsi="Arial Narrow"/>
                <w:b/>
                <w:sz w:val="20"/>
                <w:vertAlign w:val="superscript"/>
              </w:rPr>
              <w:t>a</w:t>
            </w:r>
            <w:proofErr w:type="spellEnd"/>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PT</w:t>
            </w: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Pre</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44</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2.4 (1.9, 2.9)</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6.0 (4.3, 8.2)</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Post</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44</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43.3 (34.1, 54.9)</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95.5%</w:t>
            </w: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92.9 (69.7, 124.0)</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92.7%</w:t>
            </w: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FHA</w:t>
            </w: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Pre</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44</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2.9 (2.3, 3.7)</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12.0 (8.0, 17.8)</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Post</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44</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32.3 (25.6, 40.9)</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84.1%</w:t>
            </w: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275.6 (214.1, 354.9)</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95.1%</w:t>
            </w: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PRN</w:t>
            </w: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Pre</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44</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10.1 (7.8, 13.1)</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21.5 (14.9, 31.0)</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Post</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44</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182.4 (133.5, 249.3)</w:t>
            </w:r>
            <w:r w:rsidRPr="00137230">
              <w:rPr>
                <w:rFonts w:ascii="Arial Narrow" w:hAnsi="Arial Narrow"/>
                <w:sz w:val="20"/>
                <w:vertAlign w:val="superscript"/>
              </w:rPr>
              <w:t>c</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95.5%</w:t>
            </w: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533.3 (394.7, 720.5)</w:t>
            </w:r>
            <w:r w:rsidRPr="00137230">
              <w:rPr>
                <w:rFonts w:ascii="Arial Narrow" w:hAnsi="Arial Narrow"/>
                <w:sz w:val="20"/>
                <w:vertAlign w:val="superscript"/>
              </w:rPr>
              <w:t>c</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92.7%</w:t>
            </w: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FIM</w:t>
            </w: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Pre</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43</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13.4 (9.5, 19.0)</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4.3 (2.7, 6.9)</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Post</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43</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308.2 (223.1, 425.8)</w:t>
            </w:r>
            <w:r w:rsidRPr="00137230">
              <w:rPr>
                <w:rFonts w:ascii="Arial Narrow" w:hAnsi="Arial Narrow"/>
                <w:sz w:val="20"/>
                <w:vertAlign w:val="superscript"/>
              </w:rPr>
              <w:t>c</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95.5%</w:t>
            </w: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41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3.8 (2.5, 5.7)</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0.0%</w:t>
            </w: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T</w:t>
            </w: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Pre</w:t>
            </w:r>
            <w:r w:rsidR="00D35006" w:rsidRPr="00137230">
              <w:rPr>
                <w:rFonts w:ascii="Arial Narrow" w:hAnsi="Arial Narrow"/>
                <w:sz w:val="20"/>
                <w:vertAlign w:val="superscript"/>
              </w:rPr>
              <w:t xml:space="preserve"> </w:t>
            </w:r>
            <w:r w:rsidR="00D35006">
              <w:rPr>
                <w:rFonts w:ascii="Arial Narrow" w:hAnsi="Arial Narrow"/>
                <w:sz w:val="20"/>
                <w:vertAlign w:val="superscript"/>
              </w:rPr>
              <w:t>d</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11</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1.2 (0.6, 2.1)</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100%</w:t>
            </w: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1.2 (0.4, 3.2)</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100%</w:t>
            </w: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Post</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11</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21.3 (18.8, 24.1)</w:t>
            </w:r>
            <w:r w:rsidRPr="00137230">
              <w:rPr>
                <w:rFonts w:ascii="Arial Narrow" w:hAnsi="Arial Narrow"/>
                <w:sz w:val="20"/>
                <w:vertAlign w:val="superscript"/>
              </w:rPr>
              <w:t>c</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100%</w:t>
            </w: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20.0 (16.7, 24.0)</w:t>
            </w:r>
            <w:r w:rsidRPr="00137230">
              <w:rPr>
                <w:rFonts w:ascii="Arial Narrow" w:hAnsi="Arial Narrow"/>
                <w:sz w:val="20"/>
                <w:vertAlign w:val="superscript"/>
              </w:rPr>
              <w:t>b</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100%</w:t>
            </w: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D</w:t>
            </w: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Pre</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11</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1.6 (0.8, 3.5)</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100%</w:t>
            </w: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2.2 (0.6, 7.8)</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82%</w:t>
            </w:r>
          </w:p>
        </w:tc>
      </w:tr>
      <w:tr w:rsidR="002A7D09" w:rsidRPr="00137230" w:rsidTr="00CC4C12">
        <w:tc>
          <w:tcPr>
            <w:tcW w:w="396" w:type="pct"/>
            <w:shd w:val="clear" w:color="auto" w:fill="auto"/>
            <w:vAlign w:val="center"/>
          </w:tcPr>
          <w:p w:rsidR="002A7D09" w:rsidRPr="00137230" w:rsidRDefault="002A7D09" w:rsidP="005A7E75">
            <w:pPr>
              <w:widowControl/>
              <w:jc w:val="left"/>
              <w:rPr>
                <w:rFonts w:ascii="Arial Narrow" w:hAnsi="Arial Narrow"/>
                <w:sz w:val="20"/>
              </w:rPr>
            </w:pPr>
          </w:p>
        </w:tc>
        <w:tc>
          <w:tcPr>
            <w:tcW w:w="376"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Post</w:t>
            </w:r>
          </w:p>
        </w:tc>
        <w:tc>
          <w:tcPr>
            <w:tcW w:w="275"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11</w:t>
            </w:r>
          </w:p>
        </w:tc>
        <w:tc>
          <w:tcPr>
            <w:tcW w:w="1038"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9.0 (7.2, 11.3)</w:t>
            </w:r>
            <w:r w:rsidRPr="00137230">
              <w:rPr>
                <w:rFonts w:ascii="Arial Narrow" w:hAnsi="Arial Narrow"/>
                <w:sz w:val="20"/>
                <w:vertAlign w:val="superscript"/>
              </w:rPr>
              <w:t>c</w:t>
            </w:r>
          </w:p>
        </w:tc>
        <w:tc>
          <w:tcPr>
            <w:tcW w:w="750"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100%</w:t>
            </w:r>
          </w:p>
        </w:tc>
        <w:tc>
          <w:tcPr>
            <w:tcW w:w="249"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11</w:t>
            </w:r>
          </w:p>
        </w:tc>
        <w:tc>
          <w:tcPr>
            <w:tcW w:w="1084"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10.2 (8.9, 11.6)</w:t>
            </w:r>
          </w:p>
        </w:tc>
        <w:tc>
          <w:tcPr>
            <w:tcW w:w="833" w:type="pct"/>
            <w:shd w:val="clear" w:color="auto" w:fill="auto"/>
            <w:vAlign w:val="center"/>
          </w:tcPr>
          <w:p w:rsidR="002A7D09" w:rsidRPr="00137230" w:rsidRDefault="002A7D09" w:rsidP="005A7E75">
            <w:pPr>
              <w:widowControl/>
              <w:jc w:val="left"/>
              <w:rPr>
                <w:rFonts w:ascii="Arial Narrow" w:hAnsi="Arial Narrow"/>
                <w:sz w:val="20"/>
              </w:rPr>
            </w:pPr>
            <w:r w:rsidRPr="00137230">
              <w:rPr>
                <w:rFonts w:ascii="Arial Narrow" w:hAnsi="Arial Narrow"/>
                <w:sz w:val="20"/>
              </w:rPr>
              <w:t>100%</w:t>
            </w:r>
          </w:p>
        </w:tc>
      </w:tr>
    </w:tbl>
    <w:p w:rsidR="002A7D09" w:rsidRPr="00137230" w:rsidRDefault="002A7D09" w:rsidP="005A7E75">
      <w:pPr>
        <w:widowControl/>
        <w:ind w:left="709"/>
        <w:jc w:val="left"/>
        <w:rPr>
          <w:rFonts w:ascii="Arial Narrow" w:hAnsi="Arial Narrow"/>
          <w:sz w:val="20"/>
        </w:rPr>
      </w:pPr>
      <w:r w:rsidRPr="00137230">
        <w:rPr>
          <w:rFonts w:ascii="Arial Narrow" w:hAnsi="Arial Narrow"/>
          <w:sz w:val="20"/>
        </w:rPr>
        <w:t>Source: Table B.6-1, p36 of the submission.</w:t>
      </w:r>
    </w:p>
    <w:p w:rsidR="00D35006" w:rsidRDefault="00FF3C6B" w:rsidP="005A7E75">
      <w:pPr>
        <w:widowControl/>
        <w:ind w:left="709"/>
        <w:jc w:val="left"/>
        <w:rPr>
          <w:rFonts w:ascii="Arial Narrow" w:hAnsi="Arial Narrow"/>
          <w:sz w:val="20"/>
        </w:rPr>
      </w:pPr>
      <w:r w:rsidRPr="00137230">
        <w:rPr>
          <w:rFonts w:ascii="Arial Narrow" w:hAnsi="Arial Narrow"/>
          <w:sz w:val="20"/>
        </w:rPr>
        <w:t>Note: a Defined as a 4-fold increase for PT, FHA, PRN and FIM; diphtheria ≥ 0.1 IU; tetanus ≥ 0.01 IU; b P &lt; 0.01; c P &lt; 0.001</w:t>
      </w:r>
      <w:r w:rsidR="003861C3" w:rsidRPr="00137230">
        <w:rPr>
          <w:rFonts w:ascii="Arial Narrow" w:hAnsi="Arial Narrow"/>
          <w:sz w:val="20"/>
        </w:rPr>
        <w:t xml:space="preserve">; </w:t>
      </w:r>
      <w:r w:rsidR="00D35006">
        <w:rPr>
          <w:rFonts w:ascii="Arial Narrow" w:hAnsi="Arial Narrow"/>
          <w:sz w:val="20"/>
        </w:rPr>
        <w:t xml:space="preserve">d: </w:t>
      </w:r>
      <w:proofErr w:type="spellStart"/>
      <w:r w:rsidR="00D35006">
        <w:rPr>
          <w:rFonts w:ascii="Arial Narrow" w:hAnsi="Arial Narrow"/>
          <w:sz w:val="20"/>
        </w:rPr>
        <w:t>Pichichero</w:t>
      </w:r>
      <w:proofErr w:type="spellEnd"/>
      <w:r w:rsidR="00D35006">
        <w:rPr>
          <w:rFonts w:ascii="Arial Narrow" w:hAnsi="Arial Narrow"/>
          <w:sz w:val="20"/>
        </w:rPr>
        <w:t xml:space="preserve"> 1997 reports (p785) that diphtheria and tetanus antibodies were measure only for a small number of children. </w:t>
      </w:r>
    </w:p>
    <w:p w:rsidR="00B60939" w:rsidRPr="00137230" w:rsidRDefault="00E86A87" w:rsidP="005A7E75">
      <w:pPr>
        <w:widowControl/>
        <w:ind w:left="709"/>
        <w:jc w:val="left"/>
        <w:rPr>
          <w:rFonts w:ascii="Arial Narrow" w:hAnsi="Arial Narrow"/>
          <w:sz w:val="20"/>
          <w:lang w:eastAsia="zh-CN"/>
        </w:rPr>
      </w:pPr>
      <w:r w:rsidRPr="00137230">
        <w:rPr>
          <w:rFonts w:ascii="Arial Narrow" w:hAnsi="Arial Narrow"/>
          <w:sz w:val="20"/>
          <w:lang w:eastAsia="zh-CN"/>
        </w:rPr>
        <w:t>PT= Pertussis Toxoid</w:t>
      </w:r>
      <w:r w:rsidRPr="00137230">
        <w:rPr>
          <w:rFonts w:ascii="Arial Narrow" w:hAnsi="Arial Narrow"/>
          <w:sz w:val="20"/>
        </w:rPr>
        <w:t xml:space="preserve">; FHA= Filamentous </w:t>
      </w:r>
      <w:proofErr w:type="spellStart"/>
      <w:proofErr w:type="gramStart"/>
      <w:r w:rsidRPr="00137230">
        <w:rPr>
          <w:rFonts w:ascii="Arial Narrow" w:hAnsi="Arial Narrow"/>
          <w:sz w:val="20"/>
        </w:rPr>
        <w:t>Haemagglutinin</w:t>
      </w:r>
      <w:proofErr w:type="spellEnd"/>
      <w:r w:rsidRPr="00137230">
        <w:rPr>
          <w:rFonts w:ascii="Arial Narrow" w:hAnsi="Arial Narrow"/>
          <w:sz w:val="20"/>
        </w:rPr>
        <w:t xml:space="preserve"> ;</w:t>
      </w:r>
      <w:proofErr w:type="gramEnd"/>
      <w:r w:rsidRPr="00137230">
        <w:rPr>
          <w:rFonts w:ascii="Arial Narrow" w:hAnsi="Arial Narrow"/>
          <w:sz w:val="20"/>
        </w:rPr>
        <w:t xml:space="preserve"> PRN= </w:t>
      </w:r>
      <w:proofErr w:type="spellStart"/>
      <w:r w:rsidRPr="00137230">
        <w:rPr>
          <w:rFonts w:ascii="Arial Narrow" w:hAnsi="Arial Narrow"/>
          <w:sz w:val="20"/>
        </w:rPr>
        <w:t>Pertactin</w:t>
      </w:r>
      <w:proofErr w:type="spellEnd"/>
      <w:r w:rsidRPr="00137230">
        <w:rPr>
          <w:rFonts w:ascii="Arial Narrow" w:hAnsi="Arial Narrow"/>
          <w:sz w:val="20"/>
        </w:rPr>
        <w:t>; FIM= Pertussis fimbriae ; D = diphtheria; T = tetanus; AGG = agglutinin; CHO = Chinese hamster ovary;  GMT =</w:t>
      </w:r>
      <w:r w:rsidRPr="00137230">
        <w:rPr>
          <w:rFonts w:ascii="Arial Narrow" w:hAnsi="Arial Narrow"/>
          <w:sz w:val="20"/>
          <w:lang w:eastAsia="zh-CN"/>
        </w:rPr>
        <w:t xml:space="preserve"> Geometric Mean </w:t>
      </w:r>
      <w:proofErr w:type="spellStart"/>
      <w:r w:rsidRPr="00137230">
        <w:rPr>
          <w:rFonts w:ascii="Arial Narrow" w:hAnsi="Arial Narrow"/>
          <w:sz w:val="20"/>
          <w:lang w:eastAsia="zh-CN"/>
        </w:rPr>
        <w:t>Titer</w:t>
      </w:r>
      <w:proofErr w:type="spellEnd"/>
      <w:r w:rsidRPr="00137230">
        <w:rPr>
          <w:rFonts w:ascii="Arial Narrow" w:hAnsi="Arial Narrow"/>
          <w:sz w:val="20"/>
          <w:lang w:eastAsia="zh-CN"/>
        </w:rPr>
        <w:t>; Pre= pre-booster; Post= post-booster.</w:t>
      </w:r>
    </w:p>
    <w:p w:rsidR="00825130" w:rsidRDefault="00825130">
      <w:pPr>
        <w:widowControl/>
        <w:jc w:val="left"/>
        <w:rPr>
          <w:rStyle w:val="CommentReference"/>
        </w:rPr>
      </w:pPr>
    </w:p>
    <w:p w:rsidR="000D64C2" w:rsidRPr="00137230" w:rsidRDefault="000D64C2" w:rsidP="005A7E75">
      <w:pPr>
        <w:widowControl/>
        <w:ind w:left="709" w:firstLine="11"/>
        <w:rPr>
          <w:rStyle w:val="CommentReference"/>
        </w:rPr>
      </w:pPr>
      <w:r w:rsidRPr="00137230">
        <w:rPr>
          <w:rStyle w:val="CommentReference"/>
        </w:rPr>
        <w:t xml:space="preserve">Table </w:t>
      </w:r>
      <w:r w:rsidR="00992A64" w:rsidRPr="00137230">
        <w:rPr>
          <w:rStyle w:val="CommentReference"/>
        </w:rPr>
        <w:t>4</w:t>
      </w:r>
      <w:r w:rsidRPr="00137230">
        <w:rPr>
          <w:rStyle w:val="CommentReference"/>
        </w:rPr>
        <w:t xml:space="preserve">: Summary of comparative benefits for 18 months DTaP booster vs. 18 months DTPa booster- derived from </w:t>
      </w:r>
      <w:proofErr w:type="spellStart"/>
      <w:r w:rsidRPr="00137230">
        <w:rPr>
          <w:rStyle w:val="CommentReference"/>
        </w:rPr>
        <w:t>Pichichero</w:t>
      </w:r>
      <w:proofErr w:type="spellEnd"/>
      <w:r w:rsidRPr="00137230">
        <w:rPr>
          <w:rStyle w:val="CommentReference"/>
        </w:rPr>
        <w:t xml:space="preserve"> 1997</w:t>
      </w:r>
    </w:p>
    <w:tbl>
      <w:tblPr>
        <w:tblStyle w:val="TableGrid"/>
        <w:tblpPr w:leftFromText="180" w:rightFromText="180" w:vertAnchor="text" w:tblpX="698" w:tblpY="1"/>
        <w:tblOverlap w:val="never"/>
        <w:tblW w:w="4700" w:type="pct"/>
        <w:tblLayout w:type="fixed"/>
        <w:tblCellMar>
          <w:left w:w="28" w:type="dxa"/>
          <w:right w:w="28" w:type="dxa"/>
        </w:tblCellMar>
        <w:tblLook w:val="04A0" w:firstRow="1" w:lastRow="0" w:firstColumn="1" w:lastColumn="0" w:noHBand="0" w:noVBand="1"/>
        <w:tblCaption w:val="Table 4: Summary of comparative benefits for 18 months DTaP booster vs. 18 months DTPa booster- derived from Pichichero 1997"/>
        <w:tblDescription w:val="The table shows a summary of comparative benefits for 18 months DTaP booster vs. 18 months DTPa booster- derived from Pichichero 1997"/>
      </w:tblPr>
      <w:tblGrid>
        <w:gridCol w:w="1160"/>
        <w:gridCol w:w="722"/>
        <w:gridCol w:w="2006"/>
        <w:gridCol w:w="850"/>
        <w:gridCol w:w="1993"/>
        <w:gridCol w:w="1807"/>
      </w:tblGrid>
      <w:tr w:rsidR="000D64C2" w:rsidRPr="00137230" w:rsidTr="000779C2">
        <w:trPr>
          <w:tblHeader/>
        </w:trPr>
        <w:tc>
          <w:tcPr>
            <w:tcW w:w="5000" w:type="pct"/>
            <w:gridSpan w:val="6"/>
            <w:shd w:val="clear" w:color="auto" w:fill="auto"/>
            <w:vAlign w:val="center"/>
          </w:tcPr>
          <w:p w:rsidR="000D64C2" w:rsidRPr="00137230" w:rsidRDefault="000D64C2" w:rsidP="005A7E75">
            <w:pPr>
              <w:widowControl/>
              <w:rPr>
                <w:rFonts w:ascii="Arial Narrow" w:hAnsi="Arial Narrow"/>
                <w:b/>
                <w:sz w:val="20"/>
                <w:szCs w:val="18"/>
              </w:rPr>
            </w:pPr>
            <w:r w:rsidRPr="00137230">
              <w:rPr>
                <w:rFonts w:ascii="Arial Narrow" w:hAnsi="Arial Narrow"/>
                <w:b/>
                <w:sz w:val="20"/>
                <w:szCs w:val="18"/>
              </w:rPr>
              <w:t xml:space="preserve">Continuous Outcome I: </w:t>
            </w:r>
            <w:r w:rsidRPr="00137230">
              <w:rPr>
                <w:rFonts w:ascii="Arial Narrow" w:hAnsi="Arial Narrow"/>
                <w:b/>
                <w:sz w:val="20"/>
              </w:rPr>
              <w:t>Geometric Mean antibody concentrations; protection defined as a 4-fold increase for PT, FHA, PRN and FIM; diphtheria ≥ 0.1 IU; tetanus ≥ 0.01 IU</w:t>
            </w:r>
          </w:p>
        </w:tc>
      </w:tr>
      <w:tr w:rsidR="000D64C2" w:rsidRPr="00137230" w:rsidTr="00CC4C12">
        <w:trPr>
          <w:trHeight w:val="225"/>
        </w:trPr>
        <w:tc>
          <w:tcPr>
            <w:tcW w:w="679" w:type="pct"/>
            <w:vMerge w:val="restart"/>
            <w:shd w:val="clear" w:color="auto" w:fill="auto"/>
            <w:vAlign w:val="center"/>
          </w:tcPr>
          <w:p w:rsidR="000D64C2" w:rsidRPr="00137230" w:rsidRDefault="000D64C2" w:rsidP="005A7E75">
            <w:pPr>
              <w:widowControl/>
              <w:rPr>
                <w:rFonts w:ascii="Arial Narrow" w:hAnsi="Arial Narrow"/>
                <w:sz w:val="20"/>
                <w:szCs w:val="18"/>
              </w:rPr>
            </w:pPr>
          </w:p>
        </w:tc>
        <w:tc>
          <w:tcPr>
            <w:tcW w:w="1598" w:type="pct"/>
            <w:gridSpan w:val="2"/>
            <w:vAlign w:val="center"/>
          </w:tcPr>
          <w:p w:rsidR="000D64C2" w:rsidRPr="00137230" w:rsidRDefault="000D64C2" w:rsidP="005A7E75">
            <w:pPr>
              <w:widowControl/>
              <w:jc w:val="center"/>
              <w:rPr>
                <w:rFonts w:ascii="Arial Narrow" w:hAnsi="Arial Narrow"/>
                <w:sz w:val="20"/>
                <w:szCs w:val="18"/>
              </w:rPr>
            </w:pPr>
            <w:r w:rsidRPr="00137230">
              <w:rPr>
                <w:rStyle w:val="CommentReference"/>
              </w:rPr>
              <w:t>18 months DTaP booster</w:t>
            </w:r>
          </w:p>
        </w:tc>
        <w:tc>
          <w:tcPr>
            <w:tcW w:w="1665" w:type="pct"/>
            <w:gridSpan w:val="2"/>
            <w:vAlign w:val="center"/>
          </w:tcPr>
          <w:p w:rsidR="000D64C2" w:rsidRPr="00137230" w:rsidRDefault="000D64C2" w:rsidP="005A7E75">
            <w:pPr>
              <w:widowControl/>
              <w:jc w:val="center"/>
              <w:rPr>
                <w:rFonts w:ascii="Arial Narrow" w:hAnsi="Arial Narrow"/>
                <w:sz w:val="20"/>
                <w:szCs w:val="18"/>
              </w:rPr>
            </w:pPr>
            <w:r w:rsidRPr="00137230">
              <w:rPr>
                <w:rStyle w:val="CommentReference"/>
              </w:rPr>
              <w:t>18 months DTaP booster</w:t>
            </w:r>
          </w:p>
        </w:tc>
        <w:tc>
          <w:tcPr>
            <w:tcW w:w="1058" w:type="pct"/>
            <w:vMerge w:val="restart"/>
            <w:vAlign w:val="center"/>
          </w:tcPr>
          <w:p w:rsidR="000D64C2" w:rsidRPr="00137230" w:rsidRDefault="000D64C2" w:rsidP="005A7E75">
            <w:pPr>
              <w:widowControl/>
              <w:jc w:val="center"/>
              <w:rPr>
                <w:rFonts w:ascii="Arial Narrow" w:hAnsi="Arial Narrow"/>
                <w:b/>
                <w:sz w:val="20"/>
                <w:szCs w:val="18"/>
              </w:rPr>
            </w:pPr>
            <w:r w:rsidRPr="00137230">
              <w:rPr>
                <w:rFonts w:ascii="Arial Narrow" w:hAnsi="Arial Narrow"/>
                <w:b/>
                <w:sz w:val="20"/>
                <w:szCs w:val="18"/>
              </w:rPr>
              <w:t xml:space="preserve">Mean difference*: </w:t>
            </w:r>
          </w:p>
          <w:p w:rsidR="000D64C2" w:rsidRPr="00137230" w:rsidRDefault="000D64C2" w:rsidP="005A7E75">
            <w:pPr>
              <w:widowControl/>
              <w:jc w:val="center"/>
              <w:rPr>
                <w:rFonts w:ascii="Arial Narrow" w:hAnsi="Arial Narrow"/>
                <w:b/>
                <w:sz w:val="20"/>
                <w:szCs w:val="18"/>
              </w:rPr>
            </w:pPr>
            <w:r w:rsidRPr="00137230">
              <w:rPr>
                <w:rStyle w:val="CommentReference"/>
              </w:rPr>
              <w:t>18 months DTaP booster</w:t>
            </w:r>
            <w:r w:rsidRPr="00137230">
              <w:rPr>
                <w:rFonts w:ascii="Arial Narrow" w:hAnsi="Arial Narrow"/>
                <w:b/>
                <w:sz w:val="20"/>
                <w:szCs w:val="18"/>
              </w:rPr>
              <w:t xml:space="preserve"> vs. </w:t>
            </w:r>
            <w:r w:rsidRPr="00137230">
              <w:rPr>
                <w:rStyle w:val="CommentReference"/>
              </w:rPr>
              <w:t>DTPa</w:t>
            </w:r>
          </w:p>
        </w:tc>
      </w:tr>
      <w:tr w:rsidR="000D64C2" w:rsidRPr="00137230" w:rsidTr="00CC4C12">
        <w:trPr>
          <w:trHeight w:val="72"/>
        </w:trPr>
        <w:tc>
          <w:tcPr>
            <w:tcW w:w="679" w:type="pct"/>
            <w:vMerge/>
            <w:shd w:val="clear" w:color="auto" w:fill="auto"/>
            <w:vAlign w:val="center"/>
          </w:tcPr>
          <w:p w:rsidR="000D64C2" w:rsidRPr="00137230" w:rsidRDefault="000D64C2" w:rsidP="005A7E75">
            <w:pPr>
              <w:widowControl/>
              <w:rPr>
                <w:rFonts w:ascii="Arial Narrow" w:hAnsi="Arial Narrow"/>
                <w:sz w:val="20"/>
                <w:szCs w:val="18"/>
              </w:rPr>
            </w:pPr>
          </w:p>
        </w:tc>
        <w:tc>
          <w:tcPr>
            <w:tcW w:w="423" w:type="pct"/>
            <w:vAlign w:val="center"/>
          </w:tcPr>
          <w:p w:rsidR="000D64C2" w:rsidRPr="00137230" w:rsidRDefault="000D64C2" w:rsidP="005A7E75">
            <w:pPr>
              <w:widowControl/>
              <w:jc w:val="center"/>
              <w:rPr>
                <w:rFonts w:ascii="Arial Narrow" w:hAnsi="Arial Narrow"/>
                <w:b/>
                <w:sz w:val="20"/>
                <w:szCs w:val="18"/>
              </w:rPr>
            </w:pPr>
            <w:r w:rsidRPr="00137230">
              <w:rPr>
                <w:rFonts w:ascii="Arial Narrow" w:hAnsi="Arial Narrow"/>
                <w:b/>
                <w:sz w:val="20"/>
                <w:szCs w:val="18"/>
              </w:rPr>
              <w:t>n</w:t>
            </w:r>
          </w:p>
        </w:tc>
        <w:tc>
          <w:tcPr>
            <w:tcW w:w="1175" w:type="pct"/>
            <w:vAlign w:val="center"/>
          </w:tcPr>
          <w:p w:rsidR="000D64C2" w:rsidRPr="00137230" w:rsidRDefault="000D64C2" w:rsidP="005A7E75">
            <w:pPr>
              <w:widowControl/>
              <w:jc w:val="center"/>
              <w:rPr>
                <w:rFonts w:ascii="Arial Narrow" w:hAnsi="Arial Narrow"/>
                <w:b/>
                <w:sz w:val="20"/>
                <w:szCs w:val="18"/>
              </w:rPr>
            </w:pPr>
            <w:r w:rsidRPr="00137230">
              <w:rPr>
                <w:rFonts w:ascii="Arial Narrow" w:hAnsi="Arial Narrow"/>
                <w:b/>
                <w:sz w:val="20"/>
                <w:szCs w:val="18"/>
              </w:rPr>
              <w:t>%protected</w:t>
            </w:r>
          </w:p>
        </w:tc>
        <w:tc>
          <w:tcPr>
            <w:tcW w:w="498" w:type="pct"/>
            <w:vAlign w:val="center"/>
          </w:tcPr>
          <w:p w:rsidR="000D64C2" w:rsidRPr="00137230" w:rsidRDefault="000D64C2" w:rsidP="005A7E75">
            <w:pPr>
              <w:widowControl/>
              <w:jc w:val="center"/>
              <w:rPr>
                <w:rFonts w:ascii="Arial Narrow" w:hAnsi="Arial Narrow"/>
                <w:b/>
                <w:sz w:val="20"/>
                <w:szCs w:val="18"/>
              </w:rPr>
            </w:pPr>
            <w:r w:rsidRPr="00137230">
              <w:rPr>
                <w:rFonts w:ascii="Arial Narrow" w:hAnsi="Arial Narrow"/>
                <w:b/>
                <w:sz w:val="20"/>
                <w:szCs w:val="18"/>
              </w:rPr>
              <w:t>n</w:t>
            </w:r>
          </w:p>
        </w:tc>
        <w:tc>
          <w:tcPr>
            <w:tcW w:w="1167" w:type="pct"/>
            <w:vAlign w:val="center"/>
          </w:tcPr>
          <w:p w:rsidR="000D64C2" w:rsidRPr="00137230" w:rsidRDefault="000D64C2" w:rsidP="005A7E75">
            <w:pPr>
              <w:widowControl/>
              <w:jc w:val="center"/>
              <w:rPr>
                <w:rFonts w:ascii="Arial Narrow" w:hAnsi="Arial Narrow"/>
                <w:b/>
                <w:sz w:val="20"/>
                <w:szCs w:val="18"/>
              </w:rPr>
            </w:pPr>
            <w:r w:rsidRPr="00137230">
              <w:rPr>
                <w:rFonts w:ascii="Arial Narrow" w:hAnsi="Arial Narrow"/>
                <w:b/>
                <w:sz w:val="20"/>
                <w:szCs w:val="18"/>
              </w:rPr>
              <w:t>%protected</w:t>
            </w:r>
          </w:p>
        </w:tc>
        <w:tc>
          <w:tcPr>
            <w:tcW w:w="1058" w:type="pct"/>
            <w:vMerge/>
            <w:vAlign w:val="center"/>
          </w:tcPr>
          <w:p w:rsidR="000D64C2" w:rsidRPr="00137230" w:rsidRDefault="000D64C2" w:rsidP="005A7E75">
            <w:pPr>
              <w:widowControl/>
              <w:jc w:val="center"/>
              <w:rPr>
                <w:rFonts w:ascii="Arial Narrow" w:hAnsi="Arial Narrow"/>
                <w:b/>
                <w:sz w:val="20"/>
                <w:szCs w:val="18"/>
              </w:rPr>
            </w:pPr>
          </w:p>
        </w:tc>
      </w:tr>
      <w:tr w:rsidR="000D64C2" w:rsidRPr="00137230" w:rsidTr="00CC4C12">
        <w:tc>
          <w:tcPr>
            <w:tcW w:w="679" w:type="pct"/>
            <w:shd w:val="clear" w:color="auto" w:fill="auto"/>
            <w:vAlign w:val="center"/>
          </w:tcPr>
          <w:p w:rsidR="000D64C2" w:rsidRPr="00137230" w:rsidRDefault="000D64C2" w:rsidP="005A7E75">
            <w:pPr>
              <w:widowControl/>
              <w:rPr>
                <w:rFonts w:ascii="Arial Narrow" w:hAnsi="Arial Narrow"/>
                <w:sz w:val="20"/>
                <w:szCs w:val="18"/>
              </w:rPr>
            </w:pPr>
            <w:r w:rsidRPr="00137230">
              <w:rPr>
                <w:rFonts w:ascii="Arial Narrow" w:hAnsi="Arial Narrow"/>
                <w:sz w:val="20"/>
              </w:rPr>
              <w:t>PT</w:t>
            </w:r>
          </w:p>
        </w:tc>
        <w:tc>
          <w:tcPr>
            <w:tcW w:w="423"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44</w:t>
            </w:r>
          </w:p>
        </w:tc>
        <w:tc>
          <w:tcPr>
            <w:tcW w:w="1175"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95.5%</w:t>
            </w:r>
          </w:p>
        </w:tc>
        <w:tc>
          <w:tcPr>
            <w:tcW w:w="49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41</w:t>
            </w:r>
          </w:p>
        </w:tc>
        <w:tc>
          <w:tcPr>
            <w:tcW w:w="1167"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92.7%</w:t>
            </w:r>
          </w:p>
        </w:tc>
        <w:tc>
          <w:tcPr>
            <w:tcW w:w="105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2.8%</w:t>
            </w:r>
          </w:p>
        </w:tc>
      </w:tr>
      <w:tr w:rsidR="000D64C2" w:rsidRPr="00137230" w:rsidTr="00CC4C12">
        <w:tc>
          <w:tcPr>
            <w:tcW w:w="679" w:type="pct"/>
            <w:shd w:val="clear" w:color="auto" w:fill="auto"/>
            <w:vAlign w:val="center"/>
          </w:tcPr>
          <w:p w:rsidR="000D64C2" w:rsidRPr="00137230" w:rsidRDefault="000D64C2" w:rsidP="005A7E75">
            <w:pPr>
              <w:widowControl/>
              <w:rPr>
                <w:rFonts w:ascii="Arial Narrow" w:hAnsi="Arial Narrow"/>
                <w:sz w:val="20"/>
                <w:szCs w:val="18"/>
              </w:rPr>
            </w:pPr>
            <w:r w:rsidRPr="00137230">
              <w:rPr>
                <w:rFonts w:ascii="Arial Narrow" w:hAnsi="Arial Narrow"/>
                <w:sz w:val="20"/>
              </w:rPr>
              <w:t>FHA</w:t>
            </w:r>
          </w:p>
        </w:tc>
        <w:tc>
          <w:tcPr>
            <w:tcW w:w="423"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44</w:t>
            </w:r>
          </w:p>
        </w:tc>
        <w:tc>
          <w:tcPr>
            <w:tcW w:w="1175"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84.1%</w:t>
            </w:r>
          </w:p>
        </w:tc>
        <w:tc>
          <w:tcPr>
            <w:tcW w:w="49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41</w:t>
            </w:r>
          </w:p>
        </w:tc>
        <w:tc>
          <w:tcPr>
            <w:tcW w:w="1167"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95.1%</w:t>
            </w:r>
          </w:p>
        </w:tc>
        <w:tc>
          <w:tcPr>
            <w:tcW w:w="105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-11%</w:t>
            </w:r>
          </w:p>
        </w:tc>
      </w:tr>
      <w:tr w:rsidR="000D64C2" w:rsidRPr="00137230" w:rsidTr="00CC4C12">
        <w:tc>
          <w:tcPr>
            <w:tcW w:w="679" w:type="pct"/>
            <w:shd w:val="clear" w:color="auto" w:fill="auto"/>
            <w:vAlign w:val="center"/>
          </w:tcPr>
          <w:p w:rsidR="000D64C2" w:rsidRPr="00137230" w:rsidRDefault="000D64C2" w:rsidP="005A7E75">
            <w:pPr>
              <w:widowControl/>
              <w:rPr>
                <w:rFonts w:ascii="Arial Narrow" w:hAnsi="Arial Narrow"/>
                <w:sz w:val="20"/>
                <w:szCs w:val="18"/>
              </w:rPr>
            </w:pPr>
            <w:r w:rsidRPr="00137230">
              <w:rPr>
                <w:rFonts w:ascii="Arial Narrow" w:hAnsi="Arial Narrow"/>
                <w:sz w:val="20"/>
              </w:rPr>
              <w:t>PRN</w:t>
            </w:r>
          </w:p>
        </w:tc>
        <w:tc>
          <w:tcPr>
            <w:tcW w:w="423"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44</w:t>
            </w:r>
          </w:p>
        </w:tc>
        <w:tc>
          <w:tcPr>
            <w:tcW w:w="1175"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95.5%</w:t>
            </w:r>
          </w:p>
        </w:tc>
        <w:tc>
          <w:tcPr>
            <w:tcW w:w="49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41</w:t>
            </w:r>
          </w:p>
        </w:tc>
        <w:tc>
          <w:tcPr>
            <w:tcW w:w="1167"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92.7%</w:t>
            </w:r>
          </w:p>
        </w:tc>
        <w:tc>
          <w:tcPr>
            <w:tcW w:w="105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2.8%</w:t>
            </w:r>
          </w:p>
        </w:tc>
      </w:tr>
      <w:tr w:rsidR="000D64C2" w:rsidRPr="00137230" w:rsidTr="00CC4C12">
        <w:tc>
          <w:tcPr>
            <w:tcW w:w="679" w:type="pct"/>
            <w:shd w:val="clear" w:color="auto" w:fill="auto"/>
            <w:vAlign w:val="center"/>
          </w:tcPr>
          <w:p w:rsidR="000D64C2" w:rsidRPr="00137230" w:rsidRDefault="000D64C2" w:rsidP="005A7E75">
            <w:pPr>
              <w:widowControl/>
              <w:rPr>
                <w:rFonts w:ascii="Arial Narrow" w:hAnsi="Arial Narrow"/>
                <w:sz w:val="20"/>
                <w:szCs w:val="18"/>
              </w:rPr>
            </w:pPr>
            <w:r w:rsidRPr="00137230">
              <w:rPr>
                <w:rFonts w:ascii="Arial Narrow" w:hAnsi="Arial Narrow"/>
                <w:sz w:val="20"/>
              </w:rPr>
              <w:t>FIM</w:t>
            </w:r>
          </w:p>
        </w:tc>
        <w:tc>
          <w:tcPr>
            <w:tcW w:w="423"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43</w:t>
            </w:r>
          </w:p>
        </w:tc>
        <w:tc>
          <w:tcPr>
            <w:tcW w:w="1175"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95.5%</w:t>
            </w:r>
          </w:p>
        </w:tc>
        <w:tc>
          <w:tcPr>
            <w:tcW w:w="49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41</w:t>
            </w:r>
          </w:p>
        </w:tc>
        <w:tc>
          <w:tcPr>
            <w:tcW w:w="1167"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0.0%</w:t>
            </w:r>
          </w:p>
        </w:tc>
        <w:tc>
          <w:tcPr>
            <w:tcW w:w="105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95.5%</w:t>
            </w:r>
          </w:p>
        </w:tc>
      </w:tr>
      <w:tr w:rsidR="000D64C2" w:rsidRPr="00137230" w:rsidTr="00CC4C12">
        <w:tc>
          <w:tcPr>
            <w:tcW w:w="679" w:type="pct"/>
            <w:shd w:val="clear" w:color="auto" w:fill="auto"/>
            <w:vAlign w:val="center"/>
          </w:tcPr>
          <w:p w:rsidR="000D64C2" w:rsidRPr="00137230" w:rsidRDefault="000D64C2" w:rsidP="005A7E75">
            <w:pPr>
              <w:widowControl/>
              <w:rPr>
                <w:rFonts w:ascii="Arial Narrow" w:hAnsi="Arial Narrow"/>
                <w:sz w:val="20"/>
                <w:szCs w:val="18"/>
              </w:rPr>
            </w:pPr>
            <w:r w:rsidRPr="00137230">
              <w:rPr>
                <w:rFonts w:ascii="Arial Narrow" w:hAnsi="Arial Narrow"/>
                <w:sz w:val="20"/>
              </w:rPr>
              <w:t>T</w:t>
            </w:r>
          </w:p>
        </w:tc>
        <w:tc>
          <w:tcPr>
            <w:tcW w:w="423"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11</w:t>
            </w:r>
          </w:p>
        </w:tc>
        <w:tc>
          <w:tcPr>
            <w:tcW w:w="1175"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100%</w:t>
            </w:r>
          </w:p>
        </w:tc>
        <w:tc>
          <w:tcPr>
            <w:tcW w:w="49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11</w:t>
            </w:r>
          </w:p>
        </w:tc>
        <w:tc>
          <w:tcPr>
            <w:tcW w:w="1167"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100%</w:t>
            </w:r>
          </w:p>
        </w:tc>
        <w:tc>
          <w:tcPr>
            <w:tcW w:w="105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0%</w:t>
            </w:r>
          </w:p>
        </w:tc>
      </w:tr>
      <w:tr w:rsidR="000D64C2" w:rsidRPr="00137230" w:rsidTr="00CC4C12">
        <w:tc>
          <w:tcPr>
            <w:tcW w:w="679" w:type="pct"/>
            <w:shd w:val="clear" w:color="auto" w:fill="auto"/>
            <w:vAlign w:val="center"/>
          </w:tcPr>
          <w:p w:rsidR="000D64C2" w:rsidRPr="00137230" w:rsidRDefault="000D64C2" w:rsidP="005A7E75">
            <w:pPr>
              <w:widowControl/>
              <w:rPr>
                <w:rFonts w:ascii="Arial Narrow" w:hAnsi="Arial Narrow"/>
                <w:sz w:val="20"/>
                <w:szCs w:val="18"/>
              </w:rPr>
            </w:pPr>
            <w:r w:rsidRPr="00137230">
              <w:rPr>
                <w:rFonts w:ascii="Arial Narrow" w:hAnsi="Arial Narrow"/>
                <w:sz w:val="20"/>
              </w:rPr>
              <w:t>D</w:t>
            </w:r>
          </w:p>
        </w:tc>
        <w:tc>
          <w:tcPr>
            <w:tcW w:w="423"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11</w:t>
            </w:r>
          </w:p>
        </w:tc>
        <w:tc>
          <w:tcPr>
            <w:tcW w:w="1175"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100%</w:t>
            </w:r>
          </w:p>
        </w:tc>
        <w:tc>
          <w:tcPr>
            <w:tcW w:w="49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11</w:t>
            </w:r>
          </w:p>
        </w:tc>
        <w:tc>
          <w:tcPr>
            <w:tcW w:w="1167"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rPr>
              <w:t>100%</w:t>
            </w:r>
          </w:p>
        </w:tc>
        <w:tc>
          <w:tcPr>
            <w:tcW w:w="1058" w:type="pct"/>
            <w:vAlign w:val="center"/>
          </w:tcPr>
          <w:p w:rsidR="000D64C2" w:rsidRPr="00137230" w:rsidRDefault="000D64C2" w:rsidP="005A7E75">
            <w:pPr>
              <w:widowControl/>
              <w:jc w:val="center"/>
              <w:rPr>
                <w:rFonts w:ascii="Arial Narrow" w:hAnsi="Arial Narrow"/>
                <w:sz w:val="20"/>
                <w:szCs w:val="18"/>
              </w:rPr>
            </w:pPr>
            <w:r w:rsidRPr="00137230">
              <w:rPr>
                <w:rFonts w:ascii="Arial Narrow" w:hAnsi="Arial Narrow"/>
                <w:sz w:val="20"/>
                <w:szCs w:val="18"/>
              </w:rPr>
              <w:t>0%</w:t>
            </w:r>
          </w:p>
        </w:tc>
      </w:tr>
    </w:tbl>
    <w:p w:rsidR="000D64C2" w:rsidRPr="00137230" w:rsidRDefault="000D64C2" w:rsidP="005A7E75">
      <w:pPr>
        <w:pStyle w:val="TableFooter"/>
        <w:widowControl/>
        <w:ind w:left="720" w:firstLine="720"/>
      </w:pPr>
      <w:r w:rsidRPr="00137230">
        <w:br w:type="textWrapping" w:clear="all"/>
        <w:t xml:space="preserve">Source: </w:t>
      </w:r>
      <w:r w:rsidRPr="00137230">
        <w:rPr>
          <w:i/>
        </w:rPr>
        <w:t>Compiled during the evaluation</w:t>
      </w:r>
    </w:p>
    <w:p w:rsidR="000D64C2" w:rsidRPr="00137230" w:rsidRDefault="000D64C2" w:rsidP="005A7E75">
      <w:pPr>
        <w:widowControl/>
        <w:ind w:left="709"/>
        <w:jc w:val="left"/>
        <w:rPr>
          <w:szCs w:val="22"/>
          <w:highlight w:val="green"/>
        </w:rPr>
      </w:pPr>
    </w:p>
    <w:p w:rsidR="0049139D" w:rsidRPr="008A4A59" w:rsidRDefault="00B81C17" w:rsidP="00B81C17">
      <w:pPr>
        <w:pStyle w:val="BodyText"/>
        <w:widowControl/>
        <w:ind w:left="709" w:hanging="709"/>
        <w:jc w:val="both"/>
      </w:pPr>
      <w:r>
        <w:lastRenderedPageBreak/>
        <w:t>6.8</w:t>
      </w:r>
      <w:r>
        <w:tab/>
      </w:r>
      <w:r w:rsidR="0043692B" w:rsidRPr="00465488">
        <w:t>Infanrix (</w:t>
      </w:r>
      <w:r w:rsidR="0049139D" w:rsidRPr="00465488">
        <w:t>DTPa</w:t>
      </w:r>
      <w:r w:rsidR="0043692B" w:rsidRPr="00465488">
        <w:t>)</w:t>
      </w:r>
      <w:r w:rsidR="0049139D" w:rsidRPr="00465488">
        <w:t xml:space="preserve"> does not contain </w:t>
      </w:r>
      <w:r w:rsidR="000E408B" w:rsidRPr="00465488">
        <w:t xml:space="preserve">pertussis fimbriae and </w:t>
      </w:r>
      <w:r w:rsidR="0043692B" w:rsidRPr="00465488">
        <w:t xml:space="preserve">no vaccine-specific </w:t>
      </w:r>
      <w:r w:rsidR="000E408B" w:rsidRPr="00465488">
        <w:t xml:space="preserve">antibody </w:t>
      </w:r>
      <w:r w:rsidR="0043692B" w:rsidRPr="00465488">
        <w:t xml:space="preserve">response </w:t>
      </w:r>
      <w:r w:rsidR="000E408B" w:rsidRPr="00465488">
        <w:t xml:space="preserve">for pertussis fimbriae </w:t>
      </w:r>
      <w:r w:rsidR="0043692B" w:rsidRPr="00465488">
        <w:t>was detected</w:t>
      </w:r>
      <w:r w:rsidR="000E408B" w:rsidRPr="00465488">
        <w:t>.</w:t>
      </w:r>
      <w:r w:rsidR="002D5225" w:rsidRPr="00465488">
        <w:t xml:space="preserve"> </w:t>
      </w:r>
      <w:r w:rsidR="000D3895" w:rsidRPr="008A4A59">
        <w:t>Higher</w:t>
      </w:r>
      <w:r w:rsidR="002D5225" w:rsidRPr="008A4A59">
        <w:t xml:space="preserve"> antibody level</w:t>
      </w:r>
      <w:r w:rsidR="000D3895" w:rsidRPr="008A4A59">
        <w:t>s were</w:t>
      </w:r>
      <w:r w:rsidR="002D5225" w:rsidRPr="008A4A59">
        <w:t xml:space="preserve"> measured against </w:t>
      </w:r>
      <w:r w:rsidR="000D3895" w:rsidRPr="008A4A59">
        <w:t>pertussis antigen</w:t>
      </w:r>
      <w:r w:rsidR="004C786A" w:rsidRPr="008A4A59">
        <w:t>s</w:t>
      </w:r>
      <w:r w:rsidR="002D5225" w:rsidRPr="008A4A59">
        <w:t xml:space="preserve">, </w:t>
      </w:r>
      <w:r w:rsidR="000D3895" w:rsidRPr="008A4A59">
        <w:t xml:space="preserve">but </w:t>
      </w:r>
      <w:r w:rsidR="002D5225" w:rsidRPr="008A4A59">
        <w:t xml:space="preserve">the clinical benefit of </w:t>
      </w:r>
      <w:r w:rsidR="000D3895" w:rsidRPr="008A4A59">
        <w:t>these differences</w:t>
      </w:r>
      <w:r w:rsidR="002D5225" w:rsidRPr="008A4A59">
        <w:t xml:space="preserve"> is unknown (particularly no accepted thresholds for antibody response to pertussis antigen that can be used as a surrogate for protection).</w:t>
      </w:r>
      <w:r w:rsidR="00EC0D8D">
        <w:t xml:space="preserve"> </w:t>
      </w:r>
      <w:r w:rsidR="00EC0D8D" w:rsidRPr="00847F85">
        <w:t>The ESC noted the constraints in determining whet</w:t>
      </w:r>
      <w:r w:rsidR="000201CF" w:rsidRPr="00847F85">
        <w:t>her the antigenic difference produced</w:t>
      </w:r>
      <w:r w:rsidR="00EC0D8D" w:rsidRPr="00847F85">
        <w:t xml:space="preserve"> any clinically meaningful </w:t>
      </w:r>
      <w:r w:rsidR="000201CF" w:rsidRPr="00847F85">
        <w:t>difference between the two boosters</w:t>
      </w:r>
      <w:r w:rsidR="00EC0D8D" w:rsidRPr="00847F85">
        <w:t>.</w:t>
      </w:r>
      <w:r w:rsidR="00EC0D8D" w:rsidRPr="00465488">
        <w:rPr>
          <w:i/>
        </w:rPr>
        <w:t xml:space="preserve"> </w:t>
      </w:r>
    </w:p>
    <w:p w:rsidR="000D64C2" w:rsidRPr="00137230" w:rsidRDefault="000D64C2" w:rsidP="005A7E75">
      <w:pPr>
        <w:widowControl/>
        <w:ind w:left="709"/>
        <w:jc w:val="left"/>
        <w:rPr>
          <w:i/>
          <w:szCs w:val="22"/>
        </w:rPr>
      </w:pPr>
    </w:p>
    <w:p w:rsidR="000D64C2" w:rsidRPr="00847F85" w:rsidRDefault="00B81C17" w:rsidP="00B81C17">
      <w:pPr>
        <w:pStyle w:val="BodyText"/>
        <w:widowControl/>
        <w:ind w:left="709" w:hanging="709"/>
        <w:jc w:val="both"/>
      </w:pPr>
      <w:r>
        <w:t>6.9</w:t>
      </w:r>
      <w:r>
        <w:tab/>
      </w:r>
      <w:r w:rsidR="000D64C2" w:rsidRPr="00137230">
        <w:t xml:space="preserve">On the basis of the head to head trials, DTaP appears to have the same </w:t>
      </w:r>
      <w:r w:rsidR="00694E6C" w:rsidRPr="00137230">
        <w:t>immunogenicity</w:t>
      </w:r>
      <w:r w:rsidR="000D64C2" w:rsidRPr="00137230">
        <w:t xml:space="preserve"> as DTPa</w:t>
      </w:r>
      <w:r w:rsidR="00067A43">
        <w:t xml:space="preserve">, </w:t>
      </w:r>
      <w:r w:rsidR="00067A43" w:rsidRPr="00847F85">
        <w:t>although</w:t>
      </w:r>
      <w:r w:rsidR="00666ABE" w:rsidRPr="00847F85">
        <w:t xml:space="preserve"> the ESC noted that</w:t>
      </w:r>
      <w:r w:rsidR="00067A43" w:rsidRPr="00847F85">
        <w:t xml:space="preserve"> no formal, clinically meaningful non-inferiority limit was nominated</w:t>
      </w:r>
      <w:r w:rsidR="000D64C2" w:rsidRPr="00847F85">
        <w:t>.</w:t>
      </w:r>
      <w:r w:rsidR="000D64C2" w:rsidRPr="00465488">
        <w:rPr>
          <w:i/>
        </w:rPr>
        <w:t xml:space="preserve"> </w:t>
      </w:r>
      <w:r w:rsidR="000D64C2" w:rsidRPr="00137230">
        <w:t xml:space="preserve"> </w:t>
      </w:r>
      <w:r w:rsidR="00913467" w:rsidRPr="008A4A59">
        <w:t>The non-inferiority conclusion</w:t>
      </w:r>
      <w:r w:rsidR="000D64C2" w:rsidRPr="008A4A59">
        <w:t xml:space="preserve"> is consistent with the Cochrane review (Zhang, </w:t>
      </w:r>
      <w:proofErr w:type="spellStart"/>
      <w:r w:rsidR="000D64C2" w:rsidRPr="008A4A59">
        <w:t>Axelsson</w:t>
      </w:r>
      <w:proofErr w:type="spellEnd"/>
      <w:r w:rsidR="000D64C2" w:rsidRPr="008A4A59">
        <w:t xml:space="preserve"> and </w:t>
      </w:r>
      <w:proofErr w:type="spellStart"/>
      <w:r w:rsidR="000D64C2" w:rsidRPr="008A4A59">
        <w:t>Halperin</w:t>
      </w:r>
      <w:proofErr w:type="spellEnd"/>
      <w:r w:rsidR="000D64C2" w:rsidRPr="008A4A59">
        <w:t xml:space="preserve"> 2014</w:t>
      </w:r>
      <w:r w:rsidR="00357DD1" w:rsidRPr="00465488">
        <w:footnoteReference w:id="1"/>
      </w:r>
      <w:r w:rsidR="000D64C2" w:rsidRPr="008A4A59">
        <w:t>)</w:t>
      </w:r>
      <w:r w:rsidR="00137230" w:rsidRPr="008A4A59">
        <w:t xml:space="preserve"> whereby multi-component (≥ three) </w:t>
      </w:r>
      <w:proofErr w:type="spellStart"/>
      <w:r w:rsidR="00137230" w:rsidRPr="008A4A59">
        <w:t>acellular</w:t>
      </w:r>
      <w:proofErr w:type="spellEnd"/>
      <w:r w:rsidR="00137230" w:rsidRPr="008A4A59">
        <w:t xml:space="preserve"> pertussis vaccines are effective and have an acceptable safety profile.</w:t>
      </w:r>
      <w:r w:rsidR="00067A43">
        <w:t xml:space="preserve"> </w:t>
      </w:r>
      <w:r w:rsidR="00666ABE" w:rsidRPr="00847F85">
        <w:t>The ESC considered that i</w:t>
      </w:r>
      <w:r w:rsidR="00067A43" w:rsidRPr="00847F85">
        <w:t xml:space="preserve">t </w:t>
      </w:r>
      <w:r w:rsidR="00666ABE" w:rsidRPr="00847F85">
        <w:t>was</w:t>
      </w:r>
      <w:r w:rsidR="00067A43" w:rsidRPr="00847F85">
        <w:t xml:space="preserve"> unclear whether the </w:t>
      </w:r>
      <w:proofErr w:type="spellStart"/>
      <w:r w:rsidR="00067A43" w:rsidRPr="00847F85">
        <w:t>Pichichero</w:t>
      </w:r>
      <w:proofErr w:type="spellEnd"/>
      <w:r w:rsidR="00067A43" w:rsidRPr="00847F85">
        <w:t xml:space="preserve"> trial was</w:t>
      </w:r>
      <w:r w:rsidR="00666ABE" w:rsidRPr="00847F85">
        <w:t xml:space="preserve"> </w:t>
      </w:r>
      <w:r w:rsidR="00067A43" w:rsidRPr="006B7162">
        <w:rPr>
          <w:i/>
        </w:rPr>
        <w:t>a priori</w:t>
      </w:r>
      <w:r w:rsidR="00067A43" w:rsidRPr="00847F85">
        <w:t xml:space="preserve"> power</w:t>
      </w:r>
      <w:r w:rsidR="00666ABE" w:rsidRPr="00847F85">
        <w:t>ed for multiple comparisons,</w:t>
      </w:r>
      <w:r w:rsidR="00067A43" w:rsidRPr="00847F85">
        <w:t xml:space="preserve"> or subsequently corrected</w:t>
      </w:r>
      <w:r w:rsidR="00B476DB" w:rsidRPr="00847F85">
        <w:t xml:space="preserve">. While the ESC accepted that the DTaP and DTPa boosters were likely to confer similar </w:t>
      </w:r>
      <w:r w:rsidR="00086D02" w:rsidRPr="00847F85">
        <w:t>% protected</w:t>
      </w:r>
      <w:r w:rsidR="00B476DB" w:rsidRPr="00847F85">
        <w:t xml:space="preserve">, it considered that </w:t>
      </w:r>
      <w:r w:rsidR="00086D02" w:rsidRPr="00847F85">
        <w:t>differences</w:t>
      </w:r>
      <w:r w:rsidR="00B476DB" w:rsidRPr="00847F85">
        <w:t xml:space="preserve"> </w:t>
      </w:r>
      <w:r w:rsidR="00086D02" w:rsidRPr="00847F85">
        <w:t>between the vaccines were</w:t>
      </w:r>
      <w:r w:rsidR="00B476DB" w:rsidRPr="00847F85">
        <w:t xml:space="preserve"> likely to be slightly </w:t>
      </w:r>
      <w:r w:rsidR="00F0248C" w:rsidRPr="00847F85">
        <w:t>under</w:t>
      </w:r>
      <w:r w:rsidR="00B476DB" w:rsidRPr="00847F85">
        <w:t>estimated due to the lack of adjustment for multiple comparisons.</w:t>
      </w:r>
    </w:p>
    <w:p w:rsidR="0009249D" w:rsidRDefault="0009249D" w:rsidP="005A7E75">
      <w:pPr>
        <w:pStyle w:val="BodyText"/>
        <w:widowControl/>
        <w:ind w:left="709"/>
        <w:jc w:val="both"/>
      </w:pPr>
    </w:p>
    <w:p w:rsidR="0009249D" w:rsidRPr="00137230" w:rsidRDefault="00B81C17" w:rsidP="00B81C17">
      <w:pPr>
        <w:pStyle w:val="BodyText"/>
        <w:widowControl/>
        <w:ind w:left="709" w:hanging="709"/>
        <w:jc w:val="both"/>
      </w:pPr>
      <w:r>
        <w:t>6.10</w:t>
      </w:r>
      <w:r>
        <w:tab/>
      </w:r>
      <w:r w:rsidR="0009249D" w:rsidRPr="00137230">
        <w:t>The naïve comparisons of effectiveness</w:t>
      </w:r>
      <w:r w:rsidR="0009249D">
        <w:t xml:space="preserve"> are presented below.</w:t>
      </w:r>
    </w:p>
    <w:p w:rsidR="0049139D" w:rsidRPr="00137230" w:rsidRDefault="0049139D" w:rsidP="005A7E75">
      <w:pPr>
        <w:widowControl/>
        <w:ind w:left="709"/>
        <w:jc w:val="left"/>
        <w:rPr>
          <w:szCs w:val="22"/>
          <w:highlight w:val="green"/>
        </w:rPr>
      </w:pPr>
    </w:p>
    <w:p w:rsidR="00AD3BA5" w:rsidRPr="00137230" w:rsidRDefault="00AD3BA5" w:rsidP="005A7E75">
      <w:pPr>
        <w:widowControl/>
        <w:ind w:left="709"/>
        <w:rPr>
          <w:rStyle w:val="CommentReference"/>
          <w:szCs w:val="20"/>
        </w:rPr>
      </w:pPr>
      <w:r w:rsidRPr="00137230">
        <w:rPr>
          <w:rStyle w:val="CommentReference"/>
          <w:szCs w:val="20"/>
        </w:rPr>
        <w:t xml:space="preserve">Table </w:t>
      </w:r>
      <w:r w:rsidR="00992A64" w:rsidRPr="00137230">
        <w:rPr>
          <w:rStyle w:val="CommentReference"/>
          <w:szCs w:val="20"/>
        </w:rPr>
        <w:t>5</w:t>
      </w:r>
      <w:r w:rsidRPr="00137230">
        <w:rPr>
          <w:rStyle w:val="CommentReference"/>
          <w:szCs w:val="20"/>
        </w:rPr>
        <w:t>: Naïve comparison of GMT/GMC pertussis antigens (PT, FHA, and PRN)</w:t>
      </w:r>
    </w:p>
    <w:tbl>
      <w:tblPr>
        <w:tblStyle w:val="TableGrid"/>
        <w:tblW w:w="4678" w:type="pct"/>
        <w:tblInd w:w="817" w:type="dxa"/>
        <w:tblLayout w:type="fixed"/>
        <w:tblLook w:val="04A0" w:firstRow="1" w:lastRow="0" w:firstColumn="1" w:lastColumn="0" w:noHBand="0" w:noVBand="1"/>
        <w:tblCaption w:val="Table 5: Naïve comparison of GMT/GMC pertussis antigens (PT, FHA, and PRN)"/>
        <w:tblDescription w:val="The table shows the results of the naive comparison of GMT/GMC pertussis antigens (PT, FHA, and PRN)"/>
      </w:tblPr>
      <w:tblGrid>
        <w:gridCol w:w="1312"/>
        <w:gridCol w:w="1223"/>
        <w:gridCol w:w="1223"/>
        <w:gridCol w:w="1223"/>
        <w:gridCol w:w="1223"/>
        <w:gridCol w:w="1223"/>
        <w:gridCol w:w="1221"/>
      </w:tblGrid>
      <w:tr w:rsidR="00AD3BA5" w:rsidRPr="00137230" w:rsidTr="000779C2">
        <w:trPr>
          <w:tblHeader/>
        </w:trPr>
        <w:tc>
          <w:tcPr>
            <w:tcW w:w="759" w:type="pct"/>
            <w:shd w:val="clear" w:color="auto" w:fill="auto"/>
            <w:vAlign w:val="center"/>
          </w:tcPr>
          <w:p w:rsidR="00AD3BA5" w:rsidRPr="00137230" w:rsidRDefault="00AD3BA5" w:rsidP="005A7E75">
            <w:pPr>
              <w:widowControl/>
              <w:jc w:val="left"/>
              <w:rPr>
                <w:rStyle w:val="CommentReference"/>
                <w:szCs w:val="20"/>
              </w:rPr>
            </w:pPr>
          </w:p>
        </w:tc>
        <w:tc>
          <w:tcPr>
            <w:tcW w:w="1414" w:type="pct"/>
            <w:gridSpan w:val="2"/>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PT</w:t>
            </w:r>
          </w:p>
        </w:tc>
        <w:tc>
          <w:tcPr>
            <w:tcW w:w="1414" w:type="pct"/>
            <w:gridSpan w:val="2"/>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FHA</w:t>
            </w:r>
          </w:p>
        </w:tc>
        <w:tc>
          <w:tcPr>
            <w:tcW w:w="1414" w:type="pct"/>
            <w:gridSpan w:val="2"/>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PRN</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 xml:space="preserve">GMT </w:t>
            </w:r>
          </w:p>
          <w:p w:rsidR="00AD3BA5" w:rsidRPr="00137230" w:rsidRDefault="00AD3BA5" w:rsidP="005A7E75">
            <w:pPr>
              <w:widowControl/>
              <w:jc w:val="left"/>
              <w:rPr>
                <w:rStyle w:val="CommentReference"/>
                <w:szCs w:val="20"/>
              </w:rPr>
            </w:pPr>
            <w:r w:rsidRPr="00137230">
              <w:rPr>
                <w:rStyle w:val="CommentReference"/>
                <w:szCs w:val="20"/>
              </w:rPr>
              <w:t>(95% CI)</w:t>
            </w:r>
          </w:p>
        </w:tc>
        <w:tc>
          <w:tcPr>
            <w:tcW w:w="707"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Pre</w:t>
            </w:r>
          </w:p>
        </w:tc>
        <w:tc>
          <w:tcPr>
            <w:tcW w:w="707"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Post</w:t>
            </w:r>
          </w:p>
        </w:tc>
        <w:tc>
          <w:tcPr>
            <w:tcW w:w="707"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Pre</w:t>
            </w:r>
          </w:p>
        </w:tc>
        <w:tc>
          <w:tcPr>
            <w:tcW w:w="707"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Post</w:t>
            </w:r>
          </w:p>
        </w:tc>
        <w:tc>
          <w:tcPr>
            <w:tcW w:w="707"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Pre</w:t>
            </w:r>
          </w:p>
        </w:tc>
        <w:tc>
          <w:tcPr>
            <w:tcW w:w="706"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Post</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DTaP</w:t>
            </w:r>
            <w:r w:rsidR="0043692B" w:rsidRPr="00137230">
              <w:rPr>
                <w:rStyle w:val="CommentReference"/>
                <w:szCs w:val="20"/>
              </w:rPr>
              <w:t>/</w:t>
            </w:r>
            <w:proofErr w:type="spellStart"/>
            <w:r w:rsidR="0043692B" w:rsidRPr="00137230">
              <w:rPr>
                <w:rStyle w:val="CommentReference"/>
                <w:szCs w:val="20"/>
              </w:rPr>
              <w:t>Tripacel</w:t>
            </w:r>
            <w:proofErr w:type="spellEnd"/>
          </w:p>
        </w:tc>
        <w:tc>
          <w:tcPr>
            <w:tcW w:w="707" w:type="pct"/>
            <w:shd w:val="clear" w:color="auto" w:fill="auto"/>
            <w:vAlign w:val="center"/>
          </w:tcPr>
          <w:p w:rsidR="00AD3BA5" w:rsidRPr="00137230" w:rsidRDefault="00AD3BA5" w:rsidP="005A7E75">
            <w:pPr>
              <w:widowControl/>
              <w:jc w:val="left"/>
              <w:rPr>
                <w:rStyle w:val="CommentReference"/>
                <w:b w:val="0"/>
                <w:szCs w:val="20"/>
              </w:rPr>
            </w:pPr>
          </w:p>
        </w:tc>
        <w:tc>
          <w:tcPr>
            <w:tcW w:w="707" w:type="pct"/>
            <w:shd w:val="clear" w:color="auto" w:fill="auto"/>
            <w:vAlign w:val="center"/>
          </w:tcPr>
          <w:p w:rsidR="00AD3BA5" w:rsidRPr="00137230" w:rsidRDefault="00AD3BA5" w:rsidP="005A7E75">
            <w:pPr>
              <w:widowControl/>
              <w:jc w:val="left"/>
              <w:rPr>
                <w:rStyle w:val="CommentReference"/>
                <w:b w:val="0"/>
                <w:szCs w:val="20"/>
              </w:rPr>
            </w:pPr>
          </w:p>
        </w:tc>
        <w:tc>
          <w:tcPr>
            <w:tcW w:w="707" w:type="pct"/>
            <w:shd w:val="clear" w:color="auto" w:fill="auto"/>
            <w:vAlign w:val="center"/>
          </w:tcPr>
          <w:p w:rsidR="00AD3BA5" w:rsidRPr="00137230" w:rsidRDefault="00AD3BA5" w:rsidP="005A7E75">
            <w:pPr>
              <w:widowControl/>
              <w:jc w:val="left"/>
              <w:rPr>
                <w:rStyle w:val="CommentReference"/>
                <w:b w:val="0"/>
                <w:szCs w:val="20"/>
              </w:rPr>
            </w:pPr>
          </w:p>
        </w:tc>
        <w:tc>
          <w:tcPr>
            <w:tcW w:w="707" w:type="pct"/>
            <w:shd w:val="clear" w:color="auto" w:fill="auto"/>
            <w:vAlign w:val="center"/>
          </w:tcPr>
          <w:p w:rsidR="00AD3BA5" w:rsidRPr="00137230" w:rsidRDefault="00AD3BA5" w:rsidP="005A7E75">
            <w:pPr>
              <w:widowControl/>
              <w:jc w:val="left"/>
              <w:rPr>
                <w:rStyle w:val="CommentReference"/>
                <w:b w:val="0"/>
                <w:szCs w:val="20"/>
              </w:rPr>
            </w:pPr>
          </w:p>
        </w:tc>
        <w:tc>
          <w:tcPr>
            <w:tcW w:w="707" w:type="pct"/>
            <w:shd w:val="clear" w:color="auto" w:fill="auto"/>
            <w:vAlign w:val="center"/>
          </w:tcPr>
          <w:p w:rsidR="00AD3BA5" w:rsidRPr="00137230" w:rsidRDefault="00AD3BA5" w:rsidP="005A7E75">
            <w:pPr>
              <w:widowControl/>
              <w:jc w:val="left"/>
              <w:rPr>
                <w:rStyle w:val="CommentReference"/>
                <w:b w:val="0"/>
                <w:szCs w:val="20"/>
              </w:rPr>
            </w:pPr>
          </w:p>
        </w:tc>
        <w:tc>
          <w:tcPr>
            <w:tcW w:w="706" w:type="pct"/>
            <w:shd w:val="clear" w:color="auto" w:fill="auto"/>
            <w:vAlign w:val="center"/>
          </w:tcPr>
          <w:p w:rsidR="00AD3BA5" w:rsidRPr="00137230" w:rsidRDefault="00AD3BA5" w:rsidP="005A7E75">
            <w:pPr>
              <w:widowControl/>
              <w:jc w:val="left"/>
              <w:rPr>
                <w:rStyle w:val="CommentReference"/>
                <w:b w:val="0"/>
                <w:szCs w:val="20"/>
              </w:rPr>
            </w:pP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CANADA II</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18.4 (15.8, 21.4)</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137.7(122.5, 154.8)</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9.6 (8.4, 11.0)</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102.9 (93.5, 113.4)</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11.5  (10.0, 13.4)</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234.4 (208.3, 263.7)</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proofErr w:type="spellStart"/>
            <w:r w:rsidRPr="00137230">
              <w:rPr>
                <w:rStyle w:val="CommentReference"/>
                <w:b w:val="0"/>
                <w:szCs w:val="20"/>
              </w:rPr>
              <w:t>Halperin</w:t>
            </w:r>
            <w:proofErr w:type="spellEnd"/>
            <w:r w:rsidRPr="00137230">
              <w:rPr>
                <w:rStyle w:val="CommentReference"/>
                <w:b w:val="0"/>
                <w:szCs w:val="20"/>
              </w:rPr>
              <w:t xml:space="preserve"> 95 </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35.9(28.4,45.3)</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107 (82.3, 139)</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17.9 (12.5, 25.7)</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91.8 (67.0, 126)</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17.4 (11.1, 27.3)</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282 (204, 389)</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PHASE IIC</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13.5 (5.8, 31.1)</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121 (55.2, 267)</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12.3 (9.09,16.7)</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82.5 (21.4, 318)</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16.6(5.87,46.9)</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367(55.2, 2447)</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Chatterjee</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66.48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98.05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22.51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46.79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33.63 (NR)</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157.46 (NR)</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Guerra 2009</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7.73 (7.0, 8.54)</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168.5 (153.5, 184.9)</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5.4 (4.8, 6.0)</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64.0 (58.8, 69.7)</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7.83 (6.97, 8.8)</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186.1 (168.2, 205.9)</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PERTB9301</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8.12 (6.3,10.5)</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115 (87, 151)</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6.15 (4.0, 8.8)</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64.4(48, 86.3)</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9.34(6.1, 14.2)</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226 (152, 335)</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proofErr w:type="spellStart"/>
            <w:r w:rsidRPr="00137230">
              <w:rPr>
                <w:rStyle w:val="CommentReference"/>
                <w:b w:val="0"/>
                <w:szCs w:val="20"/>
              </w:rPr>
              <w:t>Halperin</w:t>
            </w:r>
            <w:proofErr w:type="spellEnd"/>
            <w:r w:rsidRPr="00137230">
              <w:rPr>
                <w:rStyle w:val="CommentReference"/>
                <w:b w:val="0"/>
                <w:szCs w:val="20"/>
              </w:rPr>
              <w:t xml:space="preserve"> 94 </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3.1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50.9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1.6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55.1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2.5 (NR)</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96.1 (NR)</w:t>
            </w:r>
          </w:p>
        </w:tc>
      </w:tr>
      <w:tr w:rsidR="00CC4C12" w:rsidRPr="00137230" w:rsidTr="00CC4C12">
        <w:tc>
          <w:tcPr>
            <w:tcW w:w="759" w:type="pct"/>
            <w:shd w:val="clear" w:color="auto" w:fill="auto"/>
            <w:vAlign w:val="center"/>
          </w:tcPr>
          <w:p w:rsidR="00AD3BA5" w:rsidRPr="00137230" w:rsidRDefault="0043692B" w:rsidP="005A7E75">
            <w:pPr>
              <w:widowControl/>
              <w:jc w:val="left"/>
              <w:rPr>
                <w:rStyle w:val="CommentReference"/>
                <w:szCs w:val="20"/>
              </w:rPr>
            </w:pPr>
            <w:r w:rsidRPr="00137230">
              <w:rPr>
                <w:rStyle w:val="CommentReference"/>
                <w:szCs w:val="20"/>
              </w:rPr>
              <w:t>DTPa/</w:t>
            </w:r>
            <w:r w:rsidR="00AD3BA5" w:rsidRPr="00137230">
              <w:rPr>
                <w:rStyle w:val="CommentReference"/>
                <w:szCs w:val="20"/>
              </w:rPr>
              <w:t>Infanrix</w:t>
            </w:r>
          </w:p>
        </w:tc>
        <w:tc>
          <w:tcPr>
            <w:tcW w:w="707" w:type="pct"/>
            <w:shd w:val="clear" w:color="auto" w:fill="auto"/>
            <w:vAlign w:val="center"/>
          </w:tcPr>
          <w:p w:rsidR="00AD3BA5" w:rsidRPr="00137230" w:rsidRDefault="00AD3BA5" w:rsidP="005A7E75">
            <w:pPr>
              <w:widowControl/>
              <w:jc w:val="center"/>
              <w:rPr>
                <w:rStyle w:val="CommentReference"/>
                <w:b w:val="0"/>
                <w:szCs w:val="20"/>
              </w:rPr>
            </w:pPr>
          </w:p>
        </w:tc>
        <w:tc>
          <w:tcPr>
            <w:tcW w:w="707" w:type="pct"/>
            <w:shd w:val="clear" w:color="auto" w:fill="auto"/>
            <w:vAlign w:val="center"/>
          </w:tcPr>
          <w:p w:rsidR="00AD3BA5" w:rsidRPr="00137230" w:rsidRDefault="00AD3BA5" w:rsidP="005A7E75">
            <w:pPr>
              <w:widowControl/>
              <w:jc w:val="center"/>
              <w:rPr>
                <w:rStyle w:val="CommentReference"/>
                <w:b w:val="0"/>
                <w:szCs w:val="20"/>
              </w:rPr>
            </w:pPr>
          </w:p>
        </w:tc>
        <w:tc>
          <w:tcPr>
            <w:tcW w:w="707" w:type="pct"/>
            <w:shd w:val="clear" w:color="auto" w:fill="auto"/>
            <w:vAlign w:val="center"/>
          </w:tcPr>
          <w:p w:rsidR="00AD3BA5" w:rsidRPr="00137230" w:rsidRDefault="00AD3BA5" w:rsidP="005A7E75">
            <w:pPr>
              <w:widowControl/>
              <w:jc w:val="center"/>
              <w:rPr>
                <w:rStyle w:val="CommentReference"/>
                <w:b w:val="0"/>
                <w:szCs w:val="20"/>
              </w:rPr>
            </w:pPr>
          </w:p>
        </w:tc>
        <w:tc>
          <w:tcPr>
            <w:tcW w:w="707" w:type="pct"/>
            <w:shd w:val="clear" w:color="auto" w:fill="auto"/>
            <w:vAlign w:val="center"/>
          </w:tcPr>
          <w:p w:rsidR="00AD3BA5" w:rsidRPr="00137230" w:rsidRDefault="00AD3BA5" w:rsidP="005A7E75">
            <w:pPr>
              <w:widowControl/>
              <w:jc w:val="center"/>
              <w:rPr>
                <w:rStyle w:val="CommentReference"/>
                <w:b w:val="0"/>
                <w:szCs w:val="20"/>
              </w:rPr>
            </w:pPr>
          </w:p>
        </w:tc>
        <w:tc>
          <w:tcPr>
            <w:tcW w:w="707" w:type="pct"/>
            <w:shd w:val="clear" w:color="auto" w:fill="auto"/>
            <w:vAlign w:val="center"/>
          </w:tcPr>
          <w:p w:rsidR="00AD3BA5" w:rsidRPr="00137230" w:rsidRDefault="00AD3BA5" w:rsidP="005A7E75">
            <w:pPr>
              <w:widowControl/>
              <w:jc w:val="center"/>
              <w:rPr>
                <w:rStyle w:val="CommentReference"/>
                <w:b w:val="0"/>
                <w:szCs w:val="20"/>
              </w:rPr>
            </w:pPr>
          </w:p>
        </w:tc>
        <w:tc>
          <w:tcPr>
            <w:tcW w:w="706" w:type="pct"/>
            <w:shd w:val="clear" w:color="auto" w:fill="auto"/>
            <w:vAlign w:val="center"/>
          </w:tcPr>
          <w:p w:rsidR="00AD3BA5" w:rsidRPr="00137230" w:rsidRDefault="00AD3BA5" w:rsidP="005A7E75">
            <w:pPr>
              <w:widowControl/>
              <w:jc w:val="center"/>
              <w:rPr>
                <w:rStyle w:val="CommentReference"/>
                <w:b w:val="0"/>
                <w:szCs w:val="20"/>
              </w:rPr>
            </w:pP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proofErr w:type="spellStart"/>
            <w:r w:rsidRPr="00137230">
              <w:rPr>
                <w:rStyle w:val="CommentReference"/>
                <w:b w:val="0"/>
                <w:szCs w:val="20"/>
              </w:rPr>
              <w:t>Pichichero</w:t>
            </w:r>
            <w:proofErr w:type="spellEnd"/>
            <w:r w:rsidRPr="00137230">
              <w:rPr>
                <w:rStyle w:val="CommentReference"/>
                <w:b w:val="0"/>
                <w:szCs w:val="20"/>
              </w:rPr>
              <w:t xml:space="preserve"> 1996</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8 (6, 10)</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67 (56, 80)</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44 (32, 59)</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642 (516, 799)</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33 (25, 43)</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671 (529, 850)</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Schmitt 1998</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39.3 (36.8, 41.9)</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113.2(95.4, 134.3)</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93.0 (86.8, 99.5)</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744.0(642.5, 861.5)</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102.7(94.8, 111.2)</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735.7(604.5, 895.4)</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proofErr w:type="spellStart"/>
            <w:r w:rsidRPr="00137230">
              <w:rPr>
                <w:rStyle w:val="CommentReference"/>
                <w:b w:val="0"/>
                <w:szCs w:val="20"/>
              </w:rPr>
              <w:t>Trofa</w:t>
            </w:r>
            <w:proofErr w:type="spellEnd"/>
            <w:r w:rsidRPr="00137230">
              <w:rPr>
                <w:rStyle w:val="CommentReference"/>
                <w:b w:val="0"/>
                <w:szCs w:val="20"/>
              </w:rPr>
              <w:t xml:space="preserve"> 2011</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87.0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536.1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NR</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326.4 (NR)</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NCT00289913</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69.2 (57.4, 83.5)</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253.8 (215.3, 299.2)</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NR</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333.5 (267.3, 416.1)</w:t>
            </w:r>
          </w:p>
        </w:tc>
      </w:tr>
      <w:tr w:rsidR="00CC4C12" w:rsidRPr="00137230" w:rsidTr="00CC4C12">
        <w:tc>
          <w:tcPr>
            <w:tcW w:w="75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 xml:space="preserve">Schmitt 96 </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10.2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115.0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39.3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514.0 (NR)</w:t>
            </w:r>
          </w:p>
        </w:tc>
        <w:tc>
          <w:tcPr>
            <w:tcW w:w="707"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20.6 (NR)</w:t>
            </w:r>
          </w:p>
        </w:tc>
        <w:tc>
          <w:tcPr>
            <w:tcW w:w="706"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633.0 (NR)</w:t>
            </w:r>
          </w:p>
        </w:tc>
      </w:tr>
    </w:tbl>
    <w:p w:rsidR="00AD3BA5" w:rsidRPr="00137230" w:rsidRDefault="00AD3BA5" w:rsidP="005A7E75">
      <w:pPr>
        <w:widowControl/>
        <w:ind w:left="709"/>
        <w:rPr>
          <w:rStyle w:val="CommentReference"/>
          <w:b w:val="0"/>
          <w:szCs w:val="20"/>
        </w:rPr>
      </w:pPr>
      <w:r w:rsidRPr="00137230">
        <w:rPr>
          <w:rStyle w:val="CommentReference"/>
          <w:b w:val="0"/>
          <w:szCs w:val="20"/>
        </w:rPr>
        <w:t>Source: Table B.6-19, p53 of the submission.</w:t>
      </w:r>
    </w:p>
    <w:p w:rsidR="00E86A87" w:rsidRPr="00137230" w:rsidRDefault="00E86A87" w:rsidP="005A7E75">
      <w:pPr>
        <w:widowControl/>
        <w:ind w:left="709"/>
        <w:jc w:val="left"/>
        <w:rPr>
          <w:rFonts w:ascii="Arial Narrow" w:hAnsi="Arial Narrow"/>
          <w:sz w:val="20"/>
          <w:lang w:eastAsia="zh-CN"/>
        </w:rPr>
      </w:pPr>
      <w:r w:rsidRPr="00137230">
        <w:rPr>
          <w:rFonts w:ascii="Arial Narrow" w:hAnsi="Arial Narrow"/>
          <w:sz w:val="20"/>
        </w:rPr>
        <w:lastRenderedPageBreak/>
        <w:t xml:space="preserve">Note: </w:t>
      </w:r>
      <w:r w:rsidRPr="00137230">
        <w:rPr>
          <w:rFonts w:ascii="Arial Narrow" w:hAnsi="Arial Narrow"/>
          <w:sz w:val="20"/>
          <w:lang w:eastAsia="zh-CN"/>
        </w:rPr>
        <w:t>PT= Pertussis Toxoid</w:t>
      </w:r>
      <w:r w:rsidRPr="00137230">
        <w:rPr>
          <w:rFonts w:ascii="Arial Narrow" w:hAnsi="Arial Narrow"/>
          <w:sz w:val="20"/>
        </w:rPr>
        <w:t xml:space="preserve">; FHA= Filamentous </w:t>
      </w:r>
      <w:proofErr w:type="spellStart"/>
      <w:proofErr w:type="gramStart"/>
      <w:r w:rsidRPr="00137230">
        <w:rPr>
          <w:rFonts w:ascii="Arial Narrow" w:hAnsi="Arial Narrow"/>
          <w:sz w:val="20"/>
        </w:rPr>
        <w:t>Haemagglutinin</w:t>
      </w:r>
      <w:proofErr w:type="spellEnd"/>
      <w:r w:rsidRPr="00137230">
        <w:rPr>
          <w:rFonts w:ascii="Arial Narrow" w:hAnsi="Arial Narrow"/>
          <w:sz w:val="20"/>
        </w:rPr>
        <w:t xml:space="preserve"> ;</w:t>
      </w:r>
      <w:proofErr w:type="gramEnd"/>
      <w:r w:rsidRPr="00137230">
        <w:rPr>
          <w:rFonts w:ascii="Arial Narrow" w:hAnsi="Arial Narrow"/>
          <w:sz w:val="20"/>
        </w:rPr>
        <w:t xml:space="preserve"> PRN= </w:t>
      </w:r>
      <w:proofErr w:type="spellStart"/>
      <w:r w:rsidRPr="00137230">
        <w:rPr>
          <w:rFonts w:ascii="Arial Narrow" w:hAnsi="Arial Narrow"/>
          <w:sz w:val="20"/>
        </w:rPr>
        <w:t>Pertactin</w:t>
      </w:r>
      <w:proofErr w:type="spellEnd"/>
      <w:r w:rsidRPr="00137230">
        <w:rPr>
          <w:rFonts w:ascii="Arial Narrow" w:hAnsi="Arial Narrow"/>
          <w:sz w:val="20"/>
        </w:rPr>
        <w:t xml:space="preserve">; </w:t>
      </w:r>
      <w:r w:rsidR="006B7162" w:rsidRPr="00137230">
        <w:rPr>
          <w:rFonts w:ascii="Arial Narrow" w:hAnsi="Arial Narrow"/>
          <w:sz w:val="20"/>
        </w:rPr>
        <w:t>GMT</w:t>
      </w:r>
      <w:r w:rsidR="006B7162">
        <w:rPr>
          <w:rFonts w:ascii="Arial Narrow" w:hAnsi="Arial Narrow"/>
          <w:sz w:val="20"/>
        </w:rPr>
        <w:t>/GMC</w:t>
      </w:r>
      <w:r w:rsidR="006B7162" w:rsidRPr="00137230">
        <w:rPr>
          <w:rFonts w:ascii="Arial Narrow" w:hAnsi="Arial Narrow"/>
          <w:sz w:val="20"/>
        </w:rPr>
        <w:t xml:space="preserve"> =</w:t>
      </w:r>
      <w:r w:rsidR="006B7162" w:rsidRPr="00137230">
        <w:rPr>
          <w:rFonts w:ascii="Arial Narrow" w:hAnsi="Arial Narrow"/>
          <w:sz w:val="20"/>
          <w:lang w:eastAsia="zh-CN"/>
        </w:rPr>
        <w:t xml:space="preserve"> Geometric Mean </w:t>
      </w:r>
      <w:proofErr w:type="spellStart"/>
      <w:r w:rsidR="006B7162" w:rsidRPr="00137230">
        <w:rPr>
          <w:rFonts w:ascii="Arial Narrow" w:hAnsi="Arial Narrow"/>
          <w:sz w:val="20"/>
          <w:lang w:eastAsia="zh-CN"/>
        </w:rPr>
        <w:t>Titer</w:t>
      </w:r>
      <w:proofErr w:type="spellEnd"/>
      <w:r w:rsidR="006B7162">
        <w:rPr>
          <w:rFonts w:ascii="Arial Narrow" w:hAnsi="Arial Narrow"/>
          <w:sz w:val="20"/>
          <w:lang w:eastAsia="zh-CN"/>
        </w:rPr>
        <w:t>/Geometric Mean Concentration</w:t>
      </w:r>
      <w:r w:rsidRPr="00137230">
        <w:rPr>
          <w:rFonts w:ascii="Arial Narrow" w:hAnsi="Arial Narrow"/>
          <w:sz w:val="20"/>
          <w:lang w:eastAsia="zh-CN"/>
        </w:rPr>
        <w:t>; Pre= pre-booster; Post= post-booster; NR= not reported.</w:t>
      </w:r>
    </w:p>
    <w:p w:rsidR="00AD3BA5" w:rsidRPr="00137230" w:rsidRDefault="00AD3BA5" w:rsidP="005A7E75">
      <w:pPr>
        <w:widowControl/>
        <w:ind w:left="709"/>
        <w:rPr>
          <w:rStyle w:val="CommentReference"/>
          <w:b w:val="0"/>
          <w:szCs w:val="20"/>
        </w:rPr>
      </w:pPr>
    </w:p>
    <w:p w:rsidR="00AD3BA5" w:rsidRPr="00137230" w:rsidRDefault="00AD3BA5" w:rsidP="005A7E75">
      <w:pPr>
        <w:keepNext/>
        <w:widowControl/>
        <w:ind w:left="709"/>
        <w:rPr>
          <w:rStyle w:val="CommentReference"/>
          <w:szCs w:val="20"/>
        </w:rPr>
      </w:pPr>
      <w:r w:rsidRPr="00137230">
        <w:rPr>
          <w:rStyle w:val="CommentReference"/>
          <w:szCs w:val="20"/>
        </w:rPr>
        <w:t xml:space="preserve">Table </w:t>
      </w:r>
      <w:r w:rsidR="00992A64" w:rsidRPr="00137230">
        <w:rPr>
          <w:rStyle w:val="CommentReference"/>
          <w:szCs w:val="20"/>
        </w:rPr>
        <w:t>6</w:t>
      </w:r>
      <w:r w:rsidRPr="00137230">
        <w:rPr>
          <w:rStyle w:val="CommentReference"/>
          <w:szCs w:val="20"/>
        </w:rPr>
        <w:t>: Naïve comparison of 4-fold titres rises for pertussis antigens (PT, FHA, and PRN)</w:t>
      </w:r>
    </w:p>
    <w:tbl>
      <w:tblPr>
        <w:tblStyle w:val="TableGrid"/>
        <w:tblW w:w="4679" w:type="pct"/>
        <w:tblInd w:w="817" w:type="dxa"/>
        <w:tblLook w:val="04A0" w:firstRow="1" w:lastRow="0" w:firstColumn="1" w:lastColumn="0" w:noHBand="0" w:noVBand="1"/>
        <w:tblCaption w:val="Table 6: Naïve comparison of 4-fold titres rises for pertussis antigens (PT, FHA, and PRN)"/>
        <w:tblDescription w:val="The table shows the naive comparison of 4-fold titres rises for pertussis antigens (PT, FHA, and PRN)"/>
      </w:tblPr>
      <w:tblGrid>
        <w:gridCol w:w="2082"/>
        <w:gridCol w:w="2190"/>
        <w:gridCol w:w="2190"/>
        <w:gridCol w:w="2188"/>
      </w:tblGrid>
      <w:tr w:rsidR="00AD3BA5" w:rsidRPr="00137230" w:rsidTr="000779C2">
        <w:trPr>
          <w:tblHeader/>
        </w:trPr>
        <w:tc>
          <w:tcPr>
            <w:tcW w:w="1203" w:type="pct"/>
            <w:shd w:val="clear" w:color="auto" w:fill="auto"/>
            <w:vAlign w:val="center"/>
          </w:tcPr>
          <w:p w:rsidR="00AD3BA5" w:rsidRPr="00137230" w:rsidRDefault="00AD3BA5" w:rsidP="005A7E75">
            <w:pPr>
              <w:keepNext/>
              <w:widowControl/>
              <w:jc w:val="left"/>
              <w:rPr>
                <w:rStyle w:val="CommentReference"/>
                <w:szCs w:val="20"/>
              </w:rPr>
            </w:pPr>
          </w:p>
        </w:tc>
        <w:tc>
          <w:tcPr>
            <w:tcW w:w="1266" w:type="pct"/>
            <w:shd w:val="clear" w:color="auto" w:fill="auto"/>
            <w:vAlign w:val="center"/>
          </w:tcPr>
          <w:p w:rsidR="00AD3BA5" w:rsidRPr="00137230" w:rsidRDefault="00AD3BA5" w:rsidP="005A7E75">
            <w:pPr>
              <w:keepNext/>
              <w:widowControl/>
              <w:jc w:val="left"/>
              <w:rPr>
                <w:rStyle w:val="CommentReference"/>
                <w:szCs w:val="20"/>
              </w:rPr>
            </w:pPr>
            <w:r w:rsidRPr="00137230">
              <w:rPr>
                <w:rStyle w:val="CommentReference"/>
                <w:szCs w:val="20"/>
              </w:rPr>
              <w:t>PT</w:t>
            </w:r>
          </w:p>
        </w:tc>
        <w:tc>
          <w:tcPr>
            <w:tcW w:w="1266" w:type="pct"/>
            <w:shd w:val="clear" w:color="auto" w:fill="auto"/>
            <w:vAlign w:val="center"/>
          </w:tcPr>
          <w:p w:rsidR="00AD3BA5" w:rsidRPr="00137230" w:rsidRDefault="00AD3BA5" w:rsidP="005A7E75">
            <w:pPr>
              <w:keepNext/>
              <w:widowControl/>
              <w:jc w:val="left"/>
              <w:rPr>
                <w:rStyle w:val="CommentReference"/>
                <w:szCs w:val="20"/>
              </w:rPr>
            </w:pPr>
            <w:r w:rsidRPr="00137230">
              <w:rPr>
                <w:rStyle w:val="CommentReference"/>
                <w:szCs w:val="20"/>
              </w:rPr>
              <w:t>FHA</w:t>
            </w:r>
          </w:p>
        </w:tc>
        <w:tc>
          <w:tcPr>
            <w:tcW w:w="1266" w:type="pct"/>
            <w:shd w:val="clear" w:color="auto" w:fill="auto"/>
            <w:vAlign w:val="center"/>
          </w:tcPr>
          <w:p w:rsidR="00AD3BA5" w:rsidRPr="00137230" w:rsidRDefault="00AD3BA5" w:rsidP="005A7E75">
            <w:pPr>
              <w:keepNext/>
              <w:widowControl/>
              <w:jc w:val="left"/>
              <w:rPr>
                <w:rStyle w:val="CommentReference"/>
                <w:szCs w:val="20"/>
              </w:rPr>
            </w:pPr>
            <w:r w:rsidRPr="00137230">
              <w:rPr>
                <w:rStyle w:val="CommentReference"/>
                <w:szCs w:val="20"/>
              </w:rPr>
              <w:t>PRN</w:t>
            </w:r>
          </w:p>
        </w:tc>
      </w:tr>
      <w:tr w:rsidR="00AD3BA5" w:rsidRPr="00137230" w:rsidTr="000779C2">
        <w:tc>
          <w:tcPr>
            <w:tcW w:w="1203" w:type="pct"/>
            <w:shd w:val="clear" w:color="auto" w:fill="auto"/>
            <w:vAlign w:val="center"/>
          </w:tcPr>
          <w:p w:rsidR="00AD3BA5" w:rsidRPr="00137230" w:rsidRDefault="00AD3BA5" w:rsidP="005A7E75">
            <w:pPr>
              <w:keepNext/>
              <w:widowControl/>
              <w:jc w:val="left"/>
              <w:rPr>
                <w:rStyle w:val="CommentReference"/>
                <w:szCs w:val="20"/>
              </w:rPr>
            </w:pPr>
          </w:p>
        </w:tc>
        <w:tc>
          <w:tcPr>
            <w:tcW w:w="1266" w:type="pct"/>
            <w:shd w:val="clear" w:color="auto" w:fill="auto"/>
            <w:vAlign w:val="center"/>
          </w:tcPr>
          <w:p w:rsidR="00AD3BA5" w:rsidRPr="00137230" w:rsidRDefault="00AD3BA5" w:rsidP="005A7E75">
            <w:pPr>
              <w:keepNext/>
              <w:widowControl/>
              <w:jc w:val="left"/>
              <w:rPr>
                <w:rStyle w:val="CommentReference"/>
                <w:szCs w:val="20"/>
              </w:rPr>
            </w:pPr>
            <w:r w:rsidRPr="00137230">
              <w:rPr>
                <w:rStyle w:val="CommentReference"/>
                <w:szCs w:val="20"/>
              </w:rPr>
              <w:t>4-fold rise</w:t>
            </w:r>
          </w:p>
        </w:tc>
        <w:tc>
          <w:tcPr>
            <w:tcW w:w="1266" w:type="pct"/>
            <w:shd w:val="clear" w:color="auto" w:fill="auto"/>
            <w:vAlign w:val="center"/>
          </w:tcPr>
          <w:p w:rsidR="00AD3BA5" w:rsidRPr="00137230" w:rsidRDefault="00AD3BA5" w:rsidP="005A7E75">
            <w:pPr>
              <w:keepNext/>
              <w:widowControl/>
              <w:jc w:val="left"/>
              <w:rPr>
                <w:rStyle w:val="CommentReference"/>
                <w:szCs w:val="20"/>
              </w:rPr>
            </w:pPr>
            <w:r w:rsidRPr="00137230">
              <w:rPr>
                <w:rStyle w:val="CommentReference"/>
                <w:szCs w:val="20"/>
              </w:rPr>
              <w:t>4-fold rise</w:t>
            </w:r>
          </w:p>
        </w:tc>
        <w:tc>
          <w:tcPr>
            <w:tcW w:w="1266" w:type="pct"/>
            <w:shd w:val="clear" w:color="auto" w:fill="auto"/>
            <w:vAlign w:val="center"/>
          </w:tcPr>
          <w:p w:rsidR="00AD3BA5" w:rsidRPr="00137230" w:rsidRDefault="00AD3BA5" w:rsidP="005A7E75">
            <w:pPr>
              <w:keepNext/>
              <w:widowControl/>
              <w:jc w:val="left"/>
              <w:rPr>
                <w:rStyle w:val="CommentReference"/>
                <w:szCs w:val="20"/>
              </w:rPr>
            </w:pPr>
            <w:r w:rsidRPr="00137230">
              <w:rPr>
                <w:rStyle w:val="CommentReference"/>
                <w:szCs w:val="20"/>
              </w:rPr>
              <w:t>4-fold rise</w:t>
            </w:r>
          </w:p>
        </w:tc>
      </w:tr>
      <w:tr w:rsidR="00AD3BA5" w:rsidRPr="00137230" w:rsidTr="000779C2">
        <w:tc>
          <w:tcPr>
            <w:tcW w:w="1203" w:type="pct"/>
            <w:shd w:val="clear" w:color="auto" w:fill="auto"/>
            <w:vAlign w:val="center"/>
          </w:tcPr>
          <w:p w:rsidR="00AD3BA5" w:rsidRPr="00137230" w:rsidRDefault="00AD3BA5" w:rsidP="005A7E75">
            <w:pPr>
              <w:keepNext/>
              <w:widowControl/>
              <w:jc w:val="left"/>
              <w:rPr>
                <w:rStyle w:val="CommentReference"/>
                <w:szCs w:val="20"/>
              </w:rPr>
            </w:pPr>
            <w:proofErr w:type="spellStart"/>
            <w:r w:rsidRPr="00137230">
              <w:rPr>
                <w:rStyle w:val="CommentReference"/>
                <w:szCs w:val="20"/>
              </w:rPr>
              <w:t>Tripacel</w:t>
            </w:r>
            <w:proofErr w:type="spellEnd"/>
          </w:p>
        </w:tc>
        <w:tc>
          <w:tcPr>
            <w:tcW w:w="1266" w:type="pct"/>
            <w:shd w:val="clear" w:color="auto" w:fill="auto"/>
            <w:vAlign w:val="center"/>
          </w:tcPr>
          <w:p w:rsidR="00AD3BA5" w:rsidRPr="00137230" w:rsidRDefault="00AD3BA5" w:rsidP="005A7E75">
            <w:pPr>
              <w:keepNext/>
              <w:widowControl/>
              <w:jc w:val="left"/>
              <w:rPr>
                <w:rStyle w:val="CommentReference"/>
                <w:b w:val="0"/>
                <w:szCs w:val="20"/>
              </w:rPr>
            </w:pPr>
          </w:p>
        </w:tc>
        <w:tc>
          <w:tcPr>
            <w:tcW w:w="1266" w:type="pct"/>
            <w:shd w:val="clear" w:color="auto" w:fill="auto"/>
            <w:vAlign w:val="center"/>
          </w:tcPr>
          <w:p w:rsidR="00AD3BA5" w:rsidRPr="00137230" w:rsidRDefault="00AD3BA5" w:rsidP="005A7E75">
            <w:pPr>
              <w:keepNext/>
              <w:widowControl/>
              <w:jc w:val="left"/>
              <w:rPr>
                <w:rStyle w:val="CommentReference"/>
                <w:b w:val="0"/>
                <w:szCs w:val="20"/>
              </w:rPr>
            </w:pPr>
          </w:p>
        </w:tc>
        <w:tc>
          <w:tcPr>
            <w:tcW w:w="1266" w:type="pct"/>
            <w:shd w:val="clear" w:color="auto" w:fill="auto"/>
            <w:vAlign w:val="center"/>
          </w:tcPr>
          <w:p w:rsidR="00AD3BA5" w:rsidRPr="00137230" w:rsidRDefault="00AD3BA5" w:rsidP="005A7E75">
            <w:pPr>
              <w:keepNext/>
              <w:widowControl/>
              <w:jc w:val="left"/>
              <w:rPr>
                <w:rStyle w:val="CommentReference"/>
                <w:b w:val="0"/>
                <w:szCs w:val="20"/>
              </w:rPr>
            </w:pPr>
          </w:p>
        </w:tc>
      </w:tr>
      <w:tr w:rsidR="00AD3BA5" w:rsidRPr="00137230" w:rsidTr="000779C2">
        <w:tc>
          <w:tcPr>
            <w:tcW w:w="1203" w:type="pct"/>
            <w:shd w:val="clear" w:color="auto" w:fill="auto"/>
            <w:vAlign w:val="center"/>
          </w:tcPr>
          <w:p w:rsidR="00AD3BA5" w:rsidRPr="00137230" w:rsidRDefault="00AD3BA5" w:rsidP="005A7E75">
            <w:pPr>
              <w:keepNext/>
              <w:widowControl/>
              <w:jc w:val="left"/>
              <w:rPr>
                <w:rStyle w:val="CommentReference"/>
                <w:b w:val="0"/>
                <w:szCs w:val="20"/>
              </w:rPr>
            </w:pPr>
            <w:r w:rsidRPr="00137230">
              <w:rPr>
                <w:rStyle w:val="CommentReference"/>
                <w:b w:val="0"/>
                <w:szCs w:val="20"/>
              </w:rPr>
              <w:t>CANADA II</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71.1 (65.0, 76.5)</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88.4 (84.0, 91.6)</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95.8 (92.6, 97.7)</w:t>
            </w:r>
          </w:p>
        </w:tc>
      </w:tr>
      <w:tr w:rsidR="00AD3BA5" w:rsidRPr="00137230" w:rsidTr="000779C2">
        <w:tc>
          <w:tcPr>
            <w:tcW w:w="1203" w:type="pct"/>
            <w:shd w:val="clear" w:color="auto" w:fill="auto"/>
            <w:vAlign w:val="center"/>
          </w:tcPr>
          <w:p w:rsidR="00AD3BA5" w:rsidRPr="00137230" w:rsidRDefault="00AD3BA5" w:rsidP="005A7E75">
            <w:pPr>
              <w:keepNext/>
              <w:widowControl/>
              <w:jc w:val="left"/>
              <w:rPr>
                <w:rStyle w:val="CommentReference"/>
                <w:b w:val="0"/>
                <w:szCs w:val="20"/>
              </w:rPr>
            </w:pPr>
            <w:r w:rsidRPr="00137230">
              <w:rPr>
                <w:rStyle w:val="CommentReference"/>
                <w:b w:val="0"/>
                <w:szCs w:val="20"/>
              </w:rPr>
              <w:t>PHASE IIC</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60.0 (14.7,94.7)</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60.0 (14.7, 94.7)</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80.0 (28.4,99.5)</w:t>
            </w:r>
          </w:p>
        </w:tc>
      </w:tr>
      <w:tr w:rsidR="00AD3BA5" w:rsidRPr="00137230" w:rsidTr="000779C2">
        <w:tc>
          <w:tcPr>
            <w:tcW w:w="1203" w:type="pct"/>
            <w:shd w:val="clear" w:color="auto" w:fill="auto"/>
            <w:vAlign w:val="center"/>
          </w:tcPr>
          <w:p w:rsidR="00AD3BA5" w:rsidRPr="00137230" w:rsidRDefault="00AD3BA5" w:rsidP="005A7E75">
            <w:pPr>
              <w:keepNext/>
              <w:widowControl/>
              <w:jc w:val="left"/>
              <w:rPr>
                <w:rStyle w:val="CommentReference"/>
                <w:b w:val="0"/>
                <w:szCs w:val="20"/>
              </w:rPr>
            </w:pPr>
            <w:r w:rsidRPr="00137230">
              <w:rPr>
                <w:rStyle w:val="CommentReference"/>
                <w:b w:val="0"/>
                <w:szCs w:val="20"/>
              </w:rPr>
              <w:t>Chatterjee 2012</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92.2</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73.5</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94.9</w:t>
            </w:r>
          </w:p>
        </w:tc>
      </w:tr>
      <w:tr w:rsidR="00AD3BA5" w:rsidRPr="00137230" w:rsidTr="000779C2">
        <w:tc>
          <w:tcPr>
            <w:tcW w:w="1203" w:type="pct"/>
            <w:shd w:val="clear" w:color="auto" w:fill="auto"/>
            <w:vAlign w:val="center"/>
          </w:tcPr>
          <w:p w:rsidR="00AD3BA5" w:rsidRPr="00137230" w:rsidRDefault="00AD3BA5" w:rsidP="005A7E75">
            <w:pPr>
              <w:keepNext/>
              <w:widowControl/>
              <w:jc w:val="left"/>
              <w:rPr>
                <w:rStyle w:val="CommentReference"/>
                <w:b w:val="0"/>
                <w:szCs w:val="20"/>
              </w:rPr>
            </w:pPr>
            <w:r w:rsidRPr="00137230">
              <w:rPr>
                <w:rStyle w:val="CommentReference"/>
                <w:b w:val="0"/>
                <w:szCs w:val="20"/>
              </w:rPr>
              <w:t>Guerra 2009</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97.1 (94.0, 98.8)</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79.3 (73.7, 84.3)</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98.3 (95.8,99.5)</w:t>
            </w:r>
          </w:p>
        </w:tc>
      </w:tr>
      <w:tr w:rsidR="00AD3BA5" w:rsidRPr="00137230" w:rsidTr="000779C2">
        <w:tc>
          <w:tcPr>
            <w:tcW w:w="1203" w:type="pct"/>
            <w:shd w:val="clear" w:color="auto" w:fill="auto"/>
            <w:vAlign w:val="center"/>
          </w:tcPr>
          <w:p w:rsidR="00AD3BA5" w:rsidRPr="00137230" w:rsidRDefault="00AD3BA5" w:rsidP="005A7E75">
            <w:pPr>
              <w:keepNext/>
              <w:widowControl/>
              <w:jc w:val="left"/>
              <w:rPr>
                <w:rStyle w:val="CommentReference"/>
                <w:b w:val="0"/>
                <w:szCs w:val="20"/>
              </w:rPr>
            </w:pPr>
            <w:r w:rsidRPr="00137230">
              <w:rPr>
                <w:rStyle w:val="CommentReference"/>
                <w:b w:val="0"/>
                <w:szCs w:val="20"/>
              </w:rPr>
              <w:t>PERTB9301</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95.2 (76.2,99.9)</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85.7 (63.7, 97.0)</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95.2 (76.2, 99.9)</w:t>
            </w:r>
          </w:p>
        </w:tc>
      </w:tr>
      <w:tr w:rsidR="00AD3BA5" w:rsidRPr="00137230" w:rsidTr="000779C2">
        <w:tc>
          <w:tcPr>
            <w:tcW w:w="1203" w:type="pct"/>
            <w:shd w:val="clear" w:color="auto" w:fill="auto"/>
            <w:vAlign w:val="center"/>
          </w:tcPr>
          <w:p w:rsidR="00AD3BA5" w:rsidRPr="00137230" w:rsidRDefault="00AD3BA5" w:rsidP="005A7E75">
            <w:pPr>
              <w:keepNext/>
              <w:widowControl/>
              <w:jc w:val="left"/>
              <w:rPr>
                <w:rStyle w:val="CommentReference"/>
                <w:b w:val="0"/>
                <w:szCs w:val="20"/>
              </w:rPr>
            </w:pPr>
            <w:proofErr w:type="spellStart"/>
            <w:r w:rsidRPr="00137230">
              <w:rPr>
                <w:rStyle w:val="CommentReference"/>
                <w:b w:val="0"/>
                <w:szCs w:val="20"/>
              </w:rPr>
              <w:t>Halperin</w:t>
            </w:r>
            <w:proofErr w:type="spellEnd"/>
            <w:r w:rsidRPr="00137230">
              <w:rPr>
                <w:rStyle w:val="CommentReference"/>
                <w:b w:val="0"/>
                <w:szCs w:val="20"/>
              </w:rPr>
              <w:t xml:space="preserve"> 1994</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NR</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NR</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NR</w:t>
            </w:r>
          </w:p>
        </w:tc>
      </w:tr>
      <w:tr w:rsidR="00AD3BA5" w:rsidRPr="00137230" w:rsidTr="000779C2">
        <w:tc>
          <w:tcPr>
            <w:tcW w:w="1203" w:type="pct"/>
            <w:shd w:val="clear" w:color="auto" w:fill="auto"/>
            <w:vAlign w:val="center"/>
          </w:tcPr>
          <w:p w:rsidR="00AD3BA5" w:rsidRPr="006E066F" w:rsidRDefault="00AD3BA5" w:rsidP="005A7E75">
            <w:pPr>
              <w:keepNext/>
              <w:widowControl/>
              <w:jc w:val="left"/>
              <w:rPr>
                <w:rStyle w:val="CommentReference"/>
                <w:szCs w:val="20"/>
              </w:rPr>
            </w:pPr>
            <w:r w:rsidRPr="006E066F">
              <w:rPr>
                <w:rStyle w:val="CommentReference"/>
                <w:szCs w:val="20"/>
              </w:rPr>
              <w:t>Infanrix</w:t>
            </w: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p>
        </w:tc>
        <w:tc>
          <w:tcPr>
            <w:tcW w:w="1266" w:type="pct"/>
            <w:shd w:val="clear" w:color="auto" w:fill="auto"/>
            <w:vAlign w:val="center"/>
          </w:tcPr>
          <w:p w:rsidR="00AD3BA5" w:rsidRPr="00137230" w:rsidRDefault="00AD3BA5" w:rsidP="005A7E75">
            <w:pPr>
              <w:keepNext/>
              <w:widowControl/>
              <w:jc w:val="center"/>
              <w:rPr>
                <w:rStyle w:val="CommentReference"/>
                <w:b w:val="0"/>
                <w:szCs w:val="20"/>
              </w:rPr>
            </w:pPr>
          </w:p>
        </w:tc>
      </w:tr>
      <w:tr w:rsidR="00AD3BA5" w:rsidRPr="00137230" w:rsidTr="000779C2">
        <w:tc>
          <w:tcPr>
            <w:tcW w:w="1203" w:type="pct"/>
            <w:vAlign w:val="center"/>
          </w:tcPr>
          <w:p w:rsidR="00AD3BA5" w:rsidRPr="00137230" w:rsidRDefault="00AD3BA5" w:rsidP="005A7E75">
            <w:pPr>
              <w:keepNext/>
              <w:widowControl/>
              <w:jc w:val="left"/>
              <w:rPr>
                <w:rStyle w:val="CommentReference"/>
                <w:b w:val="0"/>
                <w:szCs w:val="20"/>
              </w:rPr>
            </w:pPr>
            <w:proofErr w:type="spellStart"/>
            <w:r w:rsidRPr="00137230">
              <w:rPr>
                <w:rStyle w:val="CommentReference"/>
                <w:b w:val="0"/>
                <w:szCs w:val="20"/>
              </w:rPr>
              <w:t>Pichichero</w:t>
            </w:r>
            <w:proofErr w:type="spellEnd"/>
            <w:r w:rsidRPr="00137230">
              <w:rPr>
                <w:rStyle w:val="CommentReference"/>
                <w:b w:val="0"/>
                <w:szCs w:val="20"/>
              </w:rPr>
              <w:t xml:space="preserve"> 1996</w:t>
            </w:r>
          </w:p>
        </w:tc>
        <w:tc>
          <w:tcPr>
            <w:tcW w:w="1266" w:type="pct"/>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87 (NR)</w:t>
            </w:r>
          </w:p>
        </w:tc>
        <w:tc>
          <w:tcPr>
            <w:tcW w:w="1266" w:type="pct"/>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90 (NR)</w:t>
            </w:r>
          </w:p>
        </w:tc>
        <w:tc>
          <w:tcPr>
            <w:tcW w:w="1266" w:type="pct"/>
            <w:vAlign w:val="center"/>
          </w:tcPr>
          <w:p w:rsidR="00AD3BA5" w:rsidRPr="00137230" w:rsidRDefault="00AD3BA5" w:rsidP="005A7E75">
            <w:pPr>
              <w:keepNext/>
              <w:widowControl/>
              <w:jc w:val="center"/>
              <w:rPr>
                <w:rStyle w:val="CommentReference"/>
                <w:b w:val="0"/>
                <w:szCs w:val="20"/>
              </w:rPr>
            </w:pPr>
            <w:r w:rsidRPr="00137230">
              <w:rPr>
                <w:rStyle w:val="CommentReference"/>
                <w:b w:val="0"/>
                <w:szCs w:val="20"/>
              </w:rPr>
              <w:t>90 (NR)</w:t>
            </w:r>
          </w:p>
        </w:tc>
      </w:tr>
    </w:tbl>
    <w:p w:rsidR="00AD3BA5" w:rsidRPr="00137230" w:rsidRDefault="00AD3BA5" w:rsidP="005A7E75">
      <w:pPr>
        <w:keepNext/>
        <w:widowControl/>
        <w:ind w:left="709"/>
        <w:rPr>
          <w:rStyle w:val="CommentReference"/>
          <w:b w:val="0"/>
          <w:szCs w:val="20"/>
        </w:rPr>
      </w:pPr>
      <w:r w:rsidRPr="00137230">
        <w:rPr>
          <w:rStyle w:val="CommentReference"/>
          <w:b w:val="0"/>
          <w:szCs w:val="20"/>
        </w:rPr>
        <w:t>Source: Table B.6-20, p53 of the submission.</w:t>
      </w:r>
    </w:p>
    <w:p w:rsidR="00137230" w:rsidRPr="00137230" w:rsidRDefault="00137230" w:rsidP="005A7E75">
      <w:pPr>
        <w:widowControl/>
        <w:ind w:left="709"/>
        <w:jc w:val="left"/>
        <w:rPr>
          <w:rStyle w:val="CommentReference"/>
          <w:b w:val="0"/>
          <w:szCs w:val="20"/>
          <w:lang w:eastAsia="zh-CN"/>
        </w:rPr>
      </w:pPr>
      <w:r w:rsidRPr="00137230">
        <w:rPr>
          <w:rFonts w:ascii="Arial Narrow" w:hAnsi="Arial Narrow"/>
          <w:sz w:val="20"/>
        </w:rPr>
        <w:t xml:space="preserve">Note: </w:t>
      </w:r>
      <w:r w:rsidRPr="00137230">
        <w:rPr>
          <w:rFonts w:ascii="Arial Narrow" w:hAnsi="Arial Narrow"/>
          <w:sz w:val="20"/>
          <w:lang w:eastAsia="zh-CN"/>
        </w:rPr>
        <w:t>PT= Pertussis Toxoid</w:t>
      </w:r>
      <w:r w:rsidRPr="00137230">
        <w:rPr>
          <w:rFonts w:ascii="Arial Narrow" w:hAnsi="Arial Narrow"/>
          <w:sz w:val="20"/>
        </w:rPr>
        <w:t xml:space="preserve">; FHA= Filamentous </w:t>
      </w:r>
      <w:proofErr w:type="spellStart"/>
      <w:proofErr w:type="gramStart"/>
      <w:r w:rsidRPr="00137230">
        <w:rPr>
          <w:rFonts w:ascii="Arial Narrow" w:hAnsi="Arial Narrow"/>
          <w:sz w:val="20"/>
        </w:rPr>
        <w:t>Haemagglutinin</w:t>
      </w:r>
      <w:proofErr w:type="spellEnd"/>
      <w:r w:rsidRPr="00137230">
        <w:rPr>
          <w:rFonts w:ascii="Arial Narrow" w:hAnsi="Arial Narrow"/>
          <w:sz w:val="20"/>
        </w:rPr>
        <w:t xml:space="preserve"> ;</w:t>
      </w:r>
      <w:proofErr w:type="gramEnd"/>
      <w:r w:rsidRPr="00137230">
        <w:rPr>
          <w:rFonts w:ascii="Arial Narrow" w:hAnsi="Arial Narrow"/>
          <w:sz w:val="20"/>
        </w:rPr>
        <w:t xml:space="preserve"> PRN= </w:t>
      </w:r>
      <w:proofErr w:type="spellStart"/>
      <w:r w:rsidRPr="00137230">
        <w:rPr>
          <w:rFonts w:ascii="Arial Narrow" w:hAnsi="Arial Narrow"/>
          <w:sz w:val="20"/>
        </w:rPr>
        <w:t>Pertactin</w:t>
      </w:r>
      <w:proofErr w:type="spellEnd"/>
      <w:r w:rsidRPr="00137230">
        <w:rPr>
          <w:rFonts w:ascii="Arial Narrow" w:hAnsi="Arial Narrow"/>
          <w:sz w:val="20"/>
        </w:rPr>
        <w:t>; GMT =</w:t>
      </w:r>
      <w:r w:rsidRPr="00137230">
        <w:rPr>
          <w:rFonts w:ascii="Arial Narrow" w:hAnsi="Arial Narrow"/>
          <w:sz w:val="20"/>
          <w:lang w:eastAsia="zh-CN"/>
        </w:rPr>
        <w:t xml:space="preserve"> Geometric Mean </w:t>
      </w:r>
      <w:proofErr w:type="spellStart"/>
      <w:r w:rsidRPr="00137230">
        <w:rPr>
          <w:rFonts w:ascii="Arial Narrow" w:hAnsi="Arial Narrow"/>
          <w:sz w:val="20"/>
          <w:lang w:eastAsia="zh-CN"/>
        </w:rPr>
        <w:t>Titer</w:t>
      </w:r>
      <w:proofErr w:type="spellEnd"/>
      <w:r w:rsidRPr="00137230">
        <w:rPr>
          <w:rFonts w:ascii="Arial Narrow" w:hAnsi="Arial Narrow"/>
          <w:sz w:val="20"/>
          <w:lang w:eastAsia="zh-CN"/>
        </w:rPr>
        <w:t>; Pre= pre-booster; Post= post-booster; NR= not reported.</w:t>
      </w:r>
    </w:p>
    <w:p w:rsidR="00AD3BA5" w:rsidRPr="00137230" w:rsidRDefault="00AD3BA5" w:rsidP="005A7E75">
      <w:pPr>
        <w:widowControl/>
        <w:ind w:left="709"/>
        <w:rPr>
          <w:rStyle w:val="CommentReference"/>
          <w:b w:val="0"/>
          <w:szCs w:val="20"/>
        </w:rPr>
      </w:pPr>
    </w:p>
    <w:p w:rsidR="00AD3BA5" w:rsidRPr="00137230" w:rsidRDefault="00AD3BA5" w:rsidP="005A7E75">
      <w:pPr>
        <w:widowControl/>
        <w:ind w:left="709"/>
        <w:rPr>
          <w:rStyle w:val="CommentReference"/>
          <w:szCs w:val="20"/>
        </w:rPr>
      </w:pPr>
      <w:r w:rsidRPr="00137230">
        <w:rPr>
          <w:rStyle w:val="CommentReference"/>
          <w:szCs w:val="20"/>
        </w:rPr>
        <w:t xml:space="preserve">Table </w:t>
      </w:r>
      <w:r w:rsidR="00992A64" w:rsidRPr="00137230">
        <w:rPr>
          <w:rStyle w:val="CommentReference"/>
          <w:szCs w:val="20"/>
        </w:rPr>
        <w:t>7</w:t>
      </w:r>
      <w:r w:rsidRPr="00137230">
        <w:rPr>
          <w:rStyle w:val="CommentReference"/>
          <w:szCs w:val="20"/>
        </w:rPr>
        <w:t>: Naïve comparison of GMT/GMC diphtheria and tetanus antigens</w:t>
      </w:r>
    </w:p>
    <w:tbl>
      <w:tblPr>
        <w:tblStyle w:val="TableGrid"/>
        <w:tblW w:w="4678" w:type="pct"/>
        <w:tblInd w:w="817" w:type="dxa"/>
        <w:tblLook w:val="04A0" w:firstRow="1" w:lastRow="0" w:firstColumn="1" w:lastColumn="0" w:noHBand="0" w:noVBand="1"/>
        <w:tblCaption w:val="Table 7: Naïve comparison of GMT/GMC diphtheria and tetanus antigens"/>
        <w:tblDescription w:val="The table shows the results of the naive comparison of GMT/GMC diphtheria and tetanus antigens"/>
      </w:tblPr>
      <w:tblGrid>
        <w:gridCol w:w="1365"/>
        <w:gridCol w:w="1820"/>
        <w:gridCol w:w="1821"/>
        <w:gridCol w:w="1821"/>
        <w:gridCol w:w="1821"/>
      </w:tblGrid>
      <w:tr w:rsidR="00AD3BA5" w:rsidRPr="00137230" w:rsidTr="000779C2">
        <w:trPr>
          <w:tblHeader/>
        </w:trPr>
        <w:tc>
          <w:tcPr>
            <w:tcW w:w="789" w:type="pct"/>
            <w:shd w:val="clear" w:color="auto" w:fill="auto"/>
            <w:vAlign w:val="center"/>
          </w:tcPr>
          <w:p w:rsidR="00AD3BA5" w:rsidRPr="00137230" w:rsidRDefault="00AD3BA5" w:rsidP="005A7E75">
            <w:pPr>
              <w:widowControl/>
              <w:jc w:val="left"/>
              <w:rPr>
                <w:rStyle w:val="CommentReference"/>
                <w:szCs w:val="20"/>
              </w:rPr>
            </w:pPr>
          </w:p>
        </w:tc>
        <w:tc>
          <w:tcPr>
            <w:tcW w:w="2105" w:type="pct"/>
            <w:gridSpan w:val="2"/>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DT</w:t>
            </w:r>
          </w:p>
        </w:tc>
        <w:tc>
          <w:tcPr>
            <w:tcW w:w="2105" w:type="pct"/>
            <w:gridSpan w:val="2"/>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TT</w:t>
            </w: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GMT (95% CI)</w:t>
            </w:r>
          </w:p>
        </w:tc>
        <w:tc>
          <w:tcPr>
            <w:tcW w:w="1052"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Pre</w:t>
            </w:r>
          </w:p>
        </w:tc>
        <w:tc>
          <w:tcPr>
            <w:tcW w:w="1053"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Post</w:t>
            </w:r>
          </w:p>
        </w:tc>
        <w:tc>
          <w:tcPr>
            <w:tcW w:w="1053"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Pre</w:t>
            </w:r>
          </w:p>
        </w:tc>
        <w:tc>
          <w:tcPr>
            <w:tcW w:w="1053" w:type="pct"/>
            <w:shd w:val="clear" w:color="auto" w:fill="auto"/>
            <w:vAlign w:val="center"/>
          </w:tcPr>
          <w:p w:rsidR="00AD3BA5" w:rsidRPr="00137230" w:rsidRDefault="00AD3BA5" w:rsidP="005A7E75">
            <w:pPr>
              <w:widowControl/>
              <w:jc w:val="left"/>
              <w:rPr>
                <w:rStyle w:val="CommentReference"/>
                <w:szCs w:val="20"/>
              </w:rPr>
            </w:pPr>
            <w:r w:rsidRPr="00137230">
              <w:rPr>
                <w:rStyle w:val="CommentReference"/>
                <w:szCs w:val="20"/>
              </w:rPr>
              <w:t>Post</w:t>
            </w: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szCs w:val="20"/>
              </w:rPr>
            </w:pPr>
            <w:proofErr w:type="spellStart"/>
            <w:r w:rsidRPr="00137230">
              <w:rPr>
                <w:rStyle w:val="CommentReference"/>
                <w:szCs w:val="20"/>
              </w:rPr>
              <w:t>Tripacel</w:t>
            </w:r>
            <w:proofErr w:type="spellEnd"/>
          </w:p>
        </w:tc>
        <w:tc>
          <w:tcPr>
            <w:tcW w:w="1052" w:type="pct"/>
            <w:shd w:val="clear" w:color="auto" w:fill="auto"/>
            <w:vAlign w:val="center"/>
          </w:tcPr>
          <w:p w:rsidR="00AD3BA5" w:rsidRPr="00137230" w:rsidRDefault="00AD3BA5" w:rsidP="005A7E75">
            <w:pPr>
              <w:widowControl/>
              <w:jc w:val="left"/>
              <w:rPr>
                <w:rStyle w:val="CommentReference"/>
                <w:b w:val="0"/>
                <w:szCs w:val="20"/>
              </w:rPr>
            </w:pPr>
          </w:p>
        </w:tc>
        <w:tc>
          <w:tcPr>
            <w:tcW w:w="1053" w:type="pct"/>
            <w:shd w:val="clear" w:color="auto" w:fill="auto"/>
            <w:vAlign w:val="center"/>
          </w:tcPr>
          <w:p w:rsidR="00AD3BA5" w:rsidRPr="00137230" w:rsidRDefault="00AD3BA5" w:rsidP="005A7E75">
            <w:pPr>
              <w:widowControl/>
              <w:jc w:val="left"/>
              <w:rPr>
                <w:rStyle w:val="CommentReference"/>
                <w:b w:val="0"/>
                <w:szCs w:val="20"/>
              </w:rPr>
            </w:pPr>
          </w:p>
        </w:tc>
        <w:tc>
          <w:tcPr>
            <w:tcW w:w="1053" w:type="pct"/>
            <w:shd w:val="clear" w:color="auto" w:fill="auto"/>
            <w:vAlign w:val="center"/>
          </w:tcPr>
          <w:p w:rsidR="00AD3BA5" w:rsidRPr="00137230" w:rsidRDefault="00AD3BA5" w:rsidP="005A7E75">
            <w:pPr>
              <w:widowControl/>
              <w:jc w:val="left"/>
              <w:rPr>
                <w:rStyle w:val="CommentReference"/>
                <w:b w:val="0"/>
                <w:szCs w:val="20"/>
              </w:rPr>
            </w:pPr>
          </w:p>
        </w:tc>
        <w:tc>
          <w:tcPr>
            <w:tcW w:w="1053" w:type="pct"/>
            <w:shd w:val="clear" w:color="auto" w:fill="auto"/>
            <w:vAlign w:val="center"/>
          </w:tcPr>
          <w:p w:rsidR="00AD3BA5" w:rsidRPr="00137230" w:rsidRDefault="00AD3BA5" w:rsidP="005A7E75">
            <w:pPr>
              <w:widowControl/>
              <w:jc w:val="left"/>
              <w:rPr>
                <w:rStyle w:val="CommentReference"/>
                <w:b w:val="0"/>
                <w:szCs w:val="20"/>
              </w:rPr>
            </w:pP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CANADA II</w:t>
            </w:r>
          </w:p>
        </w:tc>
        <w:tc>
          <w:tcPr>
            <w:tcW w:w="1052"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0.11 (0.10, 0.13)</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5.98 (5.30, 6.74)</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0.19 (0.17, 0.21)</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3.57 (3.32, 3.83)</w:t>
            </w: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b w:val="0"/>
                <w:szCs w:val="20"/>
              </w:rPr>
            </w:pPr>
            <w:proofErr w:type="spellStart"/>
            <w:r w:rsidRPr="00137230">
              <w:rPr>
                <w:rStyle w:val="CommentReference"/>
                <w:b w:val="0"/>
                <w:szCs w:val="20"/>
              </w:rPr>
              <w:t>Halperin</w:t>
            </w:r>
            <w:proofErr w:type="spellEnd"/>
            <w:r w:rsidRPr="00137230">
              <w:rPr>
                <w:rStyle w:val="CommentReference"/>
                <w:b w:val="0"/>
                <w:szCs w:val="20"/>
              </w:rPr>
              <w:t xml:space="preserve"> 1995</w:t>
            </w:r>
          </w:p>
        </w:tc>
        <w:tc>
          <w:tcPr>
            <w:tcW w:w="1052"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0.69 (0.47, 1.02)</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5.51 (3.73, 8.13)</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0.20 (0.13, 0.28)</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3.46 (2.66, 4.50)</w:t>
            </w: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PHASE IIC</w:t>
            </w:r>
          </w:p>
        </w:tc>
        <w:tc>
          <w:tcPr>
            <w:tcW w:w="1052"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0.12 (0.06, 0.26)</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5.9 (1.91, 18.0)</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0.27 (0.09, 0.85)</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6.0 (3.95, 9.13)</w:t>
            </w: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Chatterjee 2012</w:t>
            </w:r>
          </w:p>
        </w:tc>
        <w:tc>
          <w:tcPr>
            <w:tcW w:w="1052"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0.32 (NR)</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5.34 (NR)</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0.97 (NR)</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5.83 (NR)</w:t>
            </w: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Guerra 2009</w:t>
            </w:r>
          </w:p>
        </w:tc>
        <w:tc>
          <w:tcPr>
            <w:tcW w:w="1052"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0.57 (0.51, 0.64)</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5.69 (5.11, 6.34)</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0.50 (0.45, 0.54)</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4.98 (4.61, 5.37)</w:t>
            </w: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PERTB9301</w:t>
            </w:r>
          </w:p>
        </w:tc>
        <w:tc>
          <w:tcPr>
            <w:tcW w:w="1052"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0.05 (0.03, 0.08)</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3.0 (1.96, 4.70)</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0.23 (0.15, 0.36)</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5.7 (4.54, 7.28)</w:t>
            </w: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b w:val="0"/>
                <w:szCs w:val="20"/>
              </w:rPr>
            </w:pPr>
            <w:proofErr w:type="spellStart"/>
            <w:r w:rsidRPr="00137230">
              <w:rPr>
                <w:rStyle w:val="CommentReference"/>
                <w:b w:val="0"/>
                <w:szCs w:val="20"/>
              </w:rPr>
              <w:t>Halperin</w:t>
            </w:r>
            <w:proofErr w:type="spellEnd"/>
            <w:r w:rsidRPr="00137230">
              <w:rPr>
                <w:rStyle w:val="CommentReference"/>
                <w:b w:val="0"/>
                <w:szCs w:val="20"/>
              </w:rPr>
              <w:t xml:space="preserve"> 1994</w:t>
            </w:r>
          </w:p>
        </w:tc>
        <w:tc>
          <w:tcPr>
            <w:tcW w:w="1052"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0.65 (NR)</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17.61 (NR)</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0.18 (NR)</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5.15 (NR)</w:t>
            </w:r>
          </w:p>
        </w:tc>
      </w:tr>
      <w:tr w:rsidR="00AD3BA5" w:rsidRPr="00137230" w:rsidTr="00CC4C12">
        <w:tc>
          <w:tcPr>
            <w:tcW w:w="789" w:type="pct"/>
            <w:shd w:val="clear" w:color="auto" w:fill="auto"/>
            <w:vAlign w:val="center"/>
          </w:tcPr>
          <w:p w:rsidR="00AD3BA5" w:rsidRPr="007D125E" w:rsidRDefault="00AD3BA5" w:rsidP="005A7E75">
            <w:pPr>
              <w:widowControl/>
              <w:jc w:val="left"/>
              <w:rPr>
                <w:rStyle w:val="CommentReference"/>
                <w:szCs w:val="20"/>
              </w:rPr>
            </w:pPr>
            <w:r w:rsidRPr="007D125E">
              <w:rPr>
                <w:rStyle w:val="CommentReference"/>
                <w:szCs w:val="20"/>
              </w:rPr>
              <w:t>Infanrix</w:t>
            </w:r>
          </w:p>
        </w:tc>
        <w:tc>
          <w:tcPr>
            <w:tcW w:w="1052" w:type="pct"/>
            <w:shd w:val="clear" w:color="auto" w:fill="auto"/>
            <w:vAlign w:val="center"/>
          </w:tcPr>
          <w:p w:rsidR="00AD3BA5" w:rsidRPr="00137230" w:rsidRDefault="00AD3BA5" w:rsidP="005A7E75">
            <w:pPr>
              <w:widowControl/>
              <w:jc w:val="center"/>
              <w:rPr>
                <w:rStyle w:val="CommentReference"/>
                <w:b w:val="0"/>
                <w:szCs w:val="20"/>
              </w:rPr>
            </w:pPr>
          </w:p>
        </w:tc>
        <w:tc>
          <w:tcPr>
            <w:tcW w:w="1053" w:type="pct"/>
            <w:shd w:val="clear" w:color="auto" w:fill="auto"/>
            <w:vAlign w:val="center"/>
          </w:tcPr>
          <w:p w:rsidR="00AD3BA5" w:rsidRPr="00137230" w:rsidRDefault="00AD3BA5" w:rsidP="005A7E75">
            <w:pPr>
              <w:widowControl/>
              <w:jc w:val="center"/>
              <w:rPr>
                <w:rStyle w:val="CommentReference"/>
                <w:b w:val="0"/>
                <w:szCs w:val="20"/>
              </w:rPr>
            </w:pPr>
          </w:p>
        </w:tc>
        <w:tc>
          <w:tcPr>
            <w:tcW w:w="1053" w:type="pct"/>
            <w:shd w:val="clear" w:color="auto" w:fill="auto"/>
            <w:vAlign w:val="center"/>
          </w:tcPr>
          <w:p w:rsidR="00AD3BA5" w:rsidRPr="00137230" w:rsidRDefault="00AD3BA5" w:rsidP="005A7E75">
            <w:pPr>
              <w:widowControl/>
              <w:jc w:val="center"/>
              <w:rPr>
                <w:rStyle w:val="CommentReference"/>
                <w:b w:val="0"/>
                <w:szCs w:val="20"/>
              </w:rPr>
            </w:pPr>
          </w:p>
        </w:tc>
        <w:tc>
          <w:tcPr>
            <w:tcW w:w="1053" w:type="pct"/>
            <w:shd w:val="clear" w:color="auto" w:fill="auto"/>
            <w:vAlign w:val="center"/>
          </w:tcPr>
          <w:p w:rsidR="00AD3BA5" w:rsidRPr="00137230" w:rsidRDefault="00AD3BA5" w:rsidP="005A7E75">
            <w:pPr>
              <w:widowControl/>
              <w:jc w:val="center"/>
              <w:rPr>
                <w:rStyle w:val="CommentReference"/>
                <w:b w:val="0"/>
                <w:szCs w:val="20"/>
              </w:rPr>
            </w:pP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b w:val="0"/>
                <w:szCs w:val="20"/>
              </w:rPr>
            </w:pPr>
            <w:proofErr w:type="spellStart"/>
            <w:r w:rsidRPr="00137230">
              <w:rPr>
                <w:rStyle w:val="CommentReference"/>
                <w:b w:val="0"/>
                <w:szCs w:val="20"/>
              </w:rPr>
              <w:t>Pichichero</w:t>
            </w:r>
            <w:proofErr w:type="spellEnd"/>
            <w:r w:rsidRPr="00137230">
              <w:rPr>
                <w:rStyle w:val="CommentReference"/>
                <w:b w:val="0"/>
                <w:szCs w:val="20"/>
              </w:rPr>
              <w:t xml:space="preserve"> 1996</w:t>
            </w:r>
          </w:p>
        </w:tc>
        <w:tc>
          <w:tcPr>
            <w:tcW w:w="1052"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4.8 (3.4, 6.6)</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12.7 (10.6, 15.2)</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0.16 (0.1, 0.2)</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4.9 (4.0, 5.9)</w:t>
            </w:r>
          </w:p>
        </w:tc>
      </w:tr>
      <w:tr w:rsidR="00AD3BA5" w:rsidRPr="00137230" w:rsidTr="00CC4C12">
        <w:tc>
          <w:tcPr>
            <w:tcW w:w="789" w:type="pct"/>
            <w:shd w:val="clear" w:color="auto" w:fill="auto"/>
            <w:vAlign w:val="center"/>
          </w:tcPr>
          <w:p w:rsidR="00AD3BA5" w:rsidRPr="00137230" w:rsidRDefault="00AD3BA5" w:rsidP="005A7E75">
            <w:pPr>
              <w:widowControl/>
              <w:jc w:val="left"/>
              <w:rPr>
                <w:rStyle w:val="CommentReference"/>
                <w:b w:val="0"/>
                <w:szCs w:val="20"/>
              </w:rPr>
            </w:pPr>
            <w:r w:rsidRPr="00137230">
              <w:rPr>
                <w:rStyle w:val="CommentReference"/>
                <w:b w:val="0"/>
                <w:szCs w:val="20"/>
              </w:rPr>
              <w:t>Schmitt 1998</w:t>
            </w:r>
          </w:p>
        </w:tc>
        <w:tc>
          <w:tcPr>
            <w:tcW w:w="1052"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1.08 (1.01, 1.17)</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4.49 (3.73, 5.41)</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1.27 (1.18, 1.37)</w:t>
            </w:r>
          </w:p>
        </w:tc>
        <w:tc>
          <w:tcPr>
            <w:tcW w:w="1053" w:type="pct"/>
            <w:shd w:val="clear" w:color="auto" w:fill="auto"/>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6.80 (5.86, 7.88)</w:t>
            </w:r>
          </w:p>
        </w:tc>
      </w:tr>
      <w:tr w:rsidR="00AD3BA5" w:rsidRPr="00137230" w:rsidTr="00CC4C12">
        <w:tc>
          <w:tcPr>
            <w:tcW w:w="789" w:type="pct"/>
            <w:vAlign w:val="center"/>
          </w:tcPr>
          <w:p w:rsidR="00AD3BA5" w:rsidRPr="00137230" w:rsidRDefault="00AD3BA5" w:rsidP="005A7E75">
            <w:pPr>
              <w:widowControl/>
              <w:jc w:val="left"/>
              <w:rPr>
                <w:rStyle w:val="CommentReference"/>
                <w:b w:val="0"/>
                <w:szCs w:val="20"/>
              </w:rPr>
            </w:pPr>
            <w:r w:rsidRPr="00137230">
              <w:rPr>
                <w:rStyle w:val="CommentReference"/>
                <w:b w:val="0"/>
                <w:szCs w:val="20"/>
              </w:rPr>
              <w:t>Schmitt 1996</w:t>
            </w:r>
          </w:p>
        </w:tc>
        <w:tc>
          <w:tcPr>
            <w:tcW w:w="1052" w:type="pct"/>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0.65 (NR)</w:t>
            </w:r>
          </w:p>
        </w:tc>
        <w:tc>
          <w:tcPr>
            <w:tcW w:w="1053" w:type="pct"/>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17.61 (NR)</w:t>
            </w:r>
          </w:p>
        </w:tc>
        <w:tc>
          <w:tcPr>
            <w:tcW w:w="1053" w:type="pct"/>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0.18 (NR)</w:t>
            </w:r>
          </w:p>
        </w:tc>
        <w:tc>
          <w:tcPr>
            <w:tcW w:w="1053" w:type="pct"/>
            <w:vAlign w:val="center"/>
          </w:tcPr>
          <w:p w:rsidR="00AD3BA5" w:rsidRPr="00137230" w:rsidRDefault="00AD3BA5" w:rsidP="005A7E75">
            <w:pPr>
              <w:widowControl/>
              <w:jc w:val="center"/>
              <w:rPr>
                <w:rStyle w:val="CommentReference"/>
                <w:b w:val="0"/>
                <w:szCs w:val="20"/>
              </w:rPr>
            </w:pPr>
            <w:r w:rsidRPr="00137230">
              <w:rPr>
                <w:rStyle w:val="CommentReference"/>
                <w:b w:val="0"/>
                <w:szCs w:val="20"/>
              </w:rPr>
              <w:t>5.15 (NR)</w:t>
            </w:r>
          </w:p>
        </w:tc>
      </w:tr>
    </w:tbl>
    <w:p w:rsidR="00AD3BA5" w:rsidRPr="00137230" w:rsidRDefault="00AD3BA5" w:rsidP="005A7E75">
      <w:pPr>
        <w:widowControl/>
        <w:ind w:left="709"/>
        <w:rPr>
          <w:rStyle w:val="CommentReference"/>
          <w:b w:val="0"/>
          <w:szCs w:val="20"/>
        </w:rPr>
      </w:pPr>
      <w:r w:rsidRPr="00137230">
        <w:rPr>
          <w:rStyle w:val="CommentReference"/>
          <w:b w:val="0"/>
          <w:szCs w:val="20"/>
        </w:rPr>
        <w:t>Source: Table B.6-21, p54 of the submission.</w:t>
      </w:r>
    </w:p>
    <w:p w:rsidR="00137230" w:rsidRPr="00137230" w:rsidRDefault="00137230" w:rsidP="005A7E75">
      <w:pPr>
        <w:widowControl/>
        <w:ind w:left="709"/>
        <w:jc w:val="left"/>
        <w:rPr>
          <w:rStyle w:val="CommentReference"/>
          <w:b w:val="0"/>
          <w:szCs w:val="20"/>
        </w:rPr>
      </w:pPr>
      <w:r w:rsidRPr="00137230">
        <w:rPr>
          <w:rFonts w:ascii="Arial Narrow" w:hAnsi="Arial Narrow"/>
          <w:sz w:val="20"/>
        </w:rPr>
        <w:t xml:space="preserve">Note: </w:t>
      </w:r>
      <w:r w:rsidRPr="00137230">
        <w:rPr>
          <w:rFonts w:ascii="Arial Narrow" w:hAnsi="Arial Narrow"/>
          <w:sz w:val="20"/>
          <w:lang w:eastAsia="zh-CN"/>
        </w:rPr>
        <w:t>PT= Pertussis Toxoid</w:t>
      </w:r>
      <w:r w:rsidRPr="00137230">
        <w:rPr>
          <w:rFonts w:ascii="Arial Narrow" w:hAnsi="Arial Narrow"/>
          <w:sz w:val="20"/>
        </w:rPr>
        <w:t xml:space="preserve">; FHA= Filamentous </w:t>
      </w:r>
      <w:proofErr w:type="spellStart"/>
      <w:proofErr w:type="gramStart"/>
      <w:r w:rsidRPr="00137230">
        <w:rPr>
          <w:rFonts w:ascii="Arial Narrow" w:hAnsi="Arial Narrow"/>
          <w:sz w:val="20"/>
        </w:rPr>
        <w:t>Haemagglutinin</w:t>
      </w:r>
      <w:proofErr w:type="spellEnd"/>
      <w:r w:rsidRPr="00137230">
        <w:rPr>
          <w:rFonts w:ascii="Arial Narrow" w:hAnsi="Arial Narrow"/>
          <w:sz w:val="20"/>
        </w:rPr>
        <w:t xml:space="preserve"> ;</w:t>
      </w:r>
      <w:proofErr w:type="gramEnd"/>
      <w:r w:rsidRPr="00137230">
        <w:rPr>
          <w:rFonts w:ascii="Arial Narrow" w:hAnsi="Arial Narrow"/>
          <w:sz w:val="20"/>
        </w:rPr>
        <w:t xml:space="preserve"> PRN= </w:t>
      </w:r>
      <w:proofErr w:type="spellStart"/>
      <w:r w:rsidRPr="00137230">
        <w:rPr>
          <w:rFonts w:ascii="Arial Narrow" w:hAnsi="Arial Narrow"/>
          <w:sz w:val="20"/>
        </w:rPr>
        <w:t>Pertactin</w:t>
      </w:r>
      <w:proofErr w:type="spellEnd"/>
      <w:r w:rsidRPr="00137230">
        <w:rPr>
          <w:rFonts w:ascii="Arial Narrow" w:hAnsi="Arial Narrow"/>
          <w:sz w:val="20"/>
        </w:rPr>
        <w:t>; GMT</w:t>
      </w:r>
      <w:r w:rsidR="006B7162">
        <w:rPr>
          <w:rFonts w:ascii="Arial Narrow" w:hAnsi="Arial Narrow"/>
          <w:sz w:val="20"/>
        </w:rPr>
        <w:t>/GMC</w:t>
      </w:r>
      <w:r w:rsidRPr="00137230">
        <w:rPr>
          <w:rFonts w:ascii="Arial Narrow" w:hAnsi="Arial Narrow"/>
          <w:sz w:val="20"/>
        </w:rPr>
        <w:t xml:space="preserve"> =</w:t>
      </w:r>
      <w:r w:rsidRPr="00137230">
        <w:rPr>
          <w:rFonts w:ascii="Arial Narrow" w:hAnsi="Arial Narrow"/>
          <w:sz w:val="20"/>
          <w:lang w:eastAsia="zh-CN"/>
        </w:rPr>
        <w:t xml:space="preserve"> Geometric Mean </w:t>
      </w:r>
      <w:proofErr w:type="spellStart"/>
      <w:r w:rsidRPr="00137230">
        <w:rPr>
          <w:rFonts w:ascii="Arial Narrow" w:hAnsi="Arial Narrow"/>
          <w:sz w:val="20"/>
          <w:lang w:eastAsia="zh-CN"/>
        </w:rPr>
        <w:t>Titer</w:t>
      </w:r>
      <w:proofErr w:type="spellEnd"/>
      <w:r w:rsidR="006B7162">
        <w:rPr>
          <w:rFonts w:ascii="Arial Narrow" w:hAnsi="Arial Narrow"/>
          <w:sz w:val="20"/>
          <w:lang w:eastAsia="zh-CN"/>
        </w:rPr>
        <w:t>/Geometric Mean Concentration</w:t>
      </w:r>
      <w:r w:rsidRPr="00137230">
        <w:rPr>
          <w:rFonts w:ascii="Arial Narrow" w:hAnsi="Arial Narrow"/>
          <w:sz w:val="20"/>
          <w:lang w:eastAsia="zh-CN"/>
        </w:rPr>
        <w:t>; Pre= pre-booster; Post= post-booster; NR= not reported.</w:t>
      </w:r>
    </w:p>
    <w:p w:rsidR="00137230" w:rsidRPr="00137230" w:rsidRDefault="00137230" w:rsidP="005A7E75">
      <w:pPr>
        <w:widowControl/>
        <w:ind w:left="709"/>
        <w:rPr>
          <w:rStyle w:val="CommentReference"/>
          <w:b w:val="0"/>
          <w:szCs w:val="20"/>
        </w:rPr>
      </w:pPr>
    </w:p>
    <w:p w:rsidR="00AD3BA5" w:rsidRDefault="00B81C17" w:rsidP="00B81C17">
      <w:pPr>
        <w:pStyle w:val="BodyText"/>
        <w:widowControl/>
        <w:ind w:left="709" w:hanging="709"/>
        <w:jc w:val="both"/>
      </w:pPr>
      <w:r>
        <w:t>6.11</w:t>
      </w:r>
      <w:r>
        <w:tab/>
      </w:r>
      <w:r w:rsidR="00137230" w:rsidRPr="00137230">
        <w:t xml:space="preserve">The naïve comparisons of effectiveness suggest that DTaP is likely to confer similar </w:t>
      </w:r>
      <w:r w:rsidR="0009249D">
        <w:t>immunogenicity</w:t>
      </w:r>
      <w:r w:rsidR="00137230" w:rsidRPr="00137230">
        <w:t xml:space="preserve"> outcomes to DTPa and therefore imply non-inferiority.</w:t>
      </w:r>
      <w:r w:rsidR="00067A43">
        <w:t xml:space="preserve"> </w:t>
      </w:r>
      <w:r w:rsidR="009D18E3" w:rsidRPr="00847F85">
        <w:t>The ESC considered,</w:t>
      </w:r>
      <w:r w:rsidR="00666ABE" w:rsidRPr="00847F85">
        <w:t xml:space="preserve"> h</w:t>
      </w:r>
      <w:r w:rsidR="00067A43" w:rsidRPr="00847F85">
        <w:t xml:space="preserve">owever, </w:t>
      </w:r>
      <w:r w:rsidR="009D18E3" w:rsidRPr="00847F85">
        <w:t xml:space="preserve">that, </w:t>
      </w:r>
      <w:r w:rsidR="00067A43" w:rsidRPr="00847F85">
        <w:t xml:space="preserve">secondary to the limitations </w:t>
      </w:r>
      <w:r w:rsidR="0049679A" w:rsidRPr="00847F85">
        <w:t>of trial exchangeability (described above)</w:t>
      </w:r>
      <w:r w:rsidR="009D18E3" w:rsidRPr="00847F85">
        <w:t>,</w:t>
      </w:r>
      <w:r w:rsidR="00666ABE" w:rsidRPr="00847F85">
        <w:t xml:space="preserve"> these results</w:t>
      </w:r>
      <w:r w:rsidR="00067A43" w:rsidRPr="00847F85">
        <w:t xml:space="preserve"> may imply non-inferiority only insofar that they do not </w:t>
      </w:r>
      <w:r w:rsidR="009D18E3" w:rsidRPr="00847F85">
        <w:t>explicitly</w:t>
      </w:r>
      <w:r w:rsidR="00067A43" w:rsidRPr="00847F85">
        <w:t xml:space="preserve"> contradict the results of the primary </w:t>
      </w:r>
      <w:proofErr w:type="spellStart"/>
      <w:r w:rsidR="00067A43" w:rsidRPr="00847F85">
        <w:t>Pichichero</w:t>
      </w:r>
      <w:proofErr w:type="spellEnd"/>
      <w:r w:rsidR="00067A43" w:rsidRPr="00847F85">
        <w:t xml:space="preserve"> study. </w:t>
      </w:r>
      <w:r w:rsidR="009D18E3" w:rsidRPr="00847F85">
        <w:t>The ESC suggested a</w:t>
      </w:r>
      <w:r w:rsidR="00067A43" w:rsidRPr="00847F85">
        <w:t xml:space="preserve"> formal indirect comparison across a smaller subset of the more contemporary and comparable </w:t>
      </w:r>
      <w:r w:rsidR="005A4921" w:rsidRPr="00847F85">
        <w:t xml:space="preserve">trials </w:t>
      </w:r>
      <w:r w:rsidR="00067A43" w:rsidRPr="00847F85">
        <w:t>may have been preferable to no formal indirect comparison, in terms of further corroborating the observation</w:t>
      </w:r>
      <w:r w:rsidR="00FE664D">
        <w:t xml:space="preserve"> of non-inferior effectiveness.</w:t>
      </w:r>
    </w:p>
    <w:p w:rsidR="00FE664D" w:rsidRDefault="00FE664D" w:rsidP="00B81C17">
      <w:pPr>
        <w:pStyle w:val="BodyText"/>
        <w:widowControl/>
        <w:ind w:left="709" w:hanging="709"/>
        <w:jc w:val="both"/>
      </w:pPr>
    </w:p>
    <w:p w:rsidR="00B60939" w:rsidRPr="00137230" w:rsidRDefault="00B60939" w:rsidP="00FE664D">
      <w:pPr>
        <w:pStyle w:val="Heading2"/>
        <w:keepNext/>
        <w:widowControl/>
        <w:rPr>
          <w:i/>
        </w:rPr>
      </w:pPr>
      <w:bookmarkStart w:id="7" w:name="_Toc419467341"/>
      <w:r w:rsidRPr="00137230">
        <w:rPr>
          <w:i/>
        </w:rPr>
        <w:lastRenderedPageBreak/>
        <w:t>Comparative harms</w:t>
      </w:r>
      <w:bookmarkEnd w:id="7"/>
    </w:p>
    <w:p w:rsidR="00B60939" w:rsidRPr="00137230" w:rsidRDefault="00B60939" w:rsidP="00FE664D">
      <w:pPr>
        <w:keepNext/>
        <w:widowControl/>
        <w:ind w:left="720" w:hanging="720"/>
        <w:rPr>
          <w:szCs w:val="22"/>
        </w:rPr>
      </w:pPr>
    </w:p>
    <w:p w:rsidR="00E808BA" w:rsidRPr="00465488" w:rsidRDefault="00B81C17" w:rsidP="00B81C17">
      <w:pPr>
        <w:pStyle w:val="BodyText"/>
        <w:widowControl/>
        <w:ind w:left="709" w:hanging="709"/>
        <w:jc w:val="both"/>
      </w:pPr>
      <w:r>
        <w:t>6.12</w:t>
      </w:r>
      <w:r>
        <w:tab/>
      </w:r>
      <w:r w:rsidR="00AD3BA5" w:rsidRPr="00137230">
        <w:t>Table</w:t>
      </w:r>
      <w:r w:rsidR="0009249D">
        <w:t>s below</w:t>
      </w:r>
      <w:r w:rsidR="00AD3BA5" w:rsidRPr="00137230">
        <w:t xml:space="preserve"> present</w:t>
      </w:r>
      <w:r w:rsidR="0009249D">
        <w:t>ed</w:t>
      </w:r>
      <w:r w:rsidR="00AD3BA5" w:rsidRPr="00137230">
        <w:t xml:space="preserve"> the re</w:t>
      </w:r>
      <w:r w:rsidR="0009249D">
        <w:t xml:space="preserve">action data in </w:t>
      </w:r>
      <w:proofErr w:type="spellStart"/>
      <w:r w:rsidR="0009249D">
        <w:t>Pichichero</w:t>
      </w:r>
      <w:proofErr w:type="spellEnd"/>
      <w:r w:rsidR="0009249D">
        <w:t xml:space="preserve"> 1997 and the </w:t>
      </w:r>
      <w:r w:rsidR="00AD3BA5" w:rsidRPr="00137230">
        <w:t xml:space="preserve">results of </w:t>
      </w:r>
      <w:r w:rsidR="004117E5" w:rsidRPr="00137230">
        <w:t xml:space="preserve">the </w:t>
      </w:r>
      <w:r w:rsidR="00AD3BA5" w:rsidRPr="00137230">
        <w:t xml:space="preserve">naïve </w:t>
      </w:r>
      <w:r w:rsidR="002718A3" w:rsidRPr="00137230">
        <w:t>comparison</w:t>
      </w:r>
      <w:r w:rsidR="00AD3BA5" w:rsidRPr="00137230">
        <w:t xml:space="preserve"> of </w:t>
      </w:r>
      <w:proofErr w:type="spellStart"/>
      <w:r w:rsidR="00AD3BA5" w:rsidRPr="00137230">
        <w:t>reactogenicity</w:t>
      </w:r>
      <w:proofErr w:type="spellEnd"/>
      <w:r w:rsidR="00AD3BA5" w:rsidRPr="00137230">
        <w:t>.</w:t>
      </w:r>
      <w:r w:rsidR="00E808BA" w:rsidRPr="00137230">
        <w:t xml:space="preserve"> </w:t>
      </w:r>
    </w:p>
    <w:p w:rsidR="00E808BA" w:rsidRPr="00137230" w:rsidRDefault="00E808BA" w:rsidP="005A7E75">
      <w:pPr>
        <w:pStyle w:val="ListParagraph"/>
        <w:widowControl/>
        <w:rPr>
          <w:i/>
          <w:sz w:val="23"/>
          <w:szCs w:val="23"/>
        </w:rPr>
      </w:pPr>
    </w:p>
    <w:p w:rsidR="00E808BA" w:rsidRPr="00AA5531" w:rsidRDefault="00B81C17" w:rsidP="00B81C17">
      <w:pPr>
        <w:pStyle w:val="BodyText"/>
        <w:widowControl/>
        <w:ind w:left="709" w:hanging="709"/>
        <w:jc w:val="both"/>
      </w:pPr>
      <w:r>
        <w:t>6.13</w:t>
      </w:r>
      <w:r>
        <w:tab/>
      </w:r>
      <w:r w:rsidR="00E808BA" w:rsidRPr="00AA5531">
        <w:t>Th</w:t>
      </w:r>
      <w:r w:rsidR="00137230" w:rsidRPr="00AA5531">
        <w:t>e results suggest that DTaP has a similar safety profile, compared to DTPa.</w:t>
      </w:r>
    </w:p>
    <w:p w:rsidR="00137230" w:rsidRPr="00137230" w:rsidRDefault="00137230" w:rsidP="005A7E75">
      <w:pPr>
        <w:pStyle w:val="ListParagraph"/>
        <w:widowControl/>
        <w:rPr>
          <w:szCs w:val="22"/>
        </w:rPr>
      </w:pPr>
    </w:p>
    <w:p w:rsidR="00AD3BA5" w:rsidRPr="00137230" w:rsidRDefault="00AD3BA5" w:rsidP="005A7E75">
      <w:pPr>
        <w:widowControl/>
        <w:ind w:left="720"/>
        <w:rPr>
          <w:rStyle w:val="CommentReference"/>
          <w:szCs w:val="20"/>
        </w:rPr>
      </w:pPr>
      <w:r w:rsidRPr="00137230">
        <w:rPr>
          <w:rStyle w:val="CommentReference"/>
          <w:szCs w:val="20"/>
        </w:rPr>
        <w:t xml:space="preserve">Table </w:t>
      </w:r>
      <w:r w:rsidR="00992A64" w:rsidRPr="00137230">
        <w:rPr>
          <w:rStyle w:val="CommentReference"/>
          <w:szCs w:val="20"/>
        </w:rPr>
        <w:t>8</w:t>
      </w:r>
      <w:r w:rsidRPr="00137230">
        <w:rPr>
          <w:rStyle w:val="CommentReference"/>
          <w:szCs w:val="20"/>
        </w:rPr>
        <w:t xml:space="preserve">: Summary of severe reaction data in </w:t>
      </w:r>
      <w:proofErr w:type="spellStart"/>
      <w:r w:rsidRPr="00137230">
        <w:rPr>
          <w:rStyle w:val="CommentReference"/>
          <w:szCs w:val="20"/>
        </w:rPr>
        <w:t>Pichichero</w:t>
      </w:r>
      <w:proofErr w:type="spellEnd"/>
      <w:r w:rsidRPr="00137230">
        <w:rPr>
          <w:rStyle w:val="CommentReference"/>
          <w:szCs w:val="20"/>
        </w:rPr>
        <w:t xml:space="preserve"> 1997</w:t>
      </w:r>
    </w:p>
    <w:tbl>
      <w:tblPr>
        <w:tblStyle w:val="TableGrid"/>
        <w:tblW w:w="8647" w:type="dxa"/>
        <w:tblInd w:w="817" w:type="dxa"/>
        <w:tblLook w:val="04A0" w:firstRow="1" w:lastRow="0" w:firstColumn="1" w:lastColumn="0" w:noHBand="0" w:noVBand="1"/>
        <w:tblCaption w:val="Table 8: Summary of severe reaction data in Pichichero 1997"/>
        <w:tblDescription w:val="The table shows the summary of severe reaction data in Pichichero 1997"/>
      </w:tblPr>
      <w:tblGrid>
        <w:gridCol w:w="1987"/>
        <w:gridCol w:w="3330"/>
        <w:gridCol w:w="3330"/>
      </w:tblGrid>
      <w:tr w:rsidR="00AD3BA5" w:rsidRPr="00137230" w:rsidTr="000779C2">
        <w:trPr>
          <w:tblHeader/>
        </w:trPr>
        <w:tc>
          <w:tcPr>
            <w:tcW w:w="1987" w:type="dxa"/>
            <w:shd w:val="clear" w:color="auto" w:fill="auto"/>
          </w:tcPr>
          <w:p w:rsidR="00AD3BA5" w:rsidRPr="00137230" w:rsidRDefault="00AD3BA5" w:rsidP="005A7E75">
            <w:pPr>
              <w:widowControl/>
              <w:rPr>
                <w:rStyle w:val="CommentReference"/>
                <w:szCs w:val="20"/>
              </w:rPr>
            </w:pPr>
          </w:p>
        </w:tc>
        <w:tc>
          <w:tcPr>
            <w:tcW w:w="3330" w:type="dxa"/>
            <w:shd w:val="clear" w:color="auto" w:fill="auto"/>
          </w:tcPr>
          <w:p w:rsidR="00AD3BA5" w:rsidRPr="00137230" w:rsidRDefault="00AD3BA5" w:rsidP="005A7E75">
            <w:pPr>
              <w:widowControl/>
              <w:rPr>
                <w:rStyle w:val="CommentReference"/>
                <w:szCs w:val="20"/>
              </w:rPr>
            </w:pPr>
            <w:proofErr w:type="spellStart"/>
            <w:r w:rsidRPr="00137230">
              <w:rPr>
                <w:rStyle w:val="CommentReference"/>
                <w:szCs w:val="20"/>
              </w:rPr>
              <w:t>Tripacel</w:t>
            </w:r>
            <w:proofErr w:type="spellEnd"/>
            <w:r w:rsidRPr="00137230">
              <w:rPr>
                <w:rStyle w:val="CommentReference"/>
                <w:szCs w:val="20"/>
              </w:rPr>
              <w:t xml:space="preserve"> (CLL-4F2/CLL-4F2) (N=75)</w:t>
            </w:r>
          </w:p>
        </w:tc>
        <w:tc>
          <w:tcPr>
            <w:tcW w:w="3330" w:type="dxa"/>
            <w:shd w:val="clear" w:color="auto" w:fill="auto"/>
          </w:tcPr>
          <w:p w:rsidR="00AD3BA5" w:rsidRPr="00137230" w:rsidRDefault="00AD3BA5" w:rsidP="005A7E75">
            <w:pPr>
              <w:widowControl/>
              <w:rPr>
                <w:rStyle w:val="CommentReference"/>
                <w:szCs w:val="20"/>
              </w:rPr>
            </w:pPr>
            <w:r w:rsidRPr="00137230">
              <w:rPr>
                <w:rStyle w:val="CommentReference"/>
                <w:szCs w:val="20"/>
              </w:rPr>
              <w:t>Infanrix (SKB-3P/SKB-3P) (N=76)</w:t>
            </w:r>
          </w:p>
        </w:tc>
      </w:tr>
      <w:tr w:rsidR="00AD3BA5" w:rsidRPr="00137230" w:rsidTr="00CC4C12">
        <w:tc>
          <w:tcPr>
            <w:tcW w:w="1987" w:type="dxa"/>
          </w:tcPr>
          <w:p w:rsidR="00AD3BA5" w:rsidRPr="00137230" w:rsidRDefault="00AD3BA5" w:rsidP="005A7E75">
            <w:pPr>
              <w:widowControl/>
              <w:rPr>
                <w:rStyle w:val="CommentReference"/>
                <w:b w:val="0"/>
                <w:szCs w:val="20"/>
              </w:rPr>
            </w:pPr>
            <w:r w:rsidRPr="00137230">
              <w:rPr>
                <w:rStyle w:val="CommentReference"/>
                <w:b w:val="0"/>
                <w:szCs w:val="20"/>
              </w:rPr>
              <w:t>Severe Irritability</w:t>
            </w:r>
          </w:p>
        </w:tc>
        <w:tc>
          <w:tcPr>
            <w:tcW w:w="3330" w:type="dxa"/>
          </w:tcPr>
          <w:p w:rsidR="00AD3BA5" w:rsidRPr="00137230" w:rsidRDefault="00AD3BA5" w:rsidP="005A7E75">
            <w:pPr>
              <w:widowControl/>
              <w:rPr>
                <w:rStyle w:val="CommentReference"/>
                <w:b w:val="0"/>
                <w:szCs w:val="20"/>
              </w:rPr>
            </w:pPr>
            <w:r w:rsidRPr="00137230">
              <w:rPr>
                <w:rStyle w:val="CommentReference"/>
                <w:b w:val="0"/>
                <w:szCs w:val="20"/>
              </w:rPr>
              <w:t>1 (1.3%)</w:t>
            </w:r>
          </w:p>
        </w:tc>
        <w:tc>
          <w:tcPr>
            <w:tcW w:w="3330" w:type="dxa"/>
          </w:tcPr>
          <w:p w:rsidR="00AD3BA5" w:rsidRPr="00137230" w:rsidRDefault="00AD3BA5" w:rsidP="005A7E75">
            <w:pPr>
              <w:widowControl/>
              <w:rPr>
                <w:rStyle w:val="CommentReference"/>
                <w:b w:val="0"/>
                <w:szCs w:val="20"/>
              </w:rPr>
            </w:pPr>
            <w:r w:rsidRPr="00137230">
              <w:rPr>
                <w:rStyle w:val="CommentReference"/>
                <w:b w:val="0"/>
                <w:szCs w:val="20"/>
              </w:rPr>
              <w:t>1 (1.3%)</w:t>
            </w:r>
          </w:p>
        </w:tc>
      </w:tr>
      <w:tr w:rsidR="00AD3BA5" w:rsidRPr="00137230" w:rsidTr="00CC4C12">
        <w:tc>
          <w:tcPr>
            <w:tcW w:w="1987" w:type="dxa"/>
          </w:tcPr>
          <w:p w:rsidR="00AD3BA5" w:rsidRPr="00137230" w:rsidRDefault="00AD3BA5" w:rsidP="005A7E75">
            <w:pPr>
              <w:widowControl/>
              <w:rPr>
                <w:rStyle w:val="CommentReference"/>
                <w:b w:val="0"/>
                <w:szCs w:val="20"/>
              </w:rPr>
            </w:pPr>
            <w:r w:rsidRPr="00137230">
              <w:rPr>
                <w:rStyle w:val="CommentReference"/>
                <w:b w:val="0"/>
                <w:szCs w:val="20"/>
              </w:rPr>
              <w:t>Redness &gt;50 mm</w:t>
            </w:r>
            <w:r w:rsidRPr="00137230">
              <w:rPr>
                <w:rStyle w:val="CommentReference"/>
                <w:b w:val="0"/>
                <w:szCs w:val="20"/>
              </w:rPr>
              <w:tab/>
            </w:r>
          </w:p>
        </w:tc>
        <w:tc>
          <w:tcPr>
            <w:tcW w:w="3330" w:type="dxa"/>
          </w:tcPr>
          <w:p w:rsidR="00AD3BA5" w:rsidRPr="00137230" w:rsidRDefault="00AD3BA5" w:rsidP="005A7E75">
            <w:pPr>
              <w:widowControl/>
              <w:rPr>
                <w:rStyle w:val="CommentReference"/>
                <w:b w:val="0"/>
                <w:szCs w:val="20"/>
              </w:rPr>
            </w:pPr>
            <w:r w:rsidRPr="00137230">
              <w:rPr>
                <w:rStyle w:val="CommentReference"/>
                <w:b w:val="0"/>
                <w:szCs w:val="20"/>
              </w:rPr>
              <w:t>2 (2.7%)</w:t>
            </w:r>
          </w:p>
        </w:tc>
        <w:tc>
          <w:tcPr>
            <w:tcW w:w="3330" w:type="dxa"/>
          </w:tcPr>
          <w:p w:rsidR="00AD3BA5" w:rsidRPr="00137230" w:rsidRDefault="00AD3BA5" w:rsidP="005A7E75">
            <w:pPr>
              <w:widowControl/>
              <w:rPr>
                <w:rStyle w:val="CommentReference"/>
                <w:b w:val="0"/>
                <w:szCs w:val="20"/>
              </w:rPr>
            </w:pPr>
            <w:r w:rsidRPr="00137230">
              <w:rPr>
                <w:rStyle w:val="CommentReference"/>
                <w:b w:val="0"/>
                <w:szCs w:val="20"/>
              </w:rPr>
              <w:t>3 (3.9%)</w:t>
            </w:r>
          </w:p>
        </w:tc>
      </w:tr>
      <w:tr w:rsidR="00AD3BA5" w:rsidRPr="00137230" w:rsidTr="00CC4C12">
        <w:tc>
          <w:tcPr>
            <w:tcW w:w="1987" w:type="dxa"/>
          </w:tcPr>
          <w:p w:rsidR="00AD3BA5" w:rsidRPr="00137230" w:rsidRDefault="00AD3BA5" w:rsidP="005A7E75">
            <w:pPr>
              <w:widowControl/>
              <w:rPr>
                <w:rStyle w:val="CommentReference"/>
                <w:b w:val="0"/>
                <w:szCs w:val="20"/>
              </w:rPr>
            </w:pPr>
            <w:r w:rsidRPr="00137230">
              <w:rPr>
                <w:rStyle w:val="CommentReference"/>
                <w:b w:val="0"/>
                <w:szCs w:val="20"/>
              </w:rPr>
              <w:t>Swelling &gt;50 mm</w:t>
            </w:r>
          </w:p>
        </w:tc>
        <w:tc>
          <w:tcPr>
            <w:tcW w:w="3330" w:type="dxa"/>
          </w:tcPr>
          <w:p w:rsidR="00AD3BA5" w:rsidRPr="00137230" w:rsidRDefault="00AD3BA5" w:rsidP="005A7E75">
            <w:pPr>
              <w:widowControl/>
              <w:rPr>
                <w:rStyle w:val="CommentReference"/>
                <w:b w:val="0"/>
                <w:szCs w:val="20"/>
              </w:rPr>
            </w:pPr>
            <w:r w:rsidRPr="00137230">
              <w:rPr>
                <w:rStyle w:val="CommentReference"/>
                <w:b w:val="0"/>
                <w:szCs w:val="20"/>
              </w:rPr>
              <w:t>4 (5.3%)</w:t>
            </w:r>
          </w:p>
        </w:tc>
        <w:tc>
          <w:tcPr>
            <w:tcW w:w="3330" w:type="dxa"/>
          </w:tcPr>
          <w:p w:rsidR="00AD3BA5" w:rsidRPr="00137230" w:rsidRDefault="00AD3BA5" w:rsidP="005A7E75">
            <w:pPr>
              <w:widowControl/>
              <w:rPr>
                <w:rStyle w:val="CommentReference"/>
                <w:b w:val="0"/>
                <w:szCs w:val="20"/>
              </w:rPr>
            </w:pPr>
            <w:r w:rsidRPr="00137230">
              <w:rPr>
                <w:rStyle w:val="CommentReference"/>
                <w:b w:val="0"/>
                <w:szCs w:val="20"/>
              </w:rPr>
              <w:t>5 (6.6%)</w:t>
            </w:r>
          </w:p>
        </w:tc>
      </w:tr>
      <w:tr w:rsidR="00AD3BA5" w:rsidRPr="00137230" w:rsidTr="00CC4C12">
        <w:tc>
          <w:tcPr>
            <w:tcW w:w="1987" w:type="dxa"/>
          </w:tcPr>
          <w:p w:rsidR="00AD3BA5" w:rsidRPr="00137230" w:rsidRDefault="00AD3BA5" w:rsidP="005A7E75">
            <w:pPr>
              <w:widowControl/>
              <w:rPr>
                <w:rStyle w:val="CommentReference"/>
                <w:b w:val="0"/>
                <w:szCs w:val="20"/>
              </w:rPr>
            </w:pPr>
            <w:r w:rsidRPr="00137230">
              <w:rPr>
                <w:rStyle w:val="CommentReference"/>
                <w:b w:val="0"/>
                <w:szCs w:val="20"/>
              </w:rPr>
              <w:t>Severe Pain</w:t>
            </w:r>
          </w:p>
        </w:tc>
        <w:tc>
          <w:tcPr>
            <w:tcW w:w="3330" w:type="dxa"/>
          </w:tcPr>
          <w:p w:rsidR="00AD3BA5" w:rsidRPr="00137230" w:rsidRDefault="00AD3BA5" w:rsidP="005A7E75">
            <w:pPr>
              <w:widowControl/>
              <w:rPr>
                <w:rStyle w:val="CommentReference"/>
                <w:b w:val="0"/>
                <w:szCs w:val="20"/>
              </w:rPr>
            </w:pPr>
            <w:r w:rsidRPr="00137230">
              <w:rPr>
                <w:rStyle w:val="CommentReference"/>
                <w:b w:val="0"/>
                <w:szCs w:val="20"/>
              </w:rPr>
              <w:t>1 (1.3%)</w:t>
            </w:r>
          </w:p>
        </w:tc>
        <w:tc>
          <w:tcPr>
            <w:tcW w:w="3330" w:type="dxa"/>
          </w:tcPr>
          <w:p w:rsidR="00AD3BA5" w:rsidRPr="00137230" w:rsidRDefault="00AD3BA5" w:rsidP="005A7E75">
            <w:pPr>
              <w:widowControl/>
              <w:rPr>
                <w:rStyle w:val="CommentReference"/>
                <w:b w:val="0"/>
                <w:szCs w:val="20"/>
              </w:rPr>
            </w:pPr>
            <w:r w:rsidRPr="00137230">
              <w:rPr>
                <w:rStyle w:val="CommentReference"/>
                <w:b w:val="0"/>
                <w:szCs w:val="20"/>
              </w:rPr>
              <w:t>0</w:t>
            </w:r>
          </w:p>
        </w:tc>
      </w:tr>
    </w:tbl>
    <w:p w:rsidR="00AD3BA5" w:rsidRPr="00137230" w:rsidRDefault="00AD3BA5" w:rsidP="005A7E75">
      <w:pPr>
        <w:widowControl/>
        <w:ind w:left="720"/>
        <w:rPr>
          <w:rStyle w:val="CommentReference"/>
          <w:b w:val="0"/>
          <w:szCs w:val="20"/>
        </w:rPr>
      </w:pPr>
      <w:r w:rsidRPr="00137230">
        <w:rPr>
          <w:rStyle w:val="CommentReference"/>
          <w:b w:val="0"/>
          <w:szCs w:val="20"/>
        </w:rPr>
        <w:t>Source: Table B.6-12, p45 of the submission.</w:t>
      </w:r>
    </w:p>
    <w:p w:rsidR="00AD3BA5" w:rsidRPr="00137230" w:rsidRDefault="00AD3BA5" w:rsidP="005A7E75">
      <w:pPr>
        <w:widowControl/>
        <w:ind w:left="720"/>
        <w:rPr>
          <w:rStyle w:val="CommentReference"/>
          <w:szCs w:val="20"/>
        </w:rPr>
      </w:pPr>
    </w:p>
    <w:p w:rsidR="00AD3BA5" w:rsidRPr="00137230" w:rsidRDefault="00AD3BA5" w:rsidP="005A7E75">
      <w:pPr>
        <w:keepNext/>
        <w:widowControl/>
        <w:ind w:left="720"/>
        <w:rPr>
          <w:rStyle w:val="CommentReference"/>
          <w:szCs w:val="20"/>
        </w:rPr>
      </w:pPr>
      <w:r w:rsidRPr="00137230">
        <w:rPr>
          <w:rStyle w:val="CommentReference"/>
          <w:szCs w:val="20"/>
        </w:rPr>
        <w:t xml:space="preserve">Table </w:t>
      </w:r>
      <w:r w:rsidR="00992A64" w:rsidRPr="00137230">
        <w:rPr>
          <w:rStyle w:val="CommentReference"/>
          <w:szCs w:val="20"/>
        </w:rPr>
        <w:t>9</w:t>
      </w:r>
      <w:r w:rsidRPr="00137230">
        <w:rPr>
          <w:rStyle w:val="CommentReference"/>
          <w:szCs w:val="20"/>
        </w:rPr>
        <w:t xml:space="preserve">: Naïve comparison of </w:t>
      </w:r>
      <w:proofErr w:type="spellStart"/>
      <w:proofErr w:type="gramStart"/>
      <w:r w:rsidRPr="00137230">
        <w:rPr>
          <w:rStyle w:val="CommentReference"/>
          <w:szCs w:val="20"/>
        </w:rPr>
        <w:t>reactogenicity</w:t>
      </w:r>
      <w:proofErr w:type="spellEnd"/>
      <w:r w:rsidR="005A63BE">
        <w:rPr>
          <w:rStyle w:val="CommentReference"/>
          <w:szCs w:val="20"/>
        </w:rPr>
        <w:t xml:space="preserve">  (</w:t>
      </w:r>
      <w:proofErr w:type="gramEnd"/>
      <w:r w:rsidR="005A63BE">
        <w:rPr>
          <w:rStyle w:val="CommentReference"/>
          <w:szCs w:val="20"/>
        </w:rPr>
        <w:t>assumed %, not indicated in the submission)</w:t>
      </w:r>
    </w:p>
    <w:tbl>
      <w:tblPr>
        <w:tblStyle w:val="TableGrid"/>
        <w:tblW w:w="4601" w:type="pct"/>
        <w:tblInd w:w="817" w:type="dxa"/>
        <w:tblLayout w:type="fixed"/>
        <w:tblLook w:val="04A0" w:firstRow="1" w:lastRow="0" w:firstColumn="1" w:lastColumn="0" w:noHBand="0" w:noVBand="1"/>
        <w:tblCaption w:val="Table 9: Naïve comparison of reactogenicity  (assumed %, not indicated in the submission)"/>
        <w:tblDescription w:val="The table shows the results of the naive comparison of reactogenicity  (assumed %, not indicated in the submission)"/>
      </w:tblPr>
      <w:tblGrid>
        <w:gridCol w:w="2146"/>
        <w:gridCol w:w="1272"/>
        <w:gridCol w:w="1272"/>
        <w:gridCol w:w="1272"/>
        <w:gridCol w:w="1272"/>
        <w:gridCol w:w="1271"/>
      </w:tblGrid>
      <w:tr w:rsidR="00D12672" w:rsidRPr="00137230" w:rsidTr="000779C2">
        <w:trPr>
          <w:tblHeader/>
        </w:trPr>
        <w:tc>
          <w:tcPr>
            <w:tcW w:w="1261" w:type="pct"/>
            <w:tcBorders>
              <w:bottom w:val="single" w:sz="4" w:space="0" w:color="auto"/>
            </w:tcBorders>
            <w:shd w:val="clear" w:color="auto" w:fill="auto"/>
            <w:vAlign w:val="center"/>
          </w:tcPr>
          <w:p w:rsidR="00AD3BA5" w:rsidRPr="00137230" w:rsidRDefault="00AD3BA5" w:rsidP="005A7E75">
            <w:pPr>
              <w:keepNext/>
              <w:widowControl/>
              <w:rPr>
                <w:rStyle w:val="CommentReference"/>
                <w:szCs w:val="20"/>
              </w:rPr>
            </w:pPr>
          </w:p>
        </w:tc>
        <w:tc>
          <w:tcPr>
            <w:tcW w:w="748" w:type="pct"/>
            <w:tcBorders>
              <w:bottom w:val="single" w:sz="4" w:space="0" w:color="auto"/>
            </w:tcBorders>
            <w:shd w:val="clear" w:color="auto" w:fill="auto"/>
            <w:vAlign w:val="center"/>
          </w:tcPr>
          <w:p w:rsidR="00AD3BA5" w:rsidRPr="00137230" w:rsidRDefault="00AD3BA5" w:rsidP="005A7E75">
            <w:pPr>
              <w:keepNext/>
              <w:widowControl/>
              <w:rPr>
                <w:rStyle w:val="CommentReference"/>
                <w:szCs w:val="20"/>
              </w:rPr>
            </w:pPr>
            <w:r w:rsidRPr="00137230">
              <w:rPr>
                <w:rStyle w:val="CommentReference"/>
                <w:szCs w:val="20"/>
              </w:rPr>
              <w:t>Fever</w:t>
            </w:r>
          </w:p>
        </w:tc>
        <w:tc>
          <w:tcPr>
            <w:tcW w:w="748" w:type="pct"/>
            <w:tcBorders>
              <w:bottom w:val="single" w:sz="4" w:space="0" w:color="auto"/>
            </w:tcBorders>
            <w:shd w:val="clear" w:color="auto" w:fill="auto"/>
            <w:vAlign w:val="center"/>
          </w:tcPr>
          <w:p w:rsidR="00AD3BA5" w:rsidRPr="00137230" w:rsidRDefault="00AD3BA5" w:rsidP="005A7E75">
            <w:pPr>
              <w:keepNext/>
              <w:widowControl/>
              <w:rPr>
                <w:rStyle w:val="CommentReference"/>
                <w:szCs w:val="20"/>
              </w:rPr>
            </w:pPr>
            <w:r w:rsidRPr="00137230">
              <w:rPr>
                <w:rStyle w:val="CommentReference"/>
                <w:szCs w:val="20"/>
              </w:rPr>
              <w:t>Redness</w:t>
            </w:r>
          </w:p>
        </w:tc>
        <w:tc>
          <w:tcPr>
            <w:tcW w:w="748" w:type="pct"/>
            <w:tcBorders>
              <w:bottom w:val="single" w:sz="4" w:space="0" w:color="auto"/>
            </w:tcBorders>
            <w:shd w:val="clear" w:color="auto" w:fill="auto"/>
            <w:vAlign w:val="center"/>
          </w:tcPr>
          <w:p w:rsidR="00AD3BA5" w:rsidRPr="00137230" w:rsidRDefault="00AD3BA5" w:rsidP="005A7E75">
            <w:pPr>
              <w:keepNext/>
              <w:widowControl/>
              <w:rPr>
                <w:rStyle w:val="CommentReference"/>
                <w:szCs w:val="20"/>
              </w:rPr>
            </w:pPr>
            <w:r w:rsidRPr="00137230">
              <w:rPr>
                <w:rStyle w:val="CommentReference"/>
                <w:szCs w:val="20"/>
              </w:rPr>
              <w:t>Swelling</w:t>
            </w:r>
          </w:p>
        </w:tc>
        <w:tc>
          <w:tcPr>
            <w:tcW w:w="748" w:type="pct"/>
            <w:tcBorders>
              <w:bottom w:val="single" w:sz="4" w:space="0" w:color="auto"/>
            </w:tcBorders>
            <w:shd w:val="clear" w:color="auto" w:fill="auto"/>
            <w:vAlign w:val="center"/>
          </w:tcPr>
          <w:p w:rsidR="00AD3BA5" w:rsidRPr="00137230" w:rsidRDefault="00AD3BA5" w:rsidP="005A7E75">
            <w:pPr>
              <w:keepNext/>
              <w:widowControl/>
              <w:rPr>
                <w:rStyle w:val="CommentReference"/>
                <w:szCs w:val="20"/>
              </w:rPr>
            </w:pPr>
            <w:r w:rsidRPr="00137230">
              <w:rPr>
                <w:rStyle w:val="CommentReference"/>
                <w:szCs w:val="20"/>
              </w:rPr>
              <w:t>Diarrhoea</w:t>
            </w:r>
          </w:p>
        </w:tc>
        <w:tc>
          <w:tcPr>
            <w:tcW w:w="748" w:type="pct"/>
            <w:tcBorders>
              <w:bottom w:val="single" w:sz="4" w:space="0" w:color="auto"/>
            </w:tcBorders>
            <w:shd w:val="clear" w:color="auto" w:fill="auto"/>
            <w:vAlign w:val="center"/>
          </w:tcPr>
          <w:p w:rsidR="00AD3BA5" w:rsidRPr="00137230" w:rsidRDefault="00AD3BA5" w:rsidP="005A7E75">
            <w:pPr>
              <w:keepNext/>
              <w:widowControl/>
              <w:rPr>
                <w:rStyle w:val="CommentReference"/>
                <w:szCs w:val="20"/>
              </w:rPr>
            </w:pPr>
            <w:r w:rsidRPr="00137230">
              <w:rPr>
                <w:rStyle w:val="CommentReference"/>
                <w:szCs w:val="20"/>
              </w:rPr>
              <w:t>Vomiting</w:t>
            </w:r>
          </w:p>
        </w:tc>
      </w:tr>
      <w:tr w:rsidR="00D12672" w:rsidRPr="00137230" w:rsidTr="007D1358">
        <w:tc>
          <w:tcPr>
            <w:tcW w:w="1261" w:type="pct"/>
            <w:tcBorders>
              <w:right w:val="nil"/>
            </w:tcBorders>
            <w:shd w:val="clear" w:color="auto" w:fill="auto"/>
            <w:vAlign w:val="center"/>
          </w:tcPr>
          <w:p w:rsidR="00AD3BA5" w:rsidRPr="007D1358" w:rsidRDefault="00AD3BA5" w:rsidP="005A7E75">
            <w:pPr>
              <w:keepNext/>
              <w:widowControl/>
              <w:rPr>
                <w:rStyle w:val="CommentReference"/>
                <w:i/>
                <w:szCs w:val="20"/>
              </w:rPr>
            </w:pPr>
            <w:proofErr w:type="spellStart"/>
            <w:r w:rsidRPr="007D1358">
              <w:rPr>
                <w:rStyle w:val="CommentReference"/>
                <w:i/>
                <w:szCs w:val="20"/>
              </w:rPr>
              <w:t>Tripacel</w:t>
            </w:r>
            <w:proofErr w:type="spellEnd"/>
          </w:p>
        </w:tc>
        <w:tc>
          <w:tcPr>
            <w:tcW w:w="748" w:type="pct"/>
            <w:tcBorders>
              <w:left w:val="nil"/>
              <w:right w:val="nil"/>
            </w:tcBorders>
            <w:shd w:val="clear" w:color="auto" w:fill="auto"/>
            <w:vAlign w:val="center"/>
          </w:tcPr>
          <w:p w:rsidR="00AD3BA5" w:rsidRPr="00137230" w:rsidRDefault="00AD3BA5" w:rsidP="005A7E75">
            <w:pPr>
              <w:keepNext/>
              <w:widowControl/>
              <w:rPr>
                <w:rStyle w:val="CommentReference"/>
                <w:b w:val="0"/>
                <w:szCs w:val="20"/>
              </w:rPr>
            </w:pPr>
          </w:p>
        </w:tc>
        <w:tc>
          <w:tcPr>
            <w:tcW w:w="748" w:type="pct"/>
            <w:tcBorders>
              <w:left w:val="nil"/>
              <w:right w:val="nil"/>
            </w:tcBorders>
            <w:shd w:val="clear" w:color="auto" w:fill="auto"/>
            <w:vAlign w:val="center"/>
          </w:tcPr>
          <w:p w:rsidR="00AD3BA5" w:rsidRPr="00137230" w:rsidRDefault="00AD3BA5" w:rsidP="005A7E75">
            <w:pPr>
              <w:keepNext/>
              <w:widowControl/>
              <w:rPr>
                <w:rStyle w:val="CommentReference"/>
                <w:b w:val="0"/>
                <w:szCs w:val="20"/>
              </w:rPr>
            </w:pPr>
          </w:p>
        </w:tc>
        <w:tc>
          <w:tcPr>
            <w:tcW w:w="748" w:type="pct"/>
            <w:tcBorders>
              <w:left w:val="nil"/>
              <w:right w:val="nil"/>
            </w:tcBorders>
            <w:shd w:val="clear" w:color="auto" w:fill="auto"/>
            <w:vAlign w:val="center"/>
          </w:tcPr>
          <w:p w:rsidR="00AD3BA5" w:rsidRPr="00137230" w:rsidRDefault="00AD3BA5" w:rsidP="005A7E75">
            <w:pPr>
              <w:keepNext/>
              <w:widowControl/>
              <w:rPr>
                <w:rStyle w:val="CommentReference"/>
                <w:b w:val="0"/>
                <w:szCs w:val="20"/>
              </w:rPr>
            </w:pPr>
          </w:p>
        </w:tc>
        <w:tc>
          <w:tcPr>
            <w:tcW w:w="748" w:type="pct"/>
            <w:tcBorders>
              <w:left w:val="nil"/>
              <w:right w:val="nil"/>
            </w:tcBorders>
            <w:shd w:val="clear" w:color="auto" w:fill="auto"/>
            <w:vAlign w:val="center"/>
          </w:tcPr>
          <w:p w:rsidR="00AD3BA5" w:rsidRPr="00137230" w:rsidRDefault="00AD3BA5" w:rsidP="005A7E75">
            <w:pPr>
              <w:keepNext/>
              <w:widowControl/>
              <w:rPr>
                <w:rStyle w:val="CommentReference"/>
                <w:b w:val="0"/>
                <w:szCs w:val="20"/>
              </w:rPr>
            </w:pPr>
          </w:p>
        </w:tc>
        <w:tc>
          <w:tcPr>
            <w:tcW w:w="748" w:type="pct"/>
            <w:tcBorders>
              <w:left w:val="nil"/>
            </w:tcBorders>
            <w:shd w:val="clear" w:color="auto" w:fill="auto"/>
            <w:vAlign w:val="center"/>
          </w:tcPr>
          <w:p w:rsidR="00AD3BA5" w:rsidRPr="00137230" w:rsidRDefault="00AD3BA5" w:rsidP="005A7E75">
            <w:pPr>
              <w:keepNext/>
              <w:widowControl/>
              <w:rPr>
                <w:rStyle w:val="CommentReference"/>
                <w:b w:val="0"/>
                <w:szCs w:val="20"/>
              </w:rPr>
            </w:pP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CANADA II</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10.0</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35.9</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18.3</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NR</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NR</w:t>
            </w: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proofErr w:type="spellStart"/>
            <w:r w:rsidRPr="00137230">
              <w:rPr>
                <w:rStyle w:val="CommentReference"/>
                <w:b w:val="0"/>
                <w:szCs w:val="20"/>
              </w:rPr>
              <w:t>Halperin</w:t>
            </w:r>
            <w:proofErr w:type="spellEnd"/>
            <w:r w:rsidRPr="00137230">
              <w:rPr>
                <w:rStyle w:val="CommentReference"/>
                <w:b w:val="0"/>
                <w:szCs w:val="20"/>
              </w:rPr>
              <w:t xml:space="preserve"> 1995</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11</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54</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21</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11</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0</w:t>
            </w: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PHASE IIC</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34.7</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29.2</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18.1</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18.1</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9.72</w:t>
            </w: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Chatterjee 2012</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16.9</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12.6</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7.8</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NR</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8.0</w:t>
            </w: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Guerra 2009</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8.7</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18.2</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11.6</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16.5</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3.9</w:t>
            </w: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PERTB9301</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27.6</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27.6</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24.1</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3.45</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6.90</w:t>
            </w:r>
          </w:p>
        </w:tc>
      </w:tr>
      <w:tr w:rsidR="00D12672" w:rsidRPr="00137230" w:rsidTr="007D1358">
        <w:tc>
          <w:tcPr>
            <w:tcW w:w="1261" w:type="pct"/>
            <w:tcBorders>
              <w:bottom w:val="single" w:sz="4" w:space="0" w:color="auto"/>
            </w:tcBorders>
            <w:vAlign w:val="center"/>
          </w:tcPr>
          <w:p w:rsidR="00AD3BA5" w:rsidRPr="00137230" w:rsidRDefault="00AD3BA5" w:rsidP="005A7E75">
            <w:pPr>
              <w:keepNext/>
              <w:widowControl/>
              <w:rPr>
                <w:rStyle w:val="CommentReference"/>
                <w:b w:val="0"/>
                <w:szCs w:val="20"/>
              </w:rPr>
            </w:pPr>
            <w:proofErr w:type="spellStart"/>
            <w:r w:rsidRPr="00137230">
              <w:rPr>
                <w:rStyle w:val="CommentReference"/>
                <w:b w:val="0"/>
                <w:szCs w:val="20"/>
              </w:rPr>
              <w:t>Halperin</w:t>
            </w:r>
            <w:proofErr w:type="spellEnd"/>
            <w:r w:rsidRPr="00137230">
              <w:rPr>
                <w:rStyle w:val="CommentReference"/>
                <w:b w:val="0"/>
                <w:szCs w:val="20"/>
              </w:rPr>
              <w:t xml:space="preserve"> 1994</w:t>
            </w:r>
          </w:p>
        </w:tc>
        <w:tc>
          <w:tcPr>
            <w:tcW w:w="748" w:type="pct"/>
            <w:tcBorders>
              <w:bottom w:val="single" w:sz="4" w:space="0" w:color="auto"/>
            </w:tcBorders>
            <w:vAlign w:val="center"/>
          </w:tcPr>
          <w:p w:rsidR="00AD3BA5" w:rsidRPr="00137230" w:rsidRDefault="00AD3BA5" w:rsidP="005A7E75">
            <w:pPr>
              <w:keepNext/>
              <w:widowControl/>
              <w:rPr>
                <w:rStyle w:val="CommentReference"/>
                <w:b w:val="0"/>
                <w:szCs w:val="20"/>
              </w:rPr>
            </w:pPr>
            <w:r w:rsidRPr="00137230">
              <w:rPr>
                <w:rStyle w:val="CommentReference"/>
                <w:b w:val="0"/>
                <w:szCs w:val="20"/>
              </w:rPr>
              <w:t>33</w:t>
            </w:r>
          </w:p>
        </w:tc>
        <w:tc>
          <w:tcPr>
            <w:tcW w:w="748" w:type="pct"/>
            <w:tcBorders>
              <w:bottom w:val="single" w:sz="4" w:space="0" w:color="auto"/>
            </w:tcBorders>
            <w:vAlign w:val="center"/>
          </w:tcPr>
          <w:p w:rsidR="00AD3BA5" w:rsidRPr="00137230" w:rsidRDefault="00AD3BA5" w:rsidP="005A7E75">
            <w:pPr>
              <w:keepNext/>
              <w:widowControl/>
              <w:rPr>
                <w:rStyle w:val="CommentReference"/>
                <w:b w:val="0"/>
                <w:szCs w:val="20"/>
              </w:rPr>
            </w:pPr>
            <w:r w:rsidRPr="00137230">
              <w:rPr>
                <w:rStyle w:val="CommentReference"/>
                <w:b w:val="0"/>
                <w:szCs w:val="20"/>
              </w:rPr>
              <w:t>53</w:t>
            </w:r>
          </w:p>
        </w:tc>
        <w:tc>
          <w:tcPr>
            <w:tcW w:w="748" w:type="pct"/>
            <w:tcBorders>
              <w:bottom w:val="single" w:sz="4" w:space="0" w:color="auto"/>
            </w:tcBorders>
            <w:vAlign w:val="center"/>
          </w:tcPr>
          <w:p w:rsidR="00AD3BA5" w:rsidRPr="00137230" w:rsidRDefault="00AD3BA5" w:rsidP="005A7E75">
            <w:pPr>
              <w:keepNext/>
              <w:widowControl/>
              <w:rPr>
                <w:rStyle w:val="CommentReference"/>
                <w:b w:val="0"/>
                <w:szCs w:val="20"/>
              </w:rPr>
            </w:pPr>
            <w:r w:rsidRPr="00137230">
              <w:rPr>
                <w:rStyle w:val="CommentReference"/>
                <w:b w:val="0"/>
                <w:szCs w:val="20"/>
              </w:rPr>
              <w:t>33</w:t>
            </w:r>
          </w:p>
        </w:tc>
        <w:tc>
          <w:tcPr>
            <w:tcW w:w="748" w:type="pct"/>
            <w:tcBorders>
              <w:bottom w:val="single" w:sz="4" w:space="0" w:color="auto"/>
            </w:tcBorders>
            <w:vAlign w:val="center"/>
          </w:tcPr>
          <w:p w:rsidR="00AD3BA5" w:rsidRPr="00137230" w:rsidRDefault="00AD3BA5" w:rsidP="005A7E75">
            <w:pPr>
              <w:keepNext/>
              <w:widowControl/>
              <w:rPr>
                <w:rStyle w:val="CommentReference"/>
                <w:b w:val="0"/>
                <w:szCs w:val="20"/>
              </w:rPr>
            </w:pPr>
            <w:r w:rsidRPr="00137230">
              <w:rPr>
                <w:rStyle w:val="CommentReference"/>
                <w:b w:val="0"/>
                <w:szCs w:val="20"/>
              </w:rPr>
              <w:t>10</w:t>
            </w:r>
          </w:p>
        </w:tc>
        <w:tc>
          <w:tcPr>
            <w:tcW w:w="748" w:type="pct"/>
            <w:tcBorders>
              <w:bottom w:val="single" w:sz="4" w:space="0" w:color="auto"/>
            </w:tcBorders>
            <w:vAlign w:val="center"/>
          </w:tcPr>
          <w:p w:rsidR="00AD3BA5" w:rsidRPr="00137230" w:rsidRDefault="00AD3BA5" w:rsidP="005A7E75">
            <w:pPr>
              <w:keepNext/>
              <w:widowControl/>
              <w:rPr>
                <w:rStyle w:val="CommentReference"/>
                <w:b w:val="0"/>
                <w:szCs w:val="20"/>
              </w:rPr>
            </w:pPr>
            <w:r w:rsidRPr="00137230">
              <w:rPr>
                <w:rStyle w:val="CommentReference"/>
                <w:b w:val="0"/>
                <w:szCs w:val="20"/>
              </w:rPr>
              <w:t>3</w:t>
            </w:r>
          </w:p>
        </w:tc>
      </w:tr>
      <w:tr w:rsidR="00D12672" w:rsidRPr="00137230" w:rsidTr="007D1358">
        <w:tc>
          <w:tcPr>
            <w:tcW w:w="1261" w:type="pct"/>
            <w:tcBorders>
              <w:right w:val="nil"/>
            </w:tcBorders>
            <w:shd w:val="clear" w:color="auto" w:fill="auto"/>
            <w:vAlign w:val="center"/>
          </w:tcPr>
          <w:p w:rsidR="00AD3BA5" w:rsidRPr="007D1358" w:rsidRDefault="00AD3BA5" w:rsidP="005A7E75">
            <w:pPr>
              <w:keepNext/>
              <w:widowControl/>
              <w:rPr>
                <w:rStyle w:val="CommentReference"/>
                <w:i/>
                <w:szCs w:val="20"/>
              </w:rPr>
            </w:pPr>
            <w:r w:rsidRPr="007D1358">
              <w:rPr>
                <w:rStyle w:val="CommentReference"/>
                <w:i/>
                <w:szCs w:val="20"/>
              </w:rPr>
              <w:t>Infanrix</w:t>
            </w:r>
          </w:p>
        </w:tc>
        <w:tc>
          <w:tcPr>
            <w:tcW w:w="748" w:type="pct"/>
            <w:tcBorders>
              <w:left w:val="nil"/>
              <w:right w:val="nil"/>
            </w:tcBorders>
            <w:shd w:val="clear" w:color="auto" w:fill="auto"/>
            <w:vAlign w:val="center"/>
          </w:tcPr>
          <w:p w:rsidR="00AD3BA5" w:rsidRPr="00137230" w:rsidRDefault="00AD3BA5" w:rsidP="005A7E75">
            <w:pPr>
              <w:keepNext/>
              <w:widowControl/>
              <w:rPr>
                <w:rStyle w:val="CommentReference"/>
                <w:b w:val="0"/>
                <w:szCs w:val="20"/>
              </w:rPr>
            </w:pPr>
          </w:p>
        </w:tc>
        <w:tc>
          <w:tcPr>
            <w:tcW w:w="748" w:type="pct"/>
            <w:tcBorders>
              <w:left w:val="nil"/>
              <w:right w:val="nil"/>
            </w:tcBorders>
            <w:shd w:val="clear" w:color="auto" w:fill="auto"/>
            <w:vAlign w:val="center"/>
          </w:tcPr>
          <w:p w:rsidR="00AD3BA5" w:rsidRPr="00137230" w:rsidRDefault="00AD3BA5" w:rsidP="005A7E75">
            <w:pPr>
              <w:keepNext/>
              <w:widowControl/>
              <w:rPr>
                <w:rStyle w:val="CommentReference"/>
                <w:b w:val="0"/>
                <w:szCs w:val="20"/>
              </w:rPr>
            </w:pPr>
          </w:p>
        </w:tc>
        <w:tc>
          <w:tcPr>
            <w:tcW w:w="748" w:type="pct"/>
            <w:tcBorders>
              <w:left w:val="nil"/>
              <w:right w:val="nil"/>
            </w:tcBorders>
            <w:shd w:val="clear" w:color="auto" w:fill="auto"/>
            <w:vAlign w:val="center"/>
          </w:tcPr>
          <w:p w:rsidR="00AD3BA5" w:rsidRPr="00137230" w:rsidRDefault="00AD3BA5" w:rsidP="005A7E75">
            <w:pPr>
              <w:keepNext/>
              <w:widowControl/>
              <w:rPr>
                <w:rStyle w:val="CommentReference"/>
                <w:b w:val="0"/>
                <w:szCs w:val="20"/>
              </w:rPr>
            </w:pPr>
          </w:p>
        </w:tc>
        <w:tc>
          <w:tcPr>
            <w:tcW w:w="748" w:type="pct"/>
            <w:tcBorders>
              <w:left w:val="nil"/>
              <w:right w:val="nil"/>
            </w:tcBorders>
            <w:shd w:val="clear" w:color="auto" w:fill="auto"/>
            <w:vAlign w:val="center"/>
          </w:tcPr>
          <w:p w:rsidR="00AD3BA5" w:rsidRPr="00137230" w:rsidRDefault="00AD3BA5" w:rsidP="005A7E75">
            <w:pPr>
              <w:keepNext/>
              <w:widowControl/>
              <w:rPr>
                <w:rStyle w:val="CommentReference"/>
                <w:b w:val="0"/>
                <w:szCs w:val="20"/>
              </w:rPr>
            </w:pPr>
          </w:p>
        </w:tc>
        <w:tc>
          <w:tcPr>
            <w:tcW w:w="748" w:type="pct"/>
            <w:tcBorders>
              <w:left w:val="nil"/>
            </w:tcBorders>
            <w:shd w:val="clear" w:color="auto" w:fill="auto"/>
            <w:vAlign w:val="center"/>
          </w:tcPr>
          <w:p w:rsidR="00AD3BA5" w:rsidRPr="00137230" w:rsidRDefault="00AD3BA5" w:rsidP="005A7E75">
            <w:pPr>
              <w:keepNext/>
              <w:widowControl/>
              <w:rPr>
                <w:rStyle w:val="CommentReference"/>
                <w:b w:val="0"/>
                <w:szCs w:val="20"/>
              </w:rPr>
            </w:pP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proofErr w:type="spellStart"/>
            <w:r w:rsidRPr="00137230">
              <w:rPr>
                <w:rStyle w:val="CommentReference"/>
                <w:b w:val="0"/>
                <w:szCs w:val="20"/>
              </w:rPr>
              <w:t>Pichichero</w:t>
            </w:r>
            <w:proofErr w:type="spellEnd"/>
            <w:r w:rsidRPr="00137230">
              <w:rPr>
                <w:rStyle w:val="CommentReference"/>
                <w:b w:val="0"/>
                <w:szCs w:val="20"/>
              </w:rPr>
              <w:t xml:space="preserve"> 1996</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9.6</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19.2</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21.2</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NR</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NR</w:t>
            </w: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Nolan 2004</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13.6</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69.6</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58.0</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NR</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NR</w:t>
            </w: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Schmitt 1998</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24.6</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34.8</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26.1</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10.1</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1.4</w:t>
            </w: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proofErr w:type="spellStart"/>
            <w:r w:rsidRPr="00137230">
              <w:rPr>
                <w:rStyle w:val="CommentReference"/>
                <w:b w:val="0"/>
                <w:szCs w:val="20"/>
              </w:rPr>
              <w:t>Trofa</w:t>
            </w:r>
            <w:proofErr w:type="spellEnd"/>
            <w:r w:rsidRPr="00137230">
              <w:rPr>
                <w:rStyle w:val="CommentReference"/>
                <w:b w:val="0"/>
                <w:szCs w:val="20"/>
              </w:rPr>
              <w:t xml:space="preserve"> 2011</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22.0</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36.5</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27.0</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NR</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NR</w:t>
            </w:r>
          </w:p>
        </w:tc>
      </w:tr>
      <w:tr w:rsidR="00D12672" w:rsidRPr="00137230" w:rsidTr="007D1358">
        <w:tc>
          <w:tcPr>
            <w:tcW w:w="1261"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Schmitt 1996</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38.8</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60.8</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41.9</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16.2</w:t>
            </w:r>
          </w:p>
        </w:tc>
        <w:tc>
          <w:tcPr>
            <w:tcW w:w="748" w:type="pct"/>
            <w:vAlign w:val="center"/>
          </w:tcPr>
          <w:p w:rsidR="00AD3BA5" w:rsidRPr="00137230" w:rsidRDefault="00AD3BA5" w:rsidP="005A7E75">
            <w:pPr>
              <w:keepNext/>
              <w:widowControl/>
              <w:rPr>
                <w:rStyle w:val="CommentReference"/>
                <w:b w:val="0"/>
                <w:szCs w:val="20"/>
              </w:rPr>
            </w:pPr>
            <w:r w:rsidRPr="00137230">
              <w:rPr>
                <w:rStyle w:val="CommentReference"/>
                <w:b w:val="0"/>
                <w:szCs w:val="20"/>
              </w:rPr>
              <w:t>2.7</w:t>
            </w:r>
          </w:p>
        </w:tc>
      </w:tr>
    </w:tbl>
    <w:p w:rsidR="00AD3BA5" w:rsidRPr="00137230" w:rsidRDefault="00AD3BA5" w:rsidP="005A7E75">
      <w:pPr>
        <w:widowControl/>
        <w:ind w:left="720"/>
        <w:rPr>
          <w:rFonts w:ascii="Arial Narrow" w:hAnsi="Arial Narrow"/>
          <w:sz w:val="20"/>
        </w:rPr>
      </w:pPr>
      <w:r w:rsidRPr="00137230">
        <w:rPr>
          <w:rStyle w:val="CommentReference"/>
          <w:b w:val="0"/>
          <w:szCs w:val="20"/>
        </w:rPr>
        <w:t>Source: Table B.6-22, p54 of the submission</w:t>
      </w:r>
    </w:p>
    <w:p w:rsidR="00A0210C" w:rsidRPr="00137230" w:rsidRDefault="00A0210C" w:rsidP="005A7E75">
      <w:pPr>
        <w:pStyle w:val="BodyText"/>
        <w:widowControl/>
      </w:pPr>
    </w:p>
    <w:p w:rsidR="00B60939" w:rsidRPr="00137230" w:rsidRDefault="00B60939" w:rsidP="005A7E75">
      <w:pPr>
        <w:pStyle w:val="Heading2"/>
        <w:widowControl/>
        <w:rPr>
          <w:i/>
        </w:rPr>
      </w:pPr>
      <w:bookmarkStart w:id="8" w:name="_Toc419467342"/>
      <w:r w:rsidRPr="00137230">
        <w:rPr>
          <w:i/>
        </w:rPr>
        <w:t>Clinical claim</w:t>
      </w:r>
      <w:bookmarkEnd w:id="8"/>
    </w:p>
    <w:p w:rsidR="00B60939" w:rsidRPr="00137230" w:rsidRDefault="00B60939" w:rsidP="005A7E75">
      <w:pPr>
        <w:widowControl/>
        <w:ind w:left="720" w:hanging="720"/>
        <w:rPr>
          <w:szCs w:val="22"/>
        </w:rPr>
      </w:pPr>
    </w:p>
    <w:p w:rsidR="00067A43" w:rsidRPr="00847F85" w:rsidRDefault="00B81C17" w:rsidP="00B81C17">
      <w:pPr>
        <w:pStyle w:val="BodyText"/>
        <w:widowControl/>
        <w:ind w:left="709" w:hanging="709"/>
        <w:jc w:val="both"/>
      </w:pPr>
      <w:r>
        <w:t>6.14</w:t>
      </w:r>
      <w:r>
        <w:tab/>
      </w:r>
      <w:r w:rsidR="00E808BA" w:rsidRPr="00137230">
        <w:t>The submission describe</w:t>
      </w:r>
      <w:r w:rsidR="00AA5531">
        <w:t>d</w:t>
      </w:r>
      <w:r w:rsidR="00E808BA" w:rsidRPr="00137230">
        <w:t xml:space="preserve"> the 18</w:t>
      </w:r>
      <w:r w:rsidR="0076353F">
        <w:t>-</w:t>
      </w:r>
      <w:r w:rsidR="00E808BA" w:rsidRPr="00137230">
        <w:t xml:space="preserve">month DTaP booster as non-inferior in terms of comparative effectiveness and safety over 18 months DTPa booster.  </w:t>
      </w:r>
      <w:r w:rsidR="00E808BA" w:rsidRPr="00067A43">
        <w:t xml:space="preserve">This claim </w:t>
      </w:r>
      <w:r w:rsidR="000840C5" w:rsidRPr="00067A43">
        <w:t>appears</w:t>
      </w:r>
      <w:r w:rsidR="00E808BA" w:rsidRPr="00067A43">
        <w:t xml:space="preserve"> adequately supported</w:t>
      </w:r>
      <w:r w:rsidR="000840C5" w:rsidRPr="00067A43">
        <w:t>, though the claim of efficacy is based on surrogate immunogenicity outcomes</w:t>
      </w:r>
      <w:r w:rsidR="00067A43">
        <w:t xml:space="preserve"> </w:t>
      </w:r>
      <w:r w:rsidR="00067A43" w:rsidRPr="00847F85">
        <w:t>and the primary data is both under-powered and likely not adjusted for multiple comparisons</w:t>
      </w:r>
      <w:r w:rsidR="00E808BA" w:rsidRPr="00847F85">
        <w:t>.</w:t>
      </w:r>
      <w:r w:rsidR="009D18E3" w:rsidRPr="00847F85">
        <w:t xml:space="preserve"> </w:t>
      </w:r>
    </w:p>
    <w:p w:rsidR="000911A8" w:rsidRPr="000911A8" w:rsidRDefault="000911A8" w:rsidP="005A7E75">
      <w:pPr>
        <w:pStyle w:val="ListParagraph"/>
        <w:widowControl/>
        <w:rPr>
          <w:rStyle w:val="CommentReference"/>
          <w:rFonts w:ascii="Arial" w:hAnsi="Arial"/>
          <w:b w:val="0"/>
          <w:i/>
          <w:sz w:val="22"/>
          <w:szCs w:val="20"/>
        </w:rPr>
      </w:pPr>
    </w:p>
    <w:p w:rsidR="00E808BA" w:rsidRPr="00847F85" w:rsidRDefault="00B81C17" w:rsidP="00B81C17">
      <w:pPr>
        <w:pStyle w:val="BodyText"/>
        <w:widowControl/>
        <w:ind w:left="709" w:hanging="709"/>
        <w:jc w:val="both"/>
      </w:pPr>
      <w:r>
        <w:t>6.15</w:t>
      </w:r>
      <w:r>
        <w:tab/>
      </w:r>
      <w:r w:rsidR="00067A43" w:rsidRPr="00847F85">
        <w:t xml:space="preserve">The ESC </w:t>
      </w:r>
      <w:r w:rsidR="009D18E3" w:rsidRPr="00847F85">
        <w:t xml:space="preserve">also </w:t>
      </w:r>
      <w:r w:rsidR="00067A43" w:rsidRPr="00847F85">
        <w:t xml:space="preserve">noted that there were </w:t>
      </w:r>
      <w:r w:rsidR="00086D02" w:rsidRPr="00847F85">
        <w:t>differences</w:t>
      </w:r>
      <w:r w:rsidR="00067A43" w:rsidRPr="00847F85">
        <w:t xml:space="preserve"> between the recommended NIP schedule and the trials presented as supporting evidence</w:t>
      </w:r>
      <w:r w:rsidR="009D18E3" w:rsidRPr="00847F85">
        <w:t>,</w:t>
      </w:r>
      <w:r w:rsidR="00067A43" w:rsidRPr="00847F85">
        <w:t xml:space="preserve"> including variable co-administration of </w:t>
      </w:r>
      <w:proofErr w:type="spellStart"/>
      <w:r w:rsidR="00067A43" w:rsidRPr="00847F85">
        <w:t>Hib</w:t>
      </w:r>
      <w:proofErr w:type="spellEnd"/>
      <w:r w:rsidR="00067A43" w:rsidRPr="00847F85">
        <w:t>/IPV/</w:t>
      </w:r>
      <w:proofErr w:type="spellStart"/>
      <w:r w:rsidR="00067A43" w:rsidRPr="00847F85">
        <w:t>HepB</w:t>
      </w:r>
      <w:proofErr w:type="spellEnd"/>
      <w:r w:rsidR="00067A43" w:rsidRPr="00847F85">
        <w:t xml:space="preserve">, use of a 7-valent pneumococcal vaccine, a mixture of oral and inactivated polio vaccine and the absence of influenza or meningococcal vaccine in the presented trials. </w:t>
      </w:r>
      <w:r w:rsidR="00086D02" w:rsidRPr="00847F85">
        <w:t>Overall</w:t>
      </w:r>
      <w:r w:rsidR="00067A43" w:rsidRPr="00847F85">
        <w:t xml:space="preserve">, the ESC did not </w:t>
      </w:r>
      <w:r w:rsidR="005A4921" w:rsidRPr="00847F85">
        <w:t>consider this would</w:t>
      </w:r>
      <w:r w:rsidR="00067A43" w:rsidRPr="00847F85">
        <w:t xml:space="preserve"> significantly influence the therapeutic relativity of DTaP and DTPa. </w:t>
      </w:r>
    </w:p>
    <w:p w:rsidR="00B60939" w:rsidRPr="00847F85" w:rsidRDefault="00B60939" w:rsidP="005A7E75">
      <w:pPr>
        <w:widowControl/>
        <w:rPr>
          <w:szCs w:val="22"/>
        </w:rPr>
      </w:pPr>
    </w:p>
    <w:p w:rsidR="00A9446A" w:rsidRDefault="00A9446A">
      <w:pPr>
        <w:widowControl/>
        <w:jc w:val="left"/>
        <w:rPr>
          <w:b/>
          <w:i/>
        </w:rPr>
      </w:pPr>
      <w:bookmarkStart w:id="9" w:name="_Toc419467343"/>
      <w:r>
        <w:rPr>
          <w:i/>
        </w:rPr>
        <w:br w:type="page"/>
      </w:r>
    </w:p>
    <w:p w:rsidR="00B60939" w:rsidRPr="00137230" w:rsidRDefault="00B60939" w:rsidP="005A7E75">
      <w:pPr>
        <w:pStyle w:val="Heading2"/>
        <w:widowControl/>
        <w:rPr>
          <w:i/>
        </w:rPr>
      </w:pPr>
      <w:r w:rsidRPr="00137230">
        <w:rPr>
          <w:i/>
        </w:rPr>
        <w:lastRenderedPageBreak/>
        <w:t>Economic analysis</w:t>
      </w:r>
      <w:bookmarkEnd w:id="9"/>
      <w:r w:rsidR="00491B3A" w:rsidRPr="00137230">
        <w:rPr>
          <w:i/>
        </w:rPr>
        <w:t xml:space="preserve"> </w:t>
      </w:r>
    </w:p>
    <w:p w:rsidR="00B60939" w:rsidRPr="00137230" w:rsidRDefault="00B60939" w:rsidP="005A7E75">
      <w:pPr>
        <w:widowControl/>
        <w:ind w:left="720" w:hanging="720"/>
        <w:rPr>
          <w:szCs w:val="22"/>
        </w:rPr>
      </w:pPr>
    </w:p>
    <w:p w:rsidR="00275C5A" w:rsidRPr="00465488" w:rsidRDefault="00077420" w:rsidP="00077420">
      <w:pPr>
        <w:pStyle w:val="BodyText"/>
        <w:widowControl/>
        <w:ind w:left="709" w:hanging="709"/>
        <w:jc w:val="both"/>
      </w:pPr>
      <w:r>
        <w:t>6.16</w:t>
      </w:r>
      <w:r>
        <w:tab/>
      </w:r>
      <w:r w:rsidR="00FF7B9B" w:rsidRPr="00137230">
        <w:t xml:space="preserve">The economic evaluation </w:t>
      </w:r>
      <w:r w:rsidR="00AA5531">
        <w:t>wa</w:t>
      </w:r>
      <w:r w:rsidR="00FF7B9B" w:rsidRPr="00137230">
        <w:t>s a cost-</w:t>
      </w:r>
      <w:r w:rsidR="004117E5" w:rsidRPr="00137230">
        <w:t>minimisation</w:t>
      </w:r>
      <w:r w:rsidR="00FF7B9B" w:rsidRPr="00137230">
        <w:t xml:space="preserve"> analysis.</w:t>
      </w:r>
    </w:p>
    <w:p w:rsidR="00A86E8B" w:rsidRPr="00465488" w:rsidRDefault="00A86E8B" w:rsidP="005A7E75">
      <w:pPr>
        <w:pStyle w:val="BodyText"/>
        <w:widowControl/>
        <w:ind w:left="709"/>
        <w:jc w:val="both"/>
      </w:pPr>
    </w:p>
    <w:p w:rsidR="00E12E01" w:rsidRDefault="00077420" w:rsidP="00E12E01">
      <w:pPr>
        <w:pStyle w:val="BodyText"/>
        <w:widowControl/>
        <w:ind w:left="709" w:hanging="709"/>
        <w:jc w:val="both"/>
      </w:pPr>
      <w:r>
        <w:t>6.17</w:t>
      </w:r>
      <w:r>
        <w:tab/>
      </w:r>
      <w:r w:rsidR="00A86E8B" w:rsidRPr="00137230">
        <w:t xml:space="preserve">The </w:t>
      </w:r>
      <w:proofErr w:type="spellStart"/>
      <w:r w:rsidR="00A86E8B" w:rsidRPr="00137230">
        <w:t>equi</w:t>
      </w:r>
      <w:proofErr w:type="spellEnd"/>
      <w:r w:rsidR="00A86E8B" w:rsidRPr="00137230">
        <w:t>-effective doses</w:t>
      </w:r>
      <w:r w:rsidR="005A7E75">
        <w:t xml:space="preserve"> </w:t>
      </w:r>
      <w:r w:rsidR="00AA5531">
        <w:t>were</w:t>
      </w:r>
      <w:r w:rsidR="00A86E8B" w:rsidRPr="00137230">
        <w:t xml:space="preserve"> estimated </w:t>
      </w:r>
      <w:r w:rsidR="004117E5" w:rsidRPr="00137230">
        <w:t xml:space="preserve">as </w:t>
      </w:r>
      <w:r w:rsidR="00FF7B9B" w:rsidRPr="00137230">
        <w:t>1 x 0.5 mL dose of DTaP for 1 x 0.5 mL dose of DTPa.</w:t>
      </w:r>
    </w:p>
    <w:p w:rsidR="007D125E" w:rsidRPr="00465488" w:rsidRDefault="00E12E01" w:rsidP="00E12E01">
      <w:pPr>
        <w:pStyle w:val="BodyText"/>
        <w:widowControl/>
        <w:jc w:val="both"/>
      </w:pPr>
      <w:r w:rsidRPr="00465488">
        <w:t xml:space="preserve"> </w:t>
      </w:r>
    </w:p>
    <w:p w:rsidR="00E12E01" w:rsidRDefault="00077420" w:rsidP="00E12E01">
      <w:pPr>
        <w:pStyle w:val="BodyText"/>
        <w:widowControl/>
        <w:ind w:left="709" w:hanging="709"/>
        <w:jc w:val="both"/>
      </w:pPr>
      <w:r>
        <w:t>6.18</w:t>
      </w:r>
      <w:r>
        <w:tab/>
      </w:r>
      <w:r w:rsidR="00FF7B9B" w:rsidRPr="007D125E">
        <w:t>The submission claim</w:t>
      </w:r>
      <w:r w:rsidR="006723AB" w:rsidRPr="007D125E">
        <w:t>ed</w:t>
      </w:r>
      <w:r w:rsidR="00FF7B9B" w:rsidRPr="007D125E">
        <w:t xml:space="preserve"> that the proposed NIP price of DTPa is not publically available.  Thus the submission assumed a price of </w:t>
      </w:r>
      <w:r w:rsidR="00FF7B9B" w:rsidRPr="009058C4">
        <w:t>$</w:t>
      </w:r>
      <w:r w:rsidR="00CB3830">
        <w:rPr>
          <w:noProof/>
          <w:color w:val="000000"/>
          <w:highlight w:val="black"/>
        </w:rPr>
        <w:t>'''''''''''</w:t>
      </w:r>
      <w:r w:rsidR="00FF7B9B" w:rsidRPr="007D125E">
        <w:t xml:space="preserve">. </w:t>
      </w:r>
      <w:r w:rsidR="00086D02" w:rsidRPr="007D125E">
        <w:t>The ESC noted</w:t>
      </w:r>
      <w:r w:rsidR="006723AB" w:rsidRPr="007D125E">
        <w:t xml:space="preserve"> the</w:t>
      </w:r>
      <w:r w:rsidR="00FF7B9B" w:rsidRPr="007D125E">
        <w:t xml:space="preserve"> actual prices of the two vaccines would be established through a subsequent national tender.</w:t>
      </w:r>
    </w:p>
    <w:p w:rsidR="00FF7B9B" w:rsidRPr="00137230" w:rsidRDefault="00E12E01" w:rsidP="00E12E01">
      <w:pPr>
        <w:pStyle w:val="BodyText"/>
        <w:widowControl/>
        <w:ind w:left="709" w:hanging="709"/>
        <w:jc w:val="both"/>
        <w:rPr>
          <w:szCs w:val="22"/>
        </w:rPr>
      </w:pPr>
      <w:r w:rsidRPr="00137230">
        <w:rPr>
          <w:szCs w:val="22"/>
        </w:rPr>
        <w:t xml:space="preserve"> </w:t>
      </w:r>
    </w:p>
    <w:p w:rsidR="00C25D9C" w:rsidRPr="00137230" w:rsidRDefault="00C25D9C" w:rsidP="005A7E75">
      <w:pPr>
        <w:pStyle w:val="Heading2"/>
        <w:widowControl/>
        <w:rPr>
          <w:i/>
          <w:szCs w:val="22"/>
        </w:rPr>
      </w:pPr>
      <w:bookmarkStart w:id="10" w:name="_Toc419467344"/>
      <w:r w:rsidRPr="00137230">
        <w:rPr>
          <w:i/>
        </w:rPr>
        <w:t>Drug</w:t>
      </w:r>
      <w:r w:rsidR="00FF7B9B" w:rsidRPr="00137230">
        <w:rPr>
          <w:i/>
        </w:rPr>
        <w:t xml:space="preserve"> cost/patient</w:t>
      </w:r>
      <w:r w:rsidR="007D1358">
        <w:rPr>
          <w:i/>
        </w:rPr>
        <w:t>:</w:t>
      </w:r>
      <w:bookmarkEnd w:id="10"/>
    </w:p>
    <w:p w:rsidR="00C25D9C" w:rsidRPr="00137230" w:rsidRDefault="00C25D9C" w:rsidP="005A7E75">
      <w:pPr>
        <w:widowControl/>
        <w:rPr>
          <w:szCs w:val="22"/>
        </w:rPr>
      </w:pPr>
    </w:p>
    <w:p w:rsidR="00A86E8B" w:rsidRPr="00465488" w:rsidRDefault="00077420" w:rsidP="00077420">
      <w:pPr>
        <w:pStyle w:val="BodyText"/>
        <w:widowControl/>
        <w:ind w:left="709" w:hanging="709"/>
        <w:jc w:val="both"/>
      </w:pPr>
      <w:r>
        <w:t>6.19</w:t>
      </w:r>
      <w:r>
        <w:tab/>
      </w:r>
      <w:r w:rsidR="00FF7B9B" w:rsidRPr="00137230">
        <w:t>The proposed treatment consists of a single additi</w:t>
      </w:r>
      <w:r w:rsidR="007D1358">
        <w:t>onal booster dose of DTaP at 18 </w:t>
      </w:r>
      <w:r w:rsidR="00FF7B9B" w:rsidRPr="00137230">
        <w:t xml:space="preserve">months, with a medication cost of </w:t>
      </w:r>
      <w:r w:rsidR="00FF7B9B" w:rsidRPr="009058C4">
        <w:t>$</w:t>
      </w:r>
      <w:r w:rsidR="00CB3830">
        <w:rPr>
          <w:noProof/>
          <w:color w:val="000000"/>
          <w:highlight w:val="black"/>
        </w:rPr>
        <w:t>''''''''''</w:t>
      </w:r>
      <w:r w:rsidR="00FF7B9B" w:rsidRPr="00137230">
        <w:t xml:space="preserve"> (assumed price). </w:t>
      </w:r>
    </w:p>
    <w:p w:rsidR="00B60939" w:rsidRPr="00137230" w:rsidRDefault="00B60939" w:rsidP="005A7E75">
      <w:pPr>
        <w:widowControl/>
        <w:rPr>
          <w:szCs w:val="22"/>
        </w:rPr>
      </w:pPr>
    </w:p>
    <w:p w:rsidR="00B60939" w:rsidRPr="00137230" w:rsidRDefault="00B60939" w:rsidP="005A7E75">
      <w:pPr>
        <w:pStyle w:val="Heading2"/>
        <w:widowControl/>
        <w:rPr>
          <w:i/>
        </w:rPr>
      </w:pPr>
      <w:bookmarkStart w:id="11" w:name="_Toc419467345"/>
      <w:r w:rsidRPr="00137230">
        <w:rPr>
          <w:i/>
        </w:rPr>
        <w:t>Estimated PBS usage &amp; financial implications</w:t>
      </w:r>
      <w:bookmarkEnd w:id="11"/>
    </w:p>
    <w:p w:rsidR="00B60939" w:rsidRPr="00137230" w:rsidRDefault="00B60939" w:rsidP="005A7E75">
      <w:pPr>
        <w:widowControl/>
        <w:ind w:left="720" w:hanging="720"/>
        <w:rPr>
          <w:b/>
          <w:i/>
          <w:szCs w:val="22"/>
        </w:rPr>
      </w:pPr>
    </w:p>
    <w:p w:rsidR="00E12E01" w:rsidRDefault="00077420" w:rsidP="00E12E01">
      <w:pPr>
        <w:pStyle w:val="BodyText"/>
        <w:widowControl/>
        <w:ind w:left="709" w:hanging="709"/>
        <w:jc w:val="both"/>
      </w:pPr>
      <w:r>
        <w:t>6.20</w:t>
      </w:r>
      <w:r>
        <w:tab/>
      </w:r>
      <w:r w:rsidR="00E30B30" w:rsidRPr="00137230">
        <w:t xml:space="preserve">This submission </w:t>
      </w:r>
      <w:r w:rsidR="008A4A59">
        <w:t>was not</w:t>
      </w:r>
      <w:r w:rsidR="00C25D9C" w:rsidRPr="00137230">
        <w:t xml:space="preserve"> considered by DUSC.</w:t>
      </w:r>
    </w:p>
    <w:p w:rsidR="007D1358" w:rsidRPr="00465488" w:rsidRDefault="00E12E01" w:rsidP="00E12E01">
      <w:pPr>
        <w:pStyle w:val="BodyText"/>
        <w:widowControl/>
        <w:ind w:left="709" w:hanging="709"/>
        <w:jc w:val="both"/>
      </w:pPr>
      <w:r w:rsidRPr="00465488">
        <w:t xml:space="preserve"> </w:t>
      </w:r>
    </w:p>
    <w:p w:rsidR="002E0EC0" w:rsidRPr="00465488" w:rsidRDefault="00077420" w:rsidP="00077420">
      <w:pPr>
        <w:pStyle w:val="BodyText"/>
        <w:widowControl/>
        <w:ind w:left="709" w:hanging="709"/>
        <w:jc w:val="both"/>
      </w:pPr>
      <w:r>
        <w:t>6.21</w:t>
      </w:r>
      <w:r>
        <w:tab/>
      </w:r>
      <w:r w:rsidR="00E30B30" w:rsidRPr="00137230">
        <w:t>The submission</w:t>
      </w:r>
      <w:r w:rsidR="002E0EC0" w:rsidRPr="00137230">
        <w:t>:</w:t>
      </w:r>
      <w:r w:rsidR="00E30B30" w:rsidRPr="00137230">
        <w:t xml:space="preserve"> </w:t>
      </w:r>
    </w:p>
    <w:p w:rsidR="002E0EC0" w:rsidRPr="00137230" w:rsidRDefault="00E30B30" w:rsidP="005A7E75">
      <w:pPr>
        <w:pStyle w:val="ListParagraph"/>
        <w:widowControl/>
        <w:numPr>
          <w:ilvl w:val="1"/>
          <w:numId w:val="34"/>
        </w:numPr>
        <w:ind w:left="993" w:hanging="284"/>
        <w:rPr>
          <w:szCs w:val="22"/>
        </w:rPr>
      </w:pPr>
      <w:r w:rsidRPr="00137230">
        <w:t>assume</w:t>
      </w:r>
      <w:r w:rsidR="00AA5531">
        <w:t>d</w:t>
      </w:r>
      <w:r w:rsidRPr="00137230">
        <w:t xml:space="preserve"> there will be no market growth for 18-month DTaP containing vaccines</w:t>
      </w:r>
      <w:r w:rsidR="00AA5531">
        <w:t>;</w:t>
      </w:r>
      <w:r w:rsidRPr="00137230">
        <w:t xml:space="preserve"> </w:t>
      </w:r>
    </w:p>
    <w:p w:rsidR="002E0EC0" w:rsidRPr="00847F85" w:rsidRDefault="002E0EC0" w:rsidP="005A7E75">
      <w:pPr>
        <w:pStyle w:val="ListParagraph"/>
        <w:widowControl/>
        <w:numPr>
          <w:ilvl w:val="1"/>
          <w:numId w:val="34"/>
        </w:numPr>
        <w:ind w:left="993" w:hanging="284"/>
        <w:rPr>
          <w:szCs w:val="22"/>
        </w:rPr>
      </w:pPr>
      <w:proofErr w:type="gramStart"/>
      <w:r w:rsidRPr="00847F85">
        <w:t>exclude</w:t>
      </w:r>
      <w:r w:rsidR="00AA5531" w:rsidRPr="00847F85">
        <w:t>d</w:t>
      </w:r>
      <w:proofErr w:type="gramEnd"/>
      <w:r w:rsidRPr="00847F85">
        <w:t xml:space="preserve"> </w:t>
      </w:r>
      <w:r w:rsidR="00EF3EE2" w:rsidRPr="00847F85">
        <w:t xml:space="preserve">administration costs and </w:t>
      </w:r>
      <w:r w:rsidRPr="00847F85">
        <w:t xml:space="preserve">the cost </w:t>
      </w:r>
      <w:r w:rsidRPr="00847F85">
        <w:rPr>
          <w:iCs/>
        </w:rPr>
        <w:t>of adverse events</w:t>
      </w:r>
      <w:r w:rsidRPr="00847F85">
        <w:t xml:space="preserve"> (</w:t>
      </w:r>
      <w:r w:rsidRPr="00847F85">
        <w:rPr>
          <w:iCs/>
        </w:rPr>
        <w:t>likely cost underestimate)</w:t>
      </w:r>
      <w:r w:rsidR="009D18E3" w:rsidRPr="00847F85">
        <w:rPr>
          <w:iCs/>
        </w:rPr>
        <w:t>. The ESC noted the</w:t>
      </w:r>
      <w:r w:rsidR="00AA5531" w:rsidRPr="00847F85">
        <w:rPr>
          <w:iCs/>
        </w:rPr>
        <w:t xml:space="preserve"> </w:t>
      </w:r>
      <w:r w:rsidR="00086D02" w:rsidRPr="00847F85">
        <w:rPr>
          <w:iCs/>
        </w:rPr>
        <w:t>Pre-Sub-Committee Response</w:t>
      </w:r>
      <w:r w:rsidR="00EF3EE2" w:rsidRPr="00847F85">
        <w:rPr>
          <w:iCs/>
        </w:rPr>
        <w:t xml:space="preserve"> </w:t>
      </w:r>
      <w:r w:rsidR="009D18E3" w:rsidRPr="00847F85">
        <w:rPr>
          <w:iCs/>
        </w:rPr>
        <w:t>argu</w:t>
      </w:r>
      <w:r w:rsidR="00086D02" w:rsidRPr="00847F85">
        <w:rPr>
          <w:iCs/>
        </w:rPr>
        <w:t>ed</w:t>
      </w:r>
      <w:r w:rsidR="00EF3EE2" w:rsidRPr="00847F85">
        <w:rPr>
          <w:iCs/>
        </w:rPr>
        <w:t xml:space="preserve"> that these costs would be no </w:t>
      </w:r>
      <w:r w:rsidR="009D18E3" w:rsidRPr="00847F85">
        <w:rPr>
          <w:iCs/>
        </w:rPr>
        <w:t>different</w:t>
      </w:r>
      <w:r w:rsidR="00EF3EE2" w:rsidRPr="00847F85">
        <w:rPr>
          <w:iCs/>
        </w:rPr>
        <w:t xml:space="preserve"> whether DTaP or DTPa</w:t>
      </w:r>
      <w:r w:rsidR="00086D02" w:rsidRPr="00847F85">
        <w:rPr>
          <w:iCs/>
        </w:rPr>
        <w:t xml:space="preserve"> were used</w:t>
      </w:r>
      <w:r w:rsidR="00EC0D8D" w:rsidRPr="00847F85">
        <w:rPr>
          <w:iCs/>
        </w:rPr>
        <w:t>, however considered that</w:t>
      </w:r>
      <w:r w:rsidR="009D18E3" w:rsidRPr="00847F85">
        <w:rPr>
          <w:iCs/>
        </w:rPr>
        <w:t xml:space="preserve"> there was no data to either support or refute this claim</w:t>
      </w:r>
      <w:r w:rsidR="00AA5531" w:rsidRPr="00847F85">
        <w:rPr>
          <w:iCs/>
        </w:rPr>
        <w:t>; and</w:t>
      </w:r>
      <w:r w:rsidR="00EF3EE2" w:rsidRPr="00847F85">
        <w:rPr>
          <w:iCs/>
        </w:rPr>
        <w:t xml:space="preserve"> </w:t>
      </w:r>
    </w:p>
    <w:p w:rsidR="00C25D9C" w:rsidRPr="00847F85" w:rsidRDefault="00AA5531" w:rsidP="005A7E75">
      <w:pPr>
        <w:pStyle w:val="ListParagraph"/>
        <w:widowControl/>
        <w:numPr>
          <w:ilvl w:val="1"/>
          <w:numId w:val="34"/>
        </w:numPr>
        <w:ind w:left="993" w:hanging="284"/>
        <w:rPr>
          <w:szCs w:val="22"/>
        </w:rPr>
      </w:pPr>
      <w:proofErr w:type="gramStart"/>
      <w:r w:rsidRPr="00847F85">
        <w:t>assumed</w:t>
      </w:r>
      <w:proofErr w:type="gramEnd"/>
      <w:r w:rsidRPr="00847F85">
        <w:t xml:space="preserve"> </w:t>
      </w:r>
      <w:r w:rsidR="00E30B30" w:rsidRPr="00847F85">
        <w:t xml:space="preserve">the uptake for DTaP will be </w:t>
      </w:r>
      <w:r w:rsidR="00CB3830">
        <w:rPr>
          <w:noProof/>
          <w:color w:val="000000"/>
          <w:highlight w:val="black"/>
        </w:rPr>
        <w:t>''''''</w:t>
      </w:r>
      <w:r w:rsidR="00E30B30" w:rsidRPr="00847F85">
        <w:t>%.</w:t>
      </w:r>
    </w:p>
    <w:p w:rsidR="00C25D9C" w:rsidRPr="00137230" w:rsidRDefault="00C25D9C" w:rsidP="005A7E75">
      <w:pPr>
        <w:widowControl/>
        <w:rPr>
          <w:szCs w:val="22"/>
          <w:highlight w:val="green"/>
        </w:rPr>
      </w:pPr>
    </w:p>
    <w:p w:rsidR="00C25D9C" w:rsidRPr="00137230" w:rsidRDefault="00C25D9C" w:rsidP="005A7E75">
      <w:pPr>
        <w:keepNext/>
        <w:widowControl/>
        <w:ind w:firstLine="709"/>
        <w:rPr>
          <w:rStyle w:val="CommentReference"/>
        </w:rPr>
      </w:pPr>
      <w:r w:rsidRPr="00137230">
        <w:rPr>
          <w:rStyle w:val="CommentReference"/>
        </w:rPr>
        <w:t xml:space="preserve">Table </w:t>
      </w:r>
      <w:r w:rsidR="00E30B30" w:rsidRPr="00137230">
        <w:rPr>
          <w:rStyle w:val="CommentReference"/>
        </w:rPr>
        <w:t>10</w:t>
      </w:r>
      <w:r w:rsidRPr="00137230">
        <w:rPr>
          <w:rStyle w:val="CommentReference"/>
        </w:rPr>
        <w:t>: Estimated use and financial implications</w:t>
      </w:r>
    </w:p>
    <w:tbl>
      <w:tblPr>
        <w:tblStyle w:val="Submissionstandard"/>
        <w:tblW w:w="4449" w:type="pct"/>
        <w:tblInd w:w="817" w:type="dxa"/>
        <w:tblLook w:val="01E0" w:firstRow="1" w:lastRow="1" w:firstColumn="1" w:lastColumn="1" w:noHBand="0" w:noVBand="0"/>
        <w:tblCaption w:val="Estimated use and financial implications"/>
        <w:tblDescription w:val="The redacted table above shows that the assumption of market uptake will have little impact on the overall cost estimates. The net cost to the NIP was estimated to be nil as the submission assumed that DTaP will be a direct substitute for DTPa."/>
      </w:tblPr>
      <w:tblGrid>
        <w:gridCol w:w="1555"/>
        <w:gridCol w:w="1275"/>
        <w:gridCol w:w="1148"/>
        <w:gridCol w:w="1273"/>
        <w:gridCol w:w="1416"/>
        <w:gridCol w:w="1557"/>
      </w:tblGrid>
      <w:tr w:rsidR="00E30B30" w:rsidRPr="00137230" w:rsidTr="000779C2">
        <w:trPr>
          <w:cnfStyle w:val="100000000000" w:firstRow="1" w:lastRow="0" w:firstColumn="0" w:lastColumn="0" w:oddVBand="0" w:evenVBand="0" w:oddHBand="0" w:evenHBand="0" w:firstRowFirstColumn="0" w:firstRowLastColumn="0" w:lastRowFirstColumn="0" w:lastRowLastColumn="0"/>
          <w:trHeight w:val="259"/>
          <w:tblHeader/>
        </w:trPr>
        <w:tc>
          <w:tcPr>
            <w:tcW w:w="947" w:type="pct"/>
            <w:shd w:val="clear" w:color="auto" w:fill="auto"/>
            <w:vAlign w:val="center"/>
          </w:tcPr>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Parameter</w:t>
            </w:r>
          </w:p>
        </w:tc>
        <w:tc>
          <w:tcPr>
            <w:tcW w:w="777" w:type="pct"/>
            <w:shd w:val="clear" w:color="auto" w:fill="auto"/>
            <w:noWrap/>
            <w:vAlign w:val="center"/>
          </w:tcPr>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Year 1</w:t>
            </w:r>
          </w:p>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2016</w:t>
            </w:r>
          </w:p>
        </w:tc>
        <w:tc>
          <w:tcPr>
            <w:tcW w:w="691" w:type="pct"/>
            <w:shd w:val="clear" w:color="auto" w:fill="auto"/>
            <w:noWrap/>
            <w:vAlign w:val="center"/>
          </w:tcPr>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Year 2</w:t>
            </w:r>
          </w:p>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2017</w:t>
            </w:r>
          </w:p>
        </w:tc>
        <w:tc>
          <w:tcPr>
            <w:tcW w:w="775" w:type="pct"/>
            <w:shd w:val="clear" w:color="auto" w:fill="auto"/>
            <w:noWrap/>
            <w:vAlign w:val="center"/>
          </w:tcPr>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Year 3</w:t>
            </w:r>
          </w:p>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2018</w:t>
            </w:r>
          </w:p>
        </w:tc>
        <w:tc>
          <w:tcPr>
            <w:tcW w:w="862" w:type="pct"/>
            <w:shd w:val="clear" w:color="auto" w:fill="auto"/>
            <w:noWrap/>
            <w:vAlign w:val="center"/>
          </w:tcPr>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Year 4</w:t>
            </w:r>
          </w:p>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2019</w:t>
            </w:r>
          </w:p>
        </w:tc>
        <w:tc>
          <w:tcPr>
            <w:tcW w:w="948" w:type="pct"/>
            <w:shd w:val="clear" w:color="auto" w:fill="auto"/>
            <w:vAlign w:val="center"/>
          </w:tcPr>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Year 5</w:t>
            </w:r>
          </w:p>
          <w:p w:rsidR="00E30B30" w:rsidRPr="00137230" w:rsidRDefault="00E30B30" w:rsidP="005A7E75">
            <w:pPr>
              <w:keepNext/>
              <w:widowControl/>
              <w:jc w:val="left"/>
              <w:rPr>
                <w:rStyle w:val="CommentReference"/>
                <w:rFonts w:eastAsia="SimSun"/>
                <w:b/>
                <w:lang w:val="en-AU" w:bidi="ar-SA"/>
              </w:rPr>
            </w:pPr>
            <w:r w:rsidRPr="00137230">
              <w:rPr>
                <w:rStyle w:val="CommentReference"/>
                <w:rFonts w:eastAsia="SimSun"/>
                <w:b/>
                <w:lang w:val="en-AU" w:bidi="ar-SA"/>
              </w:rPr>
              <w:t>2020</w:t>
            </w:r>
          </w:p>
        </w:tc>
      </w:tr>
      <w:tr w:rsidR="00E30B30" w:rsidRPr="00137230" w:rsidTr="00A9446A">
        <w:trPr>
          <w:trHeight w:val="259"/>
        </w:trPr>
        <w:tc>
          <w:tcPr>
            <w:tcW w:w="5000" w:type="pct"/>
            <w:gridSpan w:val="6"/>
            <w:shd w:val="clear" w:color="auto" w:fill="auto"/>
            <w:vAlign w:val="center"/>
          </w:tcPr>
          <w:p w:rsidR="00E30B30" w:rsidRPr="007D1358" w:rsidRDefault="00E30B30" w:rsidP="005A7E75">
            <w:pPr>
              <w:keepNext/>
              <w:widowControl/>
              <w:jc w:val="left"/>
              <w:rPr>
                <w:rStyle w:val="CommentReference"/>
                <w:i/>
                <w:lang w:val="en-AU"/>
              </w:rPr>
            </w:pPr>
            <w:r w:rsidRPr="007D1358">
              <w:rPr>
                <w:rStyle w:val="CommentReference"/>
                <w:rFonts w:eastAsia="SimSun"/>
                <w:i/>
                <w:lang w:val="en-AU" w:bidi="ar-SA"/>
              </w:rPr>
              <w:t>Cost to NIP</w:t>
            </w:r>
          </w:p>
        </w:tc>
      </w:tr>
      <w:tr w:rsidR="00E30B30" w:rsidRPr="00137230" w:rsidTr="00A9446A">
        <w:trPr>
          <w:trHeight w:val="259"/>
        </w:trPr>
        <w:tc>
          <w:tcPr>
            <w:tcW w:w="947" w:type="pct"/>
            <w:vAlign w:val="center"/>
          </w:tcPr>
          <w:p w:rsidR="00E30B30" w:rsidRPr="00137230" w:rsidRDefault="00E30B30" w:rsidP="005A7E75">
            <w:pPr>
              <w:keepNext/>
              <w:widowControl/>
              <w:jc w:val="left"/>
              <w:rPr>
                <w:rStyle w:val="CommentReference"/>
                <w:rFonts w:eastAsia="SimSun"/>
                <w:b w:val="0"/>
                <w:lang w:val="en-AU" w:bidi="ar-SA"/>
              </w:rPr>
            </w:pPr>
            <w:r w:rsidRPr="00137230">
              <w:rPr>
                <w:rStyle w:val="CommentReference"/>
                <w:rFonts w:eastAsia="SimSun"/>
                <w:b w:val="0"/>
                <w:lang w:val="en-AU" w:bidi="ar-SA"/>
              </w:rPr>
              <w:t>Total (</w:t>
            </w:r>
            <w:proofErr w:type="spellStart"/>
            <w:r w:rsidRPr="00137230">
              <w:rPr>
                <w:rStyle w:val="CommentReference"/>
                <w:rFonts w:eastAsia="SimSun"/>
                <w:b w:val="0"/>
                <w:lang w:val="en-AU" w:bidi="ar-SA"/>
              </w:rPr>
              <w:t>Tripacel</w:t>
            </w:r>
            <w:proofErr w:type="spellEnd"/>
            <w:r w:rsidRPr="00137230">
              <w:rPr>
                <w:rStyle w:val="CommentReference"/>
                <w:rFonts w:eastAsia="SimSun"/>
                <w:b w:val="0"/>
                <w:lang w:val="en-AU" w:bidi="ar-SA"/>
              </w:rPr>
              <w:t>)</w:t>
            </w:r>
          </w:p>
        </w:tc>
        <w:tc>
          <w:tcPr>
            <w:tcW w:w="777"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w:t>
            </w:r>
            <w:r w:rsidR="00CB3830">
              <w:rPr>
                <w:rStyle w:val="CommentReference"/>
                <w:rFonts w:eastAsia="SimSun"/>
                <w:b w:val="0"/>
                <w:noProof/>
                <w:color w:val="000000"/>
                <w:highlight w:val="black"/>
                <w:lang w:val="en-AU" w:bidi="ar-SA"/>
              </w:rPr>
              <w:t>'''''''''''''''''''''''</w:t>
            </w:r>
          </w:p>
        </w:tc>
        <w:tc>
          <w:tcPr>
            <w:tcW w:w="691"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w:t>
            </w:r>
            <w:r w:rsidR="00CB3830">
              <w:rPr>
                <w:rStyle w:val="CommentReference"/>
                <w:rFonts w:eastAsia="SimSun"/>
                <w:b w:val="0"/>
                <w:noProof/>
                <w:color w:val="000000"/>
                <w:highlight w:val="black"/>
                <w:lang w:val="en-AU" w:bidi="ar-SA"/>
              </w:rPr>
              <w:t>'''''''''''''''''''''</w:t>
            </w:r>
          </w:p>
        </w:tc>
        <w:tc>
          <w:tcPr>
            <w:tcW w:w="775"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w:t>
            </w:r>
            <w:r w:rsidR="00CB3830">
              <w:rPr>
                <w:rStyle w:val="CommentReference"/>
                <w:rFonts w:eastAsia="SimSun"/>
                <w:b w:val="0"/>
                <w:noProof/>
                <w:color w:val="000000"/>
                <w:highlight w:val="black"/>
                <w:lang w:val="en-AU" w:bidi="ar-SA"/>
              </w:rPr>
              <w:t>'''''''''''''''''''''''</w:t>
            </w:r>
          </w:p>
        </w:tc>
        <w:tc>
          <w:tcPr>
            <w:tcW w:w="862"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w:t>
            </w:r>
            <w:r w:rsidR="00CB3830">
              <w:rPr>
                <w:rStyle w:val="CommentReference"/>
                <w:rFonts w:eastAsia="SimSun"/>
                <w:b w:val="0"/>
                <w:noProof/>
                <w:color w:val="000000"/>
                <w:highlight w:val="black"/>
                <w:lang w:val="en-AU" w:bidi="ar-SA"/>
              </w:rPr>
              <w:t>'''''''''''''''''''''''''</w:t>
            </w:r>
          </w:p>
        </w:tc>
        <w:tc>
          <w:tcPr>
            <w:tcW w:w="948" w:type="pct"/>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w:t>
            </w:r>
            <w:r w:rsidR="00CB3830">
              <w:rPr>
                <w:rStyle w:val="CommentReference"/>
                <w:rFonts w:eastAsia="SimSun"/>
                <w:b w:val="0"/>
                <w:noProof/>
                <w:color w:val="000000"/>
                <w:highlight w:val="black"/>
                <w:lang w:val="en-AU" w:bidi="ar-SA"/>
              </w:rPr>
              <w:t>''''''''''''''''''''''</w:t>
            </w:r>
          </w:p>
        </w:tc>
      </w:tr>
      <w:tr w:rsidR="00E30B30" w:rsidRPr="00137230" w:rsidTr="00A9446A">
        <w:trPr>
          <w:trHeight w:val="259"/>
        </w:trPr>
        <w:tc>
          <w:tcPr>
            <w:tcW w:w="947" w:type="pct"/>
            <w:vAlign w:val="center"/>
          </w:tcPr>
          <w:p w:rsidR="00E30B30" w:rsidRPr="00137230" w:rsidRDefault="00E30B30" w:rsidP="005A7E75">
            <w:pPr>
              <w:keepNext/>
              <w:widowControl/>
              <w:jc w:val="left"/>
              <w:rPr>
                <w:rStyle w:val="CommentReference"/>
                <w:rFonts w:eastAsia="SimSun"/>
                <w:b w:val="0"/>
                <w:lang w:val="en-AU" w:bidi="ar-SA"/>
              </w:rPr>
            </w:pPr>
            <w:r w:rsidRPr="00137230">
              <w:rPr>
                <w:rStyle w:val="CommentReference"/>
                <w:rFonts w:eastAsia="SimSun"/>
                <w:b w:val="0"/>
                <w:lang w:val="en-AU" w:bidi="ar-SA"/>
              </w:rPr>
              <w:t>Change (Infanrix)</w:t>
            </w:r>
          </w:p>
        </w:tc>
        <w:tc>
          <w:tcPr>
            <w:tcW w:w="777"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w:t>
            </w:r>
            <w:r w:rsidR="00CB3830">
              <w:rPr>
                <w:rStyle w:val="CommentReference"/>
                <w:rFonts w:eastAsia="SimSun"/>
                <w:b w:val="0"/>
                <w:noProof/>
                <w:color w:val="000000"/>
                <w:highlight w:val="black"/>
                <w:lang w:val="en-AU" w:bidi="ar-SA"/>
              </w:rPr>
              <w:t>''''''''''''''''''''''''</w:t>
            </w:r>
          </w:p>
        </w:tc>
        <w:tc>
          <w:tcPr>
            <w:tcW w:w="691"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w:t>
            </w:r>
            <w:r w:rsidR="00CB3830">
              <w:rPr>
                <w:rStyle w:val="CommentReference"/>
                <w:rFonts w:eastAsia="SimSun"/>
                <w:b w:val="0"/>
                <w:noProof/>
                <w:color w:val="000000"/>
                <w:highlight w:val="black"/>
                <w:lang w:val="en-AU" w:bidi="ar-SA"/>
              </w:rPr>
              <w:t>'''''''''''''''''''''''''</w:t>
            </w:r>
          </w:p>
        </w:tc>
        <w:tc>
          <w:tcPr>
            <w:tcW w:w="775"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w:t>
            </w:r>
            <w:r w:rsidR="00CB3830">
              <w:rPr>
                <w:rStyle w:val="CommentReference"/>
                <w:rFonts w:eastAsia="SimSun"/>
                <w:b w:val="0"/>
                <w:noProof/>
                <w:color w:val="000000"/>
                <w:highlight w:val="black"/>
                <w:lang w:val="en-AU" w:bidi="ar-SA"/>
              </w:rPr>
              <w:t>'''''''''''''''''''''''</w:t>
            </w:r>
          </w:p>
        </w:tc>
        <w:tc>
          <w:tcPr>
            <w:tcW w:w="862"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w:t>
            </w:r>
            <w:r w:rsidR="00CB3830">
              <w:rPr>
                <w:rStyle w:val="CommentReference"/>
                <w:rFonts w:eastAsia="SimSun"/>
                <w:b w:val="0"/>
                <w:noProof/>
                <w:color w:val="000000"/>
                <w:highlight w:val="black"/>
                <w:lang w:val="en-AU" w:bidi="ar-SA"/>
              </w:rPr>
              <w:t>'''''''''''''''''''''''</w:t>
            </w:r>
          </w:p>
        </w:tc>
        <w:tc>
          <w:tcPr>
            <w:tcW w:w="948" w:type="pct"/>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w:t>
            </w:r>
            <w:r w:rsidR="00CB3830">
              <w:rPr>
                <w:rStyle w:val="CommentReference"/>
                <w:rFonts w:eastAsia="SimSun"/>
                <w:b w:val="0"/>
                <w:noProof/>
                <w:color w:val="000000"/>
                <w:highlight w:val="black"/>
                <w:lang w:val="en-AU" w:bidi="ar-SA"/>
              </w:rPr>
              <w:t>'''''''''''''''''''''</w:t>
            </w:r>
          </w:p>
        </w:tc>
      </w:tr>
      <w:tr w:rsidR="00E30B30" w:rsidRPr="00137230" w:rsidTr="00A9446A">
        <w:trPr>
          <w:trHeight w:val="259"/>
        </w:trPr>
        <w:tc>
          <w:tcPr>
            <w:tcW w:w="947" w:type="pct"/>
            <w:vAlign w:val="center"/>
          </w:tcPr>
          <w:p w:rsidR="00E30B30" w:rsidRPr="00137230" w:rsidRDefault="00E30B30" w:rsidP="005A7E75">
            <w:pPr>
              <w:keepNext/>
              <w:widowControl/>
              <w:jc w:val="left"/>
              <w:rPr>
                <w:rStyle w:val="CommentReference"/>
                <w:rFonts w:eastAsia="SimSun"/>
                <w:b w:val="0"/>
                <w:lang w:val="en-AU" w:bidi="ar-SA"/>
              </w:rPr>
            </w:pPr>
            <w:r w:rsidRPr="00137230">
              <w:rPr>
                <w:rStyle w:val="CommentReference"/>
                <w:rFonts w:eastAsia="SimSun"/>
                <w:b w:val="0"/>
                <w:lang w:val="en-AU" w:bidi="ar-SA"/>
              </w:rPr>
              <w:t>Net total cost</w:t>
            </w:r>
          </w:p>
        </w:tc>
        <w:tc>
          <w:tcPr>
            <w:tcW w:w="777"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$0</w:t>
            </w:r>
          </w:p>
        </w:tc>
        <w:tc>
          <w:tcPr>
            <w:tcW w:w="691"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$0</w:t>
            </w:r>
          </w:p>
        </w:tc>
        <w:tc>
          <w:tcPr>
            <w:tcW w:w="775"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$0</w:t>
            </w:r>
          </w:p>
        </w:tc>
        <w:tc>
          <w:tcPr>
            <w:tcW w:w="862" w:type="pct"/>
            <w:noWrap/>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$0</w:t>
            </w:r>
          </w:p>
        </w:tc>
        <w:tc>
          <w:tcPr>
            <w:tcW w:w="948" w:type="pct"/>
            <w:vAlign w:val="center"/>
          </w:tcPr>
          <w:p w:rsidR="00E30B30" w:rsidRPr="00FE664D" w:rsidRDefault="00E30B30" w:rsidP="005A7E75">
            <w:pPr>
              <w:keepNext/>
              <w:widowControl/>
              <w:jc w:val="left"/>
              <w:rPr>
                <w:rStyle w:val="CommentReference"/>
                <w:rFonts w:eastAsia="SimSun"/>
                <w:b w:val="0"/>
                <w:lang w:val="en-AU" w:bidi="ar-SA"/>
              </w:rPr>
            </w:pPr>
            <w:r w:rsidRPr="00FE664D">
              <w:rPr>
                <w:rStyle w:val="CommentReference"/>
                <w:rFonts w:eastAsia="SimSun"/>
                <w:b w:val="0"/>
                <w:lang w:val="en-AU" w:bidi="ar-SA"/>
              </w:rPr>
              <w:t>$0</w:t>
            </w:r>
          </w:p>
        </w:tc>
      </w:tr>
    </w:tbl>
    <w:p w:rsidR="00E30B30" w:rsidRPr="00137230" w:rsidRDefault="00E30B30" w:rsidP="005A7E75">
      <w:pPr>
        <w:widowControl/>
        <w:ind w:left="720"/>
        <w:rPr>
          <w:rStyle w:val="CommentReference"/>
          <w:b w:val="0"/>
        </w:rPr>
      </w:pPr>
      <w:r w:rsidRPr="00137230">
        <w:rPr>
          <w:rStyle w:val="CommentReference"/>
          <w:b w:val="0"/>
        </w:rPr>
        <w:t>Source: Table E.4-1, p69 of the submission.</w:t>
      </w:r>
    </w:p>
    <w:p w:rsidR="00C25D9C" w:rsidRPr="00137230" w:rsidRDefault="00C25D9C" w:rsidP="005A7E75">
      <w:pPr>
        <w:widowControl/>
        <w:rPr>
          <w:szCs w:val="22"/>
          <w:highlight w:val="green"/>
        </w:rPr>
      </w:pPr>
    </w:p>
    <w:p w:rsidR="00E30B30" w:rsidRPr="00DE77E6" w:rsidRDefault="00DE77E6" w:rsidP="00DE77E6">
      <w:pPr>
        <w:pStyle w:val="BodyText"/>
        <w:widowControl/>
        <w:ind w:left="709" w:hanging="709"/>
        <w:jc w:val="both"/>
      </w:pPr>
      <w:r>
        <w:t>6.22</w:t>
      </w:r>
      <w:r>
        <w:tab/>
      </w:r>
      <w:r w:rsidR="00FE664D" w:rsidRPr="00DE77E6">
        <w:t>The redacted table above shows that t</w:t>
      </w:r>
      <w:r w:rsidR="00E30B30" w:rsidRPr="00DE77E6">
        <w:t xml:space="preserve">he assumption of market uptake will have little impact on the overall cost estimates. </w:t>
      </w:r>
      <w:r w:rsidR="002E0EC0" w:rsidRPr="00DE77E6">
        <w:t xml:space="preserve">The net cost to the NIP was </w:t>
      </w:r>
      <w:r w:rsidR="0009249D" w:rsidRPr="00DE77E6">
        <w:t xml:space="preserve">estimated to be </w:t>
      </w:r>
      <w:r w:rsidR="002E0EC0" w:rsidRPr="00DE77E6">
        <w:t xml:space="preserve">nil as the submission </w:t>
      </w:r>
      <w:r w:rsidR="00AA5531" w:rsidRPr="00DE77E6">
        <w:t>assumed</w:t>
      </w:r>
      <w:r w:rsidR="002E0EC0" w:rsidRPr="00DE77E6">
        <w:t xml:space="preserve"> that DTaP will be a direct substitute for DTPa.</w:t>
      </w:r>
    </w:p>
    <w:p w:rsidR="008A4A59" w:rsidRDefault="008A4A59" w:rsidP="005A7E75">
      <w:pPr>
        <w:pStyle w:val="PBACHeading1"/>
        <w:ind w:left="720" w:hanging="720"/>
      </w:pPr>
    </w:p>
    <w:p w:rsidR="00553EFD" w:rsidRDefault="00A5282F" w:rsidP="00A9446A">
      <w:pPr>
        <w:pStyle w:val="ListParagraph"/>
        <w:ind w:left="709"/>
        <w:rPr>
          <w:i/>
          <w:szCs w:val="22"/>
        </w:rPr>
      </w:pPr>
      <w:r w:rsidRPr="006E451A">
        <w:rPr>
          <w:i/>
          <w:szCs w:val="22"/>
        </w:rPr>
        <w:t>For more detail on PBAC’s view, see section 7 “PBAC outcome”</w:t>
      </w:r>
    </w:p>
    <w:p w:rsidR="00A5282F" w:rsidRPr="00553EFD" w:rsidRDefault="00553EFD" w:rsidP="00553EFD">
      <w:pPr>
        <w:widowControl/>
        <w:jc w:val="left"/>
        <w:rPr>
          <w:i/>
          <w:szCs w:val="22"/>
        </w:rPr>
      </w:pPr>
      <w:r>
        <w:rPr>
          <w:i/>
          <w:szCs w:val="22"/>
        </w:rPr>
        <w:br w:type="page"/>
      </w:r>
    </w:p>
    <w:p w:rsidR="00847F85" w:rsidRDefault="00847F85" w:rsidP="00847F85">
      <w:pPr>
        <w:rPr>
          <w:b/>
          <w:bCs/>
          <w:szCs w:val="22"/>
        </w:rPr>
      </w:pPr>
    </w:p>
    <w:p w:rsidR="00847F85" w:rsidRPr="00FE664D" w:rsidRDefault="00847F85" w:rsidP="00FE664D">
      <w:pPr>
        <w:pStyle w:val="Heading2"/>
        <w:widowControl/>
        <w:numPr>
          <w:ilvl w:val="0"/>
          <w:numId w:val="36"/>
        </w:numPr>
        <w:ind w:left="709" w:hanging="709"/>
      </w:pPr>
      <w:r w:rsidRPr="00FE664D">
        <w:t>PBAC Outcome</w:t>
      </w:r>
    </w:p>
    <w:p w:rsidR="00847F85" w:rsidRPr="00111DAC" w:rsidRDefault="00847F85" w:rsidP="00847F85">
      <w:pPr>
        <w:contextualSpacing/>
        <w:rPr>
          <w:b/>
          <w:bCs/>
          <w:szCs w:val="22"/>
          <w:lang w:val="en-GB"/>
        </w:rPr>
      </w:pPr>
    </w:p>
    <w:p w:rsidR="009807B2" w:rsidRPr="006E451A" w:rsidRDefault="00077420" w:rsidP="00077420">
      <w:pPr>
        <w:pStyle w:val="BodyText"/>
        <w:widowControl/>
        <w:ind w:left="709" w:hanging="709"/>
        <w:jc w:val="both"/>
        <w:rPr>
          <w:b/>
          <w:bCs/>
          <w:szCs w:val="22"/>
          <w:lang w:val="en-GB"/>
        </w:rPr>
      </w:pPr>
      <w:r>
        <w:rPr>
          <w:bCs/>
          <w:szCs w:val="22"/>
          <w:lang w:val="en-GB"/>
        </w:rPr>
        <w:t>7.1</w:t>
      </w:r>
      <w:r>
        <w:rPr>
          <w:bCs/>
          <w:szCs w:val="22"/>
          <w:lang w:val="en-GB"/>
        </w:rPr>
        <w:tab/>
      </w:r>
      <w:r w:rsidR="009807B2" w:rsidRPr="006E451A">
        <w:rPr>
          <w:bCs/>
          <w:szCs w:val="22"/>
          <w:lang w:val="en-GB"/>
        </w:rPr>
        <w:t xml:space="preserve">The PBAC recommended </w:t>
      </w:r>
      <w:r w:rsidR="009807B2">
        <w:rPr>
          <w:bCs/>
          <w:szCs w:val="22"/>
          <w:lang w:val="en-GB"/>
        </w:rPr>
        <w:t>including the</w:t>
      </w:r>
      <w:r w:rsidR="009807B2" w:rsidRPr="006E451A">
        <w:rPr>
          <w:bCs/>
          <w:szCs w:val="22"/>
          <w:lang w:val="en-GB"/>
        </w:rPr>
        <w:t xml:space="preserve"> 18</w:t>
      </w:r>
      <w:r w:rsidR="009807B2">
        <w:rPr>
          <w:bCs/>
          <w:szCs w:val="22"/>
          <w:lang w:val="en-GB"/>
        </w:rPr>
        <w:t>-</w:t>
      </w:r>
      <w:r w:rsidR="009807B2" w:rsidRPr="006E451A">
        <w:rPr>
          <w:bCs/>
          <w:szCs w:val="22"/>
          <w:lang w:val="en-GB"/>
        </w:rPr>
        <w:t xml:space="preserve">month booster of the </w:t>
      </w:r>
      <w:r w:rsidR="00282433" w:rsidRPr="00C973F3">
        <w:rPr>
          <w:rFonts w:eastAsia="Times New Roman"/>
          <w:szCs w:val="24"/>
        </w:rPr>
        <w:t>Pertussis Vaccine-</w:t>
      </w:r>
      <w:proofErr w:type="spellStart"/>
      <w:r w:rsidR="00282433" w:rsidRPr="00C973F3">
        <w:rPr>
          <w:rFonts w:eastAsia="Times New Roman"/>
          <w:szCs w:val="24"/>
        </w:rPr>
        <w:t>Acellular</w:t>
      </w:r>
      <w:proofErr w:type="spellEnd"/>
      <w:r w:rsidR="00282433" w:rsidRPr="00C973F3">
        <w:rPr>
          <w:rFonts w:eastAsia="Times New Roman"/>
          <w:szCs w:val="24"/>
        </w:rPr>
        <w:t>, combined with Diphtheria and Tetanus Toxoids (Adsorbed) (</w:t>
      </w:r>
      <w:proofErr w:type="spellStart"/>
      <w:r w:rsidR="00282433" w:rsidRPr="00282433">
        <w:rPr>
          <w:rFonts w:eastAsia="Times New Roman"/>
          <w:szCs w:val="24"/>
        </w:rPr>
        <w:t>Tripacel</w:t>
      </w:r>
      <w:proofErr w:type="spellEnd"/>
      <w:r w:rsidR="00282433">
        <w:rPr>
          <w:rFonts w:eastAsia="Times New Roman"/>
          <w:szCs w:val="24"/>
        </w:rPr>
        <w:t xml:space="preserve">, </w:t>
      </w:r>
      <w:r w:rsidR="00282433" w:rsidRPr="00C973F3">
        <w:rPr>
          <w:rFonts w:eastAsia="Times New Roman"/>
          <w:szCs w:val="24"/>
        </w:rPr>
        <w:t>DTaP) vaccine</w:t>
      </w:r>
      <w:r w:rsidR="009807B2" w:rsidRPr="006E451A">
        <w:rPr>
          <w:bCs/>
          <w:szCs w:val="22"/>
          <w:lang w:val="en-GB"/>
        </w:rPr>
        <w:t xml:space="preserve"> on</w:t>
      </w:r>
      <w:r w:rsidR="009807B2">
        <w:rPr>
          <w:bCs/>
          <w:szCs w:val="22"/>
          <w:lang w:val="en-GB"/>
        </w:rPr>
        <w:t xml:space="preserve"> the </w:t>
      </w:r>
      <w:r w:rsidR="007D125E">
        <w:rPr>
          <w:bCs/>
          <w:szCs w:val="22"/>
          <w:lang w:val="en-GB"/>
        </w:rPr>
        <w:t>National Immunisation Program (NIP)</w:t>
      </w:r>
      <w:r w:rsidR="009807B2">
        <w:rPr>
          <w:bCs/>
          <w:szCs w:val="22"/>
          <w:lang w:val="en-GB"/>
        </w:rPr>
        <w:t xml:space="preserve"> for the prevention of pertussis on the basis of</w:t>
      </w:r>
      <w:r w:rsidR="009807B2" w:rsidRPr="006E451A">
        <w:rPr>
          <w:bCs/>
          <w:szCs w:val="22"/>
          <w:lang w:val="en-GB"/>
        </w:rPr>
        <w:t xml:space="preserve"> cost-minimisation to the 18</w:t>
      </w:r>
      <w:r w:rsidR="00803737">
        <w:rPr>
          <w:bCs/>
          <w:szCs w:val="22"/>
          <w:lang w:val="en-GB"/>
        </w:rPr>
        <w:t>-</w:t>
      </w:r>
      <w:r w:rsidR="009807B2" w:rsidRPr="006E451A">
        <w:rPr>
          <w:bCs/>
          <w:szCs w:val="22"/>
          <w:lang w:val="en-GB"/>
        </w:rPr>
        <w:t xml:space="preserve">month booster of the </w:t>
      </w:r>
      <w:r w:rsidR="00ED686A" w:rsidRPr="00ED686A">
        <w:rPr>
          <w:bCs/>
          <w:szCs w:val="22"/>
          <w:lang w:val="en-GB"/>
        </w:rPr>
        <w:t xml:space="preserve">combined diphtheria, tetanus and </w:t>
      </w:r>
      <w:proofErr w:type="spellStart"/>
      <w:r w:rsidR="00ED686A" w:rsidRPr="00ED686A">
        <w:rPr>
          <w:bCs/>
          <w:szCs w:val="22"/>
          <w:lang w:val="en-GB"/>
        </w:rPr>
        <w:t>acellular</w:t>
      </w:r>
      <w:proofErr w:type="spellEnd"/>
      <w:r w:rsidR="00ED686A" w:rsidRPr="00ED686A">
        <w:rPr>
          <w:bCs/>
          <w:szCs w:val="22"/>
          <w:lang w:val="en-GB"/>
        </w:rPr>
        <w:t xml:space="preserve"> pertussis</w:t>
      </w:r>
      <w:r w:rsidR="00E20476">
        <w:rPr>
          <w:bCs/>
          <w:szCs w:val="22"/>
          <w:lang w:val="en-GB"/>
        </w:rPr>
        <w:t xml:space="preserve"> (I</w:t>
      </w:r>
      <w:r w:rsidR="00ED686A">
        <w:rPr>
          <w:bCs/>
          <w:szCs w:val="22"/>
          <w:lang w:val="en-GB"/>
        </w:rPr>
        <w:t>nfanrix, DTPa</w:t>
      </w:r>
      <w:r w:rsidR="00282433">
        <w:rPr>
          <w:bCs/>
          <w:szCs w:val="22"/>
          <w:lang w:val="en-GB"/>
        </w:rPr>
        <w:t xml:space="preserve">) </w:t>
      </w:r>
      <w:r w:rsidR="009807B2" w:rsidRPr="006E451A">
        <w:rPr>
          <w:bCs/>
          <w:szCs w:val="22"/>
          <w:lang w:val="en-GB"/>
        </w:rPr>
        <w:t>vaccine</w:t>
      </w:r>
      <w:r w:rsidR="009807B2">
        <w:rPr>
          <w:bCs/>
          <w:szCs w:val="22"/>
          <w:lang w:val="en-GB"/>
        </w:rPr>
        <w:t xml:space="preserve"> </w:t>
      </w:r>
      <w:r w:rsidR="00E20476">
        <w:rPr>
          <w:bCs/>
          <w:szCs w:val="22"/>
          <w:lang w:val="en-GB"/>
        </w:rPr>
        <w:t>recommended at</w:t>
      </w:r>
      <w:r w:rsidR="00282433">
        <w:rPr>
          <w:bCs/>
          <w:szCs w:val="22"/>
          <w:lang w:val="en-GB"/>
        </w:rPr>
        <w:t xml:space="preserve"> the November 2014 PBAC meeting </w:t>
      </w:r>
      <w:r w:rsidR="009807B2">
        <w:rPr>
          <w:bCs/>
          <w:szCs w:val="22"/>
          <w:lang w:val="en-GB"/>
        </w:rPr>
        <w:t xml:space="preserve">for inclusion on the NIP. </w:t>
      </w:r>
      <w:r w:rsidR="00E20476">
        <w:rPr>
          <w:bCs/>
          <w:szCs w:val="22"/>
          <w:lang w:val="en-GB"/>
        </w:rPr>
        <w:t xml:space="preserve"> </w:t>
      </w:r>
      <w:r w:rsidR="00E20476" w:rsidRPr="00D144C1">
        <w:rPr>
          <w:szCs w:val="22"/>
        </w:rPr>
        <w:t xml:space="preserve">One dose of 0.5mL </w:t>
      </w:r>
      <w:proofErr w:type="spellStart"/>
      <w:r w:rsidR="00E20476">
        <w:rPr>
          <w:szCs w:val="22"/>
        </w:rPr>
        <w:t>Tripacel</w:t>
      </w:r>
      <w:proofErr w:type="spellEnd"/>
      <w:r w:rsidR="00E20476" w:rsidRPr="00D144C1">
        <w:rPr>
          <w:szCs w:val="22"/>
        </w:rPr>
        <w:t xml:space="preserve"> is </w:t>
      </w:r>
      <w:proofErr w:type="spellStart"/>
      <w:r w:rsidR="00E20476" w:rsidRPr="00D144C1">
        <w:rPr>
          <w:szCs w:val="22"/>
        </w:rPr>
        <w:t>e</w:t>
      </w:r>
      <w:r w:rsidR="00E20476">
        <w:rPr>
          <w:szCs w:val="22"/>
        </w:rPr>
        <w:t>qui</w:t>
      </w:r>
      <w:proofErr w:type="spellEnd"/>
      <w:r w:rsidR="00E20476">
        <w:rPr>
          <w:szCs w:val="22"/>
        </w:rPr>
        <w:t>-effective to one 0.5mL dose</w:t>
      </w:r>
      <w:r w:rsidR="00E20476" w:rsidRPr="00D144C1">
        <w:rPr>
          <w:szCs w:val="22"/>
        </w:rPr>
        <w:t xml:space="preserve"> of </w:t>
      </w:r>
      <w:r w:rsidR="00E20476">
        <w:rPr>
          <w:szCs w:val="22"/>
        </w:rPr>
        <w:t>Infanrix.</w:t>
      </w:r>
    </w:p>
    <w:p w:rsidR="009807B2" w:rsidRPr="006E451A" w:rsidRDefault="009807B2" w:rsidP="009807B2">
      <w:pPr>
        <w:ind w:left="720"/>
        <w:contextualSpacing/>
        <w:rPr>
          <w:b/>
          <w:bCs/>
          <w:szCs w:val="22"/>
          <w:lang w:val="en-GB"/>
        </w:rPr>
      </w:pPr>
    </w:p>
    <w:p w:rsidR="009807B2" w:rsidRPr="00CF502D" w:rsidRDefault="00077420" w:rsidP="00077420">
      <w:pPr>
        <w:pStyle w:val="BodyText"/>
        <w:widowControl/>
        <w:ind w:left="709" w:hanging="709"/>
        <w:jc w:val="both"/>
        <w:rPr>
          <w:b/>
          <w:szCs w:val="22"/>
          <w:lang w:val="en-GB"/>
        </w:rPr>
      </w:pPr>
      <w:r>
        <w:rPr>
          <w:bCs/>
          <w:szCs w:val="22"/>
          <w:lang w:val="en-GB"/>
        </w:rPr>
        <w:t>7.2</w:t>
      </w:r>
      <w:r>
        <w:rPr>
          <w:bCs/>
          <w:szCs w:val="22"/>
          <w:lang w:val="en-GB"/>
        </w:rPr>
        <w:tab/>
      </w:r>
      <w:r w:rsidR="009807B2" w:rsidRPr="006E451A">
        <w:rPr>
          <w:bCs/>
          <w:szCs w:val="22"/>
          <w:lang w:val="en-GB"/>
        </w:rPr>
        <w:t>The PBAC noted that</w:t>
      </w:r>
      <w:r w:rsidR="009807B2">
        <w:rPr>
          <w:bCs/>
          <w:szCs w:val="22"/>
          <w:lang w:val="en-GB"/>
        </w:rPr>
        <w:t xml:space="preserve"> this would be the second pertussis</w:t>
      </w:r>
      <w:r w:rsidR="00282433">
        <w:rPr>
          <w:bCs/>
          <w:szCs w:val="22"/>
          <w:lang w:val="en-GB"/>
        </w:rPr>
        <w:t xml:space="preserve">-containing vaccine </w:t>
      </w:r>
      <w:r w:rsidR="009807B2">
        <w:rPr>
          <w:bCs/>
          <w:szCs w:val="22"/>
          <w:lang w:val="en-GB"/>
        </w:rPr>
        <w:t>recommended</w:t>
      </w:r>
      <w:r w:rsidR="00282433">
        <w:rPr>
          <w:bCs/>
          <w:szCs w:val="22"/>
          <w:lang w:val="en-GB"/>
        </w:rPr>
        <w:t xml:space="preserve"> at the 18-month time point</w:t>
      </w:r>
      <w:r w:rsidR="009807B2">
        <w:rPr>
          <w:bCs/>
          <w:szCs w:val="22"/>
          <w:lang w:val="en-GB"/>
        </w:rPr>
        <w:t xml:space="preserve"> for inclusion on the NIP. </w:t>
      </w:r>
      <w:r w:rsidR="007D125E" w:rsidRPr="007D125E">
        <w:rPr>
          <w:bCs/>
          <w:szCs w:val="22"/>
          <w:lang w:val="en-GB"/>
        </w:rPr>
        <w:t xml:space="preserve">The PBAC agreed with the </w:t>
      </w:r>
      <w:r w:rsidR="007D125E" w:rsidRPr="006B7162">
        <w:rPr>
          <w:rFonts w:eastAsia="Times New Roman"/>
          <w:szCs w:val="24"/>
        </w:rPr>
        <w:t>Australian Technical</w:t>
      </w:r>
      <w:r w:rsidR="007D125E">
        <w:rPr>
          <w:rFonts w:eastAsia="Times New Roman"/>
          <w:szCs w:val="24"/>
        </w:rPr>
        <w:t xml:space="preserve"> Advisory Group on Immunisation </w:t>
      </w:r>
      <w:r w:rsidR="007D125E" w:rsidRPr="007D125E">
        <w:rPr>
          <w:bCs/>
          <w:szCs w:val="22"/>
          <w:lang w:val="en-GB"/>
        </w:rPr>
        <w:t>that the reintroduction of an 18-month DTPa booster onto the NIP is necessary from a public health perspective, as an additional measure to improve control of pertussis in Australia.</w:t>
      </w:r>
    </w:p>
    <w:p w:rsidR="009807B2" w:rsidRPr="006E451A" w:rsidRDefault="009807B2" w:rsidP="009807B2">
      <w:pPr>
        <w:contextualSpacing/>
        <w:rPr>
          <w:b/>
          <w:szCs w:val="22"/>
          <w:lang w:val="en-GB"/>
        </w:rPr>
      </w:pPr>
    </w:p>
    <w:p w:rsidR="00E12E01" w:rsidRDefault="00077420" w:rsidP="00E12E01">
      <w:pPr>
        <w:pStyle w:val="BodyText"/>
        <w:widowControl/>
        <w:ind w:left="709" w:hanging="709"/>
        <w:jc w:val="both"/>
        <w:rPr>
          <w:bCs/>
          <w:szCs w:val="22"/>
          <w:lang w:val="en-GB"/>
        </w:rPr>
      </w:pPr>
      <w:r>
        <w:rPr>
          <w:szCs w:val="22"/>
          <w:lang w:val="en-GB"/>
        </w:rPr>
        <w:t>7.3</w:t>
      </w:r>
      <w:r>
        <w:rPr>
          <w:szCs w:val="22"/>
          <w:lang w:val="en-GB"/>
        </w:rPr>
        <w:tab/>
      </w:r>
      <w:r w:rsidR="009807B2" w:rsidRPr="006E451A">
        <w:rPr>
          <w:szCs w:val="22"/>
          <w:lang w:val="en-GB"/>
        </w:rPr>
        <w:t>The PBAC accepted the nominated comparator</w:t>
      </w:r>
      <w:r w:rsidR="00282433">
        <w:rPr>
          <w:szCs w:val="22"/>
          <w:lang w:val="en-GB"/>
        </w:rPr>
        <w:t xml:space="preserve"> of </w:t>
      </w:r>
      <w:r w:rsidR="00282433" w:rsidRPr="006E451A">
        <w:rPr>
          <w:bCs/>
          <w:szCs w:val="22"/>
          <w:lang w:val="en-GB"/>
        </w:rPr>
        <w:t xml:space="preserve">DTPa </w:t>
      </w:r>
      <w:r w:rsidR="00282433">
        <w:rPr>
          <w:bCs/>
          <w:szCs w:val="22"/>
          <w:lang w:val="en-GB"/>
        </w:rPr>
        <w:t xml:space="preserve">(Infanrix) </w:t>
      </w:r>
      <w:r w:rsidR="00282433" w:rsidRPr="006E451A">
        <w:rPr>
          <w:bCs/>
          <w:szCs w:val="22"/>
          <w:lang w:val="en-GB"/>
        </w:rPr>
        <w:t>vaccine</w:t>
      </w:r>
      <w:r w:rsidR="00282433">
        <w:rPr>
          <w:bCs/>
          <w:szCs w:val="22"/>
          <w:lang w:val="en-GB"/>
        </w:rPr>
        <w:t xml:space="preserve">, as it was </w:t>
      </w:r>
      <w:r w:rsidR="007622F7">
        <w:rPr>
          <w:bCs/>
          <w:szCs w:val="22"/>
          <w:lang w:val="en-GB"/>
        </w:rPr>
        <w:t>recommended at</w:t>
      </w:r>
      <w:r w:rsidR="00282433">
        <w:rPr>
          <w:bCs/>
          <w:szCs w:val="22"/>
          <w:lang w:val="en-GB"/>
        </w:rPr>
        <w:t xml:space="preserve"> the November 2014 PBAC meeting.</w:t>
      </w:r>
    </w:p>
    <w:p w:rsidR="00282433" w:rsidRDefault="00E12E01" w:rsidP="00E12E01">
      <w:pPr>
        <w:pStyle w:val="BodyText"/>
        <w:widowControl/>
        <w:ind w:left="709" w:hanging="709"/>
        <w:jc w:val="both"/>
        <w:rPr>
          <w:szCs w:val="22"/>
          <w:lang w:val="en-GB"/>
        </w:rPr>
      </w:pPr>
      <w:r>
        <w:rPr>
          <w:szCs w:val="22"/>
          <w:lang w:val="en-GB"/>
        </w:rPr>
        <w:t xml:space="preserve"> </w:t>
      </w:r>
    </w:p>
    <w:p w:rsidR="00282433" w:rsidRPr="00282433" w:rsidRDefault="00077420" w:rsidP="00077420">
      <w:pPr>
        <w:pStyle w:val="BodyText"/>
        <w:widowControl/>
        <w:ind w:left="709" w:hanging="709"/>
        <w:jc w:val="both"/>
        <w:rPr>
          <w:b/>
          <w:szCs w:val="22"/>
          <w:lang w:val="en-GB"/>
        </w:rPr>
      </w:pPr>
      <w:r>
        <w:rPr>
          <w:szCs w:val="22"/>
          <w:lang w:val="en-GB"/>
        </w:rPr>
        <w:t>7.4</w:t>
      </w:r>
      <w:r>
        <w:rPr>
          <w:szCs w:val="22"/>
          <w:lang w:val="en-GB"/>
        </w:rPr>
        <w:tab/>
      </w:r>
      <w:r w:rsidR="00282433">
        <w:rPr>
          <w:szCs w:val="22"/>
          <w:lang w:val="en-GB"/>
        </w:rPr>
        <w:t>The PBAC noted that the advice from ESC raised</w:t>
      </w:r>
      <w:r w:rsidR="00360620">
        <w:rPr>
          <w:szCs w:val="22"/>
          <w:lang w:val="en-GB"/>
        </w:rPr>
        <w:t xml:space="preserve"> a number of</w:t>
      </w:r>
      <w:r w:rsidR="00282433">
        <w:rPr>
          <w:szCs w:val="22"/>
          <w:lang w:val="en-GB"/>
        </w:rPr>
        <w:t xml:space="preserve"> issues</w:t>
      </w:r>
      <w:r w:rsidR="007622F7">
        <w:rPr>
          <w:szCs w:val="22"/>
          <w:lang w:val="en-GB"/>
        </w:rPr>
        <w:t>:</w:t>
      </w:r>
      <w:r w:rsidR="00282433">
        <w:rPr>
          <w:szCs w:val="22"/>
          <w:lang w:val="en-GB"/>
        </w:rPr>
        <w:t xml:space="preserve">  </w:t>
      </w:r>
    </w:p>
    <w:p w:rsidR="00282433" w:rsidRDefault="009807B2" w:rsidP="001C1CD8">
      <w:pPr>
        <w:numPr>
          <w:ilvl w:val="1"/>
          <w:numId w:val="42"/>
        </w:numPr>
        <w:ind w:left="851" w:hanging="284"/>
        <w:contextualSpacing/>
        <w:rPr>
          <w:b/>
          <w:szCs w:val="22"/>
          <w:lang w:val="en-GB"/>
        </w:rPr>
      </w:pPr>
      <w:proofErr w:type="gramStart"/>
      <w:r w:rsidRPr="006E451A">
        <w:rPr>
          <w:szCs w:val="22"/>
          <w:lang w:val="en-GB"/>
        </w:rPr>
        <w:t>the</w:t>
      </w:r>
      <w:proofErr w:type="gramEnd"/>
      <w:r w:rsidRPr="006E451A">
        <w:rPr>
          <w:szCs w:val="22"/>
          <w:lang w:val="en-GB"/>
        </w:rPr>
        <w:t xml:space="preserve"> differences in antigenic composition between the DTaP and the DTPa. </w:t>
      </w:r>
    </w:p>
    <w:p w:rsidR="00360620" w:rsidRPr="00360620" w:rsidRDefault="009807B2" w:rsidP="001C1CD8">
      <w:pPr>
        <w:numPr>
          <w:ilvl w:val="1"/>
          <w:numId w:val="42"/>
        </w:numPr>
        <w:ind w:left="851" w:hanging="284"/>
        <w:contextualSpacing/>
        <w:rPr>
          <w:b/>
          <w:szCs w:val="22"/>
          <w:lang w:val="en-GB"/>
        </w:rPr>
      </w:pPr>
      <w:r w:rsidRPr="00282433">
        <w:rPr>
          <w:szCs w:val="22"/>
          <w:lang w:val="en-GB"/>
        </w:rPr>
        <w:t xml:space="preserve">the </w:t>
      </w:r>
      <w:r w:rsidR="001C1CD8">
        <w:rPr>
          <w:szCs w:val="22"/>
          <w:lang w:val="en-GB"/>
        </w:rPr>
        <w:t>head to head trial (</w:t>
      </w:r>
      <w:proofErr w:type="spellStart"/>
      <w:r w:rsidR="001C1CD8" w:rsidRPr="001C1CD8">
        <w:rPr>
          <w:szCs w:val="22"/>
          <w:lang w:val="en-GB"/>
        </w:rPr>
        <w:t>Pichichero</w:t>
      </w:r>
      <w:proofErr w:type="spellEnd"/>
      <w:r w:rsidR="001C1CD8" w:rsidRPr="001C1CD8">
        <w:rPr>
          <w:szCs w:val="22"/>
          <w:lang w:val="en-GB"/>
        </w:rPr>
        <w:t xml:space="preserve">, </w:t>
      </w:r>
      <w:proofErr w:type="spellStart"/>
      <w:r w:rsidR="001C1CD8" w:rsidRPr="001C1CD8">
        <w:rPr>
          <w:szCs w:val="22"/>
          <w:lang w:val="en-GB"/>
        </w:rPr>
        <w:t>Deloria</w:t>
      </w:r>
      <w:proofErr w:type="spellEnd"/>
      <w:r w:rsidR="001C1CD8" w:rsidRPr="001C1CD8">
        <w:rPr>
          <w:szCs w:val="22"/>
          <w:lang w:val="en-GB"/>
        </w:rPr>
        <w:t>, et al. 1997</w:t>
      </w:r>
      <w:r w:rsidR="001C1CD8">
        <w:rPr>
          <w:szCs w:val="22"/>
          <w:lang w:val="en-GB"/>
        </w:rPr>
        <w:t>)</w:t>
      </w:r>
      <w:r w:rsidRPr="00282433">
        <w:rPr>
          <w:szCs w:val="22"/>
          <w:lang w:val="en-GB"/>
        </w:rPr>
        <w:t xml:space="preserve"> was </w:t>
      </w:r>
      <w:r w:rsidR="00803737">
        <w:rPr>
          <w:szCs w:val="22"/>
          <w:lang w:val="en-GB"/>
        </w:rPr>
        <w:t xml:space="preserve">both </w:t>
      </w:r>
      <w:r w:rsidR="007622F7">
        <w:rPr>
          <w:szCs w:val="22"/>
          <w:lang w:val="en-GB"/>
        </w:rPr>
        <w:t xml:space="preserve">likely </w:t>
      </w:r>
      <w:r w:rsidRPr="00847F85">
        <w:t>under-powered and likely not adjusted for multiple comparisons</w:t>
      </w:r>
      <w:r w:rsidRPr="00282433">
        <w:rPr>
          <w:szCs w:val="22"/>
          <w:lang w:val="en-GB"/>
        </w:rPr>
        <w:t xml:space="preserve">, </w:t>
      </w:r>
    </w:p>
    <w:p w:rsidR="00360620" w:rsidRPr="00360620" w:rsidRDefault="001C1CD8" w:rsidP="001C1CD8">
      <w:pPr>
        <w:numPr>
          <w:ilvl w:val="1"/>
          <w:numId w:val="42"/>
        </w:numPr>
        <w:ind w:left="851" w:hanging="284"/>
        <w:contextualSpacing/>
        <w:rPr>
          <w:b/>
          <w:szCs w:val="22"/>
          <w:lang w:val="en-GB"/>
        </w:rPr>
      </w:pPr>
      <w:r>
        <w:t xml:space="preserve">no formal indirect comparison of </w:t>
      </w:r>
      <w:r w:rsidR="00282433" w:rsidRPr="00847F85">
        <w:t xml:space="preserve">the </w:t>
      </w:r>
      <w:r>
        <w:t xml:space="preserve">heterogeneous </w:t>
      </w:r>
      <w:r w:rsidR="00282433">
        <w:t xml:space="preserve">supportive </w:t>
      </w:r>
      <w:r w:rsidR="00282433" w:rsidRPr="00847F85">
        <w:t>trials</w:t>
      </w:r>
      <w:r w:rsidR="00360620">
        <w:t xml:space="preserve">, </w:t>
      </w:r>
    </w:p>
    <w:p w:rsidR="00360620" w:rsidRPr="00360620" w:rsidRDefault="00360620" w:rsidP="001C1CD8">
      <w:pPr>
        <w:numPr>
          <w:ilvl w:val="1"/>
          <w:numId w:val="42"/>
        </w:numPr>
        <w:ind w:left="851" w:hanging="284"/>
        <w:contextualSpacing/>
        <w:rPr>
          <w:b/>
          <w:szCs w:val="22"/>
          <w:lang w:val="en-GB"/>
        </w:rPr>
      </w:pPr>
      <w:r w:rsidRPr="008A4A59">
        <w:t xml:space="preserve">no accepted thresholds for antibody response to pertussis antigen </w:t>
      </w:r>
      <w:r w:rsidR="007622F7">
        <w:t>as a correlate of</w:t>
      </w:r>
      <w:r w:rsidRPr="008A4A59">
        <w:t xml:space="preserve"> for protection</w:t>
      </w:r>
      <w:r w:rsidR="00282433" w:rsidRPr="00282433">
        <w:rPr>
          <w:szCs w:val="22"/>
          <w:lang w:val="en-GB"/>
        </w:rPr>
        <w:t xml:space="preserve"> </w:t>
      </w:r>
    </w:p>
    <w:p w:rsidR="009807B2" w:rsidRPr="00282433" w:rsidRDefault="00360620" w:rsidP="001C1CD8">
      <w:pPr>
        <w:ind w:left="720"/>
        <w:contextualSpacing/>
        <w:rPr>
          <w:b/>
          <w:szCs w:val="22"/>
          <w:lang w:val="en-GB"/>
        </w:rPr>
      </w:pPr>
      <w:r>
        <w:rPr>
          <w:szCs w:val="22"/>
          <w:lang w:val="en-GB"/>
        </w:rPr>
        <w:t xml:space="preserve">Overall, the PBAC considered, though </w:t>
      </w:r>
      <w:r w:rsidRPr="006E451A">
        <w:rPr>
          <w:szCs w:val="22"/>
          <w:lang w:val="en-GB"/>
        </w:rPr>
        <w:t>the cli</w:t>
      </w:r>
      <w:r>
        <w:rPr>
          <w:szCs w:val="22"/>
          <w:lang w:val="en-GB"/>
        </w:rPr>
        <w:t>nical benefit of the differences in the vaccines</w:t>
      </w:r>
      <w:r w:rsidRPr="006E451A">
        <w:rPr>
          <w:szCs w:val="22"/>
          <w:lang w:val="en-GB"/>
        </w:rPr>
        <w:t xml:space="preserve"> was unknown</w:t>
      </w:r>
      <w:r>
        <w:rPr>
          <w:szCs w:val="22"/>
          <w:lang w:val="en-GB"/>
        </w:rPr>
        <w:t xml:space="preserve">, </w:t>
      </w:r>
      <w:r w:rsidR="009807B2" w:rsidRPr="00282433">
        <w:rPr>
          <w:szCs w:val="22"/>
          <w:lang w:val="en-GB"/>
        </w:rPr>
        <w:t xml:space="preserve">it was reasonable to conclude that the two </w:t>
      </w:r>
      <w:r>
        <w:rPr>
          <w:szCs w:val="22"/>
          <w:lang w:val="en-GB"/>
        </w:rPr>
        <w:t>vaccines</w:t>
      </w:r>
      <w:r w:rsidR="009807B2" w:rsidRPr="00282433">
        <w:rPr>
          <w:szCs w:val="22"/>
          <w:lang w:val="en-GB"/>
        </w:rPr>
        <w:t xml:space="preserve"> were likely to confer similar immunogenicity</w:t>
      </w:r>
      <w:r>
        <w:rPr>
          <w:szCs w:val="22"/>
          <w:lang w:val="en-GB"/>
        </w:rPr>
        <w:t xml:space="preserve"> and likely similar efficacy</w:t>
      </w:r>
      <w:r w:rsidR="001C1CD8">
        <w:rPr>
          <w:szCs w:val="22"/>
          <w:lang w:val="en-GB"/>
        </w:rPr>
        <w:t xml:space="preserve"> and safety</w:t>
      </w:r>
      <w:r w:rsidR="009807B2" w:rsidRPr="00282433">
        <w:rPr>
          <w:szCs w:val="22"/>
          <w:lang w:val="en-GB"/>
        </w:rPr>
        <w:t>.</w:t>
      </w:r>
    </w:p>
    <w:p w:rsidR="009807B2" w:rsidRPr="006E451A" w:rsidRDefault="009807B2" w:rsidP="009807B2">
      <w:pPr>
        <w:pStyle w:val="ListParagraph"/>
        <w:rPr>
          <w:b/>
          <w:szCs w:val="22"/>
          <w:lang w:val="en-GB"/>
        </w:rPr>
      </w:pPr>
    </w:p>
    <w:p w:rsidR="00282433" w:rsidRPr="00282433" w:rsidRDefault="00077420" w:rsidP="00077420">
      <w:pPr>
        <w:pStyle w:val="BodyText"/>
        <w:widowControl/>
        <w:ind w:left="709" w:hanging="709"/>
        <w:jc w:val="both"/>
        <w:rPr>
          <w:b/>
          <w:szCs w:val="22"/>
          <w:lang w:val="en-GB"/>
        </w:rPr>
      </w:pPr>
      <w:r>
        <w:rPr>
          <w:szCs w:val="22"/>
          <w:lang w:val="en-GB"/>
        </w:rPr>
        <w:t>7.5</w:t>
      </w:r>
      <w:r>
        <w:rPr>
          <w:szCs w:val="22"/>
          <w:lang w:val="en-GB"/>
        </w:rPr>
        <w:tab/>
      </w:r>
      <w:r w:rsidR="00282433">
        <w:rPr>
          <w:szCs w:val="22"/>
          <w:lang w:val="en-GB"/>
        </w:rPr>
        <w:t xml:space="preserve">The PBAC noted </w:t>
      </w:r>
      <w:r w:rsidR="007622F7">
        <w:rPr>
          <w:szCs w:val="22"/>
          <w:lang w:val="en-GB"/>
        </w:rPr>
        <w:t xml:space="preserve">the availability of the second vaccine at the 18-month time point </w:t>
      </w:r>
      <w:r w:rsidR="001C1CD8">
        <w:rPr>
          <w:szCs w:val="22"/>
          <w:lang w:val="en-GB"/>
        </w:rPr>
        <w:t xml:space="preserve">would likely </w:t>
      </w:r>
      <w:r w:rsidR="007622F7">
        <w:rPr>
          <w:szCs w:val="22"/>
          <w:lang w:val="en-GB"/>
        </w:rPr>
        <w:t xml:space="preserve">have no </w:t>
      </w:r>
      <w:r w:rsidR="001C1CD8">
        <w:rPr>
          <w:szCs w:val="22"/>
          <w:lang w:val="en-GB"/>
        </w:rPr>
        <w:t xml:space="preserve">additional financial impact </w:t>
      </w:r>
      <w:r w:rsidR="007622F7">
        <w:rPr>
          <w:szCs w:val="22"/>
          <w:lang w:val="en-GB"/>
        </w:rPr>
        <w:t>to</w:t>
      </w:r>
      <w:r w:rsidR="001C1CD8">
        <w:rPr>
          <w:szCs w:val="22"/>
          <w:lang w:val="en-GB"/>
        </w:rPr>
        <w:t xml:space="preserve"> the Commonwealth</w:t>
      </w:r>
      <w:r w:rsidR="007622F7">
        <w:rPr>
          <w:szCs w:val="22"/>
          <w:lang w:val="en-GB"/>
        </w:rPr>
        <w:t xml:space="preserve">. </w:t>
      </w:r>
    </w:p>
    <w:p w:rsidR="00847F85" w:rsidRPr="006E451A" w:rsidRDefault="00847F85" w:rsidP="00847F85">
      <w:pPr>
        <w:rPr>
          <w:b/>
          <w:bCs/>
          <w:szCs w:val="22"/>
          <w:lang w:val="en-GB"/>
        </w:rPr>
      </w:pPr>
    </w:p>
    <w:p w:rsidR="00847F85" w:rsidRPr="006E451A" w:rsidRDefault="00847F85" w:rsidP="00847F85">
      <w:pPr>
        <w:rPr>
          <w:b/>
          <w:bCs/>
          <w:szCs w:val="22"/>
          <w:lang w:val="en-GB"/>
        </w:rPr>
      </w:pPr>
      <w:r w:rsidRPr="006E451A">
        <w:rPr>
          <w:b/>
          <w:bCs/>
          <w:szCs w:val="22"/>
          <w:lang w:val="en-GB"/>
        </w:rPr>
        <w:t>Outcome:</w:t>
      </w:r>
    </w:p>
    <w:p w:rsidR="00E12E01" w:rsidRDefault="00847F85" w:rsidP="00E12E01">
      <w:pPr>
        <w:rPr>
          <w:bCs/>
          <w:szCs w:val="22"/>
          <w:lang w:val="en-GB"/>
        </w:rPr>
      </w:pPr>
      <w:r w:rsidRPr="006E451A">
        <w:rPr>
          <w:bCs/>
          <w:szCs w:val="22"/>
          <w:lang w:val="en-GB"/>
        </w:rPr>
        <w:t>Recommended</w:t>
      </w:r>
    </w:p>
    <w:p w:rsidR="00E12E01" w:rsidRDefault="00E12E01" w:rsidP="00E12E01">
      <w:pPr>
        <w:rPr>
          <w:bCs/>
          <w:szCs w:val="22"/>
          <w:lang w:val="en-GB"/>
        </w:rPr>
      </w:pPr>
    </w:p>
    <w:p w:rsidR="00847F85" w:rsidRPr="00FE664D" w:rsidRDefault="00847F85" w:rsidP="00E12E01">
      <w:r w:rsidRPr="00FE664D">
        <w:t>Recommended listing</w:t>
      </w:r>
    </w:p>
    <w:p w:rsidR="00847F85" w:rsidRPr="006E451A" w:rsidRDefault="00847F85" w:rsidP="00847F85">
      <w:pPr>
        <w:rPr>
          <w:b/>
          <w:bCs/>
          <w:i/>
          <w:szCs w:val="22"/>
          <w:lang w:val="en-GB"/>
        </w:rPr>
      </w:pPr>
    </w:p>
    <w:p w:rsidR="00B70EB9" w:rsidRDefault="00077420" w:rsidP="00E12E01">
      <w:pPr>
        <w:pStyle w:val="BodyText"/>
        <w:widowControl/>
        <w:ind w:left="709" w:hanging="709"/>
        <w:jc w:val="both"/>
        <w:rPr>
          <w:bCs/>
          <w:szCs w:val="22"/>
        </w:rPr>
      </w:pPr>
      <w:r>
        <w:rPr>
          <w:bCs/>
          <w:szCs w:val="22"/>
        </w:rPr>
        <w:t>8.1</w:t>
      </w:r>
      <w:r>
        <w:rPr>
          <w:bCs/>
          <w:szCs w:val="22"/>
        </w:rPr>
        <w:tab/>
      </w:r>
      <w:r w:rsidR="009807B2">
        <w:rPr>
          <w:bCs/>
          <w:szCs w:val="22"/>
        </w:rPr>
        <w:t xml:space="preserve">List the </w:t>
      </w:r>
      <w:r w:rsidR="008F1F9B" w:rsidRPr="00C973F3">
        <w:rPr>
          <w:rFonts w:eastAsia="Times New Roman"/>
          <w:szCs w:val="24"/>
        </w:rPr>
        <w:t>Diphtheria and Tetanus Toxoids (Adsorbed) (</w:t>
      </w:r>
      <w:proofErr w:type="spellStart"/>
      <w:r w:rsidR="008F1F9B" w:rsidRPr="00282433">
        <w:rPr>
          <w:rFonts w:eastAsia="Times New Roman"/>
          <w:szCs w:val="24"/>
        </w:rPr>
        <w:t>Tripacel</w:t>
      </w:r>
      <w:proofErr w:type="spellEnd"/>
      <w:r w:rsidR="008F1F9B">
        <w:rPr>
          <w:rFonts w:eastAsia="Times New Roman"/>
          <w:szCs w:val="24"/>
        </w:rPr>
        <w:t xml:space="preserve">) vaccine </w:t>
      </w:r>
      <w:r w:rsidR="009807B2">
        <w:rPr>
          <w:bCs/>
          <w:szCs w:val="22"/>
        </w:rPr>
        <w:t xml:space="preserve">on the NIP for infants aged approximately 18 months. </w:t>
      </w:r>
    </w:p>
    <w:p w:rsidR="00B70EB9" w:rsidRDefault="00B70EB9" w:rsidP="00B70EB9">
      <w:pPr>
        <w:pStyle w:val="BodyText"/>
        <w:widowControl/>
        <w:jc w:val="both"/>
        <w:rPr>
          <w:b/>
          <w:bCs/>
          <w:szCs w:val="22"/>
        </w:rPr>
      </w:pPr>
    </w:p>
    <w:p w:rsidR="00B70EB9" w:rsidRPr="00FE664D" w:rsidRDefault="00B70EB9" w:rsidP="00FE664D">
      <w:pPr>
        <w:pStyle w:val="Heading2"/>
        <w:widowControl/>
        <w:numPr>
          <w:ilvl w:val="0"/>
          <w:numId w:val="36"/>
        </w:numPr>
        <w:ind w:left="709" w:hanging="709"/>
      </w:pPr>
      <w:r w:rsidRPr="0024554F">
        <w:t>Context for Decision</w:t>
      </w:r>
    </w:p>
    <w:p w:rsidR="00B70EB9" w:rsidRPr="00D4420F" w:rsidRDefault="00B70EB9" w:rsidP="00B70EB9">
      <w:pPr>
        <w:pStyle w:val="ListParagraph"/>
        <w:rPr>
          <w:b/>
        </w:rPr>
      </w:pPr>
    </w:p>
    <w:p w:rsidR="00B70EB9" w:rsidRDefault="00B70EB9" w:rsidP="00FE664D">
      <w:pPr>
        <w:widowControl/>
        <w:ind w:left="709"/>
      </w:pPr>
      <w:r w:rsidRPr="0024554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E664D" w:rsidRDefault="00FE664D" w:rsidP="00FE664D">
      <w:pPr>
        <w:ind w:left="709"/>
      </w:pPr>
    </w:p>
    <w:p w:rsidR="00FE664D" w:rsidRDefault="00FE664D" w:rsidP="00FE664D">
      <w:pPr>
        <w:ind w:left="709"/>
      </w:pPr>
    </w:p>
    <w:p w:rsidR="00847F85" w:rsidRPr="00FE664D" w:rsidRDefault="00B70EB9" w:rsidP="00847F85">
      <w:pPr>
        <w:pStyle w:val="Heading2"/>
        <w:widowControl/>
        <w:numPr>
          <w:ilvl w:val="0"/>
          <w:numId w:val="36"/>
        </w:numPr>
        <w:ind w:left="709" w:hanging="709"/>
      </w:pPr>
      <w:r w:rsidRPr="00B70EB9">
        <w:t>Sponsor’s Comment</w:t>
      </w:r>
      <w:bookmarkStart w:id="12" w:name="_GoBack"/>
      <w:bookmarkEnd w:id="12"/>
    </w:p>
    <w:p w:rsidR="000E4AE7" w:rsidRDefault="000E4AE7" w:rsidP="005A7E75">
      <w:pPr>
        <w:widowControl/>
      </w:pPr>
    </w:p>
    <w:p w:rsidR="00CC2186" w:rsidRPr="00137230" w:rsidRDefault="00CC2186" w:rsidP="00CC2186">
      <w:pPr>
        <w:widowControl/>
        <w:ind w:left="709"/>
      </w:pPr>
      <w:r>
        <w:t xml:space="preserve">The sponsor had no comment. </w:t>
      </w:r>
    </w:p>
    <w:sectPr w:rsidR="00CC2186" w:rsidRPr="00137230"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D9E5BE" w15:done="0"/>
  <w15:commentEx w15:paraId="084F9B05" w15:done="0"/>
  <w15:commentEx w15:paraId="70FABE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30" w:rsidRDefault="00CB3830" w:rsidP="00124A51">
      <w:r>
        <w:separator/>
      </w:r>
    </w:p>
  </w:endnote>
  <w:endnote w:type="continuationSeparator" w:id="0">
    <w:p w:rsidR="00CB3830" w:rsidRDefault="00CB383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30" w:rsidRDefault="00CB3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C2" w:rsidRDefault="00EE39C2">
    <w:pPr>
      <w:pStyle w:val="Footer"/>
    </w:pPr>
  </w:p>
  <w:p w:rsidR="00EE39C2" w:rsidRPr="00651169" w:rsidRDefault="00EE39C2" w:rsidP="00A5282F">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E14E73">
      <w:rPr>
        <w:noProof/>
        <w:sz w:val="20"/>
      </w:rPr>
      <w:t>11</w:t>
    </w:r>
    <w:r w:rsidRPr="00651169">
      <w:rPr>
        <w:noProof/>
        <w:sz w:val="20"/>
      </w:rPr>
      <w:fldChar w:fldCharType="end"/>
    </w:r>
  </w:p>
  <w:p w:rsidR="00EE39C2" w:rsidRDefault="00EE39C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30" w:rsidRDefault="00CB3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30" w:rsidRDefault="00CB3830" w:rsidP="00124A51">
      <w:r>
        <w:separator/>
      </w:r>
    </w:p>
  </w:footnote>
  <w:footnote w:type="continuationSeparator" w:id="0">
    <w:p w:rsidR="00CB3830" w:rsidRDefault="00CB3830" w:rsidP="00124A51">
      <w:r>
        <w:continuationSeparator/>
      </w:r>
    </w:p>
  </w:footnote>
  <w:footnote w:id="1">
    <w:p w:rsidR="00EE39C2" w:rsidRPr="00CC4C12" w:rsidRDefault="00EE39C2">
      <w:pPr>
        <w:pStyle w:val="FootnoteText"/>
        <w:rPr>
          <w:rFonts w:ascii="Arial Narrow" w:hAnsi="Arial Narrow"/>
          <w:sz w:val="20"/>
          <w:lang w:val="en-AU"/>
        </w:rPr>
      </w:pPr>
      <w:r w:rsidRPr="00CC4C12">
        <w:rPr>
          <w:rStyle w:val="FootnoteReference"/>
          <w:rFonts w:ascii="Arial Narrow" w:hAnsi="Arial Narrow"/>
          <w:sz w:val="18"/>
        </w:rPr>
        <w:footnoteRef/>
      </w:r>
      <w:r w:rsidRPr="00CC4C12">
        <w:rPr>
          <w:rFonts w:ascii="Arial Narrow" w:hAnsi="Arial Narrow"/>
          <w:sz w:val="18"/>
        </w:rPr>
        <w:t xml:space="preserve"> </w:t>
      </w:r>
      <w:proofErr w:type="gramStart"/>
      <w:r w:rsidRPr="00CC4C12">
        <w:rPr>
          <w:rFonts w:ascii="Arial Narrow" w:hAnsi="Arial Narrow"/>
          <w:sz w:val="18"/>
          <w:lang w:val="en-AU"/>
        </w:rPr>
        <w:t xml:space="preserve">Zhang, </w:t>
      </w:r>
      <w:proofErr w:type="spellStart"/>
      <w:r w:rsidRPr="00CC4C12">
        <w:rPr>
          <w:rFonts w:ascii="Arial Narrow" w:hAnsi="Arial Narrow"/>
          <w:sz w:val="18"/>
          <w:lang w:val="en-AU"/>
        </w:rPr>
        <w:t>Ll</w:t>
      </w:r>
      <w:proofErr w:type="spellEnd"/>
      <w:r w:rsidRPr="00CC4C12">
        <w:rPr>
          <w:rFonts w:ascii="Arial Narrow" w:hAnsi="Arial Narrow"/>
          <w:sz w:val="18"/>
          <w:lang w:val="en-AU"/>
        </w:rPr>
        <w:t xml:space="preserve"> </w:t>
      </w:r>
      <w:proofErr w:type="spellStart"/>
      <w:r w:rsidRPr="00CC4C12">
        <w:rPr>
          <w:rFonts w:ascii="Arial Narrow" w:hAnsi="Arial Narrow"/>
          <w:sz w:val="18"/>
          <w:lang w:val="en-AU"/>
        </w:rPr>
        <w:t>Prietsch</w:t>
      </w:r>
      <w:proofErr w:type="spellEnd"/>
      <w:r w:rsidRPr="00CC4C12">
        <w:rPr>
          <w:rFonts w:ascii="Arial Narrow" w:hAnsi="Arial Narrow"/>
          <w:sz w:val="18"/>
          <w:lang w:val="en-AU"/>
        </w:rPr>
        <w:t xml:space="preserve"> SOM, I </w:t>
      </w:r>
      <w:proofErr w:type="spellStart"/>
      <w:r w:rsidRPr="00CC4C12">
        <w:rPr>
          <w:rFonts w:ascii="Arial Narrow" w:hAnsi="Arial Narrow"/>
          <w:sz w:val="18"/>
          <w:lang w:val="en-AU"/>
        </w:rPr>
        <w:t>Axelsson</w:t>
      </w:r>
      <w:proofErr w:type="spellEnd"/>
      <w:r w:rsidRPr="00CC4C12">
        <w:rPr>
          <w:rFonts w:ascii="Arial Narrow" w:hAnsi="Arial Narrow"/>
          <w:sz w:val="18"/>
          <w:lang w:val="en-AU"/>
        </w:rPr>
        <w:t>, and SA.</w:t>
      </w:r>
      <w:proofErr w:type="gramEnd"/>
      <w:r w:rsidRPr="00CC4C12">
        <w:rPr>
          <w:rFonts w:ascii="Arial Narrow" w:hAnsi="Arial Narrow"/>
          <w:sz w:val="18"/>
          <w:lang w:val="en-AU"/>
        </w:rPr>
        <w:t xml:space="preserve"> </w:t>
      </w:r>
      <w:proofErr w:type="spellStart"/>
      <w:proofErr w:type="gramStart"/>
      <w:r w:rsidRPr="00CC4C12">
        <w:rPr>
          <w:rFonts w:ascii="Arial Narrow" w:hAnsi="Arial Narrow"/>
          <w:sz w:val="18"/>
          <w:lang w:val="en-AU"/>
        </w:rPr>
        <w:t>Halperin</w:t>
      </w:r>
      <w:proofErr w:type="spellEnd"/>
      <w:r w:rsidRPr="00CC4C12">
        <w:rPr>
          <w:rFonts w:ascii="Arial Narrow" w:hAnsi="Arial Narrow"/>
          <w:sz w:val="18"/>
          <w:lang w:val="en-AU"/>
        </w:rPr>
        <w:t>.</w:t>
      </w:r>
      <w:proofErr w:type="gramEnd"/>
      <w:r w:rsidRPr="00CC4C12">
        <w:rPr>
          <w:rFonts w:ascii="Arial Narrow" w:hAnsi="Arial Narrow"/>
          <w:sz w:val="18"/>
          <w:lang w:val="en-AU"/>
        </w:rPr>
        <w:t xml:space="preserve"> 2014. "</w:t>
      </w:r>
      <w:proofErr w:type="spellStart"/>
      <w:r w:rsidRPr="00CC4C12">
        <w:rPr>
          <w:rFonts w:ascii="Arial Narrow" w:hAnsi="Arial Narrow"/>
          <w:sz w:val="18"/>
          <w:lang w:val="en-AU"/>
        </w:rPr>
        <w:t>Acellular</w:t>
      </w:r>
      <w:proofErr w:type="spellEnd"/>
      <w:r w:rsidRPr="00CC4C12">
        <w:rPr>
          <w:rFonts w:ascii="Arial Narrow" w:hAnsi="Arial Narrow"/>
          <w:sz w:val="18"/>
          <w:lang w:val="en-AU"/>
        </w:rPr>
        <w:t xml:space="preserve"> vaccines for preventing whooping cough in children (Review)." </w:t>
      </w:r>
      <w:proofErr w:type="gramStart"/>
      <w:r w:rsidRPr="00CC4C12">
        <w:rPr>
          <w:rFonts w:ascii="Arial Narrow" w:hAnsi="Arial Narrow"/>
          <w:sz w:val="18"/>
          <w:lang w:val="en-AU"/>
        </w:rPr>
        <w:t>The Cochrane Library Issue 9 pp. 1-154.</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30" w:rsidRDefault="00CB38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C2" w:rsidRPr="00DF217D" w:rsidRDefault="00EE39C2" w:rsidP="00A5282F">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EE39C2" w:rsidRDefault="00EE39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30" w:rsidRDefault="00CB3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FF3"/>
    <w:multiLevelType w:val="hybridMultilevel"/>
    <w:tmpl w:val="DFCAE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62C72"/>
    <w:multiLevelType w:val="multilevel"/>
    <w:tmpl w:val="8BAA8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EF078C"/>
    <w:multiLevelType w:val="hybridMultilevel"/>
    <w:tmpl w:val="8C10CFBA"/>
    <w:lvl w:ilvl="0" w:tplc="0C4E4756">
      <w:start w:val="1"/>
      <w:numFmt w:val="lowerLetter"/>
      <w:pStyle w:val="NormalLett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415E83"/>
    <w:multiLevelType w:val="hybridMultilevel"/>
    <w:tmpl w:val="48F2C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5449A2"/>
    <w:multiLevelType w:val="multilevel"/>
    <w:tmpl w:val="5F5E2DF6"/>
    <w:lvl w:ilvl="0">
      <w:start w:val="1"/>
      <w:numFmt w:val="none"/>
      <w:pStyle w:val="AltLevel1"/>
      <w:lvlText w:val="B(i)."/>
      <w:lvlJc w:val="left"/>
      <w:pPr>
        <w:ind w:left="360" w:hanging="360"/>
      </w:pPr>
      <w:rPr>
        <w:rFonts w:hint="default"/>
      </w:rPr>
    </w:lvl>
    <w:lvl w:ilvl="1">
      <w:start w:val="1"/>
      <w:numFmt w:val="decimal"/>
      <w:pStyle w:val="AltLevel1"/>
      <w:lvlText w:val="B(i).%1%2."/>
      <w:lvlJc w:val="left"/>
      <w:pPr>
        <w:ind w:left="792" w:hanging="432"/>
      </w:pPr>
      <w:rPr>
        <w:rFonts w:hint="default"/>
      </w:rPr>
    </w:lvl>
    <w:lvl w:ilvl="2">
      <w:start w:val="1"/>
      <w:numFmt w:val="decimal"/>
      <w:lvlText w:val="B(i).%2.%3."/>
      <w:lvlJc w:val="left"/>
      <w:pPr>
        <w:ind w:left="1224" w:hanging="504"/>
      </w:pPr>
      <w:rPr>
        <w:rFonts w:hint="default"/>
      </w:rPr>
    </w:lvl>
    <w:lvl w:ilvl="3">
      <w:start w:val="1"/>
      <w:numFmt w:val="decimal"/>
      <w:lvlText w:val="B(i).%1%2.%3.%4."/>
      <w:lvlJc w:val="left"/>
      <w:pPr>
        <w:ind w:left="1728" w:hanging="648"/>
      </w:pPr>
      <w:rPr>
        <w:rFonts w:hint="default"/>
      </w:rPr>
    </w:lvl>
    <w:lvl w:ilvl="4">
      <w:start w:val="1"/>
      <w:numFmt w:val="decimal"/>
      <w:lvlText w:val="B(i).%1%2.%3.%4.%5."/>
      <w:lvlJc w:val="left"/>
      <w:pPr>
        <w:ind w:left="2232" w:hanging="792"/>
      </w:pPr>
      <w:rPr>
        <w:rFonts w:hint="default"/>
      </w:rPr>
    </w:lvl>
    <w:lvl w:ilvl="5">
      <w:start w:val="1"/>
      <w:numFmt w:val="decimal"/>
      <w:lvlText w:val="B(i).%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CE47F8"/>
    <w:multiLevelType w:val="hybridMultilevel"/>
    <w:tmpl w:val="206C1110"/>
    <w:lvl w:ilvl="0" w:tplc="13E6D24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6D1D3D"/>
    <w:multiLevelType w:val="hybridMultilevel"/>
    <w:tmpl w:val="BD3E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E736F"/>
    <w:multiLevelType w:val="multilevel"/>
    <w:tmpl w:val="508C86FC"/>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7AC699A"/>
    <w:multiLevelType w:val="hybridMultilevel"/>
    <w:tmpl w:val="F23A1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B26F30"/>
    <w:multiLevelType w:val="hybridMultilevel"/>
    <w:tmpl w:val="B9081B7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nsid w:val="1B497872"/>
    <w:multiLevelType w:val="hybridMultilevel"/>
    <w:tmpl w:val="E8083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10458C1"/>
    <w:multiLevelType w:val="multilevel"/>
    <w:tmpl w:val="3800CD0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5">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6">
    <w:nsid w:val="29060CFA"/>
    <w:multiLevelType w:val="multilevel"/>
    <w:tmpl w:val="0C66013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B650263"/>
    <w:multiLevelType w:val="hybridMultilevel"/>
    <w:tmpl w:val="B7EC7292"/>
    <w:lvl w:ilvl="0" w:tplc="8C7E4260">
      <w:numFmt w:val="bullet"/>
      <w:lvlText w:val="-"/>
      <w:lvlJc w:val="left"/>
      <w:pPr>
        <w:tabs>
          <w:tab w:val="num" w:pos="720"/>
        </w:tabs>
        <w:ind w:left="720" w:hanging="360"/>
      </w:pPr>
      <w:rPr>
        <w:rFonts w:ascii="Times New Roman" w:eastAsia="Times New Roman" w:hAnsi="Times New Roman" w:cs="Times New Roman" w:hint="default"/>
      </w:rPr>
    </w:lvl>
    <w:lvl w:ilvl="1" w:tplc="C4F6C8EA" w:tentative="1">
      <w:start w:val="1"/>
      <w:numFmt w:val="bullet"/>
      <w:lvlText w:val="o"/>
      <w:lvlJc w:val="left"/>
      <w:pPr>
        <w:tabs>
          <w:tab w:val="num" w:pos="1440"/>
        </w:tabs>
        <w:ind w:left="1440" w:hanging="360"/>
      </w:pPr>
      <w:rPr>
        <w:rFonts w:ascii="Courier New" w:hAnsi="Courier New" w:cs="Courier New" w:hint="default"/>
      </w:rPr>
    </w:lvl>
    <w:lvl w:ilvl="2" w:tplc="5B1CBD9C" w:tentative="1">
      <w:start w:val="1"/>
      <w:numFmt w:val="bullet"/>
      <w:lvlText w:val=""/>
      <w:lvlJc w:val="left"/>
      <w:pPr>
        <w:tabs>
          <w:tab w:val="num" w:pos="2160"/>
        </w:tabs>
        <w:ind w:left="2160" w:hanging="360"/>
      </w:pPr>
      <w:rPr>
        <w:rFonts w:ascii="Wingdings" w:hAnsi="Wingdings" w:hint="default"/>
      </w:rPr>
    </w:lvl>
    <w:lvl w:ilvl="3" w:tplc="9F62E814" w:tentative="1">
      <w:start w:val="1"/>
      <w:numFmt w:val="bullet"/>
      <w:lvlText w:val=""/>
      <w:lvlJc w:val="left"/>
      <w:pPr>
        <w:tabs>
          <w:tab w:val="num" w:pos="2880"/>
        </w:tabs>
        <w:ind w:left="2880" w:hanging="360"/>
      </w:pPr>
      <w:rPr>
        <w:rFonts w:ascii="Symbol" w:hAnsi="Symbol" w:hint="default"/>
      </w:rPr>
    </w:lvl>
    <w:lvl w:ilvl="4" w:tplc="F6AE35FC" w:tentative="1">
      <w:start w:val="1"/>
      <w:numFmt w:val="bullet"/>
      <w:lvlText w:val="o"/>
      <w:lvlJc w:val="left"/>
      <w:pPr>
        <w:tabs>
          <w:tab w:val="num" w:pos="3600"/>
        </w:tabs>
        <w:ind w:left="3600" w:hanging="360"/>
      </w:pPr>
      <w:rPr>
        <w:rFonts w:ascii="Courier New" w:hAnsi="Courier New" w:cs="Courier New" w:hint="default"/>
      </w:rPr>
    </w:lvl>
    <w:lvl w:ilvl="5" w:tplc="89224AC6" w:tentative="1">
      <w:start w:val="1"/>
      <w:numFmt w:val="bullet"/>
      <w:lvlText w:val=""/>
      <w:lvlJc w:val="left"/>
      <w:pPr>
        <w:tabs>
          <w:tab w:val="num" w:pos="4320"/>
        </w:tabs>
        <w:ind w:left="4320" w:hanging="360"/>
      </w:pPr>
      <w:rPr>
        <w:rFonts w:ascii="Wingdings" w:hAnsi="Wingdings" w:hint="default"/>
      </w:rPr>
    </w:lvl>
    <w:lvl w:ilvl="6" w:tplc="EBE07874" w:tentative="1">
      <w:start w:val="1"/>
      <w:numFmt w:val="bullet"/>
      <w:lvlText w:val=""/>
      <w:lvlJc w:val="left"/>
      <w:pPr>
        <w:tabs>
          <w:tab w:val="num" w:pos="5040"/>
        </w:tabs>
        <w:ind w:left="5040" w:hanging="360"/>
      </w:pPr>
      <w:rPr>
        <w:rFonts w:ascii="Symbol" w:hAnsi="Symbol" w:hint="default"/>
      </w:rPr>
    </w:lvl>
    <w:lvl w:ilvl="7" w:tplc="9EE8B708" w:tentative="1">
      <w:start w:val="1"/>
      <w:numFmt w:val="bullet"/>
      <w:lvlText w:val="o"/>
      <w:lvlJc w:val="left"/>
      <w:pPr>
        <w:tabs>
          <w:tab w:val="num" w:pos="5760"/>
        </w:tabs>
        <w:ind w:left="5760" w:hanging="360"/>
      </w:pPr>
      <w:rPr>
        <w:rFonts w:ascii="Courier New" w:hAnsi="Courier New" w:cs="Courier New" w:hint="default"/>
      </w:rPr>
    </w:lvl>
    <w:lvl w:ilvl="8" w:tplc="2C1EDF26" w:tentative="1">
      <w:start w:val="1"/>
      <w:numFmt w:val="bullet"/>
      <w:lvlText w:val=""/>
      <w:lvlJc w:val="left"/>
      <w:pPr>
        <w:tabs>
          <w:tab w:val="num" w:pos="6480"/>
        </w:tabs>
        <w:ind w:left="6480" w:hanging="360"/>
      </w:pPr>
      <w:rPr>
        <w:rFonts w:ascii="Wingdings" w:hAnsi="Wingdings" w:hint="default"/>
      </w:rPr>
    </w:lvl>
  </w:abstractNum>
  <w:abstractNum w:abstractNumId="18">
    <w:nsid w:val="2DD33B25"/>
    <w:multiLevelType w:val="hybridMultilevel"/>
    <w:tmpl w:val="73C4A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6C41CB"/>
    <w:multiLevelType w:val="hybridMultilevel"/>
    <w:tmpl w:val="7F94C816"/>
    <w:lvl w:ilvl="0" w:tplc="B2308422">
      <w:start w:val="1"/>
      <w:numFmt w:val="decimal"/>
      <w:pStyle w:val="NormalNumberList"/>
      <w:lvlText w:val="%1."/>
      <w:lvlJc w:val="left"/>
      <w:pPr>
        <w:ind w:left="720" w:hanging="360"/>
      </w:pPr>
    </w:lvl>
    <w:lvl w:ilvl="1" w:tplc="824AB658" w:tentative="1">
      <w:start w:val="1"/>
      <w:numFmt w:val="lowerLetter"/>
      <w:lvlText w:val="%2."/>
      <w:lvlJc w:val="left"/>
      <w:pPr>
        <w:ind w:left="1440" w:hanging="360"/>
      </w:pPr>
    </w:lvl>
    <w:lvl w:ilvl="2" w:tplc="CC28A784" w:tentative="1">
      <w:start w:val="1"/>
      <w:numFmt w:val="lowerRoman"/>
      <w:lvlText w:val="%3."/>
      <w:lvlJc w:val="right"/>
      <w:pPr>
        <w:ind w:left="2160" w:hanging="180"/>
      </w:pPr>
    </w:lvl>
    <w:lvl w:ilvl="3" w:tplc="013E141A" w:tentative="1">
      <w:start w:val="1"/>
      <w:numFmt w:val="decimal"/>
      <w:lvlText w:val="%4."/>
      <w:lvlJc w:val="left"/>
      <w:pPr>
        <w:ind w:left="2880" w:hanging="360"/>
      </w:pPr>
    </w:lvl>
    <w:lvl w:ilvl="4" w:tplc="7A907D70" w:tentative="1">
      <w:start w:val="1"/>
      <w:numFmt w:val="lowerLetter"/>
      <w:lvlText w:val="%5."/>
      <w:lvlJc w:val="left"/>
      <w:pPr>
        <w:ind w:left="3600" w:hanging="360"/>
      </w:pPr>
    </w:lvl>
    <w:lvl w:ilvl="5" w:tplc="A00C6768" w:tentative="1">
      <w:start w:val="1"/>
      <w:numFmt w:val="lowerRoman"/>
      <w:lvlText w:val="%6."/>
      <w:lvlJc w:val="right"/>
      <w:pPr>
        <w:ind w:left="4320" w:hanging="180"/>
      </w:pPr>
    </w:lvl>
    <w:lvl w:ilvl="6" w:tplc="9A32DD80" w:tentative="1">
      <w:start w:val="1"/>
      <w:numFmt w:val="decimal"/>
      <w:lvlText w:val="%7."/>
      <w:lvlJc w:val="left"/>
      <w:pPr>
        <w:ind w:left="5040" w:hanging="360"/>
      </w:pPr>
    </w:lvl>
    <w:lvl w:ilvl="7" w:tplc="187470A2" w:tentative="1">
      <w:start w:val="1"/>
      <w:numFmt w:val="lowerLetter"/>
      <w:lvlText w:val="%8."/>
      <w:lvlJc w:val="left"/>
      <w:pPr>
        <w:ind w:left="5760" w:hanging="360"/>
      </w:pPr>
    </w:lvl>
    <w:lvl w:ilvl="8" w:tplc="7F2C53CA" w:tentative="1">
      <w:start w:val="1"/>
      <w:numFmt w:val="lowerRoman"/>
      <w:lvlText w:val="%9."/>
      <w:lvlJc w:val="right"/>
      <w:pPr>
        <w:ind w:left="6480" w:hanging="180"/>
      </w:pPr>
    </w:lvl>
  </w:abstractNum>
  <w:abstractNum w:abstractNumId="21">
    <w:nsid w:val="3B235E65"/>
    <w:multiLevelType w:val="hybridMultilevel"/>
    <w:tmpl w:val="BFB0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C0435A2"/>
    <w:multiLevelType w:val="multilevel"/>
    <w:tmpl w:val="76B44038"/>
    <w:lvl w:ilvl="0">
      <w:start w:val="1"/>
      <w:numFmt w:val="upperLetter"/>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5">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420B6ECC"/>
    <w:multiLevelType w:val="hybridMultilevel"/>
    <w:tmpl w:val="4C70CE1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27">
    <w:nsid w:val="43C75B1A"/>
    <w:multiLevelType w:val="multilevel"/>
    <w:tmpl w:val="9D5A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783651"/>
    <w:multiLevelType w:val="hybridMultilevel"/>
    <w:tmpl w:val="234A5A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0655597"/>
    <w:multiLevelType w:val="multilevel"/>
    <w:tmpl w:val="8BAA8A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2E74AF"/>
    <w:multiLevelType w:val="hybridMultilevel"/>
    <w:tmpl w:val="48CE5FD2"/>
    <w:lvl w:ilvl="0" w:tplc="0C090005">
      <w:start w:val="1"/>
      <w:numFmt w:val="lowerLetter"/>
      <w:pStyle w:val="TableLetters"/>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5">
    <w:nsid w:val="6CF13626"/>
    <w:multiLevelType w:val="multilevel"/>
    <w:tmpl w:val="5CCA453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06B0146"/>
    <w:multiLevelType w:val="multilevel"/>
    <w:tmpl w:val="3732C9C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1830002"/>
    <w:multiLevelType w:val="hybridMultilevel"/>
    <w:tmpl w:val="E74858B2"/>
    <w:lvl w:ilvl="0" w:tplc="DC0AEA28">
      <w:start w:val="1"/>
      <w:numFmt w:val="decimal"/>
      <w:pStyle w:val="Table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6CD62FF"/>
    <w:multiLevelType w:val="multilevel"/>
    <w:tmpl w:val="52D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4D033C"/>
    <w:multiLevelType w:val="multilevel"/>
    <w:tmpl w:val="D8F01D5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A4C0386"/>
    <w:multiLevelType w:val="hybridMultilevel"/>
    <w:tmpl w:val="DC22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4"/>
  </w:num>
  <w:num w:numId="3">
    <w:abstractNumId w:val="19"/>
  </w:num>
  <w:num w:numId="4">
    <w:abstractNumId w:val="15"/>
  </w:num>
  <w:num w:numId="5">
    <w:abstractNumId w:val="14"/>
  </w:num>
  <w:num w:numId="6">
    <w:abstractNumId w:val="7"/>
  </w:num>
  <w:num w:numId="7">
    <w:abstractNumId w:val="41"/>
  </w:num>
  <w:num w:numId="8">
    <w:abstractNumId w:val="29"/>
  </w:num>
  <w:num w:numId="9">
    <w:abstractNumId w:val="25"/>
  </w:num>
  <w:num w:numId="10">
    <w:abstractNumId w:val="22"/>
  </w:num>
  <w:num w:numId="11">
    <w:abstractNumId w:val="1"/>
  </w:num>
  <w:num w:numId="12">
    <w:abstractNumId w:val="39"/>
  </w:num>
  <w:num w:numId="13">
    <w:abstractNumId w:val="32"/>
  </w:num>
  <w:num w:numId="14">
    <w:abstractNumId w:val="0"/>
  </w:num>
  <w:num w:numId="15">
    <w:abstractNumId w:val="26"/>
  </w:num>
  <w:num w:numId="16">
    <w:abstractNumId w:val="23"/>
  </w:num>
  <w:num w:numId="17">
    <w:abstractNumId w:val="20"/>
  </w:num>
  <w:num w:numId="18">
    <w:abstractNumId w:val="3"/>
  </w:num>
  <w:num w:numId="19">
    <w:abstractNumId w:val="34"/>
  </w:num>
  <w:num w:numId="20">
    <w:abstractNumId w:val="37"/>
  </w:num>
  <w:num w:numId="21">
    <w:abstractNumId w:val="5"/>
  </w:num>
  <w:num w:numId="22">
    <w:abstractNumId w:val="40"/>
  </w:num>
  <w:num w:numId="23">
    <w:abstractNumId w:val="12"/>
  </w:num>
  <w:num w:numId="24">
    <w:abstractNumId w:val="17"/>
  </w:num>
  <w:num w:numId="25">
    <w:abstractNumId w:val="4"/>
  </w:num>
  <w:num w:numId="26">
    <w:abstractNumId w:val="27"/>
  </w:num>
  <w:num w:numId="27">
    <w:abstractNumId w:val="38"/>
  </w:num>
  <w:num w:numId="28">
    <w:abstractNumId w:val="21"/>
  </w:num>
  <w:num w:numId="29">
    <w:abstractNumId w:val="8"/>
  </w:num>
  <w:num w:numId="30">
    <w:abstractNumId w:val="10"/>
  </w:num>
  <w:num w:numId="31">
    <w:abstractNumId w:val="18"/>
  </w:num>
  <w:num w:numId="32">
    <w:abstractNumId w:val="39"/>
  </w:num>
  <w:num w:numId="33">
    <w:abstractNumId w:val="39"/>
  </w:num>
  <w:num w:numId="34">
    <w:abstractNumId w:val="16"/>
  </w:num>
  <w:num w:numId="35">
    <w:abstractNumId w:val="6"/>
  </w:num>
  <w:num w:numId="36">
    <w:abstractNumId w:val="35"/>
  </w:num>
  <w:num w:numId="37">
    <w:abstractNumId w:val="11"/>
  </w:num>
  <w:num w:numId="38">
    <w:abstractNumId w:val="28"/>
  </w:num>
  <w:num w:numId="39">
    <w:abstractNumId w:val="13"/>
  </w:num>
  <w:num w:numId="40">
    <w:abstractNumId w:val="36"/>
  </w:num>
  <w:num w:numId="41">
    <w:abstractNumId w:val="30"/>
  </w:num>
  <w:num w:numId="42">
    <w:abstractNumId w:val="9"/>
  </w:num>
  <w:num w:numId="43">
    <w:abstractNumId w:val="2"/>
  </w:num>
  <w:num w:numId="44">
    <w:abstractNumId w:val="3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b912b270f9399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247"/>
    <w:rsid w:val="00001CCE"/>
    <w:rsid w:val="00003499"/>
    <w:rsid w:val="000039B1"/>
    <w:rsid w:val="00007021"/>
    <w:rsid w:val="00007EA6"/>
    <w:rsid w:val="00010B54"/>
    <w:rsid w:val="00013247"/>
    <w:rsid w:val="00015886"/>
    <w:rsid w:val="000162EF"/>
    <w:rsid w:val="000201CF"/>
    <w:rsid w:val="0002225F"/>
    <w:rsid w:val="000233FB"/>
    <w:rsid w:val="00023763"/>
    <w:rsid w:val="000245B4"/>
    <w:rsid w:val="00026041"/>
    <w:rsid w:val="00033531"/>
    <w:rsid w:val="00036BD9"/>
    <w:rsid w:val="00036BF9"/>
    <w:rsid w:val="00040895"/>
    <w:rsid w:val="000431DE"/>
    <w:rsid w:val="00043C37"/>
    <w:rsid w:val="00050A45"/>
    <w:rsid w:val="00053D0E"/>
    <w:rsid w:val="00053FDA"/>
    <w:rsid w:val="000546D7"/>
    <w:rsid w:val="00067A25"/>
    <w:rsid w:val="00067A43"/>
    <w:rsid w:val="00071248"/>
    <w:rsid w:val="000720B9"/>
    <w:rsid w:val="00077420"/>
    <w:rsid w:val="000779C2"/>
    <w:rsid w:val="00077C8E"/>
    <w:rsid w:val="000812CA"/>
    <w:rsid w:val="000840C5"/>
    <w:rsid w:val="00086D02"/>
    <w:rsid w:val="00090C7E"/>
    <w:rsid w:val="000911A8"/>
    <w:rsid w:val="00091A05"/>
    <w:rsid w:val="00091BF1"/>
    <w:rsid w:val="0009249D"/>
    <w:rsid w:val="00092C78"/>
    <w:rsid w:val="00093192"/>
    <w:rsid w:val="00093C1C"/>
    <w:rsid w:val="000A24FE"/>
    <w:rsid w:val="000B3D78"/>
    <w:rsid w:val="000B46FF"/>
    <w:rsid w:val="000B5A3E"/>
    <w:rsid w:val="000C541D"/>
    <w:rsid w:val="000D03A7"/>
    <w:rsid w:val="000D16BE"/>
    <w:rsid w:val="000D1BFC"/>
    <w:rsid w:val="000D381E"/>
    <w:rsid w:val="000D3895"/>
    <w:rsid w:val="000D64C2"/>
    <w:rsid w:val="000D74F7"/>
    <w:rsid w:val="000E1A0E"/>
    <w:rsid w:val="000E1D09"/>
    <w:rsid w:val="000E30D8"/>
    <w:rsid w:val="000E408B"/>
    <w:rsid w:val="000E4AE7"/>
    <w:rsid w:val="000F44F5"/>
    <w:rsid w:val="000F4BB8"/>
    <w:rsid w:val="000F7127"/>
    <w:rsid w:val="000F72C0"/>
    <w:rsid w:val="00100F8A"/>
    <w:rsid w:val="0010608C"/>
    <w:rsid w:val="0011032E"/>
    <w:rsid w:val="00110732"/>
    <w:rsid w:val="00111DAC"/>
    <w:rsid w:val="001120EF"/>
    <w:rsid w:val="00112BEB"/>
    <w:rsid w:val="0011348B"/>
    <w:rsid w:val="001174AE"/>
    <w:rsid w:val="00120C2D"/>
    <w:rsid w:val="00121799"/>
    <w:rsid w:val="001222FC"/>
    <w:rsid w:val="00124A51"/>
    <w:rsid w:val="00126621"/>
    <w:rsid w:val="0012755E"/>
    <w:rsid w:val="00127E1F"/>
    <w:rsid w:val="001301E9"/>
    <w:rsid w:val="00134AE9"/>
    <w:rsid w:val="00136292"/>
    <w:rsid w:val="00137230"/>
    <w:rsid w:val="00137645"/>
    <w:rsid w:val="0014015A"/>
    <w:rsid w:val="00140E99"/>
    <w:rsid w:val="001412E5"/>
    <w:rsid w:val="00143D43"/>
    <w:rsid w:val="00145540"/>
    <w:rsid w:val="001456B0"/>
    <w:rsid w:val="00146A1A"/>
    <w:rsid w:val="001546B4"/>
    <w:rsid w:val="00157130"/>
    <w:rsid w:val="0015763B"/>
    <w:rsid w:val="00157FF6"/>
    <w:rsid w:val="00162913"/>
    <w:rsid w:val="00163EFF"/>
    <w:rsid w:val="001661FB"/>
    <w:rsid w:val="00166636"/>
    <w:rsid w:val="001676F0"/>
    <w:rsid w:val="00170713"/>
    <w:rsid w:val="00170741"/>
    <w:rsid w:val="0018064F"/>
    <w:rsid w:val="001810D3"/>
    <w:rsid w:val="001843FE"/>
    <w:rsid w:val="0018752F"/>
    <w:rsid w:val="00187CA5"/>
    <w:rsid w:val="00195222"/>
    <w:rsid w:val="001975D8"/>
    <w:rsid w:val="001A6238"/>
    <w:rsid w:val="001A7D8D"/>
    <w:rsid w:val="001B3443"/>
    <w:rsid w:val="001B6B2D"/>
    <w:rsid w:val="001C07EC"/>
    <w:rsid w:val="001C1CD8"/>
    <w:rsid w:val="001C6E66"/>
    <w:rsid w:val="001C79A4"/>
    <w:rsid w:val="001D6750"/>
    <w:rsid w:val="001E125A"/>
    <w:rsid w:val="001E238E"/>
    <w:rsid w:val="001E2B1E"/>
    <w:rsid w:val="001E52EB"/>
    <w:rsid w:val="001E740C"/>
    <w:rsid w:val="001F1235"/>
    <w:rsid w:val="001F1CB3"/>
    <w:rsid w:val="001F6471"/>
    <w:rsid w:val="001F65B5"/>
    <w:rsid w:val="001F7361"/>
    <w:rsid w:val="0020385F"/>
    <w:rsid w:val="00204C41"/>
    <w:rsid w:val="00204D24"/>
    <w:rsid w:val="00205DCF"/>
    <w:rsid w:val="00206332"/>
    <w:rsid w:val="00207021"/>
    <w:rsid w:val="00207D00"/>
    <w:rsid w:val="002105C1"/>
    <w:rsid w:val="00214F9C"/>
    <w:rsid w:val="0021623C"/>
    <w:rsid w:val="00223B49"/>
    <w:rsid w:val="00223BEE"/>
    <w:rsid w:val="00224485"/>
    <w:rsid w:val="00224DD4"/>
    <w:rsid w:val="002309CC"/>
    <w:rsid w:val="00236196"/>
    <w:rsid w:val="002378D3"/>
    <w:rsid w:val="002411A6"/>
    <w:rsid w:val="002433F4"/>
    <w:rsid w:val="00244B67"/>
    <w:rsid w:val="002466C0"/>
    <w:rsid w:val="00254DCF"/>
    <w:rsid w:val="0025534B"/>
    <w:rsid w:val="00255BB7"/>
    <w:rsid w:val="00262A87"/>
    <w:rsid w:val="002636DF"/>
    <w:rsid w:val="0026442D"/>
    <w:rsid w:val="00264EBA"/>
    <w:rsid w:val="00265353"/>
    <w:rsid w:val="002718A3"/>
    <w:rsid w:val="00273F9C"/>
    <w:rsid w:val="00275C5A"/>
    <w:rsid w:val="00276FE0"/>
    <w:rsid w:val="00281014"/>
    <w:rsid w:val="00282433"/>
    <w:rsid w:val="002910BC"/>
    <w:rsid w:val="002A14AB"/>
    <w:rsid w:val="002A7D09"/>
    <w:rsid w:val="002B0E9E"/>
    <w:rsid w:val="002B0FFD"/>
    <w:rsid w:val="002B1C1F"/>
    <w:rsid w:val="002B3834"/>
    <w:rsid w:val="002B432F"/>
    <w:rsid w:val="002B6468"/>
    <w:rsid w:val="002B6CCE"/>
    <w:rsid w:val="002C2775"/>
    <w:rsid w:val="002C27C1"/>
    <w:rsid w:val="002D5225"/>
    <w:rsid w:val="002E0EC0"/>
    <w:rsid w:val="002E1D12"/>
    <w:rsid w:val="002E48D8"/>
    <w:rsid w:val="002F492A"/>
    <w:rsid w:val="002F6E0F"/>
    <w:rsid w:val="00301017"/>
    <w:rsid w:val="0030786C"/>
    <w:rsid w:val="0031031A"/>
    <w:rsid w:val="00310981"/>
    <w:rsid w:val="0031471F"/>
    <w:rsid w:val="00315498"/>
    <w:rsid w:val="00320E69"/>
    <w:rsid w:val="00321724"/>
    <w:rsid w:val="003226FD"/>
    <w:rsid w:val="00332727"/>
    <w:rsid w:val="003329D2"/>
    <w:rsid w:val="00332D1A"/>
    <w:rsid w:val="0033377B"/>
    <w:rsid w:val="003366C9"/>
    <w:rsid w:val="003371B0"/>
    <w:rsid w:val="00346E55"/>
    <w:rsid w:val="003555B6"/>
    <w:rsid w:val="003558D1"/>
    <w:rsid w:val="0035620E"/>
    <w:rsid w:val="00357DD1"/>
    <w:rsid w:val="00357F67"/>
    <w:rsid w:val="00360293"/>
    <w:rsid w:val="00360620"/>
    <w:rsid w:val="00363C70"/>
    <w:rsid w:val="00365575"/>
    <w:rsid w:val="00367332"/>
    <w:rsid w:val="00367AF6"/>
    <w:rsid w:val="00373952"/>
    <w:rsid w:val="003739B1"/>
    <w:rsid w:val="00376A7C"/>
    <w:rsid w:val="0038365C"/>
    <w:rsid w:val="00383A80"/>
    <w:rsid w:val="00383E6B"/>
    <w:rsid w:val="003861C3"/>
    <w:rsid w:val="00387082"/>
    <w:rsid w:val="00390996"/>
    <w:rsid w:val="003947FB"/>
    <w:rsid w:val="00396FD0"/>
    <w:rsid w:val="003A1A7A"/>
    <w:rsid w:val="003A4BE6"/>
    <w:rsid w:val="003B5CDF"/>
    <w:rsid w:val="003B6748"/>
    <w:rsid w:val="003B7520"/>
    <w:rsid w:val="003D1828"/>
    <w:rsid w:val="003D2422"/>
    <w:rsid w:val="003D7D7E"/>
    <w:rsid w:val="003E639B"/>
    <w:rsid w:val="003F1F9F"/>
    <w:rsid w:val="003F4156"/>
    <w:rsid w:val="003F6B85"/>
    <w:rsid w:val="00410708"/>
    <w:rsid w:val="00410EC7"/>
    <w:rsid w:val="004117E5"/>
    <w:rsid w:val="00411862"/>
    <w:rsid w:val="00414476"/>
    <w:rsid w:val="00417C2B"/>
    <w:rsid w:val="00420B9F"/>
    <w:rsid w:val="00421561"/>
    <w:rsid w:val="00431419"/>
    <w:rsid w:val="004319F8"/>
    <w:rsid w:val="00433044"/>
    <w:rsid w:val="00433746"/>
    <w:rsid w:val="0043692B"/>
    <w:rsid w:val="0043722D"/>
    <w:rsid w:val="004443A7"/>
    <w:rsid w:val="004464EB"/>
    <w:rsid w:val="0045092C"/>
    <w:rsid w:val="004517DB"/>
    <w:rsid w:val="00455D45"/>
    <w:rsid w:val="00460EA1"/>
    <w:rsid w:val="00464595"/>
    <w:rsid w:val="00465488"/>
    <w:rsid w:val="00466BD3"/>
    <w:rsid w:val="004867E2"/>
    <w:rsid w:val="0049139D"/>
    <w:rsid w:val="00491B3A"/>
    <w:rsid w:val="00492CFD"/>
    <w:rsid w:val="004943B5"/>
    <w:rsid w:val="004962D2"/>
    <w:rsid w:val="0049679A"/>
    <w:rsid w:val="004A0A58"/>
    <w:rsid w:val="004A0DA1"/>
    <w:rsid w:val="004A2FE7"/>
    <w:rsid w:val="004A3B6A"/>
    <w:rsid w:val="004A6597"/>
    <w:rsid w:val="004B1CB4"/>
    <w:rsid w:val="004B2F18"/>
    <w:rsid w:val="004B3DDB"/>
    <w:rsid w:val="004B44FD"/>
    <w:rsid w:val="004B5CFC"/>
    <w:rsid w:val="004C4AED"/>
    <w:rsid w:val="004C4E8C"/>
    <w:rsid w:val="004C6FF7"/>
    <w:rsid w:val="004C786A"/>
    <w:rsid w:val="004D0765"/>
    <w:rsid w:val="004D6A5C"/>
    <w:rsid w:val="004E02AC"/>
    <w:rsid w:val="004E0CD9"/>
    <w:rsid w:val="004E0EB8"/>
    <w:rsid w:val="004E1E17"/>
    <w:rsid w:val="004E2954"/>
    <w:rsid w:val="004E2ADC"/>
    <w:rsid w:val="004E43B2"/>
    <w:rsid w:val="004F0D5B"/>
    <w:rsid w:val="004F1D02"/>
    <w:rsid w:val="004F2679"/>
    <w:rsid w:val="004F267A"/>
    <w:rsid w:val="004F58EB"/>
    <w:rsid w:val="004F7865"/>
    <w:rsid w:val="005014B8"/>
    <w:rsid w:val="005015DB"/>
    <w:rsid w:val="00506928"/>
    <w:rsid w:val="005103F1"/>
    <w:rsid w:val="005152B5"/>
    <w:rsid w:val="00521319"/>
    <w:rsid w:val="0052273D"/>
    <w:rsid w:val="00523C28"/>
    <w:rsid w:val="005263E5"/>
    <w:rsid w:val="00526FF2"/>
    <w:rsid w:val="00534059"/>
    <w:rsid w:val="005440FF"/>
    <w:rsid w:val="00544B77"/>
    <w:rsid w:val="005459C9"/>
    <w:rsid w:val="00547DC8"/>
    <w:rsid w:val="00552BD3"/>
    <w:rsid w:val="0055304C"/>
    <w:rsid w:val="00553EFD"/>
    <w:rsid w:val="00554A2C"/>
    <w:rsid w:val="00554B40"/>
    <w:rsid w:val="00555109"/>
    <w:rsid w:val="0055765A"/>
    <w:rsid w:val="0056696F"/>
    <w:rsid w:val="00566A5D"/>
    <w:rsid w:val="00570F5A"/>
    <w:rsid w:val="00575D8D"/>
    <w:rsid w:val="00576972"/>
    <w:rsid w:val="00582551"/>
    <w:rsid w:val="00583699"/>
    <w:rsid w:val="00584284"/>
    <w:rsid w:val="005842E6"/>
    <w:rsid w:val="00584B67"/>
    <w:rsid w:val="005A26C7"/>
    <w:rsid w:val="005A37DC"/>
    <w:rsid w:val="005A4921"/>
    <w:rsid w:val="005A492E"/>
    <w:rsid w:val="005A63BE"/>
    <w:rsid w:val="005A6A2A"/>
    <w:rsid w:val="005A7E75"/>
    <w:rsid w:val="005B00B9"/>
    <w:rsid w:val="005B0990"/>
    <w:rsid w:val="005B18DD"/>
    <w:rsid w:val="005B5065"/>
    <w:rsid w:val="005B5857"/>
    <w:rsid w:val="005B5ABA"/>
    <w:rsid w:val="005C1B83"/>
    <w:rsid w:val="005C346B"/>
    <w:rsid w:val="005D044D"/>
    <w:rsid w:val="005D18AD"/>
    <w:rsid w:val="005D1EA5"/>
    <w:rsid w:val="005D6627"/>
    <w:rsid w:val="005E259E"/>
    <w:rsid w:val="005E2857"/>
    <w:rsid w:val="005E5E6D"/>
    <w:rsid w:val="005E73C0"/>
    <w:rsid w:val="005F03F1"/>
    <w:rsid w:val="005F2706"/>
    <w:rsid w:val="005F6A8F"/>
    <w:rsid w:val="00606DD3"/>
    <w:rsid w:val="00607669"/>
    <w:rsid w:val="00610E95"/>
    <w:rsid w:val="00612F97"/>
    <w:rsid w:val="006137A9"/>
    <w:rsid w:val="00616802"/>
    <w:rsid w:val="00617E12"/>
    <w:rsid w:val="00621477"/>
    <w:rsid w:val="00631D6B"/>
    <w:rsid w:val="006332B5"/>
    <w:rsid w:val="0063479F"/>
    <w:rsid w:val="00635036"/>
    <w:rsid w:val="006364A1"/>
    <w:rsid w:val="00637BFD"/>
    <w:rsid w:val="00642E3A"/>
    <w:rsid w:val="006471CC"/>
    <w:rsid w:val="0065079F"/>
    <w:rsid w:val="0065245D"/>
    <w:rsid w:val="00654809"/>
    <w:rsid w:val="00666647"/>
    <w:rsid w:val="00666ABE"/>
    <w:rsid w:val="00667EC6"/>
    <w:rsid w:val="00671FC3"/>
    <w:rsid w:val="006723AB"/>
    <w:rsid w:val="00674B06"/>
    <w:rsid w:val="00674E42"/>
    <w:rsid w:val="00682112"/>
    <w:rsid w:val="00684A73"/>
    <w:rsid w:val="006872BA"/>
    <w:rsid w:val="006900BF"/>
    <w:rsid w:val="0069024B"/>
    <w:rsid w:val="006917D7"/>
    <w:rsid w:val="0069210C"/>
    <w:rsid w:val="00693A41"/>
    <w:rsid w:val="00694E6C"/>
    <w:rsid w:val="00694F44"/>
    <w:rsid w:val="006A1A8D"/>
    <w:rsid w:val="006A33EA"/>
    <w:rsid w:val="006A3694"/>
    <w:rsid w:val="006A5E19"/>
    <w:rsid w:val="006B4261"/>
    <w:rsid w:val="006B4DCF"/>
    <w:rsid w:val="006B7162"/>
    <w:rsid w:val="006C2A8E"/>
    <w:rsid w:val="006C5CEA"/>
    <w:rsid w:val="006C6878"/>
    <w:rsid w:val="006D1E9B"/>
    <w:rsid w:val="006D3C7D"/>
    <w:rsid w:val="006D5D5F"/>
    <w:rsid w:val="006D7F27"/>
    <w:rsid w:val="006E066F"/>
    <w:rsid w:val="006E451A"/>
    <w:rsid w:val="006E6E34"/>
    <w:rsid w:val="006E734E"/>
    <w:rsid w:val="006F32E0"/>
    <w:rsid w:val="006F5638"/>
    <w:rsid w:val="006F63A5"/>
    <w:rsid w:val="007022C7"/>
    <w:rsid w:val="00702384"/>
    <w:rsid w:val="0070276E"/>
    <w:rsid w:val="00702F8F"/>
    <w:rsid w:val="00703C00"/>
    <w:rsid w:val="00711A36"/>
    <w:rsid w:val="007172AD"/>
    <w:rsid w:val="00724077"/>
    <w:rsid w:val="0072416F"/>
    <w:rsid w:val="00735328"/>
    <w:rsid w:val="00735483"/>
    <w:rsid w:val="0073685B"/>
    <w:rsid w:val="00736D4E"/>
    <w:rsid w:val="00742E1E"/>
    <w:rsid w:val="007434D9"/>
    <w:rsid w:val="0074403C"/>
    <w:rsid w:val="00754AB5"/>
    <w:rsid w:val="007562BE"/>
    <w:rsid w:val="00757955"/>
    <w:rsid w:val="00760C03"/>
    <w:rsid w:val="007615C8"/>
    <w:rsid w:val="007622F7"/>
    <w:rsid w:val="0076238F"/>
    <w:rsid w:val="0076353F"/>
    <w:rsid w:val="00763F76"/>
    <w:rsid w:val="0076776F"/>
    <w:rsid w:val="00767F25"/>
    <w:rsid w:val="00776734"/>
    <w:rsid w:val="00783193"/>
    <w:rsid w:val="007900A5"/>
    <w:rsid w:val="00790FF2"/>
    <w:rsid w:val="00793BFF"/>
    <w:rsid w:val="007952ED"/>
    <w:rsid w:val="0079679B"/>
    <w:rsid w:val="007A0A12"/>
    <w:rsid w:val="007A2FED"/>
    <w:rsid w:val="007B08B0"/>
    <w:rsid w:val="007B0AD3"/>
    <w:rsid w:val="007B161F"/>
    <w:rsid w:val="007B251D"/>
    <w:rsid w:val="007B3625"/>
    <w:rsid w:val="007B7470"/>
    <w:rsid w:val="007B77D1"/>
    <w:rsid w:val="007C0CB9"/>
    <w:rsid w:val="007C361D"/>
    <w:rsid w:val="007D0B38"/>
    <w:rsid w:val="007D125E"/>
    <w:rsid w:val="007D1358"/>
    <w:rsid w:val="007E5E3E"/>
    <w:rsid w:val="007E60F6"/>
    <w:rsid w:val="007F1017"/>
    <w:rsid w:val="007F3FC9"/>
    <w:rsid w:val="007F4A3F"/>
    <w:rsid w:val="007F7DE9"/>
    <w:rsid w:val="00803737"/>
    <w:rsid w:val="008041F0"/>
    <w:rsid w:val="00805142"/>
    <w:rsid w:val="00807A8B"/>
    <w:rsid w:val="00812149"/>
    <w:rsid w:val="00812B6A"/>
    <w:rsid w:val="00812B7D"/>
    <w:rsid w:val="00815D94"/>
    <w:rsid w:val="008166EF"/>
    <w:rsid w:val="0081753A"/>
    <w:rsid w:val="00825130"/>
    <w:rsid w:val="008264EB"/>
    <w:rsid w:val="00830962"/>
    <w:rsid w:val="00833B05"/>
    <w:rsid w:val="00840317"/>
    <w:rsid w:val="00840CA2"/>
    <w:rsid w:val="00841F42"/>
    <w:rsid w:val="00847F85"/>
    <w:rsid w:val="00856E9A"/>
    <w:rsid w:val="008579E2"/>
    <w:rsid w:val="008606EF"/>
    <w:rsid w:val="00862502"/>
    <w:rsid w:val="00862716"/>
    <w:rsid w:val="00867A80"/>
    <w:rsid w:val="00874232"/>
    <w:rsid w:val="00877F2A"/>
    <w:rsid w:val="008825C9"/>
    <w:rsid w:val="00882874"/>
    <w:rsid w:val="00882D70"/>
    <w:rsid w:val="00883787"/>
    <w:rsid w:val="00892ADD"/>
    <w:rsid w:val="00894489"/>
    <w:rsid w:val="008963A5"/>
    <w:rsid w:val="008A3C3E"/>
    <w:rsid w:val="008A4A59"/>
    <w:rsid w:val="008A79DE"/>
    <w:rsid w:val="008B1B1C"/>
    <w:rsid w:val="008B5B7D"/>
    <w:rsid w:val="008B7D7E"/>
    <w:rsid w:val="008C1184"/>
    <w:rsid w:val="008C3AC5"/>
    <w:rsid w:val="008C5EB0"/>
    <w:rsid w:val="008C7ECB"/>
    <w:rsid w:val="008D1584"/>
    <w:rsid w:val="008D2F44"/>
    <w:rsid w:val="008D4AE3"/>
    <w:rsid w:val="008D509F"/>
    <w:rsid w:val="008D51C7"/>
    <w:rsid w:val="008E053E"/>
    <w:rsid w:val="008E0DD2"/>
    <w:rsid w:val="008E1B9E"/>
    <w:rsid w:val="008E66BD"/>
    <w:rsid w:val="008E6DA8"/>
    <w:rsid w:val="008F120A"/>
    <w:rsid w:val="008F1F9B"/>
    <w:rsid w:val="008F3A07"/>
    <w:rsid w:val="008F48EB"/>
    <w:rsid w:val="008F4F0B"/>
    <w:rsid w:val="00900217"/>
    <w:rsid w:val="00904563"/>
    <w:rsid w:val="009058C4"/>
    <w:rsid w:val="009062A5"/>
    <w:rsid w:val="00910989"/>
    <w:rsid w:val="00911272"/>
    <w:rsid w:val="0091166E"/>
    <w:rsid w:val="00913467"/>
    <w:rsid w:val="009217F6"/>
    <w:rsid w:val="0092356D"/>
    <w:rsid w:val="0092413A"/>
    <w:rsid w:val="00927F00"/>
    <w:rsid w:val="00930EE4"/>
    <w:rsid w:val="00942324"/>
    <w:rsid w:val="0095326C"/>
    <w:rsid w:val="00956F68"/>
    <w:rsid w:val="00957700"/>
    <w:rsid w:val="00962CB9"/>
    <w:rsid w:val="00964312"/>
    <w:rsid w:val="009807B2"/>
    <w:rsid w:val="00983E57"/>
    <w:rsid w:val="00983E59"/>
    <w:rsid w:val="009875B5"/>
    <w:rsid w:val="00992A64"/>
    <w:rsid w:val="009935B4"/>
    <w:rsid w:val="00996B1A"/>
    <w:rsid w:val="0099793F"/>
    <w:rsid w:val="00997CE0"/>
    <w:rsid w:val="009A1B89"/>
    <w:rsid w:val="009A1D3E"/>
    <w:rsid w:val="009A2AB7"/>
    <w:rsid w:val="009B3E26"/>
    <w:rsid w:val="009B5B4B"/>
    <w:rsid w:val="009B5E04"/>
    <w:rsid w:val="009B6761"/>
    <w:rsid w:val="009C0AB0"/>
    <w:rsid w:val="009C31C7"/>
    <w:rsid w:val="009C564E"/>
    <w:rsid w:val="009D18E3"/>
    <w:rsid w:val="009D36F7"/>
    <w:rsid w:val="009D39E6"/>
    <w:rsid w:val="009D5B91"/>
    <w:rsid w:val="009D5C84"/>
    <w:rsid w:val="009E000B"/>
    <w:rsid w:val="009E0029"/>
    <w:rsid w:val="009E4C07"/>
    <w:rsid w:val="009E6456"/>
    <w:rsid w:val="009E6C22"/>
    <w:rsid w:val="009F408E"/>
    <w:rsid w:val="009F6E31"/>
    <w:rsid w:val="009F73B4"/>
    <w:rsid w:val="00A0174C"/>
    <w:rsid w:val="00A0210C"/>
    <w:rsid w:val="00A021DF"/>
    <w:rsid w:val="00A03D43"/>
    <w:rsid w:val="00A04380"/>
    <w:rsid w:val="00A13948"/>
    <w:rsid w:val="00A20763"/>
    <w:rsid w:val="00A2405D"/>
    <w:rsid w:val="00A27AEC"/>
    <w:rsid w:val="00A34419"/>
    <w:rsid w:val="00A34E46"/>
    <w:rsid w:val="00A35D16"/>
    <w:rsid w:val="00A420E3"/>
    <w:rsid w:val="00A4317E"/>
    <w:rsid w:val="00A43C59"/>
    <w:rsid w:val="00A50ECD"/>
    <w:rsid w:val="00A52729"/>
    <w:rsid w:val="00A5282F"/>
    <w:rsid w:val="00A53675"/>
    <w:rsid w:val="00A55AF1"/>
    <w:rsid w:val="00A56B6A"/>
    <w:rsid w:val="00A578DC"/>
    <w:rsid w:val="00A6725B"/>
    <w:rsid w:val="00A70383"/>
    <w:rsid w:val="00A715AC"/>
    <w:rsid w:val="00A82DA4"/>
    <w:rsid w:val="00A84528"/>
    <w:rsid w:val="00A84F91"/>
    <w:rsid w:val="00A86E8B"/>
    <w:rsid w:val="00A91E5B"/>
    <w:rsid w:val="00A93072"/>
    <w:rsid w:val="00A9446A"/>
    <w:rsid w:val="00A959D8"/>
    <w:rsid w:val="00AA0965"/>
    <w:rsid w:val="00AA1625"/>
    <w:rsid w:val="00AA27F6"/>
    <w:rsid w:val="00AA50C8"/>
    <w:rsid w:val="00AA5531"/>
    <w:rsid w:val="00AB042A"/>
    <w:rsid w:val="00AB16B2"/>
    <w:rsid w:val="00AB2D34"/>
    <w:rsid w:val="00AB3430"/>
    <w:rsid w:val="00AB4A54"/>
    <w:rsid w:val="00AB7CFA"/>
    <w:rsid w:val="00AC1FD1"/>
    <w:rsid w:val="00AD3BA5"/>
    <w:rsid w:val="00AD489E"/>
    <w:rsid w:val="00AD57C7"/>
    <w:rsid w:val="00AE5370"/>
    <w:rsid w:val="00AF3969"/>
    <w:rsid w:val="00AF546B"/>
    <w:rsid w:val="00AF68F5"/>
    <w:rsid w:val="00B02794"/>
    <w:rsid w:val="00B10179"/>
    <w:rsid w:val="00B166AB"/>
    <w:rsid w:val="00B26AEC"/>
    <w:rsid w:val="00B274A6"/>
    <w:rsid w:val="00B35E13"/>
    <w:rsid w:val="00B41C3C"/>
    <w:rsid w:val="00B42851"/>
    <w:rsid w:val="00B4376E"/>
    <w:rsid w:val="00B457CA"/>
    <w:rsid w:val="00B476DB"/>
    <w:rsid w:val="00B509B0"/>
    <w:rsid w:val="00B50DB8"/>
    <w:rsid w:val="00B53905"/>
    <w:rsid w:val="00B54B5B"/>
    <w:rsid w:val="00B5562E"/>
    <w:rsid w:val="00B55F48"/>
    <w:rsid w:val="00B57000"/>
    <w:rsid w:val="00B57ED2"/>
    <w:rsid w:val="00B60939"/>
    <w:rsid w:val="00B60AFD"/>
    <w:rsid w:val="00B62715"/>
    <w:rsid w:val="00B70EB9"/>
    <w:rsid w:val="00B80170"/>
    <w:rsid w:val="00B818A4"/>
    <w:rsid w:val="00B81C17"/>
    <w:rsid w:val="00B822AC"/>
    <w:rsid w:val="00B849EB"/>
    <w:rsid w:val="00B85125"/>
    <w:rsid w:val="00B8649C"/>
    <w:rsid w:val="00B92D0B"/>
    <w:rsid w:val="00B934C1"/>
    <w:rsid w:val="00B93C32"/>
    <w:rsid w:val="00B9465E"/>
    <w:rsid w:val="00B94945"/>
    <w:rsid w:val="00BA0D10"/>
    <w:rsid w:val="00BA3597"/>
    <w:rsid w:val="00BA3BD7"/>
    <w:rsid w:val="00BB3515"/>
    <w:rsid w:val="00BB4599"/>
    <w:rsid w:val="00BB565E"/>
    <w:rsid w:val="00BB717F"/>
    <w:rsid w:val="00BB7405"/>
    <w:rsid w:val="00BC390A"/>
    <w:rsid w:val="00BC3A62"/>
    <w:rsid w:val="00BC63F9"/>
    <w:rsid w:val="00BD56FB"/>
    <w:rsid w:val="00BD6B91"/>
    <w:rsid w:val="00BD6CF3"/>
    <w:rsid w:val="00BD6EC3"/>
    <w:rsid w:val="00BE2180"/>
    <w:rsid w:val="00BE4275"/>
    <w:rsid w:val="00BE7F02"/>
    <w:rsid w:val="00BF1B18"/>
    <w:rsid w:val="00BF2433"/>
    <w:rsid w:val="00BF61C9"/>
    <w:rsid w:val="00BF6EF9"/>
    <w:rsid w:val="00C03955"/>
    <w:rsid w:val="00C11440"/>
    <w:rsid w:val="00C14A92"/>
    <w:rsid w:val="00C14FE2"/>
    <w:rsid w:val="00C25418"/>
    <w:rsid w:val="00C25D9C"/>
    <w:rsid w:val="00C31649"/>
    <w:rsid w:val="00C3200B"/>
    <w:rsid w:val="00C35BB9"/>
    <w:rsid w:val="00C40385"/>
    <w:rsid w:val="00C45481"/>
    <w:rsid w:val="00C50752"/>
    <w:rsid w:val="00C65576"/>
    <w:rsid w:val="00C66165"/>
    <w:rsid w:val="00C71EA1"/>
    <w:rsid w:val="00C750C8"/>
    <w:rsid w:val="00C767E5"/>
    <w:rsid w:val="00C76FB7"/>
    <w:rsid w:val="00C8213F"/>
    <w:rsid w:val="00C8797A"/>
    <w:rsid w:val="00C87FB3"/>
    <w:rsid w:val="00C923B0"/>
    <w:rsid w:val="00C938CF"/>
    <w:rsid w:val="00C973F3"/>
    <w:rsid w:val="00CA5245"/>
    <w:rsid w:val="00CA7B09"/>
    <w:rsid w:val="00CB3830"/>
    <w:rsid w:val="00CB4BA3"/>
    <w:rsid w:val="00CB5B1A"/>
    <w:rsid w:val="00CB6EC3"/>
    <w:rsid w:val="00CC2186"/>
    <w:rsid w:val="00CC49EE"/>
    <w:rsid w:val="00CC4C12"/>
    <w:rsid w:val="00CC740A"/>
    <w:rsid w:val="00CD07A5"/>
    <w:rsid w:val="00CD0DED"/>
    <w:rsid w:val="00CD162F"/>
    <w:rsid w:val="00CD6ADC"/>
    <w:rsid w:val="00CE1574"/>
    <w:rsid w:val="00CE3C7E"/>
    <w:rsid w:val="00CE3F31"/>
    <w:rsid w:val="00CE5FDD"/>
    <w:rsid w:val="00CE6274"/>
    <w:rsid w:val="00CF456B"/>
    <w:rsid w:val="00CF502D"/>
    <w:rsid w:val="00CF5A22"/>
    <w:rsid w:val="00CF717F"/>
    <w:rsid w:val="00D0262E"/>
    <w:rsid w:val="00D06218"/>
    <w:rsid w:val="00D079B0"/>
    <w:rsid w:val="00D110BD"/>
    <w:rsid w:val="00D12672"/>
    <w:rsid w:val="00D15BCB"/>
    <w:rsid w:val="00D17D6C"/>
    <w:rsid w:val="00D20CDF"/>
    <w:rsid w:val="00D31A1D"/>
    <w:rsid w:val="00D35006"/>
    <w:rsid w:val="00D357FF"/>
    <w:rsid w:val="00D53BB0"/>
    <w:rsid w:val="00D61306"/>
    <w:rsid w:val="00D752EB"/>
    <w:rsid w:val="00D76A44"/>
    <w:rsid w:val="00D80D2E"/>
    <w:rsid w:val="00D83080"/>
    <w:rsid w:val="00D83ABF"/>
    <w:rsid w:val="00D93753"/>
    <w:rsid w:val="00DA77A5"/>
    <w:rsid w:val="00DB4054"/>
    <w:rsid w:val="00DB6164"/>
    <w:rsid w:val="00DC399A"/>
    <w:rsid w:val="00DC4823"/>
    <w:rsid w:val="00DC5501"/>
    <w:rsid w:val="00DC5B61"/>
    <w:rsid w:val="00DD055A"/>
    <w:rsid w:val="00DD3F28"/>
    <w:rsid w:val="00DD4537"/>
    <w:rsid w:val="00DD4AB2"/>
    <w:rsid w:val="00DD4E15"/>
    <w:rsid w:val="00DD5DCC"/>
    <w:rsid w:val="00DD7476"/>
    <w:rsid w:val="00DE0656"/>
    <w:rsid w:val="00DE4909"/>
    <w:rsid w:val="00DE4FCB"/>
    <w:rsid w:val="00DE616B"/>
    <w:rsid w:val="00DE77E6"/>
    <w:rsid w:val="00DE7DA0"/>
    <w:rsid w:val="00DF1EEC"/>
    <w:rsid w:val="00DF5D2B"/>
    <w:rsid w:val="00E06385"/>
    <w:rsid w:val="00E06A66"/>
    <w:rsid w:val="00E10149"/>
    <w:rsid w:val="00E10486"/>
    <w:rsid w:val="00E12E01"/>
    <w:rsid w:val="00E14E73"/>
    <w:rsid w:val="00E1529D"/>
    <w:rsid w:val="00E16372"/>
    <w:rsid w:val="00E178A7"/>
    <w:rsid w:val="00E20476"/>
    <w:rsid w:val="00E20ED6"/>
    <w:rsid w:val="00E21358"/>
    <w:rsid w:val="00E2249B"/>
    <w:rsid w:val="00E22A0D"/>
    <w:rsid w:val="00E26C54"/>
    <w:rsid w:val="00E27233"/>
    <w:rsid w:val="00E2771E"/>
    <w:rsid w:val="00E30925"/>
    <w:rsid w:val="00E30B30"/>
    <w:rsid w:val="00E36C2D"/>
    <w:rsid w:val="00E37569"/>
    <w:rsid w:val="00E41E30"/>
    <w:rsid w:val="00E431A9"/>
    <w:rsid w:val="00E43D70"/>
    <w:rsid w:val="00E45474"/>
    <w:rsid w:val="00E47B2C"/>
    <w:rsid w:val="00E51560"/>
    <w:rsid w:val="00E55424"/>
    <w:rsid w:val="00E555A8"/>
    <w:rsid w:val="00E55BB5"/>
    <w:rsid w:val="00E61D58"/>
    <w:rsid w:val="00E657C0"/>
    <w:rsid w:val="00E65E79"/>
    <w:rsid w:val="00E66A3A"/>
    <w:rsid w:val="00E66C45"/>
    <w:rsid w:val="00E67416"/>
    <w:rsid w:val="00E718B6"/>
    <w:rsid w:val="00E73581"/>
    <w:rsid w:val="00E748A4"/>
    <w:rsid w:val="00E75855"/>
    <w:rsid w:val="00E808BA"/>
    <w:rsid w:val="00E815CC"/>
    <w:rsid w:val="00E81AA2"/>
    <w:rsid w:val="00E82BFF"/>
    <w:rsid w:val="00E82F4A"/>
    <w:rsid w:val="00E83BDF"/>
    <w:rsid w:val="00E83CB6"/>
    <w:rsid w:val="00E86A87"/>
    <w:rsid w:val="00E87A24"/>
    <w:rsid w:val="00E90EE3"/>
    <w:rsid w:val="00E92EDF"/>
    <w:rsid w:val="00EA3864"/>
    <w:rsid w:val="00EA4CDE"/>
    <w:rsid w:val="00EB15B6"/>
    <w:rsid w:val="00EB4916"/>
    <w:rsid w:val="00EC00C9"/>
    <w:rsid w:val="00EC0D8D"/>
    <w:rsid w:val="00EC7A3A"/>
    <w:rsid w:val="00ED2C8C"/>
    <w:rsid w:val="00ED3AFA"/>
    <w:rsid w:val="00ED3EE9"/>
    <w:rsid w:val="00ED414A"/>
    <w:rsid w:val="00ED686A"/>
    <w:rsid w:val="00ED7461"/>
    <w:rsid w:val="00EE07D3"/>
    <w:rsid w:val="00EE39C2"/>
    <w:rsid w:val="00EE49D2"/>
    <w:rsid w:val="00EE5C02"/>
    <w:rsid w:val="00EE68C8"/>
    <w:rsid w:val="00EF0C2E"/>
    <w:rsid w:val="00EF3EE2"/>
    <w:rsid w:val="00F0248C"/>
    <w:rsid w:val="00F02FF3"/>
    <w:rsid w:val="00F053C5"/>
    <w:rsid w:val="00F067A2"/>
    <w:rsid w:val="00F14438"/>
    <w:rsid w:val="00F14F0F"/>
    <w:rsid w:val="00F15F2F"/>
    <w:rsid w:val="00F20CD3"/>
    <w:rsid w:val="00F22BC1"/>
    <w:rsid w:val="00F23FF1"/>
    <w:rsid w:val="00F24837"/>
    <w:rsid w:val="00F2575F"/>
    <w:rsid w:val="00F30E52"/>
    <w:rsid w:val="00F33DE9"/>
    <w:rsid w:val="00F3619A"/>
    <w:rsid w:val="00F378EE"/>
    <w:rsid w:val="00F40AC3"/>
    <w:rsid w:val="00F435EC"/>
    <w:rsid w:val="00F46CB6"/>
    <w:rsid w:val="00F51DC4"/>
    <w:rsid w:val="00F5424D"/>
    <w:rsid w:val="00F55E73"/>
    <w:rsid w:val="00F56B42"/>
    <w:rsid w:val="00F60092"/>
    <w:rsid w:val="00F60EB1"/>
    <w:rsid w:val="00F677C6"/>
    <w:rsid w:val="00F71113"/>
    <w:rsid w:val="00F74047"/>
    <w:rsid w:val="00F80E5D"/>
    <w:rsid w:val="00F84716"/>
    <w:rsid w:val="00F851CE"/>
    <w:rsid w:val="00F91062"/>
    <w:rsid w:val="00F931AC"/>
    <w:rsid w:val="00F951BD"/>
    <w:rsid w:val="00F97A78"/>
    <w:rsid w:val="00F97D70"/>
    <w:rsid w:val="00FA04FA"/>
    <w:rsid w:val="00FA16EF"/>
    <w:rsid w:val="00FA24E7"/>
    <w:rsid w:val="00FA2AD9"/>
    <w:rsid w:val="00FA4142"/>
    <w:rsid w:val="00FB2FCB"/>
    <w:rsid w:val="00FC1074"/>
    <w:rsid w:val="00FC1884"/>
    <w:rsid w:val="00FC6985"/>
    <w:rsid w:val="00FC766D"/>
    <w:rsid w:val="00FD2100"/>
    <w:rsid w:val="00FD446D"/>
    <w:rsid w:val="00FD469D"/>
    <w:rsid w:val="00FE2073"/>
    <w:rsid w:val="00FE57D9"/>
    <w:rsid w:val="00FE664D"/>
    <w:rsid w:val="00FF2A6B"/>
    <w:rsid w:val="00FF3C6B"/>
    <w:rsid w:val="00FF3DCF"/>
    <w:rsid w:val="00FF4A2F"/>
    <w:rsid w:val="00FF5AA3"/>
    <w:rsid w:val="00FF6A39"/>
    <w:rsid w:val="00FF7B9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Font">
    <w:name w:val="Font"/>
    <w:basedOn w:val="DefaultParagraphFont"/>
    <w:uiPriority w:val="1"/>
    <w:qFormat/>
    <w:rsid w:val="00830962"/>
    <w:rPr>
      <w:rFonts w:ascii="Candara" w:hAnsi="Candara"/>
      <w:sz w:val="24"/>
    </w:rPr>
  </w:style>
  <w:style w:type="character" w:customStyle="1" w:styleId="Small">
    <w:name w:val="Small"/>
    <w:basedOn w:val="Font"/>
    <w:uiPriority w:val="4"/>
    <w:qFormat/>
    <w:rsid w:val="00E36C2D"/>
    <w:rPr>
      <w:rFonts w:ascii="Candara" w:hAnsi="Candara"/>
      <w:sz w:val="20"/>
    </w:rPr>
  </w:style>
  <w:style w:type="character" w:customStyle="1" w:styleId="ListParagraphChar">
    <w:name w:val="List Paragraph Char"/>
    <w:basedOn w:val="DefaultParagraphFont"/>
    <w:link w:val="ListParagraph"/>
    <w:uiPriority w:val="99"/>
    <w:rsid w:val="006C6878"/>
    <w:rPr>
      <w:rFonts w:ascii="Arial" w:hAnsi="Arial" w:cs="Arial"/>
      <w:snapToGrid w:val="0"/>
      <w:sz w:val="22"/>
      <w:lang w:eastAsia="en-US"/>
    </w:rPr>
  </w:style>
  <w:style w:type="paragraph" w:customStyle="1" w:styleId="TableBullets">
    <w:name w:val="Table Bullets"/>
    <w:basedOn w:val="Normal"/>
    <w:uiPriority w:val="5"/>
    <w:qFormat/>
    <w:rsid w:val="00236196"/>
    <w:pPr>
      <w:widowControl/>
      <w:numPr>
        <w:numId w:val="13"/>
      </w:numPr>
      <w:ind w:left="357" w:hanging="357"/>
      <w:jc w:val="left"/>
    </w:pPr>
    <w:rPr>
      <w:rFonts w:ascii="Candara" w:eastAsiaTheme="majorEastAsia" w:hAnsi="Candara" w:cstheme="majorBidi"/>
      <w:snapToGrid/>
      <w:sz w:val="20"/>
      <w:szCs w:val="22"/>
      <w:lang w:bidi="en-US"/>
    </w:rPr>
  </w:style>
  <w:style w:type="paragraph" w:customStyle="1" w:styleId="Table">
    <w:name w:val="Table"/>
    <w:basedOn w:val="Normal"/>
    <w:link w:val="TableChar"/>
    <w:qFormat/>
    <w:rsid w:val="005459C9"/>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5459C9"/>
    <w:rPr>
      <w:rFonts w:ascii="Candara" w:eastAsiaTheme="majorEastAsia" w:hAnsi="Candara" w:cstheme="majorBidi"/>
      <w:szCs w:val="22"/>
      <w:lang w:eastAsia="en-US" w:bidi="en-US"/>
    </w:rPr>
  </w:style>
  <w:style w:type="character" w:customStyle="1" w:styleId="SmallBold">
    <w:name w:val="Small Bold"/>
    <w:basedOn w:val="Small"/>
    <w:uiPriority w:val="4"/>
    <w:qFormat/>
    <w:rsid w:val="005459C9"/>
    <w:rPr>
      <w:rFonts w:ascii="Candara" w:hAnsi="Candara"/>
      <w:b/>
      <w:sz w:val="20"/>
      <w:lang w:val="en-AU"/>
    </w:rPr>
  </w:style>
  <w:style w:type="paragraph" w:customStyle="1" w:styleId="TableCentre">
    <w:name w:val="Table Centre"/>
    <w:basedOn w:val="Table"/>
    <w:qFormat/>
    <w:rsid w:val="006B4DCF"/>
    <w:pPr>
      <w:jc w:val="center"/>
    </w:pPr>
  </w:style>
  <w:style w:type="paragraph" w:customStyle="1" w:styleId="Default">
    <w:name w:val="Default"/>
    <w:rsid w:val="000E1D09"/>
    <w:pPr>
      <w:autoSpaceDE w:val="0"/>
      <w:autoSpaceDN w:val="0"/>
      <w:adjustRightInd w:val="0"/>
    </w:pPr>
    <w:rPr>
      <w:rFonts w:ascii="Arial" w:hAnsi="Arial" w:cs="Arial"/>
      <w:color w:val="000000"/>
      <w:sz w:val="24"/>
      <w:szCs w:val="24"/>
    </w:rPr>
  </w:style>
  <w:style w:type="paragraph" w:customStyle="1" w:styleId="NormalBulletList">
    <w:name w:val="Normal Bullet List"/>
    <w:basedOn w:val="Normal"/>
    <w:uiPriority w:val="3"/>
    <w:qFormat/>
    <w:rsid w:val="004D6A5C"/>
    <w:pPr>
      <w:widowControl/>
      <w:numPr>
        <w:numId w:val="15"/>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FontHighlight">
    <w:name w:val="Font Highlight"/>
    <w:basedOn w:val="DefaultParagraphFont"/>
    <w:uiPriority w:val="2"/>
    <w:qFormat/>
    <w:rsid w:val="001C79A4"/>
    <w:rPr>
      <w:rFonts w:ascii="Candara" w:hAnsi="Candara"/>
      <w:sz w:val="24"/>
      <w:bdr w:val="none" w:sz="0" w:space="0" w:color="auto"/>
      <w:shd w:val="clear" w:color="auto" w:fill="FFFF00"/>
    </w:rPr>
  </w:style>
  <w:style w:type="character" w:customStyle="1" w:styleId="Heading1Char">
    <w:name w:val="Heading 1 Char"/>
    <w:basedOn w:val="DefaultParagraphFont"/>
    <w:link w:val="Heading1"/>
    <w:rsid w:val="00BC3A62"/>
    <w:rPr>
      <w:rFonts w:ascii="Arial Bold" w:hAnsi="Arial Bold" w:cs="Arial"/>
      <w:b/>
      <w:caps/>
      <w:snapToGrid w:val="0"/>
      <w:sz w:val="22"/>
      <w:lang w:eastAsia="en-US"/>
    </w:rPr>
  </w:style>
  <w:style w:type="character" w:customStyle="1" w:styleId="Heading3Char">
    <w:name w:val="Heading 3 Char"/>
    <w:basedOn w:val="DefaultParagraphFont"/>
    <w:link w:val="Heading3"/>
    <w:rsid w:val="00BC3A62"/>
    <w:rPr>
      <w:rFonts w:ascii="Arial" w:hAnsi="Arial" w:cs="Arial"/>
      <w:snapToGrid w:val="0"/>
      <w:sz w:val="22"/>
      <w:u w:val="single"/>
      <w:lang w:eastAsia="en-US"/>
    </w:rPr>
  </w:style>
  <w:style w:type="character" w:customStyle="1" w:styleId="Heading4Char">
    <w:name w:val="Heading 4 Char"/>
    <w:basedOn w:val="DefaultParagraphFont"/>
    <w:link w:val="Heading4"/>
    <w:uiPriority w:val="9"/>
    <w:rsid w:val="00BC3A62"/>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9"/>
    <w:rsid w:val="00BC3A62"/>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9"/>
    <w:rsid w:val="00BC3A62"/>
    <w:rPr>
      <w:rFonts w:ascii="Arial" w:hAnsi="Arial" w:cs="Arial"/>
      <w:b/>
      <w:bCs/>
      <w:i/>
      <w:snapToGrid w:val="0"/>
      <w:sz w:val="22"/>
      <w:szCs w:val="22"/>
      <w:lang w:eastAsia="en-US"/>
    </w:rPr>
  </w:style>
  <w:style w:type="character" w:customStyle="1" w:styleId="FontItalics">
    <w:name w:val="Font Italics"/>
    <w:basedOn w:val="Font"/>
    <w:uiPriority w:val="1"/>
    <w:qFormat/>
    <w:rsid w:val="00BC3A62"/>
    <w:rPr>
      <w:rFonts w:ascii="Candara" w:hAnsi="Candara"/>
      <w:i/>
      <w:sz w:val="24"/>
    </w:rPr>
  </w:style>
  <w:style w:type="character" w:customStyle="1" w:styleId="FontUnderlined">
    <w:name w:val="Font Underlined"/>
    <w:basedOn w:val="Font"/>
    <w:uiPriority w:val="1"/>
    <w:qFormat/>
    <w:rsid w:val="00BC3A62"/>
    <w:rPr>
      <w:rFonts w:ascii="Candara" w:hAnsi="Candara"/>
      <w:sz w:val="24"/>
      <w:u w:val="single"/>
    </w:rPr>
  </w:style>
  <w:style w:type="character" w:customStyle="1" w:styleId="FontBold">
    <w:name w:val="Font Bold"/>
    <w:basedOn w:val="Font"/>
    <w:uiPriority w:val="1"/>
    <w:qFormat/>
    <w:rsid w:val="00BC3A62"/>
    <w:rPr>
      <w:rFonts w:ascii="Candara" w:hAnsi="Candara"/>
      <w:b/>
      <w:sz w:val="24"/>
    </w:rPr>
  </w:style>
  <w:style w:type="character" w:customStyle="1" w:styleId="FontSuperscript">
    <w:name w:val="Font Superscript"/>
    <w:basedOn w:val="Font"/>
    <w:uiPriority w:val="1"/>
    <w:qFormat/>
    <w:rsid w:val="00BC3A62"/>
    <w:rPr>
      <w:rFonts w:ascii="Calibri" w:hAnsi="Calibri"/>
      <w:sz w:val="24"/>
      <w:vertAlign w:val="superscript"/>
    </w:rPr>
  </w:style>
  <w:style w:type="character" w:customStyle="1" w:styleId="FontSubscript">
    <w:name w:val="Font Subscript"/>
    <w:basedOn w:val="Font"/>
    <w:uiPriority w:val="1"/>
    <w:qFormat/>
    <w:rsid w:val="00BC3A62"/>
    <w:rPr>
      <w:rFonts w:ascii="Calibri" w:hAnsi="Calibri"/>
      <w:sz w:val="24"/>
      <w:vertAlign w:val="subscript"/>
    </w:rPr>
  </w:style>
  <w:style w:type="paragraph" w:customStyle="1" w:styleId="NormalNumberList">
    <w:name w:val="Normal Number List"/>
    <w:basedOn w:val="Normal"/>
    <w:uiPriority w:val="99"/>
    <w:qFormat/>
    <w:rsid w:val="00BC3A62"/>
    <w:pPr>
      <w:widowControl/>
      <w:numPr>
        <w:numId w:val="17"/>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NormalLetterList">
    <w:name w:val="Normal Letter List"/>
    <w:basedOn w:val="Normal"/>
    <w:uiPriority w:val="99"/>
    <w:qFormat/>
    <w:rsid w:val="00BC3A62"/>
    <w:pPr>
      <w:widowControl/>
      <w:numPr>
        <w:numId w:val="18"/>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SmallItalics">
    <w:name w:val="Small Italics"/>
    <w:basedOn w:val="Small"/>
    <w:uiPriority w:val="4"/>
    <w:qFormat/>
    <w:rsid w:val="00BC3A62"/>
    <w:rPr>
      <w:rFonts w:ascii="Arial Narrow" w:hAnsi="Arial Narrow"/>
      <w:i/>
      <w:sz w:val="20"/>
    </w:rPr>
  </w:style>
  <w:style w:type="character" w:customStyle="1" w:styleId="SmallUnderline">
    <w:name w:val="Small Underline"/>
    <w:basedOn w:val="Small"/>
    <w:uiPriority w:val="4"/>
    <w:qFormat/>
    <w:rsid w:val="00BC3A62"/>
    <w:rPr>
      <w:rFonts w:ascii="Candara" w:hAnsi="Candara"/>
      <w:sz w:val="20"/>
      <w:u w:val="single"/>
    </w:rPr>
  </w:style>
  <w:style w:type="paragraph" w:customStyle="1" w:styleId="TableLetters">
    <w:name w:val="Table Letters"/>
    <w:basedOn w:val="Normal"/>
    <w:uiPriority w:val="3"/>
    <w:qFormat/>
    <w:rsid w:val="00BC3A62"/>
    <w:pPr>
      <w:widowControl/>
      <w:numPr>
        <w:numId w:val="19"/>
      </w:numPr>
      <w:ind w:left="170" w:hanging="170"/>
      <w:jc w:val="left"/>
    </w:pPr>
    <w:rPr>
      <w:rFonts w:ascii="Candara" w:eastAsiaTheme="majorEastAsia" w:hAnsi="Candara" w:cstheme="majorBidi"/>
      <w:snapToGrid/>
      <w:sz w:val="20"/>
      <w:szCs w:val="22"/>
      <w:lang w:bidi="en-US"/>
    </w:rPr>
  </w:style>
  <w:style w:type="paragraph" w:customStyle="1" w:styleId="TableNumbers">
    <w:name w:val="Table Numbers"/>
    <w:basedOn w:val="Normal"/>
    <w:uiPriority w:val="3"/>
    <w:qFormat/>
    <w:rsid w:val="00BC3A62"/>
    <w:pPr>
      <w:widowControl/>
      <w:numPr>
        <w:numId w:val="20"/>
      </w:numPr>
      <w:ind w:left="170" w:hanging="170"/>
      <w:jc w:val="left"/>
    </w:pPr>
    <w:rPr>
      <w:rFonts w:ascii="Candara" w:eastAsiaTheme="majorEastAsia" w:hAnsi="Candara" w:cstheme="majorBidi"/>
      <w:snapToGrid/>
      <w:sz w:val="20"/>
      <w:szCs w:val="22"/>
      <w:lang w:bidi="en-US"/>
    </w:rPr>
  </w:style>
  <w:style w:type="paragraph" w:customStyle="1" w:styleId="AltLevel1">
    <w:name w:val="Alt Level 1"/>
    <w:basedOn w:val="Normal"/>
    <w:next w:val="Normal"/>
    <w:link w:val="AltLevel1Char"/>
    <w:semiHidden/>
    <w:unhideWhenUsed/>
    <w:qFormat/>
    <w:rsid w:val="00BC3A62"/>
    <w:pPr>
      <w:widowControl/>
      <w:numPr>
        <w:ilvl w:val="1"/>
        <w:numId w:val="21"/>
      </w:numPr>
      <w:spacing w:after="240" w:line="276" w:lineRule="auto"/>
      <w:ind w:left="360" w:hanging="360"/>
      <w:contextualSpacing/>
      <w:jc w:val="left"/>
    </w:pPr>
    <w:rPr>
      <w:rFonts w:ascii="Verdana" w:eastAsiaTheme="majorEastAsia" w:hAnsi="Verdana" w:cstheme="majorBidi"/>
      <w:b/>
      <w:snapToGrid/>
      <w:sz w:val="32"/>
      <w:szCs w:val="22"/>
      <w:lang w:bidi="en-US"/>
    </w:rPr>
  </w:style>
  <w:style w:type="character" w:customStyle="1" w:styleId="AltLevel1Char">
    <w:name w:val="Alt Level 1 Char"/>
    <w:basedOn w:val="DefaultParagraphFont"/>
    <w:link w:val="AltLevel1"/>
    <w:semiHidden/>
    <w:rsid w:val="00BC3A62"/>
    <w:rPr>
      <w:rFonts w:ascii="Verdana" w:eastAsiaTheme="majorEastAsia" w:hAnsi="Verdana" w:cstheme="majorBidi"/>
      <w:b/>
      <w:sz w:val="32"/>
      <w:szCs w:val="22"/>
      <w:lang w:eastAsia="en-US" w:bidi="en-US"/>
    </w:rPr>
  </w:style>
  <w:style w:type="paragraph" w:customStyle="1" w:styleId="AltLevel2">
    <w:name w:val="Alt Level 2"/>
    <w:basedOn w:val="Normal"/>
    <w:link w:val="AltLevel2Char"/>
    <w:semiHidden/>
    <w:unhideWhenUsed/>
    <w:qFormat/>
    <w:rsid w:val="00BC3A62"/>
    <w:pPr>
      <w:widowControl/>
      <w:spacing w:after="200" w:line="276" w:lineRule="auto"/>
      <w:ind w:left="357" w:hanging="357"/>
      <w:contextualSpacing/>
      <w:jc w:val="left"/>
    </w:pPr>
    <w:rPr>
      <w:rFonts w:ascii="Verdana" w:eastAsiaTheme="majorEastAsia" w:hAnsi="Verdana" w:cstheme="majorBidi"/>
      <w:b/>
      <w:snapToGrid/>
      <w:sz w:val="28"/>
      <w:szCs w:val="22"/>
      <w:lang w:bidi="en-US"/>
    </w:rPr>
  </w:style>
  <w:style w:type="character" w:customStyle="1" w:styleId="AltLevel2Char">
    <w:name w:val="Alt Level 2 Char"/>
    <w:basedOn w:val="DefaultParagraphFont"/>
    <w:link w:val="AltLevel2"/>
    <w:semiHidden/>
    <w:rsid w:val="00BC3A62"/>
    <w:rPr>
      <w:rFonts w:ascii="Verdana" w:eastAsiaTheme="majorEastAsia" w:hAnsi="Verdana" w:cstheme="majorBidi"/>
      <w:b/>
      <w:sz w:val="28"/>
      <w:szCs w:val="22"/>
      <w:lang w:eastAsia="en-US" w:bidi="en-US"/>
    </w:rPr>
  </w:style>
  <w:style w:type="paragraph" w:customStyle="1" w:styleId="AltLevel3">
    <w:name w:val="Alt Level 3"/>
    <w:basedOn w:val="Normal"/>
    <w:next w:val="Normal"/>
    <w:link w:val="AltLevel3Char"/>
    <w:semiHidden/>
    <w:unhideWhenUsed/>
    <w:qFormat/>
    <w:rsid w:val="00BC3A62"/>
    <w:pPr>
      <w:widowControl/>
      <w:spacing w:after="120" w:line="276" w:lineRule="auto"/>
      <w:ind w:left="357" w:hanging="357"/>
      <w:contextualSpacing/>
      <w:jc w:val="left"/>
    </w:pPr>
    <w:rPr>
      <w:rFonts w:ascii="Verdana" w:eastAsiaTheme="majorEastAsia" w:hAnsi="Verdana" w:cstheme="majorBidi"/>
      <w:b/>
      <w:snapToGrid/>
      <w:sz w:val="26"/>
      <w:szCs w:val="22"/>
      <w:lang w:bidi="en-US"/>
    </w:rPr>
  </w:style>
  <w:style w:type="character" w:customStyle="1" w:styleId="AltLevel3Char">
    <w:name w:val="Alt Level 3 Char"/>
    <w:basedOn w:val="DefaultParagraphFont"/>
    <w:link w:val="AltLevel3"/>
    <w:semiHidden/>
    <w:rsid w:val="00BC3A62"/>
    <w:rPr>
      <w:rFonts w:ascii="Verdana" w:eastAsiaTheme="majorEastAsia" w:hAnsi="Verdana" w:cstheme="majorBidi"/>
      <w:b/>
      <w:sz w:val="26"/>
      <w:szCs w:val="22"/>
      <w:lang w:eastAsia="en-US" w:bidi="en-US"/>
    </w:rPr>
  </w:style>
  <w:style w:type="paragraph" w:customStyle="1" w:styleId="AltLevel4">
    <w:name w:val="Alt Level 4"/>
    <w:basedOn w:val="Normal"/>
    <w:link w:val="AltLevel4Char"/>
    <w:semiHidden/>
    <w:unhideWhenUsed/>
    <w:qFormat/>
    <w:rsid w:val="00BC3A62"/>
    <w:pPr>
      <w:widowControl/>
      <w:spacing w:after="120" w:line="276" w:lineRule="auto"/>
      <w:ind w:left="357" w:hanging="357"/>
      <w:contextualSpacing/>
      <w:jc w:val="left"/>
    </w:pPr>
    <w:rPr>
      <w:rFonts w:ascii="Verdana" w:eastAsiaTheme="majorEastAsia" w:hAnsi="Verdana" w:cstheme="majorBidi"/>
      <w:b/>
      <w:snapToGrid/>
      <w:szCs w:val="22"/>
      <w:lang w:bidi="en-US"/>
    </w:rPr>
  </w:style>
  <w:style w:type="character" w:customStyle="1" w:styleId="AltLevel4Char">
    <w:name w:val="Alt Level 4 Char"/>
    <w:basedOn w:val="DefaultParagraphFont"/>
    <w:link w:val="AltLevel4"/>
    <w:semiHidden/>
    <w:rsid w:val="00BC3A62"/>
    <w:rPr>
      <w:rFonts w:ascii="Verdana" w:eastAsiaTheme="majorEastAsia" w:hAnsi="Verdana" w:cstheme="majorBidi"/>
      <w:b/>
      <w:sz w:val="22"/>
      <w:szCs w:val="22"/>
      <w:lang w:eastAsia="en-US" w:bidi="en-US"/>
    </w:rPr>
  </w:style>
  <w:style w:type="paragraph" w:customStyle="1" w:styleId="AltLevel5">
    <w:name w:val="Alt Level 5"/>
    <w:basedOn w:val="Normal"/>
    <w:link w:val="AltLevel5Char"/>
    <w:semiHidden/>
    <w:unhideWhenUsed/>
    <w:qFormat/>
    <w:rsid w:val="00BC3A62"/>
    <w:pPr>
      <w:widowControl/>
      <w:spacing w:after="120" w:line="276" w:lineRule="auto"/>
      <w:ind w:left="794" w:hanging="794"/>
      <w:contextualSpacing/>
      <w:jc w:val="left"/>
    </w:pPr>
    <w:rPr>
      <w:rFonts w:ascii="Candara" w:eastAsiaTheme="majorEastAsia" w:hAnsi="Candara" w:cstheme="majorBidi"/>
      <w:b/>
      <w:snapToGrid/>
      <w:sz w:val="24"/>
      <w:szCs w:val="22"/>
      <w:lang w:bidi="en-US"/>
    </w:rPr>
  </w:style>
  <w:style w:type="character" w:customStyle="1" w:styleId="AltLevel5Char">
    <w:name w:val="Alt Level 5 Char"/>
    <w:basedOn w:val="DefaultParagraphFont"/>
    <w:link w:val="AltLevel5"/>
    <w:semiHidden/>
    <w:rsid w:val="00BC3A62"/>
    <w:rPr>
      <w:rFonts w:ascii="Candara" w:eastAsiaTheme="majorEastAsia" w:hAnsi="Candara" w:cstheme="majorBidi"/>
      <w:b/>
      <w:sz w:val="24"/>
      <w:szCs w:val="22"/>
      <w:lang w:eastAsia="en-US" w:bidi="en-US"/>
    </w:rPr>
  </w:style>
  <w:style w:type="character" w:customStyle="1" w:styleId="SmallHighlight">
    <w:name w:val="Small Highlight"/>
    <w:basedOn w:val="Small"/>
    <w:uiPriority w:val="1"/>
    <w:qFormat/>
    <w:rsid w:val="00BC3A62"/>
    <w:rPr>
      <w:rFonts w:ascii="Candara" w:hAnsi="Candara"/>
      <w:sz w:val="20"/>
      <w:bdr w:val="none" w:sz="0" w:space="0" w:color="auto"/>
      <w:shd w:val="clear" w:color="auto" w:fill="FFFF00"/>
    </w:rPr>
  </w:style>
  <w:style w:type="paragraph" w:customStyle="1" w:styleId="TableRight">
    <w:name w:val="Table Right"/>
    <w:basedOn w:val="Table"/>
    <w:next w:val="Table"/>
    <w:qFormat/>
    <w:rsid w:val="00BC3A62"/>
    <w:pPr>
      <w:jc w:val="right"/>
    </w:pPr>
  </w:style>
  <w:style w:type="character" w:styleId="PageNumber">
    <w:name w:val="page number"/>
    <w:basedOn w:val="DefaultParagraphFont"/>
    <w:rsid w:val="00BC3A62"/>
  </w:style>
  <w:style w:type="character" w:customStyle="1" w:styleId="SmallSuperscript">
    <w:name w:val="Small Superscript"/>
    <w:basedOn w:val="Small"/>
    <w:uiPriority w:val="1"/>
    <w:qFormat/>
    <w:rsid w:val="00BC3A62"/>
    <w:rPr>
      <w:rFonts w:ascii="Candara" w:hAnsi="Candara"/>
      <w:sz w:val="20"/>
      <w:vertAlign w:val="superscript"/>
    </w:rPr>
  </w:style>
  <w:style w:type="character" w:customStyle="1" w:styleId="SmallSubscript">
    <w:name w:val="Small Subscript"/>
    <w:basedOn w:val="Small"/>
    <w:uiPriority w:val="1"/>
    <w:qFormat/>
    <w:rsid w:val="00BC3A62"/>
    <w:rPr>
      <w:rFonts w:ascii="Candara" w:hAnsi="Candara"/>
      <w:b w:val="0"/>
      <w:sz w:val="20"/>
      <w:vertAlign w:val="subscript"/>
    </w:rPr>
  </w:style>
  <w:style w:type="paragraph" w:styleId="PlainText">
    <w:name w:val="Plain Text"/>
    <w:basedOn w:val="Normal"/>
    <w:link w:val="PlainTextChar"/>
    <w:uiPriority w:val="99"/>
    <w:unhideWhenUsed/>
    <w:rsid w:val="00BC3A62"/>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PlainTextChar">
    <w:name w:val="Plain Text Char"/>
    <w:basedOn w:val="DefaultParagraphFont"/>
    <w:link w:val="PlainText"/>
    <w:uiPriority w:val="99"/>
    <w:rsid w:val="00BC3A62"/>
    <w:rPr>
      <w:sz w:val="24"/>
      <w:szCs w:val="24"/>
    </w:rPr>
  </w:style>
  <w:style w:type="character" w:styleId="Emphasis">
    <w:name w:val="Emphasis"/>
    <w:basedOn w:val="DefaultParagraphFont"/>
    <w:uiPriority w:val="20"/>
    <w:qFormat/>
    <w:rsid w:val="00BC3A62"/>
    <w:rPr>
      <w:i/>
      <w:iCs/>
    </w:rPr>
  </w:style>
  <w:style w:type="character" w:styleId="FollowedHyperlink">
    <w:name w:val="FollowedHyperlink"/>
    <w:basedOn w:val="DefaultParagraphFont"/>
    <w:uiPriority w:val="99"/>
    <w:semiHidden/>
    <w:unhideWhenUsed/>
    <w:rsid w:val="00BC3A62"/>
    <w:rPr>
      <w:color w:val="800080" w:themeColor="followedHyperlink"/>
      <w:u w:val="single"/>
    </w:rPr>
  </w:style>
  <w:style w:type="paragraph" w:styleId="TableofFigures">
    <w:name w:val="table of figures"/>
    <w:basedOn w:val="Normal"/>
    <w:next w:val="Normal"/>
    <w:uiPriority w:val="99"/>
    <w:unhideWhenUsed/>
    <w:rsid w:val="00BC3A62"/>
    <w:pPr>
      <w:widowControl/>
      <w:spacing w:line="276" w:lineRule="auto"/>
      <w:jc w:val="left"/>
    </w:pPr>
    <w:rPr>
      <w:rFonts w:ascii="Candara" w:eastAsiaTheme="majorEastAsia" w:hAnsi="Candara" w:cstheme="majorBidi"/>
      <w:snapToGrid/>
      <w:sz w:val="24"/>
      <w:szCs w:val="22"/>
      <w:lang w:bidi="en-US"/>
    </w:rPr>
  </w:style>
  <w:style w:type="paragraph" w:styleId="DocumentMap">
    <w:name w:val="Document Map"/>
    <w:basedOn w:val="Normal"/>
    <w:link w:val="DocumentMapChar"/>
    <w:semiHidden/>
    <w:unhideWhenUsed/>
    <w:rsid w:val="00BC3A62"/>
    <w:pPr>
      <w:widowControl/>
      <w:jc w:val="left"/>
    </w:pPr>
    <w:rPr>
      <w:rFonts w:ascii="Tahoma" w:eastAsiaTheme="majorEastAsia" w:hAnsi="Tahoma" w:cs="Tahoma"/>
      <w:snapToGrid/>
      <w:sz w:val="16"/>
      <w:szCs w:val="16"/>
      <w:lang w:bidi="en-US"/>
    </w:rPr>
  </w:style>
  <w:style w:type="character" w:customStyle="1" w:styleId="DocumentMapChar">
    <w:name w:val="Document Map Char"/>
    <w:basedOn w:val="DefaultParagraphFont"/>
    <w:link w:val="DocumentMap"/>
    <w:semiHidden/>
    <w:rsid w:val="00BC3A62"/>
    <w:rPr>
      <w:rFonts w:ascii="Tahoma" w:eastAsiaTheme="majorEastAsia" w:hAnsi="Tahoma" w:cs="Tahoma"/>
      <w:sz w:val="16"/>
      <w:szCs w:val="16"/>
      <w:lang w:eastAsia="en-US" w:bidi="en-US"/>
    </w:rPr>
  </w:style>
  <w:style w:type="paragraph" w:styleId="FootnoteText">
    <w:name w:val="footnote text"/>
    <w:basedOn w:val="Normal"/>
    <w:link w:val="FootnoteTextChar"/>
    <w:uiPriority w:val="99"/>
    <w:rsid w:val="00BC3A62"/>
    <w:pPr>
      <w:widowControl/>
      <w:jc w:val="left"/>
    </w:pPr>
    <w:rPr>
      <w:rFonts w:ascii="Times New Roman" w:hAnsi="Times New Roman" w:cs="Times New Roman"/>
      <w:snapToGrid/>
      <w:sz w:val="24"/>
      <w:lang w:val="en-US"/>
    </w:rPr>
  </w:style>
  <w:style w:type="character" w:customStyle="1" w:styleId="FootnoteTextChar">
    <w:name w:val="Footnote Text Char"/>
    <w:basedOn w:val="DefaultParagraphFont"/>
    <w:link w:val="FootnoteText"/>
    <w:uiPriority w:val="99"/>
    <w:rsid w:val="00BC3A62"/>
    <w:rPr>
      <w:sz w:val="24"/>
      <w:lang w:val="en-US" w:eastAsia="en-US"/>
    </w:rPr>
  </w:style>
  <w:style w:type="character" w:styleId="FootnoteReference">
    <w:name w:val="footnote reference"/>
    <w:uiPriority w:val="99"/>
    <w:rsid w:val="00BC3A62"/>
    <w:rPr>
      <w:vertAlign w:val="superscript"/>
    </w:rPr>
  </w:style>
  <w:style w:type="character" w:styleId="LineNumber">
    <w:name w:val="line number"/>
    <w:basedOn w:val="DefaultParagraphFont"/>
    <w:uiPriority w:val="99"/>
    <w:unhideWhenUsed/>
    <w:rsid w:val="00BC3A62"/>
  </w:style>
  <w:style w:type="paragraph" w:customStyle="1" w:styleId="Heading1unbulleted">
    <w:name w:val="Heading 1 unbulleted"/>
    <w:basedOn w:val="Heading1"/>
    <w:next w:val="Normal"/>
    <w:qFormat/>
    <w:rsid w:val="00BC3A62"/>
    <w:pPr>
      <w:pageBreakBefore/>
      <w:widowControl/>
      <w:spacing w:after="240" w:line="276" w:lineRule="auto"/>
      <w:ind w:left="0" w:firstLine="0"/>
      <w:contextualSpacing/>
      <w:jc w:val="left"/>
    </w:pPr>
    <w:rPr>
      <w:rFonts w:ascii="Candara" w:eastAsiaTheme="majorEastAsia" w:hAnsi="Candara" w:cstheme="majorBidi"/>
      <w:caps w:val="0"/>
      <w:snapToGrid/>
      <w:sz w:val="36"/>
      <w:szCs w:val="22"/>
      <w:lang w:bidi="en-US"/>
    </w:rPr>
  </w:style>
  <w:style w:type="paragraph" w:customStyle="1" w:styleId="CaptionFootnote">
    <w:name w:val="Caption Footnote"/>
    <w:basedOn w:val="Caption"/>
    <w:qFormat/>
    <w:rsid w:val="00BC3A62"/>
    <w:pPr>
      <w:spacing w:after="0"/>
      <w:jc w:val="left"/>
    </w:pPr>
    <w:rPr>
      <w:rFonts w:ascii="Candara" w:eastAsiaTheme="majorEastAsia" w:hAnsi="Candara" w:cstheme="majorBidi"/>
      <w:b w:val="0"/>
      <w:snapToGrid/>
      <w:color w:val="auto"/>
      <w:sz w:val="16"/>
      <w:lang w:bidi="en-US"/>
    </w:rPr>
  </w:style>
  <w:style w:type="paragraph" w:customStyle="1" w:styleId="Frontpagelarge">
    <w:name w:val="Frontpage large"/>
    <w:basedOn w:val="Normal"/>
    <w:next w:val="Normal"/>
    <w:qFormat/>
    <w:rsid w:val="00BC3A62"/>
    <w:pPr>
      <w:widowControl/>
      <w:spacing w:after="200" w:line="276" w:lineRule="auto"/>
      <w:jc w:val="center"/>
    </w:pPr>
    <w:rPr>
      <w:rFonts w:ascii="Candara" w:eastAsiaTheme="majorEastAsia" w:hAnsi="Candara" w:cstheme="majorBidi"/>
      <w:b/>
      <w:snapToGrid/>
      <w:sz w:val="48"/>
      <w:szCs w:val="22"/>
      <w:lang w:bidi="en-US"/>
    </w:rPr>
  </w:style>
  <w:style w:type="paragraph" w:customStyle="1" w:styleId="Frontpagesmall">
    <w:name w:val="Frontpage small"/>
    <w:basedOn w:val="Normal"/>
    <w:qFormat/>
    <w:rsid w:val="00BC3A62"/>
    <w:pPr>
      <w:widowControl/>
      <w:spacing w:after="200" w:line="276" w:lineRule="auto"/>
      <w:jc w:val="center"/>
    </w:pPr>
    <w:rPr>
      <w:rFonts w:ascii="Candara" w:eastAsiaTheme="majorEastAsia" w:hAnsi="Candara" w:cstheme="majorBidi"/>
      <w:b/>
      <w:snapToGrid/>
      <w:sz w:val="40"/>
      <w:szCs w:val="22"/>
      <w:lang w:bidi="en-US"/>
    </w:rPr>
  </w:style>
  <w:style w:type="character" w:customStyle="1" w:styleId="TableText1">
    <w:name w:val="Table Text"/>
    <w:basedOn w:val="DefaultParagraphFont"/>
    <w:qFormat/>
    <w:rsid w:val="00BC3A62"/>
    <w:rPr>
      <w:rFonts w:ascii="Arial Narrow" w:hAnsi="Arial Narrow"/>
      <w:sz w:val="20"/>
    </w:rPr>
  </w:style>
  <w:style w:type="table" w:customStyle="1" w:styleId="Submissionstandard">
    <w:name w:val="Submission standard"/>
    <w:basedOn w:val="TableNormal"/>
    <w:uiPriority w:val="99"/>
    <w:qFormat/>
    <w:rsid w:val="00BC3A62"/>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atang" w:hAnsi="@Batang"/>
        <w:b/>
        <w:sz w:val="20"/>
      </w:rPr>
      <w:tblPr/>
      <w:tcPr>
        <w:shd w:val="clear" w:color="auto" w:fill="BFBFBF" w:themeFill="background1" w:themeFillShade="BF"/>
      </w:tcPr>
    </w:tblStylePr>
  </w:style>
  <w:style w:type="paragraph" w:styleId="Bibliography">
    <w:name w:val="Bibliography"/>
    <w:basedOn w:val="Normal"/>
    <w:next w:val="Normal"/>
    <w:uiPriority w:val="37"/>
    <w:unhideWhenUsed/>
    <w:rsid w:val="00BC3A62"/>
    <w:pPr>
      <w:widowControl/>
      <w:spacing w:after="200" w:line="276" w:lineRule="auto"/>
      <w:jc w:val="left"/>
    </w:pPr>
    <w:rPr>
      <w:rFonts w:ascii="Candara" w:eastAsiaTheme="majorEastAsia" w:hAnsi="Candara" w:cstheme="majorBidi"/>
      <w:snapToGrid/>
      <w:sz w:val="24"/>
      <w:szCs w:val="22"/>
      <w:lang w:bidi="en-US"/>
    </w:rPr>
  </w:style>
  <w:style w:type="paragraph" w:customStyle="1" w:styleId="TableText1left">
    <w:name w:val="Table Text 1 (left)"/>
    <w:basedOn w:val="Normal"/>
    <w:link w:val="TableText1leftChar"/>
    <w:qFormat/>
    <w:rsid w:val="00AB4A54"/>
    <w:pPr>
      <w:widowControl/>
      <w:spacing w:before="40" w:after="40"/>
      <w:jc w:val="left"/>
    </w:pPr>
    <w:rPr>
      <w:rFonts w:ascii="Times New Roman" w:hAnsi="Times New Roman" w:cs="Times New Roman"/>
      <w:snapToGrid/>
      <w:sz w:val="20"/>
      <w:lang w:val="en-GB"/>
    </w:rPr>
  </w:style>
  <w:style w:type="character" w:customStyle="1" w:styleId="TableText1leftChar">
    <w:name w:val="Table Text 1 (left) Char"/>
    <w:link w:val="TableText1left"/>
    <w:rsid w:val="00AB4A54"/>
    <w:rPr>
      <w:lang w:val="en-GB" w:eastAsia="en-US"/>
    </w:rPr>
  </w:style>
  <w:style w:type="character" w:customStyle="1" w:styleId="li-content">
    <w:name w:val="li-content"/>
    <w:basedOn w:val="DefaultParagraphFont"/>
    <w:rsid w:val="0043722D"/>
  </w:style>
  <w:style w:type="character" w:styleId="PlaceholderText">
    <w:name w:val="Placeholder Text"/>
    <w:basedOn w:val="DefaultParagraphFont"/>
    <w:uiPriority w:val="99"/>
    <w:semiHidden/>
    <w:rsid w:val="00A0210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Font">
    <w:name w:val="Font"/>
    <w:basedOn w:val="DefaultParagraphFont"/>
    <w:uiPriority w:val="1"/>
    <w:qFormat/>
    <w:rsid w:val="00830962"/>
    <w:rPr>
      <w:rFonts w:ascii="Candara" w:hAnsi="Candara"/>
      <w:sz w:val="24"/>
    </w:rPr>
  </w:style>
  <w:style w:type="character" w:customStyle="1" w:styleId="Small">
    <w:name w:val="Small"/>
    <w:basedOn w:val="Font"/>
    <w:uiPriority w:val="4"/>
    <w:qFormat/>
    <w:rsid w:val="00E36C2D"/>
    <w:rPr>
      <w:rFonts w:ascii="Candara" w:hAnsi="Candara"/>
      <w:sz w:val="20"/>
    </w:rPr>
  </w:style>
  <w:style w:type="character" w:customStyle="1" w:styleId="ListParagraphChar">
    <w:name w:val="List Paragraph Char"/>
    <w:basedOn w:val="DefaultParagraphFont"/>
    <w:link w:val="ListParagraph"/>
    <w:uiPriority w:val="99"/>
    <w:rsid w:val="006C6878"/>
    <w:rPr>
      <w:rFonts w:ascii="Arial" w:hAnsi="Arial" w:cs="Arial"/>
      <w:snapToGrid w:val="0"/>
      <w:sz w:val="22"/>
      <w:lang w:eastAsia="en-US"/>
    </w:rPr>
  </w:style>
  <w:style w:type="paragraph" w:customStyle="1" w:styleId="TableBullets">
    <w:name w:val="Table Bullets"/>
    <w:basedOn w:val="Normal"/>
    <w:uiPriority w:val="5"/>
    <w:qFormat/>
    <w:rsid w:val="00236196"/>
    <w:pPr>
      <w:widowControl/>
      <w:numPr>
        <w:numId w:val="13"/>
      </w:numPr>
      <w:ind w:left="357" w:hanging="357"/>
      <w:jc w:val="left"/>
    </w:pPr>
    <w:rPr>
      <w:rFonts w:ascii="Candara" w:eastAsiaTheme="majorEastAsia" w:hAnsi="Candara" w:cstheme="majorBidi"/>
      <w:snapToGrid/>
      <w:sz w:val="20"/>
      <w:szCs w:val="22"/>
      <w:lang w:bidi="en-US"/>
    </w:rPr>
  </w:style>
  <w:style w:type="paragraph" w:customStyle="1" w:styleId="Table">
    <w:name w:val="Table"/>
    <w:basedOn w:val="Normal"/>
    <w:link w:val="TableChar"/>
    <w:qFormat/>
    <w:rsid w:val="005459C9"/>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5459C9"/>
    <w:rPr>
      <w:rFonts w:ascii="Candara" w:eastAsiaTheme="majorEastAsia" w:hAnsi="Candara" w:cstheme="majorBidi"/>
      <w:szCs w:val="22"/>
      <w:lang w:eastAsia="en-US" w:bidi="en-US"/>
    </w:rPr>
  </w:style>
  <w:style w:type="character" w:customStyle="1" w:styleId="SmallBold">
    <w:name w:val="Small Bold"/>
    <w:basedOn w:val="Small"/>
    <w:uiPriority w:val="4"/>
    <w:qFormat/>
    <w:rsid w:val="005459C9"/>
    <w:rPr>
      <w:rFonts w:ascii="Candara" w:hAnsi="Candara"/>
      <w:b/>
      <w:sz w:val="20"/>
      <w:lang w:val="en-AU"/>
    </w:rPr>
  </w:style>
  <w:style w:type="paragraph" w:customStyle="1" w:styleId="TableCentre">
    <w:name w:val="Table Centre"/>
    <w:basedOn w:val="Table"/>
    <w:qFormat/>
    <w:rsid w:val="006B4DCF"/>
    <w:pPr>
      <w:jc w:val="center"/>
    </w:pPr>
  </w:style>
  <w:style w:type="paragraph" w:customStyle="1" w:styleId="Default">
    <w:name w:val="Default"/>
    <w:rsid w:val="000E1D09"/>
    <w:pPr>
      <w:autoSpaceDE w:val="0"/>
      <w:autoSpaceDN w:val="0"/>
      <w:adjustRightInd w:val="0"/>
    </w:pPr>
    <w:rPr>
      <w:rFonts w:ascii="Arial" w:hAnsi="Arial" w:cs="Arial"/>
      <w:color w:val="000000"/>
      <w:sz w:val="24"/>
      <w:szCs w:val="24"/>
    </w:rPr>
  </w:style>
  <w:style w:type="paragraph" w:customStyle="1" w:styleId="NormalBulletList">
    <w:name w:val="Normal Bullet List"/>
    <w:basedOn w:val="Normal"/>
    <w:uiPriority w:val="3"/>
    <w:qFormat/>
    <w:rsid w:val="004D6A5C"/>
    <w:pPr>
      <w:widowControl/>
      <w:numPr>
        <w:numId w:val="15"/>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FontHighlight">
    <w:name w:val="Font Highlight"/>
    <w:basedOn w:val="DefaultParagraphFont"/>
    <w:uiPriority w:val="2"/>
    <w:qFormat/>
    <w:rsid w:val="001C79A4"/>
    <w:rPr>
      <w:rFonts w:ascii="Candara" w:hAnsi="Candara"/>
      <w:sz w:val="24"/>
      <w:bdr w:val="none" w:sz="0" w:space="0" w:color="auto"/>
      <w:shd w:val="clear" w:color="auto" w:fill="FFFF00"/>
    </w:rPr>
  </w:style>
  <w:style w:type="character" w:customStyle="1" w:styleId="Heading1Char">
    <w:name w:val="Heading 1 Char"/>
    <w:basedOn w:val="DefaultParagraphFont"/>
    <w:link w:val="Heading1"/>
    <w:rsid w:val="00BC3A62"/>
    <w:rPr>
      <w:rFonts w:ascii="Arial Bold" w:hAnsi="Arial Bold" w:cs="Arial"/>
      <w:b/>
      <w:caps/>
      <w:snapToGrid w:val="0"/>
      <w:sz w:val="22"/>
      <w:lang w:eastAsia="en-US"/>
    </w:rPr>
  </w:style>
  <w:style w:type="character" w:customStyle="1" w:styleId="Heading3Char">
    <w:name w:val="Heading 3 Char"/>
    <w:basedOn w:val="DefaultParagraphFont"/>
    <w:link w:val="Heading3"/>
    <w:rsid w:val="00BC3A62"/>
    <w:rPr>
      <w:rFonts w:ascii="Arial" w:hAnsi="Arial" w:cs="Arial"/>
      <w:snapToGrid w:val="0"/>
      <w:sz w:val="22"/>
      <w:u w:val="single"/>
      <w:lang w:eastAsia="en-US"/>
    </w:rPr>
  </w:style>
  <w:style w:type="character" w:customStyle="1" w:styleId="Heading4Char">
    <w:name w:val="Heading 4 Char"/>
    <w:basedOn w:val="DefaultParagraphFont"/>
    <w:link w:val="Heading4"/>
    <w:uiPriority w:val="9"/>
    <w:rsid w:val="00BC3A62"/>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9"/>
    <w:rsid w:val="00BC3A62"/>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9"/>
    <w:rsid w:val="00BC3A62"/>
    <w:rPr>
      <w:rFonts w:ascii="Arial" w:hAnsi="Arial" w:cs="Arial"/>
      <w:b/>
      <w:bCs/>
      <w:i/>
      <w:snapToGrid w:val="0"/>
      <w:sz w:val="22"/>
      <w:szCs w:val="22"/>
      <w:lang w:eastAsia="en-US"/>
    </w:rPr>
  </w:style>
  <w:style w:type="character" w:customStyle="1" w:styleId="FontItalics">
    <w:name w:val="Font Italics"/>
    <w:basedOn w:val="Font"/>
    <w:uiPriority w:val="1"/>
    <w:qFormat/>
    <w:rsid w:val="00BC3A62"/>
    <w:rPr>
      <w:rFonts w:ascii="Candara" w:hAnsi="Candara"/>
      <w:i/>
      <w:sz w:val="24"/>
    </w:rPr>
  </w:style>
  <w:style w:type="character" w:customStyle="1" w:styleId="FontUnderlined">
    <w:name w:val="Font Underlined"/>
    <w:basedOn w:val="Font"/>
    <w:uiPriority w:val="1"/>
    <w:qFormat/>
    <w:rsid w:val="00BC3A62"/>
    <w:rPr>
      <w:rFonts w:ascii="Candara" w:hAnsi="Candara"/>
      <w:sz w:val="24"/>
      <w:u w:val="single"/>
    </w:rPr>
  </w:style>
  <w:style w:type="character" w:customStyle="1" w:styleId="FontBold">
    <w:name w:val="Font Bold"/>
    <w:basedOn w:val="Font"/>
    <w:uiPriority w:val="1"/>
    <w:qFormat/>
    <w:rsid w:val="00BC3A62"/>
    <w:rPr>
      <w:rFonts w:ascii="Candara" w:hAnsi="Candara"/>
      <w:b/>
      <w:sz w:val="24"/>
    </w:rPr>
  </w:style>
  <w:style w:type="character" w:customStyle="1" w:styleId="FontSuperscript">
    <w:name w:val="Font Superscript"/>
    <w:basedOn w:val="Font"/>
    <w:uiPriority w:val="1"/>
    <w:qFormat/>
    <w:rsid w:val="00BC3A62"/>
    <w:rPr>
      <w:rFonts w:ascii="Calibri" w:hAnsi="Calibri"/>
      <w:sz w:val="24"/>
      <w:vertAlign w:val="superscript"/>
    </w:rPr>
  </w:style>
  <w:style w:type="character" w:customStyle="1" w:styleId="FontSubscript">
    <w:name w:val="Font Subscript"/>
    <w:basedOn w:val="Font"/>
    <w:uiPriority w:val="1"/>
    <w:qFormat/>
    <w:rsid w:val="00BC3A62"/>
    <w:rPr>
      <w:rFonts w:ascii="Calibri" w:hAnsi="Calibri"/>
      <w:sz w:val="24"/>
      <w:vertAlign w:val="subscript"/>
    </w:rPr>
  </w:style>
  <w:style w:type="paragraph" w:customStyle="1" w:styleId="NormalNumberList">
    <w:name w:val="Normal Number List"/>
    <w:basedOn w:val="Normal"/>
    <w:uiPriority w:val="99"/>
    <w:qFormat/>
    <w:rsid w:val="00BC3A62"/>
    <w:pPr>
      <w:widowControl/>
      <w:numPr>
        <w:numId w:val="17"/>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NormalLetterList">
    <w:name w:val="Normal Letter List"/>
    <w:basedOn w:val="Normal"/>
    <w:uiPriority w:val="99"/>
    <w:qFormat/>
    <w:rsid w:val="00BC3A62"/>
    <w:pPr>
      <w:widowControl/>
      <w:numPr>
        <w:numId w:val="18"/>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SmallItalics">
    <w:name w:val="Small Italics"/>
    <w:basedOn w:val="Small"/>
    <w:uiPriority w:val="4"/>
    <w:qFormat/>
    <w:rsid w:val="00BC3A62"/>
    <w:rPr>
      <w:rFonts w:ascii="Arial Narrow" w:hAnsi="Arial Narrow"/>
      <w:i/>
      <w:sz w:val="20"/>
    </w:rPr>
  </w:style>
  <w:style w:type="character" w:customStyle="1" w:styleId="SmallUnderline">
    <w:name w:val="Small Underline"/>
    <w:basedOn w:val="Small"/>
    <w:uiPriority w:val="4"/>
    <w:qFormat/>
    <w:rsid w:val="00BC3A62"/>
    <w:rPr>
      <w:rFonts w:ascii="Candara" w:hAnsi="Candara"/>
      <w:sz w:val="20"/>
      <w:u w:val="single"/>
    </w:rPr>
  </w:style>
  <w:style w:type="paragraph" w:customStyle="1" w:styleId="TableLetters">
    <w:name w:val="Table Letters"/>
    <w:basedOn w:val="Normal"/>
    <w:uiPriority w:val="3"/>
    <w:qFormat/>
    <w:rsid w:val="00BC3A62"/>
    <w:pPr>
      <w:widowControl/>
      <w:numPr>
        <w:numId w:val="19"/>
      </w:numPr>
      <w:ind w:left="170" w:hanging="170"/>
      <w:jc w:val="left"/>
    </w:pPr>
    <w:rPr>
      <w:rFonts w:ascii="Candara" w:eastAsiaTheme="majorEastAsia" w:hAnsi="Candara" w:cstheme="majorBidi"/>
      <w:snapToGrid/>
      <w:sz w:val="20"/>
      <w:szCs w:val="22"/>
      <w:lang w:bidi="en-US"/>
    </w:rPr>
  </w:style>
  <w:style w:type="paragraph" w:customStyle="1" w:styleId="TableNumbers">
    <w:name w:val="Table Numbers"/>
    <w:basedOn w:val="Normal"/>
    <w:uiPriority w:val="3"/>
    <w:qFormat/>
    <w:rsid w:val="00BC3A62"/>
    <w:pPr>
      <w:widowControl/>
      <w:numPr>
        <w:numId w:val="20"/>
      </w:numPr>
      <w:ind w:left="170" w:hanging="170"/>
      <w:jc w:val="left"/>
    </w:pPr>
    <w:rPr>
      <w:rFonts w:ascii="Candara" w:eastAsiaTheme="majorEastAsia" w:hAnsi="Candara" w:cstheme="majorBidi"/>
      <w:snapToGrid/>
      <w:sz w:val="20"/>
      <w:szCs w:val="22"/>
      <w:lang w:bidi="en-US"/>
    </w:rPr>
  </w:style>
  <w:style w:type="paragraph" w:customStyle="1" w:styleId="AltLevel1">
    <w:name w:val="Alt Level 1"/>
    <w:basedOn w:val="Normal"/>
    <w:next w:val="Normal"/>
    <w:link w:val="AltLevel1Char"/>
    <w:semiHidden/>
    <w:unhideWhenUsed/>
    <w:qFormat/>
    <w:rsid w:val="00BC3A62"/>
    <w:pPr>
      <w:widowControl/>
      <w:numPr>
        <w:ilvl w:val="1"/>
        <w:numId w:val="21"/>
      </w:numPr>
      <w:spacing w:after="240" w:line="276" w:lineRule="auto"/>
      <w:ind w:left="360" w:hanging="360"/>
      <w:contextualSpacing/>
      <w:jc w:val="left"/>
    </w:pPr>
    <w:rPr>
      <w:rFonts w:ascii="Verdana" w:eastAsiaTheme="majorEastAsia" w:hAnsi="Verdana" w:cstheme="majorBidi"/>
      <w:b/>
      <w:snapToGrid/>
      <w:sz w:val="32"/>
      <w:szCs w:val="22"/>
      <w:lang w:bidi="en-US"/>
    </w:rPr>
  </w:style>
  <w:style w:type="character" w:customStyle="1" w:styleId="AltLevel1Char">
    <w:name w:val="Alt Level 1 Char"/>
    <w:basedOn w:val="DefaultParagraphFont"/>
    <w:link w:val="AltLevel1"/>
    <w:semiHidden/>
    <w:rsid w:val="00BC3A62"/>
    <w:rPr>
      <w:rFonts w:ascii="Verdana" w:eastAsiaTheme="majorEastAsia" w:hAnsi="Verdana" w:cstheme="majorBidi"/>
      <w:b/>
      <w:sz w:val="32"/>
      <w:szCs w:val="22"/>
      <w:lang w:eastAsia="en-US" w:bidi="en-US"/>
    </w:rPr>
  </w:style>
  <w:style w:type="paragraph" w:customStyle="1" w:styleId="AltLevel2">
    <w:name w:val="Alt Level 2"/>
    <w:basedOn w:val="Normal"/>
    <w:link w:val="AltLevel2Char"/>
    <w:semiHidden/>
    <w:unhideWhenUsed/>
    <w:qFormat/>
    <w:rsid w:val="00BC3A62"/>
    <w:pPr>
      <w:widowControl/>
      <w:spacing w:after="200" w:line="276" w:lineRule="auto"/>
      <w:ind w:left="357" w:hanging="357"/>
      <w:contextualSpacing/>
      <w:jc w:val="left"/>
    </w:pPr>
    <w:rPr>
      <w:rFonts w:ascii="Verdana" w:eastAsiaTheme="majorEastAsia" w:hAnsi="Verdana" w:cstheme="majorBidi"/>
      <w:b/>
      <w:snapToGrid/>
      <w:sz w:val="28"/>
      <w:szCs w:val="22"/>
      <w:lang w:bidi="en-US"/>
    </w:rPr>
  </w:style>
  <w:style w:type="character" w:customStyle="1" w:styleId="AltLevel2Char">
    <w:name w:val="Alt Level 2 Char"/>
    <w:basedOn w:val="DefaultParagraphFont"/>
    <w:link w:val="AltLevel2"/>
    <w:semiHidden/>
    <w:rsid w:val="00BC3A62"/>
    <w:rPr>
      <w:rFonts w:ascii="Verdana" w:eastAsiaTheme="majorEastAsia" w:hAnsi="Verdana" w:cstheme="majorBidi"/>
      <w:b/>
      <w:sz w:val="28"/>
      <w:szCs w:val="22"/>
      <w:lang w:eastAsia="en-US" w:bidi="en-US"/>
    </w:rPr>
  </w:style>
  <w:style w:type="paragraph" w:customStyle="1" w:styleId="AltLevel3">
    <w:name w:val="Alt Level 3"/>
    <w:basedOn w:val="Normal"/>
    <w:next w:val="Normal"/>
    <w:link w:val="AltLevel3Char"/>
    <w:semiHidden/>
    <w:unhideWhenUsed/>
    <w:qFormat/>
    <w:rsid w:val="00BC3A62"/>
    <w:pPr>
      <w:widowControl/>
      <w:spacing w:after="120" w:line="276" w:lineRule="auto"/>
      <w:ind w:left="357" w:hanging="357"/>
      <w:contextualSpacing/>
      <w:jc w:val="left"/>
    </w:pPr>
    <w:rPr>
      <w:rFonts w:ascii="Verdana" w:eastAsiaTheme="majorEastAsia" w:hAnsi="Verdana" w:cstheme="majorBidi"/>
      <w:b/>
      <w:snapToGrid/>
      <w:sz w:val="26"/>
      <w:szCs w:val="22"/>
      <w:lang w:bidi="en-US"/>
    </w:rPr>
  </w:style>
  <w:style w:type="character" w:customStyle="1" w:styleId="AltLevel3Char">
    <w:name w:val="Alt Level 3 Char"/>
    <w:basedOn w:val="DefaultParagraphFont"/>
    <w:link w:val="AltLevel3"/>
    <w:semiHidden/>
    <w:rsid w:val="00BC3A62"/>
    <w:rPr>
      <w:rFonts w:ascii="Verdana" w:eastAsiaTheme="majorEastAsia" w:hAnsi="Verdana" w:cstheme="majorBidi"/>
      <w:b/>
      <w:sz w:val="26"/>
      <w:szCs w:val="22"/>
      <w:lang w:eastAsia="en-US" w:bidi="en-US"/>
    </w:rPr>
  </w:style>
  <w:style w:type="paragraph" w:customStyle="1" w:styleId="AltLevel4">
    <w:name w:val="Alt Level 4"/>
    <w:basedOn w:val="Normal"/>
    <w:link w:val="AltLevel4Char"/>
    <w:semiHidden/>
    <w:unhideWhenUsed/>
    <w:qFormat/>
    <w:rsid w:val="00BC3A62"/>
    <w:pPr>
      <w:widowControl/>
      <w:spacing w:after="120" w:line="276" w:lineRule="auto"/>
      <w:ind w:left="357" w:hanging="357"/>
      <w:contextualSpacing/>
      <w:jc w:val="left"/>
    </w:pPr>
    <w:rPr>
      <w:rFonts w:ascii="Verdana" w:eastAsiaTheme="majorEastAsia" w:hAnsi="Verdana" w:cstheme="majorBidi"/>
      <w:b/>
      <w:snapToGrid/>
      <w:szCs w:val="22"/>
      <w:lang w:bidi="en-US"/>
    </w:rPr>
  </w:style>
  <w:style w:type="character" w:customStyle="1" w:styleId="AltLevel4Char">
    <w:name w:val="Alt Level 4 Char"/>
    <w:basedOn w:val="DefaultParagraphFont"/>
    <w:link w:val="AltLevel4"/>
    <w:semiHidden/>
    <w:rsid w:val="00BC3A62"/>
    <w:rPr>
      <w:rFonts w:ascii="Verdana" w:eastAsiaTheme="majorEastAsia" w:hAnsi="Verdana" w:cstheme="majorBidi"/>
      <w:b/>
      <w:sz w:val="22"/>
      <w:szCs w:val="22"/>
      <w:lang w:eastAsia="en-US" w:bidi="en-US"/>
    </w:rPr>
  </w:style>
  <w:style w:type="paragraph" w:customStyle="1" w:styleId="AltLevel5">
    <w:name w:val="Alt Level 5"/>
    <w:basedOn w:val="Normal"/>
    <w:link w:val="AltLevel5Char"/>
    <w:semiHidden/>
    <w:unhideWhenUsed/>
    <w:qFormat/>
    <w:rsid w:val="00BC3A62"/>
    <w:pPr>
      <w:widowControl/>
      <w:spacing w:after="120" w:line="276" w:lineRule="auto"/>
      <w:ind w:left="794" w:hanging="794"/>
      <w:contextualSpacing/>
      <w:jc w:val="left"/>
    </w:pPr>
    <w:rPr>
      <w:rFonts w:ascii="Candara" w:eastAsiaTheme="majorEastAsia" w:hAnsi="Candara" w:cstheme="majorBidi"/>
      <w:b/>
      <w:snapToGrid/>
      <w:sz w:val="24"/>
      <w:szCs w:val="22"/>
      <w:lang w:bidi="en-US"/>
    </w:rPr>
  </w:style>
  <w:style w:type="character" w:customStyle="1" w:styleId="AltLevel5Char">
    <w:name w:val="Alt Level 5 Char"/>
    <w:basedOn w:val="DefaultParagraphFont"/>
    <w:link w:val="AltLevel5"/>
    <w:semiHidden/>
    <w:rsid w:val="00BC3A62"/>
    <w:rPr>
      <w:rFonts w:ascii="Candara" w:eastAsiaTheme="majorEastAsia" w:hAnsi="Candara" w:cstheme="majorBidi"/>
      <w:b/>
      <w:sz w:val="24"/>
      <w:szCs w:val="22"/>
      <w:lang w:eastAsia="en-US" w:bidi="en-US"/>
    </w:rPr>
  </w:style>
  <w:style w:type="character" w:customStyle="1" w:styleId="SmallHighlight">
    <w:name w:val="Small Highlight"/>
    <w:basedOn w:val="Small"/>
    <w:uiPriority w:val="1"/>
    <w:qFormat/>
    <w:rsid w:val="00BC3A62"/>
    <w:rPr>
      <w:rFonts w:ascii="Candara" w:hAnsi="Candara"/>
      <w:sz w:val="20"/>
      <w:bdr w:val="none" w:sz="0" w:space="0" w:color="auto"/>
      <w:shd w:val="clear" w:color="auto" w:fill="FFFF00"/>
    </w:rPr>
  </w:style>
  <w:style w:type="paragraph" w:customStyle="1" w:styleId="TableRight">
    <w:name w:val="Table Right"/>
    <w:basedOn w:val="Table"/>
    <w:next w:val="Table"/>
    <w:qFormat/>
    <w:rsid w:val="00BC3A62"/>
    <w:pPr>
      <w:jc w:val="right"/>
    </w:pPr>
  </w:style>
  <w:style w:type="character" w:styleId="PageNumber">
    <w:name w:val="page number"/>
    <w:basedOn w:val="DefaultParagraphFont"/>
    <w:rsid w:val="00BC3A62"/>
  </w:style>
  <w:style w:type="character" w:customStyle="1" w:styleId="SmallSuperscript">
    <w:name w:val="Small Superscript"/>
    <w:basedOn w:val="Small"/>
    <w:uiPriority w:val="1"/>
    <w:qFormat/>
    <w:rsid w:val="00BC3A62"/>
    <w:rPr>
      <w:rFonts w:ascii="Candara" w:hAnsi="Candara"/>
      <w:sz w:val="20"/>
      <w:vertAlign w:val="superscript"/>
    </w:rPr>
  </w:style>
  <w:style w:type="character" w:customStyle="1" w:styleId="SmallSubscript">
    <w:name w:val="Small Subscript"/>
    <w:basedOn w:val="Small"/>
    <w:uiPriority w:val="1"/>
    <w:qFormat/>
    <w:rsid w:val="00BC3A62"/>
    <w:rPr>
      <w:rFonts w:ascii="Candara" w:hAnsi="Candara"/>
      <w:b w:val="0"/>
      <w:sz w:val="20"/>
      <w:vertAlign w:val="subscript"/>
    </w:rPr>
  </w:style>
  <w:style w:type="paragraph" w:styleId="PlainText">
    <w:name w:val="Plain Text"/>
    <w:basedOn w:val="Normal"/>
    <w:link w:val="PlainTextChar"/>
    <w:uiPriority w:val="99"/>
    <w:unhideWhenUsed/>
    <w:rsid w:val="00BC3A62"/>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PlainTextChar">
    <w:name w:val="Plain Text Char"/>
    <w:basedOn w:val="DefaultParagraphFont"/>
    <w:link w:val="PlainText"/>
    <w:uiPriority w:val="99"/>
    <w:rsid w:val="00BC3A62"/>
    <w:rPr>
      <w:sz w:val="24"/>
      <w:szCs w:val="24"/>
    </w:rPr>
  </w:style>
  <w:style w:type="character" w:styleId="Emphasis">
    <w:name w:val="Emphasis"/>
    <w:basedOn w:val="DefaultParagraphFont"/>
    <w:uiPriority w:val="20"/>
    <w:qFormat/>
    <w:rsid w:val="00BC3A62"/>
    <w:rPr>
      <w:i/>
      <w:iCs/>
    </w:rPr>
  </w:style>
  <w:style w:type="character" w:styleId="FollowedHyperlink">
    <w:name w:val="FollowedHyperlink"/>
    <w:basedOn w:val="DefaultParagraphFont"/>
    <w:uiPriority w:val="99"/>
    <w:semiHidden/>
    <w:unhideWhenUsed/>
    <w:rsid w:val="00BC3A62"/>
    <w:rPr>
      <w:color w:val="800080" w:themeColor="followedHyperlink"/>
      <w:u w:val="single"/>
    </w:rPr>
  </w:style>
  <w:style w:type="paragraph" w:styleId="TableofFigures">
    <w:name w:val="table of figures"/>
    <w:basedOn w:val="Normal"/>
    <w:next w:val="Normal"/>
    <w:uiPriority w:val="99"/>
    <w:unhideWhenUsed/>
    <w:rsid w:val="00BC3A62"/>
    <w:pPr>
      <w:widowControl/>
      <w:spacing w:line="276" w:lineRule="auto"/>
      <w:jc w:val="left"/>
    </w:pPr>
    <w:rPr>
      <w:rFonts w:ascii="Candara" w:eastAsiaTheme="majorEastAsia" w:hAnsi="Candara" w:cstheme="majorBidi"/>
      <w:snapToGrid/>
      <w:sz w:val="24"/>
      <w:szCs w:val="22"/>
      <w:lang w:bidi="en-US"/>
    </w:rPr>
  </w:style>
  <w:style w:type="paragraph" w:styleId="DocumentMap">
    <w:name w:val="Document Map"/>
    <w:basedOn w:val="Normal"/>
    <w:link w:val="DocumentMapChar"/>
    <w:semiHidden/>
    <w:unhideWhenUsed/>
    <w:rsid w:val="00BC3A62"/>
    <w:pPr>
      <w:widowControl/>
      <w:jc w:val="left"/>
    </w:pPr>
    <w:rPr>
      <w:rFonts w:ascii="Tahoma" w:eastAsiaTheme="majorEastAsia" w:hAnsi="Tahoma" w:cs="Tahoma"/>
      <w:snapToGrid/>
      <w:sz w:val="16"/>
      <w:szCs w:val="16"/>
      <w:lang w:bidi="en-US"/>
    </w:rPr>
  </w:style>
  <w:style w:type="character" w:customStyle="1" w:styleId="DocumentMapChar">
    <w:name w:val="Document Map Char"/>
    <w:basedOn w:val="DefaultParagraphFont"/>
    <w:link w:val="DocumentMap"/>
    <w:semiHidden/>
    <w:rsid w:val="00BC3A62"/>
    <w:rPr>
      <w:rFonts w:ascii="Tahoma" w:eastAsiaTheme="majorEastAsia" w:hAnsi="Tahoma" w:cs="Tahoma"/>
      <w:sz w:val="16"/>
      <w:szCs w:val="16"/>
      <w:lang w:eastAsia="en-US" w:bidi="en-US"/>
    </w:rPr>
  </w:style>
  <w:style w:type="paragraph" w:styleId="FootnoteText">
    <w:name w:val="footnote text"/>
    <w:basedOn w:val="Normal"/>
    <w:link w:val="FootnoteTextChar"/>
    <w:uiPriority w:val="99"/>
    <w:rsid w:val="00BC3A62"/>
    <w:pPr>
      <w:widowControl/>
      <w:jc w:val="left"/>
    </w:pPr>
    <w:rPr>
      <w:rFonts w:ascii="Times New Roman" w:hAnsi="Times New Roman" w:cs="Times New Roman"/>
      <w:snapToGrid/>
      <w:sz w:val="24"/>
      <w:lang w:val="en-US"/>
    </w:rPr>
  </w:style>
  <w:style w:type="character" w:customStyle="1" w:styleId="FootnoteTextChar">
    <w:name w:val="Footnote Text Char"/>
    <w:basedOn w:val="DefaultParagraphFont"/>
    <w:link w:val="FootnoteText"/>
    <w:uiPriority w:val="99"/>
    <w:rsid w:val="00BC3A62"/>
    <w:rPr>
      <w:sz w:val="24"/>
      <w:lang w:val="en-US" w:eastAsia="en-US"/>
    </w:rPr>
  </w:style>
  <w:style w:type="character" w:styleId="FootnoteReference">
    <w:name w:val="footnote reference"/>
    <w:uiPriority w:val="99"/>
    <w:rsid w:val="00BC3A62"/>
    <w:rPr>
      <w:vertAlign w:val="superscript"/>
    </w:rPr>
  </w:style>
  <w:style w:type="character" w:styleId="LineNumber">
    <w:name w:val="line number"/>
    <w:basedOn w:val="DefaultParagraphFont"/>
    <w:uiPriority w:val="99"/>
    <w:unhideWhenUsed/>
    <w:rsid w:val="00BC3A62"/>
  </w:style>
  <w:style w:type="paragraph" w:customStyle="1" w:styleId="Heading1unbulleted">
    <w:name w:val="Heading 1 unbulleted"/>
    <w:basedOn w:val="Heading1"/>
    <w:next w:val="Normal"/>
    <w:qFormat/>
    <w:rsid w:val="00BC3A62"/>
    <w:pPr>
      <w:pageBreakBefore/>
      <w:widowControl/>
      <w:spacing w:after="240" w:line="276" w:lineRule="auto"/>
      <w:ind w:left="0" w:firstLine="0"/>
      <w:contextualSpacing/>
      <w:jc w:val="left"/>
    </w:pPr>
    <w:rPr>
      <w:rFonts w:ascii="Candara" w:eastAsiaTheme="majorEastAsia" w:hAnsi="Candara" w:cstheme="majorBidi"/>
      <w:caps w:val="0"/>
      <w:snapToGrid/>
      <w:sz w:val="36"/>
      <w:szCs w:val="22"/>
      <w:lang w:bidi="en-US"/>
    </w:rPr>
  </w:style>
  <w:style w:type="paragraph" w:customStyle="1" w:styleId="CaptionFootnote">
    <w:name w:val="Caption Footnote"/>
    <w:basedOn w:val="Caption"/>
    <w:qFormat/>
    <w:rsid w:val="00BC3A62"/>
    <w:pPr>
      <w:spacing w:after="0"/>
      <w:jc w:val="left"/>
    </w:pPr>
    <w:rPr>
      <w:rFonts w:ascii="Candara" w:eastAsiaTheme="majorEastAsia" w:hAnsi="Candara" w:cstheme="majorBidi"/>
      <w:b w:val="0"/>
      <w:snapToGrid/>
      <w:color w:val="auto"/>
      <w:sz w:val="16"/>
      <w:lang w:bidi="en-US"/>
    </w:rPr>
  </w:style>
  <w:style w:type="paragraph" w:customStyle="1" w:styleId="Frontpagelarge">
    <w:name w:val="Frontpage large"/>
    <w:basedOn w:val="Normal"/>
    <w:next w:val="Normal"/>
    <w:qFormat/>
    <w:rsid w:val="00BC3A62"/>
    <w:pPr>
      <w:widowControl/>
      <w:spacing w:after="200" w:line="276" w:lineRule="auto"/>
      <w:jc w:val="center"/>
    </w:pPr>
    <w:rPr>
      <w:rFonts w:ascii="Candara" w:eastAsiaTheme="majorEastAsia" w:hAnsi="Candara" w:cstheme="majorBidi"/>
      <w:b/>
      <w:snapToGrid/>
      <w:sz w:val="48"/>
      <w:szCs w:val="22"/>
      <w:lang w:bidi="en-US"/>
    </w:rPr>
  </w:style>
  <w:style w:type="paragraph" w:customStyle="1" w:styleId="Frontpagesmall">
    <w:name w:val="Frontpage small"/>
    <w:basedOn w:val="Normal"/>
    <w:qFormat/>
    <w:rsid w:val="00BC3A62"/>
    <w:pPr>
      <w:widowControl/>
      <w:spacing w:after="200" w:line="276" w:lineRule="auto"/>
      <w:jc w:val="center"/>
    </w:pPr>
    <w:rPr>
      <w:rFonts w:ascii="Candara" w:eastAsiaTheme="majorEastAsia" w:hAnsi="Candara" w:cstheme="majorBidi"/>
      <w:b/>
      <w:snapToGrid/>
      <w:sz w:val="40"/>
      <w:szCs w:val="22"/>
      <w:lang w:bidi="en-US"/>
    </w:rPr>
  </w:style>
  <w:style w:type="character" w:customStyle="1" w:styleId="TableText1">
    <w:name w:val="Table Text"/>
    <w:basedOn w:val="DefaultParagraphFont"/>
    <w:qFormat/>
    <w:rsid w:val="00BC3A62"/>
    <w:rPr>
      <w:rFonts w:ascii="Arial Narrow" w:hAnsi="Arial Narrow"/>
      <w:sz w:val="20"/>
    </w:rPr>
  </w:style>
  <w:style w:type="table" w:customStyle="1" w:styleId="Submissionstandard">
    <w:name w:val="Submission standard"/>
    <w:basedOn w:val="TableNormal"/>
    <w:uiPriority w:val="99"/>
    <w:qFormat/>
    <w:rsid w:val="00BC3A62"/>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atang" w:hAnsi="@Batang"/>
        <w:b/>
        <w:sz w:val="20"/>
      </w:rPr>
      <w:tblPr/>
      <w:tcPr>
        <w:shd w:val="clear" w:color="auto" w:fill="BFBFBF" w:themeFill="background1" w:themeFillShade="BF"/>
      </w:tcPr>
    </w:tblStylePr>
  </w:style>
  <w:style w:type="paragraph" w:styleId="Bibliography">
    <w:name w:val="Bibliography"/>
    <w:basedOn w:val="Normal"/>
    <w:next w:val="Normal"/>
    <w:uiPriority w:val="37"/>
    <w:unhideWhenUsed/>
    <w:rsid w:val="00BC3A62"/>
    <w:pPr>
      <w:widowControl/>
      <w:spacing w:after="200" w:line="276" w:lineRule="auto"/>
      <w:jc w:val="left"/>
    </w:pPr>
    <w:rPr>
      <w:rFonts w:ascii="Candara" w:eastAsiaTheme="majorEastAsia" w:hAnsi="Candara" w:cstheme="majorBidi"/>
      <w:snapToGrid/>
      <w:sz w:val="24"/>
      <w:szCs w:val="22"/>
      <w:lang w:bidi="en-US"/>
    </w:rPr>
  </w:style>
  <w:style w:type="paragraph" w:customStyle="1" w:styleId="TableText1left">
    <w:name w:val="Table Text 1 (left)"/>
    <w:basedOn w:val="Normal"/>
    <w:link w:val="TableText1leftChar"/>
    <w:qFormat/>
    <w:rsid w:val="00AB4A54"/>
    <w:pPr>
      <w:widowControl/>
      <w:spacing w:before="40" w:after="40"/>
      <w:jc w:val="left"/>
    </w:pPr>
    <w:rPr>
      <w:rFonts w:ascii="Times New Roman" w:hAnsi="Times New Roman" w:cs="Times New Roman"/>
      <w:snapToGrid/>
      <w:sz w:val="20"/>
      <w:lang w:val="en-GB"/>
    </w:rPr>
  </w:style>
  <w:style w:type="character" w:customStyle="1" w:styleId="TableText1leftChar">
    <w:name w:val="Table Text 1 (left) Char"/>
    <w:link w:val="TableText1left"/>
    <w:rsid w:val="00AB4A54"/>
    <w:rPr>
      <w:lang w:val="en-GB" w:eastAsia="en-US"/>
    </w:rPr>
  </w:style>
  <w:style w:type="character" w:customStyle="1" w:styleId="li-content">
    <w:name w:val="li-content"/>
    <w:basedOn w:val="DefaultParagraphFont"/>
    <w:rsid w:val="0043722D"/>
  </w:style>
  <w:style w:type="character" w:styleId="PlaceholderText">
    <w:name w:val="Placeholder Text"/>
    <w:basedOn w:val="DefaultParagraphFont"/>
    <w:uiPriority w:val="99"/>
    <w:semiHidden/>
    <w:rsid w:val="00A021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1058">
      <w:bodyDiv w:val="1"/>
      <w:marLeft w:val="0"/>
      <w:marRight w:val="0"/>
      <w:marTop w:val="0"/>
      <w:marBottom w:val="0"/>
      <w:divBdr>
        <w:top w:val="none" w:sz="0" w:space="0" w:color="auto"/>
        <w:left w:val="none" w:sz="0" w:space="0" w:color="auto"/>
        <w:bottom w:val="none" w:sz="0" w:space="0" w:color="auto"/>
        <w:right w:val="none" w:sz="0" w:space="0" w:color="auto"/>
      </w:divBdr>
    </w:div>
    <w:div w:id="111292301">
      <w:bodyDiv w:val="1"/>
      <w:marLeft w:val="0"/>
      <w:marRight w:val="0"/>
      <w:marTop w:val="0"/>
      <w:marBottom w:val="0"/>
      <w:divBdr>
        <w:top w:val="none" w:sz="0" w:space="0" w:color="auto"/>
        <w:left w:val="none" w:sz="0" w:space="0" w:color="auto"/>
        <w:bottom w:val="none" w:sz="0" w:space="0" w:color="auto"/>
        <w:right w:val="none" w:sz="0" w:space="0" w:color="auto"/>
      </w:divBdr>
    </w:div>
    <w:div w:id="885457368">
      <w:bodyDiv w:val="1"/>
      <w:marLeft w:val="0"/>
      <w:marRight w:val="0"/>
      <w:marTop w:val="0"/>
      <w:marBottom w:val="0"/>
      <w:divBdr>
        <w:top w:val="none" w:sz="0" w:space="0" w:color="auto"/>
        <w:left w:val="none" w:sz="0" w:space="0" w:color="auto"/>
        <w:bottom w:val="none" w:sz="0" w:space="0" w:color="auto"/>
        <w:right w:val="none" w:sz="0" w:space="0" w:color="auto"/>
      </w:divBdr>
    </w:div>
    <w:div w:id="1451127672">
      <w:bodyDiv w:val="1"/>
      <w:marLeft w:val="0"/>
      <w:marRight w:val="0"/>
      <w:marTop w:val="0"/>
      <w:marBottom w:val="0"/>
      <w:divBdr>
        <w:top w:val="none" w:sz="0" w:space="0" w:color="auto"/>
        <w:left w:val="none" w:sz="0" w:space="0" w:color="auto"/>
        <w:bottom w:val="none" w:sz="0" w:space="0" w:color="auto"/>
        <w:right w:val="none" w:sz="0" w:space="0" w:color="auto"/>
      </w:divBdr>
    </w:div>
    <w:div w:id="1772433469">
      <w:bodyDiv w:val="1"/>
      <w:marLeft w:val="0"/>
      <w:marRight w:val="0"/>
      <w:marTop w:val="0"/>
      <w:marBottom w:val="0"/>
      <w:divBdr>
        <w:top w:val="none" w:sz="0" w:space="0" w:color="auto"/>
        <w:left w:val="none" w:sz="0" w:space="0" w:color="auto"/>
        <w:bottom w:val="none" w:sz="0" w:space="0" w:color="auto"/>
        <w:right w:val="none" w:sz="0" w:space="0" w:color="auto"/>
      </w:divBdr>
    </w:div>
    <w:div w:id="1924995331">
      <w:bodyDiv w:val="1"/>
      <w:marLeft w:val="0"/>
      <w:marRight w:val="0"/>
      <w:marTop w:val="0"/>
      <w:marBottom w:val="0"/>
      <w:divBdr>
        <w:top w:val="none" w:sz="0" w:space="0" w:color="auto"/>
        <w:left w:val="none" w:sz="0" w:space="0" w:color="auto"/>
        <w:bottom w:val="none" w:sz="0" w:space="0" w:color="auto"/>
        <w:right w:val="none" w:sz="0" w:space="0" w:color="auto"/>
      </w:divBdr>
    </w:div>
    <w:div w:id="21349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ASa</b:Tag>
    <b:SourceType>JournalArticle</b:SourceType>
    <b:Guid>{18A6B4BA-6E7D-460B-84A4-4996C1042AC7}</b:Guid>
    <b:Title>A Safety and Immunogenicity Comparison of 12 Acellular Pertussis vaccines and one whole-cellular pertussis vaccine given as a fourth dose in 15- to 20- month-old children</b:Title>
    <b:Author>
      <b:Author>
        <b:NameList>
          <b:Person>
            <b:Last>Pichichero</b:Last>
            <b:First>ME</b:First>
          </b:Person>
          <b:Person>
            <b:Last>Deloria</b:Last>
            <b:First>MA</b:First>
          </b:Person>
          <b:Person>
            <b:Last>Rennels</b:Last>
            <b:First>MB</b:First>
          </b:Person>
          <b:Person>
            <b:Last>Anderson</b:Last>
            <b:First>EL</b:First>
          </b:Person>
          <b:Person>
            <b:Last>Edwards</b:Last>
            <b:First>KM</b:First>
          </b:Person>
          <b:Person>
            <b:Last>Decker</b:Last>
            <b:First>MD</b:First>
          </b:Person>
          <b:Person>
            <b:Last>Englund</b:Last>
            <b:First>JA</b:First>
          </b:Person>
          <b:Person>
            <b:Last>Steinhoff</b:Last>
            <b:First>MC</b:First>
          </b:Person>
          <b:Person>
            <b:Last>Deforest</b:Last>
            <b:First>A</b:First>
          </b:Person>
          <b:Person>
            <b:Last>Meade</b:Last>
            <b:First>BM.</b:First>
          </b:Person>
        </b:NameList>
      </b:Author>
    </b:Author>
    <b:JournalName>Pediatrics</b:JournalName>
    <b:Year>1997</b:Year>
    <b:Pages>100(5);772-788</b:Pages>
    <b:RefOrder>1</b:RefOrder>
  </b:Source>
  <b:Source>
    <b:Tag>Eng94</b:Tag>
    <b:SourceType>JournalArticle</b:SourceType>
    <b:Guid>{C5A05B2C-0314-43E6-BE44-4A7C832DBFCD}</b:Guid>
    <b:Author>
      <b:Author>
        <b:NameList>
          <b:Person>
            <b:Last>Englund</b:Last>
            <b:First>JA</b:First>
          </b:Person>
          <b:Person>
            <b:Last>Decker</b:Last>
            <b:First>MD</b:First>
          </b:Person>
          <b:Person>
            <b:Last>Edwards</b:Last>
            <b:First>KM</b:First>
          </b:Person>
          <b:Person>
            <b:Last>Pichichero</b:Last>
            <b:First>ME</b:First>
          </b:Person>
          <b:Person>
            <b:Last>Steinhoff</b:Last>
            <b:First>MC</b:First>
          </b:Person>
          <b:Person>
            <b:Last>Anderson</b:Last>
            <b:First>EL.</b:First>
          </b:Person>
        </b:NameList>
      </b:Author>
    </b:Author>
    <b:Title>Acellular and Whole-Cell Pertussis Vaccines as Booster Doses: A Multicenter Study</b:Title>
    <b:JournalName>Pediatrics</b:JournalName>
    <b:Year>1994</b:Year>
    <b:Pages>93;37-43</b:Pages>
    <b:RefOrder>13</b:RefOrder>
  </b:Source>
  <b:Source>
    <b:Tag>CAN92</b:Tag>
    <b:SourceType>Report</b:SourceType>
    <b:Guid>{6F8F3748-35DF-4AD6-8078-E2CB761CD2BE}</b:Guid>
    <b:Title>Supplemental Report Phase II 18 months booster dose</b:Title>
    <b:Year>1992</b:Year>
    <b:Author>
      <b:Author>
        <b:Corporate>CANADA II CSR</b:Corporate>
      </b:Author>
    </b:Author>
    <b:RefOrder>2</b:RefOrder>
  </b:Source>
  <b:Source>
    <b:Tag>Hal96</b:Tag>
    <b:SourceType>JournalArticle</b:SourceType>
    <b:Guid>{46396D2F-AE48-45E9-8D8D-1F43E6724DA0}</b:Guid>
    <b:Author>
      <b:Author>
        <b:NameList>
          <b:Person>
            <b:Last>Halperin</b:Last>
            <b:First>SA</b:First>
          </b:Person>
          <b:Person>
            <b:Last>Eastwood</b:Last>
            <b:First>BJ</b:First>
          </b:Person>
          <b:Person>
            <b:Last>Barreto</b:Last>
            <b:First>L</b:First>
          </b:Person>
          <b:Person>
            <b:Last>Friesen</b:Last>
            <b:First>B</b:First>
          </b:Person>
          <b:Person>
            <b:Last>Medd</b:Last>
            <b:First>L</b:First>
          </b:Person>
          <b:Person>
            <b:Last>Meekison</b:Last>
            <b:First>W</b:First>
          </b:Person>
          <b:Person>
            <b:Last>Guasparini</b:Last>
            <b:First>R.</b:First>
          </b:Person>
        </b:NameList>
      </b:Author>
    </b:Author>
    <b:Title>Adverse reactions and antibody response to four doses of acellular or whole cell pertussis vaccine combined with diphtheria and tetanus toxoids in the first 19 months of life</b:Title>
    <b:JournalName>Vaccine</b:JournalName>
    <b:Year>1996</b:Year>
    <b:Pages>Vol. 14, No. 8, pp. 767-772</b:Pages>
    <b:RefOrder>3</b:RefOrder>
  </b:Source>
  <b:Source>
    <b:Tag>Hal95</b:Tag>
    <b:SourceType>JournalArticle</b:SourceType>
    <b:Guid>{36D14261-E0C7-4641-ABF0-F3636961B921}</b:Guid>
    <b:Title>Acellular pertussis vaccine as a booster dose for seventeen- to nineteen-month-old children immunized with either whole cell or acellular pertussis vaccine at two, four and six months of age.</b:Title>
    <b:Year>1995</b:Year>
    <b:Author>
      <b:Author>
        <b:NameList>
          <b:Person>
            <b:Last>Halperin</b:Last>
            <b:First>SA</b:First>
          </b:Person>
          <b:Person>
            <b:Last>Mills</b:Last>
            <b:First>E</b:First>
          </b:Person>
          <b:Person>
            <b:Last>Barreto</b:Last>
            <b:First>L</b:First>
          </b:Person>
          <b:Person>
            <b:Last>Pim</b:Last>
            <b:First>C</b:First>
          </b:Person>
          <b:Person>
            <b:Last>Eastwood</b:Last>
            <b:First>BJ.</b:First>
          </b:Person>
        </b:NameList>
      </b:Author>
    </b:Author>
    <b:JournalName>Pediatr Infect Dis J.</b:JournalName>
    <b:Pages>Sep;14(9):792-7.</b:Pages>
    <b:RefOrder>4</b:RefOrder>
  </b:Source>
  <b:Source>
    <b:Tag>Cha121</b:Tag>
    <b:SourceType>JournalArticle</b:SourceType>
    <b:Guid>{25A0D6C9-8203-4AC1-BADE-F4D6F0BE499D}</b:Guid>
    <b:Author>
      <b:Author>
        <b:NameList>
          <b:Person>
            <b:Last>Chatterjee</b:Last>
            <b:First>A</b:First>
          </b:Person>
          <b:Person>
            <b:Last>O’Keefe</b:Last>
            <b:First>C</b:First>
          </b:Person>
          <b:Person>
            <b:Last>Varmana</b:Last>
            <b:First>M</b:First>
          </b:Person>
          <b:Person>
            <b:Last>Klein</b:Last>
            <b:First>NP</b:First>
          </b:Person>
          <b:Person>
            <b:Last>Luber</b:Last>
            <b:First>S</b:First>
            <b:Middle>et al.</b:Middle>
          </b:Person>
        </b:NameList>
      </b:Author>
    </b:Author>
    <b:Title>Comparative immunogenicity and safety of different multivalent component pertussis vaccine formulations and a 5-component acellular pertussis vaccine in infants and toddlers: A randomized, controlled, open-label, multicenter study</b:Title>
    <b:JournalName>Vaccine </b:JournalName>
    <b:Year>2012</b:Year>
    <b:Pages>30;3360– 3368</b:Pages>
    <b:RefOrder>5</b:RefOrder>
  </b:Source>
  <b:Source>
    <b:Tag>Gue09</b:Tag>
    <b:SourceType>JournalArticle</b:SourceType>
    <b:Guid>{C6606D11-6614-464E-953F-AC1C38F64BA4}</b:Guid>
    <b:Author>
      <b:Author>
        <b:NameList>
          <b:Person>
            <b:Last>Guerra</b:Last>
            <b:First>FA</b:First>
          </b:Person>
          <b:Person>
            <b:Last>Blatter</b:Last>
            <b:First>MM</b:First>
          </b:Person>
          <b:Person>
            <b:Last>Greenberg</b:Last>
            <b:First>DP</b:First>
          </b:Person>
          <b:Person>
            <b:Last>Pichichero</b:Last>
            <b:First>M</b:First>
          </b:Person>
          <b:Person>
            <b:Last>Noriega</b:Last>
            <b:First>FR.</b:First>
          </b:Person>
        </b:NameList>
      </b:Author>
    </b:Author>
    <b:Title>Safety and Immunogenicity of a Pentavalent Vaccine Compared With Separate Administration of Licensed Equivalent Vaccines in US Infants and Toddlers and Persistence of Antibodies Before a Preschool Booster Dose: A Randomized, Clinical Trial</b:Title>
    <b:JournalName>Pediatrics</b:JournalName>
    <b:Year>2009</b:Year>
    <b:Pages>Volume 123, Number 1, pp. 301-315</b:Pages>
    <b:RefOrder>6</b:RefOrder>
  </b:Source>
  <b:Source>
    <b:Tag>Hal941</b:Tag>
    <b:SourceType>JournalArticle</b:SourceType>
    <b:Guid>{6A548A84-7693-4E2A-B741-14CF018E5C36}</b:Guid>
    <b:Author>
      <b:Author>
        <b:NameList>
          <b:Person>
            <b:Last>Halperin</b:Last>
            <b:First>SA</b:First>
          </b:Person>
          <b:Person>
            <b:Last>Barreto</b:Last>
            <b:First>L</b:First>
          </b:Person>
          <b:Person>
            <b:Last>Eastwood</b:Last>
            <b:First>BJ</b:First>
          </b:Person>
          <b:Person>
            <b:Last>Law</b:Last>
            <b:First>B</b:First>
          </b:Person>
          <b:Person>
            <b:Last>Roberts</b:Last>
            <b:First>EA.</b:First>
          </b:Person>
        </b:NameList>
      </b:Author>
    </b:Author>
    <b:Title>Safety and Immunogenicity of a Five-Component Acellular Pertussis Vaccine With Varying Antigen Quantities</b:Title>
    <b:JournalName>Arch Pediatr adolesc med</b:JournalName>
    <b:Year>1994</b:Year>
    <b:Pages>148, Nov 1994, pp. 1220-1224</b:Pages>
    <b:RefOrder>7</b:RefOrder>
  </b:Source>
  <b:Source>
    <b:Tag>Pic96</b:Tag>
    <b:SourceType>JournalArticle</b:SourceType>
    <b:Guid>{E7AE9E14-0522-4693-AC95-D8932E905F96}</b:Guid>
    <b:Author>
      <b:Author>
        <b:NameList>
          <b:Person>
            <b:Last>Pichichero</b:Last>
            <b:First>ME</b:First>
          </b:Person>
          <b:Person>
            <b:Last>Green</b:Last>
            <b:First>JL</b:First>
          </b:Person>
          <b:Person>
            <b:Last>Francis</b:Last>
            <b:First>AB</b:First>
          </b:Person>
          <b:Person>
            <b:Last>Marsocci</b:Last>
            <b:First>SM</b:First>
          </b:Person>
          <b:Person>
            <b:Last>Murphy</b:Last>
            <b:First>ML</b:First>
          </b:Person>
          <b:Person>
            <b:Last>Buscarino</b:Last>
            <b:First>C.</b:First>
          </b:Person>
        </b:NameList>
      </b:Author>
    </b:Author>
    <b:Title>Antibody Response and Reactions to Completion of a Four-dose Series with a Two- or Three-component Acellular Pertussis Vaccine Compared to Whole Cell Pertussis Vaccine</b:Title>
    <b:JournalName>Scand J Infect Dis</b:JournalName>
    <b:Year>1996</b:Year>
    <b:Pages>28: 159-163</b:Pages>
    <b:RefOrder>8</b:RefOrder>
  </b:Source>
  <b:Source>
    <b:Tag>Nol04</b:Tag>
    <b:SourceType>JournalArticle</b:SourceType>
    <b:Guid>{F6E35730-18CF-4674-AD4A-1DEC514CB337}</b:Guid>
    <b:Author>
      <b:Author>
        <b:NameList>
          <b:Person>
            <b:Last>Nolan</b:Last>
            <b:First>T</b:First>
          </b:Person>
          <b:Person>
            <b:Last>Altmann</b:Last>
            <b:First>A</b:First>
          </b:Person>
          <b:Person>
            <b:Last>Skeljo</b:Last>
            <b:First>M</b:First>
          </b:Person>
          <b:Person>
            <b:Last>Streeton</b:Last>
            <b:First>C</b:First>
          </b:Person>
          <b:Person>
            <b:Last>Schuerman</b:Last>
            <b:First>L.</b:First>
          </b:Person>
        </b:NameList>
      </b:Author>
    </b:Author>
    <b:Title>Antibody persistence, PRP-specific immune memory, and booster responses in infants immunised with a combination DTPa–HBV–IPV/Hib vaccine</b:Title>
    <b:JournalName>Vaccine</b:JournalName>
    <b:Year>2004</b:Year>
    <b:Pages>23 (2004) 14–20</b:Pages>
    <b:RefOrder>9</b:RefOrder>
  </b:Source>
  <b:Source>
    <b:Tag>Sch98</b:Tag>
    <b:SourceType>JournalArticle</b:SourceType>
    <b:Guid>{BA689841-D348-4EB2-A8D2-D1B123234434}</b:Guid>
    <b:Author>
      <b:Author>
        <b:NameList>
          <b:Person>
            <b:Last>Schmitt</b:Last>
            <b:First>HJ</b:First>
          </b:Person>
          <b:Person>
            <b:Last>Zepp</b:Last>
            <b:First>F</b:First>
          </b:Person>
          <b:Person>
            <b:Last>Mueschenborn</b:Last>
            <b:First>F</b:First>
          </b:Person>
          <b:Person>
            <b:Last>Suemenicht</b:Last>
            <b:First>G</b:First>
          </b:Person>
          <b:Person>
            <b:Last>Schuind</b:Last>
            <b:First>A</b:First>
          </b:Person>
          <b:Person>
            <b:Last>Beutel</b:Last>
            <b:First>K</b:First>
          </b:Person>
          <b:Person>
            <b:Last>Knuf</b:Last>
            <b:First>M</b:First>
          </b:Person>
          <b:Person>
            <b:Last>Block</b:Last>
            <b:First>HL</b:First>
          </b:Person>
          <b:Person>
            <b:Last>Bogaerts</b:Last>
            <b:First>H</b:First>
          </b:Person>
          <b:Person>
            <b:Last>Clemens</b:Last>
            <b:First>R.</b:First>
          </b:Person>
        </b:NameList>
      </b:Author>
    </b:Author>
    <b:Title>Immunogenicity and reactogenicity of a Haemophilus in¯uenzae type b tetanus conjugate vaccine when administered separately or mixed with concomitant diphtheria-tetanus-toxoid and acellular pertussis vaccine for primary and for booster immunizations</b:Title>
    <b:JournalName>Eur J Pediatr </b:JournalName>
    <b:Year>1998</b:Year>
    <b:Pages>157: 208±214</b:Pages>
    <b:RefOrder>10</b:RefOrder>
  </b:Source>
  <b:Source>
    <b:Tag>Tro11</b:Tag>
    <b:SourceType>JournalArticle</b:SourceType>
    <b:Guid>{60D84B2C-6308-4F1A-A269-E063530647FC}</b:Guid>
    <b:Author>
      <b:Author>
        <b:NameList>
          <b:Person>
            <b:Last>Trofa</b:Last>
            <b:First>AF</b:First>
          </b:Person>
          <b:Person>
            <b:Last>Klein</b:Last>
            <b:First>NP</b:First>
          </b:Person>
          <b:Person>
            <b:Last>Paul</b:Last>
            <b:First>AM</b:First>
          </b:Person>
          <b:Person>
            <b:Last>Michaels</b:Last>
            <b:First>MG</b:First>
          </b:Person>
          <b:Person>
            <b:Last>Goessler</b:Last>
            <b:First>M</b:First>
          </b:Person>
          <b:Person>
            <b:Last>Chandrasekaran</b:Last>
            <b:First>V</b:First>
          </b:Person>
          <b:Person>
            <b:Last>Blatter</b:Last>
            <b:First>M.</b:First>
          </b:Person>
        </b:NameList>
      </b:Author>
    </b:Author>
    <b:Title>Immunogenicity and Safety of an Inactivated Hepatitis A Vaccine When Coadministered With Diphtheria-tetanus-acellular Pertussis and Haemophilus influenzae Type B Vaccines in Children 15 Months of Age</b:Title>
    <b:JournalName>Pediatr Infect Dis J </b:JournalName>
    <b:Year>2011</b:Year>
    <b:Pages>30: e164–e169</b:Pages>
    <b:RefOrder>11</b:RefOrder>
  </b:Source>
  <b:Source>
    <b:Tag>Sch96</b:Tag>
    <b:SourceType>JournalArticle</b:SourceType>
    <b:Guid>{964FCC29-C40A-4C3D-B8AA-6A85B9B25B75}</b:Guid>
    <b:Author>
      <b:Author>
        <b:NameList>
          <b:Person>
            <b:Last>Schmitt</b:Last>
            <b:First>HJ</b:First>
          </b:Person>
          <b:Person>
            <b:Last>Miischenborn</b:Last>
            <b:First>S</b:First>
          </b:Person>
          <b:Person>
            <b:Last>Wagner</b:Last>
            <b:First>S</b:First>
          </b:Person>
          <b:Person>
            <b:Last>Knuf</b:Last>
            <b:First>M</b:First>
          </b:Person>
          <b:Person>
            <b:Last>Bock</b:Last>
            <b:First>HL</b:First>
          </b:Person>
          <b:Person>
            <b:Last>Bogaerts</b:Last>
            <b:First>H</b:First>
          </b:Person>
          <b:Person>
            <b:Last>Clemens</b:Last>
            <b:First>,</b:First>
            <b:Middle>R.</b:Middle>
          </b:Person>
        </b:NameList>
      </b:Author>
    </b:Author>
    <b:Title>Immunogenicity and Reactogenicity of a Bicomponent and a Tricomponent Acellular Pertussis-Diphtheria-Tetanus (DTaP) Vaccine in Primary Immunization and as Second Year Booster: A Double-Blind, Randomized Trial</b:Title>
    <b:JournalName>Int J Infect Dis </b:JournalName>
    <b:Year>1996</b:Year>
    <b:Pages>1:6-13.</b:Pages>
    <b:RefOrder>12</b:RefOrder>
  </b:Source>
  <b:Source>
    <b:Tag>Nol09</b:Tag>
    <b:SourceType>JournalArticle</b:SourceType>
    <b:Guid>{668B5B32-DC90-42A4-83FD-1DC46D777D5D}</b:Guid>
    <b:Author>
      <b:Author>
        <b:NameList>
          <b:Person>
            <b:Last>Nolan</b:Last>
            <b:First>T</b:First>
          </b:Person>
          <b:Person>
            <b:Last>Ruff</b:Last>
            <b:First>TA</b:First>
          </b:Person>
          <b:Person>
            <b:Last>Lambert</b:Last>
            <b:First>SB</b:First>
          </b:Person>
          <b:Person>
            <b:Last>Buttery</b:Last>
            <b:First>J</b:First>
          </b:Person>
          <b:Person>
            <b:Last>O'Grady</b:Last>
            <b:First>KA</b:First>
          </b:Person>
          <b:Person>
            <b:Last>Streeton</b:Last>
            <b:First>C</b:First>
          </b:Person>
          <b:Person>
            <b:Last>Hoet</b:Last>
            <b:First>B</b:First>
          </b:Person>
          <b:Person>
            <b:Last>Bock</b:Last>
            <b:First>HL.</b:First>
          </b:Person>
        </b:NameList>
      </b:Author>
    </b:Author>
    <b:Title>Booster vaccination of toddlers with reduced antigen content diphtheria–tetanus–acellular pertussis vaccine</b:Title>
    <b:JournalName>Vaccine</b:JournalName>
    <b:Year>2009</b:Year>
    <b:Pages>27 (2009) 2410–2413</b:Pages>
    <b:RefOrder>14</b:RefOrder>
  </b:Source>
  <b:Source>
    <b:Tag>Zha14</b:Tag>
    <b:SourceType>JournalArticle</b:SourceType>
    <b:Guid>{45C553CC-13EC-4FD5-BBE8-A83AAF08A289}</b:Guid>
    <b:Author>
      <b:Author>
        <b:NameList>
          <b:Person>
            <b:Last>Zhang</b:Last>
            <b:First>Ll</b:First>
            <b:Middle>Prietschm SOM</b:Middle>
          </b:Person>
          <b:Person>
            <b:Last>Axelsson</b:Last>
            <b:First>I</b:First>
          </b:Person>
          <b:Person>
            <b:Last>Halperin</b:Last>
            <b:First>SA.</b:First>
          </b:Person>
        </b:NameList>
      </b:Author>
    </b:Author>
    <b:Title>Acellular vaccines for preventing whooping cough in children (Review)</b:Title>
    <b:JournalName>The Cochrane Library</b:JournalName>
    <b:Year>2014</b:Year>
    <b:Pages>Issue 9 pp. 1-154</b:Pages>
    <b:RefOrder>15</b:RefOrder>
  </b:Source>
  <b:Source>
    <b:Tag>Hul13</b:Tag>
    <b:SourceType>JournalArticle</b:SourceType>
    <b:Guid>{21C2D2D9-A76A-4FC9-9D0C-5296EB762454}</b:Guid>
    <b:Author>
      <b:Author>
        <b:NameList>
          <b:Person>
            <b:Last>Hull</b:Last>
            <b:First>B</b:First>
          </b:Person>
          <b:Person>
            <b:Last>Dey</b:Last>
            <b:First>A</b:First>
          </b:Person>
          <b:Person>
            <b:Last>Menzies</b:Last>
            <b:First>R</b:First>
          </b:Person>
          <b:Person>
            <b:Last>Brotherton</b:Last>
            <b:First>J</b:First>
          </b:Person>
          <b:Person>
            <b:Last>McIntyre</b:Last>
            <b:First>P</b:First>
          </b:Person>
        </b:NameList>
      </b:Author>
    </b:Author>
    <b:Title>Immunisation coverage annual report 2012</b:Title>
    <b:JournalName>CDI</b:JournalName>
    <b:Year>2014</b:Year>
    <b:Pages>38(3):E208</b:Pages>
    <b:RefOrder>59</b:RefOrder>
  </b:Source>
</b:Sources>
</file>

<file path=customXml/itemProps1.xml><?xml version="1.0" encoding="utf-8"?>
<ds:datastoreItem xmlns:ds="http://schemas.openxmlformats.org/officeDocument/2006/customXml" ds:itemID="{1B30C748-3277-42F5-9726-82C0DDBF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3756</Words>
  <Characters>21151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2015-10-16T03:31:00Z</dcterms:created>
  <dcterms:modified xsi:type="dcterms:W3CDTF">2015-10-22T20:58:00Z</dcterms:modified>
</cp:coreProperties>
</file>