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5C4" w:rsidRDefault="0068412F" w:rsidP="00323E7A">
      <w:pPr>
        <w:pStyle w:val="Heading1"/>
        <w:widowControl/>
        <w:jc w:val="left"/>
        <w:rPr>
          <w:sz w:val="28"/>
        </w:rPr>
      </w:pPr>
      <w:bookmarkStart w:id="0" w:name="_Toc419885962"/>
      <w:r>
        <w:rPr>
          <w:sz w:val="28"/>
        </w:rPr>
        <w:t>5.10</w:t>
      </w:r>
      <w:r w:rsidR="00B60939" w:rsidRPr="00207D00">
        <w:rPr>
          <w:sz w:val="28"/>
        </w:rPr>
        <w:tab/>
      </w:r>
      <w:r w:rsidR="0030426C">
        <w:rPr>
          <w:sz w:val="28"/>
        </w:rPr>
        <w:t>NIVOLUMAB</w:t>
      </w:r>
    </w:p>
    <w:p w:rsidR="00B60939" w:rsidRPr="006B65E3" w:rsidRDefault="006B65E3" w:rsidP="007535C4">
      <w:pPr>
        <w:pStyle w:val="Heading1"/>
        <w:widowControl/>
        <w:ind w:hanging="11"/>
        <w:jc w:val="left"/>
        <w:rPr>
          <w:caps w:val="0"/>
          <w:sz w:val="28"/>
        </w:rPr>
      </w:pPr>
      <w:r w:rsidRPr="006B65E3">
        <w:rPr>
          <w:caps w:val="0"/>
          <w:sz w:val="28"/>
          <w:szCs w:val="28"/>
        </w:rPr>
        <w:t xml:space="preserve">concentrate solution for infusion, 10 mg/mL, </w:t>
      </w:r>
      <w:r>
        <w:rPr>
          <w:caps w:val="0"/>
          <w:sz w:val="28"/>
          <w:szCs w:val="28"/>
        </w:rPr>
        <w:t>1 x </w:t>
      </w:r>
      <w:r w:rsidRPr="006B65E3">
        <w:rPr>
          <w:caps w:val="0"/>
          <w:sz w:val="28"/>
          <w:szCs w:val="28"/>
        </w:rPr>
        <w:t>4</w:t>
      </w:r>
      <w:r w:rsidR="005565AF">
        <w:rPr>
          <w:caps w:val="0"/>
          <w:sz w:val="28"/>
          <w:szCs w:val="28"/>
        </w:rPr>
        <w:t> mL</w:t>
      </w:r>
      <w:r w:rsidRPr="006B65E3">
        <w:rPr>
          <w:caps w:val="0"/>
          <w:sz w:val="28"/>
          <w:szCs w:val="28"/>
        </w:rPr>
        <w:t xml:space="preserve"> vial, concentrate solution for infusion, 10</w:t>
      </w:r>
      <w:r w:rsidR="005565AF">
        <w:rPr>
          <w:caps w:val="0"/>
          <w:sz w:val="28"/>
          <w:szCs w:val="28"/>
        </w:rPr>
        <w:t> </w:t>
      </w:r>
      <w:r w:rsidRPr="006B65E3">
        <w:rPr>
          <w:caps w:val="0"/>
          <w:sz w:val="28"/>
          <w:szCs w:val="28"/>
        </w:rPr>
        <w:t xml:space="preserve">mg/mL, </w:t>
      </w:r>
      <w:r>
        <w:rPr>
          <w:caps w:val="0"/>
          <w:sz w:val="28"/>
          <w:szCs w:val="28"/>
        </w:rPr>
        <w:t>1 x </w:t>
      </w:r>
      <w:r w:rsidR="005565AF">
        <w:rPr>
          <w:caps w:val="0"/>
          <w:sz w:val="28"/>
          <w:szCs w:val="28"/>
        </w:rPr>
        <w:t>10 mL</w:t>
      </w:r>
      <w:r w:rsidRPr="006B65E3">
        <w:rPr>
          <w:caps w:val="0"/>
          <w:sz w:val="28"/>
          <w:szCs w:val="28"/>
        </w:rPr>
        <w:t xml:space="preserve"> vial</w:t>
      </w:r>
      <w:r w:rsidR="00B60939" w:rsidRPr="00207D00">
        <w:rPr>
          <w:sz w:val="28"/>
        </w:rPr>
        <w:t xml:space="preserve">, </w:t>
      </w:r>
      <w:r w:rsidR="0030426C">
        <w:rPr>
          <w:caps w:val="0"/>
          <w:sz w:val="28"/>
        </w:rPr>
        <w:t>Opdivo</w:t>
      </w:r>
      <w:r w:rsidR="007C692B" w:rsidRPr="007C692B">
        <w:rPr>
          <w:rFonts w:ascii="Arial" w:hAnsi="Arial"/>
          <w:caps w:val="0"/>
          <w:sz w:val="28"/>
          <w:vertAlign w:val="superscript"/>
        </w:rPr>
        <w:t>®</w:t>
      </w:r>
      <w:r w:rsidR="00B60939" w:rsidRPr="00207D00">
        <w:rPr>
          <w:sz w:val="28"/>
        </w:rPr>
        <w:t xml:space="preserve">, </w:t>
      </w:r>
      <w:r w:rsidR="0030426C">
        <w:rPr>
          <w:caps w:val="0"/>
          <w:sz w:val="28"/>
        </w:rPr>
        <w:t>Bristol Myers Squibb</w:t>
      </w:r>
      <w:bookmarkEnd w:id="0"/>
    </w:p>
    <w:p w:rsidR="00433044" w:rsidRPr="004A2FC8" w:rsidRDefault="00433044" w:rsidP="00323E7A">
      <w:pPr>
        <w:pStyle w:val="Heading2"/>
        <w:widowControl/>
        <w:rPr>
          <w:highlight w:val="yellow"/>
        </w:rPr>
      </w:pPr>
    </w:p>
    <w:p w:rsidR="00B50DB8" w:rsidRDefault="00B50DB8" w:rsidP="00323E7A">
      <w:pPr>
        <w:pStyle w:val="Heading2"/>
        <w:widowControl/>
        <w:numPr>
          <w:ilvl w:val="0"/>
          <w:numId w:val="23"/>
        </w:numPr>
        <w:ind w:left="709" w:hanging="709"/>
      </w:pPr>
      <w:bookmarkStart w:id="1" w:name="_Toc419885964"/>
      <w:r w:rsidRPr="00EE7EEB">
        <w:t>Purpose of Application</w:t>
      </w:r>
      <w:bookmarkEnd w:id="1"/>
    </w:p>
    <w:p w:rsidR="00002803" w:rsidRPr="00002803" w:rsidRDefault="00002803" w:rsidP="00323E7A">
      <w:pPr>
        <w:widowControl/>
      </w:pPr>
    </w:p>
    <w:p w:rsidR="00002803" w:rsidRPr="00EE7EEB" w:rsidRDefault="0030426C" w:rsidP="00323E7A">
      <w:pPr>
        <w:pStyle w:val="ListParagraph"/>
        <w:widowControl/>
        <w:numPr>
          <w:ilvl w:val="1"/>
          <w:numId w:val="23"/>
        </w:numPr>
        <w:ind w:left="709" w:hanging="709"/>
      </w:pPr>
      <w:r w:rsidRPr="00EE7EEB">
        <w:t xml:space="preserve">Section </w:t>
      </w:r>
      <w:r w:rsidR="00FF2C4D" w:rsidRPr="00EE7EEB">
        <w:t xml:space="preserve">100 </w:t>
      </w:r>
      <w:r w:rsidRPr="00EE7EEB">
        <w:t xml:space="preserve">(Efficient Funding of Chemotherapy – Public and Private Hospital) Authority Required listing for the treatment of unresectable Stage III or Stage IV </w:t>
      </w:r>
      <w:r w:rsidR="00A054F8" w:rsidRPr="00EE7EEB">
        <w:t>malignant</w:t>
      </w:r>
      <w:r w:rsidRPr="00EE7EEB">
        <w:t xml:space="preserve"> melanoma</w:t>
      </w:r>
      <w:r w:rsidR="001E238E" w:rsidRPr="00EE7EEB">
        <w:t>.</w:t>
      </w:r>
    </w:p>
    <w:p w:rsidR="00B60939" w:rsidRPr="00EE7EEB" w:rsidRDefault="00B60939" w:rsidP="00323E7A">
      <w:pPr>
        <w:widowControl/>
      </w:pPr>
    </w:p>
    <w:p w:rsidR="004E43B2" w:rsidRPr="00EE7EEB" w:rsidRDefault="004E43B2" w:rsidP="00323E7A">
      <w:pPr>
        <w:widowControl/>
      </w:pPr>
    </w:p>
    <w:p w:rsidR="00B50DB8" w:rsidRPr="00EE7EEB" w:rsidRDefault="00B50DB8" w:rsidP="00323E7A">
      <w:pPr>
        <w:pStyle w:val="Heading2"/>
        <w:widowControl/>
        <w:numPr>
          <w:ilvl w:val="0"/>
          <w:numId w:val="23"/>
        </w:numPr>
        <w:ind w:left="709" w:hanging="709"/>
      </w:pPr>
      <w:bookmarkStart w:id="2" w:name="_Toc419885965"/>
      <w:r w:rsidRPr="00EE7EEB">
        <w:t>Requested listing</w:t>
      </w:r>
      <w:bookmarkEnd w:id="2"/>
    </w:p>
    <w:p w:rsidR="00F00C4E" w:rsidRPr="00EE7EEB" w:rsidRDefault="00F00C4E" w:rsidP="00323E7A">
      <w:pPr>
        <w:widowControl/>
      </w:pPr>
    </w:p>
    <w:p w:rsidR="00617E12" w:rsidRDefault="00A054F8" w:rsidP="00323E7A">
      <w:pPr>
        <w:pStyle w:val="ListParagraph"/>
        <w:widowControl/>
        <w:numPr>
          <w:ilvl w:val="1"/>
          <w:numId w:val="23"/>
        </w:numPr>
        <w:ind w:left="709" w:hanging="709"/>
      </w:pPr>
      <w:r w:rsidRPr="00EE7EEB">
        <w:t xml:space="preserve">The requested restriction is provided below, including initial and continuing treatment criteria.  </w:t>
      </w:r>
      <w:r w:rsidR="00661889" w:rsidRPr="00EE7EEB">
        <w:t>Suggestions</w:t>
      </w:r>
      <w:r w:rsidR="00661889" w:rsidRPr="00F95E1C">
        <w:t xml:space="preserve"> and additions proposed by the Secretariat to the requested listing are added in italics and suggested deletions are crossed out with strikethrough.</w:t>
      </w:r>
    </w:p>
    <w:p w:rsidR="00810A6C" w:rsidRDefault="00810A6C" w:rsidP="00323E7A">
      <w:pPr>
        <w:widowControl/>
      </w:pPr>
    </w:p>
    <w:tbl>
      <w:tblPr>
        <w:tblW w:w="4604" w:type="pct"/>
        <w:tblInd w:w="737" w:type="dxa"/>
        <w:tblLayout w:type="fixed"/>
        <w:tblCellMar>
          <w:left w:w="28" w:type="dxa"/>
          <w:right w:w="28" w:type="dxa"/>
        </w:tblCellMar>
        <w:tblLook w:val="0000" w:firstRow="0" w:lastRow="0" w:firstColumn="0" w:lastColumn="0" w:noHBand="0" w:noVBand="0"/>
      </w:tblPr>
      <w:tblGrid>
        <w:gridCol w:w="3827"/>
        <w:gridCol w:w="709"/>
        <w:gridCol w:w="567"/>
        <w:gridCol w:w="1701"/>
        <w:gridCol w:w="992"/>
        <w:gridCol w:w="567"/>
      </w:tblGrid>
      <w:tr w:rsidR="00661889" w:rsidRPr="00D80E04" w:rsidTr="00EC5D25">
        <w:trPr>
          <w:trHeight w:val="471"/>
        </w:trPr>
        <w:tc>
          <w:tcPr>
            <w:tcW w:w="2288" w:type="pct"/>
            <w:tcBorders>
              <w:bottom w:val="single" w:sz="4" w:space="0" w:color="auto"/>
            </w:tcBorders>
          </w:tcPr>
          <w:p w:rsidR="00A054F8" w:rsidRPr="00D80E04" w:rsidRDefault="00A054F8" w:rsidP="00323E7A">
            <w:pPr>
              <w:keepNext/>
              <w:widowControl/>
              <w:rPr>
                <w:rFonts w:ascii="Arial Narrow" w:hAnsi="Arial Narrow"/>
                <w:sz w:val="20"/>
              </w:rPr>
            </w:pPr>
            <w:r w:rsidRPr="00D80E04">
              <w:rPr>
                <w:rFonts w:ascii="Arial Narrow" w:hAnsi="Arial Narrow"/>
                <w:sz w:val="20"/>
              </w:rPr>
              <w:t>Name, Restriction,</w:t>
            </w:r>
          </w:p>
          <w:p w:rsidR="00A054F8" w:rsidRPr="00D80E04" w:rsidRDefault="00A054F8" w:rsidP="00323E7A">
            <w:pPr>
              <w:keepNext/>
              <w:widowControl/>
              <w:rPr>
                <w:rFonts w:ascii="Arial Narrow" w:hAnsi="Arial Narrow"/>
                <w:sz w:val="20"/>
              </w:rPr>
            </w:pPr>
            <w:r w:rsidRPr="00D80E04">
              <w:rPr>
                <w:rFonts w:ascii="Arial Narrow" w:hAnsi="Arial Narrow"/>
                <w:sz w:val="20"/>
              </w:rPr>
              <w:t>Manner of administration and form</w:t>
            </w:r>
          </w:p>
        </w:tc>
        <w:tc>
          <w:tcPr>
            <w:tcW w:w="424" w:type="pct"/>
            <w:tcBorders>
              <w:bottom w:val="single" w:sz="4" w:space="0" w:color="auto"/>
            </w:tcBorders>
          </w:tcPr>
          <w:p w:rsidR="00A054F8" w:rsidRPr="00D80E04" w:rsidRDefault="00A054F8" w:rsidP="00323E7A">
            <w:pPr>
              <w:keepNext/>
              <w:widowControl/>
              <w:jc w:val="center"/>
              <w:rPr>
                <w:rFonts w:ascii="Arial Narrow" w:hAnsi="Arial Narrow"/>
                <w:sz w:val="20"/>
              </w:rPr>
            </w:pPr>
            <w:r w:rsidRPr="00D80E04">
              <w:rPr>
                <w:rFonts w:ascii="Arial Narrow" w:hAnsi="Arial Narrow"/>
                <w:sz w:val="20"/>
              </w:rPr>
              <w:t>Max.</w:t>
            </w:r>
          </w:p>
          <w:p w:rsidR="00A054F8" w:rsidRPr="00963614" w:rsidRDefault="00320333" w:rsidP="00323E7A">
            <w:pPr>
              <w:keepNext/>
              <w:widowControl/>
              <w:jc w:val="center"/>
              <w:rPr>
                <w:rFonts w:ascii="Arial Narrow" w:hAnsi="Arial Narrow"/>
                <w:sz w:val="20"/>
              </w:rPr>
            </w:pPr>
            <w:r w:rsidRPr="00963614">
              <w:rPr>
                <w:rFonts w:ascii="Arial Narrow" w:hAnsi="Arial Narrow"/>
                <w:sz w:val="20"/>
              </w:rPr>
              <w:t>Amount</w:t>
            </w:r>
          </w:p>
        </w:tc>
        <w:tc>
          <w:tcPr>
            <w:tcW w:w="339" w:type="pct"/>
            <w:tcBorders>
              <w:bottom w:val="single" w:sz="4" w:space="0" w:color="auto"/>
            </w:tcBorders>
          </w:tcPr>
          <w:p w:rsidR="00A054F8" w:rsidRPr="00D80E04" w:rsidRDefault="00A054F8" w:rsidP="00323E7A">
            <w:pPr>
              <w:keepNext/>
              <w:widowControl/>
              <w:jc w:val="center"/>
              <w:rPr>
                <w:rFonts w:ascii="Arial Narrow" w:hAnsi="Arial Narrow"/>
                <w:sz w:val="20"/>
              </w:rPr>
            </w:pPr>
            <w:r>
              <w:rPr>
                <w:rFonts w:ascii="Arial Narrow" w:hAnsi="Arial Narrow"/>
                <w:sz w:val="20"/>
              </w:rPr>
              <w:t>No</w:t>
            </w:r>
            <w:r w:rsidRPr="00D80E04">
              <w:rPr>
                <w:rFonts w:ascii="Arial Narrow" w:hAnsi="Arial Narrow"/>
                <w:sz w:val="20"/>
              </w:rPr>
              <w:t>.of</w:t>
            </w:r>
          </w:p>
          <w:p w:rsidR="00A054F8" w:rsidRPr="00D80E04" w:rsidRDefault="00A054F8" w:rsidP="00323E7A">
            <w:pPr>
              <w:keepNext/>
              <w:widowControl/>
              <w:jc w:val="center"/>
              <w:rPr>
                <w:rFonts w:ascii="Arial Narrow" w:hAnsi="Arial Narrow"/>
                <w:sz w:val="20"/>
              </w:rPr>
            </w:pPr>
            <w:r w:rsidRPr="00D80E04">
              <w:rPr>
                <w:rFonts w:ascii="Arial Narrow" w:hAnsi="Arial Narrow"/>
                <w:sz w:val="20"/>
              </w:rPr>
              <w:t>Rpts</w:t>
            </w:r>
          </w:p>
        </w:tc>
        <w:tc>
          <w:tcPr>
            <w:tcW w:w="1017" w:type="pct"/>
            <w:tcBorders>
              <w:bottom w:val="single" w:sz="4" w:space="0" w:color="auto"/>
            </w:tcBorders>
          </w:tcPr>
          <w:p w:rsidR="00A054F8" w:rsidRPr="00D80E04" w:rsidRDefault="00A054F8" w:rsidP="00323E7A">
            <w:pPr>
              <w:keepNext/>
              <w:widowControl/>
              <w:jc w:val="center"/>
              <w:rPr>
                <w:rFonts w:ascii="Arial Narrow" w:hAnsi="Arial Narrow"/>
                <w:sz w:val="20"/>
              </w:rPr>
            </w:pPr>
            <w:r w:rsidRPr="00D80E04">
              <w:rPr>
                <w:rFonts w:ascii="Arial Narrow" w:hAnsi="Arial Narrow"/>
                <w:sz w:val="20"/>
              </w:rPr>
              <w:t xml:space="preserve">Dispensed Price for Max. </w:t>
            </w:r>
            <w:r w:rsidR="00282A4E" w:rsidRPr="00963614">
              <w:rPr>
                <w:rFonts w:ascii="Arial Narrow" w:hAnsi="Arial Narrow"/>
                <w:sz w:val="20"/>
              </w:rPr>
              <w:t>Amount</w:t>
            </w:r>
          </w:p>
        </w:tc>
        <w:tc>
          <w:tcPr>
            <w:tcW w:w="932" w:type="pct"/>
            <w:gridSpan w:val="2"/>
            <w:tcBorders>
              <w:bottom w:val="single" w:sz="4" w:space="0" w:color="auto"/>
            </w:tcBorders>
          </w:tcPr>
          <w:p w:rsidR="00A054F8" w:rsidRPr="00D80E04" w:rsidRDefault="00A054F8" w:rsidP="00323E7A">
            <w:pPr>
              <w:keepNext/>
              <w:widowControl/>
              <w:ind w:left="116" w:right="17" w:hanging="116"/>
              <w:jc w:val="center"/>
              <w:rPr>
                <w:rFonts w:ascii="Arial Narrow" w:hAnsi="Arial Narrow"/>
                <w:sz w:val="20"/>
                <w:lang w:val="fr-FR"/>
              </w:rPr>
            </w:pPr>
            <w:r w:rsidRPr="00D80E04">
              <w:rPr>
                <w:rFonts w:ascii="Arial Narrow" w:hAnsi="Arial Narrow"/>
                <w:sz w:val="20"/>
              </w:rPr>
              <w:t>Proprietary Name and Manufacturer</w:t>
            </w:r>
          </w:p>
        </w:tc>
      </w:tr>
      <w:tr w:rsidR="00661889" w:rsidRPr="00D80E04" w:rsidTr="00EC5D25">
        <w:trPr>
          <w:trHeight w:val="577"/>
        </w:trPr>
        <w:tc>
          <w:tcPr>
            <w:tcW w:w="2288" w:type="pct"/>
          </w:tcPr>
          <w:p w:rsidR="00A054F8" w:rsidRPr="00D80E04" w:rsidRDefault="00A054F8" w:rsidP="00323E7A">
            <w:pPr>
              <w:keepNext/>
              <w:widowControl/>
              <w:rPr>
                <w:rFonts w:ascii="Arial Narrow" w:hAnsi="Arial Narrow"/>
                <w:smallCaps/>
                <w:sz w:val="20"/>
              </w:rPr>
            </w:pPr>
            <w:r>
              <w:rPr>
                <w:rFonts w:ascii="Arial Narrow" w:hAnsi="Arial Narrow"/>
                <w:smallCaps/>
                <w:sz w:val="20"/>
              </w:rPr>
              <w:t>NIVOLUMAB</w:t>
            </w:r>
          </w:p>
          <w:p w:rsidR="00A054F8" w:rsidRPr="00D80E04" w:rsidRDefault="00320333" w:rsidP="00323E7A">
            <w:pPr>
              <w:keepNext/>
              <w:widowControl/>
              <w:jc w:val="left"/>
              <w:rPr>
                <w:rFonts w:ascii="Arial Narrow" w:hAnsi="Arial Narrow"/>
                <w:sz w:val="20"/>
              </w:rPr>
            </w:pPr>
            <w:r>
              <w:rPr>
                <w:rFonts w:ascii="Arial Narrow" w:hAnsi="Arial Narrow"/>
                <w:sz w:val="20"/>
              </w:rPr>
              <w:t xml:space="preserve">nivolumab </w:t>
            </w:r>
            <w:r w:rsidR="00A054F8">
              <w:rPr>
                <w:rFonts w:ascii="Arial Narrow" w:hAnsi="Arial Narrow"/>
                <w:sz w:val="20"/>
              </w:rPr>
              <w:t>40</w:t>
            </w:r>
            <w:r w:rsidR="00EC5D25">
              <w:rPr>
                <w:rFonts w:ascii="Arial Narrow" w:hAnsi="Arial Narrow"/>
                <w:sz w:val="20"/>
              </w:rPr>
              <w:t> </w:t>
            </w:r>
            <w:r w:rsidR="00A054F8">
              <w:rPr>
                <w:rFonts w:ascii="Arial Narrow" w:hAnsi="Arial Narrow"/>
                <w:sz w:val="20"/>
              </w:rPr>
              <w:t>mg/4</w:t>
            </w:r>
            <w:r w:rsidR="00EC5D25">
              <w:rPr>
                <w:rFonts w:ascii="Arial Narrow" w:hAnsi="Arial Narrow"/>
                <w:sz w:val="20"/>
              </w:rPr>
              <w:t> </w:t>
            </w:r>
            <w:r w:rsidR="00A054F8">
              <w:rPr>
                <w:rFonts w:ascii="Arial Narrow" w:hAnsi="Arial Narrow"/>
                <w:sz w:val="20"/>
              </w:rPr>
              <w:t>mL injection</w:t>
            </w:r>
            <w:r>
              <w:rPr>
                <w:rFonts w:ascii="Arial Narrow" w:hAnsi="Arial Narrow"/>
                <w:sz w:val="20"/>
              </w:rPr>
              <w:t>,</w:t>
            </w:r>
            <w:r w:rsidR="00A054F8">
              <w:rPr>
                <w:rFonts w:ascii="Arial Narrow" w:hAnsi="Arial Narrow"/>
                <w:sz w:val="20"/>
              </w:rPr>
              <w:t xml:space="preserve"> 1 × 4</w:t>
            </w:r>
            <w:r w:rsidR="00EC5D25">
              <w:rPr>
                <w:rFonts w:ascii="Arial Narrow" w:hAnsi="Arial Narrow"/>
                <w:sz w:val="20"/>
              </w:rPr>
              <w:t> </w:t>
            </w:r>
            <w:r w:rsidR="00A054F8">
              <w:rPr>
                <w:rFonts w:ascii="Arial Narrow" w:hAnsi="Arial Narrow"/>
                <w:sz w:val="20"/>
              </w:rPr>
              <w:t>mL vial</w:t>
            </w:r>
          </w:p>
          <w:p w:rsidR="00661889" w:rsidRDefault="00661889" w:rsidP="00323E7A">
            <w:pPr>
              <w:keepNext/>
              <w:widowControl/>
              <w:jc w:val="left"/>
              <w:rPr>
                <w:rFonts w:ascii="Arial Narrow" w:hAnsi="Arial Narrow"/>
                <w:sz w:val="20"/>
              </w:rPr>
            </w:pPr>
          </w:p>
          <w:p w:rsidR="00320333" w:rsidRPr="00D80E04" w:rsidRDefault="00320333" w:rsidP="00323E7A">
            <w:pPr>
              <w:keepNext/>
              <w:widowControl/>
              <w:jc w:val="left"/>
              <w:rPr>
                <w:rFonts w:ascii="Arial Narrow" w:hAnsi="Arial Narrow"/>
                <w:sz w:val="20"/>
              </w:rPr>
            </w:pPr>
            <w:r>
              <w:rPr>
                <w:rFonts w:ascii="Arial Narrow" w:hAnsi="Arial Narrow"/>
                <w:sz w:val="20"/>
              </w:rPr>
              <w:t xml:space="preserve">nivolumab </w:t>
            </w:r>
            <w:r w:rsidR="00A054F8">
              <w:rPr>
                <w:rFonts w:ascii="Arial Narrow" w:hAnsi="Arial Narrow"/>
                <w:sz w:val="20"/>
              </w:rPr>
              <w:t>100</w:t>
            </w:r>
            <w:r w:rsidR="00EC5D25">
              <w:rPr>
                <w:rFonts w:ascii="Arial Narrow" w:hAnsi="Arial Narrow"/>
                <w:sz w:val="20"/>
              </w:rPr>
              <w:t> </w:t>
            </w:r>
            <w:r w:rsidR="00A054F8">
              <w:rPr>
                <w:rFonts w:ascii="Arial Narrow" w:hAnsi="Arial Narrow"/>
                <w:sz w:val="20"/>
              </w:rPr>
              <w:t>mg/10</w:t>
            </w:r>
            <w:r w:rsidR="00EC5D25">
              <w:rPr>
                <w:rFonts w:ascii="Arial Narrow" w:hAnsi="Arial Narrow"/>
                <w:sz w:val="20"/>
              </w:rPr>
              <w:t> </w:t>
            </w:r>
            <w:r w:rsidR="00A054F8">
              <w:rPr>
                <w:rFonts w:ascii="Arial Narrow" w:hAnsi="Arial Narrow"/>
                <w:sz w:val="20"/>
              </w:rPr>
              <w:t>mL injection</w:t>
            </w:r>
            <w:r>
              <w:rPr>
                <w:rFonts w:ascii="Arial Narrow" w:hAnsi="Arial Narrow"/>
                <w:sz w:val="20"/>
              </w:rPr>
              <w:t>,</w:t>
            </w:r>
            <w:r w:rsidR="00A054F8">
              <w:rPr>
                <w:rFonts w:ascii="Arial Narrow" w:hAnsi="Arial Narrow"/>
                <w:sz w:val="20"/>
              </w:rPr>
              <w:t xml:space="preserve"> 1 × 10</w:t>
            </w:r>
            <w:r w:rsidR="00EC5D25">
              <w:rPr>
                <w:rFonts w:ascii="Arial Narrow" w:hAnsi="Arial Narrow"/>
                <w:sz w:val="20"/>
              </w:rPr>
              <w:t> </w:t>
            </w:r>
            <w:r w:rsidR="00A054F8">
              <w:rPr>
                <w:rFonts w:ascii="Arial Narrow" w:hAnsi="Arial Narrow"/>
                <w:sz w:val="20"/>
              </w:rPr>
              <w:t xml:space="preserve">mL vial </w:t>
            </w:r>
          </w:p>
        </w:tc>
        <w:tc>
          <w:tcPr>
            <w:tcW w:w="424" w:type="pct"/>
          </w:tcPr>
          <w:p w:rsidR="00A054F8" w:rsidRPr="009C4BDE" w:rsidRDefault="00A054F8" w:rsidP="00323E7A">
            <w:pPr>
              <w:keepNext/>
              <w:widowControl/>
              <w:rPr>
                <w:rFonts w:ascii="Arial Narrow" w:hAnsi="Arial Narrow"/>
                <w:i/>
                <w:sz w:val="20"/>
              </w:rPr>
            </w:pPr>
          </w:p>
          <w:p w:rsidR="00A054F8" w:rsidRPr="009C4BDE" w:rsidRDefault="00A054F8" w:rsidP="00323E7A">
            <w:pPr>
              <w:keepNext/>
              <w:widowControl/>
              <w:jc w:val="center"/>
              <w:rPr>
                <w:rFonts w:ascii="Arial Narrow" w:hAnsi="Arial Narrow"/>
                <w:i/>
                <w:sz w:val="20"/>
              </w:rPr>
            </w:pPr>
          </w:p>
          <w:p w:rsidR="00A054F8" w:rsidRPr="009C4BDE" w:rsidRDefault="00320333" w:rsidP="00323E7A">
            <w:pPr>
              <w:keepNext/>
              <w:widowControl/>
              <w:jc w:val="center"/>
              <w:rPr>
                <w:rFonts w:ascii="Arial Narrow" w:hAnsi="Arial Narrow"/>
                <w:i/>
                <w:sz w:val="20"/>
              </w:rPr>
            </w:pPr>
            <w:r w:rsidRPr="009C4BDE">
              <w:rPr>
                <w:rFonts w:ascii="Arial Narrow" w:hAnsi="Arial Narrow"/>
                <w:i/>
                <w:sz w:val="20"/>
              </w:rPr>
              <w:t>360 mg</w:t>
            </w:r>
          </w:p>
        </w:tc>
        <w:tc>
          <w:tcPr>
            <w:tcW w:w="339" w:type="pct"/>
          </w:tcPr>
          <w:p w:rsidR="00A054F8" w:rsidRPr="009C4BDE" w:rsidRDefault="00A054F8" w:rsidP="00323E7A">
            <w:pPr>
              <w:keepNext/>
              <w:widowControl/>
              <w:rPr>
                <w:rFonts w:ascii="Arial Narrow" w:hAnsi="Arial Narrow"/>
                <w:i/>
                <w:sz w:val="20"/>
              </w:rPr>
            </w:pPr>
          </w:p>
          <w:p w:rsidR="00661889" w:rsidRPr="009C4BDE" w:rsidRDefault="00661889" w:rsidP="00323E7A">
            <w:pPr>
              <w:keepNext/>
              <w:widowControl/>
              <w:jc w:val="center"/>
              <w:rPr>
                <w:rFonts w:ascii="Arial Narrow" w:hAnsi="Arial Narrow"/>
                <w:i/>
                <w:sz w:val="20"/>
              </w:rPr>
            </w:pPr>
          </w:p>
          <w:p w:rsidR="00A054F8" w:rsidRPr="009C4BDE" w:rsidRDefault="00661889" w:rsidP="00323E7A">
            <w:pPr>
              <w:keepNext/>
              <w:widowControl/>
              <w:jc w:val="center"/>
              <w:rPr>
                <w:rFonts w:ascii="Arial Narrow" w:hAnsi="Arial Narrow"/>
                <w:i/>
                <w:sz w:val="20"/>
              </w:rPr>
            </w:pPr>
            <w:r w:rsidRPr="009C4BDE">
              <w:rPr>
                <w:rFonts w:ascii="Arial Narrow" w:hAnsi="Arial Narrow"/>
                <w:i/>
                <w:sz w:val="20"/>
              </w:rPr>
              <w:t>5</w:t>
            </w:r>
          </w:p>
        </w:tc>
        <w:tc>
          <w:tcPr>
            <w:tcW w:w="1017" w:type="pct"/>
            <w:vAlign w:val="center"/>
          </w:tcPr>
          <w:p w:rsidR="00CA537A" w:rsidRPr="00963614" w:rsidRDefault="00CA537A" w:rsidP="00323E7A">
            <w:pPr>
              <w:keepNext/>
              <w:widowControl/>
              <w:rPr>
                <w:rFonts w:ascii="Arial Narrow" w:hAnsi="Arial Narrow"/>
                <w:sz w:val="20"/>
              </w:rPr>
            </w:pPr>
            <w:r w:rsidRPr="00963614">
              <w:rPr>
                <w:rFonts w:ascii="Arial Narrow" w:hAnsi="Arial Narrow"/>
                <w:sz w:val="20"/>
              </w:rPr>
              <w:t>$</w:t>
            </w:r>
            <w:r w:rsidR="00930DE3">
              <w:rPr>
                <w:rFonts w:ascii="Arial Narrow" w:hAnsi="Arial Narrow"/>
                <w:noProof/>
                <w:color w:val="000000"/>
                <w:sz w:val="20"/>
                <w:highlight w:val="black"/>
              </w:rPr>
              <w:t>'''''''''''''''''''''''</w:t>
            </w:r>
            <w:r w:rsidRPr="00963614">
              <w:rPr>
                <w:rFonts w:ascii="Arial Narrow" w:hAnsi="Arial Narrow"/>
                <w:sz w:val="20"/>
              </w:rPr>
              <w:t xml:space="preserve"> (public</w:t>
            </w:r>
            <w:r w:rsidR="005C7773" w:rsidRPr="00963614">
              <w:rPr>
                <w:rFonts w:ascii="Arial Narrow" w:hAnsi="Arial Narrow"/>
                <w:sz w:val="20"/>
              </w:rPr>
              <w:t xml:space="preserve"> effective price</w:t>
            </w:r>
            <w:r w:rsidRPr="00963614">
              <w:rPr>
                <w:rFonts w:ascii="Arial Narrow" w:hAnsi="Arial Narrow"/>
                <w:sz w:val="20"/>
              </w:rPr>
              <w:t>)</w:t>
            </w:r>
          </w:p>
          <w:p w:rsidR="00CA537A" w:rsidRPr="00D80E04" w:rsidRDefault="00CA537A" w:rsidP="00323E7A">
            <w:pPr>
              <w:keepNext/>
              <w:widowControl/>
              <w:rPr>
                <w:rFonts w:ascii="Arial Narrow" w:hAnsi="Arial Narrow"/>
                <w:sz w:val="20"/>
              </w:rPr>
            </w:pPr>
            <w:r w:rsidRPr="00963614">
              <w:rPr>
                <w:rFonts w:ascii="Arial Narrow" w:hAnsi="Arial Narrow"/>
                <w:sz w:val="20"/>
              </w:rPr>
              <w:t>$</w:t>
            </w:r>
            <w:r w:rsidR="00930DE3">
              <w:rPr>
                <w:rFonts w:ascii="Arial Narrow" w:hAnsi="Arial Narrow"/>
                <w:noProof/>
                <w:color w:val="000000"/>
                <w:sz w:val="20"/>
                <w:highlight w:val="black"/>
              </w:rPr>
              <w:t>'''''''''''''''''''''''''</w:t>
            </w:r>
            <w:r w:rsidRPr="00963614">
              <w:rPr>
                <w:rFonts w:ascii="Arial Narrow" w:hAnsi="Arial Narrow"/>
                <w:sz w:val="20"/>
              </w:rPr>
              <w:t xml:space="preserve"> (private</w:t>
            </w:r>
            <w:r w:rsidR="005C7773" w:rsidRPr="00963614">
              <w:rPr>
                <w:rFonts w:ascii="Arial Narrow" w:hAnsi="Arial Narrow"/>
                <w:sz w:val="20"/>
              </w:rPr>
              <w:t xml:space="preserve"> effective price</w:t>
            </w:r>
            <w:r w:rsidRPr="00963614">
              <w:rPr>
                <w:rFonts w:ascii="Arial Narrow" w:hAnsi="Arial Narrow"/>
                <w:sz w:val="20"/>
              </w:rPr>
              <w:t>)</w:t>
            </w:r>
          </w:p>
        </w:tc>
        <w:tc>
          <w:tcPr>
            <w:tcW w:w="593" w:type="pct"/>
          </w:tcPr>
          <w:p w:rsidR="00A054F8" w:rsidRPr="00D80E04" w:rsidRDefault="00A054F8" w:rsidP="00323E7A">
            <w:pPr>
              <w:keepNext/>
              <w:widowControl/>
              <w:ind w:right="17"/>
              <w:rPr>
                <w:rFonts w:ascii="Arial Narrow" w:hAnsi="Arial Narrow"/>
                <w:sz w:val="20"/>
              </w:rPr>
            </w:pPr>
          </w:p>
          <w:p w:rsidR="00A054F8" w:rsidRPr="00D80E04" w:rsidRDefault="00A054F8" w:rsidP="00323E7A">
            <w:pPr>
              <w:keepNext/>
              <w:widowControl/>
              <w:ind w:right="17"/>
              <w:rPr>
                <w:rFonts w:ascii="Arial Narrow" w:hAnsi="Arial Narrow"/>
                <w:sz w:val="20"/>
              </w:rPr>
            </w:pPr>
            <w:r>
              <w:rPr>
                <w:rFonts w:ascii="Arial Narrow" w:hAnsi="Arial Narrow"/>
                <w:sz w:val="20"/>
              </w:rPr>
              <w:t>Opdivo</w:t>
            </w:r>
            <w:r w:rsidR="007C692B" w:rsidRPr="007C692B">
              <w:rPr>
                <w:rFonts w:ascii="Arial Narrow" w:hAnsi="Arial Narrow"/>
                <w:sz w:val="20"/>
                <w:vertAlign w:val="superscript"/>
              </w:rPr>
              <w:t>®</w:t>
            </w:r>
          </w:p>
        </w:tc>
        <w:tc>
          <w:tcPr>
            <w:tcW w:w="339" w:type="pct"/>
          </w:tcPr>
          <w:p w:rsidR="00A054F8" w:rsidRPr="00D80E04" w:rsidRDefault="00A054F8" w:rsidP="00323E7A">
            <w:pPr>
              <w:keepNext/>
              <w:widowControl/>
              <w:ind w:left="116" w:right="17" w:hanging="116"/>
              <w:rPr>
                <w:rFonts w:ascii="Arial Narrow" w:hAnsi="Arial Narrow"/>
                <w:sz w:val="20"/>
              </w:rPr>
            </w:pPr>
          </w:p>
          <w:p w:rsidR="00A054F8" w:rsidRPr="00D80E04" w:rsidRDefault="00A054F8" w:rsidP="00323E7A">
            <w:pPr>
              <w:keepNext/>
              <w:widowControl/>
              <w:ind w:left="116" w:right="17" w:hanging="116"/>
              <w:rPr>
                <w:rFonts w:ascii="Arial Narrow" w:hAnsi="Arial Narrow"/>
                <w:sz w:val="20"/>
              </w:rPr>
            </w:pPr>
            <w:r>
              <w:rPr>
                <w:rFonts w:ascii="Arial Narrow" w:hAnsi="Arial Narrow"/>
                <w:sz w:val="20"/>
              </w:rPr>
              <w:t>BQ</w:t>
            </w:r>
          </w:p>
        </w:tc>
      </w:tr>
    </w:tbl>
    <w:p w:rsidR="00A054F8" w:rsidRDefault="00A054F8" w:rsidP="00323E7A">
      <w:pPr>
        <w:widowControl/>
        <w:rPr>
          <w:szCs w:val="22"/>
        </w:rPr>
      </w:pPr>
    </w:p>
    <w:tbl>
      <w:tblPr>
        <w:tblW w:w="8363" w:type="dxa"/>
        <w:tblInd w:w="817" w:type="dxa"/>
        <w:tblLayout w:type="fixed"/>
        <w:tblLook w:val="0000" w:firstRow="0" w:lastRow="0" w:firstColumn="0" w:lastColumn="0" w:noHBand="0" w:noVBand="0"/>
      </w:tblPr>
      <w:tblGrid>
        <w:gridCol w:w="2835"/>
        <w:gridCol w:w="5528"/>
      </w:tblGrid>
      <w:tr w:rsidR="00320333" w:rsidRPr="00260CE3" w:rsidTr="00980106">
        <w:trPr>
          <w:cantSplit/>
          <w:trHeight w:val="360"/>
        </w:trPr>
        <w:tc>
          <w:tcPr>
            <w:tcW w:w="8363" w:type="dxa"/>
            <w:gridSpan w:val="2"/>
            <w:tcBorders>
              <w:bottom w:val="single" w:sz="4" w:space="0" w:color="auto"/>
            </w:tcBorders>
          </w:tcPr>
          <w:p w:rsidR="00320333" w:rsidRPr="00645903" w:rsidRDefault="00320333" w:rsidP="00323E7A">
            <w:pPr>
              <w:widowControl/>
              <w:ind w:left="-108"/>
              <w:rPr>
                <w:rFonts w:ascii="Arial Narrow" w:hAnsi="Arial Narrow"/>
                <w:b/>
                <w:i/>
                <w:sz w:val="20"/>
                <w:szCs w:val="20"/>
              </w:rPr>
            </w:pPr>
            <w:r>
              <w:rPr>
                <w:rFonts w:ascii="Arial Narrow" w:hAnsi="Arial Narrow"/>
                <w:b/>
                <w:i/>
                <w:sz w:val="20"/>
                <w:szCs w:val="20"/>
              </w:rPr>
              <w:t xml:space="preserve">Initial treatment - </w:t>
            </w:r>
            <w:r w:rsidRPr="00645903">
              <w:rPr>
                <w:rFonts w:ascii="Arial Narrow" w:hAnsi="Arial Narrow"/>
                <w:b/>
                <w:i/>
                <w:sz w:val="20"/>
                <w:szCs w:val="20"/>
              </w:rPr>
              <w:t>BRAF V600 mutation negative</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Category / Program</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sidRPr="00260CE3">
              <w:rPr>
                <w:rFonts w:ascii="Arial Narrow" w:hAnsi="Arial Narrow"/>
                <w:sz w:val="20"/>
                <w:szCs w:val="20"/>
              </w:rPr>
              <w:t xml:space="preserve">Section 100 – </w:t>
            </w:r>
            <w:r>
              <w:rPr>
                <w:rFonts w:ascii="Arial Narrow" w:hAnsi="Arial Narrow"/>
                <w:sz w:val="20"/>
                <w:szCs w:val="20"/>
              </w:rPr>
              <w:t xml:space="preserve">Efficient Funding of </w:t>
            </w:r>
            <w:r w:rsidRPr="00260CE3">
              <w:rPr>
                <w:rFonts w:ascii="Arial Narrow" w:hAnsi="Arial Narrow"/>
                <w:sz w:val="20"/>
                <w:szCs w:val="20"/>
              </w:rPr>
              <w:t>Chemotherapy</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Prescriber type:</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6E129E" w:rsidP="00323E7A">
            <w:pPr>
              <w:widowControl/>
              <w:rPr>
                <w:rFonts w:ascii="Arial Narrow" w:hAnsi="Arial Narrow"/>
                <w:sz w:val="20"/>
                <w:szCs w:val="20"/>
              </w:rPr>
            </w:pPr>
            <w:r w:rsidRPr="00260CE3">
              <w:rPr>
                <w:rFonts w:ascii="Arial Narrow" w:hAnsi="Arial Narrow"/>
                <w:sz w:val="20"/>
                <w:szCs w:val="20"/>
              </w:rPr>
              <w:fldChar w:fldCharType="begin">
                <w:ffData>
                  <w:name w:val="Check1"/>
                  <w:enabled/>
                  <w:calcOnExit w:val="0"/>
                  <w:checkBox>
                    <w:sizeAuto/>
                    <w:default w:val="0"/>
                  </w:checkBox>
                </w:ffData>
              </w:fldChar>
            </w:r>
            <w:r w:rsidR="00320333" w:rsidRPr="00260CE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260CE3">
              <w:rPr>
                <w:rFonts w:ascii="Arial Narrow" w:hAnsi="Arial Narrow"/>
                <w:sz w:val="20"/>
                <w:szCs w:val="20"/>
              </w:rPr>
              <w:fldChar w:fldCharType="end"/>
            </w:r>
            <w:r w:rsidR="00320333" w:rsidRPr="00260CE3">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sidR="0032033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Pr>
                <w:rFonts w:ascii="Arial Narrow" w:hAnsi="Arial Narrow"/>
                <w:sz w:val="20"/>
                <w:szCs w:val="20"/>
              </w:rPr>
              <w:fldChar w:fldCharType="end"/>
            </w:r>
            <w:r w:rsidR="00320333" w:rsidRPr="00260CE3">
              <w:rPr>
                <w:rFonts w:ascii="Arial Narrow" w:hAnsi="Arial Narrow"/>
                <w:sz w:val="20"/>
                <w:szCs w:val="20"/>
              </w:rPr>
              <w:t xml:space="preserve">Medical Practitioners  </w:t>
            </w:r>
            <w:r w:rsidRPr="00260CE3">
              <w:rPr>
                <w:rFonts w:ascii="Arial Narrow" w:hAnsi="Arial Narrow"/>
                <w:sz w:val="20"/>
                <w:szCs w:val="20"/>
              </w:rPr>
              <w:fldChar w:fldCharType="begin">
                <w:ffData>
                  <w:name w:val="Check3"/>
                  <w:enabled/>
                  <w:calcOnExit w:val="0"/>
                  <w:checkBox>
                    <w:sizeAuto/>
                    <w:default w:val="0"/>
                  </w:checkBox>
                </w:ffData>
              </w:fldChar>
            </w:r>
            <w:r w:rsidR="00320333" w:rsidRPr="00260CE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260CE3">
              <w:rPr>
                <w:rFonts w:ascii="Arial Narrow" w:hAnsi="Arial Narrow"/>
                <w:sz w:val="20"/>
                <w:szCs w:val="20"/>
              </w:rPr>
              <w:fldChar w:fldCharType="end"/>
            </w:r>
            <w:r w:rsidR="00320333" w:rsidRPr="00260CE3">
              <w:rPr>
                <w:rFonts w:ascii="Arial Narrow" w:hAnsi="Arial Narrow"/>
                <w:sz w:val="20"/>
                <w:szCs w:val="20"/>
              </w:rPr>
              <w:t xml:space="preserve">Nurse practitioners  </w:t>
            </w:r>
            <w:r w:rsidRPr="00260CE3">
              <w:rPr>
                <w:rFonts w:ascii="Arial Narrow" w:hAnsi="Arial Narrow"/>
                <w:sz w:val="20"/>
                <w:szCs w:val="20"/>
              </w:rPr>
              <w:fldChar w:fldCharType="begin">
                <w:ffData>
                  <w:name w:val=""/>
                  <w:enabled/>
                  <w:calcOnExit w:val="0"/>
                  <w:checkBox>
                    <w:sizeAuto/>
                    <w:default w:val="0"/>
                  </w:checkBox>
                </w:ffData>
              </w:fldChar>
            </w:r>
            <w:r w:rsidR="00320333" w:rsidRPr="00260CE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260CE3">
              <w:rPr>
                <w:rFonts w:ascii="Arial Narrow" w:hAnsi="Arial Narrow"/>
                <w:sz w:val="20"/>
                <w:szCs w:val="20"/>
              </w:rPr>
              <w:fldChar w:fldCharType="end"/>
            </w:r>
            <w:r w:rsidR="00320333" w:rsidRPr="00260CE3">
              <w:rPr>
                <w:rFonts w:ascii="Arial Narrow" w:hAnsi="Arial Narrow"/>
                <w:sz w:val="20"/>
                <w:szCs w:val="20"/>
              </w:rPr>
              <w:t>Optometrists</w:t>
            </w:r>
            <w:r w:rsidR="0043765A">
              <w:rPr>
                <w:rFonts w:ascii="Arial Narrow" w:hAnsi="Arial Narrow"/>
                <w:sz w:val="20"/>
                <w:szCs w:val="20"/>
              </w:rPr>
              <w:t xml:space="preserve">  </w:t>
            </w:r>
            <w:r w:rsidRPr="00260CE3">
              <w:rPr>
                <w:rFonts w:ascii="Arial Narrow" w:hAnsi="Arial Narrow"/>
                <w:sz w:val="20"/>
                <w:szCs w:val="20"/>
              </w:rPr>
              <w:fldChar w:fldCharType="begin">
                <w:ffData>
                  <w:name w:val="Check5"/>
                  <w:enabled/>
                  <w:calcOnExit w:val="0"/>
                  <w:checkBox>
                    <w:sizeAuto/>
                    <w:default w:val="0"/>
                  </w:checkBox>
                </w:ffData>
              </w:fldChar>
            </w:r>
            <w:r w:rsidR="00320333" w:rsidRPr="00260CE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260CE3">
              <w:rPr>
                <w:rFonts w:ascii="Arial Narrow" w:hAnsi="Arial Narrow"/>
                <w:sz w:val="20"/>
                <w:szCs w:val="20"/>
              </w:rPr>
              <w:fldChar w:fldCharType="end"/>
            </w:r>
            <w:r w:rsidR="00320333" w:rsidRPr="00260CE3">
              <w:rPr>
                <w:rFonts w:ascii="Arial Narrow" w:hAnsi="Arial Narrow"/>
                <w:sz w:val="20"/>
                <w:szCs w:val="20"/>
              </w:rPr>
              <w:t>Midwives</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Episodicity:</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Severity:</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Unresectable Stage III or Stage IV</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Condition:</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Malignant melanoma</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PBS Indication:</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Unresectable Stage III or Stage IV malignant melanoma</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C0121C" w:rsidRDefault="00320333" w:rsidP="00323E7A">
            <w:pPr>
              <w:widowControl/>
              <w:rPr>
                <w:rFonts w:ascii="Arial Narrow" w:hAnsi="Arial Narrow"/>
                <w:b/>
                <w:sz w:val="20"/>
                <w:szCs w:val="20"/>
              </w:rPr>
            </w:pPr>
            <w:r w:rsidRPr="00260CE3">
              <w:rPr>
                <w:rFonts w:ascii="Arial Narrow" w:hAnsi="Arial Narrow"/>
                <w:b/>
                <w:sz w:val="20"/>
                <w:szCs w:val="20"/>
              </w:rPr>
              <w:t>Treatment phase:</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Initial</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C0121C" w:rsidRDefault="00320333" w:rsidP="00323E7A">
            <w:pPr>
              <w:widowControl/>
              <w:rPr>
                <w:rFonts w:ascii="Arial Narrow" w:hAnsi="Arial Narrow"/>
                <w:b/>
                <w:sz w:val="20"/>
                <w:szCs w:val="20"/>
              </w:rPr>
            </w:pPr>
            <w:r w:rsidRPr="00260CE3">
              <w:rPr>
                <w:rFonts w:ascii="Arial Narrow" w:hAnsi="Arial Narrow"/>
                <w:b/>
                <w:sz w:val="20"/>
                <w:szCs w:val="20"/>
              </w:rPr>
              <w:t>Restriction</w:t>
            </w:r>
            <w:r>
              <w:rPr>
                <w:rFonts w:ascii="Arial Narrow" w:hAnsi="Arial Narrow"/>
                <w:b/>
                <w:sz w:val="20"/>
                <w:szCs w:val="20"/>
              </w:rPr>
              <w:t xml:space="preserve"> Level / Method</w:t>
            </w:r>
            <w:r w:rsidRPr="00260CE3">
              <w:rPr>
                <w:rFonts w:ascii="Arial Narrow" w:hAnsi="Arial Narrow"/>
                <w:b/>
                <w:sz w:val="20"/>
                <w:szCs w:val="20"/>
              </w:rPr>
              <w:t>:</w:t>
            </w:r>
          </w:p>
        </w:tc>
        <w:tc>
          <w:tcPr>
            <w:tcW w:w="5528" w:type="dxa"/>
            <w:tcBorders>
              <w:top w:val="single" w:sz="4" w:space="0" w:color="auto"/>
              <w:left w:val="single" w:sz="4" w:space="0" w:color="auto"/>
              <w:bottom w:val="single" w:sz="4" w:space="0" w:color="auto"/>
              <w:right w:val="single" w:sz="4" w:space="0" w:color="auto"/>
            </w:tcBorders>
          </w:tcPr>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Check1"/>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Restricted benefit</w:t>
            </w:r>
          </w:p>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Authority Required - In Writing</w:t>
            </w:r>
          </w:p>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Check3"/>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Authority Required - Telephone</w:t>
            </w:r>
          </w:p>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 xml:space="preserve">Authority Required </w:t>
            </w:r>
            <w:r w:rsidR="00320333">
              <w:rPr>
                <w:rFonts w:ascii="Arial Narrow" w:hAnsi="Arial Narrow"/>
                <w:sz w:val="20"/>
                <w:szCs w:val="20"/>
              </w:rPr>
              <w:t>-</w:t>
            </w:r>
            <w:r w:rsidR="00320333" w:rsidRPr="00106BCF">
              <w:rPr>
                <w:rFonts w:ascii="Arial Narrow" w:hAnsi="Arial Narrow"/>
                <w:sz w:val="20"/>
                <w:szCs w:val="20"/>
              </w:rPr>
              <w:t xml:space="preserve"> Emergency</w:t>
            </w:r>
          </w:p>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Check5"/>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Authority Required - Electronic</w:t>
            </w:r>
          </w:p>
          <w:p w:rsidR="00320333" w:rsidRPr="00260CE3" w:rsidRDefault="006E129E" w:rsidP="00323E7A">
            <w:pPr>
              <w:widowControl/>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1"/>
                  </w:checkBox>
                </w:ffData>
              </w:fldChar>
            </w:r>
            <w:bookmarkStart w:id="3" w:name="Check5"/>
            <w:r w:rsidR="0032033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Pr>
                <w:rFonts w:ascii="Arial Narrow" w:hAnsi="Arial Narrow"/>
                <w:sz w:val="20"/>
                <w:szCs w:val="20"/>
              </w:rPr>
              <w:fldChar w:fldCharType="end"/>
            </w:r>
            <w:bookmarkEnd w:id="3"/>
            <w:r w:rsidR="00320333" w:rsidRPr="00106BCF">
              <w:rPr>
                <w:rFonts w:ascii="Arial Narrow" w:hAnsi="Arial Narrow"/>
                <w:sz w:val="20"/>
                <w:szCs w:val="20"/>
              </w:rPr>
              <w:t>Streamlined</w:t>
            </w:r>
          </w:p>
        </w:tc>
      </w:tr>
      <w:tr w:rsidR="00320333" w:rsidRPr="00260CE3" w:rsidTr="00980106">
        <w:trPr>
          <w:cantSplit/>
          <w:trHeight w:val="2542"/>
        </w:trPr>
        <w:tc>
          <w:tcPr>
            <w:tcW w:w="2835" w:type="dxa"/>
            <w:tcBorders>
              <w:top w:val="single" w:sz="4" w:space="0" w:color="auto"/>
              <w:left w:val="single" w:sz="4" w:space="0" w:color="auto"/>
              <w:bottom w:val="single" w:sz="4" w:space="0" w:color="auto"/>
              <w:right w:val="single" w:sz="4" w:space="0" w:color="auto"/>
            </w:tcBorders>
          </w:tcPr>
          <w:p w:rsidR="00320333" w:rsidRPr="00044AC5" w:rsidRDefault="00320333" w:rsidP="00323E7A">
            <w:pPr>
              <w:widowControl/>
              <w:rPr>
                <w:rFonts w:ascii="Arial Narrow" w:hAnsi="Arial Narrow"/>
                <w:b/>
                <w:sz w:val="20"/>
                <w:szCs w:val="20"/>
              </w:rPr>
            </w:pPr>
            <w:r w:rsidRPr="00260CE3">
              <w:rPr>
                <w:rFonts w:ascii="Arial Narrow" w:hAnsi="Arial Narrow"/>
                <w:b/>
                <w:sz w:val="20"/>
                <w:szCs w:val="20"/>
              </w:rPr>
              <w:lastRenderedPageBreak/>
              <w:t>Clinical criteria:</w:t>
            </w:r>
          </w:p>
        </w:tc>
        <w:tc>
          <w:tcPr>
            <w:tcW w:w="5528" w:type="dxa"/>
            <w:tcBorders>
              <w:top w:val="single" w:sz="4" w:space="0" w:color="auto"/>
              <w:left w:val="single" w:sz="4" w:space="0" w:color="auto"/>
              <w:bottom w:val="single" w:sz="4" w:space="0" w:color="auto"/>
              <w:right w:val="single" w:sz="4" w:space="0" w:color="auto"/>
            </w:tcBorders>
          </w:tcPr>
          <w:p w:rsidR="00320333" w:rsidRPr="00C0121C" w:rsidRDefault="00320333" w:rsidP="00323E7A">
            <w:pPr>
              <w:widowControl/>
              <w:rPr>
                <w:rFonts w:ascii="Arial Narrow" w:hAnsi="Arial Narrow"/>
                <w:sz w:val="20"/>
                <w:szCs w:val="20"/>
              </w:rPr>
            </w:pPr>
            <w:r>
              <w:rPr>
                <w:rFonts w:ascii="Arial Narrow" w:hAnsi="Arial Narrow"/>
                <w:sz w:val="20"/>
                <w:szCs w:val="20"/>
              </w:rPr>
              <w:t>The t</w:t>
            </w:r>
            <w:r w:rsidRPr="00C0121C">
              <w:rPr>
                <w:rFonts w:ascii="Arial Narrow" w:hAnsi="Arial Narrow"/>
                <w:sz w:val="20"/>
                <w:szCs w:val="20"/>
              </w:rPr>
              <w:t>reatment must be the sole PBS-subsidised therapy for this condition</w:t>
            </w:r>
          </w:p>
          <w:p w:rsidR="00320333" w:rsidRPr="00C0121C" w:rsidRDefault="00320333" w:rsidP="00323E7A">
            <w:pPr>
              <w:widowControl/>
              <w:rPr>
                <w:rFonts w:ascii="Arial Narrow" w:hAnsi="Arial Narrow"/>
                <w:sz w:val="20"/>
                <w:szCs w:val="20"/>
              </w:rPr>
            </w:pPr>
          </w:p>
          <w:p w:rsidR="00320333" w:rsidRPr="00C0121C" w:rsidRDefault="00320333" w:rsidP="00323E7A">
            <w:pPr>
              <w:widowControl/>
              <w:rPr>
                <w:rFonts w:ascii="Arial Narrow" w:hAnsi="Arial Narrow"/>
                <w:sz w:val="20"/>
                <w:szCs w:val="20"/>
              </w:rPr>
            </w:pPr>
            <w:r w:rsidRPr="00C0121C">
              <w:rPr>
                <w:rFonts w:ascii="Arial Narrow" w:hAnsi="Arial Narrow"/>
                <w:sz w:val="20"/>
                <w:szCs w:val="20"/>
              </w:rPr>
              <w:t>AND</w:t>
            </w:r>
          </w:p>
          <w:p w:rsidR="00320333" w:rsidRPr="00C0121C" w:rsidRDefault="00320333" w:rsidP="00323E7A">
            <w:pPr>
              <w:widowControl/>
              <w:rPr>
                <w:rFonts w:ascii="Arial Narrow" w:hAnsi="Arial Narrow"/>
                <w:sz w:val="20"/>
                <w:szCs w:val="20"/>
              </w:rPr>
            </w:pPr>
          </w:p>
          <w:p w:rsidR="00320333" w:rsidRDefault="00320333" w:rsidP="00323E7A">
            <w:pPr>
              <w:widowControl/>
              <w:rPr>
                <w:rFonts w:ascii="Arial Narrow" w:hAnsi="Arial Narrow"/>
                <w:sz w:val="20"/>
                <w:szCs w:val="20"/>
              </w:rPr>
            </w:pPr>
            <w:r w:rsidRPr="00A715A4">
              <w:rPr>
                <w:rFonts w:ascii="Arial Narrow" w:hAnsi="Arial Narrow"/>
                <w:sz w:val="20"/>
                <w:szCs w:val="20"/>
              </w:rPr>
              <w:t xml:space="preserve">The condition must not have been treated previously with </w:t>
            </w:r>
            <w:r>
              <w:rPr>
                <w:rFonts w:ascii="Arial Narrow" w:hAnsi="Arial Narrow"/>
                <w:i/>
                <w:sz w:val="20"/>
                <w:szCs w:val="20"/>
              </w:rPr>
              <w:t>a PD-1 inhibitor</w:t>
            </w:r>
            <w:r w:rsidR="0043765A">
              <w:rPr>
                <w:rFonts w:ascii="Arial Narrow" w:hAnsi="Arial Narrow"/>
                <w:i/>
                <w:sz w:val="20"/>
                <w:szCs w:val="20"/>
              </w:rPr>
              <w:t xml:space="preserve"> </w:t>
            </w:r>
            <w:r w:rsidRPr="00A715A4">
              <w:rPr>
                <w:rFonts w:ascii="Arial Narrow" w:hAnsi="Arial Narrow"/>
                <w:strike/>
                <w:sz w:val="20"/>
                <w:szCs w:val="20"/>
              </w:rPr>
              <w:t>nivolumab</w:t>
            </w:r>
            <w:r>
              <w:rPr>
                <w:rFonts w:ascii="Arial Narrow" w:hAnsi="Arial Narrow"/>
                <w:sz w:val="20"/>
                <w:szCs w:val="20"/>
              </w:rPr>
              <w:t xml:space="preserve">; </w:t>
            </w:r>
            <w:r w:rsidRPr="00F663C6">
              <w:rPr>
                <w:rFonts w:ascii="Arial Narrow" w:hAnsi="Arial Narrow"/>
                <w:i/>
                <w:sz w:val="20"/>
                <w:szCs w:val="20"/>
              </w:rPr>
              <w:t>OR</w:t>
            </w:r>
          </w:p>
          <w:p w:rsidR="00320333" w:rsidRPr="00F663C6" w:rsidRDefault="00320333" w:rsidP="00323E7A">
            <w:pPr>
              <w:widowControl/>
              <w:rPr>
                <w:rFonts w:ascii="Arial Narrow" w:hAnsi="Arial Narrow"/>
                <w:i/>
                <w:sz w:val="20"/>
                <w:szCs w:val="20"/>
              </w:rPr>
            </w:pPr>
            <w:r w:rsidRPr="00F663C6">
              <w:rPr>
                <w:rFonts w:ascii="Arial Narrow" w:hAnsi="Arial Narrow"/>
                <w:i/>
                <w:sz w:val="20"/>
                <w:szCs w:val="20"/>
              </w:rPr>
              <w:t xml:space="preserve">Patient must have developed intolerance to another </w:t>
            </w:r>
            <w:r>
              <w:rPr>
                <w:rFonts w:ascii="Arial Narrow" w:hAnsi="Arial Narrow"/>
                <w:i/>
                <w:sz w:val="20"/>
                <w:szCs w:val="20"/>
              </w:rPr>
              <w:t>PD-1</w:t>
            </w:r>
            <w:r w:rsidRPr="00F663C6">
              <w:rPr>
                <w:rFonts w:ascii="Arial Narrow" w:hAnsi="Arial Narrow"/>
                <w:i/>
                <w:sz w:val="20"/>
                <w:szCs w:val="20"/>
              </w:rPr>
              <w:t xml:space="preserve"> inhibitor of a severity necessitating permanent treatment withdrawal</w:t>
            </w:r>
          </w:p>
          <w:p w:rsidR="00320333" w:rsidRDefault="00320333" w:rsidP="00323E7A">
            <w:pPr>
              <w:widowControl/>
              <w:rPr>
                <w:rFonts w:ascii="Arial Narrow" w:hAnsi="Arial Narrow"/>
                <w:sz w:val="20"/>
                <w:szCs w:val="20"/>
              </w:rPr>
            </w:pPr>
          </w:p>
          <w:p w:rsidR="00320333" w:rsidRDefault="00320333" w:rsidP="00323E7A">
            <w:pPr>
              <w:widowControl/>
              <w:rPr>
                <w:rFonts w:ascii="Arial Narrow" w:hAnsi="Arial Narrow"/>
                <w:i/>
                <w:sz w:val="20"/>
                <w:szCs w:val="20"/>
              </w:rPr>
            </w:pPr>
            <w:r>
              <w:rPr>
                <w:rFonts w:ascii="Arial Narrow" w:hAnsi="Arial Narrow"/>
                <w:i/>
                <w:sz w:val="20"/>
                <w:szCs w:val="20"/>
              </w:rPr>
              <w:t>AND</w:t>
            </w:r>
          </w:p>
          <w:p w:rsidR="00320333" w:rsidRDefault="00320333" w:rsidP="00323E7A">
            <w:pPr>
              <w:widowControl/>
              <w:rPr>
                <w:rFonts w:ascii="Arial Narrow" w:hAnsi="Arial Narrow"/>
                <w:i/>
                <w:sz w:val="20"/>
                <w:szCs w:val="20"/>
              </w:rPr>
            </w:pPr>
          </w:p>
          <w:p w:rsidR="00320333" w:rsidRPr="00D40D7C" w:rsidRDefault="00320333" w:rsidP="00323E7A">
            <w:pPr>
              <w:widowControl/>
              <w:rPr>
                <w:rFonts w:ascii="Arial Narrow" w:hAnsi="Arial Narrow"/>
                <w:i/>
                <w:sz w:val="20"/>
                <w:szCs w:val="20"/>
              </w:rPr>
            </w:pPr>
            <w:r>
              <w:rPr>
                <w:rFonts w:ascii="Arial Narrow" w:hAnsi="Arial Narrow"/>
                <w:i/>
                <w:sz w:val="20"/>
                <w:szCs w:val="20"/>
              </w:rPr>
              <w:t>The condition</w:t>
            </w:r>
            <w:r w:rsidRPr="00D40D7C">
              <w:rPr>
                <w:rFonts w:ascii="Arial Narrow" w:hAnsi="Arial Narrow"/>
                <w:i/>
                <w:sz w:val="20"/>
                <w:szCs w:val="20"/>
              </w:rPr>
              <w:t xml:space="preserve"> must be n</w:t>
            </w:r>
            <w:r>
              <w:rPr>
                <w:rFonts w:ascii="Arial Narrow" w:hAnsi="Arial Narrow"/>
                <w:i/>
                <w:sz w:val="20"/>
                <w:szCs w:val="20"/>
              </w:rPr>
              <w:t>egative for a BRAF V600 mutation</w:t>
            </w:r>
            <w:r w:rsidR="0043765A">
              <w:rPr>
                <w:rFonts w:ascii="Arial Narrow" w:hAnsi="Arial Narrow"/>
                <w:i/>
                <w:sz w:val="20"/>
                <w:szCs w:val="20"/>
              </w:rPr>
              <w:t>.</w:t>
            </w:r>
          </w:p>
        </w:tc>
      </w:tr>
      <w:tr w:rsidR="00320333" w:rsidRPr="00260CE3" w:rsidTr="00980106">
        <w:trPr>
          <w:cantSplit/>
          <w:trHeight w:val="508"/>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sidRPr="00260CE3">
              <w:rPr>
                <w:rFonts w:ascii="Arial Narrow" w:hAnsi="Arial Narrow"/>
                <w:b/>
                <w:sz w:val="20"/>
                <w:szCs w:val="20"/>
              </w:rPr>
              <w:t>Prescriber Instructions</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sidRPr="00C0121C">
              <w:rPr>
                <w:rFonts w:ascii="Arial Narrow" w:hAnsi="Arial Narrow"/>
                <w:sz w:val="20"/>
                <w:szCs w:val="20"/>
              </w:rPr>
              <w:t>The patient’s body weight must be documented in the patient’s medical records at the time treatment is initiated.</w:t>
            </w:r>
          </w:p>
        </w:tc>
      </w:tr>
      <w:tr w:rsidR="00320333" w:rsidRPr="00260CE3" w:rsidTr="0043765A">
        <w:trPr>
          <w:cantSplit/>
          <w:trHeight w:val="1201"/>
        </w:trPr>
        <w:tc>
          <w:tcPr>
            <w:tcW w:w="2835" w:type="dxa"/>
            <w:tcBorders>
              <w:top w:val="single" w:sz="4" w:space="0" w:color="auto"/>
              <w:left w:val="single" w:sz="4" w:space="0" w:color="auto"/>
              <w:bottom w:val="single" w:sz="4" w:space="0" w:color="auto"/>
              <w:right w:val="single" w:sz="4" w:space="0" w:color="auto"/>
            </w:tcBorders>
          </w:tcPr>
          <w:p w:rsidR="00320333" w:rsidRPr="00C0121C" w:rsidRDefault="00320333" w:rsidP="00323E7A">
            <w:pPr>
              <w:widowControl/>
              <w:rPr>
                <w:rFonts w:ascii="Arial Narrow" w:hAnsi="Arial Narrow"/>
                <w:b/>
                <w:sz w:val="20"/>
                <w:szCs w:val="20"/>
              </w:rPr>
            </w:pPr>
            <w:r w:rsidRPr="00260CE3">
              <w:rPr>
                <w:rFonts w:ascii="Arial Narrow" w:hAnsi="Arial Narrow"/>
                <w:b/>
                <w:sz w:val="20"/>
                <w:szCs w:val="20"/>
              </w:rPr>
              <w:t>Administrative Advice</w:t>
            </w:r>
          </w:p>
        </w:tc>
        <w:tc>
          <w:tcPr>
            <w:tcW w:w="5528" w:type="dxa"/>
            <w:tcBorders>
              <w:top w:val="single" w:sz="4" w:space="0" w:color="auto"/>
              <w:left w:val="single" w:sz="4" w:space="0" w:color="auto"/>
              <w:bottom w:val="single" w:sz="4" w:space="0" w:color="auto"/>
              <w:right w:val="single" w:sz="4" w:space="0" w:color="auto"/>
            </w:tcBorders>
          </w:tcPr>
          <w:p w:rsidR="00320333" w:rsidRDefault="00320333" w:rsidP="00323E7A">
            <w:pPr>
              <w:widowControl/>
              <w:rPr>
                <w:rFonts w:ascii="Arial Narrow" w:hAnsi="Arial Narrow"/>
                <w:strike/>
                <w:sz w:val="20"/>
                <w:szCs w:val="20"/>
              </w:rPr>
            </w:pPr>
            <w:r w:rsidRPr="00C0121C">
              <w:rPr>
                <w:rFonts w:ascii="Arial Narrow" w:hAnsi="Arial Narrow"/>
                <w:strike/>
                <w:sz w:val="20"/>
                <w:szCs w:val="20"/>
              </w:rPr>
              <w:t>The recommended dose of nivolumab is 3 mg/kg administered intravenously over 60 minutes every 2 weeks.</w:t>
            </w:r>
          </w:p>
          <w:p w:rsidR="00320333" w:rsidRDefault="00320333" w:rsidP="00323E7A">
            <w:pPr>
              <w:widowControl/>
              <w:rPr>
                <w:rFonts w:ascii="Arial Narrow" w:hAnsi="Arial Narrow"/>
                <w:i/>
                <w:sz w:val="20"/>
                <w:szCs w:val="20"/>
              </w:rPr>
            </w:pPr>
            <w:r w:rsidRPr="00C5156F">
              <w:rPr>
                <w:rFonts w:ascii="Arial Narrow" w:hAnsi="Arial Narrow"/>
                <w:i/>
                <w:sz w:val="20"/>
                <w:szCs w:val="20"/>
              </w:rPr>
              <w:t>No increase in the maximum number of repeats may be authorised.</w:t>
            </w:r>
          </w:p>
          <w:p w:rsidR="00320333" w:rsidRDefault="00320333" w:rsidP="00323E7A">
            <w:pPr>
              <w:widowControl/>
              <w:rPr>
                <w:rFonts w:ascii="Arial Narrow" w:hAnsi="Arial Narrow"/>
                <w:i/>
                <w:sz w:val="20"/>
                <w:szCs w:val="20"/>
              </w:rPr>
            </w:pPr>
          </w:p>
          <w:p w:rsidR="00320333" w:rsidRPr="00E21DAB" w:rsidRDefault="00320333" w:rsidP="00323E7A">
            <w:pPr>
              <w:widowControl/>
              <w:rPr>
                <w:rFonts w:ascii="Arial Narrow" w:hAnsi="Arial Narrow"/>
                <w:i/>
                <w:sz w:val="20"/>
                <w:szCs w:val="20"/>
              </w:rPr>
            </w:pPr>
            <w:r w:rsidRPr="00C5156F">
              <w:rPr>
                <w:rFonts w:ascii="Arial Narrow" w:hAnsi="Arial Narrow"/>
                <w:i/>
                <w:sz w:val="20"/>
                <w:szCs w:val="20"/>
              </w:rPr>
              <w:t>Special Pricing Arrangements apply.</w:t>
            </w:r>
          </w:p>
        </w:tc>
      </w:tr>
    </w:tbl>
    <w:p w:rsidR="00320333" w:rsidRDefault="00320333" w:rsidP="00323E7A">
      <w:pPr>
        <w:widowControl/>
        <w:rPr>
          <w:szCs w:val="22"/>
        </w:rPr>
      </w:pPr>
    </w:p>
    <w:p w:rsidR="00320333" w:rsidRDefault="00320333" w:rsidP="00323E7A">
      <w:pPr>
        <w:widowControl/>
        <w:ind w:firstLine="720"/>
        <w:rPr>
          <w:szCs w:val="22"/>
        </w:rPr>
      </w:pPr>
      <w:r>
        <w:rPr>
          <w:rFonts w:ascii="Arial Narrow" w:hAnsi="Arial Narrow"/>
          <w:b/>
          <w:i/>
          <w:sz w:val="20"/>
          <w:szCs w:val="20"/>
        </w:rPr>
        <w:t xml:space="preserve">Initial treatment - </w:t>
      </w:r>
      <w:r w:rsidRPr="00645903">
        <w:rPr>
          <w:rFonts w:ascii="Arial Narrow" w:hAnsi="Arial Narrow"/>
          <w:b/>
          <w:i/>
          <w:sz w:val="20"/>
          <w:szCs w:val="20"/>
        </w:rPr>
        <w:t xml:space="preserve">BRAF V600 mutation </w:t>
      </w:r>
      <w:r>
        <w:rPr>
          <w:rFonts w:ascii="Arial Narrow" w:hAnsi="Arial Narrow"/>
          <w:b/>
          <w:i/>
          <w:sz w:val="20"/>
          <w:szCs w:val="20"/>
        </w:rPr>
        <w:t>posi</w:t>
      </w:r>
      <w:r w:rsidRPr="00645903">
        <w:rPr>
          <w:rFonts w:ascii="Arial Narrow" w:hAnsi="Arial Narrow"/>
          <w:b/>
          <w:i/>
          <w:sz w:val="20"/>
          <w:szCs w:val="20"/>
        </w:rPr>
        <w:t>tive</w:t>
      </w:r>
    </w:p>
    <w:tbl>
      <w:tblPr>
        <w:tblW w:w="8363" w:type="dxa"/>
        <w:tblInd w:w="817" w:type="dxa"/>
        <w:tblLayout w:type="fixed"/>
        <w:tblLook w:val="0000" w:firstRow="0" w:lastRow="0" w:firstColumn="0" w:lastColumn="0" w:noHBand="0" w:noVBand="0"/>
      </w:tblPr>
      <w:tblGrid>
        <w:gridCol w:w="2835"/>
        <w:gridCol w:w="5528"/>
      </w:tblGrid>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Category / Program</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sidRPr="00260CE3">
              <w:rPr>
                <w:rFonts w:ascii="Arial Narrow" w:hAnsi="Arial Narrow"/>
                <w:sz w:val="20"/>
                <w:szCs w:val="20"/>
              </w:rPr>
              <w:t xml:space="preserve">Section 100 – </w:t>
            </w:r>
            <w:r>
              <w:rPr>
                <w:rFonts w:ascii="Arial Narrow" w:hAnsi="Arial Narrow"/>
                <w:sz w:val="20"/>
                <w:szCs w:val="20"/>
              </w:rPr>
              <w:t xml:space="preserve">Efficient Funding of </w:t>
            </w:r>
            <w:r w:rsidRPr="00260CE3">
              <w:rPr>
                <w:rFonts w:ascii="Arial Narrow" w:hAnsi="Arial Narrow"/>
                <w:sz w:val="20"/>
                <w:szCs w:val="20"/>
              </w:rPr>
              <w:t>Chemotherapy</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Prescriber type:</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6E129E" w:rsidP="00323E7A">
            <w:pPr>
              <w:widowControl/>
              <w:rPr>
                <w:rFonts w:ascii="Arial Narrow" w:hAnsi="Arial Narrow"/>
                <w:sz w:val="20"/>
                <w:szCs w:val="20"/>
              </w:rPr>
            </w:pPr>
            <w:r w:rsidRPr="00260CE3">
              <w:rPr>
                <w:rFonts w:ascii="Arial Narrow" w:hAnsi="Arial Narrow"/>
                <w:sz w:val="20"/>
                <w:szCs w:val="20"/>
              </w:rPr>
              <w:fldChar w:fldCharType="begin">
                <w:ffData>
                  <w:name w:val="Check1"/>
                  <w:enabled/>
                  <w:calcOnExit w:val="0"/>
                  <w:checkBox>
                    <w:sizeAuto/>
                    <w:default w:val="0"/>
                  </w:checkBox>
                </w:ffData>
              </w:fldChar>
            </w:r>
            <w:r w:rsidR="00320333" w:rsidRPr="00260CE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260CE3">
              <w:rPr>
                <w:rFonts w:ascii="Arial Narrow" w:hAnsi="Arial Narrow"/>
                <w:sz w:val="20"/>
                <w:szCs w:val="20"/>
              </w:rPr>
              <w:fldChar w:fldCharType="end"/>
            </w:r>
            <w:r w:rsidR="00320333" w:rsidRPr="00260CE3">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sidR="0032033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Pr>
                <w:rFonts w:ascii="Arial Narrow" w:hAnsi="Arial Narrow"/>
                <w:sz w:val="20"/>
                <w:szCs w:val="20"/>
              </w:rPr>
              <w:fldChar w:fldCharType="end"/>
            </w:r>
            <w:r w:rsidR="00320333" w:rsidRPr="00260CE3">
              <w:rPr>
                <w:rFonts w:ascii="Arial Narrow" w:hAnsi="Arial Narrow"/>
                <w:sz w:val="20"/>
                <w:szCs w:val="20"/>
              </w:rPr>
              <w:t xml:space="preserve">Medical Practitioners  </w:t>
            </w:r>
            <w:r w:rsidRPr="00260CE3">
              <w:rPr>
                <w:rFonts w:ascii="Arial Narrow" w:hAnsi="Arial Narrow"/>
                <w:sz w:val="20"/>
                <w:szCs w:val="20"/>
              </w:rPr>
              <w:fldChar w:fldCharType="begin">
                <w:ffData>
                  <w:name w:val="Check3"/>
                  <w:enabled/>
                  <w:calcOnExit w:val="0"/>
                  <w:checkBox>
                    <w:sizeAuto/>
                    <w:default w:val="0"/>
                  </w:checkBox>
                </w:ffData>
              </w:fldChar>
            </w:r>
            <w:r w:rsidR="00320333" w:rsidRPr="00260CE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260CE3">
              <w:rPr>
                <w:rFonts w:ascii="Arial Narrow" w:hAnsi="Arial Narrow"/>
                <w:sz w:val="20"/>
                <w:szCs w:val="20"/>
              </w:rPr>
              <w:fldChar w:fldCharType="end"/>
            </w:r>
            <w:r w:rsidR="00320333" w:rsidRPr="00260CE3">
              <w:rPr>
                <w:rFonts w:ascii="Arial Narrow" w:hAnsi="Arial Narrow"/>
                <w:sz w:val="20"/>
                <w:szCs w:val="20"/>
              </w:rPr>
              <w:t xml:space="preserve">Nurse practitioners  </w:t>
            </w:r>
            <w:r w:rsidRPr="00260CE3">
              <w:rPr>
                <w:rFonts w:ascii="Arial Narrow" w:hAnsi="Arial Narrow"/>
                <w:sz w:val="20"/>
                <w:szCs w:val="20"/>
              </w:rPr>
              <w:fldChar w:fldCharType="begin">
                <w:ffData>
                  <w:name w:val=""/>
                  <w:enabled/>
                  <w:calcOnExit w:val="0"/>
                  <w:checkBox>
                    <w:sizeAuto/>
                    <w:default w:val="0"/>
                  </w:checkBox>
                </w:ffData>
              </w:fldChar>
            </w:r>
            <w:r w:rsidR="00320333" w:rsidRPr="00260CE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260CE3">
              <w:rPr>
                <w:rFonts w:ascii="Arial Narrow" w:hAnsi="Arial Narrow"/>
                <w:sz w:val="20"/>
                <w:szCs w:val="20"/>
              </w:rPr>
              <w:fldChar w:fldCharType="end"/>
            </w:r>
            <w:r w:rsidR="00320333" w:rsidRPr="00260CE3">
              <w:rPr>
                <w:rFonts w:ascii="Arial Narrow" w:hAnsi="Arial Narrow"/>
                <w:sz w:val="20"/>
                <w:szCs w:val="20"/>
              </w:rPr>
              <w:t>Optometrists</w:t>
            </w:r>
            <w:r w:rsidR="0043765A">
              <w:rPr>
                <w:rFonts w:ascii="Arial Narrow" w:hAnsi="Arial Narrow"/>
                <w:sz w:val="20"/>
                <w:szCs w:val="20"/>
              </w:rPr>
              <w:t xml:space="preserve">  </w:t>
            </w:r>
            <w:r w:rsidRPr="00260CE3">
              <w:rPr>
                <w:rFonts w:ascii="Arial Narrow" w:hAnsi="Arial Narrow"/>
                <w:sz w:val="20"/>
                <w:szCs w:val="20"/>
              </w:rPr>
              <w:fldChar w:fldCharType="begin">
                <w:ffData>
                  <w:name w:val="Check5"/>
                  <w:enabled/>
                  <w:calcOnExit w:val="0"/>
                  <w:checkBox>
                    <w:sizeAuto/>
                    <w:default w:val="0"/>
                  </w:checkBox>
                </w:ffData>
              </w:fldChar>
            </w:r>
            <w:r w:rsidR="00320333" w:rsidRPr="00260CE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260CE3">
              <w:rPr>
                <w:rFonts w:ascii="Arial Narrow" w:hAnsi="Arial Narrow"/>
                <w:sz w:val="20"/>
                <w:szCs w:val="20"/>
              </w:rPr>
              <w:fldChar w:fldCharType="end"/>
            </w:r>
            <w:r w:rsidR="00320333" w:rsidRPr="00260CE3">
              <w:rPr>
                <w:rFonts w:ascii="Arial Narrow" w:hAnsi="Arial Narrow"/>
                <w:sz w:val="20"/>
                <w:szCs w:val="20"/>
              </w:rPr>
              <w:t>Midwives</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Episodicity:</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Severity:</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Unresectable Stage III or Stage IV</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Condition:</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Malignant melanoma</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PBS Indication:</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Unresectable Stage III or Stage IV malignant melanoma</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C0121C" w:rsidRDefault="00320333" w:rsidP="00323E7A">
            <w:pPr>
              <w:widowControl/>
              <w:rPr>
                <w:rFonts w:ascii="Arial Narrow" w:hAnsi="Arial Narrow"/>
                <w:b/>
                <w:sz w:val="20"/>
                <w:szCs w:val="20"/>
              </w:rPr>
            </w:pPr>
            <w:r w:rsidRPr="00260CE3">
              <w:rPr>
                <w:rFonts w:ascii="Arial Narrow" w:hAnsi="Arial Narrow"/>
                <w:b/>
                <w:sz w:val="20"/>
                <w:szCs w:val="20"/>
              </w:rPr>
              <w:t>Treatment phase:</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Initial</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C0121C" w:rsidRDefault="00320333" w:rsidP="00323E7A">
            <w:pPr>
              <w:widowControl/>
              <w:rPr>
                <w:rFonts w:ascii="Arial Narrow" w:hAnsi="Arial Narrow"/>
                <w:b/>
                <w:sz w:val="20"/>
                <w:szCs w:val="20"/>
              </w:rPr>
            </w:pPr>
            <w:r w:rsidRPr="00260CE3">
              <w:rPr>
                <w:rFonts w:ascii="Arial Narrow" w:hAnsi="Arial Narrow"/>
                <w:b/>
                <w:sz w:val="20"/>
                <w:szCs w:val="20"/>
              </w:rPr>
              <w:t>Restriction</w:t>
            </w:r>
            <w:r>
              <w:rPr>
                <w:rFonts w:ascii="Arial Narrow" w:hAnsi="Arial Narrow"/>
                <w:b/>
                <w:sz w:val="20"/>
                <w:szCs w:val="20"/>
              </w:rPr>
              <w:t xml:space="preserve"> Level / Method</w:t>
            </w:r>
            <w:r w:rsidRPr="00260CE3">
              <w:rPr>
                <w:rFonts w:ascii="Arial Narrow" w:hAnsi="Arial Narrow"/>
                <w:b/>
                <w:sz w:val="20"/>
                <w:szCs w:val="20"/>
              </w:rPr>
              <w:t>:</w:t>
            </w:r>
          </w:p>
        </w:tc>
        <w:tc>
          <w:tcPr>
            <w:tcW w:w="5528" w:type="dxa"/>
            <w:tcBorders>
              <w:top w:val="single" w:sz="4" w:space="0" w:color="auto"/>
              <w:left w:val="single" w:sz="4" w:space="0" w:color="auto"/>
              <w:bottom w:val="single" w:sz="4" w:space="0" w:color="auto"/>
              <w:right w:val="single" w:sz="4" w:space="0" w:color="auto"/>
            </w:tcBorders>
          </w:tcPr>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Check1"/>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Restricted benefit</w:t>
            </w:r>
          </w:p>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Authority Required - In Writing</w:t>
            </w:r>
          </w:p>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Check3"/>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Authority Required - Telephone</w:t>
            </w:r>
          </w:p>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Authority Required – Emergency</w:t>
            </w:r>
          </w:p>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Check5"/>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Authority Required - Electronic</w:t>
            </w:r>
          </w:p>
          <w:p w:rsidR="00320333" w:rsidRPr="00260CE3" w:rsidRDefault="006E129E" w:rsidP="00323E7A">
            <w:pPr>
              <w:widowControl/>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1"/>
                  </w:checkBox>
                </w:ffData>
              </w:fldChar>
            </w:r>
            <w:r w:rsidR="0032033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Pr>
                <w:rFonts w:ascii="Arial Narrow" w:hAnsi="Arial Narrow"/>
                <w:sz w:val="20"/>
                <w:szCs w:val="20"/>
              </w:rPr>
              <w:fldChar w:fldCharType="end"/>
            </w:r>
            <w:r w:rsidR="00320333" w:rsidRPr="00106BCF">
              <w:rPr>
                <w:rFonts w:ascii="Arial Narrow" w:hAnsi="Arial Narrow"/>
                <w:sz w:val="20"/>
                <w:szCs w:val="20"/>
              </w:rPr>
              <w:t>Streamlined</w:t>
            </w:r>
          </w:p>
        </w:tc>
      </w:tr>
      <w:tr w:rsidR="00320333" w:rsidRPr="00D40D7C" w:rsidTr="00980106">
        <w:trPr>
          <w:cantSplit/>
          <w:trHeight w:val="3823"/>
        </w:trPr>
        <w:tc>
          <w:tcPr>
            <w:tcW w:w="2835" w:type="dxa"/>
            <w:tcBorders>
              <w:top w:val="single" w:sz="4" w:space="0" w:color="auto"/>
              <w:left w:val="single" w:sz="4" w:space="0" w:color="auto"/>
              <w:bottom w:val="single" w:sz="4" w:space="0" w:color="auto"/>
              <w:right w:val="single" w:sz="4" w:space="0" w:color="auto"/>
            </w:tcBorders>
          </w:tcPr>
          <w:p w:rsidR="00320333" w:rsidRPr="00044AC5" w:rsidRDefault="00320333" w:rsidP="00323E7A">
            <w:pPr>
              <w:widowControl/>
              <w:rPr>
                <w:rFonts w:ascii="Arial Narrow" w:hAnsi="Arial Narrow"/>
                <w:b/>
                <w:sz w:val="20"/>
                <w:szCs w:val="20"/>
              </w:rPr>
            </w:pPr>
            <w:r w:rsidRPr="00260CE3">
              <w:rPr>
                <w:rFonts w:ascii="Arial Narrow" w:hAnsi="Arial Narrow"/>
                <w:b/>
                <w:sz w:val="20"/>
                <w:szCs w:val="20"/>
              </w:rPr>
              <w:lastRenderedPageBreak/>
              <w:t>Clinical criteria:</w:t>
            </w:r>
          </w:p>
        </w:tc>
        <w:tc>
          <w:tcPr>
            <w:tcW w:w="5528" w:type="dxa"/>
            <w:tcBorders>
              <w:top w:val="single" w:sz="4" w:space="0" w:color="auto"/>
              <w:left w:val="single" w:sz="4" w:space="0" w:color="auto"/>
              <w:bottom w:val="single" w:sz="4" w:space="0" w:color="auto"/>
              <w:right w:val="single" w:sz="4" w:space="0" w:color="auto"/>
            </w:tcBorders>
          </w:tcPr>
          <w:p w:rsidR="00320333" w:rsidRPr="00C0121C" w:rsidRDefault="00320333" w:rsidP="00323E7A">
            <w:pPr>
              <w:widowControl/>
              <w:rPr>
                <w:rFonts w:ascii="Arial Narrow" w:hAnsi="Arial Narrow"/>
                <w:sz w:val="20"/>
                <w:szCs w:val="20"/>
              </w:rPr>
            </w:pPr>
            <w:r>
              <w:rPr>
                <w:rFonts w:ascii="Arial Narrow" w:hAnsi="Arial Narrow"/>
                <w:sz w:val="20"/>
                <w:szCs w:val="20"/>
              </w:rPr>
              <w:t>The t</w:t>
            </w:r>
            <w:r w:rsidRPr="00C0121C">
              <w:rPr>
                <w:rFonts w:ascii="Arial Narrow" w:hAnsi="Arial Narrow"/>
                <w:sz w:val="20"/>
                <w:szCs w:val="20"/>
              </w:rPr>
              <w:t>reatment must be the sole PBS-subsidised therapy for this condition</w:t>
            </w:r>
          </w:p>
          <w:p w:rsidR="00320333" w:rsidRPr="00C0121C" w:rsidRDefault="00320333" w:rsidP="00323E7A">
            <w:pPr>
              <w:widowControl/>
              <w:rPr>
                <w:rFonts w:ascii="Arial Narrow" w:hAnsi="Arial Narrow"/>
                <w:sz w:val="20"/>
                <w:szCs w:val="20"/>
              </w:rPr>
            </w:pPr>
          </w:p>
          <w:p w:rsidR="00320333" w:rsidRPr="00C0121C" w:rsidRDefault="00320333" w:rsidP="00323E7A">
            <w:pPr>
              <w:widowControl/>
              <w:rPr>
                <w:rFonts w:ascii="Arial Narrow" w:hAnsi="Arial Narrow"/>
                <w:sz w:val="20"/>
                <w:szCs w:val="20"/>
              </w:rPr>
            </w:pPr>
            <w:r w:rsidRPr="00C0121C">
              <w:rPr>
                <w:rFonts w:ascii="Arial Narrow" w:hAnsi="Arial Narrow"/>
                <w:sz w:val="20"/>
                <w:szCs w:val="20"/>
              </w:rPr>
              <w:t>AND</w:t>
            </w:r>
          </w:p>
          <w:p w:rsidR="00320333" w:rsidRPr="00C0121C" w:rsidRDefault="00320333" w:rsidP="00323E7A">
            <w:pPr>
              <w:widowControl/>
              <w:rPr>
                <w:rFonts w:ascii="Arial Narrow" w:hAnsi="Arial Narrow"/>
                <w:sz w:val="20"/>
                <w:szCs w:val="20"/>
              </w:rPr>
            </w:pPr>
          </w:p>
          <w:p w:rsidR="00320333" w:rsidRDefault="00320333" w:rsidP="00323E7A">
            <w:pPr>
              <w:widowControl/>
              <w:rPr>
                <w:rFonts w:ascii="Arial Narrow" w:hAnsi="Arial Narrow"/>
                <w:sz w:val="20"/>
                <w:szCs w:val="20"/>
              </w:rPr>
            </w:pPr>
            <w:r w:rsidRPr="00A715A4">
              <w:rPr>
                <w:rFonts w:ascii="Arial Narrow" w:hAnsi="Arial Narrow"/>
                <w:sz w:val="20"/>
                <w:szCs w:val="20"/>
              </w:rPr>
              <w:t xml:space="preserve">The condition must not have been treated previously with </w:t>
            </w:r>
            <w:r>
              <w:rPr>
                <w:rFonts w:ascii="Arial Narrow" w:hAnsi="Arial Narrow"/>
                <w:i/>
                <w:sz w:val="20"/>
                <w:szCs w:val="20"/>
              </w:rPr>
              <w:t xml:space="preserve">a PD-1 inhibitor </w:t>
            </w:r>
            <w:r w:rsidRPr="00A715A4">
              <w:rPr>
                <w:rFonts w:ascii="Arial Narrow" w:hAnsi="Arial Narrow"/>
                <w:strike/>
                <w:sz w:val="20"/>
                <w:szCs w:val="20"/>
              </w:rPr>
              <w:t>nivolumab</w:t>
            </w:r>
            <w:r>
              <w:rPr>
                <w:rFonts w:ascii="Arial Narrow" w:hAnsi="Arial Narrow"/>
                <w:sz w:val="20"/>
                <w:szCs w:val="20"/>
              </w:rPr>
              <w:t xml:space="preserve">; </w:t>
            </w:r>
            <w:r w:rsidRPr="00F663C6">
              <w:rPr>
                <w:rFonts w:ascii="Arial Narrow" w:hAnsi="Arial Narrow"/>
                <w:i/>
                <w:sz w:val="20"/>
                <w:szCs w:val="20"/>
              </w:rPr>
              <w:t>OR</w:t>
            </w:r>
          </w:p>
          <w:p w:rsidR="00320333" w:rsidRPr="00F663C6" w:rsidRDefault="00320333" w:rsidP="00323E7A">
            <w:pPr>
              <w:widowControl/>
              <w:rPr>
                <w:rFonts w:ascii="Arial Narrow" w:hAnsi="Arial Narrow"/>
                <w:i/>
                <w:sz w:val="20"/>
                <w:szCs w:val="20"/>
              </w:rPr>
            </w:pPr>
            <w:r w:rsidRPr="00F663C6">
              <w:rPr>
                <w:rFonts w:ascii="Arial Narrow" w:hAnsi="Arial Narrow"/>
                <w:i/>
                <w:sz w:val="20"/>
                <w:szCs w:val="20"/>
              </w:rPr>
              <w:t xml:space="preserve">Patient must have developed intolerance to another </w:t>
            </w:r>
            <w:r>
              <w:rPr>
                <w:rFonts w:ascii="Arial Narrow" w:hAnsi="Arial Narrow"/>
                <w:i/>
                <w:sz w:val="20"/>
                <w:szCs w:val="20"/>
              </w:rPr>
              <w:t>PD-1</w:t>
            </w:r>
            <w:r w:rsidRPr="00F663C6">
              <w:rPr>
                <w:rFonts w:ascii="Arial Narrow" w:hAnsi="Arial Narrow"/>
                <w:i/>
                <w:sz w:val="20"/>
                <w:szCs w:val="20"/>
              </w:rPr>
              <w:t xml:space="preserve"> inhibitor of a severity necessitating permanent treatment withdrawal</w:t>
            </w:r>
          </w:p>
          <w:p w:rsidR="00320333" w:rsidRDefault="00320333" w:rsidP="00323E7A">
            <w:pPr>
              <w:widowControl/>
              <w:rPr>
                <w:rFonts w:ascii="Arial Narrow" w:hAnsi="Arial Narrow"/>
                <w:sz w:val="20"/>
                <w:szCs w:val="20"/>
              </w:rPr>
            </w:pPr>
          </w:p>
          <w:p w:rsidR="00320333" w:rsidRDefault="00320333" w:rsidP="00323E7A">
            <w:pPr>
              <w:widowControl/>
              <w:rPr>
                <w:rFonts w:ascii="Arial Narrow" w:hAnsi="Arial Narrow"/>
                <w:i/>
                <w:sz w:val="20"/>
                <w:szCs w:val="20"/>
              </w:rPr>
            </w:pPr>
            <w:r>
              <w:rPr>
                <w:rFonts w:ascii="Arial Narrow" w:hAnsi="Arial Narrow"/>
                <w:i/>
                <w:sz w:val="20"/>
                <w:szCs w:val="20"/>
              </w:rPr>
              <w:t>AND</w:t>
            </w:r>
          </w:p>
          <w:p w:rsidR="00320333" w:rsidRDefault="00320333" w:rsidP="00323E7A">
            <w:pPr>
              <w:widowControl/>
              <w:rPr>
                <w:rFonts w:ascii="Arial Narrow" w:hAnsi="Arial Narrow"/>
                <w:i/>
                <w:sz w:val="20"/>
                <w:szCs w:val="20"/>
              </w:rPr>
            </w:pPr>
          </w:p>
          <w:p w:rsidR="00320333" w:rsidRDefault="00320333" w:rsidP="00323E7A">
            <w:pPr>
              <w:widowControl/>
              <w:rPr>
                <w:rFonts w:ascii="Arial Narrow" w:hAnsi="Arial Narrow"/>
                <w:i/>
                <w:sz w:val="20"/>
                <w:szCs w:val="20"/>
              </w:rPr>
            </w:pPr>
            <w:r w:rsidRPr="00A33351">
              <w:rPr>
                <w:rFonts w:ascii="Arial Narrow" w:hAnsi="Arial Narrow"/>
                <w:i/>
                <w:sz w:val="20"/>
                <w:szCs w:val="20"/>
              </w:rPr>
              <w:t>The condition must be po</w:t>
            </w:r>
            <w:r>
              <w:rPr>
                <w:rFonts w:ascii="Arial Narrow" w:hAnsi="Arial Narrow"/>
                <w:i/>
                <w:sz w:val="20"/>
                <w:szCs w:val="20"/>
              </w:rPr>
              <w:t>sitive for a BRAF V600 mutation</w:t>
            </w:r>
          </w:p>
          <w:p w:rsidR="00320333" w:rsidRDefault="00320333" w:rsidP="00323E7A">
            <w:pPr>
              <w:widowControl/>
              <w:rPr>
                <w:rFonts w:ascii="Arial Narrow" w:hAnsi="Arial Narrow"/>
                <w:i/>
                <w:sz w:val="20"/>
                <w:szCs w:val="20"/>
              </w:rPr>
            </w:pPr>
          </w:p>
          <w:p w:rsidR="00320333" w:rsidRDefault="00320333" w:rsidP="00323E7A">
            <w:pPr>
              <w:widowControl/>
              <w:rPr>
                <w:rFonts w:ascii="Arial Narrow" w:hAnsi="Arial Narrow"/>
                <w:i/>
                <w:sz w:val="20"/>
                <w:szCs w:val="20"/>
              </w:rPr>
            </w:pPr>
            <w:r>
              <w:rPr>
                <w:rFonts w:ascii="Arial Narrow" w:hAnsi="Arial Narrow"/>
                <w:i/>
                <w:sz w:val="20"/>
                <w:szCs w:val="20"/>
              </w:rPr>
              <w:t>AND</w:t>
            </w:r>
          </w:p>
          <w:p w:rsidR="00320333" w:rsidRDefault="00320333" w:rsidP="00323E7A">
            <w:pPr>
              <w:widowControl/>
              <w:rPr>
                <w:rFonts w:ascii="Arial Narrow" w:hAnsi="Arial Narrow"/>
                <w:i/>
                <w:sz w:val="20"/>
                <w:szCs w:val="20"/>
              </w:rPr>
            </w:pPr>
          </w:p>
          <w:p w:rsidR="00320333" w:rsidRPr="00D40D7C" w:rsidRDefault="00320333" w:rsidP="00323E7A">
            <w:pPr>
              <w:widowControl/>
              <w:rPr>
                <w:rFonts w:ascii="Arial Narrow" w:hAnsi="Arial Narrow"/>
                <w:i/>
                <w:sz w:val="20"/>
                <w:szCs w:val="20"/>
              </w:rPr>
            </w:pPr>
            <w:r>
              <w:rPr>
                <w:rFonts w:ascii="Arial Narrow" w:hAnsi="Arial Narrow"/>
                <w:i/>
                <w:sz w:val="20"/>
                <w:szCs w:val="20"/>
              </w:rPr>
              <w:t>The condition must have progressed following treatment with a BRAF inhibitor (with or without a MEK inhibitor) unless contraindicated or not tolerated according to the TGA approved Product Information.</w:t>
            </w:r>
          </w:p>
        </w:tc>
      </w:tr>
      <w:tr w:rsidR="00320333" w:rsidRPr="00260CE3" w:rsidTr="00980106">
        <w:trPr>
          <w:cantSplit/>
          <w:trHeight w:val="508"/>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Prescriber Instructions</w:t>
            </w:r>
          </w:p>
          <w:p w:rsidR="00320333" w:rsidRPr="00260CE3" w:rsidRDefault="00320333" w:rsidP="00323E7A">
            <w:pPr>
              <w:widowControl/>
              <w:rPr>
                <w:rFonts w:ascii="Arial Narrow" w:hAnsi="Arial Narrow"/>
                <w:sz w:val="20"/>
                <w:szCs w:val="20"/>
              </w:rPr>
            </w:pP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sidRPr="00C0121C">
              <w:rPr>
                <w:rFonts w:ascii="Arial Narrow" w:hAnsi="Arial Narrow"/>
                <w:sz w:val="20"/>
                <w:szCs w:val="20"/>
              </w:rPr>
              <w:t>The patient’s body weight must be documented in the patient’s medical records at the time treatment is initiated.</w:t>
            </w:r>
          </w:p>
        </w:tc>
      </w:tr>
      <w:tr w:rsidR="00320333" w:rsidRPr="00E21DAB" w:rsidTr="0043765A">
        <w:trPr>
          <w:cantSplit/>
          <w:trHeight w:val="1069"/>
        </w:trPr>
        <w:tc>
          <w:tcPr>
            <w:tcW w:w="2835" w:type="dxa"/>
            <w:tcBorders>
              <w:top w:val="single" w:sz="4" w:space="0" w:color="auto"/>
              <w:left w:val="single" w:sz="4" w:space="0" w:color="auto"/>
              <w:bottom w:val="single" w:sz="4" w:space="0" w:color="auto"/>
              <w:right w:val="single" w:sz="4" w:space="0" w:color="auto"/>
            </w:tcBorders>
          </w:tcPr>
          <w:p w:rsidR="00320333" w:rsidRPr="00C0121C" w:rsidRDefault="00320333" w:rsidP="00323E7A">
            <w:pPr>
              <w:widowControl/>
              <w:rPr>
                <w:rFonts w:ascii="Arial Narrow" w:hAnsi="Arial Narrow"/>
                <w:b/>
                <w:sz w:val="20"/>
                <w:szCs w:val="20"/>
              </w:rPr>
            </w:pPr>
            <w:r w:rsidRPr="00260CE3">
              <w:rPr>
                <w:rFonts w:ascii="Arial Narrow" w:hAnsi="Arial Narrow"/>
                <w:b/>
                <w:sz w:val="20"/>
                <w:szCs w:val="20"/>
              </w:rPr>
              <w:t>Administrative Advice</w:t>
            </w:r>
          </w:p>
        </w:tc>
        <w:tc>
          <w:tcPr>
            <w:tcW w:w="5528" w:type="dxa"/>
            <w:tcBorders>
              <w:top w:val="single" w:sz="4" w:space="0" w:color="auto"/>
              <w:left w:val="single" w:sz="4" w:space="0" w:color="auto"/>
              <w:bottom w:val="single" w:sz="4" w:space="0" w:color="auto"/>
              <w:right w:val="single" w:sz="4" w:space="0" w:color="auto"/>
            </w:tcBorders>
          </w:tcPr>
          <w:p w:rsidR="00320333" w:rsidRDefault="00320333" w:rsidP="00323E7A">
            <w:pPr>
              <w:widowControl/>
              <w:rPr>
                <w:rFonts w:ascii="Arial Narrow" w:hAnsi="Arial Narrow"/>
                <w:strike/>
                <w:sz w:val="20"/>
                <w:szCs w:val="20"/>
              </w:rPr>
            </w:pPr>
            <w:r w:rsidRPr="00C0121C">
              <w:rPr>
                <w:rFonts w:ascii="Arial Narrow" w:hAnsi="Arial Narrow"/>
                <w:strike/>
                <w:sz w:val="20"/>
                <w:szCs w:val="20"/>
              </w:rPr>
              <w:t>The recommended dose of nivolumab is 3 mg/kg administered intravenously over 60 minutes every 2 weeks.</w:t>
            </w:r>
          </w:p>
          <w:p w:rsidR="00320333" w:rsidRDefault="00320333" w:rsidP="00323E7A">
            <w:pPr>
              <w:widowControl/>
              <w:rPr>
                <w:rFonts w:ascii="Arial Narrow" w:hAnsi="Arial Narrow"/>
                <w:i/>
                <w:sz w:val="20"/>
                <w:szCs w:val="20"/>
              </w:rPr>
            </w:pPr>
            <w:r w:rsidRPr="00C5156F">
              <w:rPr>
                <w:rFonts w:ascii="Arial Narrow" w:hAnsi="Arial Narrow"/>
                <w:i/>
                <w:sz w:val="20"/>
                <w:szCs w:val="20"/>
              </w:rPr>
              <w:t>No increase in the maximum number of repeats may be authorised.</w:t>
            </w:r>
          </w:p>
          <w:p w:rsidR="00320333" w:rsidRDefault="00320333" w:rsidP="00323E7A">
            <w:pPr>
              <w:widowControl/>
              <w:rPr>
                <w:rFonts w:ascii="Arial Narrow" w:hAnsi="Arial Narrow"/>
                <w:i/>
                <w:sz w:val="20"/>
                <w:szCs w:val="20"/>
              </w:rPr>
            </w:pPr>
          </w:p>
          <w:p w:rsidR="00320333" w:rsidRPr="00E21DAB" w:rsidRDefault="00320333" w:rsidP="00323E7A">
            <w:pPr>
              <w:widowControl/>
              <w:rPr>
                <w:rFonts w:ascii="Arial Narrow" w:hAnsi="Arial Narrow"/>
                <w:i/>
                <w:sz w:val="20"/>
                <w:szCs w:val="20"/>
              </w:rPr>
            </w:pPr>
            <w:r w:rsidRPr="00C5156F">
              <w:rPr>
                <w:rFonts w:ascii="Arial Narrow" w:hAnsi="Arial Narrow"/>
                <w:i/>
                <w:sz w:val="20"/>
                <w:szCs w:val="20"/>
              </w:rPr>
              <w:t>Special Pricing Arrangements apply.</w:t>
            </w:r>
          </w:p>
        </w:tc>
      </w:tr>
    </w:tbl>
    <w:p w:rsidR="00320333" w:rsidRDefault="00320333" w:rsidP="00323E7A">
      <w:pPr>
        <w:widowControl/>
        <w:rPr>
          <w:szCs w:val="22"/>
        </w:rPr>
      </w:pPr>
    </w:p>
    <w:p w:rsidR="00320333" w:rsidRPr="000D7C39" w:rsidRDefault="00320333" w:rsidP="00323E7A">
      <w:pPr>
        <w:widowControl/>
        <w:ind w:firstLine="720"/>
        <w:rPr>
          <w:rFonts w:ascii="Arial Narrow" w:hAnsi="Arial Narrow"/>
          <w:b/>
          <w:i/>
          <w:sz w:val="20"/>
          <w:szCs w:val="20"/>
        </w:rPr>
      </w:pPr>
      <w:r w:rsidRPr="000D7C39">
        <w:rPr>
          <w:rFonts w:ascii="Arial Narrow" w:hAnsi="Arial Narrow"/>
          <w:b/>
          <w:i/>
          <w:sz w:val="20"/>
          <w:szCs w:val="20"/>
        </w:rPr>
        <w:t>Continuing treatment</w:t>
      </w:r>
    </w:p>
    <w:tbl>
      <w:tblPr>
        <w:tblW w:w="8363" w:type="dxa"/>
        <w:tblInd w:w="817" w:type="dxa"/>
        <w:tblLayout w:type="fixed"/>
        <w:tblLook w:val="0000" w:firstRow="0" w:lastRow="0" w:firstColumn="0" w:lastColumn="0" w:noHBand="0" w:noVBand="0"/>
      </w:tblPr>
      <w:tblGrid>
        <w:gridCol w:w="2835"/>
        <w:gridCol w:w="5528"/>
      </w:tblGrid>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Category / Program</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sidRPr="00260CE3">
              <w:rPr>
                <w:rFonts w:ascii="Arial Narrow" w:hAnsi="Arial Narrow"/>
                <w:sz w:val="20"/>
                <w:szCs w:val="20"/>
              </w:rPr>
              <w:t xml:space="preserve">Section 100 – </w:t>
            </w:r>
            <w:r>
              <w:rPr>
                <w:rFonts w:ascii="Arial Narrow" w:hAnsi="Arial Narrow"/>
                <w:sz w:val="20"/>
                <w:szCs w:val="20"/>
              </w:rPr>
              <w:t xml:space="preserve">Efficient Funding of </w:t>
            </w:r>
            <w:r w:rsidRPr="00260CE3">
              <w:rPr>
                <w:rFonts w:ascii="Arial Narrow" w:hAnsi="Arial Narrow"/>
                <w:sz w:val="20"/>
                <w:szCs w:val="20"/>
              </w:rPr>
              <w:t>Chemotherapy</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Prescriber type:</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6E129E" w:rsidP="00323E7A">
            <w:pPr>
              <w:widowControl/>
              <w:rPr>
                <w:rFonts w:ascii="Arial Narrow" w:hAnsi="Arial Narrow"/>
                <w:sz w:val="20"/>
                <w:szCs w:val="20"/>
              </w:rPr>
            </w:pPr>
            <w:r w:rsidRPr="00260CE3">
              <w:rPr>
                <w:rFonts w:ascii="Arial Narrow" w:hAnsi="Arial Narrow"/>
                <w:sz w:val="20"/>
                <w:szCs w:val="20"/>
              </w:rPr>
              <w:fldChar w:fldCharType="begin">
                <w:ffData>
                  <w:name w:val="Check1"/>
                  <w:enabled/>
                  <w:calcOnExit w:val="0"/>
                  <w:checkBox>
                    <w:sizeAuto/>
                    <w:default w:val="0"/>
                  </w:checkBox>
                </w:ffData>
              </w:fldChar>
            </w:r>
            <w:r w:rsidR="00320333" w:rsidRPr="00260CE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260CE3">
              <w:rPr>
                <w:rFonts w:ascii="Arial Narrow" w:hAnsi="Arial Narrow"/>
                <w:sz w:val="20"/>
                <w:szCs w:val="20"/>
              </w:rPr>
              <w:fldChar w:fldCharType="end"/>
            </w:r>
            <w:r w:rsidR="00320333" w:rsidRPr="00260CE3">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sidR="0032033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Pr>
                <w:rFonts w:ascii="Arial Narrow" w:hAnsi="Arial Narrow"/>
                <w:sz w:val="20"/>
                <w:szCs w:val="20"/>
              </w:rPr>
              <w:fldChar w:fldCharType="end"/>
            </w:r>
            <w:r w:rsidR="00320333" w:rsidRPr="00260CE3">
              <w:rPr>
                <w:rFonts w:ascii="Arial Narrow" w:hAnsi="Arial Narrow"/>
                <w:sz w:val="20"/>
                <w:szCs w:val="20"/>
              </w:rPr>
              <w:t xml:space="preserve">Medical Practitioners  </w:t>
            </w:r>
            <w:r w:rsidRPr="00260CE3">
              <w:rPr>
                <w:rFonts w:ascii="Arial Narrow" w:hAnsi="Arial Narrow"/>
                <w:sz w:val="20"/>
                <w:szCs w:val="20"/>
              </w:rPr>
              <w:fldChar w:fldCharType="begin">
                <w:ffData>
                  <w:name w:val="Check3"/>
                  <w:enabled/>
                  <w:calcOnExit w:val="0"/>
                  <w:checkBox>
                    <w:sizeAuto/>
                    <w:default w:val="0"/>
                  </w:checkBox>
                </w:ffData>
              </w:fldChar>
            </w:r>
            <w:r w:rsidR="00320333" w:rsidRPr="00260CE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260CE3">
              <w:rPr>
                <w:rFonts w:ascii="Arial Narrow" w:hAnsi="Arial Narrow"/>
                <w:sz w:val="20"/>
                <w:szCs w:val="20"/>
              </w:rPr>
              <w:fldChar w:fldCharType="end"/>
            </w:r>
            <w:r w:rsidR="00320333" w:rsidRPr="00260CE3">
              <w:rPr>
                <w:rFonts w:ascii="Arial Narrow" w:hAnsi="Arial Narrow"/>
                <w:sz w:val="20"/>
                <w:szCs w:val="20"/>
              </w:rPr>
              <w:t xml:space="preserve">Nurse practitioners  </w:t>
            </w:r>
            <w:r w:rsidRPr="00260CE3">
              <w:rPr>
                <w:rFonts w:ascii="Arial Narrow" w:hAnsi="Arial Narrow"/>
                <w:sz w:val="20"/>
                <w:szCs w:val="20"/>
              </w:rPr>
              <w:fldChar w:fldCharType="begin">
                <w:ffData>
                  <w:name w:val=""/>
                  <w:enabled/>
                  <w:calcOnExit w:val="0"/>
                  <w:checkBox>
                    <w:sizeAuto/>
                    <w:default w:val="0"/>
                  </w:checkBox>
                </w:ffData>
              </w:fldChar>
            </w:r>
            <w:r w:rsidR="00320333" w:rsidRPr="00260CE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260CE3">
              <w:rPr>
                <w:rFonts w:ascii="Arial Narrow" w:hAnsi="Arial Narrow"/>
                <w:sz w:val="20"/>
                <w:szCs w:val="20"/>
              </w:rPr>
              <w:fldChar w:fldCharType="end"/>
            </w:r>
            <w:r w:rsidR="00320333" w:rsidRPr="00260CE3">
              <w:rPr>
                <w:rFonts w:ascii="Arial Narrow" w:hAnsi="Arial Narrow"/>
                <w:sz w:val="20"/>
                <w:szCs w:val="20"/>
              </w:rPr>
              <w:t>Optometrists</w:t>
            </w:r>
            <w:r w:rsidR="0043765A">
              <w:rPr>
                <w:rFonts w:ascii="Arial Narrow" w:hAnsi="Arial Narrow"/>
                <w:sz w:val="20"/>
                <w:szCs w:val="20"/>
              </w:rPr>
              <w:t xml:space="preserve">  </w:t>
            </w:r>
            <w:r w:rsidRPr="00260CE3">
              <w:rPr>
                <w:rFonts w:ascii="Arial Narrow" w:hAnsi="Arial Narrow"/>
                <w:sz w:val="20"/>
                <w:szCs w:val="20"/>
              </w:rPr>
              <w:fldChar w:fldCharType="begin">
                <w:ffData>
                  <w:name w:val="Check5"/>
                  <w:enabled/>
                  <w:calcOnExit w:val="0"/>
                  <w:checkBox>
                    <w:sizeAuto/>
                    <w:default w:val="0"/>
                  </w:checkBox>
                </w:ffData>
              </w:fldChar>
            </w:r>
            <w:r w:rsidR="00320333" w:rsidRPr="00260CE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260CE3">
              <w:rPr>
                <w:rFonts w:ascii="Arial Narrow" w:hAnsi="Arial Narrow"/>
                <w:sz w:val="20"/>
                <w:szCs w:val="20"/>
              </w:rPr>
              <w:fldChar w:fldCharType="end"/>
            </w:r>
            <w:r w:rsidR="00320333" w:rsidRPr="00260CE3">
              <w:rPr>
                <w:rFonts w:ascii="Arial Narrow" w:hAnsi="Arial Narrow"/>
                <w:sz w:val="20"/>
                <w:szCs w:val="20"/>
              </w:rPr>
              <w:t>Midwives</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Episodicity:</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Severity:</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Unresectable Stage III or Stage IV</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Condition:</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Malignant melanoma</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t>PBS Indication:</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Unresectable Stage III or Stage IV malignant melanoma</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C0121C" w:rsidRDefault="00320333" w:rsidP="00323E7A">
            <w:pPr>
              <w:widowControl/>
              <w:rPr>
                <w:rFonts w:ascii="Arial Narrow" w:hAnsi="Arial Narrow"/>
                <w:b/>
                <w:sz w:val="20"/>
                <w:szCs w:val="20"/>
              </w:rPr>
            </w:pPr>
            <w:r w:rsidRPr="00260CE3">
              <w:rPr>
                <w:rFonts w:ascii="Arial Narrow" w:hAnsi="Arial Narrow"/>
                <w:b/>
                <w:sz w:val="20"/>
                <w:szCs w:val="20"/>
              </w:rPr>
              <w:t>Treatment phase:</w:t>
            </w: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Pr>
                <w:rFonts w:ascii="Arial Narrow" w:hAnsi="Arial Narrow"/>
                <w:sz w:val="20"/>
                <w:szCs w:val="20"/>
              </w:rPr>
              <w:t>Continuing</w:t>
            </w:r>
          </w:p>
        </w:tc>
      </w:tr>
      <w:tr w:rsidR="00320333" w:rsidRPr="00260CE3" w:rsidTr="00980106">
        <w:trPr>
          <w:cantSplit/>
          <w:trHeight w:val="360"/>
        </w:trPr>
        <w:tc>
          <w:tcPr>
            <w:tcW w:w="2835" w:type="dxa"/>
            <w:tcBorders>
              <w:top w:val="single" w:sz="4" w:space="0" w:color="auto"/>
              <w:left w:val="single" w:sz="4" w:space="0" w:color="auto"/>
              <w:bottom w:val="single" w:sz="4" w:space="0" w:color="auto"/>
              <w:right w:val="single" w:sz="4" w:space="0" w:color="auto"/>
            </w:tcBorders>
          </w:tcPr>
          <w:p w:rsidR="00320333" w:rsidRPr="00C0121C" w:rsidRDefault="00320333" w:rsidP="00323E7A">
            <w:pPr>
              <w:widowControl/>
              <w:rPr>
                <w:rFonts w:ascii="Arial Narrow" w:hAnsi="Arial Narrow"/>
                <w:b/>
                <w:sz w:val="20"/>
                <w:szCs w:val="20"/>
              </w:rPr>
            </w:pPr>
            <w:r w:rsidRPr="00260CE3">
              <w:rPr>
                <w:rFonts w:ascii="Arial Narrow" w:hAnsi="Arial Narrow"/>
                <w:b/>
                <w:sz w:val="20"/>
                <w:szCs w:val="20"/>
              </w:rPr>
              <w:t>Restriction</w:t>
            </w:r>
            <w:r>
              <w:rPr>
                <w:rFonts w:ascii="Arial Narrow" w:hAnsi="Arial Narrow"/>
                <w:b/>
                <w:sz w:val="20"/>
                <w:szCs w:val="20"/>
              </w:rPr>
              <w:t xml:space="preserve"> Level / Method</w:t>
            </w:r>
            <w:r w:rsidRPr="00260CE3">
              <w:rPr>
                <w:rFonts w:ascii="Arial Narrow" w:hAnsi="Arial Narrow"/>
                <w:b/>
                <w:sz w:val="20"/>
                <w:szCs w:val="20"/>
              </w:rPr>
              <w:t>:</w:t>
            </w:r>
          </w:p>
        </w:tc>
        <w:tc>
          <w:tcPr>
            <w:tcW w:w="5528" w:type="dxa"/>
            <w:tcBorders>
              <w:top w:val="single" w:sz="4" w:space="0" w:color="auto"/>
              <w:left w:val="single" w:sz="4" w:space="0" w:color="auto"/>
              <w:bottom w:val="single" w:sz="4" w:space="0" w:color="auto"/>
              <w:right w:val="single" w:sz="4" w:space="0" w:color="auto"/>
            </w:tcBorders>
          </w:tcPr>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Check1"/>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Restricted benefit</w:t>
            </w:r>
          </w:p>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Authority Required - In Writing</w:t>
            </w:r>
          </w:p>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Check3"/>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Authority Required - Telephone</w:t>
            </w:r>
          </w:p>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Authority Required – Emergency</w:t>
            </w:r>
          </w:p>
          <w:p w:rsidR="00320333" w:rsidRPr="00106BCF" w:rsidRDefault="006E129E" w:rsidP="00323E7A">
            <w:pPr>
              <w:widowControl/>
              <w:rPr>
                <w:rFonts w:ascii="Arial Narrow" w:hAnsi="Arial Narrow"/>
                <w:sz w:val="20"/>
                <w:szCs w:val="20"/>
              </w:rPr>
            </w:pPr>
            <w:r w:rsidRPr="00106BCF">
              <w:rPr>
                <w:rFonts w:ascii="Arial Narrow" w:hAnsi="Arial Narrow"/>
                <w:sz w:val="20"/>
                <w:szCs w:val="20"/>
              </w:rPr>
              <w:fldChar w:fldCharType="begin">
                <w:ffData>
                  <w:name w:val="Check5"/>
                  <w:enabled/>
                  <w:calcOnExit w:val="0"/>
                  <w:checkBox>
                    <w:sizeAuto/>
                    <w:default w:val="0"/>
                  </w:checkBox>
                </w:ffData>
              </w:fldChar>
            </w:r>
            <w:r w:rsidR="00320333" w:rsidRPr="00106BCF">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sidRPr="00106BCF">
              <w:rPr>
                <w:rFonts w:ascii="Arial Narrow" w:hAnsi="Arial Narrow"/>
                <w:sz w:val="20"/>
                <w:szCs w:val="20"/>
              </w:rPr>
              <w:fldChar w:fldCharType="end"/>
            </w:r>
            <w:r w:rsidR="00320333" w:rsidRPr="00106BCF">
              <w:rPr>
                <w:rFonts w:ascii="Arial Narrow" w:hAnsi="Arial Narrow"/>
                <w:sz w:val="20"/>
                <w:szCs w:val="20"/>
              </w:rPr>
              <w:t>Authority Required - Electronic</w:t>
            </w:r>
          </w:p>
          <w:p w:rsidR="00320333" w:rsidRPr="00260CE3" w:rsidRDefault="006E129E" w:rsidP="00323E7A">
            <w:pPr>
              <w:widowControl/>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1"/>
                  </w:checkBox>
                </w:ffData>
              </w:fldChar>
            </w:r>
            <w:r w:rsidR="00320333">
              <w:rPr>
                <w:rFonts w:ascii="Arial Narrow" w:hAnsi="Arial Narrow"/>
                <w:sz w:val="20"/>
                <w:szCs w:val="20"/>
              </w:rPr>
              <w:instrText xml:space="preserve"> FORMCHECKBOX </w:instrText>
            </w:r>
            <w:r w:rsidR="006E43DE">
              <w:rPr>
                <w:rFonts w:ascii="Arial Narrow" w:hAnsi="Arial Narrow"/>
                <w:sz w:val="20"/>
                <w:szCs w:val="20"/>
              </w:rPr>
            </w:r>
            <w:r w:rsidR="006E43DE">
              <w:rPr>
                <w:rFonts w:ascii="Arial Narrow" w:hAnsi="Arial Narrow"/>
                <w:sz w:val="20"/>
                <w:szCs w:val="20"/>
              </w:rPr>
              <w:fldChar w:fldCharType="separate"/>
            </w:r>
            <w:r>
              <w:rPr>
                <w:rFonts w:ascii="Arial Narrow" w:hAnsi="Arial Narrow"/>
                <w:sz w:val="20"/>
                <w:szCs w:val="20"/>
              </w:rPr>
              <w:fldChar w:fldCharType="end"/>
            </w:r>
            <w:r w:rsidR="00320333" w:rsidRPr="00106BCF">
              <w:rPr>
                <w:rFonts w:ascii="Arial Narrow" w:hAnsi="Arial Narrow"/>
                <w:sz w:val="20"/>
                <w:szCs w:val="20"/>
              </w:rPr>
              <w:t>Streamlined</w:t>
            </w:r>
          </w:p>
        </w:tc>
      </w:tr>
      <w:tr w:rsidR="00320333" w:rsidRPr="00260CE3" w:rsidTr="00980106">
        <w:trPr>
          <w:cantSplit/>
          <w:trHeight w:val="1184"/>
        </w:trPr>
        <w:tc>
          <w:tcPr>
            <w:tcW w:w="2835" w:type="dxa"/>
            <w:tcBorders>
              <w:top w:val="single" w:sz="4" w:space="0" w:color="auto"/>
              <w:left w:val="single" w:sz="4" w:space="0" w:color="auto"/>
              <w:bottom w:val="single" w:sz="4" w:space="0" w:color="auto"/>
              <w:right w:val="single" w:sz="4" w:space="0" w:color="auto"/>
            </w:tcBorders>
          </w:tcPr>
          <w:p w:rsidR="00320333" w:rsidRPr="00044AC5" w:rsidRDefault="00320333" w:rsidP="00323E7A">
            <w:pPr>
              <w:widowControl/>
              <w:rPr>
                <w:rFonts w:ascii="Arial Narrow" w:hAnsi="Arial Narrow"/>
                <w:b/>
                <w:sz w:val="20"/>
                <w:szCs w:val="20"/>
              </w:rPr>
            </w:pPr>
            <w:r w:rsidRPr="00260CE3">
              <w:rPr>
                <w:rFonts w:ascii="Arial Narrow" w:hAnsi="Arial Narrow"/>
                <w:b/>
                <w:sz w:val="20"/>
                <w:szCs w:val="20"/>
              </w:rPr>
              <w:t>Clinical criteria:</w:t>
            </w:r>
          </w:p>
        </w:tc>
        <w:tc>
          <w:tcPr>
            <w:tcW w:w="5528" w:type="dxa"/>
            <w:tcBorders>
              <w:top w:val="single" w:sz="4" w:space="0" w:color="auto"/>
              <w:left w:val="single" w:sz="4" w:space="0" w:color="auto"/>
              <w:bottom w:val="single" w:sz="4" w:space="0" w:color="auto"/>
              <w:right w:val="single" w:sz="4" w:space="0" w:color="auto"/>
            </w:tcBorders>
          </w:tcPr>
          <w:p w:rsidR="00320333" w:rsidRDefault="00320333" w:rsidP="00323E7A">
            <w:pPr>
              <w:widowControl/>
              <w:rPr>
                <w:rFonts w:ascii="Arial Narrow" w:hAnsi="Arial Narrow"/>
                <w:sz w:val="20"/>
                <w:szCs w:val="20"/>
              </w:rPr>
            </w:pPr>
            <w:r w:rsidRPr="003776D3">
              <w:rPr>
                <w:rFonts w:ascii="Arial Narrow" w:hAnsi="Arial Narrow"/>
                <w:sz w:val="20"/>
                <w:szCs w:val="20"/>
              </w:rPr>
              <w:t>Patient must have previously been issued with an authority prescription for t</w:t>
            </w:r>
            <w:r>
              <w:rPr>
                <w:rFonts w:ascii="Arial Narrow" w:hAnsi="Arial Narrow"/>
                <w:sz w:val="20"/>
                <w:szCs w:val="20"/>
              </w:rPr>
              <w:t>his drug</w:t>
            </w:r>
          </w:p>
          <w:p w:rsidR="00320333" w:rsidRPr="003776D3" w:rsidRDefault="00320333" w:rsidP="00323E7A">
            <w:pPr>
              <w:widowControl/>
              <w:rPr>
                <w:rFonts w:ascii="Arial Narrow" w:hAnsi="Arial Narrow"/>
                <w:sz w:val="20"/>
                <w:szCs w:val="20"/>
              </w:rPr>
            </w:pPr>
          </w:p>
          <w:p w:rsidR="00320333" w:rsidRDefault="00320333" w:rsidP="00323E7A">
            <w:pPr>
              <w:widowControl/>
              <w:rPr>
                <w:rFonts w:ascii="Arial Narrow" w:hAnsi="Arial Narrow"/>
                <w:sz w:val="20"/>
                <w:szCs w:val="20"/>
              </w:rPr>
            </w:pPr>
            <w:r w:rsidRPr="003776D3">
              <w:rPr>
                <w:rFonts w:ascii="Arial Narrow" w:hAnsi="Arial Narrow"/>
                <w:sz w:val="20"/>
                <w:szCs w:val="20"/>
              </w:rPr>
              <w:t>AND</w:t>
            </w:r>
          </w:p>
          <w:p w:rsidR="00320333" w:rsidRPr="003776D3" w:rsidRDefault="00320333" w:rsidP="00323E7A">
            <w:pPr>
              <w:widowControl/>
              <w:rPr>
                <w:rFonts w:ascii="Arial Narrow" w:hAnsi="Arial Narrow"/>
                <w:sz w:val="20"/>
                <w:szCs w:val="20"/>
              </w:rPr>
            </w:pPr>
          </w:p>
          <w:p w:rsidR="00320333" w:rsidRPr="00C0121C" w:rsidRDefault="00320333" w:rsidP="00323E7A">
            <w:pPr>
              <w:widowControl/>
              <w:rPr>
                <w:rFonts w:ascii="Arial Narrow" w:hAnsi="Arial Narrow"/>
                <w:sz w:val="20"/>
                <w:szCs w:val="20"/>
              </w:rPr>
            </w:pPr>
            <w:r>
              <w:rPr>
                <w:rFonts w:ascii="Arial Narrow" w:hAnsi="Arial Narrow"/>
                <w:sz w:val="20"/>
                <w:szCs w:val="20"/>
              </w:rPr>
              <w:t>The t</w:t>
            </w:r>
            <w:r w:rsidRPr="00C0121C">
              <w:rPr>
                <w:rFonts w:ascii="Arial Narrow" w:hAnsi="Arial Narrow"/>
                <w:sz w:val="20"/>
                <w:szCs w:val="20"/>
              </w:rPr>
              <w:t>reatment must be the sole PBS-subsidised therapy for this condition</w:t>
            </w:r>
          </w:p>
          <w:p w:rsidR="00320333" w:rsidRPr="00C0121C" w:rsidRDefault="00320333" w:rsidP="00323E7A">
            <w:pPr>
              <w:widowControl/>
              <w:rPr>
                <w:rFonts w:ascii="Arial Narrow" w:hAnsi="Arial Narrow"/>
                <w:sz w:val="20"/>
                <w:szCs w:val="20"/>
              </w:rPr>
            </w:pPr>
          </w:p>
          <w:p w:rsidR="00320333" w:rsidRPr="00C0121C" w:rsidRDefault="00320333" w:rsidP="00323E7A">
            <w:pPr>
              <w:widowControl/>
              <w:rPr>
                <w:rFonts w:ascii="Arial Narrow" w:hAnsi="Arial Narrow"/>
                <w:sz w:val="20"/>
                <w:szCs w:val="20"/>
              </w:rPr>
            </w:pPr>
            <w:r w:rsidRPr="00C0121C">
              <w:rPr>
                <w:rFonts w:ascii="Arial Narrow" w:hAnsi="Arial Narrow"/>
                <w:sz w:val="20"/>
                <w:szCs w:val="20"/>
              </w:rPr>
              <w:t>AND</w:t>
            </w:r>
          </w:p>
          <w:p w:rsidR="00320333" w:rsidRPr="00C0121C" w:rsidRDefault="00320333" w:rsidP="00323E7A">
            <w:pPr>
              <w:widowControl/>
              <w:rPr>
                <w:rFonts w:ascii="Arial Narrow" w:hAnsi="Arial Narrow"/>
                <w:sz w:val="20"/>
                <w:szCs w:val="20"/>
              </w:rPr>
            </w:pPr>
          </w:p>
          <w:p w:rsidR="00320333" w:rsidRPr="00A715A4" w:rsidRDefault="00320333" w:rsidP="00323E7A">
            <w:pPr>
              <w:widowControl/>
              <w:rPr>
                <w:rFonts w:ascii="Arial Narrow" w:hAnsi="Arial Narrow"/>
                <w:sz w:val="20"/>
                <w:szCs w:val="20"/>
              </w:rPr>
            </w:pPr>
            <w:r w:rsidRPr="003776D3">
              <w:rPr>
                <w:rFonts w:ascii="Arial Narrow" w:hAnsi="Arial Narrow"/>
                <w:sz w:val="20"/>
                <w:szCs w:val="20"/>
              </w:rPr>
              <w:t>Patient must have stable or responding disease.</w:t>
            </w:r>
          </w:p>
        </w:tc>
      </w:tr>
      <w:tr w:rsidR="00320333" w:rsidRPr="00260CE3" w:rsidTr="00980106">
        <w:trPr>
          <w:cantSplit/>
          <w:trHeight w:val="508"/>
        </w:trPr>
        <w:tc>
          <w:tcPr>
            <w:tcW w:w="2835"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b/>
                <w:sz w:val="20"/>
                <w:szCs w:val="20"/>
              </w:rPr>
            </w:pPr>
            <w:r w:rsidRPr="00260CE3">
              <w:rPr>
                <w:rFonts w:ascii="Arial Narrow" w:hAnsi="Arial Narrow"/>
                <w:b/>
                <w:sz w:val="20"/>
                <w:szCs w:val="20"/>
              </w:rPr>
              <w:lastRenderedPageBreak/>
              <w:t>Prescriber Instructions</w:t>
            </w:r>
          </w:p>
          <w:p w:rsidR="00320333" w:rsidRPr="00260CE3" w:rsidRDefault="00320333" w:rsidP="00323E7A">
            <w:pPr>
              <w:widowControl/>
              <w:rPr>
                <w:rFonts w:ascii="Arial Narrow" w:hAnsi="Arial Narrow"/>
                <w:sz w:val="20"/>
                <w:szCs w:val="20"/>
              </w:rPr>
            </w:pPr>
          </w:p>
        </w:tc>
        <w:tc>
          <w:tcPr>
            <w:tcW w:w="5528" w:type="dxa"/>
            <w:tcBorders>
              <w:top w:val="single" w:sz="4" w:space="0" w:color="auto"/>
              <w:left w:val="single" w:sz="4" w:space="0" w:color="auto"/>
              <w:bottom w:val="single" w:sz="4" w:space="0" w:color="auto"/>
              <w:right w:val="single" w:sz="4" w:space="0" w:color="auto"/>
            </w:tcBorders>
          </w:tcPr>
          <w:p w:rsidR="00320333" w:rsidRPr="00260CE3" w:rsidRDefault="00320333" w:rsidP="00323E7A">
            <w:pPr>
              <w:widowControl/>
              <w:rPr>
                <w:rFonts w:ascii="Arial Narrow" w:hAnsi="Arial Narrow"/>
                <w:sz w:val="20"/>
                <w:szCs w:val="20"/>
              </w:rPr>
            </w:pPr>
            <w:r w:rsidRPr="00C0121C">
              <w:rPr>
                <w:rFonts w:ascii="Arial Narrow" w:hAnsi="Arial Narrow"/>
                <w:sz w:val="20"/>
                <w:szCs w:val="20"/>
              </w:rPr>
              <w:t>The patient’s body weight must be documented in the patient’s medical records at the time treatment is initiated.</w:t>
            </w:r>
          </w:p>
        </w:tc>
      </w:tr>
      <w:tr w:rsidR="00320333" w:rsidRPr="00260CE3" w:rsidTr="0043765A">
        <w:trPr>
          <w:cantSplit/>
          <w:trHeight w:val="1171"/>
        </w:trPr>
        <w:tc>
          <w:tcPr>
            <w:tcW w:w="2835" w:type="dxa"/>
            <w:tcBorders>
              <w:top w:val="single" w:sz="4" w:space="0" w:color="auto"/>
              <w:left w:val="single" w:sz="4" w:space="0" w:color="auto"/>
              <w:bottom w:val="single" w:sz="4" w:space="0" w:color="auto"/>
              <w:right w:val="single" w:sz="4" w:space="0" w:color="auto"/>
            </w:tcBorders>
          </w:tcPr>
          <w:p w:rsidR="00320333" w:rsidRPr="00C0121C" w:rsidRDefault="00320333" w:rsidP="00323E7A">
            <w:pPr>
              <w:widowControl/>
              <w:rPr>
                <w:rFonts w:ascii="Arial Narrow" w:hAnsi="Arial Narrow"/>
                <w:b/>
                <w:sz w:val="20"/>
                <w:szCs w:val="20"/>
              </w:rPr>
            </w:pPr>
            <w:r w:rsidRPr="00260CE3">
              <w:rPr>
                <w:rFonts w:ascii="Arial Narrow" w:hAnsi="Arial Narrow"/>
                <w:b/>
                <w:sz w:val="20"/>
                <w:szCs w:val="20"/>
              </w:rPr>
              <w:t>Administrative Advice</w:t>
            </w:r>
          </w:p>
        </w:tc>
        <w:tc>
          <w:tcPr>
            <w:tcW w:w="5528" w:type="dxa"/>
            <w:tcBorders>
              <w:top w:val="single" w:sz="4" w:space="0" w:color="auto"/>
              <w:left w:val="single" w:sz="4" w:space="0" w:color="auto"/>
              <w:bottom w:val="single" w:sz="4" w:space="0" w:color="auto"/>
              <w:right w:val="single" w:sz="4" w:space="0" w:color="auto"/>
            </w:tcBorders>
          </w:tcPr>
          <w:p w:rsidR="00320333" w:rsidRDefault="00320333" w:rsidP="00323E7A">
            <w:pPr>
              <w:widowControl/>
              <w:rPr>
                <w:rFonts w:ascii="Arial Narrow" w:hAnsi="Arial Narrow"/>
                <w:strike/>
                <w:sz w:val="20"/>
                <w:szCs w:val="20"/>
              </w:rPr>
            </w:pPr>
            <w:r w:rsidRPr="00C0121C">
              <w:rPr>
                <w:rFonts w:ascii="Arial Narrow" w:hAnsi="Arial Narrow"/>
                <w:strike/>
                <w:sz w:val="20"/>
                <w:szCs w:val="20"/>
              </w:rPr>
              <w:t>The recommended dose of nivolumab is 3 mg/kg administered intravenously over 60 minutes every 2 weeks.</w:t>
            </w:r>
          </w:p>
          <w:p w:rsidR="00320333" w:rsidRDefault="00320333" w:rsidP="00323E7A">
            <w:pPr>
              <w:widowControl/>
              <w:rPr>
                <w:rFonts w:ascii="Arial Narrow" w:hAnsi="Arial Narrow"/>
                <w:i/>
                <w:sz w:val="20"/>
                <w:szCs w:val="20"/>
              </w:rPr>
            </w:pPr>
            <w:r w:rsidRPr="00C5156F">
              <w:rPr>
                <w:rFonts w:ascii="Arial Narrow" w:hAnsi="Arial Narrow"/>
                <w:i/>
                <w:sz w:val="20"/>
                <w:szCs w:val="20"/>
              </w:rPr>
              <w:t>No increase in the maximum number of repeats may be authorised.</w:t>
            </w:r>
          </w:p>
          <w:p w:rsidR="00320333" w:rsidRDefault="00320333" w:rsidP="00323E7A">
            <w:pPr>
              <w:widowControl/>
              <w:rPr>
                <w:rFonts w:ascii="Arial Narrow" w:hAnsi="Arial Narrow"/>
                <w:i/>
                <w:sz w:val="20"/>
                <w:szCs w:val="20"/>
              </w:rPr>
            </w:pPr>
          </w:p>
          <w:p w:rsidR="00320333" w:rsidRPr="00E21DAB" w:rsidRDefault="00320333" w:rsidP="00323E7A">
            <w:pPr>
              <w:widowControl/>
              <w:rPr>
                <w:rFonts w:ascii="Arial Narrow" w:hAnsi="Arial Narrow"/>
                <w:i/>
                <w:sz w:val="20"/>
                <w:szCs w:val="20"/>
              </w:rPr>
            </w:pPr>
            <w:r w:rsidRPr="00C5156F">
              <w:rPr>
                <w:rFonts w:ascii="Arial Narrow" w:hAnsi="Arial Narrow"/>
                <w:i/>
                <w:sz w:val="20"/>
                <w:szCs w:val="20"/>
              </w:rPr>
              <w:t>Special Pricing Arrangements apply.</w:t>
            </w:r>
          </w:p>
        </w:tc>
      </w:tr>
    </w:tbl>
    <w:p w:rsidR="00320333" w:rsidRPr="00A054F8" w:rsidRDefault="00320333" w:rsidP="00323E7A">
      <w:pPr>
        <w:widowControl/>
        <w:rPr>
          <w:szCs w:val="22"/>
        </w:rPr>
      </w:pPr>
    </w:p>
    <w:p w:rsidR="003B3344" w:rsidRPr="00210778" w:rsidRDefault="003B3344" w:rsidP="00323E7A">
      <w:pPr>
        <w:pStyle w:val="ListParagraph"/>
        <w:widowControl/>
        <w:numPr>
          <w:ilvl w:val="1"/>
          <w:numId w:val="23"/>
        </w:numPr>
        <w:ind w:left="709" w:hanging="709"/>
      </w:pPr>
      <w:r w:rsidRPr="00210778">
        <w:t xml:space="preserve">The </w:t>
      </w:r>
      <w:r>
        <w:t xml:space="preserve">requested listing differs from the PBAC-recommended </w:t>
      </w:r>
      <w:r w:rsidR="008C3485">
        <w:t xml:space="preserve">PBS </w:t>
      </w:r>
      <w:r>
        <w:t>listing for pembrolizumab</w:t>
      </w:r>
      <w:r w:rsidR="00323E7A">
        <w:t xml:space="preserve"> (see the </w:t>
      </w:r>
      <w:r w:rsidR="00323E7A" w:rsidRPr="00930DE3">
        <w:t>positive recommendations from the March 2015 meeting</w:t>
      </w:r>
      <w:r w:rsidR="00323E7A">
        <w:t>)</w:t>
      </w:r>
      <w:r>
        <w:t xml:space="preserve">, which </w:t>
      </w:r>
      <w:r w:rsidR="00F9085B">
        <w:t>wa</w:t>
      </w:r>
      <w:r>
        <w:t xml:space="preserve">s recommended to be for patients who have not been exposed to ipilimumab, </w:t>
      </w:r>
      <w:r w:rsidR="008C3485">
        <w:t xml:space="preserve">with </w:t>
      </w:r>
      <w:r>
        <w:t>the sponsor of pembrolizumab provid</w:t>
      </w:r>
      <w:r w:rsidR="008C3485">
        <w:t>ing subsidised</w:t>
      </w:r>
      <w:r>
        <w:t xml:space="preserve"> access </w:t>
      </w:r>
      <w:r w:rsidR="008C3485">
        <w:t xml:space="preserve">to pembrolizumab </w:t>
      </w:r>
      <w:r>
        <w:t>for patients who are refractory to ipilimumab.</w:t>
      </w:r>
    </w:p>
    <w:p w:rsidR="003B3344" w:rsidRPr="00210778" w:rsidRDefault="003B3344" w:rsidP="00323E7A">
      <w:pPr>
        <w:widowControl/>
      </w:pPr>
    </w:p>
    <w:p w:rsidR="002C2775" w:rsidRDefault="00A054F8" w:rsidP="00323E7A">
      <w:pPr>
        <w:pStyle w:val="ListParagraph"/>
        <w:widowControl/>
        <w:numPr>
          <w:ilvl w:val="1"/>
          <w:numId w:val="23"/>
        </w:numPr>
        <w:ind w:left="709" w:hanging="709"/>
      </w:pPr>
      <w:r w:rsidRPr="00210778">
        <w:t>The submission sought listing on the basis of a cost utility analysis compared to ipilimumab, via an indirect comparison.</w:t>
      </w:r>
    </w:p>
    <w:p w:rsidR="00F66C06" w:rsidRPr="004A053A" w:rsidRDefault="00F66C06" w:rsidP="00323E7A">
      <w:pPr>
        <w:widowControl/>
      </w:pPr>
    </w:p>
    <w:p w:rsidR="00F66C06" w:rsidRPr="004A053A" w:rsidRDefault="00661889" w:rsidP="00323E7A">
      <w:pPr>
        <w:pStyle w:val="ListParagraph"/>
        <w:widowControl/>
        <w:numPr>
          <w:ilvl w:val="1"/>
          <w:numId w:val="23"/>
        </w:numPr>
        <w:ind w:left="709" w:hanging="709"/>
      </w:pPr>
      <w:r w:rsidRPr="004A053A">
        <w:t xml:space="preserve">Although the submission indicated there </w:t>
      </w:r>
      <w:r w:rsidR="0043765A" w:rsidRPr="004A053A">
        <w:t>we</w:t>
      </w:r>
      <w:r w:rsidRPr="004A053A">
        <w:t xml:space="preserve">re approximately 180 patients currently in an expanded access program, there was no discussion in the submission of grandfathering provisions for these patients. </w:t>
      </w:r>
      <w:r w:rsidR="00323E7A">
        <w:t>In the PSCR</w:t>
      </w:r>
      <w:r w:rsidR="00F66C06" w:rsidRPr="004A053A">
        <w:t>, the sponsor note</w:t>
      </w:r>
      <w:r w:rsidR="0043765A" w:rsidRPr="004A053A">
        <w:t>d</w:t>
      </w:r>
      <w:r w:rsidR="00F66C06" w:rsidRPr="004A053A">
        <w:t xml:space="preserve"> that</w:t>
      </w:r>
      <w:r w:rsidR="0043765A" w:rsidRPr="004A053A">
        <w:t>,</w:t>
      </w:r>
      <w:r w:rsidR="00F66C06" w:rsidRPr="004A053A">
        <w:t xml:space="preserve"> </w:t>
      </w:r>
      <w:r w:rsidR="00191974" w:rsidRPr="004A053A">
        <w:t xml:space="preserve">should nivolumab be recommended for listing, </w:t>
      </w:r>
      <w:r w:rsidR="00F66C06" w:rsidRPr="004A053A">
        <w:t>patients accessing nivolumab via the sponsor’s Expanded Access Program</w:t>
      </w:r>
      <w:r w:rsidR="00EA57DF" w:rsidRPr="004A053A">
        <w:t xml:space="preserve">, who are deriving clinical benefit, </w:t>
      </w:r>
      <w:r w:rsidR="00091F7D" w:rsidRPr="004A053A">
        <w:t xml:space="preserve">should </w:t>
      </w:r>
      <w:r w:rsidR="00EA57DF" w:rsidRPr="004A053A">
        <w:t xml:space="preserve">be grandfathered </w:t>
      </w:r>
      <w:r w:rsidR="00287DBE" w:rsidRPr="004A053A">
        <w:t xml:space="preserve">across </w:t>
      </w:r>
      <w:r w:rsidR="00EA57DF" w:rsidRPr="004A053A">
        <w:t>to PBS-</w:t>
      </w:r>
      <w:r w:rsidR="00191974" w:rsidRPr="004A053A">
        <w:t>subsidised</w:t>
      </w:r>
      <w:r w:rsidR="00EA57DF" w:rsidRPr="004A053A">
        <w:t xml:space="preserve"> nivolumab.</w:t>
      </w:r>
    </w:p>
    <w:p w:rsidR="00F97A78" w:rsidRDefault="00F97A78" w:rsidP="00323E7A">
      <w:pPr>
        <w:widowControl/>
        <w:rPr>
          <w:szCs w:val="22"/>
        </w:rPr>
      </w:pPr>
    </w:p>
    <w:p w:rsidR="007C295B" w:rsidRPr="00882085" w:rsidRDefault="007C295B" w:rsidP="00323E7A">
      <w:pPr>
        <w:widowControl/>
      </w:pPr>
    </w:p>
    <w:p w:rsidR="00B50DB8" w:rsidRDefault="00B50DB8" w:rsidP="00323E7A">
      <w:pPr>
        <w:pStyle w:val="Heading2"/>
        <w:widowControl/>
        <w:numPr>
          <w:ilvl w:val="0"/>
          <w:numId w:val="23"/>
        </w:numPr>
        <w:ind w:left="709" w:hanging="709"/>
      </w:pPr>
      <w:bookmarkStart w:id="4" w:name="_Toc419885966"/>
      <w:r w:rsidRPr="00407F2D">
        <w:t>Background</w:t>
      </w:r>
      <w:bookmarkEnd w:id="4"/>
    </w:p>
    <w:p w:rsidR="00BB35C8" w:rsidRPr="00BB35C8" w:rsidRDefault="00BB35C8" w:rsidP="00323E7A">
      <w:pPr>
        <w:widowControl/>
      </w:pPr>
    </w:p>
    <w:p w:rsidR="003A3593" w:rsidRPr="003F23CD" w:rsidRDefault="003A3593" w:rsidP="00323E7A">
      <w:pPr>
        <w:widowControl/>
        <w:rPr>
          <w:vanish/>
        </w:rPr>
      </w:pPr>
    </w:p>
    <w:p w:rsidR="0017704D" w:rsidRPr="003F23CD" w:rsidRDefault="006E38BD" w:rsidP="00323E7A">
      <w:pPr>
        <w:pStyle w:val="ListParagraph"/>
        <w:widowControl/>
        <w:numPr>
          <w:ilvl w:val="1"/>
          <w:numId w:val="23"/>
        </w:numPr>
        <w:ind w:left="709" w:hanging="709"/>
      </w:pPr>
      <w:r w:rsidRPr="003F23CD">
        <w:rPr>
          <w:bCs/>
          <w:szCs w:val="22"/>
        </w:rPr>
        <w:t xml:space="preserve">TGA status at time of </w:t>
      </w:r>
      <w:r w:rsidR="003F23CD" w:rsidRPr="003F23CD">
        <w:rPr>
          <w:bCs/>
          <w:szCs w:val="22"/>
        </w:rPr>
        <w:t>PBAC consideration</w:t>
      </w:r>
      <w:r w:rsidRPr="003F23CD">
        <w:rPr>
          <w:bCs/>
          <w:szCs w:val="22"/>
        </w:rPr>
        <w:t xml:space="preserve">: </w:t>
      </w:r>
      <w:r w:rsidR="0017704D" w:rsidRPr="003F23CD">
        <w:rPr>
          <w:bCs/>
          <w:szCs w:val="22"/>
        </w:rPr>
        <w:t>no TGA documentation was available.</w:t>
      </w:r>
    </w:p>
    <w:p w:rsidR="0017704D" w:rsidRPr="0017704D" w:rsidRDefault="0017704D" w:rsidP="00323E7A">
      <w:pPr>
        <w:widowControl/>
      </w:pPr>
    </w:p>
    <w:p w:rsidR="00B60939" w:rsidRPr="006C03DC" w:rsidRDefault="00A054F8" w:rsidP="00323E7A">
      <w:pPr>
        <w:pStyle w:val="ListParagraph"/>
        <w:widowControl/>
        <w:numPr>
          <w:ilvl w:val="1"/>
          <w:numId w:val="23"/>
        </w:numPr>
        <w:ind w:left="709" w:hanging="709"/>
      </w:pPr>
      <w:r>
        <w:t xml:space="preserve">Nivolumab was submitted to the TGA on </w:t>
      </w:r>
      <w:r w:rsidR="008C3485">
        <w:t xml:space="preserve">7 </w:t>
      </w:r>
      <w:r>
        <w:t xml:space="preserve">January 2015 and there was no TGA documentation available at the time of evaluation.  </w:t>
      </w:r>
      <w:r w:rsidR="00CF1D02">
        <w:t>The submission indicated that the current submission was being made under “extreme” parallel processing (submission’s highlighting</w:t>
      </w:r>
      <w:r w:rsidR="00CF1D02" w:rsidRPr="006C03DC">
        <w:t>)</w:t>
      </w:r>
      <w:r w:rsidRPr="006C03DC">
        <w:t>.</w:t>
      </w:r>
      <w:r w:rsidR="00365BF9" w:rsidRPr="006C03DC">
        <w:t xml:space="preserve">  There was no indication provided in the submission if the anticipated date of registration in February 2016 will be moved forward in regard to extreme parallel processing.</w:t>
      </w:r>
    </w:p>
    <w:p w:rsidR="00B60939" w:rsidRPr="008C3485" w:rsidRDefault="00B60939" w:rsidP="00323E7A">
      <w:pPr>
        <w:widowControl/>
        <w:rPr>
          <w:szCs w:val="22"/>
        </w:rPr>
      </w:pPr>
    </w:p>
    <w:p w:rsidR="002C2775" w:rsidRPr="003A3593" w:rsidRDefault="00BF3F4F" w:rsidP="00323E7A">
      <w:pPr>
        <w:pStyle w:val="ListParagraph"/>
        <w:widowControl/>
        <w:numPr>
          <w:ilvl w:val="1"/>
          <w:numId w:val="23"/>
        </w:numPr>
        <w:ind w:left="709" w:hanging="709"/>
      </w:pPr>
      <w:r w:rsidRPr="003A3593">
        <w:t>This was the first consideration of nivolumab by the PBAC.  Another PD-1 inhibitor, pembrolizumab, was considered by the PBAC in March 2015, and the PBAC has also recently considered ipilimumab (November 2012), vemurafenib (March 2013), dabrafenib (July 2014) and trametinib (November 2014) for the treatment of unresectable Stage III or Stage IV metastatic melanoma.</w:t>
      </w:r>
    </w:p>
    <w:p w:rsidR="00BF3F4F" w:rsidRPr="003A3593" w:rsidRDefault="00BF3F4F" w:rsidP="00323E7A">
      <w:pPr>
        <w:widowControl/>
      </w:pPr>
    </w:p>
    <w:p w:rsidR="00BF3F4F" w:rsidRPr="003A3593" w:rsidRDefault="00BF3F4F" w:rsidP="00323E7A">
      <w:pPr>
        <w:pStyle w:val="ListParagraph"/>
        <w:widowControl/>
        <w:numPr>
          <w:ilvl w:val="1"/>
          <w:numId w:val="23"/>
        </w:numPr>
        <w:ind w:left="709" w:hanging="709"/>
      </w:pPr>
      <w:r w:rsidRPr="003A3593">
        <w:t>The submission indicate</w:t>
      </w:r>
      <w:r w:rsidR="004710B5" w:rsidRPr="003A3593">
        <w:t>d</w:t>
      </w:r>
      <w:r w:rsidRPr="003A3593">
        <w:t xml:space="preserve"> that the sponsor </w:t>
      </w:r>
      <w:r w:rsidR="008C3485" w:rsidRPr="003A3593">
        <w:t>wa</w:t>
      </w:r>
      <w:r w:rsidRPr="003A3593">
        <w:t>s planning to lodge a submission in July 2015 for combination nivolumab and ipilimumab therapy.</w:t>
      </w:r>
    </w:p>
    <w:p w:rsidR="00B60939" w:rsidRDefault="00B60939" w:rsidP="00323E7A">
      <w:pPr>
        <w:widowControl/>
      </w:pPr>
    </w:p>
    <w:p w:rsidR="004A2FC8" w:rsidRDefault="004A2FC8" w:rsidP="00323E7A">
      <w:pPr>
        <w:widowControl/>
        <w:ind w:firstLine="709"/>
        <w:rPr>
          <w:i/>
          <w:szCs w:val="22"/>
        </w:rPr>
      </w:pPr>
      <w:r w:rsidRPr="00F2655B">
        <w:rPr>
          <w:i/>
          <w:szCs w:val="22"/>
        </w:rPr>
        <w:t>For more detail on PBAC’s view, see section 7 “PBAC outcome”</w:t>
      </w:r>
      <w:r w:rsidR="000B0D54">
        <w:rPr>
          <w:i/>
          <w:szCs w:val="22"/>
        </w:rPr>
        <w:t>.</w:t>
      </w:r>
    </w:p>
    <w:p w:rsidR="004A2FC8" w:rsidRDefault="004A2FC8" w:rsidP="00323E7A">
      <w:pPr>
        <w:widowControl/>
      </w:pPr>
    </w:p>
    <w:p w:rsidR="00E55BB5" w:rsidRPr="00882085" w:rsidRDefault="00E55BB5" w:rsidP="00323E7A">
      <w:pPr>
        <w:widowControl/>
      </w:pPr>
    </w:p>
    <w:p w:rsidR="00B50DB8" w:rsidRDefault="00B50DB8" w:rsidP="00323E7A">
      <w:pPr>
        <w:pStyle w:val="Heading2"/>
        <w:keepNext/>
        <w:widowControl/>
        <w:numPr>
          <w:ilvl w:val="0"/>
          <w:numId w:val="23"/>
        </w:numPr>
        <w:ind w:left="709" w:hanging="709"/>
      </w:pPr>
      <w:bookmarkStart w:id="5" w:name="_Toc419885967"/>
      <w:r w:rsidRPr="00407F2D">
        <w:lastRenderedPageBreak/>
        <w:t>Clinical place for the proposed therapy</w:t>
      </w:r>
      <w:bookmarkEnd w:id="5"/>
    </w:p>
    <w:p w:rsidR="00BB35C8" w:rsidRPr="00BB35C8" w:rsidRDefault="00BB35C8" w:rsidP="00323E7A">
      <w:pPr>
        <w:keepNext/>
        <w:widowControl/>
      </w:pPr>
    </w:p>
    <w:p w:rsidR="003A3593" w:rsidRPr="00287DBE" w:rsidRDefault="003A3593" w:rsidP="00323E7A">
      <w:pPr>
        <w:widowControl/>
        <w:rPr>
          <w:vanish/>
        </w:rPr>
      </w:pPr>
    </w:p>
    <w:p w:rsidR="00B60939" w:rsidRPr="004A053A" w:rsidRDefault="001C382C" w:rsidP="00323E7A">
      <w:pPr>
        <w:pStyle w:val="ListParagraph"/>
        <w:widowControl/>
        <w:numPr>
          <w:ilvl w:val="1"/>
          <w:numId w:val="23"/>
        </w:numPr>
        <w:ind w:left="709" w:hanging="709"/>
      </w:pPr>
      <w:r>
        <w:t>The requested listing specifie</w:t>
      </w:r>
      <w:r w:rsidR="00442CF6">
        <w:t>d</w:t>
      </w:r>
      <w:r>
        <w:t xml:space="preserve"> </w:t>
      </w:r>
      <w:r w:rsidRPr="004A053A">
        <w:t>monotherapy treatment of unresectable Stage III or Stage IV malignant melanoma in previously untreated patients (BRAF wild</w:t>
      </w:r>
      <w:r w:rsidR="00B02F92" w:rsidRPr="004A053A">
        <w:t>-</w:t>
      </w:r>
      <w:r w:rsidRPr="004A053A">
        <w:t xml:space="preserve">type) </w:t>
      </w:r>
      <w:r w:rsidR="00442CF6" w:rsidRPr="004A053A">
        <w:t xml:space="preserve">as well as monotherapy treatment in patients who have progressed on or after a BRAF </w:t>
      </w:r>
      <w:r w:rsidR="003C485F" w:rsidRPr="004A053A">
        <w:t>inhibitor regimen or after ipili</w:t>
      </w:r>
      <w:r w:rsidR="00442CF6" w:rsidRPr="004A053A">
        <w:t>mumab therapy (BRAF mutant).  It was anticipated that</w:t>
      </w:r>
      <w:r w:rsidR="008C3485" w:rsidRPr="004A053A">
        <w:t>,</w:t>
      </w:r>
      <w:r w:rsidR="00442CF6" w:rsidRPr="004A053A">
        <w:t xml:space="preserve"> for BRAF wild</w:t>
      </w:r>
      <w:r w:rsidR="008C3485" w:rsidRPr="004A053A">
        <w:t>-</w:t>
      </w:r>
      <w:r w:rsidR="00442CF6" w:rsidRPr="004A053A">
        <w:t>type patients, 95% of patients w</w:t>
      </w:r>
      <w:r w:rsidR="008C3485" w:rsidRPr="004A053A">
        <w:t>ould</w:t>
      </w:r>
      <w:r w:rsidR="00442CF6" w:rsidRPr="004A053A">
        <w:t xml:space="preserve"> use PD-1 inhibitors (nivolumab or pembrolizumab) in the first-line setting, replacing ipilimumab.  For BRAF mutant patients, 95% of patients w</w:t>
      </w:r>
      <w:r w:rsidR="008C3485" w:rsidRPr="004A053A">
        <w:t>ould</w:t>
      </w:r>
      <w:r w:rsidR="00442CF6" w:rsidRPr="004A053A">
        <w:t xml:space="preserve"> receive dabrafenib ± trametinib as first-line therapy and PD-1 inhibitors w</w:t>
      </w:r>
      <w:r w:rsidR="008C3485" w:rsidRPr="004A053A">
        <w:t>ould</w:t>
      </w:r>
      <w:r w:rsidR="00442CF6" w:rsidRPr="004A053A">
        <w:t xml:space="preserve"> be used as second-line therapy, replacing ipilimumab.</w:t>
      </w:r>
    </w:p>
    <w:p w:rsidR="00894489" w:rsidRPr="004A053A" w:rsidRDefault="00894489" w:rsidP="00323E7A">
      <w:pPr>
        <w:widowControl/>
        <w:rPr>
          <w:szCs w:val="22"/>
        </w:rPr>
      </w:pPr>
    </w:p>
    <w:p w:rsidR="002C2775" w:rsidRPr="004A053A" w:rsidRDefault="000B0D54" w:rsidP="00323E7A">
      <w:pPr>
        <w:pStyle w:val="ListParagraph"/>
        <w:widowControl/>
        <w:numPr>
          <w:ilvl w:val="1"/>
          <w:numId w:val="23"/>
        </w:numPr>
        <w:ind w:left="709" w:hanging="709"/>
      </w:pPr>
      <w:r>
        <w:t>Noting</w:t>
      </w:r>
      <w:r w:rsidR="00442CF6" w:rsidRPr="004A053A">
        <w:t xml:space="preserve"> the forecast submission </w:t>
      </w:r>
      <w:r>
        <w:t xml:space="preserve">expected to be lodged </w:t>
      </w:r>
      <w:r w:rsidR="00442CF6" w:rsidRPr="004A053A">
        <w:t xml:space="preserve">in July 2015 (for the November 2015 PBAC meeting) for combination use of nivolumab and ipilimumab, </w:t>
      </w:r>
      <w:r w:rsidR="00295196" w:rsidRPr="004A053A">
        <w:t>the ESC</w:t>
      </w:r>
      <w:r w:rsidR="00442CF6" w:rsidRPr="004A053A">
        <w:t xml:space="preserve"> considered</w:t>
      </w:r>
      <w:r w:rsidR="00295196" w:rsidRPr="004A053A">
        <w:t xml:space="preserve"> that the treatment of malignant melanoma is a rapidly evolving area, and it was</w:t>
      </w:r>
      <w:r w:rsidR="00442CF6" w:rsidRPr="004A053A">
        <w:t xml:space="preserve"> likely that the treatment algorithm depicted in the current submission </w:t>
      </w:r>
      <w:r w:rsidR="008C3485" w:rsidRPr="004A053A">
        <w:t xml:space="preserve">would </w:t>
      </w:r>
      <w:r w:rsidR="00442CF6" w:rsidRPr="004A053A">
        <w:t>change in the near future.</w:t>
      </w:r>
    </w:p>
    <w:p w:rsidR="004A2FC8" w:rsidRDefault="004A2FC8" w:rsidP="00323E7A">
      <w:pPr>
        <w:widowControl/>
      </w:pPr>
    </w:p>
    <w:p w:rsidR="00E55BB5" w:rsidRPr="00882085" w:rsidRDefault="00E55BB5" w:rsidP="00323E7A">
      <w:pPr>
        <w:pStyle w:val="Header"/>
        <w:widowControl/>
        <w:rPr>
          <w:szCs w:val="22"/>
        </w:rPr>
      </w:pPr>
    </w:p>
    <w:p w:rsidR="00B50DB8" w:rsidRDefault="00B50DB8" w:rsidP="00323E7A">
      <w:pPr>
        <w:pStyle w:val="Heading2"/>
        <w:widowControl/>
        <w:numPr>
          <w:ilvl w:val="0"/>
          <w:numId w:val="23"/>
        </w:numPr>
        <w:ind w:left="709" w:hanging="709"/>
      </w:pPr>
      <w:bookmarkStart w:id="6" w:name="_Toc419885968"/>
      <w:r w:rsidRPr="00751BD0">
        <w:t>Comparator</w:t>
      </w:r>
      <w:bookmarkEnd w:id="6"/>
    </w:p>
    <w:p w:rsidR="00BB35C8" w:rsidRPr="00BB35C8" w:rsidRDefault="00BB35C8" w:rsidP="00323E7A">
      <w:pPr>
        <w:widowControl/>
      </w:pPr>
    </w:p>
    <w:p w:rsidR="003A3593" w:rsidRPr="004A053A" w:rsidRDefault="003A3593" w:rsidP="00323E7A">
      <w:pPr>
        <w:widowControl/>
        <w:rPr>
          <w:vanish/>
        </w:rPr>
      </w:pPr>
    </w:p>
    <w:p w:rsidR="002C2775" w:rsidRPr="004A053A" w:rsidRDefault="000125EF" w:rsidP="00323E7A">
      <w:pPr>
        <w:pStyle w:val="ListParagraph"/>
        <w:widowControl/>
        <w:numPr>
          <w:ilvl w:val="1"/>
          <w:numId w:val="23"/>
        </w:numPr>
        <w:ind w:left="709" w:hanging="709"/>
      </w:pPr>
      <w:r w:rsidRPr="004A053A">
        <w:t>The submission nominated i</w:t>
      </w:r>
      <w:r w:rsidR="00B228D2" w:rsidRPr="004A053A">
        <w:t>pilimumab</w:t>
      </w:r>
      <w:r w:rsidRPr="004A053A">
        <w:t xml:space="preserve"> as the main comparator</w:t>
      </w:r>
      <w:r w:rsidR="00B228D2" w:rsidRPr="004A053A">
        <w:t xml:space="preserve">.  </w:t>
      </w:r>
      <w:r w:rsidR="00323E7A">
        <w:t>The PSCR</w:t>
      </w:r>
      <w:r w:rsidR="006E14C6" w:rsidRPr="004A053A">
        <w:t xml:space="preserve"> maintained that ipilimumab is still the appropriate main comparator “as i) it is the only immuno-oncology medicine currently PBS listed for the treatment of unresectable or metastatic melanoma and ii) head-to-head data comparing nivolumab with ipilimumab are available.”  </w:t>
      </w:r>
      <w:r w:rsidR="00B228D2" w:rsidRPr="004A053A">
        <w:t>While this was the appropriate comparator at the time the submission was lodged,</w:t>
      </w:r>
      <w:r w:rsidR="007535DF" w:rsidRPr="004A053A">
        <w:t xml:space="preserve"> the ESC considered that</w:t>
      </w:r>
      <w:r w:rsidR="00B228D2" w:rsidRPr="004A053A">
        <w:t xml:space="preserve"> the recommendation of pembrolizumab in March 2015 by the PBAC </w:t>
      </w:r>
      <w:r w:rsidR="00401E77" w:rsidRPr="004A053A">
        <w:t xml:space="preserve">(albeit in ipilimumab-naïve patients only) </w:t>
      </w:r>
      <w:r w:rsidR="008C3485" w:rsidRPr="004A053A">
        <w:t xml:space="preserve">meant </w:t>
      </w:r>
      <w:r w:rsidR="00B228D2" w:rsidRPr="004A053A">
        <w:t>that pembrolizumab w</w:t>
      </w:r>
      <w:r w:rsidR="008C3485" w:rsidRPr="004A053A">
        <w:t>ould also</w:t>
      </w:r>
      <w:r w:rsidR="00B228D2" w:rsidRPr="004A053A">
        <w:t xml:space="preserve"> be </w:t>
      </w:r>
      <w:r w:rsidR="008C3485" w:rsidRPr="004A053A">
        <w:t>an</w:t>
      </w:r>
      <w:r w:rsidR="00B228D2" w:rsidRPr="004A053A">
        <w:t xml:space="preserve"> appropriate comparator</w:t>
      </w:r>
      <w:r w:rsidR="006E14C6" w:rsidRPr="004A053A">
        <w:t xml:space="preserve"> because nivolumab and pembrolizumab are closer pharmacological analogues than either is to ipilimumab and the availability </w:t>
      </w:r>
      <w:r w:rsidR="004A73BF" w:rsidRPr="004A053A">
        <w:t xml:space="preserve">or not </w:t>
      </w:r>
      <w:r w:rsidR="006E14C6" w:rsidRPr="004A053A">
        <w:t>of evidence is irrelevant to the determination of the main comparator</w:t>
      </w:r>
      <w:r w:rsidR="00B228D2" w:rsidRPr="004A053A">
        <w:t>.</w:t>
      </w:r>
      <w:r w:rsidR="00EE0FA0" w:rsidRPr="004A053A">
        <w:t xml:space="preserve">  The ESC requested that a comparison of the nivolumab and pembrolizumab submissions be prepared for the PBAC.</w:t>
      </w:r>
    </w:p>
    <w:p w:rsidR="00B228D2" w:rsidRPr="004A053A" w:rsidRDefault="00B228D2" w:rsidP="00323E7A">
      <w:pPr>
        <w:widowControl/>
        <w:rPr>
          <w:szCs w:val="22"/>
        </w:rPr>
      </w:pPr>
    </w:p>
    <w:p w:rsidR="00B228D2" w:rsidRPr="004A053A" w:rsidRDefault="00B228D2" w:rsidP="00323E7A">
      <w:pPr>
        <w:pStyle w:val="ListParagraph"/>
        <w:widowControl/>
        <w:numPr>
          <w:ilvl w:val="1"/>
          <w:numId w:val="23"/>
        </w:numPr>
        <w:ind w:left="709" w:hanging="709"/>
      </w:pPr>
      <w:r w:rsidRPr="004A053A">
        <w:t>The submission presented what was described as an informal comparison of nivolumab and pembrolizumab.  The informal comparison presented by the submission consisted solely of tabled evidence from the nivolumab trial CA209-066 and two pembrolizumab trials, KN-001 and KN-006, with no statistical comparisons provided.  Therefore, the informal comparison presented by the submission did not represent an actual comparison that c</w:t>
      </w:r>
      <w:r w:rsidR="00044262" w:rsidRPr="004A053A">
        <w:t>ould</w:t>
      </w:r>
      <w:r w:rsidRPr="004A053A">
        <w:t xml:space="preserve"> inform the comparative effectiveness and safety of nivolumab and pembrolizumab.</w:t>
      </w:r>
      <w:r w:rsidR="00671DA4" w:rsidRPr="004A053A">
        <w:t xml:space="preserve"> </w:t>
      </w:r>
      <w:r w:rsidR="00182FE8" w:rsidRPr="004A053A">
        <w:t xml:space="preserve"> The PSCR provided an indirect comparison </w:t>
      </w:r>
      <w:r w:rsidR="005B558C" w:rsidRPr="004A053A">
        <w:t>of pembrolizumab and nivolumab (</w:t>
      </w:r>
      <w:r w:rsidR="00CA537A" w:rsidRPr="004A053A">
        <w:t xml:space="preserve">based on </w:t>
      </w:r>
      <w:r w:rsidR="005B558C" w:rsidRPr="004A053A">
        <w:t xml:space="preserve">CA209-067 </w:t>
      </w:r>
      <w:r w:rsidR="00CA537A" w:rsidRPr="004A053A">
        <w:t>and</w:t>
      </w:r>
      <w:r w:rsidR="005B558C" w:rsidRPr="004A053A">
        <w:t xml:space="preserve"> KN-006</w:t>
      </w:r>
      <w:r w:rsidR="00CA537A" w:rsidRPr="004A053A">
        <w:t xml:space="preserve"> data</w:t>
      </w:r>
      <w:r w:rsidR="005B558C" w:rsidRPr="004A053A">
        <w:t>)</w:t>
      </w:r>
      <w:r w:rsidR="007535DF" w:rsidRPr="004A053A">
        <w:t>.</w:t>
      </w:r>
    </w:p>
    <w:p w:rsidR="00FA6362" w:rsidRDefault="00FA6362" w:rsidP="00323E7A">
      <w:pPr>
        <w:widowControl/>
        <w:rPr>
          <w:szCs w:val="22"/>
        </w:rPr>
      </w:pPr>
    </w:p>
    <w:p w:rsidR="004A2FC8" w:rsidRDefault="004A2FC8" w:rsidP="00323E7A">
      <w:pPr>
        <w:widowControl/>
        <w:ind w:firstLine="709"/>
        <w:rPr>
          <w:i/>
          <w:szCs w:val="22"/>
        </w:rPr>
      </w:pPr>
      <w:r w:rsidRPr="008370B4">
        <w:rPr>
          <w:i/>
          <w:szCs w:val="22"/>
        </w:rPr>
        <w:t>For more detail on PBAC’s view, see section 7 “PBAC outcome”</w:t>
      </w:r>
      <w:r w:rsidR="000B0D54">
        <w:rPr>
          <w:i/>
          <w:szCs w:val="22"/>
        </w:rPr>
        <w:t>.</w:t>
      </w:r>
    </w:p>
    <w:p w:rsidR="004A2FC8" w:rsidRDefault="004A2FC8" w:rsidP="00323E7A">
      <w:pPr>
        <w:widowControl/>
        <w:rPr>
          <w:szCs w:val="22"/>
        </w:rPr>
      </w:pPr>
    </w:p>
    <w:p w:rsidR="00FF2C4D" w:rsidRPr="00DF5D2B" w:rsidRDefault="00FF2C4D" w:rsidP="00323E7A">
      <w:pPr>
        <w:widowControl/>
        <w:rPr>
          <w:szCs w:val="22"/>
        </w:rPr>
      </w:pPr>
    </w:p>
    <w:p w:rsidR="00B50DB8" w:rsidRPr="00407F2D" w:rsidRDefault="00BD6CF3" w:rsidP="00323E7A">
      <w:pPr>
        <w:pStyle w:val="Heading2"/>
        <w:widowControl/>
        <w:numPr>
          <w:ilvl w:val="0"/>
          <w:numId w:val="23"/>
        </w:numPr>
        <w:ind w:left="709" w:hanging="709"/>
      </w:pPr>
      <w:bookmarkStart w:id="7" w:name="_Toc419885969"/>
      <w:r>
        <w:t>C</w:t>
      </w:r>
      <w:r w:rsidR="00B50DB8" w:rsidRPr="00407F2D">
        <w:t>onsideration of the evidence</w:t>
      </w:r>
      <w:bookmarkEnd w:id="7"/>
    </w:p>
    <w:p w:rsidR="00B60939" w:rsidRDefault="00B60939" w:rsidP="00323E7A">
      <w:pPr>
        <w:widowControl/>
      </w:pPr>
    </w:p>
    <w:p w:rsidR="00902186" w:rsidRPr="00902186" w:rsidRDefault="00902186" w:rsidP="00323E7A">
      <w:pPr>
        <w:pStyle w:val="Heading2"/>
        <w:widowControl/>
        <w:rPr>
          <w:i/>
        </w:rPr>
      </w:pPr>
      <w:r w:rsidRPr="00902186">
        <w:rPr>
          <w:i/>
        </w:rPr>
        <w:t>Sponsor hearing</w:t>
      </w:r>
    </w:p>
    <w:p w:rsidR="00902186" w:rsidRPr="00902186" w:rsidRDefault="00902186" w:rsidP="00323E7A">
      <w:pPr>
        <w:widowControl/>
        <w:rPr>
          <w:bCs/>
          <w:szCs w:val="22"/>
        </w:rPr>
      </w:pPr>
    </w:p>
    <w:p w:rsidR="00902186" w:rsidRPr="00902186" w:rsidRDefault="00902186" w:rsidP="00323E7A">
      <w:pPr>
        <w:pStyle w:val="ListParagraph"/>
        <w:widowControl/>
        <w:numPr>
          <w:ilvl w:val="1"/>
          <w:numId w:val="23"/>
        </w:numPr>
        <w:ind w:left="709" w:hanging="709"/>
        <w:rPr>
          <w:bCs/>
          <w:szCs w:val="22"/>
        </w:rPr>
      </w:pPr>
      <w:r w:rsidRPr="00902186">
        <w:rPr>
          <w:bCs/>
          <w:szCs w:val="22"/>
        </w:rPr>
        <w:t>There was no hearing for this item.</w:t>
      </w:r>
    </w:p>
    <w:p w:rsidR="004A2FC8" w:rsidRPr="003A49F2" w:rsidRDefault="004A2FC8" w:rsidP="00323E7A">
      <w:pPr>
        <w:widowControl/>
        <w:rPr>
          <w:bCs/>
          <w:szCs w:val="22"/>
          <w:highlight w:val="yellow"/>
        </w:rPr>
      </w:pPr>
    </w:p>
    <w:p w:rsidR="00BD16DD" w:rsidRPr="00BD16DD" w:rsidRDefault="00BD16DD" w:rsidP="00323E7A">
      <w:pPr>
        <w:widowControl/>
        <w:spacing w:after="200" w:line="276" w:lineRule="auto"/>
        <w:rPr>
          <w:b/>
          <w:bCs/>
          <w:i/>
          <w:szCs w:val="22"/>
        </w:rPr>
      </w:pPr>
      <w:r w:rsidRPr="00BD16DD">
        <w:rPr>
          <w:b/>
          <w:bCs/>
          <w:i/>
          <w:szCs w:val="22"/>
        </w:rPr>
        <w:lastRenderedPageBreak/>
        <w:t>Consumer comments</w:t>
      </w:r>
    </w:p>
    <w:p w:rsidR="00BD16DD" w:rsidRPr="00BD16DD" w:rsidRDefault="00BD16DD" w:rsidP="00323E7A">
      <w:pPr>
        <w:pStyle w:val="ListParagraph"/>
        <w:widowControl/>
        <w:numPr>
          <w:ilvl w:val="1"/>
          <w:numId w:val="23"/>
        </w:numPr>
        <w:ind w:left="709" w:hanging="709"/>
        <w:rPr>
          <w:bCs/>
          <w:szCs w:val="22"/>
        </w:rPr>
      </w:pPr>
      <w:r w:rsidRPr="00BD16DD">
        <w:rPr>
          <w:bCs/>
          <w:szCs w:val="22"/>
        </w:rPr>
        <w:t>The PBAC noted and welcomed the input from individuals (12), health care professionals (1) and organisations (3) via the Consumer Comments facility on the PBS website. The comments described the importance of access to melanoma treatments on the PBS and the survival benefits of nivolumab compared to current treatment</w:t>
      </w:r>
      <w:r>
        <w:rPr>
          <w:bCs/>
          <w:szCs w:val="22"/>
        </w:rPr>
        <w:t xml:space="preserve"> with chemotherapy or ipilimumab</w:t>
      </w:r>
      <w:r w:rsidR="000B0D54">
        <w:rPr>
          <w:bCs/>
          <w:szCs w:val="22"/>
        </w:rPr>
        <w:t>.</w:t>
      </w:r>
    </w:p>
    <w:p w:rsidR="004A2FC8" w:rsidRPr="003A49F2" w:rsidRDefault="004A2FC8" w:rsidP="00323E7A">
      <w:pPr>
        <w:widowControl/>
        <w:contextualSpacing/>
        <w:rPr>
          <w:bCs/>
          <w:szCs w:val="22"/>
          <w:highlight w:val="yellow"/>
        </w:rPr>
      </w:pPr>
    </w:p>
    <w:p w:rsidR="000C6E04" w:rsidRPr="000C6E04" w:rsidRDefault="000C6E04" w:rsidP="00323E7A">
      <w:pPr>
        <w:widowControl/>
        <w:rPr>
          <w:i/>
          <w:u w:val="single"/>
        </w:rPr>
      </w:pPr>
      <w:r w:rsidRPr="000C6E04">
        <w:rPr>
          <w:i/>
          <w:u w:val="single"/>
        </w:rPr>
        <w:t>Original submission (11 March 2015)</w:t>
      </w:r>
    </w:p>
    <w:p w:rsidR="000C6E04" w:rsidRPr="00882085" w:rsidRDefault="000C6E04" w:rsidP="00323E7A">
      <w:pPr>
        <w:widowControl/>
      </w:pPr>
    </w:p>
    <w:p w:rsidR="00B60939" w:rsidRDefault="00B60939" w:rsidP="00323E7A">
      <w:pPr>
        <w:pStyle w:val="Heading2"/>
        <w:widowControl/>
        <w:rPr>
          <w:i/>
        </w:rPr>
      </w:pPr>
      <w:bookmarkStart w:id="8" w:name="_Toc419885970"/>
      <w:r w:rsidRPr="002C2775">
        <w:rPr>
          <w:i/>
        </w:rPr>
        <w:t>Clinical trials</w:t>
      </w:r>
      <w:bookmarkEnd w:id="8"/>
    </w:p>
    <w:p w:rsidR="00BB35C8" w:rsidRPr="00BB35C8" w:rsidRDefault="00BB35C8" w:rsidP="00323E7A">
      <w:pPr>
        <w:widowControl/>
      </w:pPr>
    </w:p>
    <w:p w:rsidR="003A3593" w:rsidRPr="00287DBE" w:rsidRDefault="003A3593" w:rsidP="00323E7A">
      <w:pPr>
        <w:widowControl/>
        <w:rPr>
          <w:vanish/>
        </w:rPr>
      </w:pPr>
    </w:p>
    <w:p w:rsidR="007F1017" w:rsidRPr="006C03DC" w:rsidRDefault="00000C64" w:rsidP="00323E7A">
      <w:pPr>
        <w:pStyle w:val="ListParagraph"/>
        <w:widowControl/>
        <w:numPr>
          <w:ilvl w:val="1"/>
          <w:numId w:val="23"/>
        </w:numPr>
        <w:ind w:left="709" w:hanging="709"/>
      </w:pPr>
      <w:r>
        <w:t xml:space="preserve">The </w:t>
      </w:r>
      <w:r w:rsidR="000B0D54">
        <w:t xml:space="preserve">original </w:t>
      </w:r>
      <w:r>
        <w:t xml:space="preserve">submission was based on an indirect comparison of </w:t>
      </w:r>
      <w:r w:rsidR="003C7BAF">
        <w:t xml:space="preserve">one trial </w:t>
      </w:r>
      <w:r w:rsidR="00E35544">
        <w:t xml:space="preserve">(CA209-066) </w:t>
      </w:r>
      <w:r w:rsidR="003C7BAF">
        <w:t xml:space="preserve">comparing nivolumab and </w:t>
      </w:r>
      <w:r w:rsidR="003C7BAF" w:rsidRPr="006C03DC">
        <w:t xml:space="preserve">dacarbazine (DTIC) and a second trial </w:t>
      </w:r>
      <w:r w:rsidR="00E35544">
        <w:t xml:space="preserve">(MDX010-20) </w:t>
      </w:r>
      <w:r w:rsidR="003C7BAF" w:rsidRPr="006C03DC">
        <w:t xml:space="preserve">comparing ipilimumab and gp100.  The submission claimed that since DTIC and gp100 both represent largely ineffective therapies, they </w:t>
      </w:r>
      <w:r w:rsidR="003C485F" w:rsidRPr="006C03DC">
        <w:t>represent</w:t>
      </w:r>
      <w:r w:rsidR="003C7BAF" w:rsidRPr="006C03DC">
        <w:t xml:space="preserve"> a common </w:t>
      </w:r>
      <w:r w:rsidR="00044262" w:rsidRPr="006C03DC">
        <w:t>reference</w:t>
      </w:r>
      <w:r w:rsidR="003C7BAF" w:rsidRPr="006C03DC">
        <w:t>.  Given that gp100 was used as a proxy for DTIC and fotemustine in the original (July 2011) and subsequent ipilimumab submissions (March 2012, November 2012), this was considered reasonable.</w:t>
      </w:r>
    </w:p>
    <w:p w:rsidR="00862502" w:rsidRPr="00862502" w:rsidRDefault="00862502" w:rsidP="00323E7A">
      <w:pPr>
        <w:widowControl/>
        <w:rPr>
          <w:szCs w:val="22"/>
        </w:rPr>
      </w:pPr>
    </w:p>
    <w:p w:rsidR="00862502" w:rsidRPr="003A3593" w:rsidRDefault="00862502" w:rsidP="00323E7A">
      <w:pPr>
        <w:pStyle w:val="ListParagraph"/>
        <w:widowControl/>
        <w:numPr>
          <w:ilvl w:val="1"/>
          <w:numId w:val="23"/>
        </w:numPr>
        <w:ind w:left="709" w:hanging="709"/>
      </w:pPr>
      <w:r w:rsidRPr="003A3593">
        <w:t>Details of the trials presented in the submission ar</w:t>
      </w:r>
      <w:r w:rsidR="00044262" w:rsidRPr="003A3593">
        <w:t>e provided in the table below.</w:t>
      </w:r>
    </w:p>
    <w:p w:rsidR="00862502" w:rsidRPr="00862502" w:rsidRDefault="00862502" w:rsidP="00323E7A">
      <w:pPr>
        <w:widowControl/>
        <w:rPr>
          <w:szCs w:val="22"/>
        </w:rPr>
      </w:pPr>
    </w:p>
    <w:p w:rsidR="003C7BAF" w:rsidRPr="00CC072A" w:rsidRDefault="003C7BAF" w:rsidP="00323E7A">
      <w:pPr>
        <w:widowControl/>
        <w:ind w:left="709"/>
        <w:rPr>
          <w:rStyle w:val="CommentReference"/>
        </w:rPr>
      </w:pPr>
      <w:r w:rsidRPr="00CC072A">
        <w:rPr>
          <w:rStyle w:val="CommentReference"/>
        </w:rPr>
        <w:t xml:space="preserve">Table </w:t>
      </w:r>
      <w:r w:rsidR="0061538A">
        <w:rPr>
          <w:rStyle w:val="CommentReference"/>
        </w:rPr>
        <w:t>1</w:t>
      </w:r>
      <w:r w:rsidRPr="00CC072A">
        <w:rPr>
          <w:rStyle w:val="CommentReference"/>
        </w:rPr>
        <w:t>: Trials (and associated reports) presented in the submission</w:t>
      </w:r>
    </w:p>
    <w:tbl>
      <w:tblPr>
        <w:tblW w:w="458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1"/>
        <w:gridCol w:w="1135"/>
        <w:gridCol w:w="6206"/>
      </w:tblGrid>
      <w:tr w:rsidR="000B0D54" w:rsidRPr="004E2ADC" w:rsidTr="000B0D54">
        <w:tc>
          <w:tcPr>
            <w:tcW w:w="595" w:type="pct"/>
            <w:tcBorders>
              <w:top w:val="single" w:sz="4" w:space="0" w:color="auto"/>
              <w:left w:val="single" w:sz="4" w:space="0" w:color="auto"/>
              <w:bottom w:val="single" w:sz="4" w:space="0" w:color="auto"/>
              <w:right w:val="single" w:sz="4" w:space="0" w:color="auto"/>
            </w:tcBorders>
            <w:vAlign w:val="center"/>
          </w:tcPr>
          <w:p w:rsidR="000B0D54" w:rsidRPr="004E2ADC" w:rsidRDefault="000B0D54" w:rsidP="00323E7A">
            <w:pPr>
              <w:pStyle w:val="TableHeading"/>
              <w:keepNext w:val="0"/>
              <w:spacing w:before="0" w:after="0"/>
              <w:rPr>
                <w:rFonts w:cs="Arial"/>
                <w:lang w:eastAsia="en-AU"/>
              </w:rPr>
            </w:pPr>
            <w:r w:rsidRPr="004E2ADC">
              <w:rPr>
                <w:rFonts w:cs="Arial"/>
                <w:lang w:eastAsia="en-AU"/>
              </w:rPr>
              <w:t>Trial</w:t>
            </w:r>
          </w:p>
        </w:tc>
        <w:tc>
          <w:tcPr>
            <w:tcW w:w="681" w:type="pct"/>
            <w:tcBorders>
              <w:top w:val="single" w:sz="4" w:space="0" w:color="auto"/>
              <w:left w:val="single" w:sz="4" w:space="0" w:color="auto"/>
              <w:bottom w:val="single" w:sz="4" w:space="0" w:color="auto"/>
              <w:right w:val="single" w:sz="4" w:space="0" w:color="auto"/>
            </w:tcBorders>
            <w:vAlign w:val="center"/>
          </w:tcPr>
          <w:p w:rsidR="000B0D54" w:rsidRPr="004E2ADC" w:rsidRDefault="000B0D54" w:rsidP="00323E7A">
            <w:pPr>
              <w:pStyle w:val="TableHeading"/>
              <w:keepNext w:val="0"/>
              <w:spacing w:before="0" w:after="0"/>
              <w:jc w:val="center"/>
              <w:rPr>
                <w:rFonts w:cs="Arial"/>
                <w:lang w:eastAsia="en-AU"/>
              </w:rPr>
            </w:pPr>
            <w:r w:rsidRPr="004E2ADC">
              <w:rPr>
                <w:rFonts w:cs="Arial"/>
                <w:lang w:eastAsia="en-AU"/>
              </w:rPr>
              <w:t>Description</w:t>
            </w:r>
          </w:p>
        </w:tc>
        <w:tc>
          <w:tcPr>
            <w:tcW w:w="3724" w:type="pct"/>
            <w:tcBorders>
              <w:top w:val="single" w:sz="4" w:space="0" w:color="auto"/>
              <w:left w:val="single" w:sz="4" w:space="0" w:color="auto"/>
              <w:bottom w:val="single" w:sz="4" w:space="0" w:color="auto"/>
              <w:right w:val="single" w:sz="4" w:space="0" w:color="auto"/>
            </w:tcBorders>
            <w:vAlign w:val="center"/>
          </w:tcPr>
          <w:p w:rsidR="000B0D54" w:rsidRPr="004E2ADC" w:rsidRDefault="000B0D54" w:rsidP="00323E7A">
            <w:pPr>
              <w:pStyle w:val="TableHeading"/>
              <w:keepNext w:val="0"/>
              <w:spacing w:before="0" w:after="0"/>
              <w:jc w:val="center"/>
              <w:rPr>
                <w:rFonts w:cs="Arial"/>
                <w:lang w:eastAsia="en-AU"/>
              </w:rPr>
            </w:pPr>
            <w:r w:rsidRPr="004E2ADC">
              <w:rPr>
                <w:rFonts w:cs="Arial"/>
                <w:lang w:eastAsia="en-AU"/>
              </w:rPr>
              <w:t>Reports</w:t>
            </w:r>
          </w:p>
        </w:tc>
      </w:tr>
      <w:tr w:rsidR="003C7BAF" w:rsidRPr="004E2ADC" w:rsidTr="003C7BAF">
        <w:tc>
          <w:tcPr>
            <w:tcW w:w="5000" w:type="pct"/>
            <w:gridSpan w:val="3"/>
            <w:tcBorders>
              <w:top w:val="single" w:sz="4" w:space="0" w:color="auto"/>
              <w:left w:val="single" w:sz="4" w:space="0" w:color="auto"/>
              <w:bottom w:val="single" w:sz="4" w:space="0" w:color="auto"/>
              <w:right w:val="single" w:sz="4" w:space="0" w:color="auto"/>
            </w:tcBorders>
            <w:vAlign w:val="center"/>
          </w:tcPr>
          <w:p w:rsidR="003C7BAF" w:rsidRPr="004E2ADC" w:rsidRDefault="003C7BAF" w:rsidP="00323E7A">
            <w:pPr>
              <w:pStyle w:val="TableHeading"/>
              <w:keepNext w:val="0"/>
              <w:spacing w:before="0" w:after="0"/>
              <w:rPr>
                <w:rFonts w:cs="Arial"/>
                <w:lang w:eastAsia="en-AU"/>
              </w:rPr>
            </w:pPr>
            <w:r w:rsidRPr="004E2ADC">
              <w:rPr>
                <w:rFonts w:cs="Arial"/>
                <w:lang w:eastAsia="en-AU"/>
              </w:rPr>
              <w:t xml:space="preserve">Common reference </w:t>
            </w:r>
            <w:r>
              <w:rPr>
                <w:rFonts w:cs="Arial"/>
                <w:lang w:eastAsia="en-AU"/>
              </w:rPr>
              <w:t>DTIC and gp100</w:t>
            </w:r>
          </w:p>
        </w:tc>
      </w:tr>
      <w:tr w:rsidR="003C7BAF" w:rsidRPr="004E2ADC" w:rsidTr="003C7BAF">
        <w:tc>
          <w:tcPr>
            <w:tcW w:w="5000" w:type="pct"/>
            <w:gridSpan w:val="3"/>
            <w:tcBorders>
              <w:top w:val="single" w:sz="4" w:space="0" w:color="auto"/>
              <w:left w:val="single" w:sz="4" w:space="0" w:color="auto"/>
              <w:bottom w:val="single" w:sz="4" w:space="0" w:color="auto"/>
              <w:right w:val="single" w:sz="4" w:space="0" w:color="auto"/>
            </w:tcBorders>
            <w:vAlign w:val="center"/>
          </w:tcPr>
          <w:p w:rsidR="003C7BAF" w:rsidRPr="00C77845" w:rsidRDefault="003C7BAF" w:rsidP="00323E7A">
            <w:pPr>
              <w:pStyle w:val="TableText0"/>
              <w:keepNext w:val="0"/>
              <w:spacing w:before="0" w:after="0"/>
              <w:rPr>
                <w:rFonts w:cs="Arial"/>
                <w:iCs/>
                <w:lang w:eastAsia="en-AU"/>
              </w:rPr>
            </w:pPr>
            <w:r w:rsidRPr="00C77845">
              <w:rPr>
                <w:rFonts w:cs="Arial"/>
                <w:iCs/>
                <w:lang w:eastAsia="en-AU"/>
              </w:rPr>
              <w:t>Nivolumab</w:t>
            </w:r>
          </w:p>
        </w:tc>
      </w:tr>
      <w:tr w:rsidR="000B0D54" w:rsidRPr="004E2ADC" w:rsidTr="000B0D54">
        <w:tc>
          <w:tcPr>
            <w:tcW w:w="595" w:type="pct"/>
            <w:tcBorders>
              <w:top w:val="single" w:sz="4" w:space="0" w:color="auto"/>
              <w:left w:val="single" w:sz="4" w:space="0" w:color="auto"/>
              <w:bottom w:val="single" w:sz="4" w:space="0" w:color="auto"/>
              <w:right w:val="single" w:sz="4" w:space="0" w:color="auto"/>
            </w:tcBorders>
          </w:tcPr>
          <w:p w:rsidR="000B0D54" w:rsidRPr="004E2ADC" w:rsidRDefault="000B0D54" w:rsidP="00323E7A">
            <w:pPr>
              <w:pStyle w:val="TableText0"/>
              <w:keepNext w:val="0"/>
              <w:spacing w:before="0" w:after="0"/>
              <w:rPr>
                <w:rFonts w:cs="Arial"/>
                <w:lang w:eastAsia="en-AU"/>
              </w:rPr>
            </w:pPr>
            <w:r>
              <w:rPr>
                <w:rFonts w:cs="Arial"/>
                <w:lang w:eastAsia="en-AU"/>
              </w:rPr>
              <w:t>CA209-066</w:t>
            </w:r>
          </w:p>
        </w:tc>
        <w:tc>
          <w:tcPr>
            <w:tcW w:w="681" w:type="pct"/>
            <w:tcBorders>
              <w:top w:val="single" w:sz="4" w:space="0" w:color="auto"/>
              <w:left w:val="single" w:sz="4" w:space="0" w:color="auto"/>
              <w:bottom w:val="single" w:sz="4" w:space="0" w:color="auto"/>
              <w:right w:val="single" w:sz="4" w:space="0" w:color="auto"/>
            </w:tcBorders>
          </w:tcPr>
          <w:p w:rsidR="000B0D54" w:rsidRPr="004E2ADC" w:rsidRDefault="000B0D54" w:rsidP="00323E7A">
            <w:pPr>
              <w:pStyle w:val="TableText0"/>
              <w:keepNext w:val="0"/>
              <w:spacing w:before="0" w:after="0"/>
              <w:rPr>
                <w:rFonts w:cs="Arial"/>
                <w:lang w:eastAsia="en-AU"/>
              </w:rPr>
            </w:pPr>
            <w:r>
              <w:rPr>
                <w:rFonts w:cs="Arial"/>
                <w:lang w:eastAsia="en-AU"/>
              </w:rPr>
              <w:t>R, DB, MC</w:t>
            </w:r>
          </w:p>
        </w:tc>
        <w:tc>
          <w:tcPr>
            <w:tcW w:w="3724" w:type="pct"/>
            <w:tcBorders>
              <w:top w:val="single" w:sz="4" w:space="0" w:color="auto"/>
              <w:left w:val="single" w:sz="4" w:space="0" w:color="auto"/>
              <w:bottom w:val="single" w:sz="4" w:space="0" w:color="auto"/>
              <w:right w:val="single" w:sz="4" w:space="0" w:color="auto"/>
            </w:tcBorders>
            <w:vAlign w:val="center"/>
          </w:tcPr>
          <w:p w:rsidR="000B0D54" w:rsidRPr="004E2ADC" w:rsidRDefault="000B0D54" w:rsidP="00323E7A">
            <w:pPr>
              <w:pStyle w:val="TableText0"/>
              <w:keepNext w:val="0"/>
              <w:spacing w:before="0" w:after="0"/>
              <w:rPr>
                <w:rFonts w:cs="Arial"/>
                <w:lang w:eastAsia="en-AU"/>
              </w:rPr>
            </w:pPr>
            <w:r w:rsidRPr="00FD0EB4">
              <w:rPr>
                <w:rFonts w:cs="Arial"/>
                <w:lang w:eastAsia="en-AU"/>
              </w:rPr>
              <w:t>A Phase 3, Randomized, Double-blind Study of BMS-936558 (Nivolumab)</w:t>
            </w:r>
            <w:r>
              <w:rPr>
                <w:rFonts w:cs="Arial"/>
                <w:lang w:eastAsia="en-AU"/>
              </w:rPr>
              <w:t xml:space="preserve"> </w:t>
            </w:r>
            <w:r w:rsidRPr="00FD0EB4">
              <w:rPr>
                <w:rFonts w:cs="Arial"/>
                <w:lang w:eastAsia="en-AU"/>
              </w:rPr>
              <w:t>Versus Dacarbazine in Subjects with Previously Untreated, Unresectable or</w:t>
            </w:r>
            <w:r>
              <w:rPr>
                <w:rFonts w:cs="Arial"/>
                <w:lang w:eastAsia="en-AU"/>
              </w:rPr>
              <w:t xml:space="preserve"> </w:t>
            </w:r>
            <w:r w:rsidRPr="00FD0EB4">
              <w:rPr>
                <w:rFonts w:cs="Arial"/>
                <w:lang w:eastAsia="en-AU"/>
              </w:rPr>
              <w:t>Metastatic Melanoma</w:t>
            </w:r>
            <w:r w:rsidRPr="004E2ADC">
              <w:rPr>
                <w:rFonts w:cs="Arial"/>
                <w:lang w:eastAsia="en-AU"/>
              </w:rPr>
              <w:t xml:space="preserve">. </w:t>
            </w:r>
            <w:r w:rsidRPr="00FD0EB4">
              <w:rPr>
                <w:rFonts w:cs="Arial"/>
                <w:lang w:eastAsia="en-AU"/>
              </w:rPr>
              <w:t>20-Oct-2014</w:t>
            </w:r>
            <w:r>
              <w:rPr>
                <w:rFonts w:cs="Arial"/>
                <w:lang w:eastAsia="en-AU"/>
              </w:rPr>
              <w:t>.</w:t>
            </w:r>
          </w:p>
          <w:p w:rsidR="000B0D54" w:rsidRDefault="000B0D54" w:rsidP="00323E7A">
            <w:pPr>
              <w:pStyle w:val="TableText0"/>
              <w:keepNext w:val="0"/>
              <w:spacing w:before="0" w:after="0"/>
              <w:rPr>
                <w:rFonts w:cs="Arial"/>
                <w:lang w:eastAsia="en-AU"/>
              </w:rPr>
            </w:pPr>
          </w:p>
          <w:p w:rsidR="000B0D54" w:rsidRPr="004E2ADC" w:rsidRDefault="000B0D54" w:rsidP="00323E7A">
            <w:pPr>
              <w:pStyle w:val="TableText0"/>
              <w:keepNext w:val="0"/>
              <w:spacing w:before="0" w:after="0"/>
              <w:rPr>
                <w:rFonts w:cs="Arial"/>
                <w:lang w:eastAsia="en-AU"/>
              </w:rPr>
            </w:pPr>
            <w:r>
              <w:rPr>
                <w:rFonts w:cs="Arial"/>
                <w:lang w:eastAsia="en-AU"/>
              </w:rPr>
              <w:t>Robert C, Long GV, Brady B, et al. Nivolumab in previously untreated melanoma without BRAF mutation. N Engl J Med 2015; 372(4):311-9.</w:t>
            </w:r>
          </w:p>
        </w:tc>
      </w:tr>
      <w:tr w:rsidR="003C7BAF" w:rsidRPr="004E2ADC" w:rsidTr="003C7BAF">
        <w:tc>
          <w:tcPr>
            <w:tcW w:w="5000" w:type="pct"/>
            <w:gridSpan w:val="3"/>
            <w:tcBorders>
              <w:top w:val="single" w:sz="4" w:space="0" w:color="auto"/>
              <w:left w:val="single" w:sz="4" w:space="0" w:color="auto"/>
              <w:bottom w:val="single" w:sz="4" w:space="0" w:color="auto"/>
              <w:right w:val="single" w:sz="4" w:space="0" w:color="auto"/>
            </w:tcBorders>
            <w:vAlign w:val="center"/>
          </w:tcPr>
          <w:p w:rsidR="003C7BAF" w:rsidRPr="00C77845" w:rsidRDefault="003C7BAF" w:rsidP="00323E7A">
            <w:pPr>
              <w:pStyle w:val="TableText0"/>
              <w:keepNext w:val="0"/>
              <w:spacing w:before="0" w:after="0"/>
              <w:rPr>
                <w:rFonts w:cs="Arial"/>
                <w:iCs/>
                <w:lang w:eastAsia="en-AU"/>
              </w:rPr>
            </w:pPr>
            <w:r w:rsidRPr="00C77845">
              <w:rPr>
                <w:rFonts w:cs="Arial"/>
                <w:iCs/>
                <w:lang w:eastAsia="en-AU"/>
              </w:rPr>
              <w:t>Ipilimumab</w:t>
            </w:r>
          </w:p>
        </w:tc>
      </w:tr>
      <w:tr w:rsidR="000B0D54" w:rsidRPr="004E2ADC" w:rsidTr="000B0D54">
        <w:tc>
          <w:tcPr>
            <w:tcW w:w="595" w:type="pct"/>
            <w:tcBorders>
              <w:top w:val="single" w:sz="4" w:space="0" w:color="auto"/>
              <w:left w:val="single" w:sz="4" w:space="0" w:color="auto"/>
              <w:bottom w:val="single" w:sz="4" w:space="0" w:color="auto"/>
              <w:right w:val="single" w:sz="4" w:space="0" w:color="auto"/>
            </w:tcBorders>
          </w:tcPr>
          <w:p w:rsidR="000B0D54" w:rsidRPr="004E2ADC" w:rsidRDefault="000B0D54" w:rsidP="00323E7A">
            <w:pPr>
              <w:pStyle w:val="TableText0"/>
              <w:keepNext w:val="0"/>
              <w:spacing w:before="0" w:after="0"/>
              <w:rPr>
                <w:rFonts w:cs="Arial"/>
                <w:lang w:eastAsia="en-AU"/>
              </w:rPr>
            </w:pPr>
            <w:r>
              <w:rPr>
                <w:rFonts w:cs="Arial"/>
                <w:lang w:eastAsia="en-AU"/>
              </w:rPr>
              <w:t>MDX010-20</w:t>
            </w:r>
          </w:p>
        </w:tc>
        <w:tc>
          <w:tcPr>
            <w:tcW w:w="681" w:type="pct"/>
            <w:tcBorders>
              <w:top w:val="single" w:sz="4" w:space="0" w:color="auto"/>
              <w:left w:val="single" w:sz="4" w:space="0" w:color="auto"/>
              <w:bottom w:val="single" w:sz="4" w:space="0" w:color="auto"/>
              <w:right w:val="single" w:sz="4" w:space="0" w:color="auto"/>
            </w:tcBorders>
          </w:tcPr>
          <w:p w:rsidR="000B0D54" w:rsidRPr="004E2ADC" w:rsidRDefault="000B0D54" w:rsidP="00323E7A">
            <w:pPr>
              <w:pStyle w:val="TableText0"/>
              <w:keepNext w:val="0"/>
              <w:spacing w:before="0" w:after="0"/>
              <w:rPr>
                <w:rFonts w:cs="Arial"/>
                <w:lang w:eastAsia="en-AU"/>
              </w:rPr>
            </w:pPr>
            <w:r>
              <w:rPr>
                <w:rFonts w:cs="Arial"/>
                <w:lang w:eastAsia="en-AU"/>
              </w:rPr>
              <w:t>R, DB, MC</w:t>
            </w:r>
          </w:p>
        </w:tc>
        <w:tc>
          <w:tcPr>
            <w:tcW w:w="3724" w:type="pct"/>
            <w:tcBorders>
              <w:top w:val="single" w:sz="4" w:space="0" w:color="auto"/>
              <w:left w:val="single" w:sz="4" w:space="0" w:color="auto"/>
              <w:bottom w:val="single" w:sz="4" w:space="0" w:color="auto"/>
              <w:right w:val="single" w:sz="4" w:space="0" w:color="auto"/>
            </w:tcBorders>
          </w:tcPr>
          <w:p w:rsidR="000B0D54" w:rsidRPr="00885C28" w:rsidRDefault="000B0D54" w:rsidP="00323E7A">
            <w:pPr>
              <w:pStyle w:val="TableText0"/>
              <w:keepNext w:val="0"/>
              <w:spacing w:before="0" w:after="0"/>
              <w:rPr>
                <w:rFonts w:cs="Arial"/>
                <w:lang w:val="da-DK" w:eastAsia="en-AU"/>
              </w:rPr>
            </w:pPr>
            <w:r w:rsidRPr="00460B1D">
              <w:rPr>
                <w:rFonts w:cs="Arial"/>
                <w:lang w:eastAsia="en-AU"/>
              </w:rPr>
              <w:t xml:space="preserve">A </w:t>
            </w:r>
            <w:r>
              <w:rPr>
                <w:rFonts w:cs="Arial"/>
                <w:lang w:eastAsia="en-AU"/>
              </w:rPr>
              <w:t>Randomized, Double-blind Multicenter</w:t>
            </w:r>
            <w:r w:rsidRPr="00460B1D">
              <w:rPr>
                <w:rFonts w:cs="Arial"/>
                <w:lang w:eastAsia="en-AU"/>
              </w:rPr>
              <w:t xml:space="preserve"> Study Comparing</w:t>
            </w:r>
            <w:r>
              <w:rPr>
                <w:rFonts w:cs="Arial"/>
                <w:lang w:eastAsia="en-AU"/>
              </w:rPr>
              <w:t xml:space="preserve"> </w:t>
            </w:r>
            <w:r w:rsidRPr="00460B1D">
              <w:rPr>
                <w:rFonts w:cs="Arial"/>
                <w:lang w:eastAsia="en-AU"/>
              </w:rPr>
              <w:t>MDX-010 Monotherapy, MDX-010 in Combination with a</w:t>
            </w:r>
            <w:r>
              <w:rPr>
                <w:rFonts w:cs="Arial"/>
                <w:lang w:eastAsia="en-AU"/>
              </w:rPr>
              <w:t xml:space="preserve"> </w:t>
            </w:r>
            <w:r w:rsidRPr="00460B1D">
              <w:rPr>
                <w:rFonts w:cs="Arial"/>
                <w:lang w:eastAsia="en-AU"/>
              </w:rPr>
              <w:t>Melanoma Peptide Vaccine, and Melanoma Vaccine Monotherapy</w:t>
            </w:r>
            <w:r>
              <w:rPr>
                <w:rFonts w:cs="Arial"/>
                <w:lang w:eastAsia="en-AU"/>
              </w:rPr>
              <w:t xml:space="preserve"> </w:t>
            </w:r>
            <w:r w:rsidRPr="00460B1D">
              <w:rPr>
                <w:rFonts w:cs="Arial"/>
                <w:lang w:eastAsia="en-AU"/>
              </w:rPr>
              <w:t>in HLA-A*0201-Positive Patients with Previously Treated</w:t>
            </w:r>
            <w:r>
              <w:rPr>
                <w:rFonts w:cs="Arial"/>
                <w:lang w:eastAsia="en-AU"/>
              </w:rPr>
              <w:t xml:space="preserve"> </w:t>
            </w:r>
            <w:r w:rsidRPr="00460B1D">
              <w:rPr>
                <w:rFonts w:cs="Arial"/>
                <w:lang w:eastAsia="en-AU"/>
              </w:rPr>
              <w:t>Unresectable Stage III or IV Melanoma</w:t>
            </w:r>
            <w:r w:rsidRPr="004E2ADC">
              <w:rPr>
                <w:rFonts w:cs="Arial"/>
                <w:lang w:eastAsia="en-AU"/>
              </w:rPr>
              <w:t>.</w:t>
            </w:r>
            <w:r>
              <w:rPr>
                <w:rFonts w:cs="Arial"/>
                <w:lang w:eastAsia="en-AU"/>
              </w:rPr>
              <w:t xml:space="preserve"> </w:t>
            </w:r>
            <w:r w:rsidRPr="00885C28">
              <w:rPr>
                <w:rFonts w:cs="Arial"/>
                <w:lang w:val="da-DK" w:eastAsia="en-AU"/>
              </w:rPr>
              <w:t>Mar-2010.</w:t>
            </w:r>
          </w:p>
          <w:p w:rsidR="000B0D54" w:rsidRPr="00885C28" w:rsidRDefault="000B0D54" w:rsidP="00323E7A">
            <w:pPr>
              <w:pStyle w:val="TableText0"/>
              <w:keepNext w:val="0"/>
              <w:spacing w:before="0" w:after="0"/>
              <w:rPr>
                <w:rFonts w:cs="Arial"/>
                <w:lang w:val="da-DK" w:eastAsia="en-AU"/>
              </w:rPr>
            </w:pPr>
          </w:p>
          <w:p w:rsidR="000B0D54" w:rsidRPr="00885C28" w:rsidRDefault="000B0D54" w:rsidP="00323E7A">
            <w:pPr>
              <w:pStyle w:val="TableText0"/>
              <w:keepNext w:val="0"/>
              <w:spacing w:before="0" w:after="0"/>
              <w:rPr>
                <w:rFonts w:cs="Arial"/>
                <w:lang w:val="da-DK" w:eastAsia="en-AU"/>
              </w:rPr>
            </w:pPr>
            <w:r w:rsidRPr="00885C28">
              <w:rPr>
                <w:rFonts w:cs="Arial"/>
                <w:lang w:val="da-DK" w:eastAsia="en-AU"/>
              </w:rPr>
              <w:t xml:space="preserve">Hodi FS, O'Day SJ, McDermott DF, Weber RW, et al. </w:t>
            </w:r>
            <w:r w:rsidRPr="004B6361">
              <w:rPr>
                <w:rFonts w:cs="Arial"/>
                <w:lang w:eastAsia="en-AU"/>
              </w:rPr>
              <w:t xml:space="preserve">Improved survival with ipilimumab in patients with metastatic melanoma. </w:t>
            </w:r>
            <w:r w:rsidRPr="00885C28">
              <w:rPr>
                <w:rFonts w:cs="Arial"/>
                <w:lang w:val="da-DK" w:eastAsia="en-AU"/>
              </w:rPr>
              <w:t>N Engl J Med. 2010a; 363(8): 711-23.</w:t>
            </w:r>
          </w:p>
          <w:p w:rsidR="000B0D54" w:rsidRPr="00885C28" w:rsidRDefault="000B0D54" w:rsidP="00323E7A">
            <w:pPr>
              <w:pStyle w:val="TableText0"/>
              <w:keepNext w:val="0"/>
              <w:spacing w:before="0" w:after="0"/>
              <w:rPr>
                <w:rFonts w:cs="Arial"/>
                <w:lang w:val="da-DK" w:eastAsia="en-AU"/>
              </w:rPr>
            </w:pPr>
          </w:p>
          <w:p w:rsidR="000B0D54" w:rsidRPr="004E2ADC" w:rsidRDefault="000B0D54" w:rsidP="00323E7A">
            <w:pPr>
              <w:pStyle w:val="TableText0"/>
              <w:keepNext w:val="0"/>
              <w:spacing w:before="0" w:after="0"/>
              <w:rPr>
                <w:rFonts w:cs="Arial"/>
                <w:lang w:eastAsia="en-AU"/>
              </w:rPr>
            </w:pPr>
            <w:r w:rsidRPr="00885C28">
              <w:rPr>
                <w:rFonts w:cs="Arial"/>
                <w:lang w:val="da-DK" w:eastAsia="en-AU"/>
              </w:rPr>
              <w:t xml:space="preserve">Weber JS, Dummer R, de Pril V, Lebbé C, et al. </w:t>
            </w:r>
            <w:r w:rsidRPr="004B6361">
              <w:rPr>
                <w:rFonts w:cs="Arial"/>
                <w:lang w:eastAsia="en-AU"/>
              </w:rPr>
              <w:t>Patterns of onset and resolution of immune-related adverse events of special interest with ipilimumab: detailed safety analysis from a phase 3 trial in patients with advanced melanoma. Cancer. 2013; 119(9):1675-82.</w:t>
            </w:r>
          </w:p>
        </w:tc>
      </w:tr>
    </w:tbl>
    <w:p w:rsidR="003C7BAF" w:rsidRDefault="003C7BAF" w:rsidP="00323E7A">
      <w:pPr>
        <w:widowControl/>
        <w:ind w:left="709"/>
        <w:rPr>
          <w:rStyle w:val="CommentReference"/>
          <w:b w:val="0"/>
          <w:sz w:val="18"/>
        </w:rPr>
      </w:pPr>
      <w:r>
        <w:rPr>
          <w:rStyle w:val="CommentReference"/>
          <w:b w:val="0"/>
          <w:sz w:val="18"/>
        </w:rPr>
        <w:t xml:space="preserve">Source: </w:t>
      </w:r>
      <w:r w:rsidRPr="00C77845">
        <w:rPr>
          <w:rStyle w:val="CommentReference"/>
          <w:b w:val="0"/>
          <w:sz w:val="18"/>
        </w:rPr>
        <w:t>Table</w:t>
      </w:r>
      <w:r>
        <w:rPr>
          <w:rStyle w:val="CommentReference"/>
          <w:b w:val="0"/>
          <w:sz w:val="18"/>
        </w:rPr>
        <w:t xml:space="preserve"> 9, p48-50, Table 11, p55-56</w:t>
      </w:r>
      <w:r w:rsidRPr="00C77845">
        <w:rPr>
          <w:rStyle w:val="CommentReference"/>
          <w:b w:val="0"/>
          <w:sz w:val="18"/>
        </w:rPr>
        <w:t xml:space="preserve"> of the submission</w:t>
      </w:r>
      <w:r>
        <w:rPr>
          <w:rStyle w:val="CommentReference"/>
          <w:b w:val="0"/>
          <w:sz w:val="18"/>
        </w:rPr>
        <w:t>.</w:t>
      </w:r>
    </w:p>
    <w:p w:rsidR="003C7BAF" w:rsidRDefault="00FE2AC8" w:rsidP="00323E7A">
      <w:pPr>
        <w:widowControl/>
        <w:ind w:left="709"/>
        <w:rPr>
          <w:rStyle w:val="CommentReference"/>
          <w:b w:val="0"/>
          <w:sz w:val="18"/>
        </w:rPr>
      </w:pPr>
      <w:r>
        <w:rPr>
          <w:rStyle w:val="CommentReference"/>
          <w:b w:val="0"/>
          <w:sz w:val="18"/>
        </w:rPr>
        <w:t>DB=double-blind; DTIC=dacar</w:t>
      </w:r>
      <w:r w:rsidR="003C7BAF">
        <w:rPr>
          <w:rStyle w:val="CommentReference"/>
          <w:b w:val="0"/>
          <w:sz w:val="18"/>
        </w:rPr>
        <w:t xml:space="preserve">bazine; gp100=melanoma antigen glycoprotein 100 peptide vaccine; MC=multicentre; </w:t>
      </w:r>
      <w:r w:rsidR="00831A62">
        <w:rPr>
          <w:rStyle w:val="CommentReference"/>
          <w:b w:val="0"/>
          <w:sz w:val="18"/>
        </w:rPr>
        <w:t>R=</w:t>
      </w:r>
      <w:r w:rsidR="00D74B13">
        <w:rPr>
          <w:rStyle w:val="CommentReference"/>
          <w:b w:val="0"/>
          <w:sz w:val="18"/>
        </w:rPr>
        <w:t>randomised</w:t>
      </w:r>
    </w:p>
    <w:p w:rsidR="003C7BAF" w:rsidRPr="008F120A" w:rsidRDefault="003C7BAF" w:rsidP="00323E7A">
      <w:pPr>
        <w:widowControl/>
        <w:rPr>
          <w:szCs w:val="22"/>
        </w:rPr>
      </w:pPr>
    </w:p>
    <w:p w:rsidR="00896788" w:rsidRDefault="00E473AE" w:rsidP="00323E7A">
      <w:pPr>
        <w:pStyle w:val="ListParagraph"/>
        <w:widowControl/>
        <w:numPr>
          <w:ilvl w:val="1"/>
          <w:numId w:val="23"/>
        </w:numPr>
        <w:ind w:left="709" w:hanging="709"/>
      </w:pPr>
      <w:r>
        <w:t xml:space="preserve">The submission excluded CA209-037, which is a randomised, open-label trial comparing nivolumab </w:t>
      </w:r>
      <w:r w:rsidR="00044262">
        <w:t>with</w:t>
      </w:r>
      <w:r>
        <w:t xml:space="preserve"> DTIC or carboplatin+paclitaxel in patients </w:t>
      </w:r>
      <w:r w:rsidR="003C485F">
        <w:t>progressing post anti-CTLA-4 (i</w:t>
      </w:r>
      <w:r>
        <w:t xml:space="preserve">pilimumab) therapy.  The submission indicated the main reason for </w:t>
      </w:r>
      <w:r>
        <w:lastRenderedPageBreak/>
        <w:t xml:space="preserve">excluding this trial </w:t>
      </w:r>
      <w:r w:rsidR="00044262">
        <w:t>wa</w:t>
      </w:r>
      <w:r>
        <w:t xml:space="preserve">s that there </w:t>
      </w:r>
      <w:r w:rsidR="00044262">
        <w:t>wa</w:t>
      </w:r>
      <w:r>
        <w:t xml:space="preserve">s limited information available and the trial </w:t>
      </w:r>
      <w:r w:rsidR="00044262">
        <w:t>wa</w:t>
      </w:r>
      <w:r>
        <w:t>s still ongoing.  The submission indicate</w:t>
      </w:r>
      <w:r w:rsidR="00044262">
        <w:t>d</w:t>
      </w:r>
      <w:r>
        <w:t xml:space="preserve"> that while data for overall response rate has been presented (at ESMO 2014), data for overall survival </w:t>
      </w:r>
      <w:r w:rsidR="00044262">
        <w:t>wa</w:t>
      </w:r>
      <w:r>
        <w:t xml:space="preserve">s not yet available.  In </w:t>
      </w:r>
      <w:r w:rsidRPr="006C03DC">
        <w:t>addition, the trial included patients who had failed prior therapy with ipilimumab.  The submission state</w:t>
      </w:r>
      <w:r w:rsidR="00044262" w:rsidRPr="006C03DC">
        <w:t>d</w:t>
      </w:r>
      <w:r w:rsidRPr="006C03DC">
        <w:t xml:space="preserve"> that patients most likely to receive nivolumab in the second-line setting w</w:t>
      </w:r>
      <w:r w:rsidR="00044262" w:rsidRPr="006C03DC">
        <w:t>ould</w:t>
      </w:r>
      <w:r w:rsidRPr="006C03DC">
        <w:t xml:space="preserve"> be those who have failed on BRAF inhibitors, which this trial d</w:t>
      </w:r>
      <w:r w:rsidR="00044262" w:rsidRPr="006C03DC">
        <w:t>id</w:t>
      </w:r>
      <w:r w:rsidRPr="006C03DC">
        <w:t xml:space="preserve"> not inform.  However, the trial protocol indicate</w:t>
      </w:r>
      <w:r w:rsidR="00044262" w:rsidRPr="006C03DC">
        <w:t>d</w:t>
      </w:r>
      <w:r w:rsidRPr="006C03DC">
        <w:t xml:space="preserve"> that BRAF mutant patients must have progressed on ipilimumab and a BRAF inhibitor, and the data presented at ESMO indicated that 22% of the trial population were BRAF mutant.  Importantly, the requested PBS listing specifie</w:t>
      </w:r>
      <w:r w:rsidR="00771FEA" w:rsidRPr="006C03DC">
        <w:t>d</w:t>
      </w:r>
      <w:r w:rsidRPr="006C03DC">
        <w:t xml:space="preserve"> patients who have progressed on or after a BRAF inhibit</w:t>
      </w:r>
      <w:r w:rsidR="00771FEA" w:rsidRPr="006C03DC">
        <w:t>or</w:t>
      </w:r>
      <w:r w:rsidRPr="006C03DC">
        <w:t xml:space="preserve"> regimen or after ipilimumab therapy.  While CA209-037 appear</w:t>
      </w:r>
      <w:r w:rsidR="00771FEA" w:rsidRPr="006C03DC">
        <w:t>ed</w:t>
      </w:r>
      <w:r w:rsidRPr="006C03DC">
        <w:t xml:space="preserve"> to have included BRAF mutant patients who ha</w:t>
      </w:r>
      <w:r w:rsidR="00771FEA" w:rsidRPr="006C03DC">
        <w:t>d</w:t>
      </w:r>
      <w:r w:rsidRPr="006C03DC">
        <w:t xml:space="preserve"> failed both a BRAF inhibitor and ipilimumab, it also include</w:t>
      </w:r>
      <w:r w:rsidR="00771FEA" w:rsidRPr="006C03DC">
        <w:t>d</w:t>
      </w:r>
      <w:r w:rsidRPr="006C03DC">
        <w:t xml:space="preserve"> patients who ha</w:t>
      </w:r>
      <w:r w:rsidR="00771FEA" w:rsidRPr="006C03DC">
        <w:t>d</w:t>
      </w:r>
      <w:r w:rsidRPr="006C03DC">
        <w:t xml:space="preserve"> failed ipilimumab, which </w:t>
      </w:r>
      <w:r w:rsidR="00771FEA" w:rsidRPr="006C03DC">
        <w:t>wa</w:t>
      </w:r>
      <w:r w:rsidRPr="006C03DC">
        <w:t xml:space="preserve">s a relevant patient population for the requested PBS listing.  With a trial completion date of January 2015, it </w:t>
      </w:r>
      <w:r w:rsidR="00771FEA" w:rsidRPr="006C03DC">
        <w:t>wa</w:t>
      </w:r>
      <w:r w:rsidRPr="006C03DC">
        <w:t>s assumed that data additional to that presented at ESMO 2014 would be available.  Inclusion of this trial would have been informative for the requested PBS listing.</w:t>
      </w:r>
    </w:p>
    <w:p w:rsidR="00D51523" w:rsidRDefault="00D51523" w:rsidP="00323E7A">
      <w:pPr>
        <w:widowControl/>
      </w:pPr>
    </w:p>
    <w:p w:rsidR="00862502" w:rsidRPr="003A3593" w:rsidRDefault="008F120A" w:rsidP="00323E7A">
      <w:pPr>
        <w:pStyle w:val="ListParagraph"/>
        <w:widowControl/>
        <w:numPr>
          <w:ilvl w:val="1"/>
          <w:numId w:val="23"/>
        </w:numPr>
        <w:ind w:left="709" w:hanging="709"/>
      </w:pPr>
      <w:r w:rsidRPr="003A3593">
        <w:t xml:space="preserve">The key features of the </w:t>
      </w:r>
      <w:r w:rsidR="00B9041E" w:rsidRPr="003A3593">
        <w:t>randomised trials</w:t>
      </w:r>
      <w:r w:rsidRPr="003A3593">
        <w:t xml:space="preserve"> </w:t>
      </w:r>
      <w:r w:rsidR="00B9041E" w:rsidRPr="003A3593">
        <w:t xml:space="preserve">used in the indirect comparison </w:t>
      </w:r>
      <w:r w:rsidRPr="003A3593">
        <w:t>are summarised in the table below</w:t>
      </w:r>
      <w:r w:rsidR="00771FEA" w:rsidRPr="003A3593">
        <w:t>.</w:t>
      </w:r>
    </w:p>
    <w:p w:rsidR="00601C2C" w:rsidRDefault="00601C2C" w:rsidP="00323E7A">
      <w:pPr>
        <w:widowControl/>
        <w:rPr>
          <w:szCs w:val="22"/>
        </w:rPr>
      </w:pPr>
    </w:p>
    <w:p w:rsidR="00601C2C" w:rsidRPr="00902D0A" w:rsidRDefault="00601C2C" w:rsidP="00323E7A">
      <w:pPr>
        <w:widowControl/>
        <w:ind w:left="709"/>
        <w:rPr>
          <w:rFonts w:ascii="Arial Narrow" w:hAnsi="Arial Narrow"/>
          <w:b/>
          <w:sz w:val="20"/>
        </w:rPr>
      </w:pPr>
      <w:r>
        <w:rPr>
          <w:rFonts w:ascii="Arial Narrow" w:hAnsi="Arial Narrow"/>
          <w:b/>
          <w:sz w:val="20"/>
        </w:rPr>
        <w:t xml:space="preserve">Table </w:t>
      </w:r>
      <w:r w:rsidR="0061538A">
        <w:rPr>
          <w:rFonts w:ascii="Arial Narrow" w:hAnsi="Arial Narrow"/>
          <w:b/>
          <w:sz w:val="20"/>
        </w:rPr>
        <w:t>2</w:t>
      </w:r>
      <w:r w:rsidRPr="00902D0A">
        <w:rPr>
          <w:rFonts w:ascii="Arial Narrow" w:hAnsi="Arial Narrow"/>
          <w:b/>
          <w:sz w:val="20"/>
        </w:rPr>
        <w:t xml:space="preserve">: Summary of trials used </w:t>
      </w:r>
      <w:r>
        <w:rPr>
          <w:rFonts w:ascii="Arial Narrow" w:hAnsi="Arial Narrow"/>
          <w:b/>
          <w:sz w:val="20"/>
        </w:rPr>
        <w:t>in the clinical evaluation</w:t>
      </w:r>
    </w:p>
    <w:tbl>
      <w:tblPr>
        <w:tblStyle w:val="TableGrid"/>
        <w:tblW w:w="4604" w:type="pct"/>
        <w:tblInd w:w="737" w:type="dxa"/>
        <w:tblCellMar>
          <w:left w:w="28" w:type="dxa"/>
          <w:right w:w="28" w:type="dxa"/>
        </w:tblCellMar>
        <w:tblLook w:val="04A0" w:firstRow="1" w:lastRow="0" w:firstColumn="1" w:lastColumn="0" w:noHBand="0" w:noVBand="1"/>
        <w:tblCaption w:val="Summary of trials used in the clinical evaluation"/>
        <w:tblDescription w:val="Key features of the randomised trials used in the indirect comparison are summarised in the table"/>
      </w:tblPr>
      <w:tblGrid>
        <w:gridCol w:w="750"/>
        <w:gridCol w:w="411"/>
        <w:gridCol w:w="2383"/>
        <w:gridCol w:w="1131"/>
        <w:gridCol w:w="1403"/>
        <w:gridCol w:w="2285"/>
      </w:tblGrid>
      <w:tr w:rsidR="00601C2C" w:rsidRPr="00CD0F2E" w:rsidTr="00FA6362">
        <w:trPr>
          <w:tblHeader/>
        </w:trPr>
        <w:tc>
          <w:tcPr>
            <w:tcW w:w="448" w:type="pct"/>
            <w:vAlign w:val="center"/>
          </w:tcPr>
          <w:p w:rsidR="00601C2C" w:rsidRPr="00CD0F2E" w:rsidRDefault="00601C2C" w:rsidP="00323E7A">
            <w:pPr>
              <w:widowControl/>
              <w:jc w:val="left"/>
              <w:rPr>
                <w:rFonts w:ascii="Arial Narrow" w:hAnsi="Arial Narrow"/>
                <w:b/>
                <w:sz w:val="20"/>
              </w:rPr>
            </w:pPr>
            <w:r w:rsidRPr="00CD0F2E">
              <w:rPr>
                <w:rFonts w:ascii="Arial Narrow" w:hAnsi="Arial Narrow"/>
                <w:b/>
                <w:sz w:val="20"/>
              </w:rPr>
              <w:t>Trial</w:t>
            </w:r>
            <w:r>
              <w:rPr>
                <w:rFonts w:ascii="Arial Narrow" w:hAnsi="Arial Narrow"/>
                <w:b/>
                <w:sz w:val="20"/>
              </w:rPr>
              <w:t xml:space="preserve"> ID</w:t>
            </w:r>
          </w:p>
        </w:tc>
        <w:tc>
          <w:tcPr>
            <w:tcW w:w="246" w:type="pct"/>
            <w:vAlign w:val="center"/>
          </w:tcPr>
          <w:p w:rsidR="00601C2C" w:rsidRPr="00CD0F2E" w:rsidRDefault="00601C2C" w:rsidP="00323E7A">
            <w:pPr>
              <w:widowControl/>
              <w:jc w:val="center"/>
              <w:rPr>
                <w:rFonts w:ascii="Arial Narrow" w:hAnsi="Arial Narrow"/>
                <w:b/>
                <w:sz w:val="20"/>
              </w:rPr>
            </w:pPr>
            <w:r>
              <w:rPr>
                <w:rFonts w:ascii="Arial Narrow" w:hAnsi="Arial Narrow"/>
                <w:b/>
                <w:sz w:val="20"/>
              </w:rPr>
              <w:t>N</w:t>
            </w:r>
          </w:p>
        </w:tc>
        <w:tc>
          <w:tcPr>
            <w:tcW w:w="1425" w:type="pct"/>
            <w:vAlign w:val="center"/>
          </w:tcPr>
          <w:p w:rsidR="00601C2C" w:rsidRPr="00CD0F2E" w:rsidRDefault="00601C2C" w:rsidP="00323E7A">
            <w:pPr>
              <w:widowControl/>
              <w:jc w:val="center"/>
              <w:rPr>
                <w:rFonts w:ascii="Arial Narrow" w:hAnsi="Arial Narrow"/>
                <w:b/>
                <w:sz w:val="20"/>
              </w:rPr>
            </w:pPr>
            <w:r>
              <w:rPr>
                <w:rFonts w:ascii="Arial Narrow" w:hAnsi="Arial Narrow"/>
                <w:b/>
                <w:sz w:val="20"/>
              </w:rPr>
              <w:t>Comparison</w:t>
            </w:r>
          </w:p>
        </w:tc>
        <w:tc>
          <w:tcPr>
            <w:tcW w:w="676" w:type="pct"/>
            <w:vAlign w:val="center"/>
          </w:tcPr>
          <w:p w:rsidR="00601C2C" w:rsidRPr="00CD0F2E" w:rsidRDefault="00601C2C" w:rsidP="00323E7A">
            <w:pPr>
              <w:widowControl/>
              <w:jc w:val="center"/>
              <w:rPr>
                <w:rFonts w:ascii="Arial Narrow" w:hAnsi="Arial Narrow"/>
                <w:b/>
                <w:sz w:val="20"/>
              </w:rPr>
            </w:pPr>
            <w:r>
              <w:rPr>
                <w:rFonts w:ascii="Arial Narrow" w:hAnsi="Arial Narrow"/>
                <w:b/>
                <w:sz w:val="20"/>
              </w:rPr>
              <w:t>Trial d</w:t>
            </w:r>
            <w:r w:rsidRPr="00CD0F2E">
              <w:rPr>
                <w:rFonts w:ascii="Arial Narrow" w:hAnsi="Arial Narrow"/>
                <w:b/>
                <w:sz w:val="20"/>
              </w:rPr>
              <w:t>esign</w:t>
            </w:r>
          </w:p>
        </w:tc>
        <w:tc>
          <w:tcPr>
            <w:tcW w:w="839" w:type="pct"/>
            <w:vAlign w:val="center"/>
          </w:tcPr>
          <w:p w:rsidR="00601C2C" w:rsidRPr="00CD0F2E" w:rsidRDefault="00601C2C" w:rsidP="00323E7A">
            <w:pPr>
              <w:widowControl/>
              <w:jc w:val="center"/>
              <w:rPr>
                <w:rFonts w:ascii="Arial Narrow" w:hAnsi="Arial Narrow"/>
                <w:b/>
                <w:sz w:val="20"/>
              </w:rPr>
            </w:pPr>
            <w:r w:rsidRPr="00CD0F2E">
              <w:rPr>
                <w:rFonts w:ascii="Arial Narrow" w:hAnsi="Arial Narrow"/>
                <w:b/>
                <w:sz w:val="20"/>
              </w:rPr>
              <w:t xml:space="preserve">Primary </w:t>
            </w:r>
            <w:r>
              <w:rPr>
                <w:rFonts w:ascii="Arial Narrow" w:hAnsi="Arial Narrow"/>
                <w:b/>
                <w:sz w:val="20"/>
              </w:rPr>
              <w:t>o</w:t>
            </w:r>
            <w:r w:rsidRPr="00CD0F2E">
              <w:rPr>
                <w:rFonts w:ascii="Arial Narrow" w:hAnsi="Arial Narrow"/>
                <w:b/>
                <w:sz w:val="20"/>
              </w:rPr>
              <w:t>utcome</w:t>
            </w:r>
          </w:p>
        </w:tc>
        <w:tc>
          <w:tcPr>
            <w:tcW w:w="1366" w:type="pct"/>
            <w:vAlign w:val="center"/>
          </w:tcPr>
          <w:p w:rsidR="00601C2C" w:rsidRPr="00CD0F2E" w:rsidRDefault="00601C2C" w:rsidP="00323E7A">
            <w:pPr>
              <w:widowControl/>
              <w:jc w:val="center"/>
              <w:rPr>
                <w:rFonts w:ascii="Arial Narrow" w:hAnsi="Arial Narrow"/>
                <w:b/>
                <w:sz w:val="20"/>
              </w:rPr>
            </w:pPr>
            <w:r>
              <w:rPr>
                <w:rFonts w:ascii="Arial Narrow" w:hAnsi="Arial Narrow"/>
                <w:b/>
                <w:sz w:val="20"/>
              </w:rPr>
              <w:t>Use in the economic evaluation</w:t>
            </w:r>
          </w:p>
        </w:tc>
      </w:tr>
      <w:tr w:rsidR="00601C2C" w:rsidRPr="00CD0F2E" w:rsidTr="00FA6362">
        <w:tc>
          <w:tcPr>
            <w:tcW w:w="5000" w:type="pct"/>
            <w:gridSpan w:val="6"/>
            <w:vAlign w:val="center"/>
          </w:tcPr>
          <w:p w:rsidR="00601C2C" w:rsidRDefault="00601C2C" w:rsidP="00323E7A">
            <w:pPr>
              <w:widowControl/>
              <w:jc w:val="left"/>
              <w:rPr>
                <w:rFonts w:ascii="Arial Narrow" w:hAnsi="Arial Narrow"/>
                <w:b/>
                <w:sz w:val="20"/>
              </w:rPr>
            </w:pPr>
            <w:r>
              <w:rPr>
                <w:rFonts w:ascii="Arial Narrow" w:hAnsi="Arial Narrow"/>
                <w:b/>
                <w:sz w:val="20"/>
              </w:rPr>
              <w:t xml:space="preserve">Nivolumab </w:t>
            </w:r>
            <w:r w:rsidR="003C485F">
              <w:rPr>
                <w:rFonts w:ascii="Arial Narrow" w:hAnsi="Arial Narrow"/>
                <w:b/>
                <w:sz w:val="20"/>
              </w:rPr>
              <w:t>vs.</w:t>
            </w:r>
            <w:r>
              <w:rPr>
                <w:rFonts w:ascii="Arial Narrow" w:hAnsi="Arial Narrow"/>
                <w:b/>
                <w:sz w:val="20"/>
              </w:rPr>
              <w:t xml:space="preserve"> DTIC</w:t>
            </w:r>
          </w:p>
        </w:tc>
      </w:tr>
      <w:tr w:rsidR="00601C2C" w:rsidTr="00FA6362">
        <w:tc>
          <w:tcPr>
            <w:tcW w:w="448" w:type="pct"/>
            <w:vAlign w:val="center"/>
          </w:tcPr>
          <w:p w:rsidR="00601C2C" w:rsidRDefault="00601C2C" w:rsidP="00323E7A">
            <w:pPr>
              <w:widowControl/>
              <w:jc w:val="left"/>
              <w:rPr>
                <w:rFonts w:ascii="Arial Narrow" w:hAnsi="Arial Narrow"/>
                <w:sz w:val="20"/>
              </w:rPr>
            </w:pPr>
            <w:r>
              <w:rPr>
                <w:rFonts w:ascii="Arial Narrow" w:hAnsi="Arial Narrow"/>
                <w:sz w:val="20"/>
              </w:rPr>
              <w:t>CA209-066</w:t>
            </w:r>
          </w:p>
        </w:tc>
        <w:tc>
          <w:tcPr>
            <w:tcW w:w="246" w:type="pct"/>
            <w:vAlign w:val="center"/>
          </w:tcPr>
          <w:p w:rsidR="00601C2C" w:rsidRDefault="00601C2C" w:rsidP="00323E7A">
            <w:pPr>
              <w:widowControl/>
              <w:jc w:val="center"/>
              <w:rPr>
                <w:rFonts w:ascii="Arial Narrow" w:hAnsi="Arial Narrow"/>
                <w:sz w:val="20"/>
              </w:rPr>
            </w:pPr>
            <w:r>
              <w:rPr>
                <w:rFonts w:ascii="Arial Narrow" w:hAnsi="Arial Narrow"/>
                <w:sz w:val="20"/>
              </w:rPr>
              <w:t>411</w:t>
            </w:r>
          </w:p>
        </w:tc>
        <w:tc>
          <w:tcPr>
            <w:tcW w:w="1425" w:type="pct"/>
            <w:vAlign w:val="center"/>
          </w:tcPr>
          <w:p w:rsidR="00601C2C" w:rsidRDefault="00601C2C" w:rsidP="00323E7A">
            <w:pPr>
              <w:widowControl/>
              <w:jc w:val="center"/>
              <w:rPr>
                <w:rFonts w:ascii="Arial Narrow" w:hAnsi="Arial Narrow"/>
                <w:sz w:val="20"/>
                <w:highlight w:val="yellow"/>
              </w:rPr>
            </w:pPr>
            <w:r w:rsidRPr="00D30840">
              <w:rPr>
                <w:rFonts w:ascii="Arial Narrow" w:hAnsi="Arial Narrow"/>
                <w:sz w:val="20"/>
              </w:rPr>
              <w:t>Nivo 3mg/kg Q2W</w:t>
            </w:r>
            <w:r w:rsidRPr="007C6E0B">
              <w:rPr>
                <w:rFonts w:ascii="Arial Narrow" w:hAnsi="Arial Narrow"/>
                <w:sz w:val="20"/>
                <w:vertAlign w:val="superscript"/>
              </w:rPr>
              <w:t>a</w:t>
            </w:r>
            <w:r w:rsidRPr="00D30840">
              <w:rPr>
                <w:rFonts w:ascii="Arial Narrow" w:hAnsi="Arial Narrow"/>
                <w:sz w:val="20"/>
              </w:rPr>
              <w:t xml:space="preserve"> </w:t>
            </w:r>
            <w:r w:rsidRPr="002E26D7">
              <w:rPr>
                <w:rFonts w:ascii="Arial Narrow" w:hAnsi="Arial Narrow"/>
                <w:sz w:val="20"/>
              </w:rPr>
              <w:t>n=210</w:t>
            </w:r>
          </w:p>
          <w:p w:rsidR="00601C2C" w:rsidRPr="007C1A7A" w:rsidRDefault="00601C2C" w:rsidP="00323E7A">
            <w:pPr>
              <w:widowControl/>
              <w:jc w:val="center"/>
              <w:rPr>
                <w:rFonts w:ascii="Arial Narrow" w:hAnsi="Arial Narrow"/>
                <w:sz w:val="20"/>
                <w:highlight w:val="yellow"/>
              </w:rPr>
            </w:pPr>
            <w:r w:rsidRPr="00D30840">
              <w:rPr>
                <w:rFonts w:ascii="Arial Narrow" w:hAnsi="Arial Narrow"/>
                <w:sz w:val="20"/>
              </w:rPr>
              <w:t>DTIC 1000mg/m</w:t>
            </w:r>
            <w:r w:rsidRPr="00D30840">
              <w:rPr>
                <w:rFonts w:ascii="Arial Narrow" w:hAnsi="Arial Narrow"/>
                <w:sz w:val="20"/>
                <w:vertAlign w:val="superscript"/>
              </w:rPr>
              <w:t>2</w:t>
            </w:r>
            <w:r w:rsidRPr="00D30840">
              <w:rPr>
                <w:rFonts w:ascii="Arial Narrow" w:hAnsi="Arial Narrow"/>
                <w:sz w:val="20"/>
              </w:rPr>
              <w:t xml:space="preserve"> Q3W </w:t>
            </w:r>
            <w:r w:rsidRPr="002E26D7">
              <w:rPr>
                <w:rFonts w:ascii="Arial Narrow" w:hAnsi="Arial Narrow"/>
                <w:sz w:val="20"/>
              </w:rPr>
              <w:t>n=208</w:t>
            </w:r>
          </w:p>
        </w:tc>
        <w:tc>
          <w:tcPr>
            <w:tcW w:w="676" w:type="pct"/>
            <w:vAlign w:val="center"/>
          </w:tcPr>
          <w:p w:rsidR="00601C2C" w:rsidRDefault="00601C2C" w:rsidP="00323E7A">
            <w:pPr>
              <w:widowControl/>
              <w:jc w:val="center"/>
              <w:rPr>
                <w:rFonts w:ascii="Arial Narrow" w:hAnsi="Arial Narrow"/>
                <w:sz w:val="20"/>
              </w:rPr>
            </w:pPr>
            <w:r>
              <w:rPr>
                <w:rFonts w:ascii="Arial Narrow" w:hAnsi="Arial Narrow"/>
                <w:sz w:val="20"/>
              </w:rPr>
              <w:t xml:space="preserve">Phase III </w:t>
            </w:r>
          </w:p>
          <w:p w:rsidR="00601C2C" w:rsidRDefault="00601C2C" w:rsidP="00323E7A">
            <w:pPr>
              <w:widowControl/>
              <w:jc w:val="center"/>
              <w:rPr>
                <w:rFonts w:ascii="Arial Narrow" w:hAnsi="Arial Narrow"/>
                <w:sz w:val="20"/>
              </w:rPr>
            </w:pPr>
            <w:r>
              <w:rPr>
                <w:rFonts w:ascii="Arial Narrow" w:hAnsi="Arial Narrow"/>
                <w:sz w:val="20"/>
              </w:rPr>
              <w:t>R, DB, MC</w:t>
            </w:r>
          </w:p>
        </w:tc>
        <w:tc>
          <w:tcPr>
            <w:tcW w:w="839" w:type="pct"/>
            <w:vAlign w:val="center"/>
          </w:tcPr>
          <w:p w:rsidR="00601C2C" w:rsidRDefault="00601C2C" w:rsidP="00323E7A">
            <w:pPr>
              <w:widowControl/>
              <w:jc w:val="center"/>
              <w:rPr>
                <w:rFonts w:ascii="Arial Narrow" w:hAnsi="Arial Narrow"/>
                <w:sz w:val="20"/>
              </w:rPr>
            </w:pPr>
            <w:r>
              <w:rPr>
                <w:rFonts w:ascii="Arial Narrow" w:hAnsi="Arial Narrow"/>
                <w:sz w:val="20"/>
              </w:rPr>
              <w:t>Overall survival</w:t>
            </w:r>
          </w:p>
        </w:tc>
        <w:tc>
          <w:tcPr>
            <w:tcW w:w="1366" w:type="pct"/>
            <w:vAlign w:val="center"/>
          </w:tcPr>
          <w:p w:rsidR="00601C2C" w:rsidRPr="00A1638A" w:rsidRDefault="00601C2C" w:rsidP="00323E7A">
            <w:pPr>
              <w:widowControl/>
              <w:jc w:val="center"/>
              <w:rPr>
                <w:rFonts w:ascii="Arial Narrow" w:hAnsi="Arial Narrow"/>
                <w:sz w:val="20"/>
              </w:rPr>
            </w:pPr>
            <w:r w:rsidRPr="00A1638A">
              <w:rPr>
                <w:rFonts w:ascii="Arial Narrow" w:hAnsi="Arial Narrow"/>
                <w:sz w:val="20"/>
              </w:rPr>
              <w:t>Extrapolated survival data</w:t>
            </w:r>
          </w:p>
        </w:tc>
      </w:tr>
      <w:tr w:rsidR="00601C2C" w:rsidRPr="00A1638A" w:rsidTr="00FA6362">
        <w:tc>
          <w:tcPr>
            <w:tcW w:w="5000" w:type="pct"/>
            <w:gridSpan w:val="6"/>
            <w:vAlign w:val="center"/>
          </w:tcPr>
          <w:p w:rsidR="00601C2C" w:rsidRPr="00A1638A" w:rsidRDefault="00601C2C" w:rsidP="00323E7A">
            <w:pPr>
              <w:widowControl/>
              <w:jc w:val="left"/>
              <w:rPr>
                <w:rFonts w:ascii="Arial Narrow" w:hAnsi="Arial Narrow"/>
                <w:b/>
                <w:sz w:val="20"/>
              </w:rPr>
            </w:pPr>
            <w:r w:rsidRPr="00A1638A">
              <w:rPr>
                <w:rFonts w:ascii="Arial Narrow" w:hAnsi="Arial Narrow"/>
                <w:b/>
                <w:sz w:val="20"/>
              </w:rPr>
              <w:t xml:space="preserve">Ipilimumab </w:t>
            </w:r>
            <w:r>
              <w:rPr>
                <w:rFonts w:ascii="Arial Narrow" w:hAnsi="Arial Narrow"/>
                <w:b/>
                <w:sz w:val="20"/>
              </w:rPr>
              <w:t>vs. gp100</w:t>
            </w:r>
          </w:p>
        </w:tc>
      </w:tr>
      <w:tr w:rsidR="00601C2C" w:rsidTr="00FA6362">
        <w:tc>
          <w:tcPr>
            <w:tcW w:w="448" w:type="pct"/>
            <w:vAlign w:val="center"/>
          </w:tcPr>
          <w:p w:rsidR="00601C2C" w:rsidRDefault="00601C2C" w:rsidP="00323E7A">
            <w:pPr>
              <w:widowControl/>
              <w:jc w:val="left"/>
              <w:rPr>
                <w:rFonts w:ascii="Arial Narrow" w:hAnsi="Arial Narrow"/>
                <w:sz w:val="20"/>
              </w:rPr>
            </w:pPr>
            <w:r>
              <w:rPr>
                <w:rFonts w:ascii="Arial Narrow" w:hAnsi="Arial Narrow"/>
                <w:sz w:val="20"/>
              </w:rPr>
              <w:t>MDX010-20</w:t>
            </w:r>
          </w:p>
        </w:tc>
        <w:tc>
          <w:tcPr>
            <w:tcW w:w="246" w:type="pct"/>
            <w:vAlign w:val="center"/>
          </w:tcPr>
          <w:p w:rsidR="00601C2C" w:rsidRDefault="00601C2C" w:rsidP="00323E7A">
            <w:pPr>
              <w:widowControl/>
              <w:jc w:val="center"/>
              <w:rPr>
                <w:rFonts w:ascii="Arial Narrow" w:hAnsi="Arial Narrow"/>
                <w:sz w:val="20"/>
              </w:rPr>
            </w:pPr>
            <w:r>
              <w:rPr>
                <w:rFonts w:ascii="Arial Narrow" w:hAnsi="Arial Narrow"/>
                <w:sz w:val="20"/>
              </w:rPr>
              <w:t>676</w:t>
            </w:r>
          </w:p>
        </w:tc>
        <w:tc>
          <w:tcPr>
            <w:tcW w:w="1425" w:type="pct"/>
            <w:vAlign w:val="center"/>
          </w:tcPr>
          <w:p w:rsidR="00601C2C" w:rsidRDefault="00601C2C" w:rsidP="00323E7A">
            <w:pPr>
              <w:widowControl/>
              <w:jc w:val="center"/>
              <w:rPr>
                <w:rFonts w:ascii="Arial Narrow" w:hAnsi="Arial Narrow"/>
                <w:sz w:val="20"/>
              </w:rPr>
            </w:pPr>
            <w:r>
              <w:rPr>
                <w:rFonts w:ascii="Arial Narrow" w:hAnsi="Arial Narrow"/>
                <w:sz w:val="20"/>
              </w:rPr>
              <w:t>IPI 3mg/kg Q3W+gp100 n=403</w:t>
            </w:r>
          </w:p>
          <w:p w:rsidR="00601C2C" w:rsidRDefault="00601C2C" w:rsidP="00323E7A">
            <w:pPr>
              <w:widowControl/>
              <w:jc w:val="center"/>
              <w:rPr>
                <w:rFonts w:ascii="Arial Narrow" w:hAnsi="Arial Narrow"/>
                <w:sz w:val="20"/>
              </w:rPr>
            </w:pPr>
            <w:r>
              <w:rPr>
                <w:rFonts w:ascii="Arial Narrow" w:hAnsi="Arial Narrow"/>
                <w:sz w:val="20"/>
              </w:rPr>
              <w:t>IPI 3mg/kg Q3W</w:t>
            </w:r>
            <w:r w:rsidRPr="007C6E0B">
              <w:rPr>
                <w:rFonts w:ascii="Arial Narrow" w:hAnsi="Arial Narrow"/>
                <w:sz w:val="20"/>
                <w:vertAlign w:val="superscript"/>
              </w:rPr>
              <w:t>a</w:t>
            </w:r>
            <w:r>
              <w:rPr>
                <w:rFonts w:ascii="Arial Narrow" w:hAnsi="Arial Narrow"/>
                <w:sz w:val="20"/>
              </w:rPr>
              <w:t xml:space="preserve"> n=137</w:t>
            </w:r>
          </w:p>
          <w:p w:rsidR="00601C2C" w:rsidRDefault="00601C2C" w:rsidP="00323E7A">
            <w:pPr>
              <w:widowControl/>
              <w:jc w:val="center"/>
              <w:rPr>
                <w:rFonts w:ascii="Arial Narrow" w:hAnsi="Arial Narrow"/>
                <w:sz w:val="20"/>
              </w:rPr>
            </w:pPr>
            <w:r>
              <w:rPr>
                <w:rFonts w:ascii="Arial Narrow" w:hAnsi="Arial Narrow"/>
                <w:sz w:val="20"/>
              </w:rPr>
              <w:t>gp100 n=136</w:t>
            </w:r>
          </w:p>
        </w:tc>
        <w:tc>
          <w:tcPr>
            <w:tcW w:w="676" w:type="pct"/>
            <w:vAlign w:val="center"/>
          </w:tcPr>
          <w:p w:rsidR="00601C2C" w:rsidRDefault="00601C2C" w:rsidP="00323E7A">
            <w:pPr>
              <w:widowControl/>
              <w:jc w:val="center"/>
              <w:rPr>
                <w:rFonts w:ascii="Arial Narrow" w:hAnsi="Arial Narrow"/>
                <w:sz w:val="20"/>
              </w:rPr>
            </w:pPr>
            <w:r>
              <w:rPr>
                <w:rFonts w:ascii="Arial Narrow" w:hAnsi="Arial Narrow"/>
                <w:sz w:val="20"/>
              </w:rPr>
              <w:t xml:space="preserve">Phase III </w:t>
            </w:r>
          </w:p>
          <w:p w:rsidR="00601C2C" w:rsidRDefault="00601C2C" w:rsidP="00323E7A">
            <w:pPr>
              <w:widowControl/>
              <w:jc w:val="center"/>
              <w:rPr>
                <w:rFonts w:ascii="Arial Narrow" w:hAnsi="Arial Narrow"/>
                <w:sz w:val="20"/>
              </w:rPr>
            </w:pPr>
            <w:r>
              <w:rPr>
                <w:rFonts w:ascii="Arial Narrow" w:hAnsi="Arial Narrow"/>
                <w:sz w:val="20"/>
              </w:rPr>
              <w:t xml:space="preserve">R, DB, MC </w:t>
            </w:r>
          </w:p>
        </w:tc>
        <w:tc>
          <w:tcPr>
            <w:tcW w:w="839" w:type="pct"/>
            <w:vAlign w:val="center"/>
          </w:tcPr>
          <w:p w:rsidR="00601C2C" w:rsidRDefault="00601C2C" w:rsidP="00323E7A">
            <w:pPr>
              <w:widowControl/>
              <w:jc w:val="center"/>
              <w:rPr>
                <w:rFonts w:ascii="Arial Narrow" w:hAnsi="Arial Narrow"/>
                <w:sz w:val="20"/>
              </w:rPr>
            </w:pPr>
            <w:r>
              <w:rPr>
                <w:rFonts w:ascii="Arial Narrow" w:hAnsi="Arial Narrow"/>
                <w:sz w:val="20"/>
              </w:rPr>
              <w:t>Overall survival</w:t>
            </w:r>
          </w:p>
        </w:tc>
        <w:tc>
          <w:tcPr>
            <w:tcW w:w="1366" w:type="pct"/>
            <w:vAlign w:val="center"/>
          </w:tcPr>
          <w:p w:rsidR="00601C2C" w:rsidRPr="00A1638A" w:rsidRDefault="00601C2C" w:rsidP="00323E7A">
            <w:pPr>
              <w:widowControl/>
              <w:jc w:val="center"/>
              <w:rPr>
                <w:rFonts w:ascii="Arial Narrow" w:hAnsi="Arial Narrow"/>
                <w:sz w:val="20"/>
              </w:rPr>
            </w:pPr>
            <w:r>
              <w:rPr>
                <w:rFonts w:ascii="Arial Narrow" w:hAnsi="Arial Narrow"/>
                <w:sz w:val="20"/>
              </w:rPr>
              <w:t>Indirect HRs for PFS and OS applied to nivolumab transition probabilities</w:t>
            </w:r>
          </w:p>
        </w:tc>
      </w:tr>
    </w:tbl>
    <w:p w:rsidR="00601C2C" w:rsidRPr="007C6E0B" w:rsidRDefault="00601C2C" w:rsidP="00323E7A">
      <w:pPr>
        <w:widowControl/>
        <w:tabs>
          <w:tab w:val="left" w:pos="851"/>
        </w:tabs>
        <w:ind w:left="851" w:hanging="142"/>
        <w:rPr>
          <w:rFonts w:ascii="Arial Narrow" w:hAnsi="Arial Narrow"/>
          <w:sz w:val="18"/>
          <w:szCs w:val="18"/>
        </w:rPr>
      </w:pPr>
      <w:r w:rsidRPr="007C6E0B">
        <w:rPr>
          <w:rFonts w:ascii="Arial Narrow" w:hAnsi="Arial Narrow"/>
          <w:sz w:val="18"/>
          <w:szCs w:val="18"/>
          <w:vertAlign w:val="superscript"/>
        </w:rPr>
        <w:t>a</w:t>
      </w:r>
      <w:r>
        <w:rPr>
          <w:rFonts w:ascii="Arial Narrow" w:hAnsi="Arial Narrow"/>
          <w:sz w:val="18"/>
          <w:szCs w:val="18"/>
        </w:rPr>
        <w:tab/>
        <w:t>In the CA209-066 trial, nivolumab was administered with DTIC-matched placebo IV Q3W and DTIC was administered with nivolumab-matched placebo IV Q2W.  In the MDX010-20 trial, ipilimumab monotherapy and gp100 monotherapy were administered with gp100 placebo or ipilimumab placebo, respectively.</w:t>
      </w:r>
    </w:p>
    <w:p w:rsidR="00601C2C" w:rsidRDefault="0001036A" w:rsidP="00323E7A">
      <w:pPr>
        <w:widowControl/>
        <w:ind w:left="709"/>
        <w:rPr>
          <w:rFonts w:ascii="Arial Narrow" w:hAnsi="Arial Narrow"/>
          <w:sz w:val="18"/>
          <w:szCs w:val="18"/>
        </w:rPr>
      </w:pPr>
      <w:r>
        <w:rPr>
          <w:rFonts w:ascii="Arial Narrow" w:hAnsi="Arial Narrow"/>
          <w:sz w:val="18"/>
          <w:szCs w:val="18"/>
        </w:rPr>
        <w:t>DB=double-</w:t>
      </w:r>
      <w:r w:rsidR="00601C2C">
        <w:rPr>
          <w:rFonts w:ascii="Arial Narrow" w:hAnsi="Arial Narrow"/>
          <w:sz w:val="18"/>
          <w:szCs w:val="18"/>
        </w:rPr>
        <w:t xml:space="preserve">blind; gp100=glycoprotein 100 peptide vaccine; HR=hazard ratio; IPI=ipilimumab; MC=multicentre; </w:t>
      </w:r>
      <w:r w:rsidR="00771FEA">
        <w:rPr>
          <w:rFonts w:ascii="Arial Narrow" w:hAnsi="Arial Narrow"/>
          <w:sz w:val="18"/>
          <w:szCs w:val="18"/>
        </w:rPr>
        <w:t xml:space="preserve">Nivo=nivolumab; </w:t>
      </w:r>
      <w:r w:rsidR="00601C2C">
        <w:rPr>
          <w:rFonts w:ascii="Arial Narrow" w:hAnsi="Arial Narrow"/>
          <w:sz w:val="18"/>
          <w:szCs w:val="18"/>
        </w:rPr>
        <w:t xml:space="preserve">Q2W=every 2 weeks; Q3W=every 3 weeks; R=randomised </w:t>
      </w:r>
    </w:p>
    <w:p w:rsidR="00601C2C" w:rsidRDefault="00601C2C" w:rsidP="00323E7A">
      <w:pPr>
        <w:widowControl/>
        <w:tabs>
          <w:tab w:val="left" w:pos="851"/>
        </w:tabs>
        <w:ind w:left="851" w:hanging="142"/>
      </w:pPr>
      <w:r>
        <w:rPr>
          <w:rFonts w:ascii="Arial Narrow" w:hAnsi="Arial Narrow"/>
          <w:sz w:val="18"/>
          <w:szCs w:val="18"/>
        </w:rPr>
        <w:t>Source: compiled during the evaluation</w:t>
      </w:r>
    </w:p>
    <w:p w:rsidR="00601C2C" w:rsidRPr="00601C2C" w:rsidRDefault="00601C2C" w:rsidP="00323E7A">
      <w:pPr>
        <w:widowControl/>
        <w:rPr>
          <w:szCs w:val="22"/>
        </w:rPr>
      </w:pPr>
    </w:p>
    <w:p w:rsidR="00EE6594" w:rsidRPr="006C03DC" w:rsidRDefault="006370EC" w:rsidP="00323E7A">
      <w:pPr>
        <w:pStyle w:val="ListParagraph"/>
        <w:widowControl/>
        <w:numPr>
          <w:ilvl w:val="1"/>
          <w:numId w:val="23"/>
        </w:numPr>
        <w:ind w:left="709" w:hanging="709"/>
      </w:pPr>
      <w:r w:rsidRPr="006C03DC">
        <w:t>Given that the data lock for CA209-066 occurred prior to the protocol amendment which allowed DTIC-treated patients to cross-over to nivolumab post progression, and there was no cross-over in the MDX010-20 trial, outcomes are not confounded by cross-over.</w:t>
      </w:r>
    </w:p>
    <w:p w:rsidR="00EE6594" w:rsidRPr="006C03DC" w:rsidRDefault="00EE6594" w:rsidP="00323E7A">
      <w:pPr>
        <w:widowControl/>
      </w:pPr>
    </w:p>
    <w:p w:rsidR="00601C2C" w:rsidRPr="006C03DC" w:rsidRDefault="000B0D54" w:rsidP="00323E7A">
      <w:pPr>
        <w:pStyle w:val="ListParagraph"/>
        <w:widowControl/>
        <w:numPr>
          <w:ilvl w:val="1"/>
          <w:numId w:val="23"/>
        </w:numPr>
        <w:ind w:left="709" w:hanging="709"/>
      </w:pPr>
      <w:r>
        <w:t>Although</w:t>
      </w:r>
      <w:r w:rsidR="00601C2C" w:rsidRPr="006C03DC">
        <w:t xml:space="preserve"> the overall risk of bias </w:t>
      </w:r>
      <w:r w:rsidR="00771FEA" w:rsidRPr="006C03DC">
        <w:t>with</w:t>
      </w:r>
      <w:r w:rsidR="00601C2C" w:rsidRPr="006C03DC">
        <w:t>in the two randomised, double-</w:t>
      </w:r>
      <w:r w:rsidR="004A3E52" w:rsidRPr="006C03DC">
        <w:t xml:space="preserve">blind trials </w:t>
      </w:r>
      <w:r w:rsidR="009C0BCD" w:rsidRPr="006C03DC">
        <w:t>wa</w:t>
      </w:r>
      <w:r w:rsidR="004A3E52" w:rsidRPr="006C03DC">
        <w:t xml:space="preserve">s low, </w:t>
      </w:r>
      <w:r w:rsidR="00771FEA" w:rsidRPr="006C03DC">
        <w:t xml:space="preserve">the risk of bias across the indirect comparison of </w:t>
      </w:r>
      <w:r w:rsidR="004A3E52" w:rsidRPr="006C03DC">
        <w:t xml:space="preserve">CA209-066 and MDX010-20 </w:t>
      </w:r>
      <w:r w:rsidR="00771FEA" w:rsidRPr="006C03DC">
        <w:t xml:space="preserve">was high.  These trials </w:t>
      </w:r>
      <w:r w:rsidR="009C0BCD" w:rsidRPr="006C03DC">
        <w:t>we</w:t>
      </w:r>
      <w:r w:rsidR="004A3E52" w:rsidRPr="006C03DC">
        <w:t xml:space="preserve">re </w:t>
      </w:r>
      <w:r w:rsidR="00E55587" w:rsidRPr="006C03DC">
        <w:t>poorly exchangeable</w:t>
      </w:r>
      <w:r w:rsidR="004A3E52" w:rsidRPr="006C03DC">
        <w:t>, for the following reasons:</w:t>
      </w:r>
    </w:p>
    <w:p w:rsidR="007F1017" w:rsidRPr="006C03DC" w:rsidRDefault="00A63FB0" w:rsidP="00323E7A">
      <w:pPr>
        <w:pStyle w:val="ListParagraph"/>
        <w:widowControl/>
        <w:numPr>
          <w:ilvl w:val="0"/>
          <w:numId w:val="4"/>
        </w:numPr>
        <w:ind w:left="993" w:hanging="284"/>
        <w:rPr>
          <w:szCs w:val="22"/>
        </w:rPr>
      </w:pPr>
      <w:r w:rsidRPr="006C03DC">
        <w:t xml:space="preserve">Patients in the nivolumab trial CA209-066 had less severe disease (64.4% with ECOG=0 across both arms of CA209-066 compared to 53.3% with ECOG=0 in </w:t>
      </w:r>
      <w:r w:rsidR="00771FEA" w:rsidRPr="006C03DC">
        <w:t xml:space="preserve">the ipilimumab trial </w:t>
      </w:r>
      <w:r w:rsidRPr="006C03DC">
        <w:t xml:space="preserve">MDX010-20).  Of </w:t>
      </w:r>
      <w:r w:rsidR="00771FEA" w:rsidRPr="006C03DC">
        <w:t>additional</w:t>
      </w:r>
      <w:r w:rsidRPr="006C03DC">
        <w:t xml:space="preserve"> concern was the imbalance in ECOG status within the nivolumab trial, with 70.5% of patients in the nivolumab arm with ECOG=0 compared to 58.2% in the DTIC arm.</w:t>
      </w:r>
    </w:p>
    <w:p w:rsidR="00BB53BC" w:rsidRPr="006C03DC" w:rsidRDefault="00BB53BC" w:rsidP="00323E7A">
      <w:pPr>
        <w:pStyle w:val="ListParagraph"/>
        <w:widowControl/>
        <w:numPr>
          <w:ilvl w:val="0"/>
          <w:numId w:val="4"/>
        </w:numPr>
        <w:ind w:left="993" w:hanging="284"/>
        <w:rPr>
          <w:szCs w:val="22"/>
        </w:rPr>
      </w:pPr>
      <w:r w:rsidRPr="006C03DC">
        <w:t>Patients in CA209-066 had shorter duration of disease.  While this concur</w:t>
      </w:r>
      <w:r w:rsidR="00771FEA" w:rsidRPr="006C03DC">
        <w:t>red</w:t>
      </w:r>
      <w:r w:rsidRPr="006C03DC">
        <w:t xml:space="preserve"> with the requirement that the patients were treatment naïve compared to </w:t>
      </w:r>
      <w:r w:rsidR="00771FEA" w:rsidRPr="006C03DC">
        <w:t>MDX010-20</w:t>
      </w:r>
      <w:r w:rsidRPr="006C03DC">
        <w:t xml:space="preserve">, </w:t>
      </w:r>
      <w:r w:rsidRPr="006C03DC">
        <w:lastRenderedPageBreak/>
        <w:t>which required that patients had received at least one prior systemic therapy, it also suggest</w:t>
      </w:r>
      <w:r w:rsidR="00771FEA" w:rsidRPr="006C03DC">
        <w:t>ed</w:t>
      </w:r>
      <w:r w:rsidRPr="006C03DC">
        <w:t xml:space="preserve"> patients in CA209-066 were healthier than those in MDX010-20.</w:t>
      </w:r>
    </w:p>
    <w:p w:rsidR="00B120B8" w:rsidRPr="006C03DC" w:rsidRDefault="005C7821" w:rsidP="00323E7A">
      <w:pPr>
        <w:pStyle w:val="ListParagraph"/>
        <w:widowControl/>
        <w:numPr>
          <w:ilvl w:val="0"/>
          <w:numId w:val="4"/>
        </w:numPr>
        <w:ind w:left="993" w:hanging="284"/>
        <w:rPr>
          <w:szCs w:val="22"/>
        </w:rPr>
      </w:pPr>
      <w:r w:rsidRPr="006C03DC">
        <w:t>The duration of f</w:t>
      </w:r>
      <w:r w:rsidR="00B120B8" w:rsidRPr="006C03DC">
        <w:t>ollow-up in CA209-066 was 16 months</w:t>
      </w:r>
      <w:r w:rsidRPr="006C03DC">
        <w:t>.  In</w:t>
      </w:r>
      <w:r w:rsidR="00B120B8" w:rsidRPr="006C03DC">
        <w:t xml:space="preserve"> </w:t>
      </w:r>
      <w:r w:rsidR="002025D2" w:rsidRPr="006C03DC">
        <w:t xml:space="preserve">contrast, </w:t>
      </w:r>
      <w:r w:rsidR="00102B3E" w:rsidRPr="006C03DC">
        <w:t xml:space="preserve">the duration of </w:t>
      </w:r>
      <w:r w:rsidR="002025D2" w:rsidRPr="006C03DC">
        <w:t xml:space="preserve">follow-up as reported in the MDX010-20 CSR was </w:t>
      </w:r>
      <w:r w:rsidRPr="006C03DC">
        <w:t>55 months</w:t>
      </w:r>
      <w:r w:rsidR="00B120B8" w:rsidRPr="006C03DC">
        <w:t>.</w:t>
      </w:r>
      <w:r w:rsidR="00102B3E" w:rsidRPr="006C03DC">
        <w:t xml:space="preserve">  In neither case is it clear whether this was the mean or median or (more likely) longest duration of follow-up.  Nevertheless, the clearly longer duration of follow-up in the ipilimumab trial would favour nivolumab noting PBAC has elsewhere concluded that </w:t>
      </w:r>
      <w:r w:rsidR="00FB78A6">
        <w:t>hazard ratio</w:t>
      </w:r>
      <w:r w:rsidR="00102B3E" w:rsidRPr="006C03DC">
        <w:t>s tend to become less favourable over time.</w:t>
      </w:r>
    </w:p>
    <w:p w:rsidR="0017085A" w:rsidRPr="006C03DC" w:rsidRDefault="0017085A" w:rsidP="00323E7A">
      <w:pPr>
        <w:pStyle w:val="ListParagraph"/>
        <w:widowControl/>
        <w:numPr>
          <w:ilvl w:val="0"/>
          <w:numId w:val="4"/>
        </w:numPr>
        <w:ind w:left="993" w:hanging="284"/>
        <w:rPr>
          <w:szCs w:val="22"/>
        </w:rPr>
      </w:pPr>
      <w:r w:rsidRPr="006C03DC">
        <w:t>While MDX010-20, in previously treated patients, was used as the pivotal clinical evidence in the ipilimumab submissions (July 2011, March 2012, November 2012), and therefore use of this evidence ha</w:t>
      </w:r>
      <w:r w:rsidR="00BE53E3" w:rsidRPr="006C03DC">
        <w:t>d previously</w:t>
      </w:r>
      <w:r w:rsidRPr="006C03DC">
        <w:t xml:space="preserve"> been accepted </w:t>
      </w:r>
      <w:r w:rsidR="00BE53E3" w:rsidRPr="006C03DC">
        <w:t xml:space="preserve">by the PBAC </w:t>
      </w:r>
      <w:r w:rsidRPr="006C03DC">
        <w:t>in a first-line scenario</w:t>
      </w:r>
      <w:r w:rsidR="00462BF8" w:rsidRPr="006C03DC">
        <w:t xml:space="preserve">, it </w:t>
      </w:r>
      <w:r w:rsidR="00BE53E3" w:rsidRPr="006C03DC">
        <w:t>wa</w:t>
      </w:r>
      <w:r w:rsidR="00462BF8" w:rsidRPr="006C03DC">
        <w:t xml:space="preserve">s likely that relevant differences </w:t>
      </w:r>
      <w:r w:rsidR="00BE53E3" w:rsidRPr="006C03DC">
        <w:t xml:space="preserve">remain </w:t>
      </w:r>
      <w:r w:rsidR="00462BF8" w:rsidRPr="006C03DC">
        <w:t xml:space="preserve">between </w:t>
      </w:r>
      <w:r w:rsidR="00BE53E3" w:rsidRPr="006C03DC">
        <w:t xml:space="preserve">previously treated and previously untreated </w:t>
      </w:r>
      <w:r w:rsidR="00462BF8" w:rsidRPr="006C03DC">
        <w:t>populations.  In particular, evidence available in Schadendorf 2015</w:t>
      </w:r>
      <w:r w:rsidR="006767E4" w:rsidRPr="006C03DC">
        <w:t xml:space="preserve"> (meta-analysi</w:t>
      </w:r>
      <w:r w:rsidR="00323E7A">
        <w:t>s of 10 randomised trials and 2 </w:t>
      </w:r>
      <w:r w:rsidR="006767E4" w:rsidRPr="006C03DC">
        <w:t>observational studies)</w:t>
      </w:r>
      <w:r w:rsidR="00462BF8" w:rsidRPr="006C03DC">
        <w:t xml:space="preserve"> indicate</w:t>
      </w:r>
      <w:r w:rsidR="00BE53E3" w:rsidRPr="006C03DC">
        <w:t>d</w:t>
      </w:r>
      <w:r w:rsidR="00462BF8" w:rsidRPr="006C03DC">
        <w:t xml:space="preserve"> that first-line </w:t>
      </w:r>
      <w:r w:rsidR="00E05FAA" w:rsidRPr="006C03DC">
        <w:t xml:space="preserve">ipilimumab </w:t>
      </w:r>
      <w:r w:rsidR="00462BF8" w:rsidRPr="006C03DC">
        <w:t>treatment is more effective than second-line treatment.  Consequently, an indirect comparison between a first-line trial (CA209-066) and a second-line trial (MDX010-20) is likely to be biased in favour of the first-line trial.</w:t>
      </w:r>
    </w:p>
    <w:p w:rsidR="00462BF8" w:rsidRPr="004A053A" w:rsidRDefault="00462BF8" w:rsidP="00323E7A">
      <w:pPr>
        <w:pStyle w:val="ListParagraph"/>
        <w:widowControl/>
        <w:numPr>
          <w:ilvl w:val="0"/>
          <w:numId w:val="4"/>
        </w:numPr>
        <w:ind w:left="993" w:hanging="284"/>
        <w:rPr>
          <w:szCs w:val="22"/>
        </w:rPr>
      </w:pPr>
      <w:r w:rsidRPr="006C03DC">
        <w:t>CA209-066 include</w:t>
      </w:r>
      <w:r w:rsidR="00BE53E3" w:rsidRPr="006C03DC">
        <w:t>d</w:t>
      </w:r>
      <w:r w:rsidRPr="006C03DC">
        <w:t xml:space="preserve"> on</w:t>
      </w:r>
      <w:r w:rsidR="0034302B" w:rsidRPr="006C03DC">
        <w:t>ly</w:t>
      </w:r>
      <w:r w:rsidRPr="006C03DC">
        <w:t xml:space="preserve"> BRAF wild</w:t>
      </w:r>
      <w:r w:rsidR="00BE53E3" w:rsidRPr="006C03DC">
        <w:t>-</w:t>
      </w:r>
      <w:r w:rsidRPr="006C03DC">
        <w:t>type patients. BRAF status was not assessed at the time of the ipilimumab trial an</w:t>
      </w:r>
      <w:r w:rsidR="001777D8" w:rsidRPr="006C03DC">
        <w:t>d</w:t>
      </w:r>
      <w:r w:rsidRPr="006C03DC">
        <w:t xml:space="preserve"> it c</w:t>
      </w:r>
      <w:r w:rsidR="00BE53E3" w:rsidRPr="006C03DC">
        <w:t xml:space="preserve">ould </w:t>
      </w:r>
      <w:r w:rsidRPr="006C03DC">
        <w:t xml:space="preserve">not be determined what </w:t>
      </w:r>
      <w:r w:rsidRPr="004A053A">
        <w:t>proportion</w:t>
      </w:r>
      <w:r w:rsidR="00BE53E3" w:rsidRPr="004A053A">
        <w:t>s</w:t>
      </w:r>
      <w:r w:rsidRPr="004A053A">
        <w:t xml:space="preserve"> of the MDX010-20 </w:t>
      </w:r>
      <w:r w:rsidR="0034302B" w:rsidRPr="004A053A">
        <w:t>population w</w:t>
      </w:r>
      <w:r w:rsidR="00BE53E3" w:rsidRPr="004A053A">
        <w:t>ere</w:t>
      </w:r>
      <w:r w:rsidR="0034302B" w:rsidRPr="004A053A">
        <w:t xml:space="preserve"> BRAF wild</w:t>
      </w:r>
      <w:r w:rsidR="00BE53E3" w:rsidRPr="004A053A">
        <w:t>-</w:t>
      </w:r>
      <w:r w:rsidR="0034302B" w:rsidRPr="004A053A">
        <w:t>type or</w:t>
      </w:r>
      <w:r w:rsidRPr="004A053A">
        <w:t xml:space="preserve"> BRAF mutant.  The submission presented an analysis of </w:t>
      </w:r>
      <w:r w:rsidR="00030D89" w:rsidRPr="004A053A">
        <w:t>objective</w:t>
      </w:r>
      <w:r w:rsidRPr="004A053A">
        <w:t xml:space="preserve"> response rate</w:t>
      </w:r>
      <w:r w:rsidR="00323E7A">
        <w:t xml:space="preserve"> comparing 217 </w:t>
      </w:r>
      <w:r w:rsidR="00030D89" w:rsidRPr="004A053A">
        <w:t>BRAF wild</w:t>
      </w:r>
      <w:r w:rsidR="00BE53E3" w:rsidRPr="004A053A">
        <w:t>-</w:t>
      </w:r>
      <w:r w:rsidR="00030D89" w:rsidRPr="004A053A">
        <w:t xml:space="preserve">type and 74 BRAF mutant patients and claimed this demonstrated there </w:t>
      </w:r>
      <w:r w:rsidR="00BE53E3" w:rsidRPr="004A053A">
        <w:t>wa</w:t>
      </w:r>
      <w:r w:rsidR="00030D89" w:rsidRPr="004A053A">
        <w:t>s no evidence</w:t>
      </w:r>
      <w:r w:rsidR="00882AAD" w:rsidRPr="004A053A">
        <w:t xml:space="preserve"> to suggest the effect of nivolumab observed in BRAF wild</w:t>
      </w:r>
      <w:r w:rsidR="00323E7A">
        <w:noBreakHyphen/>
      </w:r>
      <w:r w:rsidR="00882AAD" w:rsidRPr="004A053A">
        <w:t>type patients would be different to that seen in BRAF mutant patients</w:t>
      </w:r>
      <w:r w:rsidR="00030D89" w:rsidRPr="004A053A">
        <w:t xml:space="preserve">. </w:t>
      </w:r>
      <w:r w:rsidR="006E14C6" w:rsidRPr="004A053A">
        <w:t xml:space="preserve"> </w:t>
      </w:r>
      <w:r w:rsidR="00030D89" w:rsidRPr="004A053A">
        <w:t>The applicability of this comparison to the requested listing could not be determined.</w:t>
      </w:r>
      <w:r w:rsidR="00882AAD" w:rsidRPr="004A053A">
        <w:t xml:space="preserve">  </w:t>
      </w:r>
      <w:r w:rsidR="00012BB5" w:rsidRPr="004A053A">
        <w:t xml:space="preserve">The submission argued that the difference in BRAF status </w:t>
      </w:r>
      <w:r w:rsidR="00BE53E3" w:rsidRPr="004A053A">
        <w:t>wa</w:t>
      </w:r>
      <w:r w:rsidR="00012BB5" w:rsidRPr="004A053A">
        <w:t xml:space="preserve">s not relevant </w:t>
      </w:r>
      <w:r w:rsidR="0034302B" w:rsidRPr="004A053A">
        <w:t>to the</w:t>
      </w:r>
      <w:r w:rsidR="00012BB5" w:rsidRPr="004A053A">
        <w:t xml:space="preserve"> modelled evaluation as it focuse</w:t>
      </w:r>
      <w:r w:rsidR="00BE53E3" w:rsidRPr="004A053A">
        <w:t>d</w:t>
      </w:r>
      <w:r w:rsidR="00012BB5" w:rsidRPr="004A053A">
        <w:t xml:space="preserve"> on BRAF wild</w:t>
      </w:r>
      <w:r w:rsidR="00BE53E3" w:rsidRPr="004A053A">
        <w:t>-</w:t>
      </w:r>
      <w:r w:rsidR="00012BB5" w:rsidRPr="004A053A">
        <w:t xml:space="preserve">type patients.  The key issue </w:t>
      </w:r>
      <w:r w:rsidR="00BE53E3" w:rsidRPr="004A053A">
        <w:t>wa</w:t>
      </w:r>
      <w:r w:rsidR="00012BB5" w:rsidRPr="004A053A">
        <w:t xml:space="preserve">s that the clinical claim </w:t>
      </w:r>
      <w:r w:rsidR="009A7C61" w:rsidRPr="004A053A">
        <w:t>based on BRAF wild</w:t>
      </w:r>
      <w:r w:rsidR="00BE53E3" w:rsidRPr="004A053A">
        <w:t>-</w:t>
      </w:r>
      <w:r w:rsidR="009A7C61" w:rsidRPr="004A053A">
        <w:t>type patient</w:t>
      </w:r>
      <w:r w:rsidR="00012BB5" w:rsidRPr="004A053A">
        <w:t>s</w:t>
      </w:r>
      <w:r w:rsidR="009A7C61" w:rsidRPr="004A053A">
        <w:t xml:space="preserve"> </w:t>
      </w:r>
      <w:r w:rsidR="00BE53E3" w:rsidRPr="004A053A">
        <w:t>wa</w:t>
      </w:r>
      <w:r w:rsidR="00012BB5" w:rsidRPr="004A053A">
        <w:t xml:space="preserve">s applied to BRAF mutant patients; and the modelled results </w:t>
      </w:r>
      <w:r w:rsidR="00BE53E3" w:rsidRPr="004A053A">
        <w:t>we</w:t>
      </w:r>
      <w:r w:rsidR="00012BB5" w:rsidRPr="004A053A">
        <w:t>re also applied to BRAF mutant patients, given the anticipated use of nivolumab in BRAF mutant patients following the failure of</w:t>
      </w:r>
      <w:r w:rsidR="009A7C61" w:rsidRPr="004A053A">
        <w:t xml:space="preserve"> </w:t>
      </w:r>
      <w:r w:rsidR="00BE53E3" w:rsidRPr="004A053A">
        <w:t xml:space="preserve">a </w:t>
      </w:r>
      <w:r w:rsidR="009A7C61" w:rsidRPr="004A053A">
        <w:t>BRAF inhibitor.</w:t>
      </w:r>
      <w:r w:rsidR="00814107" w:rsidRPr="004A053A">
        <w:t xml:space="preserve"> </w:t>
      </w:r>
      <w:r w:rsidR="00A93F18" w:rsidRPr="004A053A">
        <w:t xml:space="preserve"> The PSCR stated that this data was drawn from a study (Larkin et al, </w:t>
      </w:r>
      <w:r w:rsidR="00562338" w:rsidRPr="004A053A">
        <w:t xml:space="preserve">JAMA Oncology, February </w:t>
      </w:r>
      <w:r w:rsidR="00A93F18" w:rsidRPr="004A053A">
        <w:t xml:space="preserve">2015), </w:t>
      </w:r>
      <w:r w:rsidR="00433516" w:rsidRPr="004A053A">
        <w:t>which</w:t>
      </w:r>
      <w:r w:rsidR="00A93F18" w:rsidRPr="004A053A">
        <w:t xml:space="preserve"> demonstrate</w:t>
      </w:r>
      <w:r w:rsidR="00AB161D" w:rsidRPr="004A053A">
        <w:t>d</w:t>
      </w:r>
      <w:r w:rsidR="00A93F18" w:rsidRPr="004A053A">
        <w:t xml:space="preserve"> no difference in PFS rates </w:t>
      </w:r>
      <w:r w:rsidR="00562338" w:rsidRPr="004A053A">
        <w:t xml:space="preserve">in a meta-analysis of four studies </w:t>
      </w:r>
      <w:r w:rsidR="00323E7A">
        <w:t>when comparing wild</w:t>
      </w:r>
      <w:r w:rsidR="00323E7A">
        <w:noBreakHyphen/>
      </w:r>
      <w:r w:rsidR="00A93F18" w:rsidRPr="004A053A">
        <w:t>type or mutant BRAF patients treated with nivolumab monotherapy.</w:t>
      </w:r>
      <w:r w:rsidR="004A73BF" w:rsidRPr="004A053A">
        <w:t xml:space="preserve">  The ESC noted that the meta-analysis was a retrospective analysis of non-randomised cohorts and may not be reliably applicable to the requested PBS population given the data was drawn from three Phase I studies (one bio-marker study, one dos</w:t>
      </w:r>
      <w:r w:rsidR="00323E7A">
        <w:t>e</w:t>
      </w:r>
      <w:r w:rsidR="00323E7A">
        <w:noBreakHyphen/>
      </w:r>
      <w:r w:rsidR="004A73BF" w:rsidRPr="004A053A">
        <w:t>ranging study and one concurrent or sequenced ipilimumab and nivolumab study) and one Phase III study (CA209-037) in patients who had ≥2 previous systemic treatments.  Additionally, the sub-groups in the meta-analysis were small.</w:t>
      </w:r>
    </w:p>
    <w:p w:rsidR="007F1017" w:rsidRPr="00E22A0D" w:rsidRDefault="007F1017" w:rsidP="00323E7A">
      <w:pPr>
        <w:widowControl/>
      </w:pPr>
    </w:p>
    <w:p w:rsidR="00B60939" w:rsidRPr="002C2775" w:rsidRDefault="00B60939" w:rsidP="00323E7A">
      <w:pPr>
        <w:pStyle w:val="Heading2"/>
        <w:widowControl/>
        <w:rPr>
          <w:i/>
        </w:rPr>
      </w:pPr>
      <w:bookmarkStart w:id="9" w:name="_Toc419885971"/>
      <w:r w:rsidRPr="002C2775">
        <w:rPr>
          <w:i/>
        </w:rPr>
        <w:t>Comparative effectiveness</w:t>
      </w:r>
      <w:bookmarkEnd w:id="9"/>
    </w:p>
    <w:p w:rsidR="00B60939" w:rsidRPr="00882085" w:rsidRDefault="00B60939" w:rsidP="00323E7A">
      <w:pPr>
        <w:widowControl/>
        <w:rPr>
          <w:szCs w:val="22"/>
        </w:rPr>
      </w:pPr>
    </w:p>
    <w:p w:rsidR="002C2775" w:rsidRPr="003A3593" w:rsidRDefault="0034302B" w:rsidP="00323E7A">
      <w:pPr>
        <w:pStyle w:val="ListParagraph"/>
        <w:widowControl/>
        <w:numPr>
          <w:ilvl w:val="1"/>
          <w:numId w:val="23"/>
        </w:numPr>
        <w:ind w:left="709" w:hanging="709"/>
      </w:pPr>
      <w:r w:rsidRPr="003A3593">
        <w:t xml:space="preserve">Table </w:t>
      </w:r>
      <w:r w:rsidR="0061538A" w:rsidRPr="003A3593">
        <w:t>3</w:t>
      </w:r>
      <w:r w:rsidRPr="003A3593">
        <w:t xml:space="preserve"> provides the results of the indirect comparison of nivolumab and ipilimumab, for PFS and OS.</w:t>
      </w:r>
    </w:p>
    <w:p w:rsidR="00FA6362" w:rsidRPr="002A3389" w:rsidRDefault="00FA6362" w:rsidP="00323E7A">
      <w:pPr>
        <w:pStyle w:val="BodyText"/>
        <w:widowControl/>
      </w:pPr>
    </w:p>
    <w:p w:rsidR="005D0276" w:rsidRPr="003F5A9C" w:rsidRDefault="005D0276" w:rsidP="00323E7A">
      <w:pPr>
        <w:pStyle w:val="ListParagraph"/>
        <w:keepNext/>
        <w:widowControl/>
        <w:rPr>
          <w:rFonts w:ascii="Arial Narrow" w:hAnsi="Arial Narrow"/>
          <w:b/>
          <w:sz w:val="20"/>
          <w:szCs w:val="22"/>
        </w:rPr>
      </w:pPr>
      <w:r w:rsidRPr="003F5A9C">
        <w:rPr>
          <w:rFonts w:ascii="Arial Narrow" w:hAnsi="Arial Narrow"/>
          <w:b/>
          <w:sz w:val="20"/>
          <w:szCs w:val="22"/>
        </w:rPr>
        <w:lastRenderedPageBreak/>
        <w:t xml:space="preserve">Table </w:t>
      </w:r>
      <w:r w:rsidR="0061538A">
        <w:rPr>
          <w:rFonts w:ascii="Arial Narrow" w:hAnsi="Arial Narrow"/>
          <w:b/>
          <w:sz w:val="20"/>
          <w:szCs w:val="22"/>
        </w:rPr>
        <w:t>3</w:t>
      </w:r>
      <w:r w:rsidRPr="003F5A9C">
        <w:rPr>
          <w:rFonts w:ascii="Arial Narrow" w:hAnsi="Arial Narrow"/>
          <w:b/>
          <w:sz w:val="20"/>
          <w:szCs w:val="22"/>
        </w:rPr>
        <w:t xml:space="preserve">: </w:t>
      </w:r>
      <w:r w:rsidR="00285208">
        <w:rPr>
          <w:rFonts w:ascii="Arial Narrow" w:hAnsi="Arial Narrow"/>
          <w:b/>
          <w:sz w:val="20"/>
          <w:szCs w:val="22"/>
        </w:rPr>
        <w:t xml:space="preserve">Indirect comparison: </w:t>
      </w:r>
      <w:r w:rsidR="00285208">
        <w:rPr>
          <w:rFonts w:ascii="Arial Narrow" w:hAnsi="Arial Narrow"/>
          <w:b/>
          <w:sz w:val="20"/>
        </w:rPr>
        <w:t>OS and PFS CA209-066 and MDX010-20</w:t>
      </w:r>
    </w:p>
    <w:tbl>
      <w:tblPr>
        <w:tblStyle w:val="TableGrid"/>
        <w:tblW w:w="4604" w:type="pct"/>
        <w:tblInd w:w="737" w:type="dxa"/>
        <w:tblCellMar>
          <w:left w:w="28" w:type="dxa"/>
          <w:right w:w="28" w:type="dxa"/>
        </w:tblCellMar>
        <w:tblLook w:val="04A0" w:firstRow="1" w:lastRow="0" w:firstColumn="1" w:lastColumn="0" w:noHBand="0" w:noVBand="1"/>
        <w:tblCaption w:val="Indirect comparison: OS and PFS CA209-066 and MDX010-20"/>
        <w:tblDescription w:val="The results of the indirect comparison of nivolumab and ipilimumab, for PFS and OS."/>
      </w:tblPr>
      <w:tblGrid>
        <w:gridCol w:w="1560"/>
        <w:gridCol w:w="1703"/>
        <w:gridCol w:w="1698"/>
        <w:gridCol w:w="1703"/>
        <w:gridCol w:w="1699"/>
      </w:tblGrid>
      <w:tr w:rsidR="005D0276" w:rsidRPr="00523EE6" w:rsidTr="007C0924">
        <w:trPr>
          <w:tblHeader/>
        </w:trPr>
        <w:tc>
          <w:tcPr>
            <w:tcW w:w="933" w:type="pct"/>
            <w:vAlign w:val="center"/>
          </w:tcPr>
          <w:p w:rsidR="005D0276" w:rsidRPr="00523EE6" w:rsidRDefault="005D0276" w:rsidP="00323E7A">
            <w:pPr>
              <w:keepNext/>
              <w:widowControl/>
              <w:ind w:right="-170"/>
              <w:jc w:val="left"/>
              <w:rPr>
                <w:rFonts w:ascii="Arial Narrow" w:hAnsi="Arial Narrow"/>
                <w:b/>
                <w:sz w:val="20"/>
              </w:rPr>
            </w:pPr>
          </w:p>
        </w:tc>
        <w:tc>
          <w:tcPr>
            <w:tcW w:w="1018" w:type="pct"/>
          </w:tcPr>
          <w:p w:rsidR="005D0276" w:rsidRPr="00523EE6" w:rsidRDefault="005D0276" w:rsidP="00323E7A">
            <w:pPr>
              <w:keepNext/>
              <w:widowControl/>
              <w:ind w:right="-170"/>
              <w:jc w:val="center"/>
              <w:rPr>
                <w:rFonts w:ascii="Arial Narrow" w:hAnsi="Arial Narrow"/>
                <w:b/>
                <w:sz w:val="20"/>
              </w:rPr>
            </w:pPr>
            <w:r>
              <w:rPr>
                <w:rFonts w:ascii="Arial Narrow" w:hAnsi="Arial Narrow"/>
                <w:b/>
                <w:sz w:val="20"/>
              </w:rPr>
              <w:t>Nivo n/N (%)</w:t>
            </w:r>
          </w:p>
        </w:tc>
        <w:tc>
          <w:tcPr>
            <w:tcW w:w="1015" w:type="pct"/>
          </w:tcPr>
          <w:p w:rsidR="005D0276" w:rsidRPr="00523EE6" w:rsidRDefault="005D0276" w:rsidP="00323E7A">
            <w:pPr>
              <w:keepNext/>
              <w:widowControl/>
              <w:ind w:right="-170"/>
              <w:jc w:val="center"/>
              <w:rPr>
                <w:rFonts w:ascii="Arial Narrow" w:hAnsi="Arial Narrow"/>
                <w:b/>
                <w:sz w:val="20"/>
              </w:rPr>
            </w:pPr>
            <w:r>
              <w:rPr>
                <w:rFonts w:ascii="Arial Narrow" w:hAnsi="Arial Narrow"/>
                <w:b/>
                <w:sz w:val="20"/>
              </w:rPr>
              <w:t>DTIC n/N (%)</w:t>
            </w:r>
          </w:p>
        </w:tc>
        <w:tc>
          <w:tcPr>
            <w:tcW w:w="1018" w:type="pct"/>
          </w:tcPr>
          <w:p w:rsidR="005D0276" w:rsidRPr="00523EE6" w:rsidRDefault="005D0276" w:rsidP="00323E7A">
            <w:pPr>
              <w:keepNext/>
              <w:widowControl/>
              <w:ind w:right="115"/>
              <w:jc w:val="center"/>
              <w:rPr>
                <w:rFonts w:ascii="Arial Narrow" w:hAnsi="Arial Narrow"/>
                <w:b/>
                <w:sz w:val="20"/>
              </w:rPr>
            </w:pPr>
            <w:r>
              <w:rPr>
                <w:rFonts w:ascii="Arial Narrow" w:hAnsi="Arial Narrow"/>
                <w:b/>
                <w:sz w:val="20"/>
              </w:rPr>
              <w:t>Absolute difference</w:t>
            </w:r>
          </w:p>
        </w:tc>
        <w:tc>
          <w:tcPr>
            <w:tcW w:w="1017" w:type="pct"/>
          </w:tcPr>
          <w:p w:rsidR="005D0276" w:rsidRPr="00523EE6" w:rsidRDefault="005D0276" w:rsidP="00323E7A">
            <w:pPr>
              <w:keepNext/>
              <w:widowControl/>
              <w:ind w:right="115"/>
              <w:jc w:val="center"/>
              <w:rPr>
                <w:rFonts w:ascii="Arial Narrow" w:hAnsi="Arial Narrow"/>
                <w:b/>
                <w:sz w:val="20"/>
              </w:rPr>
            </w:pPr>
            <w:r>
              <w:rPr>
                <w:rFonts w:ascii="Arial Narrow" w:hAnsi="Arial Narrow"/>
                <w:b/>
                <w:sz w:val="20"/>
              </w:rPr>
              <w:t>HR (95% CI)</w:t>
            </w:r>
          </w:p>
        </w:tc>
      </w:tr>
      <w:tr w:rsidR="005D0276" w:rsidRPr="00523EE6" w:rsidTr="00FA6362">
        <w:tc>
          <w:tcPr>
            <w:tcW w:w="5000" w:type="pct"/>
            <w:gridSpan w:val="5"/>
            <w:vAlign w:val="center"/>
          </w:tcPr>
          <w:p w:rsidR="005D0276" w:rsidRPr="00523EE6" w:rsidRDefault="005D0276" w:rsidP="00323E7A">
            <w:pPr>
              <w:keepNext/>
              <w:widowControl/>
              <w:ind w:right="115"/>
              <w:jc w:val="left"/>
              <w:rPr>
                <w:rFonts w:ascii="Arial Narrow" w:hAnsi="Arial Narrow"/>
                <w:b/>
                <w:sz w:val="20"/>
              </w:rPr>
            </w:pPr>
            <w:r>
              <w:rPr>
                <w:rFonts w:ascii="Arial Narrow" w:hAnsi="Arial Narrow"/>
                <w:b/>
                <w:sz w:val="20"/>
              </w:rPr>
              <w:t xml:space="preserve">Overall survival - </w:t>
            </w:r>
            <w:r w:rsidRPr="00D7126A">
              <w:rPr>
                <w:rFonts w:ascii="Arial Narrow" w:hAnsi="Arial Narrow"/>
                <w:b/>
                <w:sz w:val="20"/>
              </w:rPr>
              <w:t xml:space="preserve">CA209-066 </w:t>
            </w:r>
            <w:r w:rsidR="00BE53E3">
              <w:rPr>
                <w:rFonts w:ascii="Arial Narrow" w:hAnsi="Arial Narrow"/>
                <w:b/>
                <w:sz w:val="20"/>
              </w:rPr>
              <w:t xml:space="preserve">- </w:t>
            </w:r>
            <w:r w:rsidRPr="00D7126A">
              <w:rPr>
                <w:rFonts w:ascii="Arial Narrow" w:hAnsi="Arial Narrow"/>
                <w:b/>
                <w:sz w:val="20"/>
              </w:rPr>
              <w:t>nivo</w:t>
            </w:r>
            <w:r>
              <w:rPr>
                <w:rFonts w:ascii="Arial Narrow" w:hAnsi="Arial Narrow"/>
                <w:b/>
                <w:sz w:val="20"/>
              </w:rPr>
              <w:t>lumab</w:t>
            </w:r>
          </w:p>
        </w:tc>
      </w:tr>
      <w:tr w:rsidR="005D0276" w:rsidRPr="00523EE6" w:rsidTr="00FA6362">
        <w:tc>
          <w:tcPr>
            <w:tcW w:w="933" w:type="pct"/>
          </w:tcPr>
          <w:p w:rsidR="005D0276" w:rsidRPr="00523EE6" w:rsidRDefault="005D0276" w:rsidP="00323E7A">
            <w:pPr>
              <w:keepNext/>
              <w:widowControl/>
              <w:ind w:right="-170"/>
              <w:jc w:val="left"/>
              <w:rPr>
                <w:rFonts w:ascii="Arial Narrow" w:hAnsi="Arial Narrow"/>
                <w:sz w:val="20"/>
              </w:rPr>
            </w:pPr>
            <w:r>
              <w:rPr>
                <w:rFonts w:ascii="Arial Narrow" w:hAnsi="Arial Narrow"/>
                <w:sz w:val="20"/>
              </w:rPr>
              <w:t>Death</w:t>
            </w:r>
          </w:p>
        </w:tc>
        <w:tc>
          <w:tcPr>
            <w:tcW w:w="1018"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50/210 (23.8%)</w:t>
            </w:r>
          </w:p>
        </w:tc>
        <w:tc>
          <w:tcPr>
            <w:tcW w:w="1015"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96/208 (46.2%)</w:t>
            </w:r>
          </w:p>
        </w:tc>
        <w:tc>
          <w:tcPr>
            <w:tcW w:w="1018"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w:t>
            </w:r>
          </w:p>
        </w:tc>
        <w:tc>
          <w:tcPr>
            <w:tcW w:w="1017"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0.42 (0.30, 0.60)</w:t>
            </w:r>
          </w:p>
        </w:tc>
      </w:tr>
      <w:tr w:rsidR="005D0276" w:rsidRPr="00523EE6" w:rsidTr="00FA6362">
        <w:tc>
          <w:tcPr>
            <w:tcW w:w="933" w:type="pct"/>
          </w:tcPr>
          <w:p w:rsidR="005D0276" w:rsidRPr="00523EE6" w:rsidRDefault="005D0276" w:rsidP="00323E7A">
            <w:pPr>
              <w:keepNext/>
              <w:widowControl/>
              <w:ind w:right="-170"/>
              <w:jc w:val="left"/>
              <w:rPr>
                <w:rFonts w:ascii="Arial Narrow" w:hAnsi="Arial Narrow"/>
                <w:sz w:val="20"/>
              </w:rPr>
            </w:pPr>
            <w:r>
              <w:rPr>
                <w:rFonts w:ascii="Arial Narrow" w:hAnsi="Arial Narrow"/>
                <w:sz w:val="20"/>
              </w:rPr>
              <w:t>OS median months</w:t>
            </w:r>
          </w:p>
        </w:tc>
        <w:tc>
          <w:tcPr>
            <w:tcW w:w="1018"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NR</w:t>
            </w:r>
          </w:p>
        </w:tc>
        <w:tc>
          <w:tcPr>
            <w:tcW w:w="1015"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10.84 (9.33, 12.09)</w:t>
            </w:r>
          </w:p>
        </w:tc>
        <w:tc>
          <w:tcPr>
            <w:tcW w:w="1018"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w:t>
            </w:r>
          </w:p>
        </w:tc>
        <w:tc>
          <w:tcPr>
            <w:tcW w:w="1017"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w:t>
            </w:r>
          </w:p>
        </w:tc>
      </w:tr>
      <w:tr w:rsidR="005D0276" w:rsidRPr="00523EE6" w:rsidTr="00FA6362">
        <w:tc>
          <w:tcPr>
            <w:tcW w:w="5000" w:type="pct"/>
            <w:gridSpan w:val="5"/>
            <w:vAlign w:val="center"/>
          </w:tcPr>
          <w:p w:rsidR="005D0276" w:rsidRPr="00D7126A" w:rsidRDefault="005D0276" w:rsidP="00323E7A">
            <w:pPr>
              <w:keepNext/>
              <w:widowControl/>
              <w:ind w:right="115"/>
              <w:jc w:val="left"/>
              <w:rPr>
                <w:rFonts w:ascii="Arial Narrow" w:hAnsi="Arial Narrow"/>
                <w:b/>
                <w:sz w:val="20"/>
              </w:rPr>
            </w:pPr>
            <w:r>
              <w:rPr>
                <w:rFonts w:ascii="Arial Narrow" w:hAnsi="Arial Narrow"/>
                <w:b/>
                <w:sz w:val="20"/>
              </w:rPr>
              <w:t xml:space="preserve">Overall survival - MDX010-20 </w:t>
            </w:r>
            <w:r w:rsidR="00BE53E3">
              <w:rPr>
                <w:rFonts w:ascii="Arial Narrow" w:hAnsi="Arial Narrow"/>
                <w:b/>
                <w:sz w:val="20"/>
              </w:rPr>
              <w:t>-</w:t>
            </w:r>
            <w:r>
              <w:rPr>
                <w:rFonts w:ascii="Arial Narrow" w:hAnsi="Arial Narrow"/>
                <w:b/>
                <w:sz w:val="20"/>
              </w:rPr>
              <w:t xml:space="preserve"> ipilimumab</w:t>
            </w:r>
          </w:p>
        </w:tc>
      </w:tr>
      <w:tr w:rsidR="005D0276" w:rsidRPr="00523EE6" w:rsidTr="00FA6362">
        <w:tc>
          <w:tcPr>
            <w:tcW w:w="933" w:type="pct"/>
          </w:tcPr>
          <w:p w:rsidR="005D0276" w:rsidRDefault="005D0276" w:rsidP="00323E7A">
            <w:pPr>
              <w:keepNext/>
              <w:widowControl/>
              <w:ind w:right="-170"/>
              <w:jc w:val="left"/>
              <w:rPr>
                <w:rFonts w:ascii="Arial Narrow" w:hAnsi="Arial Narrow"/>
                <w:sz w:val="20"/>
              </w:rPr>
            </w:pPr>
          </w:p>
        </w:tc>
        <w:tc>
          <w:tcPr>
            <w:tcW w:w="1018" w:type="pct"/>
          </w:tcPr>
          <w:p w:rsidR="005D0276" w:rsidRPr="00523EE6" w:rsidRDefault="005D0276" w:rsidP="00323E7A">
            <w:pPr>
              <w:keepNext/>
              <w:widowControl/>
              <w:ind w:right="-170"/>
              <w:jc w:val="center"/>
              <w:rPr>
                <w:rFonts w:ascii="Arial Narrow" w:hAnsi="Arial Narrow"/>
                <w:sz w:val="20"/>
              </w:rPr>
            </w:pPr>
            <w:r w:rsidRPr="00CC3301">
              <w:rPr>
                <w:rFonts w:ascii="Arial Narrow" w:hAnsi="Arial Narrow"/>
                <w:b/>
                <w:sz w:val="20"/>
              </w:rPr>
              <w:t>Ipi n/N (%)</w:t>
            </w:r>
          </w:p>
        </w:tc>
        <w:tc>
          <w:tcPr>
            <w:tcW w:w="1015" w:type="pct"/>
          </w:tcPr>
          <w:p w:rsidR="005D0276" w:rsidRPr="00523EE6" w:rsidRDefault="005D0276" w:rsidP="00323E7A">
            <w:pPr>
              <w:keepNext/>
              <w:widowControl/>
              <w:ind w:right="-170"/>
              <w:jc w:val="center"/>
              <w:rPr>
                <w:rFonts w:ascii="Arial Narrow" w:hAnsi="Arial Narrow"/>
                <w:sz w:val="20"/>
              </w:rPr>
            </w:pPr>
            <w:r w:rsidRPr="00CC3301">
              <w:rPr>
                <w:rFonts w:ascii="Arial Narrow" w:hAnsi="Arial Narrow"/>
                <w:b/>
                <w:sz w:val="20"/>
              </w:rPr>
              <w:t>gp100 n/N (%)</w:t>
            </w:r>
          </w:p>
        </w:tc>
        <w:tc>
          <w:tcPr>
            <w:tcW w:w="1018" w:type="pct"/>
            <w:vAlign w:val="center"/>
          </w:tcPr>
          <w:p w:rsidR="005D0276" w:rsidRPr="00523EE6" w:rsidRDefault="005D0276" w:rsidP="00323E7A">
            <w:pPr>
              <w:keepNext/>
              <w:widowControl/>
              <w:ind w:right="115"/>
              <w:jc w:val="center"/>
              <w:rPr>
                <w:rFonts w:ascii="Arial Narrow" w:hAnsi="Arial Narrow"/>
                <w:sz w:val="20"/>
              </w:rPr>
            </w:pPr>
          </w:p>
        </w:tc>
        <w:tc>
          <w:tcPr>
            <w:tcW w:w="1017" w:type="pct"/>
            <w:vAlign w:val="center"/>
          </w:tcPr>
          <w:p w:rsidR="005D0276" w:rsidRPr="00523EE6" w:rsidRDefault="005D0276" w:rsidP="00323E7A">
            <w:pPr>
              <w:keepNext/>
              <w:widowControl/>
              <w:ind w:right="115"/>
              <w:jc w:val="center"/>
              <w:rPr>
                <w:rFonts w:ascii="Arial Narrow" w:hAnsi="Arial Narrow"/>
                <w:sz w:val="20"/>
              </w:rPr>
            </w:pPr>
          </w:p>
        </w:tc>
      </w:tr>
      <w:tr w:rsidR="005D0276" w:rsidRPr="00523EE6" w:rsidTr="00FA6362">
        <w:tc>
          <w:tcPr>
            <w:tcW w:w="933" w:type="pct"/>
          </w:tcPr>
          <w:p w:rsidR="005D0276" w:rsidRPr="00523EE6" w:rsidRDefault="005D0276" w:rsidP="00323E7A">
            <w:pPr>
              <w:keepNext/>
              <w:widowControl/>
              <w:ind w:right="-170"/>
              <w:jc w:val="left"/>
              <w:rPr>
                <w:rFonts w:ascii="Arial Narrow" w:hAnsi="Arial Narrow"/>
                <w:sz w:val="20"/>
              </w:rPr>
            </w:pPr>
            <w:r>
              <w:rPr>
                <w:rFonts w:ascii="Arial Narrow" w:hAnsi="Arial Narrow"/>
                <w:sz w:val="20"/>
              </w:rPr>
              <w:t>Death</w:t>
            </w:r>
          </w:p>
        </w:tc>
        <w:tc>
          <w:tcPr>
            <w:tcW w:w="1018"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100/137 (73.0%)</w:t>
            </w:r>
          </w:p>
        </w:tc>
        <w:tc>
          <w:tcPr>
            <w:tcW w:w="1015"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119/136 (87.5%)</w:t>
            </w:r>
          </w:p>
        </w:tc>
        <w:tc>
          <w:tcPr>
            <w:tcW w:w="1018"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w:t>
            </w:r>
          </w:p>
        </w:tc>
        <w:tc>
          <w:tcPr>
            <w:tcW w:w="1017"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0.66 (0.51, 0.87)</w:t>
            </w:r>
          </w:p>
        </w:tc>
      </w:tr>
      <w:tr w:rsidR="005D0276" w:rsidRPr="00523EE6" w:rsidTr="00FA6362">
        <w:tc>
          <w:tcPr>
            <w:tcW w:w="933" w:type="pct"/>
          </w:tcPr>
          <w:p w:rsidR="005D0276" w:rsidRPr="00523EE6" w:rsidRDefault="005D0276" w:rsidP="00323E7A">
            <w:pPr>
              <w:keepNext/>
              <w:widowControl/>
              <w:ind w:right="-170"/>
              <w:jc w:val="left"/>
              <w:rPr>
                <w:rFonts w:ascii="Arial Narrow" w:hAnsi="Arial Narrow"/>
                <w:sz w:val="20"/>
              </w:rPr>
            </w:pPr>
            <w:r>
              <w:rPr>
                <w:rFonts w:ascii="Arial Narrow" w:hAnsi="Arial Narrow"/>
                <w:sz w:val="20"/>
              </w:rPr>
              <w:t>OS median months</w:t>
            </w:r>
          </w:p>
        </w:tc>
        <w:tc>
          <w:tcPr>
            <w:tcW w:w="1018"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10.12 (8.02, 13.80)</w:t>
            </w:r>
          </w:p>
        </w:tc>
        <w:tc>
          <w:tcPr>
            <w:tcW w:w="1015"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6.44 (5.49, 8.71)</w:t>
            </w:r>
          </w:p>
        </w:tc>
        <w:tc>
          <w:tcPr>
            <w:tcW w:w="1018"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3.68</w:t>
            </w:r>
          </w:p>
        </w:tc>
        <w:tc>
          <w:tcPr>
            <w:tcW w:w="1017"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w:t>
            </w:r>
          </w:p>
        </w:tc>
      </w:tr>
      <w:tr w:rsidR="005D0276" w:rsidRPr="00523EE6" w:rsidTr="00FA6362">
        <w:tc>
          <w:tcPr>
            <w:tcW w:w="3983" w:type="pct"/>
            <w:gridSpan w:val="4"/>
            <w:vAlign w:val="center"/>
          </w:tcPr>
          <w:p w:rsidR="005D0276" w:rsidRPr="00D7126A" w:rsidRDefault="005D0276" w:rsidP="00323E7A">
            <w:pPr>
              <w:keepNext/>
              <w:widowControl/>
              <w:ind w:right="115"/>
              <w:jc w:val="left"/>
              <w:rPr>
                <w:rFonts w:ascii="Arial Narrow" w:hAnsi="Arial Narrow"/>
                <w:b/>
                <w:sz w:val="20"/>
              </w:rPr>
            </w:pPr>
            <w:r>
              <w:rPr>
                <w:rFonts w:ascii="Arial Narrow" w:hAnsi="Arial Narrow"/>
                <w:b/>
                <w:sz w:val="20"/>
              </w:rPr>
              <w:t xml:space="preserve">Indirect comparison overall survival </w:t>
            </w:r>
            <w:r w:rsidR="00E55587">
              <w:rPr>
                <w:rFonts w:ascii="Arial Narrow" w:hAnsi="Arial Narrow"/>
                <w:b/>
                <w:sz w:val="20"/>
              </w:rPr>
              <w:t>-</w:t>
            </w:r>
            <w:r>
              <w:rPr>
                <w:rFonts w:ascii="Arial Narrow" w:hAnsi="Arial Narrow"/>
                <w:b/>
                <w:sz w:val="20"/>
              </w:rPr>
              <w:t xml:space="preserve"> nivo vs. ipi</w:t>
            </w:r>
          </w:p>
        </w:tc>
        <w:tc>
          <w:tcPr>
            <w:tcW w:w="1017" w:type="pct"/>
            <w:vAlign w:val="center"/>
          </w:tcPr>
          <w:p w:rsidR="005D0276" w:rsidRPr="00D7126A" w:rsidRDefault="005D0276" w:rsidP="00323E7A">
            <w:pPr>
              <w:keepNext/>
              <w:widowControl/>
              <w:ind w:right="115"/>
              <w:jc w:val="center"/>
              <w:rPr>
                <w:rFonts w:ascii="Arial Narrow" w:hAnsi="Arial Narrow"/>
                <w:b/>
                <w:sz w:val="20"/>
              </w:rPr>
            </w:pPr>
            <w:r w:rsidRPr="00DC2AA1">
              <w:rPr>
                <w:rFonts w:ascii="Arial Narrow" w:hAnsi="Arial Narrow"/>
                <w:b/>
                <w:sz w:val="20"/>
              </w:rPr>
              <w:t>0.64 (0.41, 0.99)</w:t>
            </w:r>
          </w:p>
        </w:tc>
      </w:tr>
      <w:tr w:rsidR="005D0276" w:rsidRPr="00523EE6" w:rsidTr="00FA6362">
        <w:tc>
          <w:tcPr>
            <w:tcW w:w="5000" w:type="pct"/>
            <w:gridSpan w:val="5"/>
            <w:vAlign w:val="center"/>
          </w:tcPr>
          <w:p w:rsidR="005D0276" w:rsidRPr="001A16A5" w:rsidRDefault="005D0276" w:rsidP="00323E7A">
            <w:pPr>
              <w:keepNext/>
              <w:widowControl/>
              <w:ind w:right="115"/>
              <w:jc w:val="left"/>
              <w:rPr>
                <w:rFonts w:ascii="Arial Narrow" w:hAnsi="Arial Narrow"/>
                <w:b/>
                <w:sz w:val="20"/>
              </w:rPr>
            </w:pPr>
            <w:r>
              <w:rPr>
                <w:rFonts w:ascii="Arial Narrow" w:hAnsi="Arial Narrow"/>
                <w:b/>
                <w:sz w:val="20"/>
              </w:rPr>
              <w:t xml:space="preserve">Progression-free survival - </w:t>
            </w:r>
            <w:r w:rsidRPr="00D7126A">
              <w:rPr>
                <w:rFonts w:ascii="Arial Narrow" w:hAnsi="Arial Narrow"/>
                <w:b/>
                <w:sz w:val="20"/>
              </w:rPr>
              <w:t xml:space="preserve">CA209-066 </w:t>
            </w:r>
            <w:r w:rsidR="00E55587">
              <w:rPr>
                <w:rFonts w:ascii="Arial Narrow" w:hAnsi="Arial Narrow"/>
                <w:b/>
                <w:sz w:val="20"/>
              </w:rPr>
              <w:t xml:space="preserve">- </w:t>
            </w:r>
            <w:r w:rsidRPr="00D7126A">
              <w:rPr>
                <w:rFonts w:ascii="Arial Narrow" w:hAnsi="Arial Narrow"/>
                <w:b/>
                <w:sz w:val="20"/>
              </w:rPr>
              <w:t>nivo</w:t>
            </w:r>
            <w:r>
              <w:rPr>
                <w:rFonts w:ascii="Arial Narrow" w:hAnsi="Arial Narrow"/>
                <w:b/>
                <w:sz w:val="20"/>
              </w:rPr>
              <w:t>lumab</w:t>
            </w:r>
          </w:p>
        </w:tc>
      </w:tr>
      <w:tr w:rsidR="005D0276" w:rsidRPr="00523EE6" w:rsidTr="00FA6362">
        <w:tc>
          <w:tcPr>
            <w:tcW w:w="933" w:type="pct"/>
          </w:tcPr>
          <w:p w:rsidR="005D0276" w:rsidRDefault="005D0276" w:rsidP="00323E7A">
            <w:pPr>
              <w:keepNext/>
              <w:widowControl/>
              <w:ind w:right="-170"/>
              <w:jc w:val="left"/>
              <w:rPr>
                <w:rFonts w:ascii="Arial Narrow" w:hAnsi="Arial Narrow"/>
                <w:sz w:val="20"/>
              </w:rPr>
            </w:pPr>
          </w:p>
        </w:tc>
        <w:tc>
          <w:tcPr>
            <w:tcW w:w="1018" w:type="pct"/>
          </w:tcPr>
          <w:p w:rsidR="005D0276" w:rsidRPr="00523EE6" w:rsidRDefault="005D0276" w:rsidP="00323E7A">
            <w:pPr>
              <w:keepNext/>
              <w:widowControl/>
              <w:ind w:right="-170"/>
              <w:jc w:val="center"/>
              <w:rPr>
                <w:rFonts w:ascii="Arial Narrow" w:hAnsi="Arial Narrow"/>
                <w:sz w:val="20"/>
              </w:rPr>
            </w:pPr>
            <w:r>
              <w:rPr>
                <w:rFonts w:ascii="Arial Narrow" w:hAnsi="Arial Narrow"/>
                <w:b/>
                <w:sz w:val="20"/>
              </w:rPr>
              <w:t>Nivo n/N (%)</w:t>
            </w:r>
          </w:p>
        </w:tc>
        <w:tc>
          <w:tcPr>
            <w:tcW w:w="1015" w:type="pct"/>
          </w:tcPr>
          <w:p w:rsidR="005D0276" w:rsidRPr="00523EE6" w:rsidRDefault="005D0276" w:rsidP="00323E7A">
            <w:pPr>
              <w:keepNext/>
              <w:widowControl/>
              <w:ind w:right="-170"/>
              <w:jc w:val="center"/>
              <w:rPr>
                <w:rFonts w:ascii="Arial Narrow" w:hAnsi="Arial Narrow"/>
                <w:sz w:val="20"/>
              </w:rPr>
            </w:pPr>
            <w:r>
              <w:rPr>
                <w:rFonts w:ascii="Arial Narrow" w:hAnsi="Arial Narrow"/>
                <w:b/>
                <w:sz w:val="20"/>
              </w:rPr>
              <w:t>DTIC n/N (%)</w:t>
            </w:r>
          </w:p>
        </w:tc>
        <w:tc>
          <w:tcPr>
            <w:tcW w:w="1018" w:type="pct"/>
            <w:vAlign w:val="center"/>
          </w:tcPr>
          <w:p w:rsidR="005D0276" w:rsidRPr="00523EE6" w:rsidRDefault="005D0276" w:rsidP="00323E7A">
            <w:pPr>
              <w:keepNext/>
              <w:widowControl/>
              <w:ind w:right="115"/>
              <w:jc w:val="center"/>
              <w:rPr>
                <w:rFonts w:ascii="Arial Narrow" w:hAnsi="Arial Narrow"/>
                <w:sz w:val="20"/>
              </w:rPr>
            </w:pPr>
          </w:p>
        </w:tc>
        <w:tc>
          <w:tcPr>
            <w:tcW w:w="1017" w:type="pct"/>
            <w:vAlign w:val="center"/>
          </w:tcPr>
          <w:p w:rsidR="005D0276" w:rsidRPr="00523EE6" w:rsidRDefault="005D0276" w:rsidP="00323E7A">
            <w:pPr>
              <w:keepNext/>
              <w:widowControl/>
              <w:ind w:right="115"/>
              <w:jc w:val="center"/>
              <w:rPr>
                <w:rFonts w:ascii="Arial Narrow" w:hAnsi="Arial Narrow"/>
                <w:sz w:val="20"/>
              </w:rPr>
            </w:pPr>
          </w:p>
        </w:tc>
      </w:tr>
      <w:tr w:rsidR="005D0276" w:rsidRPr="00523EE6" w:rsidTr="00FA6362">
        <w:tc>
          <w:tcPr>
            <w:tcW w:w="933" w:type="pct"/>
          </w:tcPr>
          <w:p w:rsidR="005D0276" w:rsidRPr="00523EE6" w:rsidRDefault="005D0276" w:rsidP="00323E7A">
            <w:pPr>
              <w:keepNext/>
              <w:widowControl/>
              <w:ind w:right="-170"/>
              <w:jc w:val="left"/>
              <w:rPr>
                <w:rFonts w:ascii="Arial Narrow" w:hAnsi="Arial Narrow"/>
                <w:sz w:val="20"/>
              </w:rPr>
            </w:pPr>
            <w:r>
              <w:rPr>
                <w:rFonts w:ascii="Arial Narrow" w:hAnsi="Arial Narrow"/>
                <w:sz w:val="20"/>
              </w:rPr>
              <w:t>Progressed</w:t>
            </w:r>
          </w:p>
        </w:tc>
        <w:tc>
          <w:tcPr>
            <w:tcW w:w="1018"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108/210 (51.4%)</w:t>
            </w:r>
          </w:p>
        </w:tc>
        <w:tc>
          <w:tcPr>
            <w:tcW w:w="1015"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163/208 (78.4%)</w:t>
            </w:r>
          </w:p>
        </w:tc>
        <w:tc>
          <w:tcPr>
            <w:tcW w:w="1018"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w:t>
            </w:r>
          </w:p>
        </w:tc>
        <w:tc>
          <w:tcPr>
            <w:tcW w:w="1017"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0.43 (0.34, 0.56)</w:t>
            </w:r>
          </w:p>
        </w:tc>
      </w:tr>
      <w:tr w:rsidR="005D0276" w:rsidRPr="00523EE6" w:rsidTr="00FA6362">
        <w:tc>
          <w:tcPr>
            <w:tcW w:w="933" w:type="pct"/>
          </w:tcPr>
          <w:p w:rsidR="005D0276" w:rsidRPr="00523EE6" w:rsidRDefault="005D0276" w:rsidP="00323E7A">
            <w:pPr>
              <w:keepNext/>
              <w:widowControl/>
              <w:ind w:right="-170"/>
              <w:jc w:val="left"/>
              <w:rPr>
                <w:rFonts w:ascii="Arial Narrow" w:hAnsi="Arial Narrow"/>
                <w:sz w:val="20"/>
              </w:rPr>
            </w:pPr>
            <w:r>
              <w:rPr>
                <w:rFonts w:ascii="Arial Narrow" w:hAnsi="Arial Narrow"/>
                <w:sz w:val="20"/>
              </w:rPr>
              <w:t>PFS median months</w:t>
            </w:r>
          </w:p>
        </w:tc>
        <w:tc>
          <w:tcPr>
            <w:tcW w:w="1018"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5.06 (3.48, 10.81)</w:t>
            </w:r>
          </w:p>
        </w:tc>
        <w:tc>
          <w:tcPr>
            <w:tcW w:w="1015"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2.17 (2.10, 2.40)</w:t>
            </w:r>
          </w:p>
        </w:tc>
        <w:tc>
          <w:tcPr>
            <w:tcW w:w="1018"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2.89</w:t>
            </w:r>
          </w:p>
        </w:tc>
        <w:tc>
          <w:tcPr>
            <w:tcW w:w="1017"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w:t>
            </w:r>
          </w:p>
        </w:tc>
      </w:tr>
      <w:tr w:rsidR="005D0276" w:rsidRPr="00523EE6" w:rsidTr="00FA6362">
        <w:tc>
          <w:tcPr>
            <w:tcW w:w="5000" w:type="pct"/>
            <w:gridSpan w:val="5"/>
            <w:vAlign w:val="center"/>
          </w:tcPr>
          <w:p w:rsidR="005D0276" w:rsidRPr="001A16A5" w:rsidRDefault="005D0276" w:rsidP="00323E7A">
            <w:pPr>
              <w:keepNext/>
              <w:widowControl/>
              <w:ind w:right="115"/>
              <w:jc w:val="left"/>
              <w:rPr>
                <w:rFonts w:ascii="Arial Narrow" w:hAnsi="Arial Narrow"/>
                <w:b/>
                <w:sz w:val="20"/>
              </w:rPr>
            </w:pPr>
            <w:r>
              <w:rPr>
                <w:rFonts w:ascii="Arial Narrow" w:hAnsi="Arial Narrow"/>
                <w:b/>
                <w:sz w:val="20"/>
              </w:rPr>
              <w:t>Progression-free survival - MDX010-20 - ipilimumab</w:t>
            </w:r>
          </w:p>
        </w:tc>
      </w:tr>
      <w:tr w:rsidR="005D0276" w:rsidRPr="00523EE6" w:rsidTr="00FA6362">
        <w:tc>
          <w:tcPr>
            <w:tcW w:w="933" w:type="pct"/>
          </w:tcPr>
          <w:p w:rsidR="005D0276" w:rsidRDefault="005D0276" w:rsidP="00323E7A">
            <w:pPr>
              <w:keepNext/>
              <w:widowControl/>
              <w:ind w:right="-170"/>
              <w:jc w:val="left"/>
              <w:rPr>
                <w:rFonts w:ascii="Arial Narrow" w:hAnsi="Arial Narrow"/>
                <w:sz w:val="20"/>
              </w:rPr>
            </w:pPr>
          </w:p>
        </w:tc>
        <w:tc>
          <w:tcPr>
            <w:tcW w:w="1018" w:type="pct"/>
          </w:tcPr>
          <w:p w:rsidR="005D0276" w:rsidRPr="00523EE6" w:rsidRDefault="005D0276" w:rsidP="00323E7A">
            <w:pPr>
              <w:keepNext/>
              <w:widowControl/>
              <w:ind w:right="-170"/>
              <w:jc w:val="center"/>
              <w:rPr>
                <w:rFonts w:ascii="Arial Narrow" w:hAnsi="Arial Narrow"/>
                <w:sz w:val="20"/>
              </w:rPr>
            </w:pPr>
            <w:r w:rsidRPr="00CC3301">
              <w:rPr>
                <w:rFonts w:ascii="Arial Narrow" w:hAnsi="Arial Narrow"/>
                <w:b/>
                <w:sz w:val="20"/>
              </w:rPr>
              <w:t>Ipi n/N (%)</w:t>
            </w:r>
          </w:p>
        </w:tc>
        <w:tc>
          <w:tcPr>
            <w:tcW w:w="1015" w:type="pct"/>
          </w:tcPr>
          <w:p w:rsidR="005D0276" w:rsidRPr="00523EE6" w:rsidRDefault="005D0276" w:rsidP="00323E7A">
            <w:pPr>
              <w:keepNext/>
              <w:widowControl/>
              <w:ind w:right="-170"/>
              <w:jc w:val="center"/>
              <w:rPr>
                <w:rFonts w:ascii="Arial Narrow" w:hAnsi="Arial Narrow"/>
                <w:sz w:val="20"/>
              </w:rPr>
            </w:pPr>
            <w:r w:rsidRPr="00CC3301">
              <w:rPr>
                <w:rFonts w:ascii="Arial Narrow" w:hAnsi="Arial Narrow"/>
                <w:b/>
                <w:sz w:val="20"/>
              </w:rPr>
              <w:t>gp100 n/N (%)</w:t>
            </w:r>
          </w:p>
        </w:tc>
        <w:tc>
          <w:tcPr>
            <w:tcW w:w="1018" w:type="pct"/>
            <w:vAlign w:val="center"/>
          </w:tcPr>
          <w:p w:rsidR="005D0276" w:rsidRPr="00523EE6" w:rsidRDefault="005D0276" w:rsidP="00323E7A">
            <w:pPr>
              <w:keepNext/>
              <w:widowControl/>
              <w:ind w:right="115"/>
              <w:jc w:val="center"/>
              <w:rPr>
                <w:rFonts w:ascii="Arial Narrow" w:hAnsi="Arial Narrow"/>
                <w:sz w:val="20"/>
              </w:rPr>
            </w:pPr>
          </w:p>
        </w:tc>
        <w:tc>
          <w:tcPr>
            <w:tcW w:w="1017" w:type="pct"/>
            <w:vAlign w:val="center"/>
          </w:tcPr>
          <w:p w:rsidR="005D0276" w:rsidRPr="00523EE6" w:rsidRDefault="005D0276" w:rsidP="00323E7A">
            <w:pPr>
              <w:keepNext/>
              <w:widowControl/>
              <w:ind w:right="115"/>
              <w:jc w:val="center"/>
              <w:rPr>
                <w:rFonts w:ascii="Arial Narrow" w:hAnsi="Arial Narrow"/>
                <w:sz w:val="20"/>
              </w:rPr>
            </w:pPr>
          </w:p>
        </w:tc>
      </w:tr>
      <w:tr w:rsidR="005D0276" w:rsidRPr="00523EE6" w:rsidTr="00FA6362">
        <w:tc>
          <w:tcPr>
            <w:tcW w:w="933" w:type="pct"/>
          </w:tcPr>
          <w:p w:rsidR="005D0276" w:rsidRPr="00523EE6" w:rsidRDefault="005D0276" w:rsidP="00323E7A">
            <w:pPr>
              <w:keepNext/>
              <w:widowControl/>
              <w:ind w:right="-170"/>
              <w:jc w:val="left"/>
              <w:rPr>
                <w:rFonts w:ascii="Arial Narrow" w:hAnsi="Arial Narrow"/>
                <w:sz w:val="20"/>
              </w:rPr>
            </w:pPr>
            <w:r>
              <w:rPr>
                <w:rFonts w:ascii="Arial Narrow" w:hAnsi="Arial Narrow"/>
                <w:sz w:val="20"/>
              </w:rPr>
              <w:t>Progressed</w:t>
            </w:r>
          </w:p>
        </w:tc>
        <w:tc>
          <w:tcPr>
            <w:tcW w:w="1018"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122/137 (89.1%)</w:t>
            </w:r>
          </w:p>
        </w:tc>
        <w:tc>
          <w:tcPr>
            <w:tcW w:w="1015"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127/136 (93.4%)</w:t>
            </w:r>
          </w:p>
        </w:tc>
        <w:tc>
          <w:tcPr>
            <w:tcW w:w="1018"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w:t>
            </w:r>
          </w:p>
        </w:tc>
        <w:tc>
          <w:tcPr>
            <w:tcW w:w="1017"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0.64 (0.50, 0.83)</w:t>
            </w:r>
          </w:p>
        </w:tc>
      </w:tr>
      <w:tr w:rsidR="005D0276" w:rsidRPr="00523EE6" w:rsidTr="00FA6362">
        <w:tc>
          <w:tcPr>
            <w:tcW w:w="933" w:type="pct"/>
          </w:tcPr>
          <w:p w:rsidR="005D0276" w:rsidRPr="00523EE6" w:rsidRDefault="005D0276" w:rsidP="00323E7A">
            <w:pPr>
              <w:keepNext/>
              <w:widowControl/>
              <w:ind w:right="-170"/>
              <w:jc w:val="left"/>
              <w:rPr>
                <w:rFonts w:ascii="Arial Narrow" w:hAnsi="Arial Narrow"/>
                <w:sz w:val="20"/>
              </w:rPr>
            </w:pPr>
            <w:r>
              <w:rPr>
                <w:rFonts w:ascii="Arial Narrow" w:hAnsi="Arial Narrow"/>
                <w:sz w:val="20"/>
              </w:rPr>
              <w:t>PFS median months</w:t>
            </w:r>
          </w:p>
        </w:tc>
        <w:tc>
          <w:tcPr>
            <w:tcW w:w="1018"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2.86 (2.76, 3.02)</w:t>
            </w:r>
          </w:p>
        </w:tc>
        <w:tc>
          <w:tcPr>
            <w:tcW w:w="1015" w:type="pct"/>
          </w:tcPr>
          <w:p w:rsidR="005D0276" w:rsidRPr="00523EE6" w:rsidRDefault="005D0276" w:rsidP="00323E7A">
            <w:pPr>
              <w:keepNext/>
              <w:widowControl/>
              <w:ind w:right="-170"/>
              <w:jc w:val="center"/>
              <w:rPr>
                <w:rFonts w:ascii="Arial Narrow" w:hAnsi="Arial Narrow"/>
                <w:sz w:val="20"/>
              </w:rPr>
            </w:pPr>
            <w:r>
              <w:rPr>
                <w:rFonts w:ascii="Arial Narrow" w:hAnsi="Arial Narrow"/>
                <w:sz w:val="20"/>
              </w:rPr>
              <w:t>2.76 (2.73, 2.83)</w:t>
            </w:r>
          </w:p>
        </w:tc>
        <w:tc>
          <w:tcPr>
            <w:tcW w:w="1018"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0.10</w:t>
            </w:r>
          </w:p>
        </w:tc>
        <w:tc>
          <w:tcPr>
            <w:tcW w:w="1017" w:type="pct"/>
          </w:tcPr>
          <w:p w:rsidR="005D0276" w:rsidRPr="00523EE6" w:rsidRDefault="005D0276" w:rsidP="00323E7A">
            <w:pPr>
              <w:keepNext/>
              <w:widowControl/>
              <w:ind w:right="115"/>
              <w:jc w:val="center"/>
              <w:rPr>
                <w:rFonts w:ascii="Arial Narrow" w:hAnsi="Arial Narrow"/>
                <w:sz w:val="20"/>
              </w:rPr>
            </w:pPr>
            <w:r>
              <w:rPr>
                <w:rFonts w:ascii="Arial Narrow" w:hAnsi="Arial Narrow"/>
                <w:sz w:val="20"/>
              </w:rPr>
              <w:t>-</w:t>
            </w:r>
          </w:p>
        </w:tc>
      </w:tr>
      <w:tr w:rsidR="005D0276" w:rsidRPr="00523EE6" w:rsidTr="00FA6362">
        <w:tc>
          <w:tcPr>
            <w:tcW w:w="3983" w:type="pct"/>
            <w:gridSpan w:val="4"/>
            <w:vAlign w:val="center"/>
          </w:tcPr>
          <w:p w:rsidR="005D0276" w:rsidRPr="001A16A5" w:rsidRDefault="005D0276" w:rsidP="00323E7A">
            <w:pPr>
              <w:keepNext/>
              <w:widowControl/>
              <w:ind w:right="115"/>
              <w:jc w:val="left"/>
              <w:rPr>
                <w:rFonts w:ascii="Arial Narrow" w:hAnsi="Arial Narrow"/>
                <w:b/>
                <w:sz w:val="20"/>
              </w:rPr>
            </w:pPr>
            <w:r>
              <w:rPr>
                <w:rFonts w:ascii="Arial Narrow" w:hAnsi="Arial Narrow"/>
                <w:b/>
                <w:sz w:val="20"/>
              </w:rPr>
              <w:t xml:space="preserve">Indirect comparison progression-free survival </w:t>
            </w:r>
            <w:r w:rsidR="00E55587">
              <w:rPr>
                <w:rFonts w:ascii="Arial Narrow" w:hAnsi="Arial Narrow"/>
                <w:b/>
                <w:sz w:val="20"/>
              </w:rPr>
              <w:t>-</w:t>
            </w:r>
            <w:r>
              <w:rPr>
                <w:rFonts w:ascii="Arial Narrow" w:hAnsi="Arial Narrow"/>
                <w:b/>
                <w:sz w:val="20"/>
              </w:rPr>
              <w:t xml:space="preserve"> nivo vs. ipi</w:t>
            </w:r>
          </w:p>
        </w:tc>
        <w:tc>
          <w:tcPr>
            <w:tcW w:w="1017" w:type="pct"/>
            <w:vAlign w:val="center"/>
          </w:tcPr>
          <w:p w:rsidR="005D0276" w:rsidRPr="001A16A5" w:rsidRDefault="005D0276" w:rsidP="00323E7A">
            <w:pPr>
              <w:keepNext/>
              <w:widowControl/>
              <w:ind w:right="115"/>
              <w:jc w:val="center"/>
              <w:rPr>
                <w:rFonts w:ascii="Arial Narrow" w:hAnsi="Arial Narrow"/>
                <w:b/>
                <w:sz w:val="20"/>
              </w:rPr>
            </w:pPr>
            <w:r w:rsidRPr="00DC2AA1">
              <w:rPr>
                <w:rFonts w:ascii="Arial Narrow" w:hAnsi="Arial Narrow"/>
                <w:b/>
                <w:sz w:val="20"/>
              </w:rPr>
              <w:t>0.67 (0.47, 0.96)</w:t>
            </w:r>
          </w:p>
        </w:tc>
      </w:tr>
    </w:tbl>
    <w:p w:rsidR="005D0276" w:rsidRDefault="005D0276" w:rsidP="00323E7A">
      <w:pPr>
        <w:pStyle w:val="TableFooter"/>
        <w:widowControl/>
        <w:ind w:left="709"/>
      </w:pPr>
      <w:r>
        <w:t>Source:  Table 23, p87; Table 24, p88; Table 25, p90 and Table 26, p91 of the submission</w:t>
      </w:r>
    </w:p>
    <w:p w:rsidR="005D0276" w:rsidRPr="005E1BAA" w:rsidRDefault="005D0276" w:rsidP="00323E7A">
      <w:pPr>
        <w:pStyle w:val="TableFooter"/>
        <w:widowControl/>
        <w:ind w:left="709"/>
      </w:pPr>
      <w:r>
        <w:t>DTIC=dacarbazine; HR=hazard ratio; Ipi=ipilimumab; Nivo=nivolumab</w:t>
      </w:r>
    </w:p>
    <w:p w:rsidR="005D0276" w:rsidRPr="005D0276" w:rsidRDefault="005D0276" w:rsidP="00323E7A">
      <w:pPr>
        <w:widowControl/>
        <w:rPr>
          <w:szCs w:val="22"/>
        </w:rPr>
      </w:pPr>
    </w:p>
    <w:p w:rsidR="00CF0BE1" w:rsidRPr="006C03DC" w:rsidRDefault="00CF0BE1" w:rsidP="00323E7A">
      <w:pPr>
        <w:pStyle w:val="ListParagraph"/>
        <w:widowControl/>
        <w:numPr>
          <w:ilvl w:val="1"/>
          <w:numId w:val="23"/>
        </w:numPr>
        <w:ind w:left="709" w:hanging="709"/>
        <w:rPr>
          <w:szCs w:val="22"/>
        </w:rPr>
      </w:pPr>
      <w:r w:rsidRPr="006C03DC">
        <w:rPr>
          <w:szCs w:val="22"/>
        </w:rPr>
        <w:t xml:space="preserve">The indirect </w:t>
      </w:r>
      <w:r w:rsidRPr="001E5B06">
        <w:t>comparisons</w:t>
      </w:r>
      <w:r w:rsidRPr="006C03DC">
        <w:rPr>
          <w:szCs w:val="22"/>
        </w:rPr>
        <w:t xml:space="preserve"> indicated a statistically significant advantage for nivolumab </w:t>
      </w:r>
      <w:r w:rsidRPr="004A053A">
        <w:rPr>
          <w:szCs w:val="22"/>
        </w:rPr>
        <w:t>compared to ipilimumab for OS and PFS.  The results of both analyses ha</w:t>
      </w:r>
      <w:r w:rsidR="001E5B06" w:rsidRPr="004A053A">
        <w:rPr>
          <w:szCs w:val="22"/>
        </w:rPr>
        <w:t>d</w:t>
      </w:r>
      <w:r w:rsidRPr="004A053A">
        <w:rPr>
          <w:szCs w:val="22"/>
        </w:rPr>
        <w:t xml:space="preserve"> borderline significance, with the upper confidence </w:t>
      </w:r>
      <w:r w:rsidR="00E55587" w:rsidRPr="004A053A">
        <w:rPr>
          <w:szCs w:val="22"/>
        </w:rPr>
        <w:t>limit</w:t>
      </w:r>
      <w:r w:rsidRPr="004A053A">
        <w:rPr>
          <w:szCs w:val="22"/>
        </w:rPr>
        <w:t xml:space="preserve">s close to 1 (0.99 for OS; 0.96 for PFS).  </w:t>
      </w:r>
      <w:r w:rsidR="001E5B06" w:rsidRPr="004A053A">
        <w:rPr>
          <w:szCs w:val="22"/>
        </w:rPr>
        <w:t>Interpretation of these results was hindered by</w:t>
      </w:r>
      <w:r w:rsidRPr="004A053A">
        <w:rPr>
          <w:szCs w:val="22"/>
        </w:rPr>
        <w:t xml:space="preserve"> the </w:t>
      </w:r>
      <w:r w:rsidR="00E55587" w:rsidRPr="004A053A">
        <w:rPr>
          <w:szCs w:val="22"/>
        </w:rPr>
        <w:t>poor exchangeability</w:t>
      </w:r>
      <w:r w:rsidRPr="004A053A">
        <w:rPr>
          <w:szCs w:val="22"/>
        </w:rPr>
        <w:t xml:space="preserve"> between the trials</w:t>
      </w:r>
      <w:r w:rsidR="000438E4" w:rsidRPr="004A053A">
        <w:rPr>
          <w:szCs w:val="22"/>
        </w:rPr>
        <w:t>, particularly the healthier population in the nivolumab trial</w:t>
      </w:r>
      <w:r w:rsidRPr="004A053A">
        <w:rPr>
          <w:szCs w:val="22"/>
        </w:rPr>
        <w:t>.</w:t>
      </w:r>
    </w:p>
    <w:p w:rsidR="00CF0BE1" w:rsidRPr="006C03DC" w:rsidRDefault="00CF0BE1" w:rsidP="00323E7A">
      <w:pPr>
        <w:widowControl/>
        <w:rPr>
          <w:szCs w:val="22"/>
        </w:rPr>
      </w:pPr>
    </w:p>
    <w:p w:rsidR="002B6104" w:rsidRPr="006C03DC" w:rsidRDefault="00CF0BE1" w:rsidP="00323E7A">
      <w:pPr>
        <w:pStyle w:val="ListParagraph"/>
        <w:widowControl/>
        <w:numPr>
          <w:ilvl w:val="1"/>
          <w:numId w:val="23"/>
        </w:numPr>
        <w:ind w:left="709" w:hanging="709"/>
        <w:rPr>
          <w:szCs w:val="22"/>
        </w:rPr>
      </w:pPr>
      <w:r w:rsidRPr="006C03DC">
        <w:rPr>
          <w:szCs w:val="22"/>
        </w:rPr>
        <w:t xml:space="preserve">Overall survival curves from the nivolumab and ipilimumab trials are provided below.  The submission claimed that comparison of the nivolumab and ipilimumab arms in the curves suggest that nivolumab appears to be superior.  </w:t>
      </w:r>
      <w:r w:rsidR="007941BF" w:rsidRPr="006C03DC">
        <w:t>T</w:t>
      </w:r>
      <w:r w:rsidRPr="006C03DC">
        <w:t xml:space="preserve">he time frame of the figures </w:t>
      </w:r>
      <w:r w:rsidR="001E5B06">
        <w:t>wa</w:t>
      </w:r>
      <w:r w:rsidRPr="006C03DC">
        <w:t xml:space="preserve">s different, with the nivolumab Kaplan-Meier curve extending over </w:t>
      </w:r>
      <w:r w:rsidR="007428AB" w:rsidRPr="006C03DC">
        <w:t>1</w:t>
      </w:r>
      <w:r w:rsidR="00A878E9" w:rsidRPr="006C03DC">
        <w:t>6</w:t>
      </w:r>
      <w:r w:rsidR="00323E7A">
        <w:t> </w:t>
      </w:r>
      <w:r w:rsidRPr="006C03DC">
        <w:t xml:space="preserve">months and the ipilimumab curve over </w:t>
      </w:r>
      <w:r w:rsidR="00A878E9" w:rsidRPr="006C03DC">
        <w:t xml:space="preserve">55 </w:t>
      </w:r>
      <w:r w:rsidRPr="006C03DC">
        <w:t>months.</w:t>
      </w:r>
    </w:p>
    <w:p w:rsidR="002B6104" w:rsidRDefault="002B6104" w:rsidP="00323E7A">
      <w:pPr>
        <w:widowControl/>
        <w:rPr>
          <w:szCs w:val="22"/>
        </w:rPr>
      </w:pPr>
    </w:p>
    <w:p w:rsidR="00DB11E4" w:rsidRPr="00314C40" w:rsidRDefault="000C6E04" w:rsidP="00323E7A">
      <w:pPr>
        <w:keepNext/>
        <w:widowControl/>
        <w:ind w:left="709"/>
        <w:rPr>
          <w:rFonts w:ascii="Arial Narrow" w:hAnsi="Arial Narrow"/>
          <w:b/>
          <w:sz w:val="20"/>
          <w:szCs w:val="20"/>
        </w:rPr>
      </w:pPr>
      <w:r>
        <w:rPr>
          <w:rFonts w:ascii="Arial Narrow" w:hAnsi="Arial Narrow"/>
          <w:b/>
          <w:sz w:val="20"/>
          <w:szCs w:val="20"/>
        </w:rPr>
        <w:lastRenderedPageBreak/>
        <w:t xml:space="preserve">Figure 1: </w:t>
      </w:r>
      <w:r w:rsidR="00DB11E4" w:rsidRPr="00314C40">
        <w:rPr>
          <w:rFonts w:ascii="Arial Narrow" w:hAnsi="Arial Narrow"/>
          <w:b/>
          <w:sz w:val="20"/>
          <w:szCs w:val="20"/>
        </w:rPr>
        <w:t>Kaplan-Meier curves overall survival CA209-066 - nivolumab</w:t>
      </w:r>
    </w:p>
    <w:p w:rsidR="00DB11E4" w:rsidRPr="00963B06" w:rsidRDefault="00DB11E4" w:rsidP="00323E7A">
      <w:pPr>
        <w:pStyle w:val="BodyText1"/>
        <w:keepNext/>
        <w:widowControl/>
        <w:spacing w:after="0" w:line="240" w:lineRule="auto"/>
        <w:ind w:left="709"/>
        <w:jc w:val="left"/>
      </w:pPr>
      <w:r w:rsidRPr="00963B06">
        <w:rPr>
          <w:noProof/>
        </w:rPr>
        <w:drawing>
          <wp:inline distT="0" distB="0" distL="0" distR="0" wp14:anchorId="09041724" wp14:editId="7CF8848F">
            <wp:extent cx="4893635" cy="3853180"/>
            <wp:effectExtent l="19050" t="19050" r="21590" b="13970"/>
            <wp:docPr id="3" name="Picture 3" title="Kaplan-Meier curves overall survival CA209-066 - nivol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00445" cy="3858542"/>
                    </a:xfrm>
                    <a:prstGeom prst="rect">
                      <a:avLst/>
                    </a:prstGeom>
                    <a:noFill/>
                    <a:ln w="9525">
                      <a:solidFill>
                        <a:schemeClr val="tx1"/>
                      </a:solidFill>
                      <a:miter lim="800000"/>
                      <a:headEnd/>
                      <a:tailEnd/>
                    </a:ln>
                  </pic:spPr>
                </pic:pic>
              </a:graphicData>
            </a:graphic>
          </wp:inline>
        </w:drawing>
      </w:r>
    </w:p>
    <w:p w:rsidR="00DB11E4" w:rsidRPr="00EF0CE9" w:rsidRDefault="00DB11E4" w:rsidP="00323E7A">
      <w:pPr>
        <w:pStyle w:val="TableFooter"/>
        <w:keepNext/>
        <w:widowControl/>
        <w:ind w:left="709"/>
        <w:rPr>
          <w:rFonts w:ascii="Arial" w:hAnsi="Arial"/>
        </w:rPr>
      </w:pPr>
      <w:r w:rsidRPr="00EF0CE9">
        <w:rPr>
          <w:rFonts w:ascii="Arial" w:hAnsi="Arial"/>
        </w:rPr>
        <w:t xml:space="preserve">Source: </w:t>
      </w:r>
      <w:r>
        <w:t>Figure 9, p86 of the submission</w:t>
      </w:r>
    </w:p>
    <w:p w:rsidR="00DB11E4" w:rsidRPr="00F00C4E" w:rsidRDefault="00DB11E4" w:rsidP="00323E7A">
      <w:pPr>
        <w:widowControl/>
        <w:rPr>
          <w:sz w:val="8"/>
        </w:rPr>
      </w:pPr>
    </w:p>
    <w:p w:rsidR="00DB11E4" w:rsidRPr="00314C40" w:rsidRDefault="00DB11E4" w:rsidP="00323E7A">
      <w:pPr>
        <w:keepNext/>
        <w:widowControl/>
        <w:ind w:left="709"/>
        <w:rPr>
          <w:rFonts w:ascii="Arial Narrow" w:hAnsi="Arial Narrow"/>
          <w:b/>
          <w:sz w:val="20"/>
          <w:szCs w:val="20"/>
        </w:rPr>
      </w:pPr>
      <w:r w:rsidRPr="00314C40">
        <w:rPr>
          <w:rFonts w:ascii="Arial Narrow" w:hAnsi="Arial Narrow"/>
          <w:b/>
          <w:sz w:val="20"/>
          <w:szCs w:val="20"/>
        </w:rPr>
        <w:t xml:space="preserve">Figure </w:t>
      </w:r>
      <w:r>
        <w:rPr>
          <w:rFonts w:ascii="Arial Narrow" w:hAnsi="Arial Narrow"/>
          <w:b/>
          <w:sz w:val="20"/>
          <w:szCs w:val="20"/>
        </w:rPr>
        <w:t>2</w:t>
      </w:r>
      <w:r w:rsidRPr="00314C40">
        <w:rPr>
          <w:rFonts w:ascii="Arial Narrow" w:hAnsi="Arial Narrow"/>
          <w:b/>
          <w:sz w:val="20"/>
          <w:szCs w:val="20"/>
        </w:rPr>
        <w:t xml:space="preserve">: Kaplan-Meier curves overall survival </w:t>
      </w:r>
      <w:r>
        <w:rPr>
          <w:rFonts w:ascii="Arial Narrow" w:hAnsi="Arial Narrow"/>
          <w:b/>
          <w:sz w:val="20"/>
          <w:szCs w:val="20"/>
        </w:rPr>
        <w:t>MDX010-20 - ipilimumab</w:t>
      </w:r>
    </w:p>
    <w:p w:rsidR="00DB11E4" w:rsidRPr="00963B06" w:rsidRDefault="00DB11E4" w:rsidP="00323E7A">
      <w:pPr>
        <w:widowControl/>
        <w:ind w:left="709"/>
        <w:rPr>
          <w:lang w:eastAsia="ja-JP"/>
        </w:rPr>
      </w:pPr>
      <w:r w:rsidRPr="00963B06">
        <w:rPr>
          <w:noProof/>
          <w:lang w:eastAsia="en-AU"/>
        </w:rPr>
        <w:drawing>
          <wp:inline distT="0" distB="0" distL="0" distR="0" wp14:anchorId="650262E6" wp14:editId="279902A0">
            <wp:extent cx="4893635" cy="3514598"/>
            <wp:effectExtent l="19050" t="19050" r="21590" b="10160"/>
            <wp:docPr id="6" name="Picture 2" title="Kaplan-Meier curves overall survival MDX010-20 - ipilim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903894" cy="3521966"/>
                    </a:xfrm>
                    <a:prstGeom prst="rect">
                      <a:avLst/>
                    </a:prstGeom>
                    <a:noFill/>
                    <a:ln w="9525">
                      <a:solidFill>
                        <a:schemeClr val="tx1"/>
                      </a:solidFill>
                      <a:miter lim="800000"/>
                      <a:headEnd/>
                      <a:tailEnd/>
                    </a:ln>
                  </pic:spPr>
                </pic:pic>
              </a:graphicData>
            </a:graphic>
          </wp:inline>
        </w:drawing>
      </w:r>
    </w:p>
    <w:p w:rsidR="00DB11E4" w:rsidRDefault="00DB11E4" w:rsidP="00323E7A">
      <w:pPr>
        <w:pStyle w:val="TableFooter"/>
        <w:widowControl/>
        <w:ind w:left="709"/>
      </w:pPr>
      <w:r>
        <w:t>Source:  Figure 10, p87 of the submission</w:t>
      </w:r>
    </w:p>
    <w:p w:rsidR="002B6104" w:rsidRPr="002B6104" w:rsidRDefault="002B6104" w:rsidP="00323E7A">
      <w:pPr>
        <w:widowControl/>
        <w:rPr>
          <w:szCs w:val="22"/>
        </w:rPr>
      </w:pPr>
    </w:p>
    <w:p w:rsidR="005D0276" w:rsidRDefault="002B6104" w:rsidP="00323E7A">
      <w:pPr>
        <w:pStyle w:val="ListParagraph"/>
        <w:widowControl/>
        <w:numPr>
          <w:ilvl w:val="1"/>
          <w:numId w:val="23"/>
        </w:numPr>
        <w:ind w:left="709" w:hanging="709"/>
      </w:pPr>
      <w:r w:rsidRPr="006C03DC">
        <w:lastRenderedPageBreak/>
        <w:t>The submission presented an informal comparison</w:t>
      </w:r>
      <w:r w:rsidR="003C485F" w:rsidRPr="006C03DC">
        <w:t xml:space="preserve"> of nivolumab and pembr</w:t>
      </w:r>
      <w:r w:rsidRPr="006C03DC">
        <w:t xml:space="preserve">olizumab in an attachment to the submission.  This informal comparison consisted solely of tabled data from CA209-066 for nivolumab and KN-001 and KN-006 for pembrolizumab.  No statistical comparisons of the data were provided, nor was there any discussion of similarities and differences between the trials.  As such, the comparison presented by the submission was </w:t>
      </w:r>
      <w:r w:rsidR="00EC2D59" w:rsidRPr="006C03DC">
        <w:t>limited</w:t>
      </w:r>
      <w:r w:rsidRPr="006C03DC">
        <w:t>.</w:t>
      </w:r>
    </w:p>
    <w:p w:rsidR="001A16A5" w:rsidRPr="00F00C4E" w:rsidRDefault="001A16A5" w:rsidP="00323E7A">
      <w:pPr>
        <w:widowControl/>
        <w:rPr>
          <w:sz w:val="18"/>
        </w:rPr>
      </w:pPr>
    </w:p>
    <w:p w:rsidR="00B60939" w:rsidRPr="002C2775" w:rsidRDefault="00B60939" w:rsidP="00323E7A">
      <w:pPr>
        <w:pStyle w:val="Heading2"/>
        <w:widowControl/>
        <w:rPr>
          <w:i/>
        </w:rPr>
      </w:pPr>
      <w:bookmarkStart w:id="10" w:name="_Toc419885972"/>
      <w:r w:rsidRPr="002C2775">
        <w:rPr>
          <w:i/>
        </w:rPr>
        <w:t>Comparative harms</w:t>
      </w:r>
      <w:bookmarkEnd w:id="10"/>
    </w:p>
    <w:p w:rsidR="00B60939" w:rsidRPr="00F00C4E" w:rsidRDefault="00B60939" w:rsidP="00323E7A">
      <w:pPr>
        <w:widowControl/>
        <w:ind w:left="720" w:hanging="720"/>
        <w:rPr>
          <w:sz w:val="18"/>
          <w:szCs w:val="22"/>
        </w:rPr>
      </w:pPr>
    </w:p>
    <w:p w:rsidR="00B60939" w:rsidRPr="006C03DC" w:rsidRDefault="00090E4A" w:rsidP="00323E7A">
      <w:pPr>
        <w:pStyle w:val="ListParagraph"/>
        <w:widowControl/>
        <w:numPr>
          <w:ilvl w:val="1"/>
          <w:numId w:val="23"/>
        </w:numPr>
        <w:ind w:left="709" w:hanging="709"/>
      </w:pPr>
      <w:r w:rsidRPr="003A3593">
        <w:t>The submission did not provide any statistical comparisons of adverse events</w:t>
      </w:r>
      <w:r w:rsidR="000C7A34" w:rsidRPr="003A3593">
        <w:t xml:space="preserve"> (AEs)</w:t>
      </w:r>
      <w:r w:rsidRPr="003A3593">
        <w:t xml:space="preserve"> on the basis that “….the respective control arms included in the trials are unsuitable </w:t>
      </w:r>
      <w:r w:rsidRPr="006C03DC">
        <w:t>proxies for a common comparator”.</w:t>
      </w:r>
      <w:r w:rsidR="001C2CF6" w:rsidRPr="006C03DC">
        <w:t xml:space="preserve">  The submission presented</w:t>
      </w:r>
      <w:r w:rsidRPr="006C03DC">
        <w:t xml:space="preserve"> only a naïve comparis</w:t>
      </w:r>
      <w:r w:rsidR="001C2CF6" w:rsidRPr="006C03DC">
        <w:t>on of safety outcomes and claimed</w:t>
      </w:r>
      <w:r w:rsidRPr="006C03DC">
        <w:t xml:space="preserve"> that the safety of nivolumab is overall more favourable than that of ipilimumab.  </w:t>
      </w:r>
      <w:r w:rsidR="001C2CF6" w:rsidRPr="006C03DC">
        <w:t>G</w:t>
      </w:r>
      <w:r w:rsidRPr="006C03DC">
        <w:t xml:space="preserve">iven that the same trials, with the same comparators, are used for the submission’s indirect comparison of efficacy outcomes, the submission’s rationale for not conducting an indirect comparison </w:t>
      </w:r>
      <w:r w:rsidR="006B3C0E" w:rsidRPr="006C03DC">
        <w:t>could not</w:t>
      </w:r>
      <w:r w:rsidRPr="006C03DC">
        <w:t xml:space="preserve"> be supported.</w:t>
      </w:r>
      <w:r w:rsidR="006B3C0E" w:rsidRPr="006C03DC">
        <w:t xml:space="preserve">  It was assumed that the premise was that DTIC has greater toxicity than gp100, </w:t>
      </w:r>
      <w:r w:rsidR="00F560F6" w:rsidRPr="006C03DC">
        <w:t>and therefore an indirect comparison was not appropriate.  The same difference across comparators should also have been applied to efficacy.  To maintain consistency with the submission’s approach to efficacy outcomes, indirect comparisons of safety outcomes were conducted during the evaluation and determined that the submission’s conclusion of more favourable safety for nivolumab c</w:t>
      </w:r>
      <w:r w:rsidR="00EC2D59" w:rsidRPr="006C03DC">
        <w:t xml:space="preserve">ould </w:t>
      </w:r>
      <w:r w:rsidR="00F560F6" w:rsidRPr="006C03DC">
        <w:t xml:space="preserve">not be statistically supported across all outcomes.  Table </w:t>
      </w:r>
      <w:r w:rsidR="0061538A" w:rsidRPr="006C03DC">
        <w:t>4</w:t>
      </w:r>
      <w:r w:rsidR="00F560F6" w:rsidRPr="006C03DC">
        <w:t xml:space="preserve"> below provides a summary of adverse events.</w:t>
      </w:r>
    </w:p>
    <w:p w:rsidR="000C7A34" w:rsidRPr="00F00C4E" w:rsidRDefault="000C7A34" w:rsidP="00323E7A">
      <w:pPr>
        <w:widowControl/>
        <w:rPr>
          <w:color w:val="000000"/>
          <w:sz w:val="18"/>
          <w:szCs w:val="22"/>
          <w:shd w:val="clear" w:color="auto" w:fill="FFFFFF"/>
        </w:rPr>
      </w:pPr>
    </w:p>
    <w:p w:rsidR="000C7A34" w:rsidRPr="00EC79FE" w:rsidRDefault="000C7A34" w:rsidP="00323E7A">
      <w:pPr>
        <w:widowControl/>
        <w:ind w:left="709"/>
        <w:rPr>
          <w:rFonts w:ascii="Arial Narrow" w:hAnsi="Arial Narrow"/>
          <w:b/>
          <w:sz w:val="20"/>
        </w:rPr>
      </w:pPr>
      <w:r w:rsidRPr="00EC79FE">
        <w:rPr>
          <w:rFonts w:ascii="Arial Narrow" w:hAnsi="Arial Narrow"/>
          <w:b/>
          <w:sz w:val="20"/>
        </w:rPr>
        <w:t xml:space="preserve">Table </w:t>
      </w:r>
      <w:r w:rsidR="0061538A">
        <w:rPr>
          <w:rFonts w:ascii="Arial Narrow" w:hAnsi="Arial Narrow"/>
          <w:b/>
          <w:sz w:val="20"/>
        </w:rPr>
        <w:t>4</w:t>
      </w:r>
      <w:r w:rsidR="000C6E04">
        <w:rPr>
          <w:rFonts w:ascii="Arial Narrow" w:hAnsi="Arial Narrow"/>
          <w:b/>
          <w:sz w:val="20"/>
        </w:rPr>
        <w:t xml:space="preserve">: </w:t>
      </w:r>
      <w:r w:rsidRPr="00EC79FE">
        <w:rPr>
          <w:rFonts w:ascii="Arial Narrow" w:hAnsi="Arial Narrow"/>
          <w:b/>
          <w:sz w:val="20"/>
        </w:rPr>
        <w:t>Summary of indirect comparison</w:t>
      </w:r>
      <w:r w:rsidRPr="00C06265">
        <w:rPr>
          <w:rFonts w:ascii="Arial Narrow" w:hAnsi="Arial Narrow"/>
          <w:b/>
          <w:sz w:val="20"/>
          <w:vertAlign w:val="superscript"/>
        </w:rPr>
        <w:t>a</w:t>
      </w:r>
      <w:r w:rsidRPr="00EC79FE">
        <w:rPr>
          <w:rFonts w:ascii="Arial Narrow" w:hAnsi="Arial Narrow"/>
          <w:b/>
          <w:sz w:val="20"/>
        </w:rPr>
        <w:t xml:space="preserve"> of nivolumab and ipilimumab – safety outcomes</w:t>
      </w:r>
    </w:p>
    <w:tbl>
      <w:tblPr>
        <w:tblStyle w:val="TableGrid"/>
        <w:tblW w:w="8363" w:type="dxa"/>
        <w:tblInd w:w="817" w:type="dxa"/>
        <w:tblLook w:val="04A0" w:firstRow="1" w:lastRow="0" w:firstColumn="1" w:lastColumn="0" w:noHBand="0" w:noVBand="1"/>
        <w:tblCaption w:val="Table 4  provides a summary of adverse events."/>
      </w:tblPr>
      <w:tblGrid>
        <w:gridCol w:w="2410"/>
        <w:gridCol w:w="1984"/>
        <w:gridCol w:w="2127"/>
        <w:gridCol w:w="1842"/>
      </w:tblGrid>
      <w:tr w:rsidR="000C7A34" w:rsidRPr="00737934" w:rsidTr="007C0924">
        <w:trPr>
          <w:tblHeader/>
        </w:trPr>
        <w:tc>
          <w:tcPr>
            <w:tcW w:w="2410" w:type="dxa"/>
            <w:vMerge w:val="restart"/>
            <w:vAlign w:val="center"/>
          </w:tcPr>
          <w:p w:rsidR="000C7A34" w:rsidRPr="00996B66" w:rsidRDefault="000C7A34" w:rsidP="00323E7A">
            <w:pPr>
              <w:widowControl/>
              <w:tabs>
                <w:tab w:val="left" w:pos="142"/>
              </w:tabs>
              <w:jc w:val="left"/>
              <w:rPr>
                <w:rFonts w:ascii="Arial Narrow" w:hAnsi="Arial Narrow"/>
                <w:b/>
                <w:sz w:val="20"/>
              </w:rPr>
            </w:pPr>
            <w:r w:rsidRPr="00996B66">
              <w:rPr>
                <w:rFonts w:ascii="Arial Narrow" w:hAnsi="Arial Narrow"/>
                <w:b/>
                <w:sz w:val="20"/>
              </w:rPr>
              <w:t>Safety outcome</w:t>
            </w:r>
          </w:p>
        </w:tc>
        <w:tc>
          <w:tcPr>
            <w:tcW w:w="1984" w:type="dxa"/>
            <w:vAlign w:val="center"/>
          </w:tcPr>
          <w:p w:rsidR="000C7A34" w:rsidRPr="00996B66" w:rsidRDefault="000C7A34" w:rsidP="00323E7A">
            <w:pPr>
              <w:widowControl/>
              <w:jc w:val="center"/>
              <w:rPr>
                <w:rFonts w:ascii="Arial Narrow" w:hAnsi="Arial Narrow"/>
                <w:b/>
                <w:sz w:val="20"/>
              </w:rPr>
            </w:pPr>
            <w:r w:rsidRPr="00996B66">
              <w:rPr>
                <w:rFonts w:ascii="Arial Narrow" w:hAnsi="Arial Narrow"/>
                <w:b/>
                <w:sz w:val="20"/>
              </w:rPr>
              <w:t>Nivolumab vs. DTIC (N=411)</w:t>
            </w:r>
          </w:p>
        </w:tc>
        <w:tc>
          <w:tcPr>
            <w:tcW w:w="2127" w:type="dxa"/>
            <w:vAlign w:val="center"/>
          </w:tcPr>
          <w:p w:rsidR="000C7A34" w:rsidRPr="00996B66" w:rsidRDefault="000C7A34" w:rsidP="00323E7A">
            <w:pPr>
              <w:widowControl/>
              <w:jc w:val="center"/>
              <w:rPr>
                <w:rFonts w:ascii="Arial Narrow" w:hAnsi="Arial Narrow"/>
                <w:b/>
                <w:sz w:val="20"/>
              </w:rPr>
            </w:pPr>
            <w:r w:rsidRPr="00996B66">
              <w:rPr>
                <w:rFonts w:ascii="Arial Narrow" w:hAnsi="Arial Narrow"/>
                <w:b/>
                <w:sz w:val="20"/>
              </w:rPr>
              <w:t>Ipilimumab vs. gp100 (N=263)</w:t>
            </w:r>
          </w:p>
        </w:tc>
        <w:tc>
          <w:tcPr>
            <w:tcW w:w="1842" w:type="dxa"/>
            <w:vAlign w:val="center"/>
          </w:tcPr>
          <w:p w:rsidR="000C7A34" w:rsidRPr="00996B66" w:rsidRDefault="000C7A34" w:rsidP="00323E7A">
            <w:pPr>
              <w:widowControl/>
              <w:jc w:val="center"/>
              <w:rPr>
                <w:rFonts w:ascii="Arial Narrow" w:hAnsi="Arial Narrow"/>
                <w:b/>
                <w:sz w:val="20"/>
              </w:rPr>
            </w:pPr>
            <w:r w:rsidRPr="00996B66">
              <w:rPr>
                <w:rFonts w:ascii="Arial Narrow" w:hAnsi="Arial Narrow"/>
                <w:b/>
                <w:sz w:val="20"/>
              </w:rPr>
              <w:t>Indirect comparison</w:t>
            </w:r>
          </w:p>
        </w:tc>
      </w:tr>
      <w:tr w:rsidR="000C7A34" w:rsidRPr="00737934" w:rsidTr="008B41C6">
        <w:tc>
          <w:tcPr>
            <w:tcW w:w="2410" w:type="dxa"/>
            <w:vMerge/>
            <w:vAlign w:val="center"/>
          </w:tcPr>
          <w:p w:rsidR="000C7A34" w:rsidRPr="00996B66" w:rsidRDefault="000C7A34" w:rsidP="00323E7A">
            <w:pPr>
              <w:widowControl/>
              <w:tabs>
                <w:tab w:val="left" w:pos="142"/>
              </w:tabs>
              <w:jc w:val="left"/>
              <w:rPr>
                <w:rFonts w:ascii="Arial Narrow" w:hAnsi="Arial Narrow"/>
                <w:b/>
                <w:sz w:val="20"/>
              </w:rPr>
            </w:pPr>
          </w:p>
        </w:tc>
        <w:tc>
          <w:tcPr>
            <w:tcW w:w="1984" w:type="dxa"/>
            <w:vAlign w:val="center"/>
          </w:tcPr>
          <w:p w:rsidR="000C7A34" w:rsidRPr="00996B66" w:rsidRDefault="000C7A34" w:rsidP="00323E7A">
            <w:pPr>
              <w:widowControl/>
              <w:jc w:val="center"/>
              <w:rPr>
                <w:rFonts w:ascii="Arial Narrow" w:hAnsi="Arial Narrow"/>
                <w:b/>
                <w:sz w:val="20"/>
              </w:rPr>
            </w:pPr>
            <w:r w:rsidRPr="00996B66">
              <w:rPr>
                <w:rFonts w:ascii="Arial Narrow" w:hAnsi="Arial Narrow"/>
                <w:b/>
                <w:sz w:val="20"/>
              </w:rPr>
              <w:t>RR (95% CI)</w:t>
            </w:r>
          </w:p>
        </w:tc>
        <w:tc>
          <w:tcPr>
            <w:tcW w:w="2127" w:type="dxa"/>
            <w:vAlign w:val="center"/>
          </w:tcPr>
          <w:p w:rsidR="000C7A34" w:rsidRPr="00996B66" w:rsidRDefault="000C7A34" w:rsidP="00323E7A">
            <w:pPr>
              <w:widowControl/>
              <w:jc w:val="center"/>
              <w:rPr>
                <w:rFonts w:ascii="Arial Narrow" w:hAnsi="Arial Narrow"/>
                <w:b/>
                <w:sz w:val="20"/>
              </w:rPr>
            </w:pPr>
            <w:r w:rsidRPr="00996B66">
              <w:rPr>
                <w:rFonts w:ascii="Arial Narrow" w:hAnsi="Arial Narrow"/>
                <w:b/>
                <w:sz w:val="20"/>
              </w:rPr>
              <w:t>RR (95% CI)</w:t>
            </w:r>
          </w:p>
        </w:tc>
        <w:tc>
          <w:tcPr>
            <w:tcW w:w="1842" w:type="dxa"/>
            <w:vAlign w:val="center"/>
          </w:tcPr>
          <w:p w:rsidR="000C7A34" w:rsidRPr="00996B66" w:rsidRDefault="000C7A34" w:rsidP="00323E7A">
            <w:pPr>
              <w:widowControl/>
              <w:jc w:val="center"/>
              <w:rPr>
                <w:rFonts w:ascii="Arial Narrow" w:hAnsi="Arial Narrow"/>
                <w:b/>
                <w:sz w:val="20"/>
              </w:rPr>
            </w:pPr>
            <w:r w:rsidRPr="00996B66">
              <w:rPr>
                <w:rFonts w:ascii="Arial Narrow" w:hAnsi="Arial Narrow"/>
                <w:b/>
                <w:sz w:val="20"/>
              </w:rPr>
              <w:t>RR (95% CI)</w:t>
            </w:r>
          </w:p>
        </w:tc>
      </w:tr>
      <w:tr w:rsidR="000C7A34" w:rsidRPr="00737934" w:rsidTr="00CD5B3A">
        <w:tc>
          <w:tcPr>
            <w:tcW w:w="8363" w:type="dxa"/>
            <w:gridSpan w:val="4"/>
          </w:tcPr>
          <w:p w:rsidR="000C7A34" w:rsidRPr="00996B66" w:rsidRDefault="000C7A34" w:rsidP="00323E7A">
            <w:pPr>
              <w:widowControl/>
              <w:tabs>
                <w:tab w:val="left" w:pos="142"/>
              </w:tabs>
              <w:jc w:val="left"/>
              <w:rPr>
                <w:rFonts w:ascii="Arial Narrow" w:hAnsi="Arial Narrow"/>
                <w:b/>
                <w:sz w:val="20"/>
              </w:rPr>
            </w:pPr>
            <w:r w:rsidRPr="00996B66">
              <w:rPr>
                <w:rFonts w:ascii="Arial Narrow" w:hAnsi="Arial Narrow"/>
                <w:b/>
                <w:sz w:val="20"/>
              </w:rPr>
              <w:t>Overall drug-related AEs</w:t>
            </w:r>
          </w:p>
        </w:tc>
      </w:tr>
      <w:tr w:rsidR="000C7A34" w:rsidRPr="00737934" w:rsidTr="008B41C6">
        <w:tc>
          <w:tcPr>
            <w:tcW w:w="2410" w:type="dxa"/>
          </w:tcPr>
          <w:p w:rsidR="000C7A34" w:rsidRPr="00996B66" w:rsidRDefault="000C7A34" w:rsidP="00323E7A">
            <w:pPr>
              <w:pStyle w:val="TableText0"/>
              <w:tabs>
                <w:tab w:val="left" w:pos="142"/>
              </w:tabs>
              <w:spacing w:before="0" w:after="0"/>
            </w:pPr>
            <w:r w:rsidRPr="00996B66">
              <w:t>Any AE</w:t>
            </w:r>
          </w:p>
        </w:tc>
        <w:tc>
          <w:tcPr>
            <w:tcW w:w="1984" w:type="dxa"/>
          </w:tcPr>
          <w:p w:rsidR="000C7A34" w:rsidRPr="006C03DC" w:rsidRDefault="000C7A34" w:rsidP="00323E7A">
            <w:pPr>
              <w:widowControl/>
              <w:jc w:val="center"/>
              <w:rPr>
                <w:rFonts w:ascii="Arial Narrow" w:hAnsi="Arial Narrow"/>
                <w:sz w:val="20"/>
              </w:rPr>
            </w:pPr>
            <w:r w:rsidRPr="006C03DC">
              <w:rPr>
                <w:rFonts w:ascii="Arial Narrow" w:hAnsi="Arial Narrow"/>
                <w:sz w:val="20"/>
              </w:rPr>
              <w:t>0.98 (0.88,</w:t>
            </w:r>
            <w:r w:rsidR="00EF0B21" w:rsidRPr="006C03DC">
              <w:rPr>
                <w:rFonts w:ascii="Arial Narrow" w:hAnsi="Arial Narrow"/>
                <w:sz w:val="20"/>
              </w:rPr>
              <w:t xml:space="preserve"> </w:t>
            </w:r>
            <w:r w:rsidRPr="006C03DC">
              <w:rPr>
                <w:rFonts w:ascii="Arial Narrow" w:hAnsi="Arial Narrow"/>
                <w:sz w:val="20"/>
              </w:rPr>
              <w:t>1.10)</w:t>
            </w:r>
          </w:p>
        </w:tc>
        <w:tc>
          <w:tcPr>
            <w:tcW w:w="2127" w:type="dxa"/>
          </w:tcPr>
          <w:p w:rsidR="000C7A34" w:rsidRPr="006C03DC" w:rsidRDefault="000C7A34" w:rsidP="00323E7A">
            <w:pPr>
              <w:widowControl/>
              <w:jc w:val="center"/>
              <w:rPr>
                <w:rFonts w:ascii="Arial Narrow" w:hAnsi="Arial Narrow"/>
                <w:sz w:val="20"/>
              </w:rPr>
            </w:pPr>
            <w:r w:rsidRPr="006C03DC">
              <w:rPr>
                <w:rFonts w:ascii="Arial Narrow" w:hAnsi="Arial Narrow"/>
                <w:sz w:val="20"/>
              </w:rPr>
              <w:t>1.03 (0.91,</w:t>
            </w:r>
            <w:r w:rsidR="00EF0B21" w:rsidRPr="006C03DC">
              <w:rPr>
                <w:rFonts w:ascii="Arial Narrow" w:hAnsi="Arial Narrow"/>
                <w:sz w:val="20"/>
              </w:rPr>
              <w:t xml:space="preserve"> </w:t>
            </w:r>
            <w:r w:rsidRPr="006C03DC">
              <w:rPr>
                <w:rFonts w:ascii="Arial Narrow" w:hAnsi="Arial Narrow"/>
                <w:sz w:val="20"/>
              </w:rPr>
              <w:t>1.16)</w:t>
            </w:r>
          </w:p>
        </w:tc>
        <w:tc>
          <w:tcPr>
            <w:tcW w:w="1842" w:type="dxa"/>
          </w:tcPr>
          <w:p w:rsidR="000C7A34" w:rsidRPr="006C03DC" w:rsidRDefault="000C7A34" w:rsidP="00323E7A">
            <w:pPr>
              <w:widowControl/>
              <w:jc w:val="center"/>
              <w:rPr>
                <w:rFonts w:ascii="Arial Narrow" w:hAnsi="Arial Narrow"/>
                <w:sz w:val="20"/>
              </w:rPr>
            </w:pPr>
            <w:r w:rsidRPr="006C03DC">
              <w:rPr>
                <w:rFonts w:ascii="Arial Narrow" w:hAnsi="Arial Narrow"/>
                <w:sz w:val="20"/>
              </w:rPr>
              <w:t>0.96 (0.55,</w:t>
            </w:r>
            <w:r w:rsidR="00EF0B21" w:rsidRPr="006C03DC">
              <w:rPr>
                <w:rFonts w:ascii="Arial Narrow" w:hAnsi="Arial Narrow"/>
                <w:sz w:val="20"/>
              </w:rPr>
              <w:t xml:space="preserve"> </w:t>
            </w:r>
            <w:r w:rsidRPr="006C03DC">
              <w:rPr>
                <w:rFonts w:ascii="Arial Narrow" w:hAnsi="Arial Narrow"/>
                <w:sz w:val="20"/>
              </w:rPr>
              <w:t>1.67)</w:t>
            </w:r>
          </w:p>
        </w:tc>
      </w:tr>
      <w:tr w:rsidR="000C7A34" w:rsidRPr="00737934" w:rsidTr="008B41C6">
        <w:tc>
          <w:tcPr>
            <w:tcW w:w="2410" w:type="dxa"/>
          </w:tcPr>
          <w:p w:rsidR="000C7A34" w:rsidRPr="00996B66" w:rsidRDefault="000C7A34" w:rsidP="00323E7A">
            <w:pPr>
              <w:pStyle w:val="TableText0"/>
              <w:tabs>
                <w:tab w:val="left" w:pos="142"/>
              </w:tabs>
              <w:spacing w:before="0" w:after="0"/>
            </w:pPr>
            <w:r w:rsidRPr="00996B66">
              <w:t>Discontinued due to AE</w:t>
            </w:r>
          </w:p>
        </w:tc>
        <w:tc>
          <w:tcPr>
            <w:tcW w:w="1984" w:type="dxa"/>
          </w:tcPr>
          <w:p w:rsidR="000C7A34" w:rsidRPr="006C03DC" w:rsidRDefault="000C7A34" w:rsidP="00323E7A">
            <w:pPr>
              <w:widowControl/>
              <w:jc w:val="center"/>
              <w:rPr>
                <w:rFonts w:ascii="Arial Narrow" w:hAnsi="Arial Narrow"/>
                <w:sz w:val="20"/>
              </w:rPr>
            </w:pPr>
            <w:r w:rsidRPr="006C03DC">
              <w:rPr>
                <w:rFonts w:ascii="Arial Narrow" w:hAnsi="Arial Narrow"/>
                <w:sz w:val="20"/>
              </w:rPr>
              <w:t>0.71 (0.23,</w:t>
            </w:r>
            <w:r w:rsidR="00EF0B21" w:rsidRPr="006C03DC">
              <w:rPr>
                <w:rFonts w:ascii="Arial Narrow" w:hAnsi="Arial Narrow"/>
                <w:sz w:val="20"/>
              </w:rPr>
              <w:t xml:space="preserve"> </w:t>
            </w:r>
            <w:r w:rsidRPr="006C03DC">
              <w:rPr>
                <w:rFonts w:ascii="Arial Narrow" w:hAnsi="Arial Narrow"/>
                <w:sz w:val="20"/>
              </w:rPr>
              <w:t>2.21)</w:t>
            </w:r>
          </w:p>
        </w:tc>
        <w:tc>
          <w:tcPr>
            <w:tcW w:w="2127" w:type="dxa"/>
          </w:tcPr>
          <w:p w:rsidR="000C7A34" w:rsidRPr="006C03DC" w:rsidRDefault="000C7A34" w:rsidP="00323E7A">
            <w:pPr>
              <w:widowControl/>
              <w:jc w:val="center"/>
              <w:rPr>
                <w:rFonts w:ascii="Arial Narrow" w:hAnsi="Arial Narrow"/>
                <w:sz w:val="20"/>
              </w:rPr>
            </w:pPr>
            <w:r w:rsidRPr="006C03DC">
              <w:rPr>
                <w:rFonts w:ascii="Arial Narrow" w:hAnsi="Arial Narrow"/>
                <w:sz w:val="20"/>
              </w:rPr>
              <w:t>3.27 (1.09,</w:t>
            </w:r>
            <w:r w:rsidR="00EF0B21" w:rsidRPr="006C03DC">
              <w:rPr>
                <w:rFonts w:ascii="Arial Narrow" w:hAnsi="Arial Narrow"/>
                <w:sz w:val="20"/>
              </w:rPr>
              <w:t xml:space="preserve"> </w:t>
            </w:r>
            <w:r w:rsidRPr="006C03DC">
              <w:rPr>
                <w:rFonts w:ascii="Arial Narrow" w:hAnsi="Arial Narrow"/>
                <w:sz w:val="20"/>
              </w:rPr>
              <w:t>9.80)</w:t>
            </w:r>
          </w:p>
        </w:tc>
        <w:tc>
          <w:tcPr>
            <w:tcW w:w="1842" w:type="dxa"/>
          </w:tcPr>
          <w:p w:rsidR="000C7A34" w:rsidRPr="006C03DC" w:rsidRDefault="000C7A34" w:rsidP="00323E7A">
            <w:pPr>
              <w:widowControl/>
              <w:jc w:val="center"/>
              <w:rPr>
                <w:rFonts w:ascii="Arial Narrow" w:hAnsi="Arial Narrow"/>
                <w:sz w:val="20"/>
              </w:rPr>
            </w:pPr>
            <w:r w:rsidRPr="006C03DC">
              <w:rPr>
                <w:rFonts w:ascii="Arial Narrow" w:hAnsi="Arial Narrow"/>
                <w:sz w:val="20"/>
              </w:rPr>
              <w:t>0.22 (0.05,</w:t>
            </w:r>
            <w:r w:rsidR="00EF0B21" w:rsidRPr="006C03DC">
              <w:rPr>
                <w:rFonts w:ascii="Arial Narrow" w:hAnsi="Arial Narrow"/>
                <w:sz w:val="20"/>
              </w:rPr>
              <w:t xml:space="preserve"> </w:t>
            </w:r>
            <w:r w:rsidRPr="006C03DC">
              <w:rPr>
                <w:rFonts w:ascii="Arial Narrow" w:hAnsi="Arial Narrow"/>
                <w:sz w:val="20"/>
              </w:rPr>
              <w:t>1.05)</w:t>
            </w:r>
          </w:p>
        </w:tc>
      </w:tr>
      <w:tr w:rsidR="000C7A34" w:rsidRPr="00737934" w:rsidTr="008B41C6">
        <w:tc>
          <w:tcPr>
            <w:tcW w:w="2410" w:type="dxa"/>
          </w:tcPr>
          <w:p w:rsidR="000C7A34" w:rsidRPr="00996B66" w:rsidRDefault="00480C55" w:rsidP="00323E7A">
            <w:pPr>
              <w:widowControl/>
              <w:tabs>
                <w:tab w:val="left" w:pos="142"/>
              </w:tabs>
              <w:jc w:val="left"/>
              <w:rPr>
                <w:rFonts w:ascii="Arial Narrow" w:hAnsi="Arial Narrow"/>
                <w:sz w:val="20"/>
              </w:rPr>
            </w:pPr>
            <w:r>
              <w:rPr>
                <w:rFonts w:ascii="Arial Narrow" w:hAnsi="Arial Narrow"/>
                <w:sz w:val="20"/>
              </w:rPr>
              <w:t>Any severe AE (g</w:t>
            </w:r>
            <w:r w:rsidR="000C7A34" w:rsidRPr="00996B66">
              <w:rPr>
                <w:rFonts w:ascii="Arial Narrow" w:hAnsi="Arial Narrow"/>
                <w:sz w:val="20"/>
              </w:rPr>
              <w:t>raded ≥3)</w:t>
            </w:r>
          </w:p>
        </w:tc>
        <w:tc>
          <w:tcPr>
            <w:tcW w:w="1984" w:type="dxa"/>
          </w:tcPr>
          <w:p w:rsidR="000C7A34" w:rsidRPr="006C03DC" w:rsidRDefault="000C7A34" w:rsidP="00323E7A">
            <w:pPr>
              <w:widowControl/>
              <w:jc w:val="center"/>
              <w:rPr>
                <w:rFonts w:ascii="Arial Narrow" w:hAnsi="Arial Narrow"/>
                <w:sz w:val="20"/>
              </w:rPr>
            </w:pPr>
            <w:r w:rsidRPr="006C03DC">
              <w:rPr>
                <w:rFonts w:ascii="Arial Narrow" w:hAnsi="Arial Narrow"/>
                <w:sz w:val="20"/>
              </w:rPr>
              <w:t>0.66 (0.41,</w:t>
            </w:r>
            <w:r w:rsidR="00EF0B21" w:rsidRPr="006C03DC">
              <w:rPr>
                <w:rFonts w:ascii="Arial Narrow" w:hAnsi="Arial Narrow"/>
                <w:sz w:val="20"/>
              </w:rPr>
              <w:t xml:space="preserve"> </w:t>
            </w:r>
            <w:r w:rsidRPr="006C03DC">
              <w:rPr>
                <w:rFonts w:ascii="Arial Narrow" w:hAnsi="Arial Narrow"/>
                <w:sz w:val="20"/>
              </w:rPr>
              <w:t>1.07)</w:t>
            </w:r>
          </w:p>
        </w:tc>
        <w:tc>
          <w:tcPr>
            <w:tcW w:w="2127" w:type="dxa"/>
          </w:tcPr>
          <w:p w:rsidR="000C7A34" w:rsidRPr="006C03DC" w:rsidRDefault="000C7A34" w:rsidP="00323E7A">
            <w:pPr>
              <w:widowControl/>
              <w:jc w:val="center"/>
              <w:rPr>
                <w:rFonts w:ascii="Arial Narrow" w:hAnsi="Arial Narrow"/>
                <w:sz w:val="20"/>
              </w:rPr>
            </w:pPr>
            <w:r w:rsidRPr="006C03DC">
              <w:rPr>
                <w:rFonts w:ascii="Arial Narrow" w:hAnsi="Arial Narrow"/>
                <w:sz w:val="20"/>
              </w:rPr>
              <w:t>2.14 (1.24,</w:t>
            </w:r>
            <w:r w:rsidR="00EF0B21" w:rsidRPr="006C03DC">
              <w:rPr>
                <w:rFonts w:ascii="Arial Narrow" w:hAnsi="Arial Narrow"/>
                <w:sz w:val="20"/>
              </w:rPr>
              <w:t xml:space="preserve"> </w:t>
            </w:r>
            <w:r w:rsidRPr="006C03DC">
              <w:rPr>
                <w:rFonts w:ascii="Arial Narrow" w:hAnsi="Arial Narrow"/>
                <w:sz w:val="20"/>
              </w:rPr>
              <w:t>3.69)</w:t>
            </w:r>
          </w:p>
        </w:tc>
        <w:tc>
          <w:tcPr>
            <w:tcW w:w="1842" w:type="dxa"/>
          </w:tcPr>
          <w:p w:rsidR="000C7A34" w:rsidRPr="006C03DC" w:rsidRDefault="000C7A34" w:rsidP="00323E7A">
            <w:pPr>
              <w:widowControl/>
              <w:jc w:val="center"/>
              <w:rPr>
                <w:rFonts w:ascii="Arial Narrow" w:hAnsi="Arial Narrow"/>
                <w:b/>
                <w:sz w:val="20"/>
              </w:rPr>
            </w:pPr>
            <w:r w:rsidRPr="006C03DC">
              <w:rPr>
                <w:rFonts w:ascii="Arial Narrow" w:hAnsi="Arial Narrow"/>
                <w:b/>
                <w:sz w:val="20"/>
              </w:rPr>
              <w:t>0.31 (0.15,</w:t>
            </w:r>
            <w:r w:rsidR="00EF0B21" w:rsidRPr="006C03DC">
              <w:rPr>
                <w:rFonts w:ascii="Arial Narrow" w:hAnsi="Arial Narrow"/>
                <w:b/>
                <w:sz w:val="20"/>
              </w:rPr>
              <w:t xml:space="preserve"> </w:t>
            </w:r>
            <w:r w:rsidRPr="006C03DC">
              <w:rPr>
                <w:rFonts w:ascii="Arial Narrow" w:hAnsi="Arial Narrow"/>
                <w:b/>
                <w:sz w:val="20"/>
              </w:rPr>
              <w:t>0.64)</w:t>
            </w:r>
          </w:p>
        </w:tc>
      </w:tr>
      <w:tr w:rsidR="00B1352D" w:rsidRPr="00737934" w:rsidTr="008B41C6">
        <w:tc>
          <w:tcPr>
            <w:tcW w:w="2410" w:type="dxa"/>
          </w:tcPr>
          <w:p w:rsidR="00B1352D" w:rsidRPr="00996B66" w:rsidRDefault="00B1352D" w:rsidP="00323E7A">
            <w:pPr>
              <w:widowControl/>
              <w:tabs>
                <w:tab w:val="left" w:pos="142"/>
              </w:tabs>
              <w:jc w:val="left"/>
              <w:rPr>
                <w:rFonts w:ascii="Arial Narrow" w:hAnsi="Arial Narrow"/>
                <w:sz w:val="20"/>
              </w:rPr>
            </w:pPr>
            <w:r>
              <w:rPr>
                <w:rFonts w:ascii="Arial Narrow" w:hAnsi="Arial Narrow"/>
                <w:sz w:val="20"/>
              </w:rPr>
              <w:tab/>
              <w:t>Diarrhoea</w:t>
            </w:r>
          </w:p>
        </w:tc>
        <w:tc>
          <w:tcPr>
            <w:tcW w:w="1984" w:type="dxa"/>
          </w:tcPr>
          <w:p w:rsidR="00B1352D" w:rsidRPr="006C03DC" w:rsidRDefault="00B1352D" w:rsidP="00323E7A">
            <w:pPr>
              <w:widowControl/>
              <w:jc w:val="center"/>
              <w:rPr>
                <w:rFonts w:ascii="Arial Narrow" w:hAnsi="Arial Narrow"/>
                <w:sz w:val="20"/>
                <w:szCs w:val="20"/>
              </w:rPr>
            </w:pPr>
            <w:r w:rsidRPr="006C03DC">
              <w:rPr>
                <w:rFonts w:ascii="Arial Narrow" w:hAnsi="Arial Narrow"/>
                <w:sz w:val="20"/>
                <w:szCs w:val="20"/>
              </w:rPr>
              <w:t>1.99 (0.18,</w:t>
            </w:r>
            <w:r w:rsidR="00EF0B21" w:rsidRPr="006C03DC">
              <w:rPr>
                <w:rFonts w:ascii="Arial Narrow" w:hAnsi="Arial Narrow"/>
                <w:sz w:val="20"/>
                <w:szCs w:val="20"/>
              </w:rPr>
              <w:t xml:space="preserve"> </w:t>
            </w:r>
            <w:r w:rsidRPr="006C03DC">
              <w:rPr>
                <w:rFonts w:ascii="Arial Narrow" w:hAnsi="Arial Narrow"/>
                <w:sz w:val="20"/>
                <w:szCs w:val="20"/>
              </w:rPr>
              <w:t>21.84)</w:t>
            </w:r>
          </w:p>
        </w:tc>
        <w:tc>
          <w:tcPr>
            <w:tcW w:w="2127" w:type="dxa"/>
          </w:tcPr>
          <w:p w:rsidR="00B1352D" w:rsidRPr="006C03DC" w:rsidRDefault="00B1352D" w:rsidP="00323E7A">
            <w:pPr>
              <w:widowControl/>
              <w:jc w:val="center"/>
              <w:rPr>
                <w:rFonts w:ascii="Arial Narrow" w:hAnsi="Arial Narrow"/>
                <w:sz w:val="20"/>
                <w:szCs w:val="20"/>
              </w:rPr>
            </w:pPr>
            <w:r w:rsidRPr="006C03DC">
              <w:rPr>
                <w:rFonts w:ascii="Arial Narrow" w:hAnsi="Arial Narrow"/>
                <w:sz w:val="20"/>
                <w:szCs w:val="20"/>
              </w:rPr>
              <w:t>6.05 (0.74,</w:t>
            </w:r>
            <w:r w:rsidR="00EF0B21" w:rsidRPr="006C03DC">
              <w:rPr>
                <w:rFonts w:ascii="Arial Narrow" w:hAnsi="Arial Narrow"/>
                <w:sz w:val="20"/>
                <w:szCs w:val="20"/>
              </w:rPr>
              <w:t xml:space="preserve"> </w:t>
            </w:r>
            <w:r w:rsidRPr="006C03DC">
              <w:rPr>
                <w:rFonts w:ascii="Arial Narrow" w:hAnsi="Arial Narrow"/>
                <w:sz w:val="20"/>
                <w:szCs w:val="20"/>
              </w:rPr>
              <w:t>49.73)</w:t>
            </w:r>
          </w:p>
        </w:tc>
        <w:tc>
          <w:tcPr>
            <w:tcW w:w="1842" w:type="dxa"/>
          </w:tcPr>
          <w:p w:rsidR="00B1352D" w:rsidRPr="006C03DC" w:rsidRDefault="00B1352D" w:rsidP="00323E7A">
            <w:pPr>
              <w:widowControl/>
              <w:jc w:val="center"/>
              <w:rPr>
                <w:rFonts w:ascii="Arial Narrow" w:hAnsi="Arial Narrow"/>
                <w:b/>
                <w:sz w:val="20"/>
                <w:szCs w:val="20"/>
              </w:rPr>
            </w:pPr>
            <w:r w:rsidRPr="006C03DC">
              <w:rPr>
                <w:rFonts w:ascii="Arial Narrow" w:hAnsi="Arial Narrow"/>
                <w:sz w:val="20"/>
                <w:szCs w:val="20"/>
              </w:rPr>
              <w:t>0.33 (0.01,</w:t>
            </w:r>
            <w:r w:rsidR="00EF0B21" w:rsidRPr="006C03DC">
              <w:rPr>
                <w:rFonts w:ascii="Arial Narrow" w:hAnsi="Arial Narrow"/>
                <w:sz w:val="20"/>
                <w:szCs w:val="20"/>
              </w:rPr>
              <w:t xml:space="preserve"> </w:t>
            </w:r>
            <w:r w:rsidRPr="006C03DC">
              <w:rPr>
                <w:rFonts w:ascii="Arial Narrow" w:hAnsi="Arial Narrow"/>
                <w:sz w:val="20"/>
                <w:szCs w:val="20"/>
              </w:rPr>
              <w:t>8.00)</w:t>
            </w:r>
          </w:p>
        </w:tc>
      </w:tr>
      <w:tr w:rsidR="00B1352D" w:rsidRPr="00737934" w:rsidTr="008B41C6">
        <w:tc>
          <w:tcPr>
            <w:tcW w:w="2410" w:type="dxa"/>
          </w:tcPr>
          <w:p w:rsidR="00B1352D" w:rsidRPr="00996B66" w:rsidRDefault="00B1352D" w:rsidP="00323E7A">
            <w:pPr>
              <w:widowControl/>
              <w:tabs>
                <w:tab w:val="left" w:pos="142"/>
              </w:tabs>
              <w:jc w:val="left"/>
              <w:rPr>
                <w:rFonts w:ascii="Arial Narrow" w:hAnsi="Arial Narrow"/>
                <w:sz w:val="20"/>
              </w:rPr>
            </w:pPr>
            <w:r>
              <w:rPr>
                <w:rFonts w:ascii="Arial Narrow" w:hAnsi="Arial Narrow"/>
                <w:sz w:val="20"/>
              </w:rPr>
              <w:tab/>
              <w:t>Colitis</w:t>
            </w:r>
          </w:p>
        </w:tc>
        <w:tc>
          <w:tcPr>
            <w:tcW w:w="1984" w:type="dxa"/>
          </w:tcPr>
          <w:p w:rsidR="00B1352D" w:rsidRPr="006C03DC" w:rsidRDefault="00B1352D" w:rsidP="00323E7A">
            <w:pPr>
              <w:widowControl/>
              <w:jc w:val="center"/>
              <w:rPr>
                <w:rFonts w:ascii="Arial Narrow" w:hAnsi="Arial Narrow"/>
                <w:sz w:val="20"/>
                <w:szCs w:val="20"/>
              </w:rPr>
            </w:pPr>
            <w:r w:rsidRPr="006C03DC">
              <w:rPr>
                <w:rFonts w:ascii="Arial Narrow" w:hAnsi="Arial Narrow"/>
                <w:sz w:val="20"/>
                <w:szCs w:val="20"/>
              </w:rPr>
              <w:t>NC</w:t>
            </w:r>
          </w:p>
        </w:tc>
        <w:tc>
          <w:tcPr>
            <w:tcW w:w="2127" w:type="dxa"/>
          </w:tcPr>
          <w:p w:rsidR="00B1352D" w:rsidRPr="006C03DC" w:rsidRDefault="00B1352D" w:rsidP="00323E7A">
            <w:pPr>
              <w:widowControl/>
              <w:jc w:val="center"/>
              <w:rPr>
                <w:rFonts w:ascii="Arial Narrow" w:hAnsi="Arial Narrow"/>
                <w:sz w:val="20"/>
                <w:szCs w:val="20"/>
              </w:rPr>
            </w:pPr>
            <w:r w:rsidRPr="006C03DC">
              <w:rPr>
                <w:rFonts w:ascii="Arial Narrow" w:hAnsi="Arial Narrow"/>
                <w:sz w:val="20"/>
                <w:szCs w:val="20"/>
              </w:rPr>
              <w:t>NC</w:t>
            </w:r>
          </w:p>
        </w:tc>
        <w:tc>
          <w:tcPr>
            <w:tcW w:w="1842" w:type="dxa"/>
          </w:tcPr>
          <w:p w:rsidR="00B1352D" w:rsidRPr="006C03DC" w:rsidRDefault="00B1352D" w:rsidP="00323E7A">
            <w:pPr>
              <w:widowControl/>
              <w:jc w:val="center"/>
              <w:rPr>
                <w:rFonts w:ascii="Arial Narrow" w:hAnsi="Arial Narrow"/>
                <w:b/>
                <w:sz w:val="20"/>
                <w:szCs w:val="20"/>
              </w:rPr>
            </w:pPr>
            <w:r w:rsidRPr="006C03DC">
              <w:rPr>
                <w:rFonts w:ascii="Arial Narrow" w:hAnsi="Arial Narrow"/>
                <w:sz w:val="20"/>
                <w:szCs w:val="20"/>
              </w:rPr>
              <w:t>-</w:t>
            </w:r>
          </w:p>
        </w:tc>
      </w:tr>
      <w:tr w:rsidR="00FE7618" w:rsidRPr="00737934" w:rsidTr="008B41C6">
        <w:tc>
          <w:tcPr>
            <w:tcW w:w="2410" w:type="dxa"/>
          </w:tcPr>
          <w:p w:rsidR="00FE7618" w:rsidRPr="00996B66" w:rsidRDefault="00FE7618" w:rsidP="00323E7A">
            <w:pPr>
              <w:widowControl/>
              <w:tabs>
                <w:tab w:val="left" w:pos="142"/>
              </w:tabs>
              <w:jc w:val="left"/>
              <w:rPr>
                <w:rFonts w:ascii="Arial Narrow" w:hAnsi="Arial Narrow"/>
                <w:sz w:val="20"/>
              </w:rPr>
            </w:pPr>
            <w:r w:rsidRPr="00996B66">
              <w:rPr>
                <w:rFonts w:ascii="Arial Narrow" w:hAnsi="Arial Narrow"/>
                <w:sz w:val="20"/>
              </w:rPr>
              <w:t>Any serious AE</w:t>
            </w:r>
          </w:p>
        </w:tc>
        <w:tc>
          <w:tcPr>
            <w:tcW w:w="1984" w:type="dxa"/>
          </w:tcPr>
          <w:p w:rsidR="00FE7618" w:rsidRPr="006C03DC" w:rsidRDefault="00FE7618" w:rsidP="00323E7A">
            <w:pPr>
              <w:widowControl/>
              <w:jc w:val="center"/>
              <w:rPr>
                <w:rFonts w:ascii="Arial Narrow" w:hAnsi="Arial Narrow"/>
                <w:sz w:val="20"/>
              </w:rPr>
            </w:pPr>
            <w:r w:rsidRPr="006C03DC">
              <w:rPr>
                <w:rFonts w:ascii="Arial Narrow" w:hAnsi="Arial Narrow"/>
                <w:sz w:val="20"/>
              </w:rPr>
              <w:t>1.05 (0.57,</w:t>
            </w:r>
            <w:r w:rsidR="00EF0B21" w:rsidRPr="006C03DC">
              <w:rPr>
                <w:rFonts w:ascii="Arial Narrow" w:hAnsi="Arial Narrow"/>
                <w:sz w:val="20"/>
              </w:rPr>
              <w:t xml:space="preserve"> </w:t>
            </w:r>
            <w:r w:rsidRPr="006C03DC">
              <w:rPr>
                <w:rFonts w:ascii="Arial Narrow" w:hAnsi="Arial Narrow"/>
                <w:sz w:val="20"/>
              </w:rPr>
              <w:t>1.94)</w:t>
            </w:r>
          </w:p>
        </w:tc>
        <w:tc>
          <w:tcPr>
            <w:tcW w:w="2127" w:type="dxa"/>
          </w:tcPr>
          <w:p w:rsidR="00FE7618" w:rsidRPr="006C03DC" w:rsidRDefault="00FE7618" w:rsidP="00323E7A">
            <w:pPr>
              <w:widowControl/>
              <w:jc w:val="center"/>
              <w:rPr>
                <w:rFonts w:ascii="Arial Narrow" w:hAnsi="Arial Narrow"/>
                <w:sz w:val="20"/>
              </w:rPr>
            </w:pPr>
            <w:r w:rsidRPr="006C03DC">
              <w:rPr>
                <w:rFonts w:ascii="Arial Narrow" w:hAnsi="Arial Narrow"/>
                <w:sz w:val="20"/>
              </w:rPr>
              <w:t>4.84 (1.89,</w:t>
            </w:r>
            <w:r w:rsidR="00EF0B21" w:rsidRPr="006C03DC">
              <w:rPr>
                <w:rFonts w:ascii="Arial Narrow" w:hAnsi="Arial Narrow"/>
                <w:sz w:val="20"/>
              </w:rPr>
              <w:t xml:space="preserve"> </w:t>
            </w:r>
            <w:r w:rsidRPr="006C03DC">
              <w:rPr>
                <w:rFonts w:ascii="Arial Narrow" w:hAnsi="Arial Narrow"/>
                <w:sz w:val="20"/>
              </w:rPr>
              <w:t>12.31)</w:t>
            </w:r>
          </w:p>
        </w:tc>
        <w:tc>
          <w:tcPr>
            <w:tcW w:w="1842" w:type="dxa"/>
          </w:tcPr>
          <w:p w:rsidR="00FE7618" w:rsidRPr="006C03DC" w:rsidRDefault="00FE7618" w:rsidP="00323E7A">
            <w:pPr>
              <w:widowControl/>
              <w:jc w:val="center"/>
              <w:rPr>
                <w:rFonts w:ascii="Arial Narrow" w:hAnsi="Arial Narrow"/>
                <w:b/>
                <w:sz w:val="20"/>
              </w:rPr>
            </w:pPr>
            <w:r w:rsidRPr="006C03DC">
              <w:rPr>
                <w:rFonts w:ascii="Arial Narrow" w:hAnsi="Arial Narrow"/>
                <w:b/>
                <w:sz w:val="20"/>
              </w:rPr>
              <w:t>0.22 (0.07,</w:t>
            </w:r>
            <w:r w:rsidR="00EF0B21" w:rsidRPr="006C03DC">
              <w:rPr>
                <w:rFonts w:ascii="Arial Narrow" w:hAnsi="Arial Narrow"/>
                <w:b/>
                <w:sz w:val="20"/>
              </w:rPr>
              <w:t xml:space="preserve"> </w:t>
            </w:r>
            <w:r w:rsidRPr="006C03DC">
              <w:rPr>
                <w:rFonts w:ascii="Arial Narrow" w:hAnsi="Arial Narrow"/>
                <w:b/>
                <w:sz w:val="20"/>
              </w:rPr>
              <w:t>0.67)</w:t>
            </w:r>
          </w:p>
        </w:tc>
      </w:tr>
      <w:tr w:rsidR="00B1352D" w:rsidRPr="00737934" w:rsidTr="008B41C6">
        <w:tc>
          <w:tcPr>
            <w:tcW w:w="6521" w:type="dxa"/>
            <w:gridSpan w:val="3"/>
            <w:vAlign w:val="center"/>
          </w:tcPr>
          <w:p w:rsidR="00B1352D" w:rsidRPr="006C03DC" w:rsidRDefault="00B1352D" w:rsidP="00323E7A">
            <w:pPr>
              <w:widowControl/>
              <w:tabs>
                <w:tab w:val="left" w:pos="142"/>
              </w:tabs>
              <w:jc w:val="left"/>
              <w:rPr>
                <w:rFonts w:ascii="Arial Narrow" w:hAnsi="Arial Narrow"/>
                <w:b/>
                <w:sz w:val="20"/>
              </w:rPr>
            </w:pPr>
            <w:r w:rsidRPr="006C03DC">
              <w:rPr>
                <w:rFonts w:ascii="Arial Narrow" w:hAnsi="Arial Narrow"/>
                <w:b/>
                <w:sz w:val="20"/>
              </w:rPr>
              <w:t>Select AEs with potential immunologic etiology</w:t>
            </w:r>
          </w:p>
        </w:tc>
        <w:tc>
          <w:tcPr>
            <w:tcW w:w="1842" w:type="dxa"/>
          </w:tcPr>
          <w:p w:rsidR="00B1352D" w:rsidRPr="006C03DC" w:rsidRDefault="00B1352D" w:rsidP="00323E7A">
            <w:pPr>
              <w:widowControl/>
              <w:jc w:val="center"/>
              <w:rPr>
                <w:rFonts w:ascii="Arial Narrow" w:hAnsi="Arial Narrow"/>
                <w:sz w:val="20"/>
              </w:rPr>
            </w:pPr>
          </w:p>
        </w:tc>
      </w:tr>
      <w:tr w:rsidR="00B1352D" w:rsidRPr="00737934" w:rsidTr="008B41C6">
        <w:tc>
          <w:tcPr>
            <w:tcW w:w="2410" w:type="dxa"/>
          </w:tcPr>
          <w:p w:rsidR="00B1352D" w:rsidRPr="00996B66" w:rsidRDefault="00B1352D" w:rsidP="00323E7A">
            <w:pPr>
              <w:pStyle w:val="TableText0"/>
              <w:tabs>
                <w:tab w:val="left" w:pos="142"/>
              </w:tabs>
              <w:spacing w:before="0" w:after="0"/>
            </w:pPr>
            <w:r w:rsidRPr="00996B66">
              <w:t>Any severity</w:t>
            </w:r>
          </w:p>
        </w:tc>
        <w:tc>
          <w:tcPr>
            <w:tcW w:w="1984" w:type="dxa"/>
          </w:tcPr>
          <w:p w:rsidR="00B1352D" w:rsidRPr="006C03DC" w:rsidRDefault="00B1352D" w:rsidP="00323E7A">
            <w:pPr>
              <w:widowControl/>
              <w:jc w:val="center"/>
              <w:rPr>
                <w:rFonts w:ascii="Arial Narrow" w:hAnsi="Arial Narrow"/>
                <w:sz w:val="20"/>
              </w:rPr>
            </w:pPr>
          </w:p>
        </w:tc>
        <w:tc>
          <w:tcPr>
            <w:tcW w:w="2127" w:type="dxa"/>
          </w:tcPr>
          <w:p w:rsidR="00B1352D" w:rsidRPr="006C03DC" w:rsidRDefault="00B1352D" w:rsidP="00323E7A">
            <w:pPr>
              <w:widowControl/>
              <w:jc w:val="center"/>
              <w:rPr>
                <w:rFonts w:ascii="Arial Narrow" w:hAnsi="Arial Narrow"/>
                <w:sz w:val="20"/>
              </w:rPr>
            </w:pPr>
          </w:p>
        </w:tc>
        <w:tc>
          <w:tcPr>
            <w:tcW w:w="1842" w:type="dxa"/>
          </w:tcPr>
          <w:p w:rsidR="00B1352D" w:rsidRPr="006C03DC" w:rsidRDefault="00B1352D" w:rsidP="00323E7A">
            <w:pPr>
              <w:widowControl/>
              <w:jc w:val="center"/>
              <w:rPr>
                <w:rFonts w:ascii="Arial Narrow" w:hAnsi="Arial Narrow"/>
                <w:sz w:val="20"/>
              </w:rPr>
            </w:pPr>
          </w:p>
        </w:tc>
      </w:tr>
      <w:tr w:rsidR="00B1352D" w:rsidRPr="00737934" w:rsidTr="008B41C6">
        <w:tc>
          <w:tcPr>
            <w:tcW w:w="2410" w:type="dxa"/>
            <w:vAlign w:val="center"/>
          </w:tcPr>
          <w:p w:rsidR="00B1352D" w:rsidRPr="00996B66" w:rsidRDefault="00B1352D" w:rsidP="00323E7A">
            <w:pPr>
              <w:widowControl/>
              <w:tabs>
                <w:tab w:val="left" w:pos="142"/>
              </w:tabs>
              <w:jc w:val="left"/>
              <w:rPr>
                <w:rFonts w:ascii="Arial Narrow" w:hAnsi="Arial Narrow"/>
                <w:sz w:val="20"/>
              </w:rPr>
            </w:pPr>
            <w:r w:rsidRPr="00996B66">
              <w:rPr>
                <w:rFonts w:ascii="Arial Narrow" w:hAnsi="Arial Narrow"/>
                <w:sz w:val="20"/>
              </w:rPr>
              <w:tab/>
              <w:t>Any AE</w:t>
            </w:r>
          </w:p>
        </w:tc>
        <w:tc>
          <w:tcPr>
            <w:tcW w:w="1984" w:type="dxa"/>
          </w:tcPr>
          <w:p w:rsidR="00B1352D" w:rsidRPr="006C03DC" w:rsidRDefault="00EF0B21" w:rsidP="00323E7A">
            <w:pPr>
              <w:widowControl/>
              <w:jc w:val="center"/>
              <w:rPr>
                <w:rFonts w:ascii="Arial Narrow" w:hAnsi="Arial Narrow"/>
                <w:sz w:val="20"/>
              </w:rPr>
            </w:pPr>
            <w:r w:rsidRPr="006C03DC">
              <w:rPr>
                <w:rFonts w:ascii="Arial Narrow" w:hAnsi="Arial Narrow"/>
                <w:sz w:val="20"/>
              </w:rPr>
              <w:t xml:space="preserve">1.53 (1.27, </w:t>
            </w:r>
            <w:r w:rsidR="00B1352D" w:rsidRPr="006C03DC">
              <w:rPr>
                <w:rFonts w:ascii="Arial Narrow" w:hAnsi="Arial Narrow"/>
                <w:sz w:val="20"/>
              </w:rPr>
              <w:t>1.84)</w:t>
            </w:r>
          </w:p>
        </w:tc>
        <w:tc>
          <w:tcPr>
            <w:tcW w:w="2127"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1.94 (1.46,</w:t>
            </w:r>
            <w:r w:rsidR="00EF0B21" w:rsidRPr="006C03DC">
              <w:rPr>
                <w:rFonts w:ascii="Arial Narrow" w:hAnsi="Arial Narrow"/>
                <w:sz w:val="20"/>
              </w:rPr>
              <w:t xml:space="preserve"> </w:t>
            </w:r>
            <w:r w:rsidRPr="006C03DC">
              <w:rPr>
                <w:rFonts w:ascii="Arial Narrow" w:hAnsi="Arial Narrow"/>
                <w:sz w:val="20"/>
              </w:rPr>
              <w:t>2.58)</w:t>
            </w:r>
          </w:p>
        </w:tc>
        <w:tc>
          <w:tcPr>
            <w:tcW w:w="1842"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0.79 (0.56,</w:t>
            </w:r>
            <w:r w:rsidR="00EF0B21" w:rsidRPr="006C03DC">
              <w:rPr>
                <w:rFonts w:ascii="Arial Narrow" w:hAnsi="Arial Narrow"/>
                <w:sz w:val="20"/>
              </w:rPr>
              <w:t xml:space="preserve"> </w:t>
            </w:r>
            <w:r w:rsidRPr="006C03DC">
              <w:rPr>
                <w:rFonts w:ascii="Arial Narrow" w:hAnsi="Arial Narrow"/>
                <w:sz w:val="20"/>
              </w:rPr>
              <w:t>1.11)</w:t>
            </w:r>
          </w:p>
        </w:tc>
      </w:tr>
      <w:tr w:rsidR="00B1352D" w:rsidRPr="00737934" w:rsidTr="008B41C6">
        <w:tc>
          <w:tcPr>
            <w:tcW w:w="2410" w:type="dxa"/>
            <w:vAlign w:val="center"/>
          </w:tcPr>
          <w:p w:rsidR="00B1352D" w:rsidRPr="00996B66" w:rsidRDefault="00B1352D" w:rsidP="00323E7A">
            <w:pPr>
              <w:widowControl/>
              <w:tabs>
                <w:tab w:val="left" w:pos="142"/>
              </w:tabs>
              <w:jc w:val="left"/>
              <w:rPr>
                <w:rFonts w:ascii="Arial Narrow" w:hAnsi="Arial Narrow"/>
                <w:sz w:val="20"/>
              </w:rPr>
            </w:pPr>
            <w:r w:rsidRPr="00996B66">
              <w:rPr>
                <w:rFonts w:ascii="Arial Narrow" w:hAnsi="Arial Narrow"/>
                <w:sz w:val="20"/>
              </w:rPr>
              <w:tab/>
              <w:t>Endocrine</w:t>
            </w:r>
          </w:p>
        </w:tc>
        <w:tc>
          <w:tcPr>
            <w:tcW w:w="1984"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6.30 (1.89,</w:t>
            </w:r>
            <w:r w:rsidR="00EF0B21" w:rsidRPr="006C03DC">
              <w:rPr>
                <w:rFonts w:ascii="Arial Narrow" w:hAnsi="Arial Narrow"/>
                <w:sz w:val="20"/>
              </w:rPr>
              <w:t xml:space="preserve"> </w:t>
            </w:r>
            <w:r w:rsidRPr="006C03DC">
              <w:rPr>
                <w:rFonts w:ascii="Arial Narrow" w:hAnsi="Arial Narrow"/>
                <w:sz w:val="20"/>
              </w:rPr>
              <w:t>21.00)</w:t>
            </w:r>
          </w:p>
        </w:tc>
        <w:tc>
          <w:tcPr>
            <w:tcW w:w="2127"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5.04 (1.12,</w:t>
            </w:r>
            <w:r w:rsidR="00EF0B21" w:rsidRPr="006C03DC">
              <w:rPr>
                <w:rFonts w:ascii="Arial Narrow" w:hAnsi="Arial Narrow"/>
                <w:sz w:val="20"/>
              </w:rPr>
              <w:t xml:space="preserve"> </w:t>
            </w:r>
            <w:r w:rsidRPr="006C03DC">
              <w:rPr>
                <w:rFonts w:ascii="Arial Narrow" w:hAnsi="Arial Narrow"/>
                <w:sz w:val="20"/>
              </w:rPr>
              <w:t>22.62)</w:t>
            </w:r>
          </w:p>
        </w:tc>
        <w:tc>
          <w:tcPr>
            <w:tcW w:w="1842" w:type="dxa"/>
          </w:tcPr>
          <w:p w:rsidR="00B1352D" w:rsidRPr="006C03DC" w:rsidRDefault="00B1352D" w:rsidP="00323E7A">
            <w:pPr>
              <w:widowControl/>
              <w:jc w:val="center"/>
              <w:rPr>
                <w:rFonts w:ascii="Arial Narrow" w:hAnsi="Arial Narrow"/>
                <w:b/>
                <w:sz w:val="20"/>
              </w:rPr>
            </w:pPr>
            <w:r w:rsidRPr="006C03DC">
              <w:rPr>
                <w:rFonts w:ascii="Arial Narrow" w:hAnsi="Arial Narrow"/>
                <w:sz w:val="20"/>
              </w:rPr>
              <w:t>1.25 (0.18,</w:t>
            </w:r>
            <w:r w:rsidR="00EF0B21" w:rsidRPr="006C03DC">
              <w:rPr>
                <w:rFonts w:ascii="Arial Narrow" w:hAnsi="Arial Narrow"/>
                <w:sz w:val="20"/>
              </w:rPr>
              <w:t xml:space="preserve"> </w:t>
            </w:r>
            <w:r w:rsidRPr="006C03DC">
              <w:rPr>
                <w:rFonts w:ascii="Arial Narrow" w:hAnsi="Arial Narrow"/>
                <w:sz w:val="20"/>
              </w:rPr>
              <w:t>8.58)</w:t>
            </w:r>
          </w:p>
        </w:tc>
      </w:tr>
      <w:tr w:rsidR="00B1352D" w:rsidRPr="00737934" w:rsidTr="008B41C6">
        <w:tc>
          <w:tcPr>
            <w:tcW w:w="2410" w:type="dxa"/>
            <w:vAlign w:val="center"/>
          </w:tcPr>
          <w:p w:rsidR="00B1352D" w:rsidRPr="00996B66" w:rsidRDefault="00B1352D" w:rsidP="00323E7A">
            <w:pPr>
              <w:widowControl/>
              <w:tabs>
                <w:tab w:val="left" w:pos="142"/>
              </w:tabs>
              <w:jc w:val="left"/>
              <w:rPr>
                <w:rFonts w:ascii="Arial Narrow" w:hAnsi="Arial Narrow"/>
                <w:sz w:val="20"/>
              </w:rPr>
            </w:pPr>
            <w:r w:rsidRPr="00996B66">
              <w:rPr>
                <w:rFonts w:ascii="Arial Narrow" w:hAnsi="Arial Narrow"/>
                <w:sz w:val="20"/>
              </w:rPr>
              <w:tab/>
              <w:t>Gastrointestinal</w:t>
            </w:r>
          </w:p>
        </w:tc>
        <w:tc>
          <w:tcPr>
            <w:tcW w:w="1984"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1.20 (0.84,</w:t>
            </w:r>
            <w:r w:rsidR="00EF0B21" w:rsidRPr="006C03DC">
              <w:rPr>
                <w:rFonts w:ascii="Arial Narrow" w:hAnsi="Arial Narrow"/>
                <w:sz w:val="20"/>
              </w:rPr>
              <w:t xml:space="preserve"> </w:t>
            </w:r>
            <w:r w:rsidRPr="006C03DC">
              <w:rPr>
                <w:rFonts w:ascii="Arial Narrow" w:hAnsi="Arial Narrow"/>
                <w:sz w:val="20"/>
              </w:rPr>
              <w:t>1.70)</w:t>
            </w:r>
          </w:p>
        </w:tc>
        <w:tc>
          <w:tcPr>
            <w:tcW w:w="2127"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2.07 (1.26,</w:t>
            </w:r>
            <w:r w:rsidR="00EF0B21" w:rsidRPr="006C03DC">
              <w:rPr>
                <w:rFonts w:ascii="Arial Narrow" w:hAnsi="Arial Narrow"/>
                <w:sz w:val="20"/>
              </w:rPr>
              <w:t xml:space="preserve"> </w:t>
            </w:r>
            <w:r w:rsidRPr="006C03DC">
              <w:rPr>
                <w:rFonts w:ascii="Arial Narrow" w:hAnsi="Arial Narrow"/>
                <w:sz w:val="20"/>
              </w:rPr>
              <w:t>3.39)</w:t>
            </w:r>
          </w:p>
        </w:tc>
        <w:tc>
          <w:tcPr>
            <w:tcW w:w="1842" w:type="dxa"/>
          </w:tcPr>
          <w:p w:rsidR="00B1352D" w:rsidRPr="006C03DC" w:rsidRDefault="00B1352D" w:rsidP="00323E7A">
            <w:pPr>
              <w:widowControl/>
              <w:jc w:val="center"/>
              <w:rPr>
                <w:rFonts w:ascii="Arial Narrow" w:hAnsi="Arial Narrow"/>
                <w:b/>
                <w:sz w:val="20"/>
              </w:rPr>
            </w:pPr>
            <w:r w:rsidRPr="006C03DC">
              <w:rPr>
                <w:rFonts w:ascii="Arial Narrow" w:hAnsi="Arial Narrow"/>
                <w:sz w:val="20"/>
              </w:rPr>
              <w:t>0.58 (0.32,</w:t>
            </w:r>
            <w:r w:rsidR="00EF0B21" w:rsidRPr="006C03DC">
              <w:rPr>
                <w:rFonts w:ascii="Arial Narrow" w:hAnsi="Arial Narrow"/>
                <w:sz w:val="20"/>
              </w:rPr>
              <w:t xml:space="preserve"> </w:t>
            </w:r>
            <w:r w:rsidRPr="006C03DC">
              <w:rPr>
                <w:rFonts w:ascii="Arial Narrow" w:hAnsi="Arial Narrow"/>
                <w:sz w:val="20"/>
              </w:rPr>
              <w:t>1.06)</w:t>
            </w:r>
          </w:p>
        </w:tc>
      </w:tr>
      <w:tr w:rsidR="00B1352D" w:rsidRPr="00737934" w:rsidTr="008B41C6">
        <w:tc>
          <w:tcPr>
            <w:tcW w:w="2410" w:type="dxa"/>
            <w:vAlign w:val="center"/>
          </w:tcPr>
          <w:p w:rsidR="00B1352D" w:rsidRPr="00996B66" w:rsidRDefault="00B1352D" w:rsidP="00323E7A">
            <w:pPr>
              <w:widowControl/>
              <w:tabs>
                <w:tab w:val="left" w:pos="142"/>
              </w:tabs>
              <w:jc w:val="left"/>
              <w:rPr>
                <w:rFonts w:ascii="Arial Narrow" w:hAnsi="Arial Narrow"/>
                <w:sz w:val="20"/>
              </w:rPr>
            </w:pPr>
            <w:r w:rsidRPr="00996B66">
              <w:rPr>
                <w:rFonts w:ascii="Arial Narrow" w:hAnsi="Arial Narrow"/>
                <w:sz w:val="20"/>
              </w:rPr>
              <w:tab/>
              <w:t>Hepatic</w:t>
            </w:r>
          </w:p>
        </w:tc>
        <w:tc>
          <w:tcPr>
            <w:tcW w:w="1984" w:type="dxa"/>
          </w:tcPr>
          <w:p w:rsidR="00B1352D" w:rsidRPr="006C03DC" w:rsidRDefault="00B1352D" w:rsidP="00323E7A">
            <w:pPr>
              <w:widowControl/>
              <w:jc w:val="center"/>
              <w:rPr>
                <w:rFonts w:ascii="Arial Narrow" w:hAnsi="Arial Narrow"/>
                <w:b/>
                <w:sz w:val="20"/>
              </w:rPr>
            </w:pPr>
            <w:r w:rsidRPr="006C03DC">
              <w:rPr>
                <w:rFonts w:ascii="Arial Narrow" w:hAnsi="Arial Narrow"/>
                <w:sz w:val="20"/>
              </w:rPr>
              <w:t>1.35 (0.70,</w:t>
            </w:r>
            <w:r w:rsidR="00EF0B21" w:rsidRPr="006C03DC">
              <w:rPr>
                <w:rFonts w:ascii="Arial Narrow" w:hAnsi="Arial Narrow"/>
                <w:sz w:val="20"/>
              </w:rPr>
              <w:t xml:space="preserve"> </w:t>
            </w:r>
            <w:r w:rsidRPr="006C03DC">
              <w:rPr>
                <w:rFonts w:ascii="Arial Narrow" w:hAnsi="Arial Narrow"/>
                <w:sz w:val="20"/>
              </w:rPr>
              <w:t>2.62)</w:t>
            </w:r>
          </w:p>
        </w:tc>
        <w:tc>
          <w:tcPr>
            <w:tcW w:w="2127" w:type="dxa"/>
          </w:tcPr>
          <w:p w:rsidR="00B1352D" w:rsidRPr="006C03DC" w:rsidRDefault="00B1352D" w:rsidP="00323E7A">
            <w:pPr>
              <w:widowControl/>
              <w:jc w:val="center"/>
              <w:rPr>
                <w:rFonts w:ascii="Arial Narrow" w:hAnsi="Arial Narrow"/>
                <w:b/>
                <w:sz w:val="20"/>
              </w:rPr>
            </w:pPr>
            <w:r w:rsidRPr="006C03DC">
              <w:rPr>
                <w:rFonts w:ascii="Arial Narrow" w:hAnsi="Arial Narrow"/>
                <w:sz w:val="20"/>
              </w:rPr>
              <w:t>0.84 (0.26,</w:t>
            </w:r>
            <w:r w:rsidR="00EF0B21" w:rsidRPr="006C03DC">
              <w:rPr>
                <w:rFonts w:ascii="Arial Narrow" w:hAnsi="Arial Narrow"/>
                <w:sz w:val="20"/>
              </w:rPr>
              <w:t xml:space="preserve"> </w:t>
            </w:r>
            <w:r w:rsidRPr="006C03DC">
              <w:rPr>
                <w:rFonts w:ascii="Arial Narrow" w:hAnsi="Arial Narrow"/>
                <w:sz w:val="20"/>
              </w:rPr>
              <w:t>2.69)</w:t>
            </w:r>
          </w:p>
        </w:tc>
        <w:tc>
          <w:tcPr>
            <w:tcW w:w="1842" w:type="dxa"/>
          </w:tcPr>
          <w:p w:rsidR="00B1352D" w:rsidRPr="006C03DC" w:rsidRDefault="00B1352D" w:rsidP="00323E7A">
            <w:pPr>
              <w:widowControl/>
              <w:jc w:val="center"/>
              <w:rPr>
                <w:rFonts w:ascii="Arial Narrow" w:hAnsi="Arial Narrow"/>
                <w:b/>
                <w:sz w:val="20"/>
              </w:rPr>
            </w:pPr>
            <w:r w:rsidRPr="006C03DC">
              <w:rPr>
                <w:rFonts w:ascii="Arial Narrow" w:hAnsi="Arial Narrow"/>
                <w:sz w:val="20"/>
              </w:rPr>
              <w:t>1.61 (0.42,</w:t>
            </w:r>
            <w:r w:rsidR="00EF0B21" w:rsidRPr="006C03DC">
              <w:rPr>
                <w:rFonts w:ascii="Arial Narrow" w:hAnsi="Arial Narrow"/>
                <w:sz w:val="20"/>
              </w:rPr>
              <w:t xml:space="preserve"> </w:t>
            </w:r>
            <w:r w:rsidRPr="006C03DC">
              <w:rPr>
                <w:rFonts w:ascii="Arial Narrow" w:hAnsi="Arial Narrow"/>
                <w:sz w:val="20"/>
              </w:rPr>
              <w:t>6.15)</w:t>
            </w:r>
          </w:p>
        </w:tc>
      </w:tr>
      <w:tr w:rsidR="00B1352D" w:rsidRPr="00737934" w:rsidTr="008B41C6">
        <w:tc>
          <w:tcPr>
            <w:tcW w:w="2410" w:type="dxa"/>
            <w:vAlign w:val="center"/>
          </w:tcPr>
          <w:p w:rsidR="00B1352D" w:rsidRPr="00996B66" w:rsidRDefault="00B1352D" w:rsidP="00323E7A">
            <w:pPr>
              <w:widowControl/>
              <w:tabs>
                <w:tab w:val="left" w:pos="142"/>
              </w:tabs>
              <w:jc w:val="left"/>
              <w:rPr>
                <w:rFonts w:ascii="Arial Narrow" w:hAnsi="Arial Narrow"/>
                <w:sz w:val="20"/>
              </w:rPr>
            </w:pPr>
            <w:r w:rsidRPr="00996B66">
              <w:rPr>
                <w:rFonts w:ascii="Arial Narrow" w:hAnsi="Arial Narrow"/>
                <w:sz w:val="20"/>
              </w:rPr>
              <w:tab/>
              <w:t>Skin</w:t>
            </w:r>
          </w:p>
        </w:tc>
        <w:tc>
          <w:tcPr>
            <w:tcW w:w="1984" w:type="dxa"/>
          </w:tcPr>
          <w:p w:rsidR="00B1352D" w:rsidRPr="006C03DC" w:rsidRDefault="00B1352D" w:rsidP="00323E7A">
            <w:pPr>
              <w:widowControl/>
              <w:jc w:val="center"/>
              <w:rPr>
                <w:rFonts w:ascii="Arial Narrow" w:hAnsi="Arial Narrow"/>
                <w:b/>
                <w:sz w:val="20"/>
              </w:rPr>
            </w:pPr>
            <w:r w:rsidRPr="006C03DC">
              <w:rPr>
                <w:rFonts w:ascii="Arial Narrow" w:hAnsi="Arial Narrow"/>
                <w:sz w:val="20"/>
              </w:rPr>
              <w:t>1.91 (1.45,</w:t>
            </w:r>
            <w:r w:rsidR="00EF0B21" w:rsidRPr="006C03DC">
              <w:rPr>
                <w:rFonts w:ascii="Arial Narrow" w:hAnsi="Arial Narrow"/>
                <w:sz w:val="20"/>
              </w:rPr>
              <w:t xml:space="preserve"> </w:t>
            </w:r>
            <w:r w:rsidRPr="006C03DC">
              <w:rPr>
                <w:rFonts w:ascii="Arial Narrow" w:hAnsi="Arial Narrow"/>
                <w:sz w:val="20"/>
              </w:rPr>
              <w:t>2.53)</w:t>
            </w:r>
          </w:p>
        </w:tc>
        <w:tc>
          <w:tcPr>
            <w:tcW w:w="2127" w:type="dxa"/>
          </w:tcPr>
          <w:p w:rsidR="00B1352D" w:rsidRPr="006C03DC" w:rsidRDefault="00B1352D" w:rsidP="00323E7A">
            <w:pPr>
              <w:widowControl/>
              <w:jc w:val="center"/>
              <w:rPr>
                <w:rFonts w:ascii="Arial Narrow" w:hAnsi="Arial Narrow"/>
                <w:b/>
                <w:sz w:val="20"/>
              </w:rPr>
            </w:pPr>
            <w:r w:rsidRPr="006C03DC">
              <w:rPr>
                <w:rFonts w:ascii="Arial Narrow" w:hAnsi="Arial Narrow"/>
                <w:sz w:val="20"/>
              </w:rPr>
              <w:t>2.26 (1.50,</w:t>
            </w:r>
            <w:r w:rsidR="00EF0B21" w:rsidRPr="006C03DC">
              <w:rPr>
                <w:rFonts w:ascii="Arial Narrow" w:hAnsi="Arial Narrow"/>
                <w:sz w:val="20"/>
              </w:rPr>
              <w:t xml:space="preserve"> </w:t>
            </w:r>
            <w:r w:rsidRPr="006C03DC">
              <w:rPr>
                <w:rFonts w:ascii="Arial Narrow" w:hAnsi="Arial Narrow"/>
                <w:sz w:val="20"/>
              </w:rPr>
              <w:t>3.39)</w:t>
            </w:r>
          </w:p>
        </w:tc>
        <w:tc>
          <w:tcPr>
            <w:tcW w:w="1842" w:type="dxa"/>
          </w:tcPr>
          <w:p w:rsidR="00B1352D" w:rsidRPr="006C03DC" w:rsidRDefault="00B1352D" w:rsidP="00323E7A">
            <w:pPr>
              <w:widowControl/>
              <w:jc w:val="center"/>
              <w:rPr>
                <w:rFonts w:ascii="Arial Narrow" w:hAnsi="Arial Narrow"/>
                <w:b/>
                <w:sz w:val="20"/>
              </w:rPr>
            </w:pPr>
            <w:r w:rsidRPr="006C03DC">
              <w:rPr>
                <w:rFonts w:ascii="Arial Narrow" w:hAnsi="Arial Narrow"/>
                <w:sz w:val="20"/>
              </w:rPr>
              <w:t>0.85 (0.52,</w:t>
            </w:r>
            <w:r w:rsidR="00EF0B21" w:rsidRPr="006C03DC">
              <w:rPr>
                <w:rFonts w:ascii="Arial Narrow" w:hAnsi="Arial Narrow"/>
                <w:sz w:val="20"/>
              </w:rPr>
              <w:t xml:space="preserve"> </w:t>
            </w:r>
            <w:r w:rsidRPr="006C03DC">
              <w:rPr>
                <w:rFonts w:ascii="Arial Narrow" w:hAnsi="Arial Narrow"/>
                <w:sz w:val="20"/>
              </w:rPr>
              <w:t>1.39)</w:t>
            </w:r>
          </w:p>
        </w:tc>
      </w:tr>
      <w:tr w:rsidR="00B1352D" w:rsidRPr="00737934" w:rsidTr="008B41C6">
        <w:tc>
          <w:tcPr>
            <w:tcW w:w="2410" w:type="dxa"/>
          </w:tcPr>
          <w:p w:rsidR="00B1352D" w:rsidRPr="00996B66" w:rsidRDefault="00B1352D" w:rsidP="00323E7A">
            <w:pPr>
              <w:widowControl/>
              <w:tabs>
                <w:tab w:val="left" w:pos="142"/>
              </w:tabs>
              <w:jc w:val="left"/>
              <w:rPr>
                <w:rFonts w:ascii="Arial Narrow" w:hAnsi="Arial Narrow"/>
                <w:sz w:val="20"/>
              </w:rPr>
            </w:pPr>
            <w:r w:rsidRPr="00996B66">
              <w:rPr>
                <w:rFonts w:ascii="Arial Narrow" w:hAnsi="Arial Narrow"/>
                <w:sz w:val="20"/>
              </w:rPr>
              <w:t>Severe</w:t>
            </w:r>
          </w:p>
        </w:tc>
        <w:tc>
          <w:tcPr>
            <w:tcW w:w="1984" w:type="dxa"/>
          </w:tcPr>
          <w:p w:rsidR="00B1352D" w:rsidRPr="006C03DC" w:rsidRDefault="00B1352D" w:rsidP="00323E7A">
            <w:pPr>
              <w:widowControl/>
              <w:jc w:val="center"/>
              <w:rPr>
                <w:rFonts w:ascii="Arial Narrow" w:hAnsi="Arial Narrow"/>
                <w:sz w:val="20"/>
              </w:rPr>
            </w:pPr>
          </w:p>
        </w:tc>
        <w:tc>
          <w:tcPr>
            <w:tcW w:w="2127" w:type="dxa"/>
          </w:tcPr>
          <w:p w:rsidR="00B1352D" w:rsidRPr="006C03DC" w:rsidRDefault="00B1352D" w:rsidP="00323E7A">
            <w:pPr>
              <w:widowControl/>
              <w:jc w:val="center"/>
              <w:rPr>
                <w:rFonts w:ascii="Arial Narrow" w:hAnsi="Arial Narrow"/>
                <w:sz w:val="20"/>
              </w:rPr>
            </w:pPr>
          </w:p>
        </w:tc>
        <w:tc>
          <w:tcPr>
            <w:tcW w:w="1842" w:type="dxa"/>
          </w:tcPr>
          <w:p w:rsidR="00B1352D" w:rsidRPr="006C03DC" w:rsidRDefault="00B1352D" w:rsidP="00323E7A">
            <w:pPr>
              <w:widowControl/>
              <w:jc w:val="center"/>
              <w:rPr>
                <w:rFonts w:ascii="Arial Narrow" w:hAnsi="Arial Narrow"/>
                <w:sz w:val="20"/>
              </w:rPr>
            </w:pPr>
          </w:p>
        </w:tc>
      </w:tr>
      <w:tr w:rsidR="00B1352D" w:rsidRPr="00737934" w:rsidTr="008B41C6">
        <w:tc>
          <w:tcPr>
            <w:tcW w:w="2410" w:type="dxa"/>
          </w:tcPr>
          <w:p w:rsidR="00B1352D" w:rsidRPr="00996B66" w:rsidRDefault="00B1352D" w:rsidP="00323E7A">
            <w:pPr>
              <w:widowControl/>
              <w:tabs>
                <w:tab w:val="left" w:pos="142"/>
              </w:tabs>
              <w:jc w:val="left"/>
              <w:rPr>
                <w:rFonts w:ascii="Arial Narrow" w:hAnsi="Arial Narrow"/>
                <w:sz w:val="20"/>
              </w:rPr>
            </w:pPr>
            <w:r w:rsidRPr="00996B66">
              <w:rPr>
                <w:rFonts w:ascii="Arial Narrow" w:hAnsi="Arial Narrow"/>
                <w:sz w:val="20"/>
              </w:rPr>
              <w:tab/>
              <w:t>Any AE</w:t>
            </w:r>
          </w:p>
        </w:tc>
        <w:tc>
          <w:tcPr>
            <w:tcW w:w="1984"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2.32 (1.09,</w:t>
            </w:r>
            <w:r w:rsidR="00EF0B21" w:rsidRPr="006C03DC">
              <w:rPr>
                <w:rFonts w:ascii="Arial Narrow" w:hAnsi="Arial Narrow"/>
                <w:sz w:val="20"/>
              </w:rPr>
              <w:t xml:space="preserve"> </w:t>
            </w:r>
            <w:r w:rsidRPr="006C03DC">
              <w:rPr>
                <w:rFonts w:ascii="Arial Narrow" w:hAnsi="Arial Narrow"/>
                <w:sz w:val="20"/>
              </w:rPr>
              <w:t>4.95)</w:t>
            </w:r>
          </w:p>
        </w:tc>
        <w:tc>
          <w:tcPr>
            <w:tcW w:w="2127"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5.29 (1.86,</w:t>
            </w:r>
            <w:r w:rsidR="00EF0B21" w:rsidRPr="006C03DC">
              <w:rPr>
                <w:rFonts w:ascii="Arial Narrow" w:hAnsi="Arial Narrow"/>
                <w:sz w:val="20"/>
              </w:rPr>
              <w:t xml:space="preserve"> </w:t>
            </w:r>
            <w:r w:rsidRPr="006C03DC">
              <w:rPr>
                <w:rFonts w:ascii="Arial Narrow" w:hAnsi="Arial Narrow"/>
                <w:sz w:val="20"/>
              </w:rPr>
              <w:t>15.02)</w:t>
            </w:r>
          </w:p>
        </w:tc>
        <w:tc>
          <w:tcPr>
            <w:tcW w:w="1842"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0.44 (0.12,</w:t>
            </w:r>
            <w:r w:rsidR="00EF0B21" w:rsidRPr="006C03DC">
              <w:rPr>
                <w:rFonts w:ascii="Arial Narrow" w:hAnsi="Arial Narrow"/>
                <w:sz w:val="20"/>
              </w:rPr>
              <w:t xml:space="preserve"> </w:t>
            </w:r>
            <w:r w:rsidRPr="006C03DC">
              <w:rPr>
                <w:rFonts w:ascii="Arial Narrow" w:hAnsi="Arial Narrow"/>
                <w:sz w:val="20"/>
              </w:rPr>
              <w:t>1.59)</w:t>
            </w:r>
          </w:p>
        </w:tc>
      </w:tr>
      <w:tr w:rsidR="00B1352D" w:rsidRPr="00737934" w:rsidTr="008B41C6">
        <w:tc>
          <w:tcPr>
            <w:tcW w:w="2410" w:type="dxa"/>
            <w:vAlign w:val="center"/>
          </w:tcPr>
          <w:p w:rsidR="00B1352D" w:rsidRPr="00996B66" w:rsidRDefault="00B1352D" w:rsidP="00323E7A">
            <w:pPr>
              <w:widowControl/>
              <w:tabs>
                <w:tab w:val="left" w:pos="142"/>
              </w:tabs>
              <w:jc w:val="left"/>
              <w:rPr>
                <w:rFonts w:ascii="Arial Narrow" w:hAnsi="Arial Narrow"/>
                <w:sz w:val="20"/>
              </w:rPr>
            </w:pPr>
            <w:r w:rsidRPr="00996B66">
              <w:rPr>
                <w:rFonts w:ascii="Arial Narrow" w:hAnsi="Arial Narrow"/>
                <w:sz w:val="20"/>
              </w:rPr>
              <w:tab/>
              <w:t>Gastrointestinal</w:t>
            </w:r>
          </w:p>
        </w:tc>
        <w:tc>
          <w:tcPr>
            <w:tcW w:w="1984"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4.98 (0.58,</w:t>
            </w:r>
            <w:r w:rsidR="00EF0B21" w:rsidRPr="006C03DC">
              <w:rPr>
                <w:rFonts w:ascii="Arial Narrow" w:hAnsi="Arial Narrow"/>
                <w:sz w:val="20"/>
              </w:rPr>
              <w:t xml:space="preserve"> </w:t>
            </w:r>
            <w:r w:rsidRPr="006C03DC">
              <w:rPr>
                <w:rFonts w:ascii="Arial Narrow" w:hAnsi="Arial Narrow"/>
                <w:sz w:val="20"/>
              </w:rPr>
              <w:t>42.33)</w:t>
            </w:r>
          </w:p>
        </w:tc>
        <w:tc>
          <w:tcPr>
            <w:tcW w:w="2127"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11.08 (1.45, 84.96)</w:t>
            </w:r>
          </w:p>
        </w:tc>
        <w:tc>
          <w:tcPr>
            <w:tcW w:w="1842"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0.45 (0.02, 8.62)</w:t>
            </w:r>
          </w:p>
        </w:tc>
      </w:tr>
      <w:tr w:rsidR="00B1352D" w:rsidRPr="00737934" w:rsidTr="008B41C6">
        <w:tc>
          <w:tcPr>
            <w:tcW w:w="2410" w:type="dxa"/>
            <w:vAlign w:val="center"/>
          </w:tcPr>
          <w:p w:rsidR="00B1352D" w:rsidRPr="00996B66" w:rsidRDefault="00B1352D" w:rsidP="00323E7A">
            <w:pPr>
              <w:widowControl/>
              <w:tabs>
                <w:tab w:val="left" w:pos="142"/>
              </w:tabs>
              <w:jc w:val="left"/>
              <w:rPr>
                <w:rFonts w:ascii="Arial Narrow" w:hAnsi="Arial Narrow"/>
                <w:sz w:val="20"/>
              </w:rPr>
            </w:pPr>
            <w:r w:rsidRPr="00996B66">
              <w:rPr>
                <w:rFonts w:ascii="Arial Narrow" w:hAnsi="Arial Narrow"/>
                <w:sz w:val="20"/>
              </w:rPr>
              <w:tab/>
              <w:t>Hepatic</w:t>
            </w:r>
          </w:p>
        </w:tc>
        <w:tc>
          <w:tcPr>
            <w:tcW w:w="1984"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2.19 (0.77,</w:t>
            </w:r>
            <w:r w:rsidR="00EF0B21" w:rsidRPr="006C03DC">
              <w:rPr>
                <w:rFonts w:ascii="Arial Narrow" w:hAnsi="Arial Narrow"/>
                <w:sz w:val="20"/>
              </w:rPr>
              <w:t xml:space="preserve"> </w:t>
            </w:r>
            <w:r w:rsidRPr="006C03DC">
              <w:rPr>
                <w:rFonts w:ascii="Arial Narrow" w:hAnsi="Arial Narrow"/>
                <w:sz w:val="20"/>
              </w:rPr>
              <w:t>6.20)</w:t>
            </w:r>
          </w:p>
        </w:tc>
        <w:tc>
          <w:tcPr>
            <w:tcW w:w="2127"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0.34 (0.04,</w:t>
            </w:r>
            <w:r w:rsidR="00EF0B21" w:rsidRPr="006C03DC">
              <w:rPr>
                <w:rFonts w:ascii="Arial Narrow" w:hAnsi="Arial Narrow"/>
                <w:sz w:val="20"/>
              </w:rPr>
              <w:t xml:space="preserve"> </w:t>
            </w:r>
            <w:r w:rsidRPr="006C03DC">
              <w:rPr>
                <w:rFonts w:ascii="Arial Narrow" w:hAnsi="Arial Narrow"/>
                <w:sz w:val="20"/>
              </w:rPr>
              <w:t>3.20)</w:t>
            </w:r>
          </w:p>
        </w:tc>
        <w:tc>
          <w:tcPr>
            <w:tcW w:w="1842" w:type="dxa"/>
          </w:tcPr>
          <w:p w:rsidR="00B1352D" w:rsidRPr="006C03DC" w:rsidRDefault="00B1352D" w:rsidP="00323E7A">
            <w:pPr>
              <w:widowControl/>
              <w:jc w:val="center"/>
              <w:rPr>
                <w:rFonts w:ascii="Arial Narrow" w:hAnsi="Arial Narrow"/>
                <w:sz w:val="20"/>
              </w:rPr>
            </w:pPr>
            <w:r w:rsidRPr="006C03DC">
              <w:rPr>
                <w:rFonts w:ascii="Arial Narrow" w:hAnsi="Arial Narrow"/>
                <w:sz w:val="20"/>
              </w:rPr>
              <w:t>6.52 (0.54,</w:t>
            </w:r>
            <w:r w:rsidR="00EF0B21" w:rsidRPr="006C03DC">
              <w:rPr>
                <w:rFonts w:ascii="Arial Narrow" w:hAnsi="Arial Narrow"/>
                <w:sz w:val="20"/>
              </w:rPr>
              <w:t xml:space="preserve"> </w:t>
            </w:r>
            <w:r w:rsidRPr="006C03DC">
              <w:rPr>
                <w:rFonts w:ascii="Arial Narrow" w:hAnsi="Arial Narrow"/>
                <w:sz w:val="20"/>
              </w:rPr>
              <w:t>78.14)</w:t>
            </w:r>
          </w:p>
        </w:tc>
      </w:tr>
    </w:tbl>
    <w:p w:rsidR="000C7A34" w:rsidRPr="006C03DC" w:rsidRDefault="000C7A34" w:rsidP="00323E7A">
      <w:pPr>
        <w:pStyle w:val="TableFooter"/>
        <w:widowControl/>
        <w:tabs>
          <w:tab w:val="left" w:pos="851"/>
        </w:tabs>
        <w:ind w:left="709"/>
      </w:pPr>
      <w:r w:rsidRPr="006C03DC">
        <w:rPr>
          <w:vertAlign w:val="superscript"/>
        </w:rPr>
        <w:t>a</w:t>
      </w:r>
      <w:r w:rsidRPr="006C03DC">
        <w:tab/>
        <w:t>Statistical analyses conducted during the evaluation.</w:t>
      </w:r>
    </w:p>
    <w:p w:rsidR="000C7A34" w:rsidRDefault="000C7A34" w:rsidP="00323E7A">
      <w:pPr>
        <w:pStyle w:val="TableFooter"/>
        <w:widowControl/>
        <w:tabs>
          <w:tab w:val="left" w:pos="851"/>
        </w:tabs>
        <w:ind w:left="709"/>
      </w:pPr>
      <w:r w:rsidRPr="00EC79FE">
        <w:t xml:space="preserve">Source:  </w:t>
      </w:r>
      <w:r>
        <w:t>Submission Table 29, p.95;</w:t>
      </w:r>
      <w:r w:rsidRPr="00876933">
        <w:t xml:space="preserve"> </w:t>
      </w:r>
      <w:r>
        <w:t>Table 31, p.98;</w:t>
      </w:r>
      <w:r w:rsidRPr="00876933">
        <w:t xml:space="preserve"> </w:t>
      </w:r>
      <w:r>
        <w:t>Table 32,p.99; Table 33,p101 of the submission</w:t>
      </w:r>
      <w:r w:rsidRPr="00876933">
        <w:t>; CA209-066 CSR Tab</w:t>
      </w:r>
      <w:r>
        <w:t>le 8.7.1-1, p118; Table 8.7.3-1, p126; Table 8.7.6-1, p137; Table 8.7.7-1, p118 of the CA209-066 CSR</w:t>
      </w:r>
      <w:r w:rsidRPr="00876933">
        <w:t>; MDX010-20 CSR Table 7.21.1</w:t>
      </w:r>
      <w:r>
        <w:t xml:space="preserve"> of the MDX010-20 CSR.</w:t>
      </w:r>
      <w:r w:rsidRPr="00EC79FE">
        <w:t xml:space="preserve"> </w:t>
      </w:r>
    </w:p>
    <w:p w:rsidR="000C7A34" w:rsidRDefault="000C7A34" w:rsidP="00323E7A">
      <w:pPr>
        <w:pStyle w:val="TableFooter"/>
        <w:widowControl/>
        <w:tabs>
          <w:tab w:val="left" w:pos="851"/>
        </w:tabs>
        <w:ind w:left="709"/>
      </w:pPr>
      <w:r>
        <w:t>AE=adverse event</w:t>
      </w:r>
    </w:p>
    <w:p w:rsidR="000C7A34" w:rsidRPr="000C7A34" w:rsidRDefault="000C7A34" w:rsidP="00323E7A">
      <w:pPr>
        <w:widowControl/>
        <w:rPr>
          <w:szCs w:val="22"/>
        </w:rPr>
      </w:pPr>
    </w:p>
    <w:p w:rsidR="000C7A34" w:rsidRPr="006C03DC" w:rsidRDefault="000C7A34" w:rsidP="00323E7A">
      <w:pPr>
        <w:pStyle w:val="ListParagraph"/>
        <w:widowControl/>
        <w:numPr>
          <w:ilvl w:val="1"/>
          <w:numId w:val="23"/>
        </w:numPr>
        <w:ind w:left="709" w:hanging="709"/>
      </w:pPr>
      <w:r w:rsidRPr="006C03DC">
        <w:lastRenderedPageBreak/>
        <w:t>The submission claimed that there were fewer serious AEs overall for nivolumab, and in particular diarrhoea, colitis and fatigue; that there were fewer severe AEs, in particular diarrhoea and colitis; and there were fewer severe AEs with a potential immunologic cause</w:t>
      </w:r>
      <w:r w:rsidR="007951A8" w:rsidRPr="006C03DC">
        <w:t>,</w:t>
      </w:r>
      <w:r w:rsidRPr="006C03DC">
        <w:t xml:space="preserve"> in particular gastrointestinal and hepatic events.  The analyses conducted during the evaluation (see Table</w:t>
      </w:r>
      <w:r w:rsidR="00FE7618" w:rsidRPr="006C03DC">
        <w:t xml:space="preserve"> </w:t>
      </w:r>
      <w:r w:rsidR="0061538A" w:rsidRPr="006C03DC">
        <w:t>4</w:t>
      </w:r>
      <w:r w:rsidRPr="006C03DC">
        <w:t xml:space="preserve"> above) indicate</w:t>
      </w:r>
      <w:r w:rsidR="00FE7618" w:rsidRPr="006C03DC">
        <w:t>d</w:t>
      </w:r>
      <w:r w:rsidRPr="006C03DC">
        <w:t xml:space="preserve"> that only one claim made by the submission </w:t>
      </w:r>
      <w:r w:rsidR="00FE7618" w:rsidRPr="006C03DC">
        <w:t>wa</w:t>
      </w:r>
      <w:r w:rsidRPr="006C03DC">
        <w:t>s supported – fewer serious AEs overall.  There were also statistically significantly fewer severe AEs graded ≥3 with nivolumab, although</w:t>
      </w:r>
      <w:r w:rsidR="007602D6" w:rsidRPr="006C03DC">
        <w:t xml:space="preserve"> the rates of diarrhoea and colitis events reported were too low to assess </w:t>
      </w:r>
      <w:r w:rsidR="00A571B6" w:rsidRPr="006C03DC">
        <w:t>claims of advantages for nivolumab for these specific events</w:t>
      </w:r>
      <w:r w:rsidR="007602D6" w:rsidRPr="006C03DC">
        <w:t>,</w:t>
      </w:r>
      <w:r w:rsidRPr="006C03DC">
        <w:t xml:space="preserve"> which the submission emphasised.  There were also no statistically significant differences in all other specific AEs cited by the submission, i</w:t>
      </w:r>
      <w:r w:rsidR="00801834" w:rsidRPr="006C03DC">
        <w:t>.</w:t>
      </w:r>
      <w:r w:rsidRPr="006C03DC">
        <w:t>e</w:t>
      </w:r>
      <w:r w:rsidR="00801834" w:rsidRPr="006C03DC">
        <w:t>.</w:t>
      </w:r>
      <w:r w:rsidRPr="006C03DC">
        <w:t xml:space="preserve"> severe AEs with a potential immunologic cause, AEs leading to discontinuation, and serious AEs of diarrhoea, colitis and fatigue.</w:t>
      </w:r>
    </w:p>
    <w:p w:rsidR="00813393" w:rsidRPr="004A053A" w:rsidRDefault="00813393" w:rsidP="00323E7A">
      <w:pPr>
        <w:widowControl/>
      </w:pPr>
    </w:p>
    <w:p w:rsidR="00813393" w:rsidRPr="004A053A" w:rsidRDefault="004A2802" w:rsidP="00323E7A">
      <w:pPr>
        <w:pStyle w:val="ListParagraph"/>
        <w:widowControl/>
        <w:numPr>
          <w:ilvl w:val="1"/>
          <w:numId w:val="23"/>
        </w:numPr>
        <w:ind w:left="709" w:hanging="709"/>
      </w:pPr>
      <w:r w:rsidRPr="004A053A">
        <w:t>Given</w:t>
      </w:r>
      <w:r w:rsidR="00813393" w:rsidRPr="004A053A">
        <w:t xml:space="preserve"> the </w:t>
      </w:r>
      <w:r w:rsidR="00502D53" w:rsidRPr="004A053A">
        <w:t>poor exchangeability</w:t>
      </w:r>
      <w:r w:rsidR="00813393" w:rsidRPr="004A053A">
        <w:t xml:space="preserve"> of the two trials</w:t>
      </w:r>
      <w:r w:rsidR="005B558C" w:rsidRPr="004A053A">
        <w:t xml:space="preserve"> (e.g. ipilimumab patients had a longer duration of advanced disease) and the shorter period of follow-up considered for safety outcomes in the nivolumab trial</w:t>
      </w:r>
      <w:r w:rsidR="00813393" w:rsidRPr="004A053A">
        <w:t>, the safety results did not clearly demonstrate that nivolumab safety was s</w:t>
      </w:r>
      <w:r w:rsidR="007951A8" w:rsidRPr="004A053A">
        <w:t>uperior to that of ipilimumab.</w:t>
      </w:r>
    </w:p>
    <w:p w:rsidR="00D878DD" w:rsidRDefault="00D878DD" w:rsidP="00323E7A">
      <w:pPr>
        <w:pStyle w:val="ListParagraph"/>
        <w:widowControl/>
        <w:ind w:left="0"/>
        <w:rPr>
          <w:szCs w:val="22"/>
        </w:rPr>
      </w:pPr>
    </w:p>
    <w:p w:rsidR="007F1017" w:rsidRPr="002C2775" w:rsidRDefault="007F1017" w:rsidP="00323E7A">
      <w:pPr>
        <w:pStyle w:val="Heading2"/>
        <w:widowControl/>
        <w:rPr>
          <w:i/>
          <w:szCs w:val="22"/>
        </w:rPr>
      </w:pPr>
      <w:bookmarkStart w:id="11" w:name="_Toc419885973"/>
      <w:r w:rsidRPr="002C2775">
        <w:rPr>
          <w:i/>
        </w:rPr>
        <w:t>Benefits/harms</w:t>
      </w:r>
      <w:bookmarkEnd w:id="11"/>
    </w:p>
    <w:p w:rsidR="007F1017" w:rsidRPr="007F1017" w:rsidRDefault="007F1017" w:rsidP="00323E7A">
      <w:pPr>
        <w:pStyle w:val="ListParagraph"/>
        <w:widowControl/>
        <w:ind w:left="0"/>
        <w:rPr>
          <w:szCs w:val="22"/>
        </w:rPr>
      </w:pPr>
    </w:p>
    <w:p w:rsidR="007F1017" w:rsidRPr="003A3593" w:rsidRDefault="009A37CC" w:rsidP="00323E7A">
      <w:pPr>
        <w:pStyle w:val="ListParagraph"/>
        <w:widowControl/>
        <w:numPr>
          <w:ilvl w:val="1"/>
          <w:numId w:val="23"/>
        </w:numPr>
        <w:ind w:left="709" w:hanging="709"/>
      </w:pPr>
      <w:r w:rsidRPr="003A3593">
        <w:t xml:space="preserve">A summary of benefits and harms based on the indirect comparison of nivolumab and ipilimumab is provided in the table below.  </w:t>
      </w:r>
      <w:r w:rsidR="000C6E04">
        <w:rPr>
          <w:szCs w:val="22"/>
        </w:rPr>
        <w:t>Interpretation of these results was hindered by</w:t>
      </w:r>
      <w:r w:rsidR="000C6E04" w:rsidRPr="006C03DC">
        <w:rPr>
          <w:szCs w:val="22"/>
        </w:rPr>
        <w:t xml:space="preserve"> the poor exchangeability between the trials</w:t>
      </w:r>
      <w:r w:rsidR="00493F97" w:rsidRPr="003A3593">
        <w:t>.</w:t>
      </w:r>
    </w:p>
    <w:p w:rsidR="00162913" w:rsidRDefault="00162913" w:rsidP="00323E7A">
      <w:pPr>
        <w:widowControl/>
      </w:pPr>
    </w:p>
    <w:p w:rsidR="00B62715" w:rsidRPr="00A578DC" w:rsidRDefault="00B62715" w:rsidP="00323E7A">
      <w:pPr>
        <w:keepNext/>
        <w:widowControl/>
        <w:ind w:firstLine="720"/>
        <w:rPr>
          <w:rStyle w:val="CommentReference"/>
        </w:rPr>
      </w:pPr>
      <w:r w:rsidRPr="00A578DC">
        <w:rPr>
          <w:rStyle w:val="CommentReference"/>
        </w:rPr>
        <w:lastRenderedPageBreak/>
        <w:t xml:space="preserve">Table </w:t>
      </w:r>
      <w:r w:rsidR="0061538A">
        <w:rPr>
          <w:rStyle w:val="CommentReference"/>
        </w:rPr>
        <w:t>5</w:t>
      </w:r>
      <w:r w:rsidRPr="00A578DC">
        <w:rPr>
          <w:rStyle w:val="CommentReference"/>
        </w:rPr>
        <w:t xml:space="preserve">: Summary of comparative benefits and harms for </w:t>
      </w:r>
      <w:r w:rsidR="00E25432">
        <w:rPr>
          <w:rStyle w:val="CommentReference"/>
        </w:rPr>
        <w:t>nivolumab and ipilimumab – indirect comparison</w:t>
      </w:r>
    </w:p>
    <w:tbl>
      <w:tblPr>
        <w:tblStyle w:val="TableGrid"/>
        <w:tblW w:w="4622" w:type="pct"/>
        <w:tblInd w:w="705" w:type="dxa"/>
        <w:tblLayout w:type="fixed"/>
        <w:tblCellMar>
          <w:left w:w="28" w:type="dxa"/>
          <w:right w:w="28" w:type="dxa"/>
        </w:tblCellMar>
        <w:tblLook w:val="04A0" w:firstRow="1" w:lastRow="0" w:firstColumn="1" w:lastColumn="0" w:noHBand="0" w:noVBand="1"/>
        <w:tblCaption w:val="Summary of comparative benefits and harms for nivolumab and ipilimumab – indirect comparison"/>
      </w:tblPr>
      <w:tblGrid>
        <w:gridCol w:w="1309"/>
        <w:gridCol w:w="574"/>
        <w:gridCol w:w="275"/>
        <w:gridCol w:w="992"/>
        <w:gridCol w:w="272"/>
        <w:gridCol w:w="1288"/>
        <w:gridCol w:w="222"/>
        <w:gridCol w:w="912"/>
        <w:gridCol w:w="992"/>
        <w:gridCol w:w="76"/>
        <w:gridCol w:w="1483"/>
      </w:tblGrid>
      <w:tr w:rsidR="005D044D" w:rsidRPr="00E2771E" w:rsidTr="006E43DE">
        <w:trPr>
          <w:tblHeader/>
        </w:trPr>
        <w:tc>
          <w:tcPr>
            <w:tcW w:w="5000" w:type="pct"/>
            <w:gridSpan w:val="11"/>
            <w:shd w:val="clear" w:color="auto" w:fill="auto"/>
            <w:vAlign w:val="center"/>
          </w:tcPr>
          <w:p w:rsidR="00B62715" w:rsidRPr="00E2771E" w:rsidRDefault="00B62715" w:rsidP="00323E7A">
            <w:pPr>
              <w:keepNext/>
              <w:widowControl/>
              <w:rPr>
                <w:rFonts w:ascii="Arial Narrow" w:hAnsi="Arial Narrow"/>
                <w:b/>
                <w:color w:val="000000"/>
                <w:sz w:val="20"/>
                <w:szCs w:val="18"/>
              </w:rPr>
            </w:pPr>
            <w:r w:rsidRPr="00E2771E">
              <w:rPr>
                <w:rFonts w:ascii="Arial Narrow" w:hAnsi="Arial Narrow"/>
                <w:b/>
                <w:color w:val="000000"/>
                <w:sz w:val="20"/>
                <w:szCs w:val="18"/>
              </w:rPr>
              <w:t>Benefits</w:t>
            </w:r>
          </w:p>
        </w:tc>
      </w:tr>
      <w:tr w:rsidR="005D044D" w:rsidRPr="00E2771E" w:rsidTr="00FA6362">
        <w:tc>
          <w:tcPr>
            <w:tcW w:w="5000" w:type="pct"/>
            <w:gridSpan w:val="11"/>
            <w:shd w:val="clear" w:color="auto" w:fill="auto"/>
            <w:vAlign w:val="center"/>
          </w:tcPr>
          <w:p w:rsidR="00B62715" w:rsidRPr="00E2771E" w:rsidRDefault="00673A97" w:rsidP="00323E7A">
            <w:pPr>
              <w:keepNext/>
              <w:widowControl/>
              <w:rPr>
                <w:rFonts w:ascii="Arial Narrow" w:hAnsi="Arial Narrow"/>
                <w:b/>
                <w:color w:val="000000"/>
                <w:sz w:val="20"/>
                <w:szCs w:val="18"/>
              </w:rPr>
            </w:pPr>
            <w:r>
              <w:rPr>
                <w:rFonts w:ascii="Arial Narrow" w:hAnsi="Arial Narrow"/>
                <w:b/>
                <w:color w:val="000000"/>
                <w:sz w:val="20"/>
                <w:szCs w:val="18"/>
              </w:rPr>
              <w:t>OS</w:t>
            </w:r>
            <w:r w:rsidR="00B62715" w:rsidRPr="00E2771E">
              <w:rPr>
                <w:rFonts w:ascii="Arial Narrow" w:hAnsi="Arial Narrow"/>
                <w:b/>
                <w:color w:val="000000"/>
                <w:sz w:val="20"/>
                <w:szCs w:val="18"/>
              </w:rPr>
              <w:t xml:space="preserve">: </w:t>
            </w:r>
            <w:r>
              <w:rPr>
                <w:rFonts w:ascii="Arial Narrow" w:hAnsi="Arial Narrow"/>
                <w:b/>
                <w:color w:val="000000"/>
                <w:sz w:val="20"/>
                <w:szCs w:val="18"/>
              </w:rPr>
              <w:t>CA209-066 nivolumab</w:t>
            </w:r>
            <w:bookmarkStart w:id="12" w:name="_GoBack"/>
            <w:bookmarkEnd w:id="12"/>
          </w:p>
        </w:tc>
      </w:tr>
      <w:tr w:rsidR="00DA1C86" w:rsidRPr="00E2771E" w:rsidTr="00D13B16">
        <w:tc>
          <w:tcPr>
            <w:tcW w:w="1122" w:type="pct"/>
            <w:gridSpan w:val="2"/>
            <w:shd w:val="clear" w:color="auto" w:fill="auto"/>
            <w:vAlign w:val="center"/>
          </w:tcPr>
          <w:p w:rsidR="00673A97" w:rsidRPr="00E2771E" w:rsidRDefault="00673A97" w:rsidP="00323E7A">
            <w:pPr>
              <w:keepNext/>
              <w:widowControl/>
              <w:jc w:val="center"/>
              <w:rPr>
                <w:rFonts w:ascii="Arial Narrow" w:hAnsi="Arial Narrow"/>
                <w:color w:val="000000"/>
                <w:sz w:val="20"/>
                <w:szCs w:val="18"/>
              </w:rPr>
            </w:pPr>
          </w:p>
        </w:tc>
        <w:tc>
          <w:tcPr>
            <w:tcW w:w="917" w:type="pct"/>
            <w:gridSpan w:val="3"/>
          </w:tcPr>
          <w:p w:rsidR="00673A97" w:rsidRPr="00E2771E" w:rsidRDefault="00673A97" w:rsidP="00323E7A">
            <w:pPr>
              <w:keepNext/>
              <w:widowControl/>
              <w:jc w:val="center"/>
              <w:rPr>
                <w:rFonts w:ascii="Arial Narrow" w:hAnsi="Arial Narrow"/>
                <w:b/>
                <w:color w:val="000000"/>
                <w:sz w:val="20"/>
                <w:szCs w:val="18"/>
              </w:rPr>
            </w:pPr>
            <w:r>
              <w:rPr>
                <w:rFonts w:ascii="Arial Narrow" w:hAnsi="Arial Narrow"/>
                <w:b/>
                <w:sz w:val="20"/>
              </w:rPr>
              <w:t>Nivo n/N (%)</w:t>
            </w:r>
          </w:p>
        </w:tc>
        <w:tc>
          <w:tcPr>
            <w:tcW w:w="899" w:type="pct"/>
            <w:gridSpan w:val="2"/>
          </w:tcPr>
          <w:p w:rsidR="00673A97" w:rsidRPr="00E2771E" w:rsidRDefault="00673A97" w:rsidP="00323E7A">
            <w:pPr>
              <w:keepNext/>
              <w:widowControl/>
              <w:jc w:val="center"/>
              <w:rPr>
                <w:rFonts w:ascii="Arial Narrow" w:hAnsi="Arial Narrow"/>
                <w:b/>
                <w:color w:val="000000"/>
                <w:sz w:val="20"/>
                <w:szCs w:val="18"/>
              </w:rPr>
            </w:pPr>
            <w:r>
              <w:rPr>
                <w:rFonts w:ascii="Arial Narrow" w:hAnsi="Arial Narrow"/>
                <w:b/>
                <w:sz w:val="20"/>
              </w:rPr>
              <w:t>DTIC n/N (%)</w:t>
            </w:r>
          </w:p>
        </w:tc>
        <w:tc>
          <w:tcPr>
            <w:tcW w:w="1179" w:type="pct"/>
            <w:gridSpan w:val="3"/>
            <w:vAlign w:val="center"/>
          </w:tcPr>
          <w:p w:rsidR="00673A97" w:rsidRPr="00E2771E" w:rsidRDefault="00673A97" w:rsidP="00323E7A">
            <w:pPr>
              <w:keepNext/>
              <w:widowControl/>
              <w:jc w:val="center"/>
              <w:rPr>
                <w:rFonts w:ascii="Arial Narrow" w:hAnsi="Arial Narrow"/>
                <w:b/>
                <w:color w:val="000000"/>
                <w:sz w:val="20"/>
                <w:szCs w:val="18"/>
              </w:rPr>
            </w:pPr>
            <w:r w:rsidRPr="00E2771E">
              <w:rPr>
                <w:rFonts w:ascii="Arial Narrow" w:hAnsi="Arial Narrow"/>
                <w:b/>
                <w:color w:val="000000"/>
                <w:sz w:val="20"/>
                <w:szCs w:val="18"/>
              </w:rPr>
              <w:t xml:space="preserve">Absolute </w:t>
            </w:r>
            <w:r w:rsidR="007951A8" w:rsidRPr="00E2771E">
              <w:rPr>
                <w:rFonts w:ascii="Arial Narrow" w:hAnsi="Arial Narrow"/>
                <w:b/>
                <w:color w:val="000000"/>
                <w:sz w:val="20"/>
                <w:szCs w:val="18"/>
              </w:rPr>
              <w:t>d</w:t>
            </w:r>
            <w:r w:rsidRPr="00E2771E">
              <w:rPr>
                <w:rFonts w:ascii="Arial Narrow" w:hAnsi="Arial Narrow"/>
                <w:b/>
                <w:color w:val="000000"/>
                <w:sz w:val="20"/>
                <w:szCs w:val="18"/>
              </w:rPr>
              <w:t>ifference</w:t>
            </w:r>
          </w:p>
        </w:tc>
        <w:tc>
          <w:tcPr>
            <w:tcW w:w="883" w:type="pct"/>
            <w:vAlign w:val="center"/>
          </w:tcPr>
          <w:p w:rsidR="00673A97" w:rsidRPr="00E2771E" w:rsidRDefault="00673A97" w:rsidP="00323E7A">
            <w:pPr>
              <w:keepNext/>
              <w:widowControl/>
              <w:jc w:val="center"/>
              <w:rPr>
                <w:rFonts w:ascii="Arial Narrow" w:hAnsi="Arial Narrow"/>
                <w:b/>
                <w:color w:val="000000"/>
                <w:sz w:val="20"/>
                <w:szCs w:val="18"/>
              </w:rPr>
            </w:pPr>
            <w:r w:rsidRPr="00E2771E">
              <w:rPr>
                <w:rFonts w:ascii="Arial Narrow" w:hAnsi="Arial Narrow"/>
                <w:b/>
                <w:color w:val="000000"/>
                <w:sz w:val="20"/>
                <w:szCs w:val="18"/>
              </w:rPr>
              <w:t>HR (95% CI)</w:t>
            </w:r>
          </w:p>
        </w:tc>
      </w:tr>
      <w:tr w:rsidR="00DA1C86" w:rsidRPr="00E2771E" w:rsidTr="00D13B16">
        <w:tc>
          <w:tcPr>
            <w:tcW w:w="1122" w:type="pct"/>
            <w:gridSpan w:val="2"/>
            <w:shd w:val="clear" w:color="auto" w:fill="auto"/>
          </w:tcPr>
          <w:p w:rsidR="00673A97" w:rsidRPr="00E2771E" w:rsidRDefault="00673A97" w:rsidP="00323E7A">
            <w:pPr>
              <w:keepNext/>
              <w:widowControl/>
              <w:rPr>
                <w:rFonts w:ascii="Arial Narrow" w:hAnsi="Arial Narrow"/>
                <w:color w:val="000000"/>
                <w:sz w:val="20"/>
                <w:szCs w:val="18"/>
              </w:rPr>
            </w:pPr>
            <w:r>
              <w:rPr>
                <w:rFonts w:ascii="Arial Narrow" w:hAnsi="Arial Narrow"/>
                <w:sz w:val="20"/>
              </w:rPr>
              <w:t>Death</w:t>
            </w:r>
          </w:p>
        </w:tc>
        <w:tc>
          <w:tcPr>
            <w:tcW w:w="917" w:type="pct"/>
            <w:gridSpan w:val="3"/>
          </w:tcPr>
          <w:p w:rsidR="00673A97" w:rsidRPr="00E2771E" w:rsidRDefault="00673A97" w:rsidP="00323E7A">
            <w:pPr>
              <w:keepNext/>
              <w:widowControl/>
              <w:jc w:val="center"/>
              <w:rPr>
                <w:rFonts w:ascii="Arial Narrow" w:hAnsi="Arial Narrow"/>
                <w:sz w:val="20"/>
              </w:rPr>
            </w:pPr>
            <w:r>
              <w:rPr>
                <w:rFonts w:ascii="Arial Narrow" w:hAnsi="Arial Narrow"/>
                <w:sz w:val="20"/>
              </w:rPr>
              <w:t>50/210 (23.8%)</w:t>
            </w:r>
          </w:p>
        </w:tc>
        <w:tc>
          <w:tcPr>
            <w:tcW w:w="899" w:type="pct"/>
            <w:gridSpan w:val="2"/>
          </w:tcPr>
          <w:p w:rsidR="00673A97" w:rsidRPr="00E2771E" w:rsidRDefault="00673A97" w:rsidP="00323E7A">
            <w:pPr>
              <w:keepNext/>
              <w:widowControl/>
              <w:jc w:val="center"/>
              <w:rPr>
                <w:rFonts w:ascii="Arial Narrow" w:hAnsi="Arial Narrow"/>
                <w:sz w:val="20"/>
              </w:rPr>
            </w:pPr>
            <w:r>
              <w:rPr>
                <w:rFonts w:ascii="Arial Narrow" w:hAnsi="Arial Narrow"/>
                <w:sz w:val="20"/>
              </w:rPr>
              <w:t>96/208 (46.2%)</w:t>
            </w:r>
          </w:p>
        </w:tc>
        <w:tc>
          <w:tcPr>
            <w:tcW w:w="1179" w:type="pct"/>
            <w:gridSpan w:val="3"/>
          </w:tcPr>
          <w:p w:rsidR="00673A97" w:rsidRPr="00E2771E" w:rsidRDefault="00673A97" w:rsidP="00323E7A">
            <w:pPr>
              <w:keepNext/>
              <w:widowControl/>
              <w:jc w:val="center"/>
              <w:rPr>
                <w:rFonts w:ascii="Arial Narrow" w:hAnsi="Arial Narrow"/>
                <w:color w:val="000000"/>
                <w:sz w:val="20"/>
                <w:szCs w:val="18"/>
              </w:rPr>
            </w:pPr>
            <w:r>
              <w:rPr>
                <w:rFonts w:ascii="Arial Narrow" w:hAnsi="Arial Narrow"/>
                <w:sz w:val="20"/>
              </w:rPr>
              <w:t>-</w:t>
            </w:r>
          </w:p>
        </w:tc>
        <w:tc>
          <w:tcPr>
            <w:tcW w:w="883" w:type="pct"/>
          </w:tcPr>
          <w:p w:rsidR="00673A97" w:rsidRPr="00E2771E" w:rsidRDefault="00673A97" w:rsidP="00323E7A">
            <w:pPr>
              <w:keepNext/>
              <w:widowControl/>
              <w:jc w:val="center"/>
              <w:rPr>
                <w:rFonts w:ascii="Arial Narrow" w:hAnsi="Arial Narrow"/>
                <w:sz w:val="20"/>
              </w:rPr>
            </w:pPr>
            <w:r>
              <w:rPr>
                <w:rFonts w:ascii="Arial Narrow" w:hAnsi="Arial Narrow"/>
                <w:sz w:val="20"/>
              </w:rPr>
              <w:t>0.42 (0.30, 0.60)</w:t>
            </w:r>
          </w:p>
        </w:tc>
      </w:tr>
      <w:tr w:rsidR="00DA1C86" w:rsidRPr="00E2771E" w:rsidTr="00D13B16">
        <w:tc>
          <w:tcPr>
            <w:tcW w:w="1122" w:type="pct"/>
            <w:gridSpan w:val="2"/>
            <w:shd w:val="clear" w:color="auto" w:fill="auto"/>
          </w:tcPr>
          <w:p w:rsidR="00673A97" w:rsidRPr="00E2771E" w:rsidRDefault="00673A97" w:rsidP="00323E7A">
            <w:pPr>
              <w:keepNext/>
              <w:widowControl/>
              <w:rPr>
                <w:rFonts w:ascii="Arial Narrow" w:hAnsi="Arial Narrow"/>
                <w:color w:val="000000"/>
                <w:sz w:val="20"/>
                <w:szCs w:val="18"/>
              </w:rPr>
            </w:pPr>
            <w:r>
              <w:rPr>
                <w:rFonts w:ascii="Arial Narrow" w:hAnsi="Arial Narrow"/>
                <w:sz w:val="20"/>
              </w:rPr>
              <w:t>OS median months</w:t>
            </w:r>
          </w:p>
        </w:tc>
        <w:tc>
          <w:tcPr>
            <w:tcW w:w="917" w:type="pct"/>
            <w:gridSpan w:val="3"/>
          </w:tcPr>
          <w:p w:rsidR="00673A97" w:rsidRPr="00E2771E" w:rsidRDefault="00673A97" w:rsidP="00323E7A">
            <w:pPr>
              <w:keepNext/>
              <w:widowControl/>
              <w:jc w:val="center"/>
              <w:rPr>
                <w:rFonts w:ascii="Arial Narrow" w:hAnsi="Arial Narrow"/>
                <w:sz w:val="20"/>
              </w:rPr>
            </w:pPr>
            <w:r>
              <w:rPr>
                <w:rFonts w:ascii="Arial Narrow" w:hAnsi="Arial Narrow"/>
                <w:sz w:val="20"/>
              </w:rPr>
              <w:t>NR</w:t>
            </w:r>
          </w:p>
        </w:tc>
        <w:tc>
          <w:tcPr>
            <w:tcW w:w="899" w:type="pct"/>
            <w:gridSpan w:val="2"/>
          </w:tcPr>
          <w:p w:rsidR="00673A97" w:rsidRPr="00E2771E" w:rsidRDefault="00673A97" w:rsidP="00323E7A">
            <w:pPr>
              <w:keepNext/>
              <w:widowControl/>
              <w:jc w:val="center"/>
              <w:rPr>
                <w:rFonts w:ascii="Arial Narrow" w:hAnsi="Arial Narrow"/>
                <w:sz w:val="20"/>
              </w:rPr>
            </w:pPr>
            <w:r>
              <w:rPr>
                <w:rFonts w:ascii="Arial Narrow" w:hAnsi="Arial Narrow"/>
                <w:sz w:val="20"/>
              </w:rPr>
              <w:t>10.84 (9.33, 12.09)</w:t>
            </w:r>
          </w:p>
        </w:tc>
        <w:tc>
          <w:tcPr>
            <w:tcW w:w="1179" w:type="pct"/>
            <w:gridSpan w:val="3"/>
          </w:tcPr>
          <w:p w:rsidR="00673A97" w:rsidRPr="00E2771E" w:rsidRDefault="00673A97" w:rsidP="00323E7A">
            <w:pPr>
              <w:keepNext/>
              <w:widowControl/>
              <w:jc w:val="center"/>
              <w:rPr>
                <w:rFonts w:ascii="Arial Narrow" w:hAnsi="Arial Narrow"/>
                <w:color w:val="000000"/>
                <w:sz w:val="20"/>
                <w:szCs w:val="18"/>
              </w:rPr>
            </w:pPr>
            <w:r>
              <w:rPr>
                <w:rFonts w:ascii="Arial Narrow" w:hAnsi="Arial Narrow"/>
                <w:sz w:val="20"/>
              </w:rPr>
              <w:t>-</w:t>
            </w:r>
          </w:p>
        </w:tc>
        <w:tc>
          <w:tcPr>
            <w:tcW w:w="883" w:type="pct"/>
          </w:tcPr>
          <w:p w:rsidR="00673A97" w:rsidRPr="00E2771E" w:rsidRDefault="00673A97" w:rsidP="00323E7A">
            <w:pPr>
              <w:keepNext/>
              <w:widowControl/>
              <w:jc w:val="center"/>
              <w:rPr>
                <w:rFonts w:ascii="Arial Narrow" w:hAnsi="Arial Narrow"/>
                <w:sz w:val="20"/>
              </w:rPr>
            </w:pPr>
            <w:r>
              <w:rPr>
                <w:rFonts w:ascii="Arial Narrow" w:hAnsi="Arial Narrow"/>
                <w:sz w:val="20"/>
              </w:rPr>
              <w:t>-</w:t>
            </w:r>
          </w:p>
        </w:tc>
      </w:tr>
      <w:tr w:rsidR="00673A97" w:rsidRPr="00E2771E" w:rsidTr="00FA6362">
        <w:tc>
          <w:tcPr>
            <w:tcW w:w="5000" w:type="pct"/>
            <w:gridSpan w:val="11"/>
            <w:shd w:val="clear" w:color="auto" w:fill="auto"/>
            <w:vAlign w:val="center"/>
          </w:tcPr>
          <w:p w:rsidR="00673A97" w:rsidRPr="00673A97" w:rsidRDefault="00673A97" w:rsidP="00323E7A">
            <w:pPr>
              <w:keepNext/>
              <w:widowControl/>
              <w:jc w:val="left"/>
              <w:rPr>
                <w:rFonts w:ascii="Arial Narrow" w:hAnsi="Arial Narrow"/>
                <w:b/>
                <w:sz w:val="20"/>
              </w:rPr>
            </w:pPr>
            <w:r>
              <w:rPr>
                <w:rFonts w:ascii="Arial Narrow" w:hAnsi="Arial Narrow"/>
                <w:b/>
                <w:sz w:val="20"/>
              </w:rPr>
              <w:t>OS - MDX010-20 - ipilimumab</w:t>
            </w:r>
          </w:p>
        </w:tc>
      </w:tr>
      <w:tr w:rsidR="00DA1C86" w:rsidRPr="00E2771E" w:rsidTr="00D13B16">
        <w:tc>
          <w:tcPr>
            <w:tcW w:w="1122" w:type="pct"/>
            <w:gridSpan w:val="2"/>
            <w:shd w:val="clear" w:color="auto" w:fill="auto"/>
            <w:vAlign w:val="center"/>
          </w:tcPr>
          <w:p w:rsidR="00673A97" w:rsidRPr="00E2771E" w:rsidRDefault="00673A97" w:rsidP="00323E7A">
            <w:pPr>
              <w:keepNext/>
              <w:widowControl/>
              <w:rPr>
                <w:rFonts w:ascii="Arial Narrow" w:hAnsi="Arial Narrow"/>
                <w:color w:val="000000"/>
                <w:sz w:val="20"/>
                <w:szCs w:val="18"/>
              </w:rPr>
            </w:pPr>
          </w:p>
        </w:tc>
        <w:tc>
          <w:tcPr>
            <w:tcW w:w="917" w:type="pct"/>
            <w:gridSpan w:val="3"/>
          </w:tcPr>
          <w:p w:rsidR="00673A97" w:rsidRPr="00E2771E" w:rsidRDefault="00673A97" w:rsidP="00323E7A">
            <w:pPr>
              <w:keepNext/>
              <w:widowControl/>
              <w:jc w:val="center"/>
              <w:rPr>
                <w:rFonts w:ascii="Arial Narrow" w:hAnsi="Arial Narrow"/>
                <w:sz w:val="20"/>
              </w:rPr>
            </w:pPr>
            <w:r w:rsidRPr="00CC3301">
              <w:rPr>
                <w:rFonts w:ascii="Arial Narrow" w:hAnsi="Arial Narrow"/>
                <w:b/>
                <w:sz w:val="20"/>
              </w:rPr>
              <w:t>Ipi n/N (%)</w:t>
            </w:r>
          </w:p>
        </w:tc>
        <w:tc>
          <w:tcPr>
            <w:tcW w:w="899" w:type="pct"/>
            <w:gridSpan w:val="2"/>
          </w:tcPr>
          <w:p w:rsidR="00673A97" w:rsidRPr="00E2771E" w:rsidRDefault="00673A97" w:rsidP="00323E7A">
            <w:pPr>
              <w:keepNext/>
              <w:widowControl/>
              <w:jc w:val="center"/>
              <w:rPr>
                <w:rFonts w:ascii="Arial Narrow" w:hAnsi="Arial Narrow"/>
                <w:sz w:val="20"/>
              </w:rPr>
            </w:pPr>
            <w:r w:rsidRPr="00CC3301">
              <w:rPr>
                <w:rFonts w:ascii="Arial Narrow" w:hAnsi="Arial Narrow"/>
                <w:b/>
                <w:sz w:val="20"/>
              </w:rPr>
              <w:t>gp100 n/N (%)</w:t>
            </w:r>
          </w:p>
        </w:tc>
        <w:tc>
          <w:tcPr>
            <w:tcW w:w="1179" w:type="pct"/>
            <w:gridSpan w:val="3"/>
            <w:vAlign w:val="center"/>
          </w:tcPr>
          <w:p w:rsidR="00673A97" w:rsidRPr="00E2771E" w:rsidRDefault="00673A97" w:rsidP="00323E7A">
            <w:pPr>
              <w:keepNext/>
              <w:widowControl/>
              <w:jc w:val="center"/>
              <w:rPr>
                <w:rFonts w:ascii="Arial Narrow" w:hAnsi="Arial Narrow"/>
                <w:color w:val="000000"/>
                <w:sz w:val="20"/>
                <w:szCs w:val="18"/>
              </w:rPr>
            </w:pPr>
          </w:p>
        </w:tc>
        <w:tc>
          <w:tcPr>
            <w:tcW w:w="883" w:type="pct"/>
            <w:vAlign w:val="center"/>
          </w:tcPr>
          <w:p w:rsidR="00673A97" w:rsidRPr="00E2771E" w:rsidRDefault="00673A97" w:rsidP="00323E7A">
            <w:pPr>
              <w:keepNext/>
              <w:widowControl/>
              <w:jc w:val="center"/>
              <w:rPr>
                <w:rFonts w:ascii="Arial Narrow" w:hAnsi="Arial Narrow"/>
                <w:sz w:val="20"/>
              </w:rPr>
            </w:pPr>
          </w:p>
        </w:tc>
      </w:tr>
      <w:tr w:rsidR="00DA1C86" w:rsidRPr="00E2771E" w:rsidTr="00D13B16">
        <w:tc>
          <w:tcPr>
            <w:tcW w:w="1122" w:type="pct"/>
            <w:gridSpan w:val="2"/>
            <w:shd w:val="clear" w:color="auto" w:fill="auto"/>
          </w:tcPr>
          <w:p w:rsidR="00673A97" w:rsidRPr="00E2771E" w:rsidRDefault="00673A97" w:rsidP="00323E7A">
            <w:pPr>
              <w:keepNext/>
              <w:widowControl/>
              <w:rPr>
                <w:rFonts w:ascii="Arial Narrow" w:hAnsi="Arial Narrow"/>
                <w:color w:val="000000"/>
                <w:sz w:val="20"/>
                <w:szCs w:val="18"/>
              </w:rPr>
            </w:pPr>
            <w:r>
              <w:rPr>
                <w:rFonts w:ascii="Arial Narrow" w:hAnsi="Arial Narrow"/>
                <w:sz w:val="20"/>
              </w:rPr>
              <w:t>Death</w:t>
            </w:r>
          </w:p>
        </w:tc>
        <w:tc>
          <w:tcPr>
            <w:tcW w:w="917" w:type="pct"/>
            <w:gridSpan w:val="3"/>
          </w:tcPr>
          <w:p w:rsidR="00673A97" w:rsidRPr="00E2771E" w:rsidRDefault="00673A97" w:rsidP="00323E7A">
            <w:pPr>
              <w:keepNext/>
              <w:widowControl/>
              <w:jc w:val="center"/>
              <w:rPr>
                <w:rFonts w:ascii="Arial Narrow" w:hAnsi="Arial Narrow"/>
                <w:sz w:val="20"/>
              </w:rPr>
            </w:pPr>
            <w:r>
              <w:rPr>
                <w:rFonts w:ascii="Arial Narrow" w:hAnsi="Arial Narrow"/>
                <w:sz w:val="20"/>
              </w:rPr>
              <w:t>100/137 (73.0%)</w:t>
            </w:r>
          </w:p>
        </w:tc>
        <w:tc>
          <w:tcPr>
            <w:tcW w:w="899" w:type="pct"/>
            <w:gridSpan w:val="2"/>
          </w:tcPr>
          <w:p w:rsidR="00673A97" w:rsidRPr="00E2771E" w:rsidRDefault="00673A97" w:rsidP="00323E7A">
            <w:pPr>
              <w:keepNext/>
              <w:widowControl/>
              <w:jc w:val="center"/>
              <w:rPr>
                <w:rFonts w:ascii="Arial Narrow" w:hAnsi="Arial Narrow"/>
                <w:sz w:val="20"/>
              </w:rPr>
            </w:pPr>
            <w:r>
              <w:rPr>
                <w:rFonts w:ascii="Arial Narrow" w:hAnsi="Arial Narrow"/>
                <w:sz w:val="20"/>
              </w:rPr>
              <w:t>119/136 (87.5%)</w:t>
            </w:r>
          </w:p>
        </w:tc>
        <w:tc>
          <w:tcPr>
            <w:tcW w:w="1179" w:type="pct"/>
            <w:gridSpan w:val="3"/>
          </w:tcPr>
          <w:p w:rsidR="00673A97" w:rsidRPr="00E2771E" w:rsidRDefault="00673A97" w:rsidP="00323E7A">
            <w:pPr>
              <w:keepNext/>
              <w:widowControl/>
              <w:jc w:val="center"/>
              <w:rPr>
                <w:rFonts w:ascii="Arial Narrow" w:hAnsi="Arial Narrow"/>
                <w:color w:val="000000"/>
                <w:sz w:val="20"/>
                <w:szCs w:val="18"/>
              </w:rPr>
            </w:pPr>
            <w:r>
              <w:rPr>
                <w:rFonts w:ascii="Arial Narrow" w:hAnsi="Arial Narrow"/>
                <w:sz w:val="20"/>
              </w:rPr>
              <w:t>-</w:t>
            </w:r>
          </w:p>
        </w:tc>
        <w:tc>
          <w:tcPr>
            <w:tcW w:w="883" w:type="pct"/>
          </w:tcPr>
          <w:p w:rsidR="00673A97" w:rsidRPr="00E2771E" w:rsidRDefault="00673A97" w:rsidP="00323E7A">
            <w:pPr>
              <w:keepNext/>
              <w:widowControl/>
              <w:jc w:val="center"/>
              <w:rPr>
                <w:rFonts w:ascii="Arial Narrow" w:hAnsi="Arial Narrow"/>
                <w:sz w:val="20"/>
              </w:rPr>
            </w:pPr>
            <w:r>
              <w:rPr>
                <w:rFonts w:ascii="Arial Narrow" w:hAnsi="Arial Narrow"/>
                <w:sz w:val="20"/>
              </w:rPr>
              <w:t>0.66 (0.51, 0.87)</w:t>
            </w:r>
          </w:p>
        </w:tc>
      </w:tr>
      <w:tr w:rsidR="00DA1C86" w:rsidRPr="00E2771E" w:rsidTr="00D13B16">
        <w:tc>
          <w:tcPr>
            <w:tcW w:w="1122" w:type="pct"/>
            <w:gridSpan w:val="2"/>
            <w:shd w:val="clear" w:color="auto" w:fill="auto"/>
          </w:tcPr>
          <w:p w:rsidR="00673A97" w:rsidRPr="00E2771E" w:rsidRDefault="00673A97" w:rsidP="00323E7A">
            <w:pPr>
              <w:keepNext/>
              <w:widowControl/>
              <w:rPr>
                <w:rFonts w:ascii="Arial Narrow" w:hAnsi="Arial Narrow"/>
                <w:color w:val="000000"/>
                <w:sz w:val="20"/>
                <w:szCs w:val="18"/>
              </w:rPr>
            </w:pPr>
            <w:r>
              <w:rPr>
                <w:rFonts w:ascii="Arial Narrow" w:hAnsi="Arial Narrow"/>
                <w:sz w:val="20"/>
              </w:rPr>
              <w:t>OS median months</w:t>
            </w:r>
          </w:p>
        </w:tc>
        <w:tc>
          <w:tcPr>
            <w:tcW w:w="917" w:type="pct"/>
            <w:gridSpan w:val="3"/>
          </w:tcPr>
          <w:p w:rsidR="00673A97" w:rsidRPr="00E2771E" w:rsidRDefault="00673A97" w:rsidP="00323E7A">
            <w:pPr>
              <w:keepNext/>
              <w:widowControl/>
              <w:jc w:val="center"/>
              <w:rPr>
                <w:rFonts w:ascii="Arial Narrow" w:hAnsi="Arial Narrow"/>
                <w:sz w:val="20"/>
              </w:rPr>
            </w:pPr>
            <w:r>
              <w:rPr>
                <w:rFonts w:ascii="Arial Narrow" w:hAnsi="Arial Narrow"/>
                <w:sz w:val="20"/>
              </w:rPr>
              <w:t>10.12 (8.02, 13.80)</w:t>
            </w:r>
          </w:p>
        </w:tc>
        <w:tc>
          <w:tcPr>
            <w:tcW w:w="899" w:type="pct"/>
            <w:gridSpan w:val="2"/>
          </w:tcPr>
          <w:p w:rsidR="00673A97" w:rsidRPr="00E2771E" w:rsidRDefault="00673A97" w:rsidP="00323E7A">
            <w:pPr>
              <w:keepNext/>
              <w:widowControl/>
              <w:jc w:val="center"/>
              <w:rPr>
                <w:rFonts w:ascii="Arial Narrow" w:hAnsi="Arial Narrow"/>
                <w:sz w:val="20"/>
              </w:rPr>
            </w:pPr>
            <w:r>
              <w:rPr>
                <w:rFonts w:ascii="Arial Narrow" w:hAnsi="Arial Narrow"/>
                <w:sz w:val="20"/>
              </w:rPr>
              <w:t>6.44 (5.49, 8.71)</w:t>
            </w:r>
          </w:p>
        </w:tc>
        <w:tc>
          <w:tcPr>
            <w:tcW w:w="1179" w:type="pct"/>
            <w:gridSpan w:val="3"/>
          </w:tcPr>
          <w:p w:rsidR="00673A97" w:rsidRPr="00E2771E" w:rsidRDefault="00673A97" w:rsidP="00323E7A">
            <w:pPr>
              <w:keepNext/>
              <w:widowControl/>
              <w:jc w:val="center"/>
              <w:rPr>
                <w:rFonts w:ascii="Arial Narrow" w:hAnsi="Arial Narrow"/>
                <w:color w:val="000000"/>
                <w:sz w:val="20"/>
                <w:szCs w:val="18"/>
              </w:rPr>
            </w:pPr>
            <w:r>
              <w:rPr>
                <w:rFonts w:ascii="Arial Narrow" w:hAnsi="Arial Narrow"/>
                <w:sz w:val="20"/>
              </w:rPr>
              <w:t>3.68</w:t>
            </w:r>
          </w:p>
        </w:tc>
        <w:tc>
          <w:tcPr>
            <w:tcW w:w="883" w:type="pct"/>
          </w:tcPr>
          <w:p w:rsidR="00673A97" w:rsidRPr="00E2771E" w:rsidRDefault="00673A97" w:rsidP="00323E7A">
            <w:pPr>
              <w:keepNext/>
              <w:widowControl/>
              <w:jc w:val="center"/>
              <w:rPr>
                <w:rFonts w:ascii="Arial Narrow" w:hAnsi="Arial Narrow"/>
                <w:sz w:val="20"/>
              </w:rPr>
            </w:pPr>
            <w:r>
              <w:rPr>
                <w:rFonts w:ascii="Arial Narrow" w:hAnsi="Arial Narrow"/>
                <w:sz w:val="20"/>
              </w:rPr>
              <w:t>-</w:t>
            </w:r>
          </w:p>
        </w:tc>
      </w:tr>
      <w:tr w:rsidR="00673A97" w:rsidRPr="00E2771E" w:rsidTr="00FA6362">
        <w:tc>
          <w:tcPr>
            <w:tcW w:w="4117" w:type="pct"/>
            <w:gridSpan w:val="10"/>
            <w:shd w:val="clear" w:color="auto" w:fill="auto"/>
            <w:vAlign w:val="center"/>
          </w:tcPr>
          <w:p w:rsidR="00673A97" w:rsidRPr="00673A97" w:rsidRDefault="00673A97" w:rsidP="00323E7A">
            <w:pPr>
              <w:keepNext/>
              <w:widowControl/>
              <w:jc w:val="left"/>
              <w:rPr>
                <w:rFonts w:ascii="Arial Narrow" w:hAnsi="Arial Narrow"/>
                <w:b/>
                <w:color w:val="000000"/>
                <w:sz w:val="20"/>
                <w:szCs w:val="18"/>
              </w:rPr>
            </w:pPr>
            <w:r>
              <w:rPr>
                <w:rFonts w:ascii="Arial Narrow" w:hAnsi="Arial Narrow"/>
                <w:b/>
                <w:sz w:val="20"/>
              </w:rPr>
              <w:t xml:space="preserve">Indirect comparison </w:t>
            </w:r>
            <w:r w:rsidR="00E25432">
              <w:rPr>
                <w:rFonts w:ascii="Arial Narrow" w:hAnsi="Arial Narrow"/>
                <w:b/>
                <w:sz w:val="20"/>
              </w:rPr>
              <w:t>OS</w:t>
            </w:r>
            <w:r>
              <w:rPr>
                <w:rFonts w:ascii="Arial Narrow" w:hAnsi="Arial Narrow"/>
                <w:b/>
                <w:sz w:val="20"/>
              </w:rPr>
              <w:t xml:space="preserve"> – nivo vs. ipi</w:t>
            </w:r>
          </w:p>
        </w:tc>
        <w:tc>
          <w:tcPr>
            <w:tcW w:w="883" w:type="pct"/>
            <w:vAlign w:val="center"/>
          </w:tcPr>
          <w:p w:rsidR="00673A97" w:rsidRPr="00E2771E" w:rsidRDefault="00673A97" w:rsidP="00323E7A">
            <w:pPr>
              <w:keepNext/>
              <w:widowControl/>
              <w:jc w:val="center"/>
              <w:rPr>
                <w:rFonts w:ascii="Arial Narrow" w:hAnsi="Arial Narrow"/>
                <w:sz w:val="20"/>
              </w:rPr>
            </w:pPr>
            <w:r w:rsidRPr="00DC2AA1">
              <w:rPr>
                <w:rFonts w:ascii="Arial Narrow" w:hAnsi="Arial Narrow"/>
                <w:b/>
                <w:sz w:val="20"/>
              </w:rPr>
              <w:t>0.64 (0.41, 0.99)</w:t>
            </w:r>
          </w:p>
        </w:tc>
      </w:tr>
      <w:tr w:rsidR="00673A97" w:rsidRPr="00E2771E" w:rsidTr="00FA6362">
        <w:tc>
          <w:tcPr>
            <w:tcW w:w="5000" w:type="pct"/>
            <w:gridSpan w:val="11"/>
            <w:shd w:val="clear" w:color="auto" w:fill="auto"/>
            <w:vAlign w:val="center"/>
          </w:tcPr>
          <w:p w:rsidR="00673A97" w:rsidRPr="00673A97" w:rsidRDefault="00E25432" w:rsidP="00323E7A">
            <w:pPr>
              <w:keepNext/>
              <w:widowControl/>
              <w:jc w:val="left"/>
              <w:rPr>
                <w:rFonts w:ascii="Arial Narrow" w:hAnsi="Arial Narrow"/>
                <w:b/>
                <w:sz w:val="20"/>
              </w:rPr>
            </w:pPr>
            <w:r>
              <w:rPr>
                <w:rFonts w:ascii="Arial Narrow" w:hAnsi="Arial Narrow"/>
                <w:b/>
                <w:sz w:val="20"/>
              </w:rPr>
              <w:t>PFS</w:t>
            </w:r>
            <w:r w:rsidR="00673A97">
              <w:rPr>
                <w:rFonts w:ascii="Arial Narrow" w:hAnsi="Arial Narrow"/>
                <w:b/>
                <w:sz w:val="20"/>
              </w:rPr>
              <w:t xml:space="preserve"> - </w:t>
            </w:r>
            <w:r w:rsidR="00673A97" w:rsidRPr="00D7126A">
              <w:rPr>
                <w:rFonts w:ascii="Arial Narrow" w:hAnsi="Arial Narrow"/>
                <w:b/>
                <w:sz w:val="20"/>
              </w:rPr>
              <w:t>CA209-066 nivo</w:t>
            </w:r>
            <w:r w:rsidR="00673A97">
              <w:rPr>
                <w:rFonts w:ascii="Arial Narrow" w:hAnsi="Arial Narrow"/>
                <w:b/>
                <w:sz w:val="20"/>
              </w:rPr>
              <w:t>lumab</w:t>
            </w:r>
          </w:p>
        </w:tc>
      </w:tr>
      <w:tr w:rsidR="00DA1C86" w:rsidRPr="00E2771E" w:rsidTr="00D13B16">
        <w:tc>
          <w:tcPr>
            <w:tcW w:w="1122" w:type="pct"/>
            <w:gridSpan w:val="2"/>
            <w:shd w:val="clear" w:color="auto" w:fill="auto"/>
            <w:vAlign w:val="center"/>
          </w:tcPr>
          <w:p w:rsidR="00673A97" w:rsidRPr="00E2771E" w:rsidRDefault="00673A97" w:rsidP="00323E7A">
            <w:pPr>
              <w:keepNext/>
              <w:widowControl/>
              <w:rPr>
                <w:rFonts w:ascii="Arial Narrow" w:hAnsi="Arial Narrow"/>
                <w:color w:val="000000"/>
                <w:sz w:val="20"/>
                <w:szCs w:val="18"/>
              </w:rPr>
            </w:pPr>
          </w:p>
        </w:tc>
        <w:tc>
          <w:tcPr>
            <w:tcW w:w="917" w:type="pct"/>
            <w:gridSpan w:val="3"/>
          </w:tcPr>
          <w:p w:rsidR="00673A97" w:rsidRPr="00E2771E" w:rsidRDefault="00673A97" w:rsidP="00323E7A">
            <w:pPr>
              <w:keepNext/>
              <w:widowControl/>
              <w:jc w:val="center"/>
              <w:rPr>
                <w:rFonts w:ascii="Arial Narrow" w:hAnsi="Arial Narrow"/>
                <w:sz w:val="20"/>
              </w:rPr>
            </w:pPr>
            <w:r>
              <w:rPr>
                <w:rFonts w:ascii="Arial Narrow" w:hAnsi="Arial Narrow"/>
                <w:b/>
                <w:sz w:val="20"/>
              </w:rPr>
              <w:t>Nivo n/N (%)</w:t>
            </w:r>
          </w:p>
        </w:tc>
        <w:tc>
          <w:tcPr>
            <w:tcW w:w="899" w:type="pct"/>
            <w:gridSpan w:val="2"/>
          </w:tcPr>
          <w:p w:rsidR="00673A97" w:rsidRPr="00E2771E" w:rsidRDefault="00673A97" w:rsidP="00323E7A">
            <w:pPr>
              <w:keepNext/>
              <w:widowControl/>
              <w:jc w:val="center"/>
              <w:rPr>
                <w:rFonts w:ascii="Arial Narrow" w:hAnsi="Arial Narrow"/>
                <w:sz w:val="20"/>
              </w:rPr>
            </w:pPr>
            <w:r>
              <w:rPr>
                <w:rFonts w:ascii="Arial Narrow" w:hAnsi="Arial Narrow"/>
                <w:b/>
                <w:sz w:val="20"/>
              </w:rPr>
              <w:t>DTIC n/N (%)</w:t>
            </w:r>
          </w:p>
        </w:tc>
        <w:tc>
          <w:tcPr>
            <w:tcW w:w="1179" w:type="pct"/>
            <w:gridSpan w:val="3"/>
            <w:vAlign w:val="center"/>
          </w:tcPr>
          <w:p w:rsidR="00673A97" w:rsidRPr="00E2771E" w:rsidRDefault="00673A97" w:rsidP="00323E7A">
            <w:pPr>
              <w:keepNext/>
              <w:widowControl/>
              <w:jc w:val="center"/>
              <w:rPr>
                <w:rFonts w:ascii="Arial Narrow" w:hAnsi="Arial Narrow"/>
                <w:color w:val="000000"/>
                <w:sz w:val="20"/>
                <w:szCs w:val="18"/>
              </w:rPr>
            </w:pPr>
          </w:p>
        </w:tc>
        <w:tc>
          <w:tcPr>
            <w:tcW w:w="883" w:type="pct"/>
            <w:vAlign w:val="center"/>
          </w:tcPr>
          <w:p w:rsidR="00673A97" w:rsidRPr="00E2771E" w:rsidRDefault="00673A97" w:rsidP="00323E7A">
            <w:pPr>
              <w:keepNext/>
              <w:widowControl/>
              <w:jc w:val="center"/>
              <w:rPr>
                <w:rFonts w:ascii="Arial Narrow" w:hAnsi="Arial Narrow"/>
                <w:sz w:val="20"/>
              </w:rPr>
            </w:pPr>
          </w:p>
        </w:tc>
      </w:tr>
      <w:tr w:rsidR="00DA1C86" w:rsidRPr="00E2771E" w:rsidTr="00D13B16">
        <w:tc>
          <w:tcPr>
            <w:tcW w:w="1122" w:type="pct"/>
            <w:gridSpan w:val="2"/>
            <w:shd w:val="clear" w:color="auto" w:fill="auto"/>
          </w:tcPr>
          <w:p w:rsidR="00673A97" w:rsidRPr="00E2771E" w:rsidRDefault="00673A97" w:rsidP="00323E7A">
            <w:pPr>
              <w:keepNext/>
              <w:widowControl/>
              <w:rPr>
                <w:rFonts w:ascii="Arial Narrow" w:hAnsi="Arial Narrow"/>
                <w:color w:val="000000"/>
                <w:sz w:val="20"/>
                <w:szCs w:val="18"/>
              </w:rPr>
            </w:pPr>
            <w:r>
              <w:rPr>
                <w:rFonts w:ascii="Arial Narrow" w:hAnsi="Arial Narrow"/>
                <w:sz w:val="20"/>
              </w:rPr>
              <w:t>Progressed</w:t>
            </w:r>
          </w:p>
        </w:tc>
        <w:tc>
          <w:tcPr>
            <w:tcW w:w="917" w:type="pct"/>
            <w:gridSpan w:val="3"/>
          </w:tcPr>
          <w:p w:rsidR="00673A97" w:rsidRPr="00E2771E" w:rsidRDefault="00673A97" w:rsidP="00323E7A">
            <w:pPr>
              <w:keepNext/>
              <w:widowControl/>
              <w:jc w:val="center"/>
              <w:rPr>
                <w:rFonts w:ascii="Arial Narrow" w:hAnsi="Arial Narrow"/>
                <w:sz w:val="20"/>
              </w:rPr>
            </w:pPr>
            <w:r>
              <w:rPr>
                <w:rFonts w:ascii="Arial Narrow" w:hAnsi="Arial Narrow"/>
                <w:sz w:val="20"/>
              </w:rPr>
              <w:t>108/210 (51.4%)</w:t>
            </w:r>
          </w:p>
        </w:tc>
        <w:tc>
          <w:tcPr>
            <w:tcW w:w="899" w:type="pct"/>
            <w:gridSpan w:val="2"/>
          </w:tcPr>
          <w:p w:rsidR="00673A97" w:rsidRPr="00E2771E" w:rsidRDefault="00673A97" w:rsidP="00323E7A">
            <w:pPr>
              <w:keepNext/>
              <w:widowControl/>
              <w:jc w:val="center"/>
              <w:rPr>
                <w:rFonts w:ascii="Arial Narrow" w:hAnsi="Arial Narrow"/>
                <w:sz w:val="20"/>
              </w:rPr>
            </w:pPr>
            <w:r>
              <w:rPr>
                <w:rFonts w:ascii="Arial Narrow" w:hAnsi="Arial Narrow"/>
                <w:sz w:val="20"/>
              </w:rPr>
              <w:t>163/208 (78.4%)</w:t>
            </w:r>
          </w:p>
        </w:tc>
        <w:tc>
          <w:tcPr>
            <w:tcW w:w="1179" w:type="pct"/>
            <w:gridSpan w:val="3"/>
          </w:tcPr>
          <w:p w:rsidR="00673A97" w:rsidRPr="00E2771E" w:rsidRDefault="00673A97" w:rsidP="00323E7A">
            <w:pPr>
              <w:keepNext/>
              <w:widowControl/>
              <w:jc w:val="center"/>
              <w:rPr>
                <w:rFonts w:ascii="Arial Narrow" w:hAnsi="Arial Narrow"/>
                <w:color w:val="000000"/>
                <w:sz w:val="20"/>
                <w:szCs w:val="18"/>
              </w:rPr>
            </w:pPr>
            <w:r>
              <w:rPr>
                <w:rFonts w:ascii="Arial Narrow" w:hAnsi="Arial Narrow"/>
                <w:sz w:val="20"/>
              </w:rPr>
              <w:t>-</w:t>
            </w:r>
          </w:p>
        </w:tc>
        <w:tc>
          <w:tcPr>
            <w:tcW w:w="883" w:type="pct"/>
          </w:tcPr>
          <w:p w:rsidR="00673A97" w:rsidRPr="00E2771E" w:rsidRDefault="00673A97" w:rsidP="00323E7A">
            <w:pPr>
              <w:keepNext/>
              <w:widowControl/>
              <w:jc w:val="center"/>
              <w:rPr>
                <w:rFonts w:ascii="Arial Narrow" w:hAnsi="Arial Narrow"/>
                <w:sz w:val="20"/>
              </w:rPr>
            </w:pPr>
            <w:r>
              <w:rPr>
                <w:rFonts w:ascii="Arial Narrow" w:hAnsi="Arial Narrow"/>
                <w:sz w:val="20"/>
              </w:rPr>
              <w:t>0.43 (0.34, 0.56)</w:t>
            </w:r>
          </w:p>
        </w:tc>
      </w:tr>
      <w:tr w:rsidR="00DA1C86" w:rsidRPr="00E2771E" w:rsidTr="00D13B16">
        <w:tc>
          <w:tcPr>
            <w:tcW w:w="1122" w:type="pct"/>
            <w:gridSpan w:val="2"/>
            <w:shd w:val="clear" w:color="auto" w:fill="auto"/>
          </w:tcPr>
          <w:p w:rsidR="00673A97" w:rsidRPr="00E2771E" w:rsidRDefault="00673A97" w:rsidP="00323E7A">
            <w:pPr>
              <w:keepNext/>
              <w:widowControl/>
              <w:rPr>
                <w:rFonts w:ascii="Arial Narrow" w:hAnsi="Arial Narrow"/>
                <w:color w:val="000000"/>
                <w:sz w:val="20"/>
                <w:szCs w:val="18"/>
              </w:rPr>
            </w:pPr>
            <w:r>
              <w:rPr>
                <w:rFonts w:ascii="Arial Narrow" w:hAnsi="Arial Narrow"/>
                <w:sz w:val="20"/>
              </w:rPr>
              <w:t>PFS median months</w:t>
            </w:r>
          </w:p>
        </w:tc>
        <w:tc>
          <w:tcPr>
            <w:tcW w:w="917" w:type="pct"/>
            <w:gridSpan w:val="3"/>
          </w:tcPr>
          <w:p w:rsidR="00673A97" w:rsidRPr="00E2771E" w:rsidRDefault="00673A97" w:rsidP="00323E7A">
            <w:pPr>
              <w:keepNext/>
              <w:widowControl/>
              <w:jc w:val="center"/>
              <w:rPr>
                <w:rFonts w:ascii="Arial Narrow" w:hAnsi="Arial Narrow"/>
                <w:sz w:val="20"/>
              </w:rPr>
            </w:pPr>
            <w:r>
              <w:rPr>
                <w:rFonts w:ascii="Arial Narrow" w:hAnsi="Arial Narrow"/>
                <w:sz w:val="20"/>
              </w:rPr>
              <w:t>5.06 (3.48, 10.81)</w:t>
            </w:r>
          </w:p>
        </w:tc>
        <w:tc>
          <w:tcPr>
            <w:tcW w:w="899" w:type="pct"/>
            <w:gridSpan w:val="2"/>
          </w:tcPr>
          <w:p w:rsidR="00673A97" w:rsidRPr="00E2771E" w:rsidRDefault="00673A97" w:rsidP="00323E7A">
            <w:pPr>
              <w:keepNext/>
              <w:widowControl/>
              <w:jc w:val="center"/>
              <w:rPr>
                <w:rFonts w:ascii="Arial Narrow" w:hAnsi="Arial Narrow"/>
                <w:sz w:val="20"/>
              </w:rPr>
            </w:pPr>
            <w:r>
              <w:rPr>
                <w:rFonts w:ascii="Arial Narrow" w:hAnsi="Arial Narrow"/>
                <w:sz w:val="20"/>
              </w:rPr>
              <w:t>2.17 (2.10, 2.40)</w:t>
            </w:r>
          </w:p>
        </w:tc>
        <w:tc>
          <w:tcPr>
            <w:tcW w:w="1179" w:type="pct"/>
            <w:gridSpan w:val="3"/>
          </w:tcPr>
          <w:p w:rsidR="00673A97" w:rsidRPr="00E2771E" w:rsidRDefault="00673A97" w:rsidP="00323E7A">
            <w:pPr>
              <w:keepNext/>
              <w:widowControl/>
              <w:jc w:val="center"/>
              <w:rPr>
                <w:rFonts w:ascii="Arial Narrow" w:hAnsi="Arial Narrow"/>
                <w:color w:val="000000"/>
                <w:sz w:val="20"/>
                <w:szCs w:val="18"/>
              </w:rPr>
            </w:pPr>
            <w:r>
              <w:rPr>
                <w:rFonts w:ascii="Arial Narrow" w:hAnsi="Arial Narrow"/>
                <w:sz w:val="20"/>
              </w:rPr>
              <w:t>2.89</w:t>
            </w:r>
          </w:p>
        </w:tc>
        <w:tc>
          <w:tcPr>
            <w:tcW w:w="883" w:type="pct"/>
          </w:tcPr>
          <w:p w:rsidR="00673A97" w:rsidRPr="00E2771E" w:rsidRDefault="00673A97" w:rsidP="00323E7A">
            <w:pPr>
              <w:keepNext/>
              <w:widowControl/>
              <w:jc w:val="center"/>
              <w:rPr>
                <w:rFonts w:ascii="Arial Narrow" w:hAnsi="Arial Narrow"/>
                <w:sz w:val="20"/>
              </w:rPr>
            </w:pPr>
            <w:r>
              <w:rPr>
                <w:rFonts w:ascii="Arial Narrow" w:hAnsi="Arial Narrow"/>
                <w:sz w:val="20"/>
              </w:rPr>
              <w:t>-</w:t>
            </w:r>
          </w:p>
        </w:tc>
      </w:tr>
      <w:tr w:rsidR="00673A97" w:rsidRPr="00E2771E" w:rsidTr="00FA6362">
        <w:tc>
          <w:tcPr>
            <w:tcW w:w="5000" w:type="pct"/>
            <w:gridSpan w:val="11"/>
            <w:shd w:val="clear" w:color="auto" w:fill="auto"/>
            <w:vAlign w:val="center"/>
          </w:tcPr>
          <w:p w:rsidR="00673A97" w:rsidRPr="00673A97" w:rsidRDefault="00E25432" w:rsidP="00323E7A">
            <w:pPr>
              <w:keepNext/>
              <w:widowControl/>
              <w:jc w:val="left"/>
              <w:rPr>
                <w:rFonts w:ascii="Arial Narrow" w:hAnsi="Arial Narrow"/>
                <w:b/>
                <w:sz w:val="20"/>
              </w:rPr>
            </w:pPr>
            <w:r>
              <w:rPr>
                <w:rFonts w:ascii="Arial Narrow" w:hAnsi="Arial Narrow"/>
                <w:b/>
                <w:sz w:val="20"/>
              </w:rPr>
              <w:t>PFS</w:t>
            </w:r>
            <w:r w:rsidR="00673A97">
              <w:rPr>
                <w:rFonts w:ascii="Arial Narrow" w:hAnsi="Arial Narrow"/>
                <w:b/>
                <w:sz w:val="20"/>
              </w:rPr>
              <w:t xml:space="preserve"> - MDX010-20 - ipilimumab</w:t>
            </w:r>
          </w:p>
        </w:tc>
      </w:tr>
      <w:tr w:rsidR="00DA1C86" w:rsidRPr="00E2771E" w:rsidTr="00D13B16">
        <w:tc>
          <w:tcPr>
            <w:tcW w:w="1122" w:type="pct"/>
            <w:gridSpan w:val="2"/>
            <w:shd w:val="clear" w:color="auto" w:fill="auto"/>
            <w:vAlign w:val="center"/>
          </w:tcPr>
          <w:p w:rsidR="00673A97" w:rsidRPr="00E2771E" w:rsidRDefault="00673A97" w:rsidP="00323E7A">
            <w:pPr>
              <w:keepNext/>
              <w:widowControl/>
              <w:rPr>
                <w:rFonts w:ascii="Arial Narrow" w:hAnsi="Arial Narrow"/>
                <w:color w:val="000000"/>
                <w:sz w:val="20"/>
                <w:szCs w:val="18"/>
              </w:rPr>
            </w:pPr>
          </w:p>
        </w:tc>
        <w:tc>
          <w:tcPr>
            <w:tcW w:w="917" w:type="pct"/>
            <w:gridSpan w:val="3"/>
          </w:tcPr>
          <w:p w:rsidR="00673A97" w:rsidRPr="00E2771E" w:rsidRDefault="00673A97" w:rsidP="00323E7A">
            <w:pPr>
              <w:keepNext/>
              <w:widowControl/>
              <w:jc w:val="center"/>
              <w:rPr>
                <w:rFonts w:ascii="Arial Narrow" w:hAnsi="Arial Narrow"/>
                <w:sz w:val="20"/>
              </w:rPr>
            </w:pPr>
            <w:r w:rsidRPr="00CC3301">
              <w:rPr>
                <w:rFonts w:ascii="Arial Narrow" w:hAnsi="Arial Narrow"/>
                <w:b/>
                <w:sz w:val="20"/>
              </w:rPr>
              <w:t>Ipi n/N (%)</w:t>
            </w:r>
          </w:p>
        </w:tc>
        <w:tc>
          <w:tcPr>
            <w:tcW w:w="899" w:type="pct"/>
            <w:gridSpan w:val="2"/>
          </w:tcPr>
          <w:p w:rsidR="00673A97" w:rsidRPr="00E2771E" w:rsidRDefault="00673A97" w:rsidP="00323E7A">
            <w:pPr>
              <w:keepNext/>
              <w:widowControl/>
              <w:jc w:val="center"/>
              <w:rPr>
                <w:rFonts w:ascii="Arial Narrow" w:hAnsi="Arial Narrow"/>
                <w:sz w:val="20"/>
              </w:rPr>
            </w:pPr>
            <w:r w:rsidRPr="00CC3301">
              <w:rPr>
                <w:rFonts w:ascii="Arial Narrow" w:hAnsi="Arial Narrow"/>
                <w:b/>
                <w:sz w:val="20"/>
              </w:rPr>
              <w:t>gp100 n/N (%)</w:t>
            </w:r>
          </w:p>
        </w:tc>
        <w:tc>
          <w:tcPr>
            <w:tcW w:w="1179" w:type="pct"/>
            <w:gridSpan w:val="3"/>
            <w:vAlign w:val="center"/>
          </w:tcPr>
          <w:p w:rsidR="00673A97" w:rsidRPr="00E2771E" w:rsidRDefault="00673A97" w:rsidP="00323E7A">
            <w:pPr>
              <w:keepNext/>
              <w:widowControl/>
              <w:jc w:val="center"/>
              <w:rPr>
                <w:rFonts w:ascii="Arial Narrow" w:hAnsi="Arial Narrow"/>
                <w:color w:val="000000"/>
                <w:sz w:val="20"/>
                <w:szCs w:val="18"/>
              </w:rPr>
            </w:pPr>
          </w:p>
        </w:tc>
        <w:tc>
          <w:tcPr>
            <w:tcW w:w="883" w:type="pct"/>
            <w:vAlign w:val="center"/>
          </w:tcPr>
          <w:p w:rsidR="00673A97" w:rsidRPr="00E2771E" w:rsidRDefault="00673A97" w:rsidP="00323E7A">
            <w:pPr>
              <w:keepNext/>
              <w:widowControl/>
              <w:jc w:val="center"/>
              <w:rPr>
                <w:rFonts w:ascii="Arial Narrow" w:hAnsi="Arial Narrow"/>
                <w:sz w:val="20"/>
              </w:rPr>
            </w:pPr>
          </w:p>
        </w:tc>
      </w:tr>
      <w:tr w:rsidR="00DA1C86" w:rsidRPr="00E2771E" w:rsidTr="00D13B16">
        <w:tc>
          <w:tcPr>
            <w:tcW w:w="1122" w:type="pct"/>
            <w:gridSpan w:val="2"/>
            <w:shd w:val="clear" w:color="auto" w:fill="auto"/>
          </w:tcPr>
          <w:p w:rsidR="00673A97" w:rsidRPr="00E2771E" w:rsidRDefault="00673A97" w:rsidP="00323E7A">
            <w:pPr>
              <w:keepNext/>
              <w:widowControl/>
              <w:rPr>
                <w:rFonts w:ascii="Arial Narrow" w:hAnsi="Arial Narrow"/>
                <w:color w:val="000000"/>
                <w:sz w:val="20"/>
                <w:szCs w:val="18"/>
              </w:rPr>
            </w:pPr>
            <w:r>
              <w:rPr>
                <w:rFonts w:ascii="Arial Narrow" w:hAnsi="Arial Narrow"/>
                <w:sz w:val="20"/>
              </w:rPr>
              <w:t>Progressed</w:t>
            </w:r>
          </w:p>
        </w:tc>
        <w:tc>
          <w:tcPr>
            <w:tcW w:w="917" w:type="pct"/>
            <w:gridSpan w:val="3"/>
          </w:tcPr>
          <w:p w:rsidR="00673A97" w:rsidRPr="00E2771E" w:rsidRDefault="00673A97" w:rsidP="00323E7A">
            <w:pPr>
              <w:keepNext/>
              <w:widowControl/>
              <w:jc w:val="center"/>
              <w:rPr>
                <w:rFonts w:ascii="Arial Narrow" w:hAnsi="Arial Narrow"/>
                <w:sz w:val="20"/>
              </w:rPr>
            </w:pPr>
            <w:r>
              <w:rPr>
                <w:rFonts w:ascii="Arial Narrow" w:hAnsi="Arial Narrow"/>
                <w:sz w:val="20"/>
              </w:rPr>
              <w:t>122/137 (89.1%)</w:t>
            </w:r>
          </w:p>
        </w:tc>
        <w:tc>
          <w:tcPr>
            <w:tcW w:w="899" w:type="pct"/>
            <w:gridSpan w:val="2"/>
          </w:tcPr>
          <w:p w:rsidR="00673A97" w:rsidRPr="00E2771E" w:rsidRDefault="00673A97" w:rsidP="00323E7A">
            <w:pPr>
              <w:keepNext/>
              <w:widowControl/>
              <w:jc w:val="center"/>
              <w:rPr>
                <w:rFonts w:ascii="Arial Narrow" w:hAnsi="Arial Narrow"/>
                <w:sz w:val="20"/>
              </w:rPr>
            </w:pPr>
            <w:r>
              <w:rPr>
                <w:rFonts w:ascii="Arial Narrow" w:hAnsi="Arial Narrow"/>
                <w:sz w:val="20"/>
              </w:rPr>
              <w:t>127/136 (93.4%)</w:t>
            </w:r>
          </w:p>
        </w:tc>
        <w:tc>
          <w:tcPr>
            <w:tcW w:w="1179" w:type="pct"/>
            <w:gridSpan w:val="3"/>
          </w:tcPr>
          <w:p w:rsidR="00673A97" w:rsidRPr="00E2771E" w:rsidRDefault="00673A97" w:rsidP="00323E7A">
            <w:pPr>
              <w:keepNext/>
              <w:widowControl/>
              <w:jc w:val="center"/>
              <w:rPr>
                <w:rFonts w:ascii="Arial Narrow" w:hAnsi="Arial Narrow"/>
                <w:color w:val="000000"/>
                <w:sz w:val="20"/>
                <w:szCs w:val="18"/>
              </w:rPr>
            </w:pPr>
            <w:r>
              <w:rPr>
                <w:rFonts w:ascii="Arial Narrow" w:hAnsi="Arial Narrow"/>
                <w:sz w:val="20"/>
              </w:rPr>
              <w:t>-</w:t>
            </w:r>
          </w:p>
        </w:tc>
        <w:tc>
          <w:tcPr>
            <w:tcW w:w="883" w:type="pct"/>
          </w:tcPr>
          <w:p w:rsidR="00673A97" w:rsidRPr="00E2771E" w:rsidRDefault="00673A97" w:rsidP="00323E7A">
            <w:pPr>
              <w:keepNext/>
              <w:widowControl/>
              <w:jc w:val="center"/>
              <w:rPr>
                <w:rFonts w:ascii="Arial Narrow" w:hAnsi="Arial Narrow"/>
                <w:sz w:val="20"/>
              </w:rPr>
            </w:pPr>
            <w:r>
              <w:rPr>
                <w:rFonts w:ascii="Arial Narrow" w:hAnsi="Arial Narrow"/>
                <w:sz w:val="20"/>
              </w:rPr>
              <w:t>0.64 (0.50, 0.83)</w:t>
            </w:r>
          </w:p>
        </w:tc>
      </w:tr>
      <w:tr w:rsidR="00DA1C86" w:rsidRPr="00E2771E" w:rsidTr="00D13B16">
        <w:tc>
          <w:tcPr>
            <w:tcW w:w="1122" w:type="pct"/>
            <w:gridSpan w:val="2"/>
            <w:shd w:val="clear" w:color="auto" w:fill="auto"/>
          </w:tcPr>
          <w:p w:rsidR="00673A97" w:rsidRPr="00E2771E" w:rsidRDefault="00673A97" w:rsidP="00323E7A">
            <w:pPr>
              <w:keepNext/>
              <w:widowControl/>
              <w:rPr>
                <w:rFonts w:ascii="Arial Narrow" w:hAnsi="Arial Narrow"/>
                <w:color w:val="000000"/>
                <w:sz w:val="20"/>
                <w:szCs w:val="18"/>
              </w:rPr>
            </w:pPr>
            <w:r>
              <w:rPr>
                <w:rFonts w:ascii="Arial Narrow" w:hAnsi="Arial Narrow"/>
                <w:sz w:val="20"/>
              </w:rPr>
              <w:t>PFS median months</w:t>
            </w:r>
          </w:p>
        </w:tc>
        <w:tc>
          <w:tcPr>
            <w:tcW w:w="917" w:type="pct"/>
            <w:gridSpan w:val="3"/>
          </w:tcPr>
          <w:p w:rsidR="00673A97" w:rsidRPr="00E2771E" w:rsidRDefault="00673A97" w:rsidP="00323E7A">
            <w:pPr>
              <w:keepNext/>
              <w:widowControl/>
              <w:jc w:val="center"/>
              <w:rPr>
                <w:rFonts w:ascii="Arial Narrow" w:hAnsi="Arial Narrow"/>
                <w:sz w:val="20"/>
              </w:rPr>
            </w:pPr>
            <w:r>
              <w:rPr>
                <w:rFonts w:ascii="Arial Narrow" w:hAnsi="Arial Narrow"/>
                <w:sz w:val="20"/>
              </w:rPr>
              <w:t>2.86 (2.76, 3.02)</w:t>
            </w:r>
          </w:p>
        </w:tc>
        <w:tc>
          <w:tcPr>
            <w:tcW w:w="899" w:type="pct"/>
            <w:gridSpan w:val="2"/>
          </w:tcPr>
          <w:p w:rsidR="00673A97" w:rsidRPr="00E2771E" w:rsidRDefault="00673A97" w:rsidP="00323E7A">
            <w:pPr>
              <w:keepNext/>
              <w:widowControl/>
              <w:jc w:val="center"/>
              <w:rPr>
                <w:rFonts w:ascii="Arial Narrow" w:hAnsi="Arial Narrow"/>
                <w:sz w:val="20"/>
              </w:rPr>
            </w:pPr>
            <w:r>
              <w:rPr>
                <w:rFonts w:ascii="Arial Narrow" w:hAnsi="Arial Narrow"/>
                <w:sz w:val="20"/>
              </w:rPr>
              <w:t>2.76 (2.73, 2.83)</w:t>
            </w:r>
          </w:p>
        </w:tc>
        <w:tc>
          <w:tcPr>
            <w:tcW w:w="1179" w:type="pct"/>
            <w:gridSpan w:val="3"/>
          </w:tcPr>
          <w:p w:rsidR="00673A97" w:rsidRPr="00E2771E" w:rsidRDefault="00673A97" w:rsidP="00323E7A">
            <w:pPr>
              <w:keepNext/>
              <w:widowControl/>
              <w:jc w:val="center"/>
              <w:rPr>
                <w:rFonts w:ascii="Arial Narrow" w:hAnsi="Arial Narrow"/>
                <w:color w:val="000000"/>
                <w:sz w:val="20"/>
                <w:szCs w:val="18"/>
              </w:rPr>
            </w:pPr>
            <w:r>
              <w:rPr>
                <w:rFonts w:ascii="Arial Narrow" w:hAnsi="Arial Narrow"/>
                <w:sz w:val="20"/>
              </w:rPr>
              <w:t>0.10</w:t>
            </w:r>
          </w:p>
        </w:tc>
        <w:tc>
          <w:tcPr>
            <w:tcW w:w="883" w:type="pct"/>
          </w:tcPr>
          <w:p w:rsidR="00673A97" w:rsidRPr="00E2771E" w:rsidRDefault="00673A97" w:rsidP="00323E7A">
            <w:pPr>
              <w:keepNext/>
              <w:widowControl/>
              <w:jc w:val="center"/>
              <w:rPr>
                <w:rFonts w:ascii="Arial Narrow" w:hAnsi="Arial Narrow"/>
                <w:sz w:val="20"/>
              </w:rPr>
            </w:pPr>
            <w:r>
              <w:rPr>
                <w:rFonts w:ascii="Arial Narrow" w:hAnsi="Arial Narrow"/>
                <w:sz w:val="20"/>
              </w:rPr>
              <w:t>-</w:t>
            </w:r>
          </w:p>
        </w:tc>
      </w:tr>
      <w:tr w:rsidR="00673A97" w:rsidRPr="00E2771E" w:rsidTr="00FA6362">
        <w:tc>
          <w:tcPr>
            <w:tcW w:w="4117" w:type="pct"/>
            <w:gridSpan w:val="10"/>
            <w:shd w:val="clear" w:color="auto" w:fill="auto"/>
            <w:vAlign w:val="center"/>
          </w:tcPr>
          <w:p w:rsidR="00673A97" w:rsidRPr="00673A97" w:rsidRDefault="00673A97" w:rsidP="00323E7A">
            <w:pPr>
              <w:keepNext/>
              <w:widowControl/>
              <w:jc w:val="left"/>
              <w:rPr>
                <w:rFonts w:ascii="Arial Narrow" w:hAnsi="Arial Narrow"/>
                <w:b/>
                <w:color w:val="000000"/>
                <w:sz w:val="20"/>
                <w:szCs w:val="18"/>
              </w:rPr>
            </w:pPr>
            <w:r>
              <w:rPr>
                <w:rFonts w:ascii="Arial Narrow" w:hAnsi="Arial Narrow"/>
                <w:b/>
                <w:sz w:val="20"/>
              </w:rPr>
              <w:t xml:space="preserve">Indirect comparison </w:t>
            </w:r>
            <w:r w:rsidR="00E25432">
              <w:rPr>
                <w:rFonts w:ascii="Arial Narrow" w:hAnsi="Arial Narrow"/>
                <w:b/>
                <w:sz w:val="20"/>
              </w:rPr>
              <w:t>PFS</w:t>
            </w:r>
            <w:r>
              <w:rPr>
                <w:rFonts w:ascii="Arial Narrow" w:hAnsi="Arial Narrow"/>
                <w:b/>
                <w:sz w:val="20"/>
              </w:rPr>
              <w:t xml:space="preserve"> – nivo vs. ipi</w:t>
            </w:r>
          </w:p>
        </w:tc>
        <w:tc>
          <w:tcPr>
            <w:tcW w:w="883" w:type="pct"/>
            <w:vAlign w:val="center"/>
          </w:tcPr>
          <w:p w:rsidR="00673A97" w:rsidRPr="00E2771E" w:rsidRDefault="00673A97" w:rsidP="00323E7A">
            <w:pPr>
              <w:keepNext/>
              <w:widowControl/>
              <w:jc w:val="center"/>
              <w:rPr>
                <w:rFonts w:ascii="Arial Narrow" w:hAnsi="Arial Narrow"/>
                <w:sz w:val="20"/>
              </w:rPr>
            </w:pPr>
            <w:r w:rsidRPr="00DC2AA1">
              <w:rPr>
                <w:rFonts w:ascii="Arial Narrow" w:hAnsi="Arial Narrow"/>
                <w:b/>
                <w:sz w:val="20"/>
              </w:rPr>
              <w:t>0.67 (0.47, 0.96)</w:t>
            </w:r>
          </w:p>
        </w:tc>
      </w:tr>
      <w:tr w:rsidR="00673A97" w:rsidRPr="00E2771E" w:rsidTr="00FA6362">
        <w:tc>
          <w:tcPr>
            <w:tcW w:w="5000" w:type="pct"/>
            <w:gridSpan w:val="11"/>
            <w:tcBorders>
              <w:top w:val="double" w:sz="4" w:space="0" w:color="auto"/>
            </w:tcBorders>
            <w:shd w:val="clear" w:color="auto" w:fill="auto"/>
            <w:vAlign w:val="center"/>
          </w:tcPr>
          <w:p w:rsidR="00673A97" w:rsidRPr="00E2771E" w:rsidRDefault="00673A97" w:rsidP="00323E7A">
            <w:pPr>
              <w:keepNext/>
              <w:widowControl/>
              <w:rPr>
                <w:rFonts w:ascii="Arial Narrow" w:hAnsi="Arial Narrow"/>
                <w:b/>
                <w:color w:val="000000"/>
                <w:sz w:val="20"/>
                <w:szCs w:val="18"/>
              </w:rPr>
            </w:pPr>
            <w:r w:rsidRPr="00E2771E">
              <w:rPr>
                <w:rFonts w:ascii="Arial Narrow" w:hAnsi="Arial Narrow"/>
                <w:b/>
                <w:color w:val="000000"/>
                <w:sz w:val="20"/>
                <w:szCs w:val="18"/>
              </w:rPr>
              <w:t>Harms</w:t>
            </w:r>
            <w:r w:rsidR="00367753" w:rsidRPr="00367753">
              <w:rPr>
                <w:rFonts w:ascii="Arial Narrow" w:hAnsi="Arial Narrow"/>
                <w:b/>
                <w:color w:val="000000"/>
                <w:sz w:val="20"/>
                <w:szCs w:val="18"/>
                <w:vertAlign w:val="superscript"/>
              </w:rPr>
              <w:t>a</w:t>
            </w:r>
          </w:p>
        </w:tc>
      </w:tr>
      <w:tr w:rsidR="00D13B16" w:rsidRPr="00E2771E" w:rsidTr="00D13B16">
        <w:tc>
          <w:tcPr>
            <w:tcW w:w="780" w:type="pct"/>
            <w:vMerge w:val="restart"/>
            <w:shd w:val="clear" w:color="auto" w:fill="auto"/>
            <w:vAlign w:val="center"/>
          </w:tcPr>
          <w:p w:rsidR="00673A97" w:rsidRPr="00E2771E" w:rsidRDefault="00673A97" w:rsidP="00323E7A">
            <w:pPr>
              <w:keepNext/>
              <w:widowControl/>
              <w:rPr>
                <w:rFonts w:ascii="Arial Narrow" w:hAnsi="Arial Narrow"/>
                <w:b/>
                <w:color w:val="000000"/>
                <w:sz w:val="20"/>
                <w:szCs w:val="18"/>
              </w:rPr>
            </w:pPr>
          </w:p>
        </w:tc>
        <w:tc>
          <w:tcPr>
            <w:tcW w:w="506" w:type="pct"/>
            <w:gridSpan w:val="2"/>
            <w:vMerge w:val="restart"/>
            <w:vAlign w:val="center"/>
          </w:tcPr>
          <w:p w:rsidR="00673A97" w:rsidRPr="00E2771E" w:rsidRDefault="00DA1C86" w:rsidP="00323E7A">
            <w:pPr>
              <w:keepNext/>
              <w:widowControl/>
              <w:jc w:val="center"/>
              <w:rPr>
                <w:rFonts w:ascii="Arial Narrow" w:hAnsi="Arial Narrow"/>
                <w:b/>
                <w:color w:val="000000"/>
                <w:sz w:val="20"/>
                <w:szCs w:val="18"/>
              </w:rPr>
            </w:pPr>
            <w:r>
              <w:rPr>
                <w:rFonts w:ascii="Arial Narrow" w:hAnsi="Arial Narrow"/>
                <w:b/>
                <w:color w:val="000000"/>
                <w:sz w:val="20"/>
                <w:szCs w:val="18"/>
              </w:rPr>
              <w:t>Nivo</w:t>
            </w:r>
          </w:p>
        </w:tc>
        <w:tc>
          <w:tcPr>
            <w:tcW w:w="591" w:type="pct"/>
            <w:vMerge w:val="restart"/>
            <w:vAlign w:val="center"/>
          </w:tcPr>
          <w:p w:rsidR="00673A97" w:rsidRPr="00E2771E" w:rsidRDefault="00DA1C86" w:rsidP="00323E7A">
            <w:pPr>
              <w:keepNext/>
              <w:widowControl/>
              <w:jc w:val="center"/>
              <w:rPr>
                <w:rFonts w:ascii="Arial Narrow" w:hAnsi="Arial Narrow"/>
                <w:b/>
                <w:color w:val="000000"/>
                <w:sz w:val="20"/>
                <w:szCs w:val="18"/>
              </w:rPr>
            </w:pPr>
            <w:r>
              <w:rPr>
                <w:rFonts w:ascii="Arial Narrow" w:hAnsi="Arial Narrow"/>
                <w:b/>
                <w:color w:val="000000"/>
                <w:sz w:val="20"/>
                <w:szCs w:val="18"/>
              </w:rPr>
              <w:t>DTIC</w:t>
            </w:r>
          </w:p>
        </w:tc>
        <w:tc>
          <w:tcPr>
            <w:tcW w:w="929" w:type="pct"/>
            <w:gridSpan w:val="2"/>
            <w:vMerge w:val="restart"/>
            <w:vAlign w:val="center"/>
          </w:tcPr>
          <w:p w:rsidR="00673A97" w:rsidRPr="00367753" w:rsidRDefault="00673A97" w:rsidP="00323E7A">
            <w:pPr>
              <w:keepNext/>
              <w:widowControl/>
              <w:jc w:val="center"/>
              <w:rPr>
                <w:rFonts w:ascii="Arial Narrow" w:hAnsi="Arial Narrow"/>
                <w:b/>
                <w:i/>
                <w:color w:val="000000"/>
                <w:sz w:val="20"/>
                <w:szCs w:val="18"/>
              </w:rPr>
            </w:pPr>
            <w:r w:rsidRPr="00367753">
              <w:rPr>
                <w:rFonts w:ascii="Arial Narrow" w:hAnsi="Arial Narrow"/>
                <w:b/>
                <w:i/>
                <w:color w:val="000000"/>
                <w:sz w:val="20"/>
                <w:szCs w:val="18"/>
              </w:rPr>
              <w:t>RR</w:t>
            </w:r>
          </w:p>
          <w:p w:rsidR="00673A97" w:rsidRPr="00E2771E" w:rsidRDefault="00673A97" w:rsidP="00323E7A">
            <w:pPr>
              <w:keepNext/>
              <w:widowControl/>
              <w:jc w:val="center"/>
              <w:rPr>
                <w:rFonts w:ascii="Arial Narrow" w:hAnsi="Arial Narrow"/>
                <w:b/>
                <w:color w:val="000000"/>
                <w:sz w:val="20"/>
                <w:szCs w:val="18"/>
              </w:rPr>
            </w:pPr>
            <w:r w:rsidRPr="00367753">
              <w:rPr>
                <w:rFonts w:ascii="Arial Narrow" w:hAnsi="Arial Narrow"/>
                <w:b/>
                <w:i/>
                <w:color w:val="000000"/>
                <w:sz w:val="20"/>
                <w:szCs w:val="18"/>
              </w:rPr>
              <w:t>(95% CI)</w:t>
            </w:r>
          </w:p>
        </w:tc>
        <w:tc>
          <w:tcPr>
            <w:tcW w:w="1266" w:type="pct"/>
            <w:gridSpan w:val="3"/>
            <w:vAlign w:val="center"/>
          </w:tcPr>
          <w:p w:rsidR="00673A97" w:rsidRPr="00E2771E" w:rsidRDefault="00A27BF6" w:rsidP="00323E7A">
            <w:pPr>
              <w:keepNext/>
              <w:widowControl/>
              <w:jc w:val="center"/>
              <w:rPr>
                <w:rFonts w:ascii="Arial Narrow" w:hAnsi="Arial Narrow"/>
                <w:b/>
                <w:color w:val="000000"/>
                <w:sz w:val="20"/>
                <w:szCs w:val="18"/>
              </w:rPr>
            </w:pPr>
            <w:r>
              <w:rPr>
                <w:rFonts w:ascii="Arial Narrow" w:hAnsi="Arial Narrow"/>
                <w:b/>
                <w:color w:val="000000"/>
                <w:sz w:val="20"/>
                <w:szCs w:val="18"/>
              </w:rPr>
              <w:t>Event rate/100 patients</w:t>
            </w:r>
          </w:p>
        </w:tc>
        <w:tc>
          <w:tcPr>
            <w:tcW w:w="929" w:type="pct"/>
            <w:gridSpan w:val="2"/>
            <w:vMerge w:val="restart"/>
            <w:vAlign w:val="center"/>
          </w:tcPr>
          <w:p w:rsidR="00673A97" w:rsidRPr="00367753" w:rsidRDefault="00C3600D" w:rsidP="00323E7A">
            <w:pPr>
              <w:keepNext/>
              <w:widowControl/>
              <w:jc w:val="center"/>
              <w:rPr>
                <w:rFonts w:ascii="Arial Narrow" w:hAnsi="Arial Narrow"/>
                <w:b/>
                <w:i/>
                <w:color w:val="000000"/>
                <w:sz w:val="20"/>
                <w:szCs w:val="18"/>
              </w:rPr>
            </w:pPr>
            <w:r>
              <w:rPr>
                <w:rFonts w:ascii="Arial Narrow" w:hAnsi="Arial Narrow"/>
                <w:b/>
                <w:i/>
                <w:color w:val="000000"/>
                <w:sz w:val="20"/>
                <w:szCs w:val="18"/>
              </w:rPr>
              <w:t>RD</w:t>
            </w:r>
            <w:r w:rsidR="00033C0C">
              <w:rPr>
                <w:rFonts w:ascii="Arial Narrow" w:hAnsi="Arial Narrow"/>
                <w:b/>
                <w:i/>
                <w:color w:val="000000"/>
                <w:sz w:val="20"/>
                <w:szCs w:val="18"/>
              </w:rPr>
              <w:t>%</w:t>
            </w:r>
          </w:p>
          <w:p w:rsidR="00673A97" w:rsidRPr="00E2771E" w:rsidRDefault="00673A97" w:rsidP="00323E7A">
            <w:pPr>
              <w:keepNext/>
              <w:widowControl/>
              <w:jc w:val="center"/>
              <w:rPr>
                <w:rFonts w:ascii="Arial Narrow" w:hAnsi="Arial Narrow"/>
                <w:b/>
                <w:color w:val="000000"/>
                <w:sz w:val="20"/>
                <w:szCs w:val="18"/>
              </w:rPr>
            </w:pPr>
            <w:r w:rsidRPr="00367753">
              <w:rPr>
                <w:rFonts w:ascii="Arial Narrow" w:hAnsi="Arial Narrow"/>
                <w:b/>
                <w:i/>
                <w:color w:val="000000"/>
                <w:sz w:val="20"/>
                <w:szCs w:val="18"/>
              </w:rPr>
              <w:t>(95% CI)</w:t>
            </w:r>
          </w:p>
        </w:tc>
      </w:tr>
      <w:tr w:rsidR="00D13B16" w:rsidRPr="00E2771E" w:rsidTr="00D13B16">
        <w:tc>
          <w:tcPr>
            <w:tcW w:w="780" w:type="pct"/>
            <w:vMerge/>
            <w:shd w:val="clear" w:color="auto" w:fill="auto"/>
            <w:vAlign w:val="center"/>
          </w:tcPr>
          <w:p w:rsidR="00DA1C86" w:rsidRPr="00E2771E" w:rsidRDefault="00DA1C86" w:rsidP="00323E7A">
            <w:pPr>
              <w:keepNext/>
              <w:widowControl/>
              <w:rPr>
                <w:rFonts w:ascii="Arial Narrow" w:hAnsi="Arial Narrow"/>
                <w:b/>
                <w:color w:val="000000"/>
                <w:sz w:val="20"/>
                <w:szCs w:val="18"/>
              </w:rPr>
            </w:pPr>
          </w:p>
        </w:tc>
        <w:tc>
          <w:tcPr>
            <w:tcW w:w="506" w:type="pct"/>
            <w:gridSpan w:val="2"/>
            <w:vMerge/>
            <w:vAlign w:val="center"/>
          </w:tcPr>
          <w:p w:rsidR="00DA1C86" w:rsidRPr="00E2771E" w:rsidRDefault="00DA1C86" w:rsidP="00323E7A">
            <w:pPr>
              <w:keepNext/>
              <w:widowControl/>
              <w:jc w:val="center"/>
              <w:rPr>
                <w:rFonts w:ascii="Arial Narrow" w:hAnsi="Arial Narrow"/>
                <w:b/>
                <w:color w:val="000000"/>
                <w:sz w:val="20"/>
                <w:szCs w:val="18"/>
              </w:rPr>
            </w:pPr>
          </w:p>
        </w:tc>
        <w:tc>
          <w:tcPr>
            <w:tcW w:w="591" w:type="pct"/>
            <w:vMerge/>
            <w:vAlign w:val="center"/>
          </w:tcPr>
          <w:p w:rsidR="00DA1C86" w:rsidRPr="00E2771E" w:rsidRDefault="00DA1C86" w:rsidP="00323E7A">
            <w:pPr>
              <w:keepNext/>
              <w:widowControl/>
              <w:jc w:val="center"/>
              <w:rPr>
                <w:rFonts w:ascii="Arial Narrow" w:hAnsi="Arial Narrow"/>
                <w:b/>
                <w:color w:val="000000"/>
                <w:sz w:val="20"/>
                <w:szCs w:val="18"/>
              </w:rPr>
            </w:pPr>
          </w:p>
        </w:tc>
        <w:tc>
          <w:tcPr>
            <w:tcW w:w="929" w:type="pct"/>
            <w:gridSpan w:val="2"/>
            <w:vMerge/>
            <w:vAlign w:val="center"/>
          </w:tcPr>
          <w:p w:rsidR="00DA1C86" w:rsidRPr="00E2771E" w:rsidRDefault="00DA1C86" w:rsidP="00323E7A">
            <w:pPr>
              <w:keepNext/>
              <w:widowControl/>
              <w:jc w:val="center"/>
              <w:rPr>
                <w:rFonts w:ascii="Arial Narrow" w:hAnsi="Arial Narrow"/>
                <w:b/>
                <w:color w:val="000000"/>
                <w:sz w:val="20"/>
                <w:szCs w:val="18"/>
              </w:rPr>
            </w:pPr>
          </w:p>
        </w:tc>
        <w:tc>
          <w:tcPr>
            <w:tcW w:w="675" w:type="pct"/>
            <w:gridSpan w:val="2"/>
            <w:vAlign w:val="center"/>
          </w:tcPr>
          <w:p w:rsidR="00DA1C86" w:rsidRPr="00E2771E" w:rsidRDefault="00DA1C86" w:rsidP="00323E7A">
            <w:pPr>
              <w:keepNext/>
              <w:widowControl/>
              <w:jc w:val="center"/>
              <w:rPr>
                <w:rFonts w:ascii="Arial Narrow" w:hAnsi="Arial Narrow"/>
                <w:b/>
                <w:color w:val="000000"/>
                <w:sz w:val="20"/>
                <w:szCs w:val="18"/>
              </w:rPr>
            </w:pPr>
            <w:r>
              <w:rPr>
                <w:rFonts w:ascii="Arial Narrow" w:hAnsi="Arial Narrow"/>
                <w:b/>
                <w:color w:val="000000"/>
                <w:sz w:val="20"/>
                <w:szCs w:val="18"/>
              </w:rPr>
              <w:t>Nivo</w:t>
            </w:r>
          </w:p>
        </w:tc>
        <w:tc>
          <w:tcPr>
            <w:tcW w:w="591" w:type="pct"/>
            <w:vAlign w:val="center"/>
          </w:tcPr>
          <w:p w:rsidR="00DA1C86" w:rsidRPr="00E2771E" w:rsidRDefault="00DA1C86" w:rsidP="00323E7A">
            <w:pPr>
              <w:keepNext/>
              <w:widowControl/>
              <w:jc w:val="center"/>
              <w:rPr>
                <w:rFonts w:ascii="Arial Narrow" w:hAnsi="Arial Narrow"/>
                <w:b/>
                <w:color w:val="000000"/>
                <w:sz w:val="20"/>
                <w:szCs w:val="18"/>
              </w:rPr>
            </w:pPr>
            <w:r>
              <w:rPr>
                <w:rFonts w:ascii="Arial Narrow" w:hAnsi="Arial Narrow"/>
                <w:b/>
                <w:color w:val="000000"/>
                <w:sz w:val="20"/>
                <w:szCs w:val="18"/>
              </w:rPr>
              <w:t>DTIC</w:t>
            </w:r>
          </w:p>
        </w:tc>
        <w:tc>
          <w:tcPr>
            <w:tcW w:w="929" w:type="pct"/>
            <w:gridSpan w:val="2"/>
            <w:vMerge/>
            <w:vAlign w:val="center"/>
          </w:tcPr>
          <w:p w:rsidR="00DA1C86" w:rsidRPr="00E2771E" w:rsidRDefault="00DA1C86" w:rsidP="00323E7A">
            <w:pPr>
              <w:keepNext/>
              <w:widowControl/>
              <w:jc w:val="center"/>
              <w:rPr>
                <w:rFonts w:ascii="Arial Narrow" w:hAnsi="Arial Narrow"/>
                <w:b/>
                <w:color w:val="000000"/>
                <w:sz w:val="20"/>
                <w:szCs w:val="18"/>
              </w:rPr>
            </w:pPr>
          </w:p>
        </w:tc>
      </w:tr>
      <w:tr w:rsidR="00DA1C86" w:rsidRPr="00E2771E" w:rsidTr="00FA6362">
        <w:tc>
          <w:tcPr>
            <w:tcW w:w="5000" w:type="pct"/>
            <w:gridSpan w:val="11"/>
            <w:shd w:val="clear" w:color="auto" w:fill="auto"/>
            <w:vAlign w:val="center"/>
          </w:tcPr>
          <w:p w:rsidR="00673A97" w:rsidRPr="00E2771E" w:rsidRDefault="00480C55" w:rsidP="00323E7A">
            <w:pPr>
              <w:keepNext/>
              <w:widowControl/>
              <w:rPr>
                <w:rFonts w:ascii="Arial Narrow" w:hAnsi="Arial Narrow"/>
                <w:color w:val="000000"/>
                <w:sz w:val="20"/>
                <w:szCs w:val="18"/>
              </w:rPr>
            </w:pPr>
            <w:r>
              <w:rPr>
                <w:rFonts w:ascii="Arial Narrow" w:hAnsi="Arial Narrow"/>
                <w:b/>
                <w:color w:val="000000"/>
                <w:sz w:val="20"/>
                <w:szCs w:val="18"/>
              </w:rPr>
              <w:t xml:space="preserve">Any </w:t>
            </w:r>
            <w:r w:rsidR="004F7770">
              <w:rPr>
                <w:rFonts w:ascii="Arial Narrow" w:hAnsi="Arial Narrow"/>
                <w:b/>
                <w:color w:val="000000"/>
                <w:sz w:val="20"/>
                <w:szCs w:val="18"/>
              </w:rPr>
              <w:t xml:space="preserve">drug-related </w:t>
            </w:r>
            <w:r>
              <w:rPr>
                <w:rFonts w:ascii="Arial Narrow" w:hAnsi="Arial Narrow"/>
                <w:b/>
                <w:color w:val="000000"/>
                <w:sz w:val="20"/>
                <w:szCs w:val="18"/>
              </w:rPr>
              <w:t>severe AE (graded ≥3)</w:t>
            </w:r>
          </w:p>
        </w:tc>
      </w:tr>
      <w:tr w:rsidR="00D13B16" w:rsidRPr="00E2771E" w:rsidTr="00D13B16">
        <w:tc>
          <w:tcPr>
            <w:tcW w:w="780" w:type="pct"/>
            <w:shd w:val="clear" w:color="auto" w:fill="auto"/>
            <w:vAlign w:val="center"/>
          </w:tcPr>
          <w:p w:rsidR="00DA1C86" w:rsidRPr="00DA1C86" w:rsidRDefault="00DA1C86" w:rsidP="00323E7A">
            <w:pPr>
              <w:keepNext/>
              <w:widowControl/>
              <w:rPr>
                <w:rFonts w:ascii="Arial Narrow" w:hAnsi="Arial Narrow"/>
                <w:color w:val="000000"/>
                <w:sz w:val="20"/>
                <w:szCs w:val="18"/>
              </w:rPr>
            </w:pPr>
            <w:r w:rsidRPr="00DA1C86">
              <w:rPr>
                <w:rFonts w:ascii="Arial Narrow" w:hAnsi="Arial Narrow"/>
                <w:color w:val="000000"/>
                <w:sz w:val="20"/>
                <w:szCs w:val="18"/>
              </w:rPr>
              <w:t>CA209-066 nivo</w:t>
            </w:r>
          </w:p>
        </w:tc>
        <w:tc>
          <w:tcPr>
            <w:tcW w:w="506" w:type="pct"/>
            <w:gridSpan w:val="2"/>
            <w:vAlign w:val="center"/>
          </w:tcPr>
          <w:p w:rsidR="00DA1C86" w:rsidRPr="00E2771E" w:rsidRDefault="009C4D95" w:rsidP="00323E7A">
            <w:pPr>
              <w:keepNext/>
              <w:widowControl/>
              <w:jc w:val="center"/>
              <w:rPr>
                <w:rFonts w:ascii="Arial Narrow" w:hAnsi="Arial Narrow"/>
                <w:color w:val="000000"/>
                <w:sz w:val="20"/>
                <w:szCs w:val="18"/>
              </w:rPr>
            </w:pPr>
            <w:r>
              <w:rPr>
                <w:rFonts w:ascii="Arial Narrow" w:hAnsi="Arial Narrow"/>
                <w:color w:val="000000"/>
                <w:sz w:val="20"/>
                <w:szCs w:val="18"/>
              </w:rPr>
              <w:t>24/206</w:t>
            </w:r>
          </w:p>
        </w:tc>
        <w:tc>
          <w:tcPr>
            <w:tcW w:w="591" w:type="pct"/>
            <w:vAlign w:val="center"/>
          </w:tcPr>
          <w:p w:rsidR="00DA1C86" w:rsidRPr="00E2771E" w:rsidRDefault="009C4D95" w:rsidP="00323E7A">
            <w:pPr>
              <w:keepNext/>
              <w:widowControl/>
              <w:jc w:val="center"/>
              <w:rPr>
                <w:rFonts w:ascii="Arial Narrow" w:hAnsi="Arial Narrow"/>
                <w:color w:val="000000"/>
                <w:sz w:val="20"/>
                <w:szCs w:val="18"/>
              </w:rPr>
            </w:pPr>
            <w:r>
              <w:rPr>
                <w:rFonts w:ascii="Arial Narrow" w:hAnsi="Arial Narrow"/>
                <w:color w:val="000000"/>
                <w:sz w:val="20"/>
                <w:szCs w:val="18"/>
              </w:rPr>
              <w:t>36/205</w:t>
            </w:r>
          </w:p>
        </w:tc>
        <w:tc>
          <w:tcPr>
            <w:tcW w:w="929" w:type="pct"/>
            <w:gridSpan w:val="2"/>
            <w:vAlign w:val="center"/>
          </w:tcPr>
          <w:p w:rsidR="00DA1C86" w:rsidRPr="00323E7A" w:rsidRDefault="009C4D95" w:rsidP="00323E7A">
            <w:pPr>
              <w:keepNext/>
              <w:widowControl/>
              <w:jc w:val="center"/>
              <w:rPr>
                <w:rFonts w:ascii="Arial Narrow" w:hAnsi="Arial Narrow"/>
                <w:color w:val="000000"/>
                <w:sz w:val="20"/>
                <w:szCs w:val="18"/>
              </w:rPr>
            </w:pPr>
            <w:r w:rsidRPr="00323E7A">
              <w:rPr>
                <w:rFonts w:ascii="Arial Narrow" w:hAnsi="Arial Narrow"/>
                <w:sz w:val="20"/>
              </w:rPr>
              <w:t>0.66 (0.41, 1.07)</w:t>
            </w:r>
          </w:p>
        </w:tc>
        <w:tc>
          <w:tcPr>
            <w:tcW w:w="675" w:type="pct"/>
            <w:gridSpan w:val="2"/>
            <w:vAlign w:val="center"/>
          </w:tcPr>
          <w:p w:rsidR="00DA1C86" w:rsidRPr="00E2771E" w:rsidRDefault="009C4D95" w:rsidP="00323E7A">
            <w:pPr>
              <w:keepNext/>
              <w:widowControl/>
              <w:jc w:val="center"/>
              <w:rPr>
                <w:rFonts w:ascii="Arial Narrow" w:hAnsi="Arial Narrow"/>
                <w:color w:val="000000"/>
                <w:sz w:val="20"/>
                <w:szCs w:val="18"/>
              </w:rPr>
            </w:pPr>
            <w:r>
              <w:rPr>
                <w:rFonts w:ascii="Arial Narrow" w:hAnsi="Arial Narrow"/>
                <w:color w:val="000000"/>
                <w:sz w:val="20"/>
                <w:szCs w:val="18"/>
              </w:rPr>
              <w:t>11.7</w:t>
            </w:r>
          </w:p>
        </w:tc>
        <w:tc>
          <w:tcPr>
            <w:tcW w:w="591" w:type="pct"/>
            <w:vAlign w:val="center"/>
          </w:tcPr>
          <w:p w:rsidR="00DA1C86" w:rsidRPr="00E2771E" w:rsidRDefault="009C4D95" w:rsidP="00323E7A">
            <w:pPr>
              <w:keepNext/>
              <w:widowControl/>
              <w:jc w:val="center"/>
              <w:rPr>
                <w:rFonts w:ascii="Arial Narrow" w:hAnsi="Arial Narrow"/>
                <w:color w:val="000000"/>
                <w:sz w:val="20"/>
                <w:szCs w:val="18"/>
              </w:rPr>
            </w:pPr>
            <w:r>
              <w:rPr>
                <w:rFonts w:ascii="Arial Narrow" w:hAnsi="Arial Narrow"/>
                <w:color w:val="000000"/>
                <w:sz w:val="20"/>
                <w:szCs w:val="18"/>
              </w:rPr>
              <w:t>17.6</w:t>
            </w:r>
          </w:p>
        </w:tc>
        <w:tc>
          <w:tcPr>
            <w:tcW w:w="929" w:type="pct"/>
            <w:gridSpan w:val="2"/>
            <w:vAlign w:val="center"/>
          </w:tcPr>
          <w:p w:rsidR="00DA1C86" w:rsidRPr="00E2771E" w:rsidRDefault="009C4D95" w:rsidP="00323E7A">
            <w:pPr>
              <w:keepNext/>
              <w:widowControl/>
              <w:jc w:val="center"/>
              <w:rPr>
                <w:rFonts w:ascii="Arial Narrow" w:hAnsi="Arial Narrow"/>
                <w:color w:val="000000"/>
                <w:sz w:val="20"/>
                <w:szCs w:val="18"/>
              </w:rPr>
            </w:pPr>
            <w:r>
              <w:rPr>
                <w:rFonts w:ascii="Arial Narrow" w:hAnsi="Arial Narrow"/>
                <w:color w:val="000000"/>
                <w:sz w:val="20"/>
                <w:szCs w:val="18"/>
              </w:rPr>
              <w:t>-</w:t>
            </w:r>
          </w:p>
        </w:tc>
      </w:tr>
      <w:tr w:rsidR="00D13B16" w:rsidRPr="00E2771E" w:rsidTr="00D13B16">
        <w:tc>
          <w:tcPr>
            <w:tcW w:w="780" w:type="pct"/>
            <w:shd w:val="clear" w:color="auto" w:fill="auto"/>
            <w:vAlign w:val="center"/>
          </w:tcPr>
          <w:p w:rsidR="00DA1C86" w:rsidRPr="00DA1C86" w:rsidRDefault="00DA1C86" w:rsidP="00323E7A">
            <w:pPr>
              <w:keepNext/>
              <w:widowControl/>
              <w:rPr>
                <w:rFonts w:ascii="Arial Narrow" w:hAnsi="Arial Narrow"/>
                <w:sz w:val="20"/>
              </w:rPr>
            </w:pPr>
          </w:p>
        </w:tc>
        <w:tc>
          <w:tcPr>
            <w:tcW w:w="506" w:type="pct"/>
            <w:gridSpan w:val="2"/>
            <w:vAlign w:val="center"/>
          </w:tcPr>
          <w:p w:rsidR="00DA1C86" w:rsidRPr="00DA1C86" w:rsidRDefault="00DA1C86" w:rsidP="00323E7A">
            <w:pPr>
              <w:keepNext/>
              <w:widowControl/>
              <w:jc w:val="center"/>
              <w:rPr>
                <w:rFonts w:ascii="Arial Narrow" w:hAnsi="Arial Narrow"/>
                <w:b/>
                <w:color w:val="000000"/>
                <w:sz w:val="20"/>
                <w:szCs w:val="18"/>
              </w:rPr>
            </w:pPr>
            <w:r w:rsidRPr="00DA1C86">
              <w:rPr>
                <w:rFonts w:ascii="Arial Narrow" w:hAnsi="Arial Narrow"/>
                <w:b/>
                <w:color w:val="000000"/>
                <w:sz w:val="20"/>
                <w:szCs w:val="18"/>
              </w:rPr>
              <w:t>Ipi</w:t>
            </w:r>
          </w:p>
        </w:tc>
        <w:tc>
          <w:tcPr>
            <w:tcW w:w="591" w:type="pct"/>
            <w:vAlign w:val="center"/>
          </w:tcPr>
          <w:p w:rsidR="00DA1C86" w:rsidRPr="00DA1C86" w:rsidRDefault="00DA1C86" w:rsidP="00323E7A">
            <w:pPr>
              <w:keepNext/>
              <w:widowControl/>
              <w:jc w:val="center"/>
              <w:rPr>
                <w:rFonts w:ascii="Arial Narrow" w:hAnsi="Arial Narrow"/>
                <w:b/>
                <w:color w:val="000000"/>
                <w:sz w:val="20"/>
                <w:szCs w:val="18"/>
              </w:rPr>
            </w:pPr>
            <w:r w:rsidRPr="00DA1C86">
              <w:rPr>
                <w:rFonts w:ascii="Arial Narrow" w:hAnsi="Arial Narrow"/>
                <w:b/>
                <w:color w:val="000000"/>
                <w:sz w:val="20"/>
                <w:szCs w:val="18"/>
              </w:rPr>
              <w:t>gp100</w:t>
            </w:r>
          </w:p>
        </w:tc>
        <w:tc>
          <w:tcPr>
            <w:tcW w:w="929" w:type="pct"/>
            <w:gridSpan w:val="2"/>
            <w:vAlign w:val="center"/>
          </w:tcPr>
          <w:p w:rsidR="00DA1C86" w:rsidRPr="00323E7A" w:rsidRDefault="00DA1C86" w:rsidP="00323E7A">
            <w:pPr>
              <w:keepNext/>
              <w:widowControl/>
              <w:jc w:val="center"/>
              <w:rPr>
                <w:rFonts w:ascii="Arial Narrow" w:hAnsi="Arial Narrow"/>
                <w:color w:val="000000"/>
                <w:sz w:val="20"/>
                <w:szCs w:val="18"/>
              </w:rPr>
            </w:pPr>
          </w:p>
        </w:tc>
        <w:tc>
          <w:tcPr>
            <w:tcW w:w="675" w:type="pct"/>
            <w:gridSpan w:val="2"/>
            <w:vAlign w:val="center"/>
          </w:tcPr>
          <w:p w:rsidR="00DA1C86" w:rsidRPr="00E2771E" w:rsidRDefault="00DA1C86" w:rsidP="00323E7A">
            <w:pPr>
              <w:keepNext/>
              <w:widowControl/>
              <w:jc w:val="center"/>
              <w:rPr>
                <w:rFonts w:ascii="Arial Narrow" w:hAnsi="Arial Narrow"/>
                <w:color w:val="000000"/>
                <w:sz w:val="20"/>
                <w:szCs w:val="18"/>
              </w:rPr>
            </w:pPr>
            <w:r w:rsidRPr="00DA1C86">
              <w:rPr>
                <w:rFonts w:ascii="Arial Narrow" w:hAnsi="Arial Narrow"/>
                <w:b/>
                <w:color w:val="000000"/>
                <w:sz w:val="20"/>
                <w:szCs w:val="18"/>
              </w:rPr>
              <w:t>Ipi</w:t>
            </w:r>
          </w:p>
        </w:tc>
        <w:tc>
          <w:tcPr>
            <w:tcW w:w="591" w:type="pct"/>
            <w:vAlign w:val="center"/>
          </w:tcPr>
          <w:p w:rsidR="00DA1C86" w:rsidRPr="00E2771E" w:rsidRDefault="00DA1C86" w:rsidP="00323E7A">
            <w:pPr>
              <w:keepNext/>
              <w:widowControl/>
              <w:jc w:val="center"/>
              <w:rPr>
                <w:rFonts w:ascii="Arial Narrow" w:hAnsi="Arial Narrow"/>
                <w:color w:val="000000"/>
                <w:sz w:val="20"/>
                <w:szCs w:val="18"/>
              </w:rPr>
            </w:pPr>
            <w:r w:rsidRPr="00DA1C86">
              <w:rPr>
                <w:rFonts w:ascii="Arial Narrow" w:hAnsi="Arial Narrow"/>
                <w:b/>
                <w:color w:val="000000"/>
                <w:sz w:val="20"/>
                <w:szCs w:val="18"/>
              </w:rPr>
              <w:t>gp100</w:t>
            </w:r>
          </w:p>
        </w:tc>
        <w:tc>
          <w:tcPr>
            <w:tcW w:w="929" w:type="pct"/>
            <w:gridSpan w:val="2"/>
            <w:vAlign w:val="center"/>
          </w:tcPr>
          <w:p w:rsidR="00DA1C86" w:rsidRPr="00E2771E" w:rsidRDefault="00DA1C86" w:rsidP="00323E7A">
            <w:pPr>
              <w:keepNext/>
              <w:widowControl/>
              <w:jc w:val="center"/>
              <w:rPr>
                <w:rFonts w:ascii="Arial Narrow" w:hAnsi="Arial Narrow"/>
                <w:color w:val="000000"/>
                <w:sz w:val="20"/>
                <w:szCs w:val="18"/>
              </w:rPr>
            </w:pPr>
          </w:p>
        </w:tc>
      </w:tr>
      <w:tr w:rsidR="00D13B16" w:rsidRPr="00E2771E" w:rsidTr="00D13B16">
        <w:tc>
          <w:tcPr>
            <w:tcW w:w="780" w:type="pct"/>
            <w:shd w:val="clear" w:color="auto" w:fill="auto"/>
            <w:vAlign w:val="center"/>
          </w:tcPr>
          <w:p w:rsidR="00DA1C86" w:rsidRPr="00DA1C86" w:rsidRDefault="00DA1C86" w:rsidP="00323E7A">
            <w:pPr>
              <w:keepNext/>
              <w:widowControl/>
              <w:rPr>
                <w:rFonts w:ascii="Arial Narrow" w:hAnsi="Arial Narrow"/>
                <w:color w:val="000000"/>
                <w:sz w:val="20"/>
                <w:szCs w:val="18"/>
              </w:rPr>
            </w:pPr>
            <w:r w:rsidRPr="00DA1C86">
              <w:rPr>
                <w:rFonts w:ascii="Arial Narrow" w:hAnsi="Arial Narrow"/>
                <w:sz w:val="20"/>
              </w:rPr>
              <w:t>MDX010-20 - ipi</w:t>
            </w:r>
          </w:p>
        </w:tc>
        <w:tc>
          <w:tcPr>
            <w:tcW w:w="506" w:type="pct"/>
            <w:gridSpan w:val="2"/>
            <w:vAlign w:val="center"/>
          </w:tcPr>
          <w:p w:rsidR="00DA1C86" w:rsidRPr="00E2771E" w:rsidRDefault="009C4D95" w:rsidP="00323E7A">
            <w:pPr>
              <w:keepNext/>
              <w:widowControl/>
              <w:jc w:val="center"/>
              <w:rPr>
                <w:rFonts w:ascii="Arial Narrow" w:hAnsi="Arial Narrow"/>
                <w:color w:val="000000"/>
                <w:sz w:val="20"/>
                <w:szCs w:val="18"/>
              </w:rPr>
            </w:pPr>
            <w:r>
              <w:rPr>
                <w:rFonts w:ascii="Arial Narrow" w:hAnsi="Arial Narrow"/>
                <w:color w:val="000000"/>
                <w:sz w:val="20"/>
                <w:szCs w:val="18"/>
              </w:rPr>
              <w:t>34/131</w:t>
            </w:r>
          </w:p>
        </w:tc>
        <w:tc>
          <w:tcPr>
            <w:tcW w:w="591" w:type="pct"/>
            <w:vAlign w:val="center"/>
          </w:tcPr>
          <w:p w:rsidR="00DA1C86" w:rsidRPr="00E2771E" w:rsidRDefault="009C4D95" w:rsidP="00323E7A">
            <w:pPr>
              <w:keepNext/>
              <w:widowControl/>
              <w:jc w:val="center"/>
              <w:rPr>
                <w:rFonts w:ascii="Arial Narrow" w:hAnsi="Arial Narrow"/>
                <w:color w:val="000000"/>
                <w:sz w:val="20"/>
                <w:szCs w:val="18"/>
              </w:rPr>
            </w:pPr>
            <w:r>
              <w:rPr>
                <w:rFonts w:ascii="Arial Narrow" w:hAnsi="Arial Narrow"/>
                <w:color w:val="000000"/>
                <w:sz w:val="20"/>
                <w:szCs w:val="18"/>
              </w:rPr>
              <w:t>16/132</w:t>
            </w:r>
          </w:p>
        </w:tc>
        <w:tc>
          <w:tcPr>
            <w:tcW w:w="929" w:type="pct"/>
            <w:gridSpan w:val="2"/>
            <w:vAlign w:val="center"/>
          </w:tcPr>
          <w:p w:rsidR="00DA1C86" w:rsidRPr="00323E7A" w:rsidRDefault="009C4D95" w:rsidP="00323E7A">
            <w:pPr>
              <w:keepNext/>
              <w:widowControl/>
              <w:jc w:val="center"/>
              <w:rPr>
                <w:rFonts w:ascii="Arial Narrow" w:hAnsi="Arial Narrow"/>
                <w:color w:val="000000"/>
                <w:sz w:val="20"/>
                <w:szCs w:val="18"/>
              </w:rPr>
            </w:pPr>
            <w:r w:rsidRPr="00323E7A">
              <w:rPr>
                <w:rFonts w:ascii="Arial Narrow" w:hAnsi="Arial Narrow"/>
                <w:sz w:val="20"/>
              </w:rPr>
              <w:t>2.14 (1.24, 3.69)</w:t>
            </w:r>
          </w:p>
        </w:tc>
        <w:tc>
          <w:tcPr>
            <w:tcW w:w="675" w:type="pct"/>
            <w:gridSpan w:val="2"/>
            <w:vAlign w:val="center"/>
          </w:tcPr>
          <w:p w:rsidR="00DA1C86" w:rsidRPr="00E2771E" w:rsidRDefault="009C4D95" w:rsidP="00323E7A">
            <w:pPr>
              <w:keepNext/>
              <w:widowControl/>
              <w:jc w:val="center"/>
              <w:rPr>
                <w:rFonts w:ascii="Arial Narrow" w:hAnsi="Arial Narrow"/>
                <w:color w:val="000000"/>
                <w:sz w:val="20"/>
                <w:szCs w:val="18"/>
              </w:rPr>
            </w:pPr>
            <w:r>
              <w:rPr>
                <w:rFonts w:ascii="Arial Narrow" w:hAnsi="Arial Narrow"/>
                <w:color w:val="000000"/>
                <w:sz w:val="20"/>
                <w:szCs w:val="18"/>
              </w:rPr>
              <w:t>26.0</w:t>
            </w:r>
          </w:p>
        </w:tc>
        <w:tc>
          <w:tcPr>
            <w:tcW w:w="591" w:type="pct"/>
            <w:vAlign w:val="center"/>
          </w:tcPr>
          <w:p w:rsidR="00DA1C86" w:rsidRPr="00E2771E" w:rsidRDefault="009C4D95" w:rsidP="00323E7A">
            <w:pPr>
              <w:keepNext/>
              <w:widowControl/>
              <w:jc w:val="center"/>
              <w:rPr>
                <w:rFonts w:ascii="Arial Narrow" w:hAnsi="Arial Narrow"/>
                <w:color w:val="000000"/>
                <w:sz w:val="20"/>
                <w:szCs w:val="18"/>
              </w:rPr>
            </w:pPr>
            <w:r>
              <w:rPr>
                <w:rFonts w:ascii="Arial Narrow" w:hAnsi="Arial Narrow"/>
                <w:color w:val="000000"/>
                <w:sz w:val="20"/>
                <w:szCs w:val="18"/>
              </w:rPr>
              <w:t>12.1</w:t>
            </w:r>
          </w:p>
        </w:tc>
        <w:tc>
          <w:tcPr>
            <w:tcW w:w="929" w:type="pct"/>
            <w:gridSpan w:val="2"/>
            <w:vAlign w:val="center"/>
          </w:tcPr>
          <w:p w:rsidR="00DA1C86" w:rsidRPr="00E2771E" w:rsidRDefault="009C4D95" w:rsidP="00323E7A">
            <w:pPr>
              <w:keepNext/>
              <w:widowControl/>
              <w:jc w:val="center"/>
              <w:rPr>
                <w:rFonts w:ascii="Arial Narrow" w:hAnsi="Arial Narrow"/>
                <w:color w:val="000000"/>
                <w:sz w:val="20"/>
                <w:szCs w:val="18"/>
              </w:rPr>
            </w:pPr>
            <w:r>
              <w:rPr>
                <w:rFonts w:ascii="Arial Narrow" w:hAnsi="Arial Narrow"/>
                <w:color w:val="000000"/>
                <w:sz w:val="20"/>
                <w:szCs w:val="18"/>
              </w:rPr>
              <w:t>-</w:t>
            </w:r>
          </w:p>
        </w:tc>
      </w:tr>
      <w:tr w:rsidR="009C4D95" w:rsidRPr="00E2771E" w:rsidTr="00D13B16">
        <w:tc>
          <w:tcPr>
            <w:tcW w:w="4071" w:type="pct"/>
            <w:gridSpan w:val="9"/>
            <w:shd w:val="clear" w:color="auto" w:fill="auto"/>
            <w:vAlign w:val="center"/>
          </w:tcPr>
          <w:p w:rsidR="009C4D95" w:rsidRPr="00323E7A" w:rsidRDefault="009C4D95" w:rsidP="00323E7A">
            <w:pPr>
              <w:keepNext/>
              <w:widowControl/>
              <w:jc w:val="left"/>
              <w:rPr>
                <w:rFonts w:ascii="Arial Narrow" w:hAnsi="Arial Narrow"/>
                <w:b/>
                <w:color w:val="000000"/>
                <w:sz w:val="20"/>
                <w:szCs w:val="18"/>
              </w:rPr>
            </w:pPr>
            <w:r w:rsidRPr="00323E7A">
              <w:rPr>
                <w:rFonts w:ascii="Arial Narrow" w:hAnsi="Arial Narrow"/>
                <w:b/>
                <w:sz w:val="20"/>
              </w:rPr>
              <w:t xml:space="preserve">Indirect comparison any </w:t>
            </w:r>
            <w:r w:rsidR="004F7770" w:rsidRPr="00323E7A">
              <w:rPr>
                <w:rFonts w:ascii="Arial Narrow" w:hAnsi="Arial Narrow"/>
                <w:b/>
                <w:sz w:val="20"/>
              </w:rPr>
              <w:t xml:space="preserve">drug-related </w:t>
            </w:r>
            <w:r w:rsidRPr="00323E7A">
              <w:rPr>
                <w:rFonts w:ascii="Arial Narrow" w:hAnsi="Arial Narrow"/>
                <w:b/>
                <w:sz w:val="20"/>
              </w:rPr>
              <w:t>severe AE (graded ≥3) – nivo vs. ipi</w:t>
            </w:r>
          </w:p>
        </w:tc>
        <w:tc>
          <w:tcPr>
            <w:tcW w:w="929" w:type="pct"/>
            <w:gridSpan w:val="2"/>
            <w:vAlign w:val="center"/>
          </w:tcPr>
          <w:p w:rsidR="009C4D95" w:rsidRPr="00033C0C" w:rsidRDefault="00033C0C" w:rsidP="00323E7A">
            <w:pPr>
              <w:keepNext/>
              <w:widowControl/>
              <w:jc w:val="center"/>
              <w:rPr>
                <w:rFonts w:ascii="Arial Narrow" w:hAnsi="Arial Narrow"/>
                <w:b/>
                <w:i/>
                <w:color w:val="000000"/>
                <w:sz w:val="20"/>
                <w:szCs w:val="18"/>
              </w:rPr>
            </w:pPr>
            <w:r w:rsidRPr="00033C0C">
              <w:rPr>
                <w:rFonts w:ascii="Arial Narrow" w:hAnsi="Arial Narrow"/>
                <w:b/>
                <w:i/>
                <w:color w:val="000000"/>
                <w:sz w:val="20"/>
                <w:szCs w:val="18"/>
              </w:rPr>
              <w:t>-19.7 (-31.3,</w:t>
            </w:r>
            <w:r w:rsidR="002A1B9C">
              <w:rPr>
                <w:rFonts w:ascii="Arial Narrow" w:hAnsi="Arial Narrow"/>
                <w:b/>
                <w:i/>
                <w:color w:val="000000"/>
                <w:sz w:val="20"/>
                <w:szCs w:val="18"/>
              </w:rPr>
              <w:t xml:space="preserve"> </w:t>
            </w:r>
            <w:r w:rsidRPr="00033C0C">
              <w:rPr>
                <w:rFonts w:ascii="Arial Narrow" w:hAnsi="Arial Narrow"/>
                <w:b/>
                <w:i/>
                <w:color w:val="000000"/>
                <w:sz w:val="20"/>
                <w:szCs w:val="18"/>
              </w:rPr>
              <w:t>-8.2)</w:t>
            </w:r>
          </w:p>
        </w:tc>
      </w:tr>
      <w:tr w:rsidR="009C4D95" w:rsidRPr="00E2771E" w:rsidTr="00FA6362">
        <w:tc>
          <w:tcPr>
            <w:tcW w:w="5000" w:type="pct"/>
            <w:gridSpan w:val="11"/>
            <w:shd w:val="clear" w:color="auto" w:fill="auto"/>
            <w:vAlign w:val="center"/>
          </w:tcPr>
          <w:p w:rsidR="009C4D95" w:rsidRPr="00323E7A" w:rsidRDefault="009C4D95" w:rsidP="00323E7A">
            <w:pPr>
              <w:keepNext/>
              <w:widowControl/>
              <w:jc w:val="left"/>
              <w:rPr>
                <w:rFonts w:ascii="Arial Narrow" w:hAnsi="Arial Narrow"/>
                <w:b/>
                <w:color w:val="000000"/>
                <w:sz w:val="20"/>
                <w:szCs w:val="18"/>
              </w:rPr>
            </w:pPr>
            <w:r w:rsidRPr="00323E7A">
              <w:rPr>
                <w:rFonts w:ascii="Arial Narrow" w:hAnsi="Arial Narrow"/>
                <w:b/>
                <w:color w:val="000000"/>
                <w:sz w:val="20"/>
                <w:szCs w:val="18"/>
              </w:rPr>
              <w:t xml:space="preserve">Any </w:t>
            </w:r>
            <w:r w:rsidR="004F7770" w:rsidRPr="00323E7A">
              <w:rPr>
                <w:rFonts w:ascii="Arial Narrow" w:hAnsi="Arial Narrow"/>
                <w:b/>
                <w:color w:val="000000"/>
                <w:sz w:val="20"/>
                <w:szCs w:val="18"/>
              </w:rPr>
              <w:t xml:space="preserve">drug-related </w:t>
            </w:r>
            <w:r w:rsidRPr="00323E7A">
              <w:rPr>
                <w:rFonts w:ascii="Arial Narrow" w:hAnsi="Arial Narrow"/>
                <w:b/>
                <w:color w:val="000000"/>
                <w:sz w:val="20"/>
                <w:szCs w:val="18"/>
              </w:rPr>
              <w:t>serious AE</w:t>
            </w:r>
          </w:p>
        </w:tc>
      </w:tr>
      <w:tr w:rsidR="00D13B16" w:rsidRPr="00E2771E" w:rsidTr="00D13B16">
        <w:tc>
          <w:tcPr>
            <w:tcW w:w="780" w:type="pct"/>
            <w:shd w:val="clear" w:color="auto" w:fill="auto"/>
            <w:vAlign w:val="center"/>
          </w:tcPr>
          <w:p w:rsidR="007951A8" w:rsidRPr="00E2771E" w:rsidRDefault="007951A8" w:rsidP="00323E7A">
            <w:pPr>
              <w:keepNext/>
              <w:widowControl/>
              <w:rPr>
                <w:rFonts w:ascii="Arial Narrow" w:hAnsi="Arial Narrow"/>
                <w:color w:val="000000"/>
                <w:sz w:val="20"/>
                <w:szCs w:val="18"/>
              </w:rPr>
            </w:pPr>
          </w:p>
        </w:tc>
        <w:tc>
          <w:tcPr>
            <w:tcW w:w="506" w:type="pct"/>
            <w:gridSpan w:val="2"/>
            <w:vAlign w:val="center"/>
          </w:tcPr>
          <w:p w:rsidR="007951A8" w:rsidRPr="00E2771E" w:rsidRDefault="007951A8" w:rsidP="00323E7A">
            <w:pPr>
              <w:keepNext/>
              <w:widowControl/>
              <w:jc w:val="center"/>
              <w:rPr>
                <w:rFonts w:ascii="Arial Narrow" w:hAnsi="Arial Narrow"/>
                <w:color w:val="000000"/>
                <w:sz w:val="20"/>
                <w:szCs w:val="18"/>
              </w:rPr>
            </w:pPr>
            <w:r>
              <w:rPr>
                <w:rFonts w:ascii="Arial Narrow" w:hAnsi="Arial Narrow"/>
                <w:b/>
                <w:color w:val="000000"/>
                <w:sz w:val="20"/>
                <w:szCs w:val="18"/>
              </w:rPr>
              <w:t>Nivo</w:t>
            </w:r>
          </w:p>
        </w:tc>
        <w:tc>
          <w:tcPr>
            <w:tcW w:w="591" w:type="pct"/>
            <w:vAlign w:val="center"/>
          </w:tcPr>
          <w:p w:rsidR="007951A8" w:rsidRPr="00E2771E" w:rsidRDefault="007951A8" w:rsidP="00323E7A">
            <w:pPr>
              <w:keepNext/>
              <w:widowControl/>
              <w:jc w:val="center"/>
              <w:rPr>
                <w:rFonts w:ascii="Arial Narrow" w:hAnsi="Arial Narrow"/>
                <w:color w:val="000000"/>
                <w:sz w:val="20"/>
                <w:szCs w:val="18"/>
              </w:rPr>
            </w:pPr>
            <w:r>
              <w:rPr>
                <w:rFonts w:ascii="Arial Narrow" w:hAnsi="Arial Narrow"/>
                <w:b/>
                <w:color w:val="000000"/>
                <w:sz w:val="20"/>
                <w:szCs w:val="18"/>
              </w:rPr>
              <w:t>DTIC</w:t>
            </w:r>
          </w:p>
        </w:tc>
        <w:tc>
          <w:tcPr>
            <w:tcW w:w="929" w:type="pct"/>
            <w:gridSpan w:val="2"/>
            <w:vAlign w:val="center"/>
          </w:tcPr>
          <w:p w:rsidR="007951A8" w:rsidRPr="00323E7A" w:rsidRDefault="007951A8" w:rsidP="00323E7A">
            <w:pPr>
              <w:keepNext/>
              <w:widowControl/>
              <w:jc w:val="center"/>
              <w:rPr>
                <w:rFonts w:ascii="Arial Narrow" w:hAnsi="Arial Narrow"/>
                <w:color w:val="000000"/>
                <w:sz w:val="20"/>
                <w:szCs w:val="18"/>
              </w:rPr>
            </w:pPr>
          </w:p>
        </w:tc>
        <w:tc>
          <w:tcPr>
            <w:tcW w:w="675" w:type="pct"/>
            <w:gridSpan w:val="2"/>
            <w:vAlign w:val="center"/>
          </w:tcPr>
          <w:p w:rsidR="007951A8" w:rsidRPr="00E2771E" w:rsidRDefault="007951A8" w:rsidP="00323E7A">
            <w:pPr>
              <w:keepNext/>
              <w:widowControl/>
              <w:jc w:val="center"/>
              <w:rPr>
                <w:rFonts w:ascii="Arial Narrow" w:hAnsi="Arial Narrow"/>
                <w:color w:val="000000"/>
                <w:sz w:val="20"/>
                <w:szCs w:val="18"/>
              </w:rPr>
            </w:pPr>
            <w:r>
              <w:rPr>
                <w:rFonts w:ascii="Arial Narrow" w:hAnsi="Arial Narrow"/>
                <w:b/>
                <w:color w:val="000000"/>
                <w:sz w:val="20"/>
                <w:szCs w:val="18"/>
              </w:rPr>
              <w:t>Nivo</w:t>
            </w:r>
          </w:p>
        </w:tc>
        <w:tc>
          <w:tcPr>
            <w:tcW w:w="591" w:type="pct"/>
            <w:vAlign w:val="center"/>
          </w:tcPr>
          <w:p w:rsidR="007951A8" w:rsidRPr="00E2771E" w:rsidRDefault="007951A8" w:rsidP="00323E7A">
            <w:pPr>
              <w:keepNext/>
              <w:widowControl/>
              <w:jc w:val="center"/>
              <w:rPr>
                <w:rFonts w:ascii="Arial Narrow" w:hAnsi="Arial Narrow"/>
                <w:color w:val="000000"/>
                <w:sz w:val="20"/>
                <w:szCs w:val="18"/>
              </w:rPr>
            </w:pPr>
            <w:r>
              <w:rPr>
                <w:rFonts w:ascii="Arial Narrow" w:hAnsi="Arial Narrow"/>
                <w:b/>
                <w:color w:val="000000"/>
                <w:sz w:val="20"/>
                <w:szCs w:val="18"/>
              </w:rPr>
              <w:t>DTIC</w:t>
            </w:r>
          </w:p>
        </w:tc>
        <w:tc>
          <w:tcPr>
            <w:tcW w:w="929" w:type="pct"/>
            <w:gridSpan w:val="2"/>
            <w:vAlign w:val="center"/>
          </w:tcPr>
          <w:p w:rsidR="007951A8" w:rsidRPr="00E2771E" w:rsidRDefault="007951A8" w:rsidP="00323E7A">
            <w:pPr>
              <w:keepNext/>
              <w:widowControl/>
              <w:jc w:val="center"/>
              <w:rPr>
                <w:rFonts w:ascii="Arial Narrow" w:hAnsi="Arial Narrow"/>
                <w:color w:val="000000"/>
                <w:sz w:val="20"/>
                <w:szCs w:val="18"/>
              </w:rPr>
            </w:pPr>
          </w:p>
        </w:tc>
      </w:tr>
      <w:tr w:rsidR="00D13B16" w:rsidRPr="00E2771E" w:rsidTr="00D13B16">
        <w:tc>
          <w:tcPr>
            <w:tcW w:w="780" w:type="pct"/>
            <w:shd w:val="clear" w:color="auto" w:fill="auto"/>
            <w:vAlign w:val="center"/>
          </w:tcPr>
          <w:p w:rsidR="007951A8" w:rsidRPr="00DA1C86" w:rsidRDefault="007951A8" w:rsidP="00323E7A">
            <w:pPr>
              <w:keepNext/>
              <w:widowControl/>
              <w:rPr>
                <w:rFonts w:ascii="Arial Narrow" w:hAnsi="Arial Narrow"/>
                <w:color w:val="000000"/>
                <w:sz w:val="20"/>
                <w:szCs w:val="18"/>
              </w:rPr>
            </w:pPr>
            <w:r w:rsidRPr="00DA1C86">
              <w:rPr>
                <w:rFonts w:ascii="Arial Narrow" w:hAnsi="Arial Narrow"/>
                <w:color w:val="000000"/>
                <w:sz w:val="20"/>
                <w:szCs w:val="18"/>
              </w:rPr>
              <w:t>CA209-066</w:t>
            </w:r>
            <w:r>
              <w:rPr>
                <w:rFonts w:ascii="Arial Narrow" w:hAnsi="Arial Narrow"/>
                <w:color w:val="000000"/>
                <w:sz w:val="20"/>
                <w:szCs w:val="18"/>
              </w:rPr>
              <w:t>-</w:t>
            </w:r>
            <w:r w:rsidRPr="00DA1C86">
              <w:rPr>
                <w:rFonts w:ascii="Arial Narrow" w:hAnsi="Arial Narrow"/>
                <w:color w:val="000000"/>
                <w:sz w:val="20"/>
                <w:szCs w:val="18"/>
              </w:rPr>
              <w:t xml:space="preserve"> nivo</w:t>
            </w:r>
          </w:p>
        </w:tc>
        <w:tc>
          <w:tcPr>
            <w:tcW w:w="506" w:type="pct"/>
            <w:gridSpan w:val="2"/>
            <w:vAlign w:val="center"/>
          </w:tcPr>
          <w:p w:rsidR="007951A8" w:rsidRDefault="007951A8" w:rsidP="00323E7A">
            <w:pPr>
              <w:keepNext/>
              <w:widowControl/>
              <w:jc w:val="center"/>
              <w:rPr>
                <w:rFonts w:ascii="Arial Narrow" w:hAnsi="Arial Narrow"/>
                <w:color w:val="000000"/>
                <w:sz w:val="20"/>
                <w:szCs w:val="18"/>
              </w:rPr>
            </w:pPr>
            <w:r>
              <w:rPr>
                <w:rFonts w:ascii="Arial Narrow" w:hAnsi="Arial Narrow"/>
                <w:color w:val="000000"/>
                <w:sz w:val="20"/>
                <w:szCs w:val="18"/>
              </w:rPr>
              <w:t>19/206</w:t>
            </w:r>
          </w:p>
        </w:tc>
        <w:tc>
          <w:tcPr>
            <w:tcW w:w="591" w:type="pct"/>
            <w:vAlign w:val="center"/>
          </w:tcPr>
          <w:p w:rsidR="007951A8" w:rsidRDefault="007951A8" w:rsidP="00323E7A">
            <w:pPr>
              <w:keepNext/>
              <w:widowControl/>
              <w:jc w:val="center"/>
              <w:rPr>
                <w:rFonts w:ascii="Arial Narrow" w:hAnsi="Arial Narrow"/>
                <w:color w:val="000000"/>
                <w:sz w:val="20"/>
                <w:szCs w:val="18"/>
              </w:rPr>
            </w:pPr>
            <w:r>
              <w:rPr>
                <w:rFonts w:ascii="Arial Narrow" w:hAnsi="Arial Narrow"/>
                <w:color w:val="000000"/>
                <w:sz w:val="20"/>
                <w:szCs w:val="18"/>
              </w:rPr>
              <w:t>18/205</w:t>
            </w:r>
          </w:p>
        </w:tc>
        <w:tc>
          <w:tcPr>
            <w:tcW w:w="929" w:type="pct"/>
            <w:gridSpan w:val="2"/>
            <w:vAlign w:val="center"/>
          </w:tcPr>
          <w:p w:rsidR="007951A8" w:rsidRPr="00323E7A" w:rsidRDefault="007951A8" w:rsidP="00323E7A">
            <w:pPr>
              <w:keepNext/>
              <w:widowControl/>
              <w:jc w:val="center"/>
              <w:rPr>
                <w:rFonts w:ascii="Arial Narrow" w:hAnsi="Arial Narrow"/>
                <w:sz w:val="20"/>
              </w:rPr>
            </w:pPr>
            <w:r w:rsidRPr="00323E7A">
              <w:rPr>
                <w:rFonts w:ascii="Arial Narrow" w:hAnsi="Arial Narrow"/>
                <w:sz w:val="20"/>
              </w:rPr>
              <w:t>1.05 (0.57, 1.94)</w:t>
            </w:r>
          </w:p>
        </w:tc>
        <w:tc>
          <w:tcPr>
            <w:tcW w:w="675" w:type="pct"/>
            <w:gridSpan w:val="2"/>
            <w:vAlign w:val="center"/>
          </w:tcPr>
          <w:p w:rsidR="007951A8" w:rsidRDefault="007951A8" w:rsidP="00323E7A">
            <w:pPr>
              <w:keepNext/>
              <w:widowControl/>
              <w:jc w:val="center"/>
              <w:rPr>
                <w:rFonts w:ascii="Arial Narrow" w:hAnsi="Arial Narrow"/>
                <w:color w:val="000000"/>
                <w:sz w:val="20"/>
                <w:szCs w:val="18"/>
              </w:rPr>
            </w:pPr>
            <w:r>
              <w:rPr>
                <w:rFonts w:ascii="Arial Narrow" w:hAnsi="Arial Narrow"/>
                <w:color w:val="000000"/>
                <w:sz w:val="20"/>
                <w:szCs w:val="18"/>
              </w:rPr>
              <w:t>9.2</w:t>
            </w:r>
          </w:p>
        </w:tc>
        <w:tc>
          <w:tcPr>
            <w:tcW w:w="591" w:type="pct"/>
            <w:vAlign w:val="center"/>
          </w:tcPr>
          <w:p w:rsidR="007951A8" w:rsidRDefault="007951A8" w:rsidP="00323E7A">
            <w:pPr>
              <w:keepNext/>
              <w:widowControl/>
              <w:jc w:val="center"/>
              <w:rPr>
                <w:rFonts w:ascii="Arial Narrow" w:hAnsi="Arial Narrow"/>
                <w:color w:val="000000"/>
                <w:sz w:val="20"/>
                <w:szCs w:val="18"/>
              </w:rPr>
            </w:pPr>
            <w:r>
              <w:rPr>
                <w:rFonts w:ascii="Arial Narrow" w:hAnsi="Arial Narrow"/>
                <w:color w:val="000000"/>
                <w:sz w:val="20"/>
                <w:szCs w:val="18"/>
              </w:rPr>
              <w:t>8.8</w:t>
            </w:r>
          </w:p>
        </w:tc>
        <w:tc>
          <w:tcPr>
            <w:tcW w:w="929" w:type="pct"/>
            <w:gridSpan w:val="2"/>
            <w:vAlign w:val="center"/>
          </w:tcPr>
          <w:p w:rsidR="007951A8" w:rsidRDefault="007951A8" w:rsidP="00323E7A">
            <w:pPr>
              <w:keepNext/>
              <w:widowControl/>
              <w:jc w:val="center"/>
              <w:rPr>
                <w:rFonts w:ascii="Arial Narrow" w:hAnsi="Arial Narrow"/>
                <w:color w:val="000000"/>
                <w:sz w:val="20"/>
                <w:szCs w:val="18"/>
              </w:rPr>
            </w:pPr>
            <w:r>
              <w:rPr>
                <w:rFonts w:ascii="Arial Narrow" w:hAnsi="Arial Narrow"/>
                <w:color w:val="000000"/>
                <w:sz w:val="20"/>
                <w:szCs w:val="18"/>
              </w:rPr>
              <w:t>-</w:t>
            </w:r>
          </w:p>
        </w:tc>
      </w:tr>
      <w:tr w:rsidR="00D13B16" w:rsidRPr="00E2771E" w:rsidTr="00D13B16">
        <w:tc>
          <w:tcPr>
            <w:tcW w:w="780" w:type="pct"/>
            <w:shd w:val="clear" w:color="auto" w:fill="auto"/>
            <w:vAlign w:val="center"/>
          </w:tcPr>
          <w:p w:rsidR="007951A8" w:rsidRPr="00E2771E" w:rsidRDefault="007951A8" w:rsidP="00323E7A">
            <w:pPr>
              <w:keepNext/>
              <w:widowControl/>
              <w:rPr>
                <w:rFonts w:ascii="Arial Narrow" w:hAnsi="Arial Narrow"/>
                <w:color w:val="000000"/>
                <w:sz w:val="20"/>
                <w:szCs w:val="18"/>
              </w:rPr>
            </w:pPr>
          </w:p>
        </w:tc>
        <w:tc>
          <w:tcPr>
            <w:tcW w:w="506" w:type="pct"/>
            <w:gridSpan w:val="2"/>
            <w:vAlign w:val="center"/>
          </w:tcPr>
          <w:p w:rsidR="007951A8" w:rsidRPr="00E2771E" w:rsidRDefault="007951A8" w:rsidP="00323E7A">
            <w:pPr>
              <w:keepNext/>
              <w:widowControl/>
              <w:jc w:val="center"/>
              <w:rPr>
                <w:rFonts w:ascii="Arial Narrow" w:hAnsi="Arial Narrow"/>
                <w:color w:val="000000"/>
                <w:sz w:val="20"/>
                <w:szCs w:val="18"/>
              </w:rPr>
            </w:pPr>
            <w:r w:rsidRPr="00DA1C86">
              <w:rPr>
                <w:rFonts w:ascii="Arial Narrow" w:hAnsi="Arial Narrow"/>
                <w:b/>
                <w:color w:val="000000"/>
                <w:sz w:val="20"/>
                <w:szCs w:val="18"/>
              </w:rPr>
              <w:t>Ipi</w:t>
            </w:r>
          </w:p>
        </w:tc>
        <w:tc>
          <w:tcPr>
            <w:tcW w:w="591" w:type="pct"/>
            <w:vAlign w:val="center"/>
          </w:tcPr>
          <w:p w:rsidR="007951A8" w:rsidRPr="00E2771E" w:rsidRDefault="007951A8" w:rsidP="00323E7A">
            <w:pPr>
              <w:keepNext/>
              <w:widowControl/>
              <w:jc w:val="center"/>
              <w:rPr>
                <w:rFonts w:ascii="Arial Narrow" w:hAnsi="Arial Narrow"/>
                <w:color w:val="000000"/>
                <w:sz w:val="20"/>
                <w:szCs w:val="18"/>
              </w:rPr>
            </w:pPr>
            <w:r w:rsidRPr="00DA1C86">
              <w:rPr>
                <w:rFonts w:ascii="Arial Narrow" w:hAnsi="Arial Narrow"/>
                <w:b/>
                <w:color w:val="000000"/>
                <w:sz w:val="20"/>
                <w:szCs w:val="18"/>
              </w:rPr>
              <w:t>gp100</w:t>
            </w:r>
          </w:p>
        </w:tc>
        <w:tc>
          <w:tcPr>
            <w:tcW w:w="929" w:type="pct"/>
            <w:gridSpan w:val="2"/>
            <w:vAlign w:val="center"/>
          </w:tcPr>
          <w:p w:rsidR="007951A8" w:rsidRPr="00323E7A" w:rsidRDefault="007951A8" w:rsidP="00323E7A">
            <w:pPr>
              <w:keepNext/>
              <w:widowControl/>
              <w:jc w:val="center"/>
              <w:rPr>
                <w:rFonts w:ascii="Arial Narrow" w:hAnsi="Arial Narrow"/>
                <w:color w:val="000000"/>
                <w:sz w:val="20"/>
                <w:szCs w:val="18"/>
              </w:rPr>
            </w:pPr>
          </w:p>
        </w:tc>
        <w:tc>
          <w:tcPr>
            <w:tcW w:w="675" w:type="pct"/>
            <w:gridSpan w:val="2"/>
            <w:vAlign w:val="center"/>
          </w:tcPr>
          <w:p w:rsidR="007951A8" w:rsidRPr="00E2771E" w:rsidRDefault="007951A8" w:rsidP="00323E7A">
            <w:pPr>
              <w:keepNext/>
              <w:widowControl/>
              <w:jc w:val="center"/>
              <w:rPr>
                <w:rFonts w:ascii="Arial Narrow" w:hAnsi="Arial Narrow"/>
                <w:color w:val="000000"/>
                <w:sz w:val="20"/>
                <w:szCs w:val="18"/>
              </w:rPr>
            </w:pPr>
            <w:r w:rsidRPr="00DA1C86">
              <w:rPr>
                <w:rFonts w:ascii="Arial Narrow" w:hAnsi="Arial Narrow"/>
                <w:b/>
                <w:color w:val="000000"/>
                <w:sz w:val="20"/>
                <w:szCs w:val="18"/>
              </w:rPr>
              <w:t>Ipi</w:t>
            </w:r>
          </w:p>
        </w:tc>
        <w:tc>
          <w:tcPr>
            <w:tcW w:w="591" w:type="pct"/>
            <w:vAlign w:val="center"/>
          </w:tcPr>
          <w:p w:rsidR="007951A8" w:rsidRPr="00E2771E" w:rsidRDefault="007951A8" w:rsidP="00323E7A">
            <w:pPr>
              <w:keepNext/>
              <w:widowControl/>
              <w:jc w:val="center"/>
              <w:rPr>
                <w:rFonts w:ascii="Arial Narrow" w:hAnsi="Arial Narrow"/>
                <w:color w:val="000000"/>
                <w:sz w:val="20"/>
                <w:szCs w:val="18"/>
              </w:rPr>
            </w:pPr>
            <w:r w:rsidRPr="00DA1C86">
              <w:rPr>
                <w:rFonts w:ascii="Arial Narrow" w:hAnsi="Arial Narrow"/>
                <w:b/>
                <w:color w:val="000000"/>
                <w:sz w:val="20"/>
                <w:szCs w:val="18"/>
              </w:rPr>
              <w:t>gp100</w:t>
            </w:r>
          </w:p>
        </w:tc>
        <w:tc>
          <w:tcPr>
            <w:tcW w:w="929" w:type="pct"/>
            <w:gridSpan w:val="2"/>
            <w:vAlign w:val="center"/>
          </w:tcPr>
          <w:p w:rsidR="007951A8" w:rsidRPr="00E2771E" w:rsidRDefault="007951A8" w:rsidP="00323E7A">
            <w:pPr>
              <w:keepNext/>
              <w:widowControl/>
              <w:jc w:val="center"/>
              <w:rPr>
                <w:rFonts w:ascii="Arial Narrow" w:hAnsi="Arial Narrow"/>
                <w:color w:val="000000"/>
                <w:sz w:val="20"/>
                <w:szCs w:val="18"/>
              </w:rPr>
            </w:pPr>
          </w:p>
        </w:tc>
      </w:tr>
      <w:tr w:rsidR="00D13B16" w:rsidRPr="00E2771E" w:rsidTr="00D13B16">
        <w:tc>
          <w:tcPr>
            <w:tcW w:w="780" w:type="pct"/>
            <w:shd w:val="clear" w:color="auto" w:fill="auto"/>
            <w:vAlign w:val="center"/>
          </w:tcPr>
          <w:p w:rsidR="007951A8" w:rsidRPr="00E2771E" w:rsidRDefault="007951A8" w:rsidP="00323E7A">
            <w:pPr>
              <w:keepNext/>
              <w:widowControl/>
              <w:rPr>
                <w:rFonts w:ascii="Arial Narrow" w:hAnsi="Arial Narrow"/>
                <w:color w:val="000000"/>
                <w:sz w:val="20"/>
                <w:szCs w:val="18"/>
              </w:rPr>
            </w:pPr>
            <w:r w:rsidRPr="00DA1C86">
              <w:rPr>
                <w:rFonts w:ascii="Arial Narrow" w:hAnsi="Arial Narrow"/>
                <w:sz w:val="20"/>
              </w:rPr>
              <w:t>MDX010-20 - ipi</w:t>
            </w:r>
          </w:p>
        </w:tc>
        <w:tc>
          <w:tcPr>
            <w:tcW w:w="506" w:type="pct"/>
            <w:gridSpan w:val="2"/>
            <w:vAlign w:val="center"/>
          </w:tcPr>
          <w:p w:rsidR="007951A8" w:rsidRPr="00E2771E" w:rsidRDefault="007951A8" w:rsidP="00323E7A">
            <w:pPr>
              <w:keepNext/>
              <w:widowControl/>
              <w:jc w:val="center"/>
              <w:rPr>
                <w:rFonts w:ascii="Arial Narrow" w:hAnsi="Arial Narrow"/>
                <w:color w:val="000000"/>
                <w:sz w:val="20"/>
                <w:szCs w:val="18"/>
              </w:rPr>
            </w:pPr>
            <w:r>
              <w:rPr>
                <w:rFonts w:ascii="Arial Narrow" w:hAnsi="Arial Narrow"/>
                <w:color w:val="000000"/>
                <w:sz w:val="20"/>
                <w:szCs w:val="18"/>
              </w:rPr>
              <w:t>24/131</w:t>
            </w:r>
          </w:p>
        </w:tc>
        <w:tc>
          <w:tcPr>
            <w:tcW w:w="591" w:type="pct"/>
            <w:vAlign w:val="center"/>
          </w:tcPr>
          <w:p w:rsidR="007951A8" w:rsidRPr="00E2771E" w:rsidRDefault="007951A8" w:rsidP="00323E7A">
            <w:pPr>
              <w:keepNext/>
              <w:widowControl/>
              <w:jc w:val="center"/>
              <w:rPr>
                <w:rFonts w:ascii="Arial Narrow" w:hAnsi="Arial Narrow"/>
                <w:color w:val="000000"/>
                <w:sz w:val="20"/>
                <w:szCs w:val="18"/>
              </w:rPr>
            </w:pPr>
            <w:r>
              <w:rPr>
                <w:rFonts w:ascii="Arial Narrow" w:hAnsi="Arial Narrow"/>
                <w:color w:val="000000"/>
                <w:sz w:val="20"/>
                <w:szCs w:val="18"/>
              </w:rPr>
              <w:t>5/132</w:t>
            </w:r>
          </w:p>
        </w:tc>
        <w:tc>
          <w:tcPr>
            <w:tcW w:w="929" w:type="pct"/>
            <w:gridSpan w:val="2"/>
            <w:vAlign w:val="center"/>
          </w:tcPr>
          <w:p w:rsidR="007951A8" w:rsidRPr="00323E7A" w:rsidRDefault="007951A8" w:rsidP="00323E7A">
            <w:pPr>
              <w:keepNext/>
              <w:widowControl/>
              <w:jc w:val="center"/>
              <w:rPr>
                <w:rFonts w:ascii="Arial Narrow" w:hAnsi="Arial Narrow"/>
                <w:color w:val="000000"/>
                <w:sz w:val="20"/>
                <w:szCs w:val="18"/>
              </w:rPr>
            </w:pPr>
            <w:r w:rsidRPr="00323E7A">
              <w:rPr>
                <w:rFonts w:ascii="Arial Narrow" w:hAnsi="Arial Narrow"/>
                <w:sz w:val="20"/>
              </w:rPr>
              <w:t>4.84 (1.89,12.31</w:t>
            </w:r>
            <w:r w:rsidR="00323E7A" w:rsidRPr="00323E7A">
              <w:rPr>
                <w:rFonts w:ascii="Arial Narrow" w:hAnsi="Arial Narrow"/>
                <w:sz w:val="20"/>
              </w:rPr>
              <w:t>)</w:t>
            </w:r>
          </w:p>
        </w:tc>
        <w:tc>
          <w:tcPr>
            <w:tcW w:w="675" w:type="pct"/>
            <w:gridSpan w:val="2"/>
            <w:vAlign w:val="center"/>
          </w:tcPr>
          <w:p w:rsidR="007951A8" w:rsidRPr="00E2771E" w:rsidRDefault="007951A8" w:rsidP="00323E7A">
            <w:pPr>
              <w:keepNext/>
              <w:widowControl/>
              <w:jc w:val="center"/>
              <w:rPr>
                <w:rFonts w:ascii="Arial Narrow" w:hAnsi="Arial Narrow"/>
                <w:color w:val="000000"/>
                <w:sz w:val="20"/>
                <w:szCs w:val="18"/>
              </w:rPr>
            </w:pPr>
            <w:r>
              <w:rPr>
                <w:rFonts w:ascii="Arial Narrow" w:hAnsi="Arial Narrow"/>
                <w:color w:val="000000"/>
                <w:sz w:val="20"/>
                <w:szCs w:val="18"/>
              </w:rPr>
              <w:t>18.3</w:t>
            </w:r>
          </w:p>
        </w:tc>
        <w:tc>
          <w:tcPr>
            <w:tcW w:w="591" w:type="pct"/>
            <w:vAlign w:val="center"/>
          </w:tcPr>
          <w:p w:rsidR="007951A8" w:rsidRPr="00E2771E" w:rsidRDefault="007951A8" w:rsidP="00323E7A">
            <w:pPr>
              <w:keepNext/>
              <w:widowControl/>
              <w:jc w:val="center"/>
              <w:rPr>
                <w:rFonts w:ascii="Arial Narrow" w:hAnsi="Arial Narrow"/>
                <w:color w:val="000000"/>
                <w:sz w:val="20"/>
                <w:szCs w:val="18"/>
              </w:rPr>
            </w:pPr>
            <w:r>
              <w:rPr>
                <w:rFonts w:ascii="Arial Narrow" w:hAnsi="Arial Narrow"/>
                <w:color w:val="000000"/>
                <w:sz w:val="20"/>
                <w:szCs w:val="18"/>
              </w:rPr>
              <w:t>3.8</w:t>
            </w:r>
          </w:p>
        </w:tc>
        <w:tc>
          <w:tcPr>
            <w:tcW w:w="929" w:type="pct"/>
            <w:gridSpan w:val="2"/>
            <w:vAlign w:val="center"/>
          </w:tcPr>
          <w:p w:rsidR="007951A8" w:rsidRPr="00E2771E" w:rsidRDefault="007951A8" w:rsidP="00323E7A">
            <w:pPr>
              <w:keepNext/>
              <w:widowControl/>
              <w:jc w:val="center"/>
              <w:rPr>
                <w:rFonts w:ascii="Arial Narrow" w:hAnsi="Arial Narrow"/>
                <w:color w:val="000000"/>
                <w:sz w:val="20"/>
                <w:szCs w:val="18"/>
              </w:rPr>
            </w:pPr>
            <w:r>
              <w:rPr>
                <w:rFonts w:ascii="Arial Narrow" w:hAnsi="Arial Narrow"/>
                <w:color w:val="000000"/>
                <w:sz w:val="20"/>
                <w:szCs w:val="18"/>
              </w:rPr>
              <w:t>-</w:t>
            </w:r>
          </w:p>
        </w:tc>
      </w:tr>
      <w:tr w:rsidR="007951A8" w:rsidRPr="00E2771E" w:rsidTr="00D13B16">
        <w:tc>
          <w:tcPr>
            <w:tcW w:w="4071" w:type="pct"/>
            <w:gridSpan w:val="9"/>
            <w:shd w:val="clear" w:color="auto" w:fill="auto"/>
            <w:vAlign w:val="center"/>
          </w:tcPr>
          <w:p w:rsidR="007951A8" w:rsidRPr="00E2771E" w:rsidRDefault="007951A8" w:rsidP="00323E7A">
            <w:pPr>
              <w:keepNext/>
              <w:widowControl/>
              <w:jc w:val="left"/>
              <w:rPr>
                <w:rFonts w:ascii="Arial Narrow" w:hAnsi="Arial Narrow"/>
                <w:color w:val="000000"/>
                <w:sz w:val="20"/>
                <w:szCs w:val="18"/>
              </w:rPr>
            </w:pPr>
            <w:r>
              <w:rPr>
                <w:rFonts w:ascii="Arial Narrow" w:hAnsi="Arial Narrow"/>
                <w:b/>
                <w:sz w:val="20"/>
              </w:rPr>
              <w:t>Indirect comparison any drug-related serious AE – nivo vs. ipi</w:t>
            </w:r>
          </w:p>
        </w:tc>
        <w:tc>
          <w:tcPr>
            <w:tcW w:w="929" w:type="pct"/>
            <w:gridSpan w:val="2"/>
            <w:vAlign w:val="center"/>
          </w:tcPr>
          <w:p w:rsidR="007951A8" w:rsidRPr="00033C0C" w:rsidRDefault="007951A8" w:rsidP="00323E7A">
            <w:pPr>
              <w:keepNext/>
              <w:widowControl/>
              <w:jc w:val="center"/>
              <w:rPr>
                <w:rFonts w:ascii="Arial Narrow" w:hAnsi="Arial Narrow"/>
                <w:b/>
                <w:i/>
                <w:color w:val="000000"/>
                <w:sz w:val="20"/>
                <w:szCs w:val="18"/>
              </w:rPr>
            </w:pPr>
            <w:r w:rsidRPr="00033C0C">
              <w:rPr>
                <w:rFonts w:ascii="Arial Narrow" w:hAnsi="Arial Narrow"/>
                <w:b/>
                <w:i/>
                <w:color w:val="000000"/>
                <w:sz w:val="20"/>
                <w:szCs w:val="18"/>
              </w:rPr>
              <w:t>-14.1 (-23.3, -4.9)</w:t>
            </w:r>
          </w:p>
        </w:tc>
      </w:tr>
    </w:tbl>
    <w:p w:rsidR="00B62715" w:rsidRPr="00323E7A" w:rsidRDefault="00367753" w:rsidP="00323E7A">
      <w:pPr>
        <w:pStyle w:val="TableFooter"/>
        <w:keepNext/>
        <w:widowControl/>
        <w:tabs>
          <w:tab w:val="left" w:pos="851"/>
        </w:tabs>
        <w:ind w:left="709"/>
      </w:pPr>
      <w:r w:rsidRPr="00323E7A">
        <w:rPr>
          <w:vertAlign w:val="superscript"/>
        </w:rPr>
        <w:t>a</w:t>
      </w:r>
      <w:r w:rsidRPr="00323E7A">
        <w:tab/>
        <w:t>Statistical analyses conducted during the evaluation.</w:t>
      </w:r>
    </w:p>
    <w:p w:rsidR="00B62715" w:rsidRPr="0072416F" w:rsidRDefault="00B62715" w:rsidP="00323E7A">
      <w:pPr>
        <w:pStyle w:val="TableFooter"/>
        <w:widowControl/>
        <w:ind w:firstLine="720"/>
      </w:pPr>
      <w:r w:rsidRPr="0072416F">
        <w:t>Source: Compiled during the evaluation</w:t>
      </w:r>
    </w:p>
    <w:p w:rsidR="00B60939" w:rsidRPr="00882085" w:rsidRDefault="00B60939" w:rsidP="00323E7A">
      <w:pPr>
        <w:widowControl/>
      </w:pPr>
    </w:p>
    <w:p w:rsidR="00496BBE" w:rsidRPr="003A3593" w:rsidRDefault="00496BBE" w:rsidP="00323E7A">
      <w:pPr>
        <w:pStyle w:val="ListParagraph"/>
        <w:widowControl/>
        <w:numPr>
          <w:ilvl w:val="1"/>
          <w:numId w:val="23"/>
        </w:numPr>
        <w:ind w:left="709" w:hanging="709"/>
      </w:pPr>
      <w:r w:rsidRPr="00CF6EE4">
        <w:t xml:space="preserve">On the basis of </w:t>
      </w:r>
      <w:r>
        <w:t xml:space="preserve">the </w:t>
      </w:r>
      <w:r w:rsidRPr="00CF6EE4">
        <w:t>indirect</w:t>
      </w:r>
      <w:r>
        <w:t xml:space="preserve"> </w:t>
      </w:r>
      <w:r w:rsidRPr="00CF6EE4">
        <w:t xml:space="preserve">evidence presented by the submission, the comparison of </w:t>
      </w:r>
      <w:r>
        <w:t>nivolumab</w:t>
      </w:r>
      <w:r w:rsidRPr="00CF6EE4">
        <w:t xml:space="preserve"> and </w:t>
      </w:r>
      <w:r>
        <w:t>ipilimumab</w:t>
      </w:r>
      <w:r w:rsidRPr="00CF6EE4">
        <w:t xml:space="preserve"> resulted in:</w:t>
      </w:r>
    </w:p>
    <w:p w:rsidR="00496BBE" w:rsidRPr="006C03DC" w:rsidRDefault="00496BBE" w:rsidP="00323E7A">
      <w:pPr>
        <w:pStyle w:val="ListParagraph"/>
        <w:widowControl/>
        <w:numPr>
          <w:ilvl w:val="0"/>
          <w:numId w:val="4"/>
        </w:numPr>
        <w:ind w:left="993" w:hanging="284"/>
        <w:rPr>
          <w:szCs w:val="22"/>
        </w:rPr>
      </w:pPr>
      <w:r w:rsidRPr="006C03DC">
        <w:t>Statistically significant differences in OS and PFS that have borderline significance (upper 95% C</w:t>
      </w:r>
      <w:r w:rsidR="007951A8" w:rsidRPr="006C03DC">
        <w:t>L</w:t>
      </w:r>
      <w:r w:rsidRPr="006C03DC">
        <w:t xml:space="preserve">s of 0.99 and 0.96, respectively).  Differences in months of median OS and PFS </w:t>
      </w:r>
      <w:r w:rsidR="00E56ED2">
        <w:t xml:space="preserve">could </w:t>
      </w:r>
      <w:r w:rsidRPr="006C03DC">
        <w:t>not be ascertained.</w:t>
      </w:r>
    </w:p>
    <w:p w:rsidR="00496BBE" w:rsidRPr="00496BBE" w:rsidRDefault="00496BBE" w:rsidP="00323E7A">
      <w:pPr>
        <w:widowControl/>
      </w:pPr>
    </w:p>
    <w:p w:rsidR="00FC1884" w:rsidRPr="003A3593" w:rsidRDefault="006C1609" w:rsidP="00323E7A">
      <w:pPr>
        <w:pStyle w:val="ListParagraph"/>
        <w:widowControl/>
        <w:numPr>
          <w:ilvl w:val="1"/>
          <w:numId w:val="23"/>
        </w:numPr>
        <w:ind w:left="709" w:hanging="709"/>
      </w:pPr>
      <w:r w:rsidRPr="00CF6EE4">
        <w:t xml:space="preserve">On the basis of </w:t>
      </w:r>
      <w:r w:rsidR="005A4BAF">
        <w:t xml:space="preserve">the </w:t>
      </w:r>
      <w:r w:rsidRPr="00CF6EE4">
        <w:t>indirect</w:t>
      </w:r>
      <w:r w:rsidR="005A4BAF">
        <w:t xml:space="preserve"> comparison</w:t>
      </w:r>
      <w:r w:rsidRPr="00CF6EE4">
        <w:t xml:space="preserve"> presented by the su</w:t>
      </w:r>
      <w:r w:rsidR="00323E7A">
        <w:t>bmission, every 100 </w:t>
      </w:r>
      <w:r w:rsidRPr="00CF6EE4">
        <w:t xml:space="preserve">patients treated with </w:t>
      </w:r>
      <w:r w:rsidR="005A4BAF">
        <w:t>nivolumab</w:t>
      </w:r>
      <w:r w:rsidRPr="00CF6EE4">
        <w:t xml:space="preserve"> in comparison to </w:t>
      </w:r>
      <w:r w:rsidR="005A4BAF">
        <w:t xml:space="preserve">ipilimumab </w:t>
      </w:r>
      <w:r w:rsidR="00AA0E1C">
        <w:t>resulted in</w:t>
      </w:r>
      <w:r w:rsidR="009C1D57" w:rsidRPr="00CF6EE4">
        <w:t>:</w:t>
      </w:r>
    </w:p>
    <w:p w:rsidR="009C1D57" w:rsidRPr="00EE1EFA" w:rsidRDefault="005A4BAF" w:rsidP="00323E7A">
      <w:pPr>
        <w:pStyle w:val="ListParagraph"/>
        <w:widowControl/>
        <w:numPr>
          <w:ilvl w:val="0"/>
          <w:numId w:val="4"/>
        </w:numPr>
        <w:ind w:left="993" w:hanging="284"/>
        <w:rPr>
          <w:i/>
        </w:rPr>
      </w:pPr>
      <w:r w:rsidRPr="00CF6EE4">
        <w:t xml:space="preserve">Approximately </w:t>
      </w:r>
      <w:r>
        <w:t>20</w:t>
      </w:r>
      <w:r w:rsidRPr="00CF6EE4">
        <w:t xml:space="preserve"> </w:t>
      </w:r>
      <w:r>
        <w:t xml:space="preserve">fewer </w:t>
      </w:r>
      <w:r w:rsidR="00AA0E1C">
        <w:t>patients with treatment-</w:t>
      </w:r>
      <w:r w:rsidRPr="00CF6EE4">
        <w:t xml:space="preserve">related </w:t>
      </w:r>
      <w:r>
        <w:t>severe adverse events (grade ≥3);</w:t>
      </w:r>
    </w:p>
    <w:p w:rsidR="00F00C4E" w:rsidRPr="00D04D17" w:rsidRDefault="005A4BAF" w:rsidP="00323E7A">
      <w:pPr>
        <w:pStyle w:val="ListParagraph"/>
        <w:widowControl/>
        <w:numPr>
          <w:ilvl w:val="0"/>
          <w:numId w:val="1"/>
        </w:numPr>
        <w:ind w:left="993" w:hanging="284"/>
      </w:pPr>
      <w:r w:rsidRPr="00CF6EE4">
        <w:t xml:space="preserve">Approximately </w:t>
      </w:r>
      <w:r w:rsidR="00AA0E1C">
        <w:t>14</w:t>
      </w:r>
      <w:r w:rsidRPr="00CF6EE4">
        <w:t xml:space="preserve"> </w:t>
      </w:r>
      <w:r>
        <w:t xml:space="preserve">fewer </w:t>
      </w:r>
      <w:r w:rsidR="00AA0E1C">
        <w:t>patients with treatment-</w:t>
      </w:r>
      <w:r w:rsidRPr="00CF6EE4">
        <w:t xml:space="preserve">related </w:t>
      </w:r>
      <w:r w:rsidR="00AA0E1C">
        <w:t>serious adverse events.</w:t>
      </w:r>
    </w:p>
    <w:p w:rsidR="00F00C4E" w:rsidRDefault="00F00C4E" w:rsidP="00323E7A">
      <w:pPr>
        <w:widowControl/>
        <w:rPr>
          <w:i/>
          <w:u w:val="single"/>
        </w:rPr>
      </w:pPr>
    </w:p>
    <w:p w:rsidR="00E56ED2" w:rsidRPr="00E56ED2" w:rsidRDefault="00E56ED2" w:rsidP="00323E7A">
      <w:pPr>
        <w:widowControl/>
        <w:rPr>
          <w:i/>
          <w:u w:val="single"/>
        </w:rPr>
      </w:pPr>
      <w:r>
        <w:rPr>
          <w:i/>
          <w:u w:val="single"/>
        </w:rPr>
        <w:t>Pre-Sub-Committee Response</w:t>
      </w:r>
      <w:r w:rsidRPr="00E56ED2">
        <w:rPr>
          <w:i/>
          <w:u w:val="single"/>
        </w:rPr>
        <w:t xml:space="preserve"> (</w:t>
      </w:r>
      <w:r w:rsidR="00C9152E">
        <w:rPr>
          <w:i/>
          <w:u w:val="single"/>
        </w:rPr>
        <w:t>27</w:t>
      </w:r>
      <w:r w:rsidRPr="00E56ED2">
        <w:rPr>
          <w:i/>
          <w:u w:val="single"/>
        </w:rPr>
        <w:t xml:space="preserve"> Ma</w:t>
      </w:r>
      <w:r w:rsidR="00C9152E">
        <w:rPr>
          <w:i/>
          <w:u w:val="single"/>
        </w:rPr>
        <w:t>y</w:t>
      </w:r>
      <w:r w:rsidRPr="00E56ED2">
        <w:rPr>
          <w:i/>
          <w:u w:val="single"/>
        </w:rPr>
        <w:t xml:space="preserve"> 2015)</w:t>
      </w:r>
    </w:p>
    <w:p w:rsidR="00995681" w:rsidRPr="004A053A" w:rsidRDefault="00995681" w:rsidP="00323E7A">
      <w:pPr>
        <w:widowControl/>
      </w:pPr>
    </w:p>
    <w:p w:rsidR="00995681" w:rsidRPr="004A053A" w:rsidRDefault="00995681" w:rsidP="00323E7A">
      <w:pPr>
        <w:pStyle w:val="ListParagraph"/>
        <w:widowControl/>
        <w:numPr>
          <w:ilvl w:val="1"/>
          <w:numId w:val="23"/>
        </w:numPr>
        <w:ind w:left="709" w:hanging="709"/>
      </w:pPr>
      <w:r w:rsidRPr="004A053A">
        <w:t>The PSCR</w:t>
      </w:r>
      <w:r w:rsidR="0060288F" w:rsidRPr="004A053A">
        <w:t xml:space="preserve"> (Table 1, p2)</w:t>
      </w:r>
      <w:r w:rsidRPr="004A053A">
        <w:t xml:space="preserve"> provided </w:t>
      </w:r>
      <w:r w:rsidR="00C9152E" w:rsidRPr="004A053A">
        <w:t>early results from CA209-067</w:t>
      </w:r>
      <w:r w:rsidR="00A6367F" w:rsidRPr="004A053A">
        <w:t xml:space="preserve"> (</w:t>
      </w:r>
      <w:r w:rsidR="007B33DC" w:rsidRPr="004A053A">
        <w:t xml:space="preserve">further information about this trial was </w:t>
      </w:r>
      <w:r w:rsidR="00A6367F" w:rsidRPr="004A053A">
        <w:t>published by Larkin et al, NEJM, 31 May 2015)</w:t>
      </w:r>
      <w:r w:rsidR="00C9152E" w:rsidRPr="004A053A">
        <w:t xml:space="preserve">, </w:t>
      </w:r>
      <w:r w:rsidR="00773C13" w:rsidRPr="004A053A">
        <w:t xml:space="preserve">a phase III, </w:t>
      </w:r>
      <w:r w:rsidR="00773C13" w:rsidRPr="004A053A">
        <w:lastRenderedPageBreak/>
        <w:t>randomised, double-blind trial which included a</w:t>
      </w:r>
      <w:r w:rsidRPr="004A053A">
        <w:t xml:space="preserve"> direct comparison of nivolumab </w:t>
      </w:r>
      <w:r w:rsidR="00773C13" w:rsidRPr="004A053A">
        <w:t xml:space="preserve">monotherapy </w:t>
      </w:r>
      <w:r w:rsidRPr="004A053A">
        <w:t xml:space="preserve">and ipilimumab </w:t>
      </w:r>
      <w:r w:rsidR="00773C13" w:rsidRPr="004A053A">
        <w:t>monotherapy in patients with previously untreated unresectable or metastatic melanoma</w:t>
      </w:r>
      <w:r w:rsidRPr="004A053A">
        <w:t>.</w:t>
      </w:r>
      <w:r w:rsidR="002D78A1" w:rsidRPr="004A053A">
        <w:t xml:space="preserve"> </w:t>
      </w:r>
      <w:r w:rsidRPr="004A053A">
        <w:t xml:space="preserve"> The ESC considered that this </w:t>
      </w:r>
      <w:r w:rsidR="00773C13" w:rsidRPr="004A053A">
        <w:t xml:space="preserve">trial would likely </w:t>
      </w:r>
      <w:r w:rsidRPr="004A053A">
        <w:t xml:space="preserve">provide a more robust comparison </w:t>
      </w:r>
      <w:r w:rsidR="00A07A17" w:rsidRPr="004A053A">
        <w:t>because</w:t>
      </w:r>
      <w:r w:rsidRPr="004A053A">
        <w:t xml:space="preserve"> it did not </w:t>
      </w:r>
      <w:r w:rsidR="007B33DC" w:rsidRPr="004A053A">
        <w:t xml:space="preserve">obviously </w:t>
      </w:r>
      <w:r w:rsidRPr="004A053A">
        <w:t>suffer from the exchangeability issues that exist</w:t>
      </w:r>
      <w:r w:rsidR="007B33DC" w:rsidRPr="004A053A">
        <w:t>ed</w:t>
      </w:r>
      <w:r w:rsidRPr="004A053A">
        <w:t xml:space="preserve"> with </w:t>
      </w:r>
      <w:r w:rsidR="00773C13" w:rsidRPr="004A053A">
        <w:t xml:space="preserve">the indirect comparison across </w:t>
      </w:r>
      <w:r w:rsidRPr="004A053A">
        <w:t>CA209-066 and MDX010-20</w:t>
      </w:r>
      <w:r w:rsidR="004A73BF" w:rsidRPr="004A053A">
        <w:t xml:space="preserve"> and it also stratified patients as having BRAF mutations (31.5%) or not (68.5%)</w:t>
      </w:r>
      <w:r w:rsidR="003B088C" w:rsidRPr="004A053A">
        <w:t xml:space="preserve">, </w:t>
      </w:r>
      <w:r w:rsidR="00A07A17" w:rsidRPr="004A053A">
        <w:t xml:space="preserve">but also </w:t>
      </w:r>
      <w:r w:rsidR="00F267D4" w:rsidRPr="004A053A">
        <w:t>not</w:t>
      </w:r>
      <w:r w:rsidR="00A07A17" w:rsidRPr="004A053A">
        <w:t>ed</w:t>
      </w:r>
      <w:r w:rsidR="00F267D4" w:rsidRPr="004A053A">
        <w:t xml:space="preserve"> that the </w:t>
      </w:r>
      <w:r w:rsidR="00773C13" w:rsidRPr="004A053A">
        <w:t xml:space="preserve">information </w:t>
      </w:r>
      <w:r w:rsidR="00F267D4" w:rsidRPr="004A053A">
        <w:t xml:space="preserve">presented </w:t>
      </w:r>
      <w:r w:rsidR="00773C13" w:rsidRPr="004A053A">
        <w:t xml:space="preserve">about this trial </w:t>
      </w:r>
      <w:r w:rsidR="00F267D4" w:rsidRPr="004A053A">
        <w:t>was limited.</w:t>
      </w:r>
    </w:p>
    <w:p w:rsidR="00995681" w:rsidRDefault="00995681" w:rsidP="00323E7A">
      <w:pPr>
        <w:widowControl/>
      </w:pPr>
    </w:p>
    <w:p w:rsidR="008B41C6" w:rsidRPr="004A053A" w:rsidRDefault="003B088C" w:rsidP="00323E7A">
      <w:pPr>
        <w:pStyle w:val="Subtitle"/>
        <w:ind w:left="709"/>
        <w:rPr>
          <w:rFonts w:ascii="Arial Narrow" w:hAnsi="Arial Narrow" w:cs="Arial"/>
          <w:b/>
        </w:rPr>
      </w:pPr>
      <w:r w:rsidRPr="004A053A">
        <w:rPr>
          <w:rStyle w:val="CommentReference"/>
        </w:rPr>
        <w:t xml:space="preserve">Table </w:t>
      </w:r>
      <w:r w:rsidR="00A07A17" w:rsidRPr="004A053A">
        <w:rPr>
          <w:rStyle w:val="CommentReference"/>
        </w:rPr>
        <w:t>6</w:t>
      </w:r>
      <w:r w:rsidRPr="004A053A">
        <w:rPr>
          <w:rStyle w:val="CommentReference"/>
        </w:rPr>
        <w:t>:</w:t>
      </w:r>
      <w:r w:rsidRPr="004A053A">
        <w:rPr>
          <w:rStyle w:val="CommentReference"/>
          <w:b w:val="0"/>
        </w:rPr>
        <w:t xml:space="preserve"> </w:t>
      </w:r>
      <w:r w:rsidR="008B41C6" w:rsidRPr="004A053A">
        <w:rPr>
          <w:rFonts w:ascii="Arial Narrow" w:hAnsi="Arial Narrow" w:cs="Arial"/>
          <w:b/>
        </w:rPr>
        <w:t>Results of the nivolumab and ipilimumab monotherapy arms in CA209-067</w:t>
      </w:r>
    </w:p>
    <w:tbl>
      <w:tblPr>
        <w:tblStyle w:val="TableGrid"/>
        <w:tblW w:w="8413" w:type="dxa"/>
        <w:tblInd w:w="817" w:type="dxa"/>
        <w:tblLook w:val="04A0" w:firstRow="1" w:lastRow="0" w:firstColumn="1" w:lastColumn="0" w:noHBand="0" w:noVBand="1"/>
        <w:tblCaption w:val="Results of the nivolumab and ipilimumab monotherapy arms in CA209-067"/>
      </w:tblPr>
      <w:tblGrid>
        <w:gridCol w:w="2268"/>
        <w:gridCol w:w="1985"/>
        <w:gridCol w:w="2126"/>
        <w:gridCol w:w="2034"/>
      </w:tblGrid>
      <w:tr w:rsidR="00242830" w:rsidRPr="004A053A" w:rsidTr="00242830">
        <w:trPr>
          <w:tblHeader/>
        </w:trPr>
        <w:tc>
          <w:tcPr>
            <w:tcW w:w="2268" w:type="dxa"/>
          </w:tcPr>
          <w:p w:rsidR="008B41C6" w:rsidRPr="004A053A" w:rsidRDefault="008B41C6" w:rsidP="00323E7A">
            <w:pPr>
              <w:pStyle w:val="Subtitle"/>
              <w:tabs>
                <w:tab w:val="left" w:pos="142"/>
              </w:tabs>
              <w:jc w:val="left"/>
              <w:rPr>
                <w:rFonts w:ascii="Arial Narrow" w:hAnsi="Arial Narrow" w:cs="Arial"/>
              </w:rPr>
            </w:pPr>
          </w:p>
        </w:tc>
        <w:tc>
          <w:tcPr>
            <w:tcW w:w="1985" w:type="dxa"/>
          </w:tcPr>
          <w:p w:rsidR="008B41C6" w:rsidRPr="004A053A" w:rsidRDefault="008B41C6" w:rsidP="00323E7A">
            <w:pPr>
              <w:pStyle w:val="Subtitle"/>
              <w:jc w:val="center"/>
              <w:rPr>
                <w:rFonts w:ascii="Arial Narrow" w:hAnsi="Arial Narrow" w:cs="Arial"/>
                <w:b/>
              </w:rPr>
            </w:pPr>
            <w:r w:rsidRPr="004A053A">
              <w:rPr>
                <w:rFonts w:ascii="Arial Narrow" w:hAnsi="Arial Narrow" w:cs="Arial"/>
                <w:b/>
              </w:rPr>
              <w:t>Nivolumab</w:t>
            </w:r>
            <w:r w:rsidR="00242830" w:rsidRPr="004A053A">
              <w:rPr>
                <w:rFonts w:ascii="Arial Narrow" w:hAnsi="Arial Narrow" w:cs="Arial"/>
                <w:b/>
              </w:rPr>
              <w:t>,</w:t>
            </w:r>
            <w:r w:rsidRPr="004A053A">
              <w:rPr>
                <w:rFonts w:ascii="Arial Narrow" w:hAnsi="Arial Narrow" w:cs="Arial"/>
                <w:b/>
              </w:rPr>
              <w:t xml:space="preserve"> N=316</w:t>
            </w:r>
          </w:p>
        </w:tc>
        <w:tc>
          <w:tcPr>
            <w:tcW w:w="2126" w:type="dxa"/>
          </w:tcPr>
          <w:p w:rsidR="008B41C6" w:rsidRPr="004A053A" w:rsidRDefault="008B41C6" w:rsidP="00323E7A">
            <w:pPr>
              <w:pStyle w:val="Subtitle"/>
              <w:jc w:val="center"/>
              <w:rPr>
                <w:rFonts w:ascii="Arial Narrow" w:hAnsi="Arial Narrow" w:cs="Arial"/>
                <w:b/>
              </w:rPr>
            </w:pPr>
            <w:r w:rsidRPr="004A053A">
              <w:rPr>
                <w:rFonts w:ascii="Arial Narrow" w:hAnsi="Arial Narrow" w:cs="Arial"/>
                <w:b/>
              </w:rPr>
              <w:t>Ipilimumab</w:t>
            </w:r>
            <w:r w:rsidR="00242830" w:rsidRPr="004A053A">
              <w:rPr>
                <w:rFonts w:ascii="Arial Narrow" w:hAnsi="Arial Narrow" w:cs="Arial"/>
                <w:b/>
              </w:rPr>
              <w:t>,</w:t>
            </w:r>
            <w:r w:rsidRPr="004A053A">
              <w:rPr>
                <w:rFonts w:ascii="Arial Narrow" w:hAnsi="Arial Narrow" w:cs="Arial"/>
                <w:b/>
              </w:rPr>
              <w:t xml:space="preserve"> N=315</w:t>
            </w:r>
          </w:p>
        </w:tc>
        <w:tc>
          <w:tcPr>
            <w:tcW w:w="2034" w:type="dxa"/>
            <w:vAlign w:val="center"/>
          </w:tcPr>
          <w:p w:rsidR="008B41C6" w:rsidRPr="004A053A" w:rsidRDefault="008B41C6" w:rsidP="00323E7A">
            <w:pPr>
              <w:pStyle w:val="Subtitle"/>
              <w:jc w:val="center"/>
              <w:rPr>
                <w:rFonts w:ascii="Arial Narrow" w:hAnsi="Arial Narrow" w:cs="Arial"/>
                <w:b/>
              </w:rPr>
            </w:pPr>
            <w:r w:rsidRPr="004A053A">
              <w:rPr>
                <w:rFonts w:ascii="Arial Narrow" w:hAnsi="Arial Narrow" w:cs="Arial"/>
                <w:b/>
              </w:rPr>
              <w:t>HR (95% CI)</w:t>
            </w:r>
          </w:p>
        </w:tc>
      </w:tr>
      <w:tr w:rsidR="00242830" w:rsidRPr="004A053A" w:rsidTr="00242830">
        <w:tc>
          <w:tcPr>
            <w:tcW w:w="2268" w:type="dxa"/>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Overall survival</w:t>
            </w:r>
          </w:p>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Death</w:t>
            </w:r>
          </w:p>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OS median months</w:t>
            </w:r>
          </w:p>
        </w:tc>
        <w:tc>
          <w:tcPr>
            <w:tcW w:w="1985" w:type="dxa"/>
          </w:tcPr>
          <w:p w:rsidR="008B41C6" w:rsidRPr="004A053A" w:rsidRDefault="008B41C6" w:rsidP="00323E7A">
            <w:pPr>
              <w:pStyle w:val="Subtitle"/>
              <w:jc w:val="center"/>
              <w:rPr>
                <w:rFonts w:ascii="Arial Narrow" w:hAnsi="Arial Narrow" w:cs="Arial"/>
                <w:b/>
              </w:rPr>
            </w:pPr>
          </w:p>
          <w:p w:rsidR="008B41C6" w:rsidRPr="004A053A" w:rsidRDefault="008B41C6" w:rsidP="00323E7A">
            <w:pPr>
              <w:pStyle w:val="Subtitle"/>
              <w:jc w:val="center"/>
              <w:rPr>
                <w:rFonts w:ascii="Arial Narrow" w:hAnsi="Arial Narrow" w:cs="Arial"/>
                <w:b/>
              </w:rPr>
            </w:pPr>
            <w:r w:rsidRPr="004A053A">
              <w:rPr>
                <w:rFonts w:ascii="Arial Narrow" w:hAnsi="Arial Narrow" w:cs="Arial"/>
              </w:rPr>
              <w:t>NR</w:t>
            </w:r>
          </w:p>
          <w:p w:rsidR="008B41C6" w:rsidRPr="004A053A" w:rsidRDefault="008B41C6" w:rsidP="00323E7A">
            <w:pPr>
              <w:pStyle w:val="Subtitle"/>
              <w:jc w:val="center"/>
              <w:rPr>
                <w:rFonts w:ascii="Arial Narrow" w:hAnsi="Arial Narrow" w:cs="Arial"/>
                <w:b/>
              </w:rPr>
            </w:pPr>
            <w:r w:rsidRPr="004A053A">
              <w:rPr>
                <w:rFonts w:ascii="Arial Narrow" w:hAnsi="Arial Narrow" w:cs="Arial"/>
              </w:rPr>
              <w:t>NR</w:t>
            </w:r>
          </w:p>
        </w:tc>
        <w:tc>
          <w:tcPr>
            <w:tcW w:w="2126" w:type="dxa"/>
          </w:tcPr>
          <w:p w:rsidR="008B41C6" w:rsidRPr="004A053A" w:rsidRDefault="008B41C6" w:rsidP="00323E7A">
            <w:pPr>
              <w:pStyle w:val="Subtitle"/>
              <w:jc w:val="center"/>
              <w:rPr>
                <w:rFonts w:ascii="Arial Narrow" w:hAnsi="Arial Narrow" w:cs="Arial"/>
                <w:b/>
              </w:rPr>
            </w:pPr>
          </w:p>
          <w:p w:rsidR="008B41C6" w:rsidRPr="004A053A" w:rsidRDefault="008B41C6" w:rsidP="00323E7A">
            <w:pPr>
              <w:pStyle w:val="Subtitle"/>
              <w:jc w:val="center"/>
              <w:rPr>
                <w:rFonts w:ascii="Arial Narrow" w:hAnsi="Arial Narrow" w:cs="Arial"/>
                <w:b/>
              </w:rPr>
            </w:pPr>
            <w:r w:rsidRPr="004A053A">
              <w:rPr>
                <w:rFonts w:ascii="Arial Narrow" w:hAnsi="Arial Narrow" w:cs="Arial"/>
              </w:rPr>
              <w:t>NR</w:t>
            </w:r>
          </w:p>
          <w:p w:rsidR="008B41C6" w:rsidRPr="004A053A" w:rsidRDefault="008B41C6" w:rsidP="00323E7A">
            <w:pPr>
              <w:pStyle w:val="Subtitle"/>
              <w:jc w:val="center"/>
              <w:rPr>
                <w:rFonts w:ascii="Arial Narrow" w:hAnsi="Arial Narrow" w:cs="Arial"/>
                <w:b/>
              </w:rPr>
            </w:pPr>
            <w:r w:rsidRPr="004A053A">
              <w:rPr>
                <w:rFonts w:ascii="Arial Narrow" w:hAnsi="Arial Narrow" w:cs="Arial"/>
              </w:rPr>
              <w:t>NR</w:t>
            </w:r>
          </w:p>
        </w:tc>
        <w:tc>
          <w:tcPr>
            <w:tcW w:w="2034" w:type="dxa"/>
            <w:vAlign w:val="center"/>
          </w:tcPr>
          <w:p w:rsidR="008B41C6" w:rsidRPr="005E36D7" w:rsidRDefault="005E36D7" w:rsidP="00323E7A">
            <w:pPr>
              <w:pStyle w:val="Subtitle"/>
              <w:jc w:val="center"/>
              <w:rPr>
                <w:rFonts w:ascii="Arial Narrow" w:hAnsi="Arial Narrow" w:cs="Arial"/>
                <w:b/>
                <w:highlight w:val="black"/>
              </w:rPr>
            </w:pPr>
            <w:r>
              <w:rPr>
                <w:rFonts w:ascii="Arial Narrow" w:hAnsi="Arial Narrow" w:cs="Arial"/>
                <w:b/>
                <w:noProof/>
                <w:color w:val="000000"/>
                <w:highlight w:val="black"/>
              </w:rPr>
              <w:t>'''''''''' ''''''''''' ''''''''''</w:t>
            </w:r>
          </w:p>
        </w:tc>
      </w:tr>
      <w:tr w:rsidR="00242830" w:rsidRPr="004A053A" w:rsidTr="00242830">
        <w:tc>
          <w:tcPr>
            <w:tcW w:w="2268" w:type="dxa"/>
            <w:tcBorders>
              <w:bottom w:val="single" w:sz="4" w:space="0" w:color="auto"/>
            </w:tcBorders>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Progression-free survival</w:t>
            </w:r>
          </w:p>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Progressed</w:t>
            </w:r>
          </w:p>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PFS median months</w:t>
            </w:r>
          </w:p>
        </w:tc>
        <w:tc>
          <w:tcPr>
            <w:tcW w:w="1985" w:type="dxa"/>
            <w:tcBorders>
              <w:bottom w:val="single" w:sz="4" w:space="0" w:color="auto"/>
            </w:tcBorders>
          </w:tcPr>
          <w:p w:rsidR="008B41C6" w:rsidRPr="004A053A" w:rsidRDefault="008B41C6" w:rsidP="00323E7A">
            <w:pPr>
              <w:pStyle w:val="Subtitle"/>
              <w:jc w:val="center"/>
              <w:rPr>
                <w:rFonts w:ascii="Arial Narrow" w:hAnsi="Arial Narrow" w:cs="Arial"/>
                <w:b/>
              </w:rPr>
            </w:pPr>
          </w:p>
          <w:p w:rsidR="008B41C6" w:rsidRPr="004A053A" w:rsidRDefault="008B41C6" w:rsidP="00323E7A">
            <w:pPr>
              <w:pStyle w:val="Subtitle"/>
              <w:jc w:val="center"/>
              <w:rPr>
                <w:rFonts w:ascii="Arial Narrow" w:hAnsi="Arial Narrow" w:cs="Arial"/>
                <w:b/>
              </w:rPr>
            </w:pPr>
            <w:r w:rsidRPr="004A053A">
              <w:rPr>
                <w:rFonts w:ascii="Arial Narrow" w:hAnsi="Arial Narrow" w:cs="Arial"/>
              </w:rPr>
              <w:t>NR</w:t>
            </w:r>
          </w:p>
          <w:p w:rsidR="008B41C6" w:rsidRPr="004A053A" w:rsidRDefault="008B41C6" w:rsidP="00323E7A">
            <w:pPr>
              <w:pStyle w:val="Subtitle"/>
              <w:jc w:val="center"/>
              <w:rPr>
                <w:rFonts w:ascii="Arial Narrow" w:hAnsi="Arial Narrow" w:cs="Arial"/>
                <w:b/>
              </w:rPr>
            </w:pPr>
            <w:r w:rsidRPr="004A053A">
              <w:rPr>
                <w:rFonts w:ascii="Arial Narrow" w:hAnsi="Arial Narrow" w:cs="Arial"/>
              </w:rPr>
              <w:t>NR</w:t>
            </w:r>
          </w:p>
        </w:tc>
        <w:tc>
          <w:tcPr>
            <w:tcW w:w="2126" w:type="dxa"/>
            <w:tcBorders>
              <w:bottom w:val="single" w:sz="4" w:space="0" w:color="auto"/>
            </w:tcBorders>
          </w:tcPr>
          <w:p w:rsidR="008B41C6" w:rsidRPr="004A053A" w:rsidRDefault="008B41C6" w:rsidP="00323E7A">
            <w:pPr>
              <w:pStyle w:val="Subtitle"/>
              <w:jc w:val="center"/>
              <w:rPr>
                <w:rFonts w:ascii="Arial Narrow" w:hAnsi="Arial Narrow" w:cs="Arial"/>
                <w:b/>
              </w:rPr>
            </w:pPr>
          </w:p>
          <w:p w:rsidR="008B41C6" w:rsidRPr="004A053A" w:rsidRDefault="008B41C6" w:rsidP="00323E7A">
            <w:pPr>
              <w:pStyle w:val="Subtitle"/>
              <w:jc w:val="center"/>
              <w:rPr>
                <w:rFonts w:ascii="Arial Narrow" w:hAnsi="Arial Narrow" w:cs="Arial"/>
                <w:b/>
              </w:rPr>
            </w:pPr>
            <w:r w:rsidRPr="004A053A">
              <w:rPr>
                <w:rFonts w:ascii="Arial Narrow" w:hAnsi="Arial Narrow" w:cs="Arial"/>
              </w:rPr>
              <w:t>NR</w:t>
            </w:r>
          </w:p>
          <w:p w:rsidR="008B41C6" w:rsidRPr="004A053A" w:rsidRDefault="008B41C6" w:rsidP="00323E7A">
            <w:pPr>
              <w:pStyle w:val="Subtitle"/>
              <w:jc w:val="center"/>
              <w:rPr>
                <w:rFonts w:ascii="Arial Narrow" w:hAnsi="Arial Narrow" w:cs="Arial"/>
                <w:b/>
              </w:rPr>
            </w:pPr>
            <w:r w:rsidRPr="004A053A">
              <w:rPr>
                <w:rFonts w:ascii="Arial Narrow" w:hAnsi="Arial Narrow" w:cs="Arial"/>
              </w:rPr>
              <w:t>NR</w:t>
            </w:r>
          </w:p>
        </w:tc>
        <w:tc>
          <w:tcPr>
            <w:tcW w:w="2034" w:type="dxa"/>
            <w:tcBorders>
              <w:bottom w:val="single" w:sz="4" w:space="0" w:color="auto"/>
            </w:tcBorders>
            <w:vAlign w:val="center"/>
          </w:tcPr>
          <w:p w:rsidR="008B41C6" w:rsidRPr="004A053A" w:rsidRDefault="008B41C6" w:rsidP="00323E7A">
            <w:pPr>
              <w:pStyle w:val="Subtitle"/>
              <w:jc w:val="center"/>
              <w:rPr>
                <w:rFonts w:ascii="Arial Narrow" w:hAnsi="Arial Narrow" w:cs="Arial"/>
                <w:b/>
              </w:rPr>
            </w:pPr>
            <w:r w:rsidRPr="004A053A">
              <w:rPr>
                <w:rFonts w:ascii="Arial Narrow" w:hAnsi="Arial Narrow" w:cs="Arial"/>
                <w:b/>
              </w:rPr>
              <w:t>0.57 (0.47, 0.70)</w:t>
            </w:r>
          </w:p>
        </w:tc>
      </w:tr>
      <w:tr w:rsidR="008B41C6" w:rsidRPr="004A053A" w:rsidTr="00242830">
        <w:tc>
          <w:tcPr>
            <w:tcW w:w="6379" w:type="dxa"/>
            <w:gridSpan w:val="3"/>
            <w:tcBorders>
              <w:bottom w:val="single" w:sz="4" w:space="0" w:color="auto"/>
            </w:tcBorders>
          </w:tcPr>
          <w:p w:rsidR="008B41C6" w:rsidRPr="004A053A" w:rsidRDefault="008B41C6" w:rsidP="00323E7A">
            <w:pPr>
              <w:pStyle w:val="Subtitle"/>
              <w:jc w:val="left"/>
              <w:rPr>
                <w:rFonts w:ascii="Arial Narrow" w:hAnsi="Arial Narrow" w:cs="Arial"/>
                <w:b/>
              </w:rPr>
            </w:pPr>
            <w:r w:rsidRPr="004A053A">
              <w:rPr>
                <w:rFonts w:ascii="Arial Narrow" w:hAnsi="Arial Narrow" w:cs="Arial"/>
              </w:rPr>
              <w:t>Overall response</w:t>
            </w:r>
          </w:p>
        </w:tc>
        <w:tc>
          <w:tcPr>
            <w:tcW w:w="2034" w:type="dxa"/>
            <w:tcBorders>
              <w:bottom w:val="single" w:sz="4" w:space="0" w:color="auto"/>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b/>
              </w:rPr>
              <w:t>RR (95% CI)</w:t>
            </w:r>
          </w:p>
        </w:tc>
      </w:tr>
      <w:tr w:rsidR="00242830" w:rsidRPr="004A053A" w:rsidTr="00242830">
        <w:tc>
          <w:tcPr>
            <w:tcW w:w="2268" w:type="dxa"/>
            <w:tcBorders>
              <w:top w:val="single" w:sz="4" w:space="0" w:color="auto"/>
              <w:bottom w:val="nil"/>
            </w:tcBorders>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Complete response</w:t>
            </w:r>
          </w:p>
        </w:tc>
        <w:tc>
          <w:tcPr>
            <w:tcW w:w="1985" w:type="dxa"/>
            <w:tcBorders>
              <w:top w:val="single" w:sz="4" w:space="0" w:color="auto"/>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28/316 (8.9%)</w:t>
            </w:r>
          </w:p>
        </w:tc>
        <w:tc>
          <w:tcPr>
            <w:tcW w:w="2126" w:type="dxa"/>
            <w:tcBorders>
              <w:top w:val="single" w:sz="4" w:space="0" w:color="auto"/>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7/315 (2.2%)</w:t>
            </w:r>
          </w:p>
        </w:tc>
        <w:tc>
          <w:tcPr>
            <w:tcW w:w="2034" w:type="dxa"/>
            <w:tcBorders>
              <w:top w:val="single" w:sz="4" w:space="0" w:color="auto"/>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b/>
                <w:bCs/>
                <w:lang w:val="en-US"/>
              </w:rPr>
              <w:t>3.99 (1.77, 8.99)</w:t>
            </w:r>
          </w:p>
        </w:tc>
      </w:tr>
      <w:tr w:rsidR="00242830" w:rsidRPr="004A053A" w:rsidTr="00242830">
        <w:tc>
          <w:tcPr>
            <w:tcW w:w="2268" w:type="dxa"/>
            <w:tcBorders>
              <w:top w:val="nil"/>
              <w:bottom w:val="nil"/>
            </w:tcBorders>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Partial response</w:t>
            </w:r>
          </w:p>
        </w:tc>
        <w:tc>
          <w:tcPr>
            <w:tcW w:w="1985"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110/316 (43.8%)</w:t>
            </w:r>
          </w:p>
        </w:tc>
        <w:tc>
          <w:tcPr>
            <w:tcW w:w="2126"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53/315 (16.8%)</w:t>
            </w:r>
          </w:p>
        </w:tc>
        <w:tc>
          <w:tcPr>
            <w:tcW w:w="2034"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b/>
                <w:bCs/>
                <w:lang w:val="en-US"/>
              </w:rPr>
              <w:t>2.07 (1.55, 2.76)</w:t>
            </w:r>
          </w:p>
        </w:tc>
      </w:tr>
      <w:tr w:rsidR="00242830" w:rsidRPr="004A053A" w:rsidTr="00242830">
        <w:tc>
          <w:tcPr>
            <w:tcW w:w="2268" w:type="dxa"/>
            <w:tcBorders>
              <w:top w:val="nil"/>
              <w:bottom w:val="nil"/>
            </w:tcBorders>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Stable disease</w:t>
            </w:r>
          </w:p>
        </w:tc>
        <w:tc>
          <w:tcPr>
            <w:tcW w:w="1985"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34/316 (10.8%)</w:t>
            </w:r>
          </w:p>
        </w:tc>
        <w:tc>
          <w:tcPr>
            <w:tcW w:w="2126"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69/315 (21.9%)</w:t>
            </w:r>
          </w:p>
        </w:tc>
        <w:tc>
          <w:tcPr>
            <w:tcW w:w="2034"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b/>
                <w:bCs/>
                <w:lang w:val="en-US"/>
              </w:rPr>
              <w:t>0.49 (0.34, 0.72)</w:t>
            </w:r>
          </w:p>
        </w:tc>
      </w:tr>
      <w:tr w:rsidR="00242830" w:rsidRPr="004A053A" w:rsidTr="00242830">
        <w:tc>
          <w:tcPr>
            <w:tcW w:w="2268" w:type="dxa"/>
            <w:tcBorders>
              <w:top w:val="nil"/>
              <w:bottom w:val="nil"/>
            </w:tcBorders>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Progressive disease</w:t>
            </w:r>
          </w:p>
        </w:tc>
        <w:tc>
          <w:tcPr>
            <w:tcW w:w="1985"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119/316 (37.7%)</w:t>
            </w:r>
          </w:p>
        </w:tc>
        <w:tc>
          <w:tcPr>
            <w:tcW w:w="2126"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154/315 (48.9%)</w:t>
            </w:r>
          </w:p>
        </w:tc>
        <w:tc>
          <w:tcPr>
            <w:tcW w:w="2034"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b/>
                <w:bCs/>
                <w:lang w:val="en-US"/>
              </w:rPr>
              <w:t>0.77 (0.64, 0.92)</w:t>
            </w:r>
          </w:p>
        </w:tc>
      </w:tr>
      <w:tr w:rsidR="00242830" w:rsidRPr="004A053A" w:rsidTr="00242830">
        <w:tc>
          <w:tcPr>
            <w:tcW w:w="2268" w:type="dxa"/>
            <w:tcBorders>
              <w:top w:val="nil"/>
            </w:tcBorders>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Unable to determine</w:t>
            </w:r>
          </w:p>
        </w:tc>
        <w:tc>
          <w:tcPr>
            <w:tcW w:w="1985" w:type="dxa"/>
            <w:tcBorders>
              <w:top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25/316 (7.9%)</w:t>
            </w:r>
          </w:p>
        </w:tc>
        <w:tc>
          <w:tcPr>
            <w:tcW w:w="2126" w:type="dxa"/>
            <w:tcBorders>
              <w:top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32/315 (10.2%)</w:t>
            </w:r>
          </w:p>
        </w:tc>
        <w:tc>
          <w:tcPr>
            <w:tcW w:w="2034" w:type="dxa"/>
            <w:tcBorders>
              <w:top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lang w:val="en-US"/>
              </w:rPr>
              <w:t>0.78 (0.47, 1.28)</w:t>
            </w:r>
          </w:p>
        </w:tc>
      </w:tr>
      <w:tr w:rsidR="00242830" w:rsidRPr="004A053A" w:rsidTr="00242830">
        <w:tc>
          <w:tcPr>
            <w:tcW w:w="2268" w:type="dxa"/>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Objective response rate</w:t>
            </w:r>
          </w:p>
        </w:tc>
        <w:tc>
          <w:tcPr>
            <w:tcW w:w="1985" w:type="dxa"/>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138/316 (43.7%)</w:t>
            </w:r>
          </w:p>
        </w:tc>
        <w:tc>
          <w:tcPr>
            <w:tcW w:w="2126" w:type="dxa"/>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60/315 (19.0%)</w:t>
            </w:r>
          </w:p>
        </w:tc>
        <w:tc>
          <w:tcPr>
            <w:tcW w:w="2034" w:type="dxa"/>
            <w:vAlign w:val="center"/>
          </w:tcPr>
          <w:p w:rsidR="008B41C6" w:rsidRPr="004A053A" w:rsidRDefault="008B41C6" w:rsidP="00323E7A">
            <w:pPr>
              <w:pStyle w:val="Subtitle"/>
              <w:jc w:val="center"/>
              <w:rPr>
                <w:rFonts w:ascii="Arial Narrow" w:hAnsi="Arial Narrow" w:cs="Arial"/>
                <w:b/>
              </w:rPr>
            </w:pPr>
            <w:r w:rsidRPr="004A053A">
              <w:rPr>
                <w:rFonts w:ascii="Arial Narrow" w:hAnsi="Arial Narrow"/>
                <w:b/>
                <w:bCs/>
                <w:lang w:val="en-US"/>
              </w:rPr>
              <w:t>2.29 (1.77, 2.97)</w:t>
            </w:r>
          </w:p>
        </w:tc>
      </w:tr>
      <w:tr w:rsidR="00242830" w:rsidRPr="004A053A" w:rsidTr="00242830">
        <w:tc>
          <w:tcPr>
            <w:tcW w:w="2268" w:type="dxa"/>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Total deaths</w:t>
            </w:r>
          </w:p>
        </w:tc>
        <w:tc>
          <w:tcPr>
            <w:tcW w:w="1985" w:type="dxa"/>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85</w:t>
            </w:r>
            <w:r w:rsidRPr="004A053A">
              <w:rPr>
                <w:rFonts w:ascii="Arial Narrow" w:hAnsi="Arial Narrow" w:cs="Arial"/>
                <w:vertAlign w:val="superscript"/>
              </w:rPr>
              <w:t>a</w:t>
            </w:r>
            <w:r w:rsidRPr="004A053A">
              <w:rPr>
                <w:rFonts w:ascii="Arial Narrow" w:hAnsi="Arial Narrow" w:cs="Arial"/>
              </w:rPr>
              <w:t xml:space="preserve"> (27.2%)</w:t>
            </w:r>
          </w:p>
        </w:tc>
        <w:tc>
          <w:tcPr>
            <w:tcW w:w="2126" w:type="dxa"/>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114</w:t>
            </w:r>
            <w:r w:rsidRPr="004A053A">
              <w:rPr>
                <w:rFonts w:ascii="Arial Narrow" w:hAnsi="Arial Narrow" w:cs="Arial"/>
                <w:vertAlign w:val="superscript"/>
              </w:rPr>
              <w:t>a</w:t>
            </w:r>
            <w:r w:rsidRPr="004A053A">
              <w:rPr>
                <w:rFonts w:ascii="Arial Narrow" w:hAnsi="Arial Narrow" w:cs="Arial"/>
              </w:rPr>
              <w:t xml:space="preserve"> (36.7%)</w:t>
            </w:r>
          </w:p>
        </w:tc>
        <w:tc>
          <w:tcPr>
            <w:tcW w:w="2034" w:type="dxa"/>
            <w:vAlign w:val="center"/>
          </w:tcPr>
          <w:p w:rsidR="008B41C6" w:rsidRPr="004A053A" w:rsidRDefault="008B41C6" w:rsidP="00323E7A">
            <w:pPr>
              <w:pStyle w:val="Subtitle"/>
              <w:jc w:val="center"/>
              <w:rPr>
                <w:rFonts w:ascii="Arial Narrow" w:hAnsi="Arial Narrow" w:cs="Arial"/>
                <w:b/>
              </w:rPr>
            </w:pPr>
            <w:r w:rsidRPr="004A053A">
              <w:rPr>
                <w:rFonts w:ascii="Arial Narrow" w:hAnsi="Arial Narrow"/>
                <w:b/>
                <w:bCs/>
                <w:lang w:val="en-US"/>
              </w:rPr>
              <w:t>0.74 (0.59, 0.94)</w:t>
            </w:r>
          </w:p>
        </w:tc>
      </w:tr>
      <w:tr w:rsidR="008B41C6" w:rsidRPr="004A053A" w:rsidTr="00E35544">
        <w:tc>
          <w:tcPr>
            <w:tcW w:w="8413" w:type="dxa"/>
            <w:gridSpan w:val="4"/>
          </w:tcPr>
          <w:p w:rsidR="008B41C6" w:rsidRPr="004A053A" w:rsidRDefault="008B41C6" w:rsidP="00323E7A">
            <w:pPr>
              <w:pStyle w:val="Subtitle"/>
              <w:jc w:val="left"/>
              <w:rPr>
                <w:rFonts w:ascii="Arial Narrow" w:hAnsi="Arial Narrow" w:cs="Arial"/>
                <w:b/>
              </w:rPr>
            </w:pPr>
            <w:r w:rsidRPr="004A053A">
              <w:rPr>
                <w:rFonts w:ascii="Arial Narrow" w:hAnsi="Arial Narrow" w:cs="Arial"/>
              </w:rPr>
              <w:t>Cause of death</w:t>
            </w:r>
          </w:p>
        </w:tc>
      </w:tr>
      <w:tr w:rsidR="00242830" w:rsidRPr="004A053A" w:rsidTr="00242830">
        <w:tc>
          <w:tcPr>
            <w:tcW w:w="2268" w:type="dxa"/>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Disease</w:t>
            </w:r>
          </w:p>
        </w:tc>
        <w:tc>
          <w:tcPr>
            <w:tcW w:w="1985" w:type="dxa"/>
            <w:tcBorders>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72</w:t>
            </w:r>
            <w:r w:rsidRPr="004A053A">
              <w:rPr>
                <w:rFonts w:ascii="Arial Narrow" w:hAnsi="Arial Narrow" w:cs="Arial"/>
                <w:vertAlign w:val="superscript"/>
              </w:rPr>
              <w:t>a</w:t>
            </w:r>
            <w:r w:rsidRPr="004A053A">
              <w:rPr>
                <w:rFonts w:ascii="Arial Narrow" w:hAnsi="Arial Narrow" w:cs="Arial"/>
              </w:rPr>
              <w:t xml:space="preserve"> (23.0%)</w:t>
            </w:r>
          </w:p>
        </w:tc>
        <w:tc>
          <w:tcPr>
            <w:tcW w:w="2126" w:type="dxa"/>
            <w:tcBorders>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102</w:t>
            </w:r>
            <w:r w:rsidRPr="004A053A">
              <w:rPr>
                <w:rFonts w:ascii="Arial Narrow" w:hAnsi="Arial Narrow" w:cs="Arial"/>
                <w:vertAlign w:val="superscript"/>
              </w:rPr>
              <w:t>a</w:t>
            </w:r>
            <w:r w:rsidRPr="004A053A">
              <w:rPr>
                <w:rFonts w:ascii="Arial Narrow" w:hAnsi="Arial Narrow" w:cs="Arial"/>
              </w:rPr>
              <w:t xml:space="preserve"> (32.8%)</w:t>
            </w:r>
          </w:p>
        </w:tc>
        <w:tc>
          <w:tcPr>
            <w:tcW w:w="2034" w:type="dxa"/>
            <w:tcBorders>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b/>
                <w:bCs/>
                <w:lang w:val="en-US"/>
              </w:rPr>
              <w:t>0.70 (0.54, 0.91)</w:t>
            </w:r>
          </w:p>
        </w:tc>
      </w:tr>
      <w:tr w:rsidR="00242830" w:rsidRPr="004A053A" w:rsidTr="00242830">
        <w:tc>
          <w:tcPr>
            <w:tcW w:w="2268" w:type="dxa"/>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Study drug toxicity</w:t>
            </w:r>
          </w:p>
        </w:tc>
        <w:tc>
          <w:tcPr>
            <w:tcW w:w="1985"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1 (0.3%)</w:t>
            </w:r>
          </w:p>
        </w:tc>
        <w:tc>
          <w:tcPr>
            <w:tcW w:w="2126"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1 (0.3%)</w:t>
            </w:r>
          </w:p>
        </w:tc>
        <w:tc>
          <w:tcPr>
            <w:tcW w:w="2034"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lang w:val="en-US"/>
              </w:rPr>
              <w:t>0.99 (0.06, 15.82)</w:t>
            </w:r>
          </w:p>
        </w:tc>
      </w:tr>
      <w:tr w:rsidR="00242830" w:rsidRPr="004A053A" w:rsidTr="00242830">
        <w:tc>
          <w:tcPr>
            <w:tcW w:w="2268" w:type="dxa"/>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Other</w:t>
            </w:r>
          </w:p>
        </w:tc>
        <w:tc>
          <w:tcPr>
            <w:tcW w:w="1985" w:type="dxa"/>
            <w:tcBorders>
              <w:top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12 (3.8%)</w:t>
            </w:r>
          </w:p>
        </w:tc>
        <w:tc>
          <w:tcPr>
            <w:tcW w:w="2126" w:type="dxa"/>
            <w:tcBorders>
              <w:top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16 (4.2%)</w:t>
            </w:r>
          </w:p>
        </w:tc>
        <w:tc>
          <w:tcPr>
            <w:tcW w:w="2034" w:type="dxa"/>
            <w:tcBorders>
              <w:top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lang w:val="en-US"/>
              </w:rPr>
              <w:t>0.75 (0.62, 1.55)</w:t>
            </w:r>
          </w:p>
        </w:tc>
      </w:tr>
      <w:tr w:rsidR="008B41C6" w:rsidRPr="004A053A" w:rsidTr="00E35544">
        <w:tc>
          <w:tcPr>
            <w:tcW w:w="8413" w:type="dxa"/>
            <w:gridSpan w:val="4"/>
          </w:tcPr>
          <w:p w:rsidR="008B41C6" w:rsidRPr="004A053A" w:rsidRDefault="008B41C6" w:rsidP="00323E7A">
            <w:pPr>
              <w:pStyle w:val="Subtitle"/>
              <w:jc w:val="left"/>
              <w:rPr>
                <w:rFonts w:ascii="Arial Narrow" w:hAnsi="Arial Narrow" w:cs="Arial"/>
                <w:b/>
              </w:rPr>
            </w:pPr>
            <w:r w:rsidRPr="004A053A">
              <w:rPr>
                <w:rFonts w:ascii="Arial Narrow" w:hAnsi="Arial Narrow" w:cs="Arial"/>
              </w:rPr>
              <w:t xml:space="preserve">Drug-related </w:t>
            </w:r>
            <w:r w:rsidR="00242830" w:rsidRPr="004A053A">
              <w:rPr>
                <w:rFonts w:ascii="Arial Narrow" w:hAnsi="Arial Narrow" w:cs="Arial"/>
              </w:rPr>
              <w:t>adverse events</w:t>
            </w:r>
            <w:r w:rsidRPr="004A053A">
              <w:rPr>
                <w:rFonts w:ascii="Arial Narrow" w:hAnsi="Arial Narrow" w:cs="Arial"/>
                <w:vertAlign w:val="superscript"/>
              </w:rPr>
              <w:t>b</w:t>
            </w:r>
          </w:p>
        </w:tc>
      </w:tr>
      <w:tr w:rsidR="00242830" w:rsidRPr="004A053A" w:rsidTr="00242830">
        <w:tc>
          <w:tcPr>
            <w:tcW w:w="2268" w:type="dxa"/>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Total events</w:t>
            </w:r>
          </w:p>
        </w:tc>
        <w:tc>
          <w:tcPr>
            <w:tcW w:w="1985" w:type="dxa"/>
            <w:tcBorders>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257/313 (82.1%)</w:t>
            </w:r>
          </w:p>
        </w:tc>
        <w:tc>
          <w:tcPr>
            <w:tcW w:w="2126" w:type="dxa"/>
            <w:tcBorders>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268/311 (86.2%)</w:t>
            </w:r>
          </w:p>
        </w:tc>
        <w:tc>
          <w:tcPr>
            <w:tcW w:w="2034" w:type="dxa"/>
            <w:tcBorders>
              <w:bottom w:val="nil"/>
            </w:tcBorders>
            <w:vAlign w:val="center"/>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0.95 (0.89, 1.02)</w:t>
            </w:r>
          </w:p>
        </w:tc>
      </w:tr>
      <w:tr w:rsidR="00242830" w:rsidRPr="004A053A" w:rsidTr="00242830">
        <w:tc>
          <w:tcPr>
            <w:tcW w:w="2268" w:type="dxa"/>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Grade 3-4 total events</w:t>
            </w:r>
          </w:p>
        </w:tc>
        <w:tc>
          <w:tcPr>
            <w:tcW w:w="1985"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51/313 (16.3%)</w:t>
            </w:r>
          </w:p>
        </w:tc>
        <w:tc>
          <w:tcPr>
            <w:tcW w:w="2126"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cs="Arial"/>
              </w:rPr>
              <w:t>85/311 (27.3%)</w:t>
            </w:r>
          </w:p>
        </w:tc>
        <w:tc>
          <w:tcPr>
            <w:tcW w:w="2034" w:type="dxa"/>
            <w:tcBorders>
              <w:top w:val="nil"/>
              <w:bottom w:val="nil"/>
            </w:tcBorders>
            <w:vAlign w:val="center"/>
          </w:tcPr>
          <w:p w:rsidR="008B41C6" w:rsidRPr="004A053A" w:rsidRDefault="008B41C6" w:rsidP="00323E7A">
            <w:pPr>
              <w:pStyle w:val="Subtitle"/>
              <w:jc w:val="center"/>
              <w:rPr>
                <w:rFonts w:ascii="Arial Narrow" w:hAnsi="Arial Narrow" w:cs="Arial"/>
                <w:b/>
              </w:rPr>
            </w:pPr>
            <w:r w:rsidRPr="004A053A">
              <w:rPr>
                <w:rFonts w:ascii="Arial Narrow" w:hAnsi="Arial Narrow" w:cs="Arial"/>
                <w:b/>
              </w:rPr>
              <w:t>0.60 (0.44, 0.81)</w:t>
            </w:r>
          </w:p>
        </w:tc>
      </w:tr>
      <w:tr w:rsidR="00242830" w:rsidRPr="004A053A" w:rsidTr="00242830">
        <w:tc>
          <w:tcPr>
            <w:tcW w:w="2268" w:type="dxa"/>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Diarrhoea</w:t>
            </w:r>
          </w:p>
        </w:tc>
        <w:tc>
          <w:tcPr>
            <w:tcW w:w="1985"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lang w:val="en-US"/>
              </w:rPr>
              <w:t>60/313 (19.2%)</w:t>
            </w:r>
          </w:p>
        </w:tc>
        <w:tc>
          <w:tcPr>
            <w:tcW w:w="2126"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lang w:val="en-US"/>
              </w:rPr>
              <w:t>103/311 (33.1%)</w:t>
            </w:r>
          </w:p>
        </w:tc>
        <w:tc>
          <w:tcPr>
            <w:tcW w:w="2034"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b/>
                <w:bCs/>
                <w:lang w:val="en-US"/>
              </w:rPr>
              <w:t>0.58 (0.44, 0.76)</w:t>
            </w:r>
          </w:p>
        </w:tc>
      </w:tr>
      <w:tr w:rsidR="00242830" w:rsidRPr="004A053A" w:rsidTr="00242830">
        <w:tc>
          <w:tcPr>
            <w:tcW w:w="2268" w:type="dxa"/>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Grade 3-4 diarrhoea</w:t>
            </w:r>
          </w:p>
        </w:tc>
        <w:tc>
          <w:tcPr>
            <w:tcW w:w="1985"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lang w:val="en-US"/>
              </w:rPr>
              <w:t>7/313 (2.2%)</w:t>
            </w:r>
          </w:p>
        </w:tc>
        <w:tc>
          <w:tcPr>
            <w:tcW w:w="2126"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lang w:val="en-US"/>
              </w:rPr>
              <w:t>19/311 (6.1%)</w:t>
            </w:r>
          </w:p>
        </w:tc>
        <w:tc>
          <w:tcPr>
            <w:tcW w:w="2034"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b/>
                <w:bCs/>
                <w:lang w:val="en-US"/>
              </w:rPr>
              <w:t>0.37 (0.16, 0.86)</w:t>
            </w:r>
          </w:p>
        </w:tc>
      </w:tr>
      <w:tr w:rsidR="00242830" w:rsidRPr="004A053A" w:rsidTr="00242830">
        <w:tc>
          <w:tcPr>
            <w:tcW w:w="2268" w:type="dxa"/>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Colitis</w:t>
            </w:r>
          </w:p>
        </w:tc>
        <w:tc>
          <w:tcPr>
            <w:tcW w:w="1985"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lang w:val="en-US"/>
              </w:rPr>
              <w:t>4/313 (1.3%)</w:t>
            </w:r>
          </w:p>
        </w:tc>
        <w:tc>
          <w:tcPr>
            <w:tcW w:w="2126"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lang w:val="en-US"/>
              </w:rPr>
              <w:t>36/311 (11.6%)</w:t>
            </w:r>
          </w:p>
        </w:tc>
        <w:tc>
          <w:tcPr>
            <w:tcW w:w="2034" w:type="dxa"/>
            <w:tcBorders>
              <w:top w:val="nil"/>
              <w:bottom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b/>
                <w:bCs/>
                <w:lang w:val="en-US"/>
              </w:rPr>
              <w:t>0.11 (0.04, 0.31)</w:t>
            </w:r>
          </w:p>
        </w:tc>
      </w:tr>
      <w:tr w:rsidR="00242830" w:rsidRPr="004A053A" w:rsidTr="00242830">
        <w:tc>
          <w:tcPr>
            <w:tcW w:w="2268" w:type="dxa"/>
          </w:tcPr>
          <w:p w:rsidR="008B41C6" w:rsidRPr="004A053A" w:rsidRDefault="008B41C6" w:rsidP="00323E7A">
            <w:pPr>
              <w:pStyle w:val="Subtitle"/>
              <w:tabs>
                <w:tab w:val="left" w:pos="142"/>
              </w:tabs>
              <w:jc w:val="left"/>
              <w:rPr>
                <w:rFonts w:ascii="Arial Narrow" w:hAnsi="Arial Narrow" w:cs="Arial"/>
                <w:b/>
              </w:rPr>
            </w:pPr>
            <w:r w:rsidRPr="004A053A">
              <w:rPr>
                <w:rFonts w:ascii="Arial Narrow" w:hAnsi="Arial Narrow" w:cs="Arial"/>
              </w:rPr>
              <w:tab/>
              <w:t>Grade 3-4 colitis</w:t>
            </w:r>
          </w:p>
        </w:tc>
        <w:tc>
          <w:tcPr>
            <w:tcW w:w="1985" w:type="dxa"/>
            <w:tcBorders>
              <w:top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lang w:val="en-US"/>
              </w:rPr>
              <w:t>2/313 (0.6%)</w:t>
            </w:r>
          </w:p>
        </w:tc>
        <w:tc>
          <w:tcPr>
            <w:tcW w:w="2126" w:type="dxa"/>
            <w:tcBorders>
              <w:top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lang w:val="en-US"/>
              </w:rPr>
              <w:t>27/311 (8.7%)</w:t>
            </w:r>
          </w:p>
        </w:tc>
        <w:tc>
          <w:tcPr>
            <w:tcW w:w="2034" w:type="dxa"/>
            <w:tcBorders>
              <w:top w:val="nil"/>
            </w:tcBorders>
          </w:tcPr>
          <w:p w:rsidR="008B41C6" w:rsidRPr="004A053A" w:rsidRDefault="008B41C6" w:rsidP="00323E7A">
            <w:pPr>
              <w:pStyle w:val="Subtitle"/>
              <w:jc w:val="center"/>
              <w:rPr>
                <w:rFonts w:ascii="Arial Narrow" w:hAnsi="Arial Narrow" w:cs="Arial"/>
                <w:b/>
              </w:rPr>
            </w:pPr>
            <w:r w:rsidRPr="004A053A">
              <w:rPr>
                <w:rFonts w:ascii="Arial Narrow" w:hAnsi="Arial Narrow"/>
                <w:b/>
                <w:bCs/>
                <w:lang w:val="en-US"/>
              </w:rPr>
              <w:t>0.07 (0.02, 0.31)</w:t>
            </w:r>
          </w:p>
        </w:tc>
      </w:tr>
    </w:tbl>
    <w:p w:rsidR="008B41C6" w:rsidRPr="004A053A" w:rsidRDefault="008B41C6" w:rsidP="00323E7A">
      <w:pPr>
        <w:pStyle w:val="Subtitle"/>
        <w:tabs>
          <w:tab w:val="left" w:pos="851"/>
        </w:tabs>
        <w:ind w:left="851" w:hanging="142"/>
        <w:rPr>
          <w:rFonts w:ascii="Arial Narrow" w:hAnsi="Arial Narrow" w:cs="Arial"/>
          <w:b/>
          <w:sz w:val="18"/>
          <w:szCs w:val="18"/>
        </w:rPr>
      </w:pPr>
      <w:r w:rsidRPr="004A053A">
        <w:rPr>
          <w:rFonts w:ascii="Arial Narrow" w:hAnsi="Arial Narrow" w:cs="Arial"/>
          <w:sz w:val="18"/>
          <w:szCs w:val="18"/>
          <w:vertAlign w:val="superscript"/>
        </w:rPr>
        <w:t>a</w:t>
      </w:r>
      <w:r w:rsidRPr="004A053A">
        <w:rPr>
          <w:rFonts w:ascii="Arial Narrow" w:hAnsi="Arial Narrow" w:cs="Arial"/>
          <w:sz w:val="18"/>
          <w:szCs w:val="18"/>
        </w:rPr>
        <w:tab/>
        <w:t>It is not clear what N is used as 85/316 provides a percentage of 26.9% and 114/315 results in a percentage of 36.2%.  Similar discordance with the percentages occurs with cause of death due to disease.</w:t>
      </w:r>
    </w:p>
    <w:p w:rsidR="008B41C6" w:rsidRPr="004A053A" w:rsidRDefault="008B41C6" w:rsidP="00323E7A">
      <w:pPr>
        <w:pStyle w:val="Subtitle"/>
        <w:tabs>
          <w:tab w:val="left" w:pos="851"/>
        </w:tabs>
        <w:ind w:left="851" w:hanging="142"/>
        <w:rPr>
          <w:rFonts w:ascii="Arial Narrow" w:hAnsi="Arial Narrow" w:cs="Arial"/>
          <w:sz w:val="18"/>
          <w:szCs w:val="18"/>
        </w:rPr>
      </w:pPr>
      <w:r w:rsidRPr="004A053A">
        <w:rPr>
          <w:rFonts w:ascii="Arial Narrow" w:hAnsi="Arial Narrow" w:cs="Arial"/>
          <w:sz w:val="18"/>
          <w:szCs w:val="18"/>
          <w:vertAlign w:val="superscript"/>
        </w:rPr>
        <w:t>b</w:t>
      </w:r>
      <w:r w:rsidRPr="004A053A">
        <w:rPr>
          <w:rFonts w:ascii="Arial Narrow" w:hAnsi="Arial Narrow" w:cs="Arial"/>
          <w:sz w:val="18"/>
          <w:szCs w:val="18"/>
        </w:rPr>
        <w:tab/>
        <w:t>the Ns for adverse events were not provided in the PSCR, but were obtained from the Larkin 2015 NEJM paper.</w:t>
      </w:r>
    </w:p>
    <w:p w:rsidR="008B41C6" w:rsidRPr="004A053A" w:rsidRDefault="008B41C6" w:rsidP="00323E7A">
      <w:pPr>
        <w:pStyle w:val="Subtitle"/>
        <w:tabs>
          <w:tab w:val="left" w:pos="851"/>
        </w:tabs>
        <w:ind w:left="851" w:hanging="142"/>
        <w:rPr>
          <w:rFonts w:ascii="Arial Narrow" w:hAnsi="Arial Narrow" w:cs="Arial"/>
          <w:b/>
          <w:sz w:val="18"/>
          <w:szCs w:val="18"/>
        </w:rPr>
      </w:pPr>
      <w:r w:rsidRPr="004A053A">
        <w:rPr>
          <w:rFonts w:ascii="Arial Narrow" w:hAnsi="Arial Narrow" w:cs="Arial"/>
          <w:sz w:val="18"/>
          <w:szCs w:val="18"/>
        </w:rPr>
        <w:t>HR=hazard ratio; NR=not reported; RR=relative risk</w:t>
      </w:r>
    </w:p>
    <w:p w:rsidR="008B41C6" w:rsidRPr="004A053A" w:rsidRDefault="008B41C6" w:rsidP="00323E7A">
      <w:pPr>
        <w:pStyle w:val="Subtitle"/>
        <w:ind w:left="709"/>
        <w:rPr>
          <w:rFonts w:ascii="Arial Narrow" w:hAnsi="Arial Narrow"/>
          <w:sz w:val="18"/>
          <w:szCs w:val="18"/>
        </w:rPr>
      </w:pPr>
      <w:r w:rsidRPr="004A053A">
        <w:rPr>
          <w:rFonts w:ascii="Arial Narrow" w:hAnsi="Arial Narrow"/>
          <w:sz w:val="18"/>
          <w:szCs w:val="18"/>
        </w:rPr>
        <w:t>Source: Table 1, p2 of the PSCR</w:t>
      </w:r>
      <w:r w:rsidR="00242830" w:rsidRPr="004A053A">
        <w:rPr>
          <w:rFonts w:ascii="Arial Narrow" w:hAnsi="Arial Narrow"/>
          <w:sz w:val="18"/>
          <w:szCs w:val="18"/>
        </w:rPr>
        <w:t>, as “Analysis using IPD, database lock: 17-Feb-2015, CSR expected mid-June 2015”</w:t>
      </w:r>
    </w:p>
    <w:p w:rsidR="000C6E04" w:rsidRDefault="000C6E04" w:rsidP="00323E7A">
      <w:pPr>
        <w:widowControl/>
      </w:pPr>
    </w:p>
    <w:p w:rsidR="000C6E04" w:rsidRPr="004A053A" w:rsidRDefault="000C6E04" w:rsidP="00323E7A">
      <w:pPr>
        <w:pStyle w:val="ListParagraph"/>
        <w:widowControl/>
        <w:numPr>
          <w:ilvl w:val="1"/>
          <w:numId w:val="23"/>
        </w:numPr>
        <w:ind w:left="709" w:hanging="709"/>
      </w:pPr>
      <w:r w:rsidRPr="004A053A">
        <w:t xml:space="preserve">The PSCR </w:t>
      </w:r>
      <w:r w:rsidR="00A07A17" w:rsidRPr="004A053A">
        <w:t xml:space="preserve">also </w:t>
      </w:r>
      <w:r w:rsidRPr="004A053A">
        <w:t xml:space="preserve">provided an indirect comparison of efficacy and safety based on CA209-067 </w:t>
      </w:r>
      <w:r w:rsidR="00A07A17" w:rsidRPr="004A053A">
        <w:t xml:space="preserve">for nivolumab </w:t>
      </w:r>
      <w:r w:rsidRPr="004A053A">
        <w:t>and K</w:t>
      </w:r>
      <w:r w:rsidR="00E35544" w:rsidRPr="004A053A">
        <w:t>N-</w:t>
      </w:r>
      <w:r w:rsidRPr="004A053A">
        <w:t xml:space="preserve">006 </w:t>
      </w:r>
      <w:r w:rsidR="00A07A17" w:rsidRPr="004A053A">
        <w:t>for pembrolizumab using ipilimumab as the common reference</w:t>
      </w:r>
      <w:r w:rsidRPr="004A053A">
        <w:t xml:space="preserve">. </w:t>
      </w:r>
      <w:r w:rsidR="002D78A1" w:rsidRPr="004A053A">
        <w:t xml:space="preserve"> </w:t>
      </w:r>
      <w:r w:rsidRPr="004A053A">
        <w:t>The ESC noted that</w:t>
      </w:r>
      <w:r w:rsidR="00A07A17" w:rsidRPr="004A053A">
        <w:t>,</w:t>
      </w:r>
      <w:r w:rsidRPr="004A053A">
        <w:t xml:space="preserve"> for the outcomes presented, there were no statistically significant differences between nivolumab and pembrolizumab, with the exception of colitis, with the difference favouring nivolumab.</w:t>
      </w:r>
      <w:r w:rsidR="002D78A1" w:rsidRPr="004A053A">
        <w:t xml:space="preserve">  However, given the limited information available to assess the exchangeability of these two trials, including whether the duration of follow-up was similar across the data analysed from the two trials, the ESC advised that the indirect comparison did not provide a strong basis to reach conclusions.</w:t>
      </w:r>
    </w:p>
    <w:p w:rsidR="000C6E04" w:rsidRPr="004A053A" w:rsidRDefault="000C6E04" w:rsidP="00323E7A">
      <w:pPr>
        <w:widowControl/>
      </w:pPr>
    </w:p>
    <w:p w:rsidR="00F73D49" w:rsidRPr="004A053A" w:rsidRDefault="00F73D49" w:rsidP="00323E7A">
      <w:pPr>
        <w:keepNext/>
        <w:widowControl/>
        <w:ind w:left="709"/>
        <w:rPr>
          <w:rFonts w:ascii="Arial Narrow" w:hAnsi="Arial Narrow" w:cs="Times New Roman"/>
          <w:b/>
          <w:sz w:val="20"/>
        </w:rPr>
      </w:pPr>
      <w:r w:rsidRPr="004A053A">
        <w:rPr>
          <w:rFonts w:ascii="Arial Narrow" w:hAnsi="Arial Narrow" w:cs="Times New Roman"/>
          <w:b/>
          <w:sz w:val="20"/>
        </w:rPr>
        <w:lastRenderedPageBreak/>
        <w:t>Table 7: Indirect comparison of nivolumab and pembrolizumab based on CA209-067 and K</w:t>
      </w:r>
      <w:r w:rsidR="00E35544" w:rsidRPr="004A053A">
        <w:rPr>
          <w:rFonts w:ascii="Arial Narrow" w:hAnsi="Arial Narrow" w:cs="Times New Roman"/>
          <w:b/>
          <w:sz w:val="20"/>
        </w:rPr>
        <w:t>N-</w:t>
      </w:r>
      <w:r w:rsidRPr="004A053A">
        <w:rPr>
          <w:rFonts w:ascii="Arial Narrow" w:hAnsi="Arial Narrow" w:cs="Times New Roman"/>
          <w:b/>
          <w:sz w:val="20"/>
        </w:rPr>
        <w:t>006</w:t>
      </w:r>
    </w:p>
    <w:tbl>
      <w:tblPr>
        <w:tblStyle w:val="TableGrid"/>
        <w:tblW w:w="8363" w:type="dxa"/>
        <w:tblInd w:w="817" w:type="dxa"/>
        <w:tblLook w:val="04A0" w:firstRow="1" w:lastRow="0" w:firstColumn="1" w:lastColumn="0" w:noHBand="0" w:noVBand="1"/>
        <w:tblCaption w:val="Indirect comparison of nivolumab and pembrolizumab based on CA209-067 and KN-006"/>
      </w:tblPr>
      <w:tblGrid>
        <w:gridCol w:w="1985"/>
        <w:gridCol w:w="2301"/>
        <w:gridCol w:w="2660"/>
        <w:gridCol w:w="1417"/>
      </w:tblGrid>
      <w:tr w:rsidR="00F73D49" w:rsidRPr="004A053A" w:rsidTr="00B54C91">
        <w:trPr>
          <w:tblHeader/>
        </w:trPr>
        <w:tc>
          <w:tcPr>
            <w:tcW w:w="1985" w:type="dxa"/>
          </w:tcPr>
          <w:p w:rsidR="00F73D49" w:rsidRPr="004A053A" w:rsidRDefault="00F73D49" w:rsidP="00323E7A">
            <w:pPr>
              <w:pStyle w:val="Subtitle"/>
              <w:keepNext/>
              <w:tabs>
                <w:tab w:val="left" w:pos="142"/>
              </w:tabs>
              <w:ind w:right="-141"/>
              <w:jc w:val="left"/>
              <w:rPr>
                <w:rFonts w:ascii="Arial Narrow" w:hAnsi="Arial Narrow" w:cs="Arial"/>
              </w:rPr>
            </w:pPr>
          </w:p>
        </w:tc>
        <w:tc>
          <w:tcPr>
            <w:tcW w:w="2301" w:type="dxa"/>
          </w:tcPr>
          <w:p w:rsidR="00F73D49" w:rsidRPr="004A053A" w:rsidRDefault="00F73D49" w:rsidP="00323E7A">
            <w:pPr>
              <w:pStyle w:val="Subtitle"/>
              <w:keepNext/>
              <w:tabs>
                <w:tab w:val="left" w:pos="142"/>
              </w:tabs>
              <w:ind w:left="-108" w:firstLine="108"/>
              <w:jc w:val="center"/>
              <w:rPr>
                <w:rFonts w:ascii="Arial Narrow" w:hAnsi="Arial Narrow" w:cs="Arial"/>
                <w:b/>
              </w:rPr>
            </w:pPr>
            <w:r w:rsidRPr="004A053A">
              <w:rPr>
                <w:rFonts w:ascii="Arial Narrow" w:hAnsi="Arial Narrow" w:cs="Arial"/>
                <w:b/>
              </w:rPr>
              <w:t>CA209-067</w:t>
            </w:r>
          </w:p>
          <w:p w:rsidR="00F73D49" w:rsidRPr="004A053A" w:rsidRDefault="00F73D49" w:rsidP="00323E7A">
            <w:pPr>
              <w:pStyle w:val="Subtitle"/>
              <w:keepNext/>
              <w:tabs>
                <w:tab w:val="left" w:pos="142"/>
              </w:tabs>
              <w:ind w:left="-108" w:firstLine="108"/>
              <w:jc w:val="center"/>
              <w:rPr>
                <w:rFonts w:ascii="Arial Narrow" w:hAnsi="Arial Narrow" w:cs="Arial"/>
                <w:b/>
              </w:rPr>
            </w:pPr>
            <w:r w:rsidRPr="004A053A">
              <w:rPr>
                <w:rFonts w:ascii="Arial Narrow" w:hAnsi="Arial Narrow" w:cs="Arial"/>
                <w:b/>
              </w:rPr>
              <w:t>nivolumab vs. ipilimumab</w:t>
            </w:r>
          </w:p>
        </w:tc>
        <w:tc>
          <w:tcPr>
            <w:tcW w:w="2660" w:type="dxa"/>
          </w:tcPr>
          <w:p w:rsidR="00F73D49" w:rsidRPr="004A053A" w:rsidRDefault="00F73D49" w:rsidP="00323E7A">
            <w:pPr>
              <w:pStyle w:val="Subtitle"/>
              <w:keepNext/>
              <w:tabs>
                <w:tab w:val="left" w:pos="142"/>
              </w:tabs>
              <w:ind w:left="-108" w:right="-74" w:firstLine="108"/>
              <w:jc w:val="center"/>
              <w:rPr>
                <w:rFonts w:ascii="Arial Narrow" w:hAnsi="Arial Narrow" w:cs="Arial"/>
                <w:b/>
              </w:rPr>
            </w:pPr>
            <w:r w:rsidRPr="004A053A">
              <w:rPr>
                <w:rFonts w:ascii="Arial Narrow" w:hAnsi="Arial Narrow" w:cs="Arial"/>
                <w:b/>
              </w:rPr>
              <w:t>K</w:t>
            </w:r>
            <w:r w:rsidR="00E35544" w:rsidRPr="004A053A">
              <w:rPr>
                <w:rFonts w:ascii="Arial Narrow" w:hAnsi="Arial Narrow" w:cs="Arial"/>
                <w:b/>
              </w:rPr>
              <w:t>N-</w:t>
            </w:r>
            <w:r w:rsidRPr="004A053A">
              <w:rPr>
                <w:rFonts w:ascii="Arial Narrow" w:hAnsi="Arial Narrow" w:cs="Arial"/>
                <w:b/>
              </w:rPr>
              <w:t>006</w:t>
            </w:r>
          </w:p>
          <w:p w:rsidR="00F73D49" w:rsidRPr="004A053A" w:rsidRDefault="00F73D49" w:rsidP="00323E7A">
            <w:pPr>
              <w:pStyle w:val="Subtitle"/>
              <w:keepNext/>
              <w:tabs>
                <w:tab w:val="left" w:pos="142"/>
              </w:tabs>
              <w:ind w:left="-108" w:right="-74" w:firstLine="108"/>
              <w:jc w:val="center"/>
              <w:rPr>
                <w:rFonts w:ascii="Arial Narrow" w:hAnsi="Arial Narrow" w:cs="Arial"/>
                <w:b/>
              </w:rPr>
            </w:pPr>
            <w:r w:rsidRPr="004A053A">
              <w:rPr>
                <w:rFonts w:ascii="Arial Narrow" w:hAnsi="Arial Narrow" w:cs="Arial"/>
                <w:b/>
              </w:rPr>
              <w:t>pembrolizumab vs. ipilimumab</w:t>
            </w:r>
          </w:p>
        </w:tc>
        <w:tc>
          <w:tcPr>
            <w:tcW w:w="1417" w:type="dxa"/>
            <w:vAlign w:val="center"/>
          </w:tcPr>
          <w:p w:rsidR="00F73D49" w:rsidRPr="004A053A" w:rsidRDefault="00F73D49" w:rsidP="00323E7A">
            <w:pPr>
              <w:pStyle w:val="Subtitle"/>
              <w:keepNext/>
              <w:tabs>
                <w:tab w:val="left" w:pos="142"/>
              </w:tabs>
              <w:ind w:left="-108" w:right="-107" w:firstLine="108"/>
              <w:jc w:val="center"/>
              <w:rPr>
                <w:rFonts w:ascii="Arial Narrow" w:hAnsi="Arial Narrow" w:cs="Arial"/>
                <w:b/>
              </w:rPr>
            </w:pPr>
            <w:r w:rsidRPr="004A053A">
              <w:rPr>
                <w:rFonts w:ascii="Arial Narrow" w:hAnsi="Arial Narrow" w:cs="Arial"/>
                <w:b/>
              </w:rPr>
              <w:t>Indirect</w:t>
            </w:r>
          </w:p>
          <w:p w:rsidR="00F73D49" w:rsidRPr="004A053A" w:rsidRDefault="00FB78A6" w:rsidP="00323E7A">
            <w:pPr>
              <w:pStyle w:val="Subtitle"/>
              <w:keepNext/>
              <w:tabs>
                <w:tab w:val="left" w:pos="142"/>
              </w:tabs>
              <w:ind w:left="-108" w:right="-107" w:firstLine="108"/>
              <w:jc w:val="center"/>
              <w:rPr>
                <w:rFonts w:ascii="Arial Narrow" w:hAnsi="Arial Narrow" w:cs="Arial"/>
                <w:b/>
              </w:rPr>
            </w:pPr>
            <w:r w:rsidRPr="004A053A">
              <w:rPr>
                <w:rFonts w:ascii="Arial Narrow" w:hAnsi="Arial Narrow" w:cs="Arial"/>
                <w:b/>
              </w:rPr>
              <w:t>n</w:t>
            </w:r>
            <w:r w:rsidR="00F73D49" w:rsidRPr="004A053A">
              <w:rPr>
                <w:rFonts w:ascii="Arial Narrow" w:hAnsi="Arial Narrow" w:cs="Arial"/>
                <w:b/>
              </w:rPr>
              <w:t>ivo vs. pembro</w:t>
            </w:r>
          </w:p>
        </w:tc>
      </w:tr>
      <w:tr w:rsidR="00F73D49" w:rsidRPr="004A053A" w:rsidTr="00B54C91">
        <w:tc>
          <w:tcPr>
            <w:tcW w:w="1985" w:type="dxa"/>
          </w:tcPr>
          <w:p w:rsidR="00F73D49" w:rsidRPr="004A053A" w:rsidRDefault="00F73D49" w:rsidP="00323E7A">
            <w:pPr>
              <w:pStyle w:val="Subtitle"/>
              <w:tabs>
                <w:tab w:val="left" w:pos="142"/>
              </w:tabs>
              <w:ind w:right="-141"/>
              <w:jc w:val="left"/>
              <w:rPr>
                <w:rFonts w:ascii="Arial Narrow" w:hAnsi="Arial Narrow" w:cs="Arial"/>
                <w:b/>
              </w:rPr>
            </w:pPr>
            <w:r w:rsidRPr="004A053A">
              <w:rPr>
                <w:rFonts w:ascii="Arial Narrow" w:hAnsi="Arial Narrow" w:cs="Arial"/>
                <w:b/>
              </w:rPr>
              <w:t>Benefits</w:t>
            </w:r>
          </w:p>
        </w:tc>
        <w:tc>
          <w:tcPr>
            <w:tcW w:w="6378" w:type="dxa"/>
            <w:gridSpan w:val="3"/>
          </w:tcPr>
          <w:p w:rsidR="00F73D49" w:rsidRPr="004A053A" w:rsidRDefault="00F73D49" w:rsidP="00323E7A">
            <w:pPr>
              <w:pStyle w:val="Subtitle"/>
              <w:tabs>
                <w:tab w:val="left" w:pos="142"/>
              </w:tabs>
              <w:ind w:left="-108" w:right="-107" w:firstLine="108"/>
              <w:jc w:val="center"/>
              <w:rPr>
                <w:rFonts w:ascii="Arial Narrow" w:hAnsi="Arial Narrow" w:cs="Arial"/>
                <w:b/>
              </w:rPr>
            </w:pPr>
            <w:r w:rsidRPr="004A053A">
              <w:rPr>
                <w:rFonts w:ascii="Arial Narrow" w:hAnsi="Arial Narrow" w:cs="Arial"/>
                <w:b/>
              </w:rPr>
              <w:t>HR (95% CI)</w:t>
            </w:r>
          </w:p>
        </w:tc>
      </w:tr>
      <w:tr w:rsidR="00F73D49" w:rsidRPr="004A053A" w:rsidTr="00B54C91">
        <w:tc>
          <w:tcPr>
            <w:tcW w:w="1985" w:type="dxa"/>
          </w:tcPr>
          <w:p w:rsidR="00F73D49" w:rsidRPr="004A053A" w:rsidRDefault="00F73D49" w:rsidP="00323E7A">
            <w:pPr>
              <w:pStyle w:val="Subtitle"/>
              <w:tabs>
                <w:tab w:val="left" w:pos="142"/>
              </w:tabs>
              <w:ind w:right="-141"/>
              <w:jc w:val="left"/>
              <w:rPr>
                <w:rFonts w:ascii="Arial Narrow" w:hAnsi="Arial Narrow" w:cs="Arial"/>
                <w:b/>
              </w:rPr>
            </w:pPr>
            <w:r w:rsidRPr="004A053A">
              <w:rPr>
                <w:rFonts w:ascii="Arial Narrow" w:hAnsi="Arial Narrow" w:cs="Arial"/>
              </w:rPr>
              <w:t>Overall survival</w:t>
            </w:r>
          </w:p>
        </w:tc>
        <w:tc>
          <w:tcPr>
            <w:tcW w:w="2301" w:type="dxa"/>
          </w:tcPr>
          <w:p w:rsidR="00F73D49" w:rsidRPr="002E345B" w:rsidRDefault="002E345B" w:rsidP="00323E7A">
            <w:pPr>
              <w:pStyle w:val="Subtitle"/>
              <w:tabs>
                <w:tab w:val="left" w:pos="142"/>
              </w:tabs>
              <w:ind w:left="-108" w:firstLine="108"/>
              <w:jc w:val="center"/>
              <w:rPr>
                <w:rFonts w:ascii="Arial Narrow" w:hAnsi="Arial Narrow" w:cs="Arial"/>
                <w:b/>
                <w:highlight w:val="black"/>
              </w:rPr>
            </w:pPr>
            <w:r>
              <w:rPr>
                <w:rFonts w:ascii="Arial Narrow" w:hAnsi="Arial Narrow" w:cs="Arial"/>
                <w:noProof/>
                <w:color w:val="000000"/>
                <w:highlight w:val="black"/>
              </w:rPr>
              <w:t>''''''''''' ''''''''''''''' ''''''''''''''</w:t>
            </w:r>
          </w:p>
        </w:tc>
        <w:tc>
          <w:tcPr>
            <w:tcW w:w="2660" w:type="dxa"/>
          </w:tcPr>
          <w:p w:rsidR="00F73D49" w:rsidRPr="004A053A" w:rsidRDefault="00F73D49" w:rsidP="00323E7A">
            <w:pPr>
              <w:pStyle w:val="Subtitle"/>
              <w:tabs>
                <w:tab w:val="left" w:pos="142"/>
              </w:tabs>
              <w:ind w:left="-108" w:right="-74" w:firstLine="108"/>
              <w:jc w:val="center"/>
              <w:rPr>
                <w:rFonts w:ascii="Arial Narrow" w:hAnsi="Arial Narrow" w:cs="Arial"/>
                <w:b/>
              </w:rPr>
            </w:pPr>
            <w:r w:rsidRPr="004A053A">
              <w:rPr>
                <w:rFonts w:ascii="Arial Narrow" w:hAnsi="Arial Narrow" w:cs="Arial"/>
              </w:rPr>
              <w:t>0.69 (0.52, 0.90)</w:t>
            </w:r>
          </w:p>
        </w:tc>
        <w:tc>
          <w:tcPr>
            <w:tcW w:w="1417" w:type="dxa"/>
            <w:vAlign w:val="center"/>
          </w:tcPr>
          <w:p w:rsidR="00F73D49" w:rsidRPr="002E345B" w:rsidRDefault="002E345B" w:rsidP="00323E7A">
            <w:pPr>
              <w:pStyle w:val="Subtitle"/>
              <w:tabs>
                <w:tab w:val="left" w:pos="142"/>
              </w:tabs>
              <w:ind w:left="-108" w:right="-107" w:firstLine="108"/>
              <w:jc w:val="center"/>
              <w:rPr>
                <w:rFonts w:ascii="Arial Narrow" w:hAnsi="Arial Narrow" w:cs="Arial"/>
                <w:b/>
                <w:highlight w:val="black"/>
              </w:rPr>
            </w:pPr>
            <w:r>
              <w:rPr>
                <w:rFonts w:ascii="Arial Narrow" w:hAnsi="Arial Narrow" w:cs="Arial"/>
                <w:noProof/>
                <w:color w:val="000000"/>
                <w:highlight w:val="black"/>
              </w:rPr>
              <w:t>'''''''''''' ''''''''''''' '''''''''''''</w:t>
            </w:r>
          </w:p>
        </w:tc>
      </w:tr>
      <w:tr w:rsidR="00F73D49" w:rsidRPr="004A053A" w:rsidTr="00B54C91">
        <w:tc>
          <w:tcPr>
            <w:tcW w:w="1985" w:type="dxa"/>
            <w:tcBorders>
              <w:bottom w:val="single" w:sz="4" w:space="0" w:color="auto"/>
            </w:tcBorders>
          </w:tcPr>
          <w:p w:rsidR="00F73D49" w:rsidRPr="004A053A" w:rsidRDefault="00F73D49" w:rsidP="00323E7A">
            <w:pPr>
              <w:pStyle w:val="Subtitle"/>
              <w:tabs>
                <w:tab w:val="left" w:pos="142"/>
              </w:tabs>
              <w:ind w:right="-141"/>
              <w:jc w:val="left"/>
              <w:rPr>
                <w:rFonts w:ascii="Arial Narrow" w:hAnsi="Arial Narrow" w:cs="Arial"/>
                <w:b/>
              </w:rPr>
            </w:pPr>
            <w:r w:rsidRPr="004A053A">
              <w:rPr>
                <w:rFonts w:ascii="Arial Narrow" w:hAnsi="Arial Narrow" w:cs="Arial"/>
              </w:rPr>
              <w:t>Progression-free survival</w:t>
            </w:r>
          </w:p>
        </w:tc>
        <w:tc>
          <w:tcPr>
            <w:tcW w:w="2301" w:type="dxa"/>
            <w:tcBorders>
              <w:bottom w:val="single" w:sz="4" w:space="0" w:color="auto"/>
            </w:tcBorders>
          </w:tcPr>
          <w:p w:rsidR="00F73D49" w:rsidRPr="004A053A" w:rsidRDefault="00F73D49" w:rsidP="00323E7A">
            <w:pPr>
              <w:pStyle w:val="Subtitle"/>
              <w:tabs>
                <w:tab w:val="left" w:pos="142"/>
              </w:tabs>
              <w:ind w:left="-108" w:firstLine="108"/>
              <w:jc w:val="center"/>
              <w:rPr>
                <w:rFonts w:ascii="Arial Narrow" w:hAnsi="Arial Narrow" w:cs="Arial"/>
                <w:b/>
              </w:rPr>
            </w:pPr>
            <w:r w:rsidRPr="004A053A">
              <w:rPr>
                <w:rFonts w:ascii="Arial Narrow" w:hAnsi="Arial Narrow" w:cs="Arial"/>
              </w:rPr>
              <w:t>0.57 (0.47, 0.70)</w:t>
            </w:r>
          </w:p>
        </w:tc>
        <w:tc>
          <w:tcPr>
            <w:tcW w:w="2660" w:type="dxa"/>
            <w:tcBorders>
              <w:bottom w:val="single" w:sz="4" w:space="0" w:color="auto"/>
            </w:tcBorders>
          </w:tcPr>
          <w:p w:rsidR="00F73D49" w:rsidRPr="004A053A" w:rsidRDefault="00F73D49" w:rsidP="00323E7A">
            <w:pPr>
              <w:pStyle w:val="Subtitle"/>
              <w:tabs>
                <w:tab w:val="left" w:pos="142"/>
              </w:tabs>
              <w:ind w:left="-108" w:right="-74" w:firstLine="108"/>
              <w:jc w:val="center"/>
              <w:rPr>
                <w:rFonts w:ascii="Arial Narrow" w:hAnsi="Arial Narrow" w:cs="Arial"/>
                <w:b/>
              </w:rPr>
            </w:pPr>
            <w:r w:rsidRPr="004A053A">
              <w:rPr>
                <w:rFonts w:ascii="Arial Narrow" w:hAnsi="Arial Narrow" w:cs="Arial"/>
              </w:rPr>
              <w:t>0.58 (0.47, 0.72)</w:t>
            </w:r>
          </w:p>
        </w:tc>
        <w:tc>
          <w:tcPr>
            <w:tcW w:w="1417" w:type="dxa"/>
            <w:tcBorders>
              <w:bottom w:val="single" w:sz="4" w:space="0" w:color="auto"/>
            </w:tcBorders>
            <w:vAlign w:val="center"/>
          </w:tcPr>
          <w:p w:rsidR="00F73D49" w:rsidRPr="004A053A" w:rsidRDefault="00F73D49" w:rsidP="00323E7A">
            <w:pPr>
              <w:pStyle w:val="Subtitle"/>
              <w:tabs>
                <w:tab w:val="left" w:pos="142"/>
              </w:tabs>
              <w:ind w:left="-108" w:right="-107" w:firstLine="108"/>
              <w:jc w:val="center"/>
              <w:rPr>
                <w:rFonts w:ascii="Arial Narrow" w:hAnsi="Arial Narrow" w:cs="Arial"/>
                <w:b/>
              </w:rPr>
            </w:pPr>
            <w:r w:rsidRPr="004A053A">
              <w:rPr>
                <w:rFonts w:ascii="Arial Narrow" w:hAnsi="Arial Narrow" w:cs="Arial"/>
              </w:rPr>
              <w:t>0.99 (0.74, 1.32)</w:t>
            </w:r>
          </w:p>
        </w:tc>
      </w:tr>
      <w:tr w:rsidR="00F73D49" w:rsidRPr="004A053A" w:rsidTr="00B54C91">
        <w:tc>
          <w:tcPr>
            <w:tcW w:w="1985" w:type="dxa"/>
            <w:tcBorders>
              <w:bottom w:val="single" w:sz="4" w:space="0" w:color="auto"/>
            </w:tcBorders>
          </w:tcPr>
          <w:p w:rsidR="00F73D49" w:rsidRPr="004A053A" w:rsidRDefault="00F73D49" w:rsidP="00323E7A">
            <w:pPr>
              <w:pStyle w:val="Subtitle"/>
              <w:tabs>
                <w:tab w:val="left" w:pos="142"/>
              </w:tabs>
              <w:ind w:right="-141"/>
              <w:jc w:val="left"/>
              <w:rPr>
                <w:rFonts w:ascii="Arial Narrow" w:hAnsi="Arial Narrow" w:cs="Arial"/>
                <w:b/>
              </w:rPr>
            </w:pPr>
            <w:r w:rsidRPr="004A053A">
              <w:rPr>
                <w:rFonts w:ascii="Arial Narrow" w:hAnsi="Arial Narrow" w:cs="Arial"/>
                <w:b/>
              </w:rPr>
              <w:t>Harms</w:t>
            </w:r>
          </w:p>
        </w:tc>
        <w:tc>
          <w:tcPr>
            <w:tcW w:w="6378" w:type="dxa"/>
            <w:gridSpan w:val="3"/>
            <w:tcBorders>
              <w:bottom w:val="single" w:sz="4" w:space="0" w:color="auto"/>
            </w:tcBorders>
          </w:tcPr>
          <w:p w:rsidR="00F73D49" w:rsidRPr="004A053A" w:rsidRDefault="00F73D49" w:rsidP="00323E7A">
            <w:pPr>
              <w:pStyle w:val="Subtitle"/>
              <w:tabs>
                <w:tab w:val="left" w:pos="142"/>
              </w:tabs>
              <w:ind w:left="-108" w:right="-107" w:firstLine="108"/>
              <w:jc w:val="center"/>
              <w:rPr>
                <w:rFonts w:ascii="Arial Narrow" w:hAnsi="Arial Narrow" w:cs="Arial"/>
                <w:b/>
              </w:rPr>
            </w:pPr>
            <w:r w:rsidRPr="004A053A">
              <w:rPr>
                <w:rFonts w:ascii="Arial Narrow" w:hAnsi="Arial Narrow" w:cs="Arial"/>
                <w:b/>
              </w:rPr>
              <w:t>RR (95% CI)</w:t>
            </w:r>
          </w:p>
        </w:tc>
      </w:tr>
      <w:tr w:rsidR="00F73D49" w:rsidRPr="004A053A" w:rsidTr="00B54C91">
        <w:tc>
          <w:tcPr>
            <w:tcW w:w="1985" w:type="dxa"/>
            <w:tcBorders>
              <w:bottom w:val="single" w:sz="4" w:space="0" w:color="auto"/>
            </w:tcBorders>
          </w:tcPr>
          <w:p w:rsidR="00F73D49" w:rsidRPr="004A053A" w:rsidRDefault="00F73D49" w:rsidP="00323E7A">
            <w:pPr>
              <w:pStyle w:val="Subtitle"/>
              <w:tabs>
                <w:tab w:val="left" w:pos="142"/>
              </w:tabs>
              <w:ind w:right="-141"/>
              <w:jc w:val="left"/>
              <w:rPr>
                <w:rFonts w:ascii="Arial Narrow" w:hAnsi="Arial Narrow" w:cs="Arial"/>
                <w:b/>
              </w:rPr>
            </w:pPr>
            <w:r w:rsidRPr="004A053A">
              <w:rPr>
                <w:rFonts w:ascii="Arial Narrow" w:hAnsi="Arial Narrow" w:cs="Arial"/>
              </w:rPr>
              <w:t xml:space="preserve">Total drug-related AEs </w:t>
            </w:r>
          </w:p>
        </w:tc>
        <w:tc>
          <w:tcPr>
            <w:tcW w:w="2301" w:type="dxa"/>
            <w:tcBorders>
              <w:bottom w:val="single" w:sz="4" w:space="0" w:color="auto"/>
            </w:tcBorders>
          </w:tcPr>
          <w:p w:rsidR="00F73D49" w:rsidRPr="004A053A" w:rsidRDefault="00F73D49" w:rsidP="00323E7A">
            <w:pPr>
              <w:pStyle w:val="Subtitle"/>
              <w:tabs>
                <w:tab w:val="left" w:pos="142"/>
              </w:tabs>
              <w:ind w:left="-108" w:firstLine="108"/>
              <w:jc w:val="center"/>
              <w:rPr>
                <w:rFonts w:ascii="Arial Narrow" w:hAnsi="Arial Narrow" w:cs="Arial"/>
                <w:b/>
              </w:rPr>
            </w:pPr>
            <w:r w:rsidRPr="004A053A">
              <w:rPr>
                <w:rFonts w:ascii="Arial Narrow" w:hAnsi="Arial Narrow" w:cs="Arial"/>
              </w:rPr>
              <w:t>0.95 (0.89, 1.02)</w:t>
            </w:r>
          </w:p>
        </w:tc>
        <w:tc>
          <w:tcPr>
            <w:tcW w:w="2660" w:type="dxa"/>
            <w:tcBorders>
              <w:bottom w:val="single" w:sz="4" w:space="0" w:color="auto"/>
            </w:tcBorders>
          </w:tcPr>
          <w:p w:rsidR="00F73D49" w:rsidRPr="004A053A" w:rsidRDefault="00F73D49" w:rsidP="00323E7A">
            <w:pPr>
              <w:pStyle w:val="Subtitle"/>
              <w:tabs>
                <w:tab w:val="left" w:pos="142"/>
              </w:tabs>
              <w:ind w:left="-108" w:right="-74" w:firstLine="108"/>
              <w:jc w:val="center"/>
              <w:rPr>
                <w:rFonts w:ascii="Arial Narrow" w:hAnsi="Arial Narrow" w:cs="Arial"/>
                <w:b/>
              </w:rPr>
            </w:pPr>
            <w:r w:rsidRPr="004A053A">
              <w:rPr>
                <w:rFonts w:ascii="Arial Narrow" w:hAnsi="Arial Narrow" w:cs="Arial"/>
              </w:rPr>
              <w:t>1.00 (0.90, 1.11)</w:t>
            </w:r>
          </w:p>
        </w:tc>
        <w:tc>
          <w:tcPr>
            <w:tcW w:w="1417" w:type="dxa"/>
            <w:tcBorders>
              <w:bottom w:val="single" w:sz="4" w:space="0" w:color="auto"/>
            </w:tcBorders>
            <w:vAlign w:val="center"/>
          </w:tcPr>
          <w:p w:rsidR="00F73D49" w:rsidRPr="004A053A" w:rsidRDefault="00F73D49" w:rsidP="00323E7A">
            <w:pPr>
              <w:pStyle w:val="Subtitle"/>
              <w:tabs>
                <w:tab w:val="left" w:pos="142"/>
              </w:tabs>
              <w:ind w:left="-108" w:right="-107" w:firstLine="108"/>
              <w:jc w:val="center"/>
              <w:rPr>
                <w:rFonts w:ascii="Arial Narrow" w:hAnsi="Arial Narrow" w:cs="Arial"/>
                <w:b/>
              </w:rPr>
            </w:pPr>
            <w:r w:rsidRPr="004A053A">
              <w:rPr>
                <w:rFonts w:ascii="Arial Narrow" w:hAnsi="Arial Narrow" w:cs="Arial"/>
              </w:rPr>
              <w:t>0.95 (0.84, 1.08)</w:t>
            </w:r>
          </w:p>
        </w:tc>
      </w:tr>
      <w:tr w:rsidR="00F73D49" w:rsidRPr="004A053A" w:rsidTr="00B54C91">
        <w:tc>
          <w:tcPr>
            <w:tcW w:w="1985" w:type="dxa"/>
            <w:tcBorders>
              <w:bottom w:val="single" w:sz="4" w:space="0" w:color="auto"/>
            </w:tcBorders>
          </w:tcPr>
          <w:p w:rsidR="00F73D49" w:rsidRPr="004A053A" w:rsidRDefault="00F73D49" w:rsidP="00323E7A">
            <w:pPr>
              <w:pStyle w:val="Subtitle"/>
              <w:tabs>
                <w:tab w:val="left" w:pos="142"/>
              </w:tabs>
              <w:ind w:right="-141"/>
              <w:jc w:val="left"/>
              <w:rPr>
                <w:rFonts w:ascii="Arial Narrow" w:hAnsi="Arial Narrow" w:cs="Arial"/>
                <w:b/>
              </w:rPr>
            </w:pPr>
            <w:r w:rsidRPr="004A053A">
              <w:rPr>
                <w:rFonts w:ascii="Arial Narrow" w:hAnsi="Arial Narrow" w:cs="Arial"/>
              </w:rPr>
              <w:tab/>
              <w:t>Diarrhoea</w:t>
            </w:r>
          </w:p>
        </w:tc>
        <w:tc>
          <w:tcPr>
            <w:tcW w:w="2301" w:type="dxa"/>
            <w:tcBorders>
              <w:bottom w:val="single" w:sz="4" w:space="0" w:color="auto"/>
            </w:tcBorders>
          </w:tcPr>
          <w:p w:rsidR="00F73D49" w:rsidRPr="004A053A" w:rsidRDefault="00F73D49" w:rsidP="00323E7A">
            <w:pPr>
              <w:pStyle w:val="Subtitle"/>
              <w:tabs>
                <w:tab w:val="left" w:pos="142"/>
              </w:tabs>
              <w:ind w:left="-108" w:firstLine="108"/>
              <w:jc w:val="center"/>
              <w:rPr>
                <w:rFonts w:ascii="Arial Narrow" w:hAnsi="Arial Narrow" w:cs="Arial"/>
                <w:b/>
              </w:rPr>
            </w:pPr>
            <w:r w:rsidRPr="004A053A">
              <w:rPr>
                <w:rFonts w:ascii="Arial Narrow" w:hAnsi="Arial Narrow" w:cs="Arial"/>
              </w:rPr>
              <w:t>0.58 (0.44, 0.76)</w:t>
            </w:r>
          </w:p>
        </w:tc>
        <w:tc>
          <w:tcPr>
            <w:tcW w:w="2660" w:type="dxa"/>
            <w:tcBorders>
              <w:bottom w:val="single" w:sz="4" w:space="0" w:color="auto"/>
            </w:tcBorders>
          </w:tcPr>
          <w:p w:rsidR="00F73D49" w:rsidRPr="004A053A" w:rsidRDefault="00F73D49" w:rsidP="00323E7A">
            <w:pPr>
              <w:pStyle w:val="Subtitle"/>
              <w:tabs>
                <w:tab w:val="left" w:pos="142"/>
              </w:tabs>
              <w:ind w:left="-108" w:right="-74" w:firstLine="108"/>
              <w:jc w:val="center"/>
              <w:rPr>
                <w:rFonts w:ascii="Arial Narrow" w:hAnsi="Arial Narrow" w:cs="Arial"/>
                <w:b/>
              </w:rPr>
            </w:pPr>
            <w:r w:rsidRPr="004A053A">
              <w:rPr>
                <w:rFonts w:ascii="Arial Narrow" w:hAnsi="Arial Narrow" w:cs="Arial"/>
              </w:rPr>
              <w:t>0.64 (0.44, 0.92)</w:t>
            </w:r>
          </w:p>
        </w:tc>
        <w:tc>
          <w:tcPr>
            <w:tcW w:w="1417" w:type="dxa"/>
            <w:tcBorders>
              <w:bottom w:val="single" w:sz="4" w:space="0" w:color="auto"/>
            </w:tcBorders>
            <w:vAlign w:val="center"/>
          </w:tcPr>
          <w:p w:rsidR="00F73D49" w:rsidRPr="004A053A" w:rsidRDefault="00F73D49" w:rsidP="00323E7A">
            <w:pPr>
              <w:pStyle w:val="Subtitle"/>
              <w:tabs>
                <w:tab w:val="left" w:pos="142"/>
              </w:tabs>
              <w:ind w:left="-108" w:right="-107" w:firstLine="108"/>
              <w:jc w:val="center"/>
              <w:rPr>
                <w:rFonts w:ascii="Arial Narrow" w:hAnsi="Arial Narrow" w:cs="Arial"/>
                <w:b/>
              </w:rPr>
            </w:pPr>
            <w:r w:rsidRPr="004A053A">
              <w:rPr>
                <w:rFonts w:ascii="Arial Narrow" w:hAnsi="Arial Narrow" w:cs="Arial"/>
              </w:rPr>
              <w:t>0.91 (0.57, 1.44)</w:t>
            </w:r>
          </w:p>
        </w:tc>
      </w:tr>
      <w:tr w:rsidR="00F73D49" w:rsidRPr="004A053A" w:rsidTr="00B54C91">
        <w:tc>
          <w:tcPr>
            <w:tcW w:w="1985" w:type="dxa"/>
            <w:tcBorders>
              <w:bottom w:val="single" w:sz="4" w:space="0" w:color="auto"/>
            </w:tcBorders>
          </w:tcPr>
          <w:p w:rsidR="00F73D49" w:rsidRPr="004A053A" w:rsidRDefault="00F73D49" w:rsidP="00323E7A">
            <w:pPr>
              <w:pStyle w:val="Subtitle"/>
              <w:tabs>
                <w:tab w:val="left" w:pos="142"/>
              </w:tabs>
              <w:ind w:right="-141"/>
              <w:jc w:val="left"/>
              <w:rPr>
                <w:rFonts w:ascii="Arial Narrow" w:hAnsi="Arial Narrow" w:cs="Arial"/>
                <w:b/>
              </w:rPr>
            </w:pPr>
            <w:r w:rsidRPr="004A053A">
              <w:rPr>
                <w:rFonts w:ascii="Arial Narrow" w:hAnsi="Arial Narrow" w:cs="Arial"/>
              </w:rPr>
              <w:tab/>
              <w:t>Colitis</w:t>
            </w:r>
          </w:p>
        </w:tc>
        <w:tc>
          <w:tcPr>
            <w:tcW w:w="2301" w:type="dxa"/>
            <w:tcBorders>
              <w:bottom w:val="single" w:sz="4" w:space="0" w:color="auto"/>
            </w:tcBorders>
          </w:tcPr>
          <w:p w:rsidR="00F73D49" w:rsidRPr="004A053A" w:rsidRDefault="00F73D49" w:rsidP="00323E7A">
            <w:pPr>
              <w:pStyle w:val="Subtitle"/>
              <w:tabs>
                <w:tab w:val="left" w:pos="142"/>
              </w:tabs>
              <w:ind w:left="-108" w:firstLine="108"/>
              <w:jc w:val="center"/>
              <w:rPr>
                <w:rFonts w:ascii="Arial Narrow" w:hAnsi="Arial Narrow" w:cs="Arial"/>
                <w:b/>
              </w:rPr>
            </w:pPr>
            <w:r w:rsidRPr="004A053A">
              <w:rPr>
                <w:rFonts w:ascii="Arial Narrow" w:hAnsi="Arial Narrow" w:cs="Arial"/>
              </w:rPr>
              <w:t>0.11 (0.04, 0.31)</w:t>
            </w:r>
          </w:p>
        </w:tc>
        <w:tc>
          <w:tcPr>
            <w:tcW w:w="2660" w:type="dxa"/>
            <w:tcBorders>
              <w:bottom w:val="single" w:sz="4" w:space="0" w:color="auto"/>
            </w:tcBorders>
          </w:tcPr>
          <w:p w:rsidR="00F73D49" w:rsidRPr="004A053A" w:rsidRDefault="00F73D49" w:rsidP="00323E7A">
            <w:pPr>
              <w:pStyle w:val="Subtitle"/>
              <w:tabs>
                <w:tab w:val="left" w:pos="142"/>
              </w:tabs>
              <w:ind w:left="-108" w:right="-74" w:firstLine="108"/>
              <w:jc w:val="center"/>
              <w:rPr>
                <w:rFonts w:ascii="Arial Narrow" w:hAnsi="Arial Narrow" w:cs="Arial"/>
                <w:b/>
              </w:rPr>
            </w:pPr>
            <w:r w:rsidRPr="004A053A">
              <w:rPr>
                <w:rFonts w:ascii="Arial Narrow" w:hAnsi="Arial Narrow" w:cs="Arial"/>
              </w:rPr>
              <w:t>0.44 (0.21, 0.92)</w:t>
            </w:r>
          </w:p>
        </w:tc>
        <w:tc>
          <w:tcPr>
            <w:tcW w:w="1417" w:type="dxa"/>
            <w:tcBorders>
              <w:bottom w:val="single" w:sz="4" w:space="0" w:color="auto"/>
            </w:tcBorders>
            <w:vAlign w:val="center"/>
          </w:tcPr>
          <w:p w:rsidR="00F73D49" w:rsidRPr="004A053A" w:rsidRDefault="00F73D49" w:rsidP="00323E7A">
            <w:pPr>
              <w:pStyle w:val="Subtitle"/>
              <w:tabs>
                <w:tab w:val="left" w:pos="142"/>
              </w:tabs>
              <w:ind w:left="-108" w:right="-107" w:firstLine="108"/>
              <w:jc w:val="center"/>
              <w:rPr>
                <w:rFonts w:ascii="Arial Narrow" w:hAnsi="Arial Narrow" w:cs="Arial"/>
              </w:rPr>
            </w:pPr>
            <w:r w:rsidRPr="004A053A">
              <w:rPr>
                <w:rFonts w:ascii="Arial Narrow" w:hAnsi="Arial Narrow" w:cs="Arial"/>
              </w:rPr>
              <w:t>0.25 (0.07, 0.88)</w:t>
            </w:r>
          </w:p>
        </w:tc>
      </w:tr>
    </w:tbl>
    <w:p w:rsidR="00F73D49" w:rsidRPr="004A053A" w:rsidRDefault="00F73D49" w:rsidP="00323E7A">
      <w:pPr>
        <w:pStyle w:val="Subtitle"/>
        <w:ind w:left="709"/>
        <w:rPr>
          <w:rFonts w:ascii="Arial Narrow" w:hAnsi="Arial Narrow" w:cs="Arial"/>
          <w:sz w:val="18"/>
          <w:szCs w:val="18"/>
        </w:rPr>
      </w:pPr>
      <w:r w:rsidRPr="004A053A">
        <w:rPr>
          <w:rFonts w:ascii="Arial Narrow" w:hAnsi="Arial Narrow" w:cs="Arial"/>
          <w:sz w:val="18"/>
          <w:szCs w:val="18"/>
        </w:rPr>
        <w:t>AE=adverse event</w:t>
      </w:r>
      <w:r w:rsidR="00FB78A6" w:rsidRPr="004A053A">
        <w:rPr>
          <w:rFonts w:ascii="Arial Narrow" w:hAnsi="Arial Narrow" w:cs="Arial"/>
          <w:sz w:val="18"/>
          <w:szCs w:val="18"/>
        </w:rPr>
        <w:t>; HR=hazard ratio; RR=relative risk</w:t>
      </w:r>
    </w:p>
    <w:p w:rsidR="00995681" w:rsidRPr="004A053A" w:rsidRDefault="00F73D49" w:rsidP="00323E7A">
      <w:pPr>
        <w:pStyle w:val="Subtitle"/>
        <w:ind w:left="709"/>
        <w:rPr>
          <w:rFonts w:ascii="Arial Narrow" w:hAnsi="Arial Narrow" w:cs="Arial"/>
          <w:b/>
          <w:sz w:val="18"/>
          <w:szCs w:val="18"/>
        </w:rPr>
      </w:pPr>
      <w:r w:rsidRPr="004A053A">
        <w:rPr>
          <w:rFonts w:ascii="Arial Narrow" w:hAnsi="Arial Narrow"/>
          <w:szCs w:val="18"/>
        </w:rPr>
        <w:t>Source: Table 2, p3 of the PSCR</w:t>
      </w:r>
    </w:p>
    <w:p w:rsidR="00F73D49" w:rsidRPr="00F73D49" w:rsidRDefault="00F73D49" w:rsidP="00323E7A">
      <w:pPr>
        <w:pStyle w:val="Heading2"/>
        <w:widowControl/>
        <w:rPr>
          <w:b w:val="0"/>
        </w:rPr>
      </w:pPr>
      <w:bookmarkStart w:id="13" w:name="_Toc419885974"/>
    </w:p>
    <w:p w:rsidR="00B60939" w:rsidRPr="002C2775" w:rsidRDefault="00B60939" w:rsidP="00323E7A">
      <w:pPr>
        <w:pStyle w:val="Heading2"/>
        <w:widowControl/>
        <w:rPr>
          <w:i/>
        </w:rPr>
      </w:pPr>
      <w:r w:rsidRPr="002C2775">
        <w:rPr>
          <w:i/>
        </w:rPr>
        <w:t>Clinical claim</w:t>
      </w:r>
      <w:bookmarkEnd w:id="13"/>
    </w:p>
    <w:p w:rsidR="00B60939" w:rsidRPr="004A053A" w:rsidRDefault="00B60939" w:rsidP="00323E7A">
      <w:pPr>
        <w:widowControl/>
        <w:ind w:left="720" w:hanging="720"/>
        <w:rPr>
          <w:szCs w:val="22"/>
        </w:rPr>
      </w:pPr>
    </w:p>
    <w:p w:rsidR="00B60939" w:rsidRPr="004A053A" w:rsidRDefault="00660E7A" w:rsidP="00323E7A">
      <w:pPr>
        <w:pStyle w:val="ListParagraph"/>
        <w:widowControl/>
        <w:numPr>
          <w:ilvl w:val="1"/>
          <w:numId w:val="23"/>
        </w:numPr>
        <w:ind w:left="709" w:hanging="709"/>
      </w:pPr>
      <w:r w:rsidRPr="004A053A">
        <w:t xml:space="preserve">The submission describes nivolumab as superior in terms of comparative efficacy and superior in terms of comparative safety </w:t>
      </w:r>
      <w:r w:rsidR="00E76D97" w:rsidRPr="004A053A">
        <w:t>over</w:t>
      </w:r>
      <w:r w:rsidRPr="004A053A">
        <w:t xml:space="preserve"> ipilimumab.  </w:t>
      </w:r>
      <w:r w:rsidR="001B5C1D" w:rsidRPr="004A053A">
        <w:t xml:space="preserve">The ESC considered that </w:t>
      </w:r>
      <w:r w:rsidR="004A6372" w:rsidRPr="004A053A">
        <w:t>t</w:t>
      </w:r>
      <w:r w:rsidRPr="004A053A">
        <w:t xml:space="preserve">his claim </w:t>
      </w:r>
      <w:r w:rsidR="002A6DB6" w:rsidRPr="004A053A">
        <w:t>wa</w:t>
      </w:r>
      <w:r w:rsidRPr="004A053A">
        <w:t>s not adequately supported</w:t>
      </w:r>
      <w:r w:rsidR="001B5C1D" w:rsidRPr="004A053A">
        <w:t xml:space="preserve"> by the indirect comparison presented by the submission</w:t>
      </w:r>
      <w:r w:rsidRPr="004A053A">
        <w:t>, for the following reasons:</w:t>
      </w:r>
    </w:p>
    <w:p w:rsidR="00E05FAA" w:rsidRPr="004A053A" w:rsidRDefault="0066298B" w:rsidP="00323E7A">
      <w:pPr>
        <w:pStyle w:val="ListParagraph"/>
        <w:widowControl/>
        <w:numPr>
          <w:ilvl w:val="0"/>
          <w:numId w:val="4"/>
        </w:numPr>
        <w:ind w:left="993" w:hanging="284"/>
        <w:rPr>
          <w:szCs w:val="22"/>
        </w:rPr>
      </w:pPr>
      <w:r w:rsidRPr="004A053A">
        <w:t>The trials used in the indirect comparison, CA209-066 for nivolumab and MDX010-20 for</w:t>
      </w:r>
      <w:r w:rsidR="00E05FAA" w:rsidRPr="004A053A">
        <w:t xml:space="preserve"> ipilimumab, </w:t>
      </w:r>
      <w:r w:rsidR="009738C5" w:rsidRPr="004A053A">
        <w:t>we</w:t>
      </w:r>
      <w:r w:rsidR="00E05FAA" w:rsidRPr="004A053A">
        <w:t xml:space="preserve">re </w:t>
      </w:r>
      <w:r w:rsidR="00EF01ED" w:rsidRPr="004A053A">
        <w:t>poorly exchangeabl</w:t>
      </w:r>
      <w:r w:rsidR="00794619" w:rsidRPr="004A053A">
        <w:t>e (see</w:t>
      </w:r>
      <w:r w:rsidR="00860340" w:rsidRPr="004A053A">
        <w:t xml:space="preserve"> </w:t>
      </w:r>
      <w:r w:rsidR="00860340" w:rsidRPr="00BB35C8">
        <w:t>paragraph</w:t>
      </w:r>
      <w:r w:rsidR="00794619" w:rsidRPr="00BB35C8">
        <w:t xml:space="preserve"> </w:t>
      </w:r>
      <w:r w:rsidR="009B6D28" w:rsidRPr="00BB35C8">
        <w:t>6.8</w:t>
      </w:r>
      <w:r w:rsidR="00794619" w:rsidRPr="004A053A">
        <w:t>, above)</w:t>
      </w:r>
      <w:r w:rsidR="00B02F92" w:rsidRPr="004A053A">
        <w:t>.</w:t>
      </w:r>
    </w:p>
    <w:p w:rsidR="00812ED7" w:rsidRPr="004A053A" w:rsidRDefault="00812ED7" w:rsidP="00323E7A">
      <w:pPr>
        <w:pStyle w:val="ListParagraph"/>
        <w:widowControl/>
        <w:numPr>
          <w:ilvl w:val="0"/>
          <w:numId w:val="5"/>
        </w:numPr>
        <w:ind w:left="993" w:hanging="284"/>
        <w:rPr>
          <w:szCs w:val="22"/>
        </w:rPr>
      </w:pPr>
      <w:r w:rsidRPr="004A053A">
        <w:t xml:space="preserve">The observed differences in OS and PFS had borderline statistical significance, with upper 95% confidence </w:t>
      </w:r>
      <w:r w:rsidR="00B02F92" w:rsidRPr="004A053A">
        <w:t>limits</w:t>
      </w:r>
      <w:r w:rsidRPr="004A053A">
        <w:t xml:space="preserve"> of 0.99 and 0.96, respectively.</w:t>
      </w:r>
    </w:p>
    <w:p w:rsidR="00812ED7" w:rsidRPr="004A053A" w:rsidRDefault="00812ED7" w:rsidP="00323E7A">
      <w:pPr>
        <w:pStyle w:val="ListParagraph"/>
        <w:widowControl/>
        <w:numPr>
          <w:ilvl w:val="0"/>
          <w:numId w:val="5"/>
        </w:numPr>
        <w:ind w:left="993" w:hanging="284"/>
        <w:rPr>
          <w:szCs w:val="22"/>
        </w:rPr>
      </w:pPr>
      <w:r w:rsidRPr="004A053A">
        <w:t>Stati</w:t>
      </w:r>
      <w:r w:rsidR="00B37794" w:rsidRPr="004A053A">
        <w:t>s</w:t>
      </w:r>
      <w:r w:rsidRPr="004A053A">
        <w:t>tically significant differences were observed for two safety outcomes, any severe drug-related AE (grade ≥3) and any serious AE</w:t>
      </w:r>
      <w:r w:rsidR="00B37794" w:rsidRPr="004A053A">
        <w:t>.  No statistically significant differences were observed for individual adverse events.</w:t>
      </w:r>
    </w:p>
    <w:p w:rsidR="004A6A8F" w:rsidRPr="004A053A" w:rsidRDefault="004A6A8F" w:rsidP="00323E7A">
      <w:pPr>
        <w:widowControl/>
        <w:ind w:left="709"/>
        <w:rPr>
          <w:szCs w:val="22"/>
        </w:rPr>
      </w:pPr>
      <w:r w:rsidRPr="004A053A">
        <w:rPr>
          <w:szCs w:val="22"/>
        </w:rPr>
        <w:t xml:space="preserve">Overall, there was not strong support for the claimed superiority of nivolumab over ipilimumab on the basis of the </w:t>
      </w:r>
      <w:r w:rsidR="00B02F92" w:rsidRPr="004A053A">
        <w:rPr>
          <w:szCs w:val="22"/>
        </w:rPr>
        <w:t>clinical evidence</w:t>
      </w:r>
      <w:r w:rsidRPr="004A053A">
        <w:rPr>
          <w:szCs w:val="22"/>
        </w:rPr>
        <w:t xml:space="preserve"> presented.  The submission also assumed that the observed results, based on BRAF wild</w:t>
      </w:r>
      <w:r w:rsidR="00B02F92" w:rsidRPr="004A053A">
        <w:rPr>
          <w:szCs w:val="22"/>
        </w:rPr>
        <w:t>-</w:t>
      </w:r>
      <w:r w:rsidRPr="004A053A">
        <w:rPr>
          <w:szCs w:val="22"/>
        </w:rPr>
        <w:t xml:space="preserve">type patients in CA209-066 and MDX010-20, where BRAF status was unknown, would apply to BRAF mutant patients.  </w:t>
      </w:r>
      <w:r w:rsidR="0005411F" w:rsidRPr="004A053A">
        <w:rPr>
          <w:szCs w:val="22"/>
        </w:rPr>
        <w:t>The ESC considered that there was no strong support for this assumption, given the lack of conclusive evidence that BRAF status does or does not have consequences for outcomes in this setting.</w:t>
      </w:r>
    </w:p>
    <w:p w:rsidR="001B5C1D" w:rsidRPr="004A053A" w:rsidRDefault="001B5C1D" w:rsidP="00323E7A">
      <w:pPr>
        <w:widowControl/>
        <w:rPr>
          <w:szCs w:val="22"/>
        </w:rPr>
      </w:pPr>
    </w:p>
    <w:p w:rsidR="001B5C1D" w:rsidRPr="004A053A" w:rsidRDefault="001B5C1D" w:rsidP="00323E7A">
      <w:pPr>
        <w:pStyle w:val="ListParagraph"/>
        <w:widowControl/>
        <w:numPr>
          <w:ilvl w:val="1"/>
          <w:numId w:val="23"/>
        </w:numPr>
        <w:ind w:left="709" w:hanging="709"/>
        <w:rPr>
          <w:szCs w:val="22"/>
        </w:rPr>
      </w:pPr>
      <w:r w:rsidRPr="004A053A">
        <w:rPr>
          <w:szCs w:val="22"/>
        </w:rPr>
        <w:t xml:space="preserve">The ESC considered that data from trial CA209-067 </w:t>
      </w:r>
      <w:r w:rsidR="00E76D97" w:rsidRPr="004A053A">
        <w:rPr>
          <w:szCs w:val="22"/>
        </w:rPr>
        <w:t xml:space="preserve">would likely provide stronger </w:t>
      </w:r>
      <w:r w:rsidRPr="004A053A">
        <w:rPr>
          <w:szCs w:val="22"/>
        </w:rPr>
        <w:t xml:space="preserve">support </w:t>
      </w:r>
      <w:r w:rsidR="00E76D97" w:rsidRPr="004A053A">
        <w:rPr>
          <w:szCs w:val="22"/>
        </w:rPr>
        <w:t xml:space="preserve">for </w:t>
      </w:r>
      <w:r w:rsidRPr="004A053A">
        <w:rPr>
          <w:szCs w:val="22"/>
        </w:rPr>
        <w:t xml:space="preserve">the submission’s clinical claim of superior comparative efficacy and safety </w:t>
      </w:r>
      <w:r w:rsidR="00E76D97" w:rsidRPr="004A053A">
        <w:rPr>
          <w:szCs w:val="22"/>
        </w:rPr>
        <w:t>over</w:t>
      </w:r>
      <w:r w:rsidRPr="004A053A">
        <w:rPr>
          <w:szCs w:val="22"/>
        </w:rPr>
        <w:t xml:space="preserve"> ipilimumab, </w:t>
      </w:r>
      <w:r w:rsidR="00433516" w:rsidRPr="004A053A">
        <w:rPr>
          <w:szCs w:val="22"/>
        </w:rPr>
        <w:t>but noted</w:t>
      </w:r>
      <w:r w:rsidRPr="004A053A">
        <w:rPr>
          <w:szCs w:val="22"/>
        </w:rPr>
        <w:t xml:space="preserve"> that the </w:t>
      </w:r>
      <w:r w:rsidR="00E76D97" w:rsidRPr="004A053A">
        <w:rPr>
          <w:szCs w:val="22"/>
        </w:rPr>
        <w:t xml:space="preserve">information about this trial and its results </w:t>
      </w:r>
      <w:r w:rsidR="00433516" w:rsidRPr="004A053A">
        <w:rPr>
          <w:szCs w:val="22"/>
        </w:rPr>
        <w:t>we</w:t>
      </w:r>
      <w:r w:rsidR="00E76D97" w:rsidRPr="004A053A">
        <w:rPr>
          <w:szCs w:val="22"/>
        </w:rPr>
        <w:t xml:space="preserve">re </w:t>
      </w:r>
      <w:r w:rsidRPr="004A053A">
        <w:rPr>
          <w:szCs w:val="22"/>
        </w:rPr>
        <w:t>limited and still emerging.</w:t>
      </w:r>
    </w:p>
    <w:p w:rsidR="00961381" w:rsidRPr="004A053A" w:rsidRDefault="00961381" w:rsidP="00323E7A">
      <w:pPr>
        <w:widowControl/>
        <w:rPr>
          <w:szCs w:val="22"/>
        </w:rPr>
      </w:pPr>
    </w:p>
    <w:p w:rsidR="00961381" w:rsidRPr="004A053A" w:rsidRDefault="00961381" w:rsidP="00323E7A">
      <w:pPr>
        <w:pStyle w:val="ListParagraph"/>
        <w:widowControl/>
        <w:numPr>
          <w:ilvl w:val="1"/>
          <w:numId w:val="23"/>
        </w:numPr>
        <w:ind w:left="709" w:hanging="709"/>
      </w:pPr>
      <w:r w:rsidRPr="004A053A">
        <w:t>The submission provided no substantive basis upon which to judge the comparative effectiveness and safety of nivolumab and pembrolizumab.</w:t>
      </w:r>
      <w:r w:rsidR="00E76D97" w:rsidRPr="004A053A">
        <w:t xml:space="preserve">  </w:t>
      </w:r>
      <w:r w:rsidR="00E76D97" w:rsidRPr="004A053A">
        <w:rPr>
          <w:szCs w:val="22"/>
        </w:rPr>
        <w:t>The ESC considered that the indirect comparison across trials CA209-067 and K</w:t>
      </w:r>
      <w:r w:rsidR="00E35544" w:rsidRPr="004A053A">
        <w:rPr>
          <w:szCs w:val="22"/>
        </w:rPr>
        <w:t>N-</w:t>
      </w:r>
      <w:r w:rsidR="00E76D97" w:rsidRPr="004A053A">
        <w:rPr>
          <w:szCs w:val="22"/>
        </w:rPr>
        <w:t>006 provide</w:t>
      </w:r>
      <w:r w:rsidR="00433516" w:rsidRPr="004A053A">
        <w:rPr>
          <w:szCs w:val="22"/>
        </w:rPr>
        <w:t>d</w:t>
      </w:r>
      <w:r w:rsidR="00E76D97" w:rsidRPr="004A053A">
        <w:rPr>
          <w:szCs w:val="22"/>
        </w:rPr>
        <w:t xml:space="preserve"> support for a conclusion of similar effectiveness and safety between nivolumab and pembrolizumab, </w:t>
      </w:r>
      <w:r w:rsidR="00433516" w:rsidRPr="004A053A">
        <w:rPr>
          <w:szCs w:val="22"/>
        </w:rPr>
        <w:t xml:space="preserve">but </w:t>
      </w:r>
      <w:r w:rsidR="00E76D97" w:rsidRPr="004A053A">
        <w:rPr>
          <w:szCs w:val="22"/>
        </w:rPr>
        <w:t>not</w:t>
      </w:r>
      <w:r w:rsidR="00433516" w:rsidRPr="004A053A">
        <w:rPr>
          <w:szCs w:val="22"/>
        </w:rPr>
        <w:t>ed</w:t>
      </w:r>
      <w:r w:rsidR="00E76D97" w:rsidRPr="004A053A">
        <w:rPr>
          <w:szCs w:val="22"/>
        </w:rPr>
        <w:t xml:space="preserve"> that the information about this comparison and its results </w:t>
      </w:r>
      <w:r w:rsidR="00433516" w:rsidRPr="004A053A">
        <w:rPr>
          <w:szCs w:val="22"/>
        </w:rPr>
        <w:t>we</w:t>
      </w:r>
      <w:r w:rsidR="00E76D97" w:rsidRPr="004A053A">
        <w:rPr>
          <w:szCs w:val="22"/>
        </w:rPr>
        <w:t>re limited and still emerging.</w:t>
      </w:r>
    </w:p>
    <w:p w:rsidR="00660E7A" w:rsidRPr="00882085" w:rsidRDefault="00660E7A" w:rsidP="00323E7A">
      <w:pPr>
        <w:widowControl/>
        <w:rPr>
          <w:szCs w:val="22"/>
        </w:rPr>
      </w:pPr>
    </w:p>
    <w:p w:rsidR="00B60939" w:rsidRPr="002C2775" w:rsidRDefault="00B60939" w:rsidP="00323E7A">
      <w:pPr>
        <w:pStyle w:val="Heading2"/>
        <w:widowControl/>
        <w:rPr>
          <w:i/>
        </w:rPr>
      </w:pPr>
      <w:bookmarkStart w:id="14" w:name="_Toc419885975"/>
      <w:r w:rsidRPr="002C2775">
        <w:rPr>
          <w:i/>
        </w:rPr>
        <w:t>Economic analysis</w:t>
      </w:r>
      <w:bookmarkEnd w:id="14"/>
    </w:p>
    <w:p w:rsidR="00B60939" w:rsidRPr="00882085" w:rsidRDefault="00B60939" w:rsidP="00323E7A">
      <w:pPr>
        <w:widowControl/>
        <w:ind w:left="720" w:hanging="720"/>
        <w:rPr>
          <w:szCs w:val="22"/>
        </w:rPr>
      </w:pPr>
    </w:p>
    <w:p w:rsidR="00B60939" w:rsidRPr="006C03DC" w:rsidRDefault="00863120" w:rsidP="00323E7A">
      <w:pPr>
        <w:pStyle w:val="ListParagraph"/>
        <w:widowControl/>
        <w:numPr>
          <w:ilvl w:val="1"/>
          <w:numId w:val="23"/>
        </w:numPr>
        <w:ind w:left="709" w:hanging="709"/>
      </w:pPr>
      <w:r w:rsidRPr="006C03DC">
        <w:t>The submission presented a cost-utility analysis of nivolumab versus ipilimumab.</w:t>
      </w:r>
      <w:r w:rsidR="005E347C" w:rsidRPr="006C03DC">
        <w:t xml:space="preserve">  The analysis </w:t>
      </w:r>
      <w:r w:rsidR="00F55FEC" w:rsidRPr="006C03DC">
        <w:t>wa</w:t>
      </w:r>
      <w:r w:rsidR="005E347C" w:rsidRPr="006C03DC">
        <w:t>s based on</w:t>
      </w:r>
      <w:r w:rsidR="00F55FEC" w:rsidRPr="006C03DC">
        <w:t xml:space="preserve"> a claim of superior efficacy and safety for nivolumab which is limited by the </w:t>
      </w:r>
      <w:r w:rsidR="00B02F92" w:rsidRPr="006C03DC">
        <w:t>poor exchangeability</w:t>
      </w:r>
      <w:r w:rsidR="00F55FEC" w:rsidRPr="006C03DC">
        <w:t xml:space="preserve"> of the trials included in the indirect </w:t>
      </w:r>
      <w:r w:rsidR="00F55FEC" w:rsidRPr="006C03DC">
        <w:lastRenderedPageBreak/>
        <w:t>comparison.</w:t>
      </w:r>
      <w:r w:rsidR="005E347C" w:rsidRPr="006C03DC">
        <w:t xml:space="preserve"> </w:t>
      </w:r>
      <w:r w:rsidR="00F55FEC" w:rsidRPr="006C03DC">
        <w:t xml:space="preserve"> </w:t>
      </w:r>
      <w:r w:rsidRPr="006C03DC">
        <w:t>The following table provides a summary of the structure and rationale of the model.</w:t>
      </w:r>
    </w:p>
    <w:p w:rsidR="00275C5A" w:rsidRDefault="00275C5A" w:rsidP="00323E7A">
      <w:pPr>
        <w:widowControl/>
        <w:rPr>
          <w:szCs w:val="22"/>
        </w:rPr>
      </w:pPr>
    </w:p>
    <w:p w:rsidR="00A144E7" w:rsidRDefault="00A144E7" w:rsidP="00323E7A">
      <w:pPr>
        <w:widowControl/>
        <w:ind w:firstLine="720"/>
        <w:rPr>
          <w:rStyle w:val="CommentReference"/>
        </w:rPr>
      </w:pPr>
      <w:r w:rsidRPr="00A56B6A">
        <w:rPr>
          <w:rStyle w:val="CommentReference"/>
        </w:rPr>
        <w:t xml:space="preserve">Table </w:t>
      </w:r>
      <w:r w:rsidR="003B088C">
        <w:rPr>
          <w:rStyle w:val="CommentReference"/>
        </w:rPr>
        <w:t>8</w:t>
      </w:r>
      <w:r w:rsidRPr="00A56B6A">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A144E7" w:rsidRPr="00E2771E" w:rsidTr="005E347C">
        <w:trPr>
          <w:tblHeader/>
        </w:trPr>
        <w:tc>
          <w:tcPr>
            <w:tcW w:w="1529" w:type="pct"/>
            <w:shd w:val="clear" w:color="auto" w:fill="auto"/>
            <w:vAlign w:val="center"/>
          </w:tcPr>
          <w:p w:rsidR="00A144E7" w:rsidRPr="00E2771E" w:rsidRDefault="00A144E7" w:rsidP="00323E7A">
            <w:pPr>
              <w:widowControl/>
              <w:jc w:val="left"/>
              <w:rPr>
                <w:rFonts w:ascii="Arial Narrow" w:hAnsi="Arial Narrow"/>
                <w:b/>
                <w:sz w:val="20"/>
              </w:rPr>
            </w:pPr>
            <w:r w:rsidRPr="00E2771E">
              <w:rPr>
                <w:rFonts w:ascii="Arial Narrow" w:hAnsi="Arial Narrow"/>
                <w:b/>
                <w:sz w:val="20"/>
              </w:rPr>
              <w:t>Component</w:t>
            </w:r>
          </w:p>
        </w:tc>
        <w:tc>
          <w:tcPr>
            <w:tcW w:w="3471" w:type="pct"/>
            <w:shd w:val="clear" w:color="auto" w:fill="auto"/>
            <w:vAlign w:val="center"/>
          </w:tcPr>
          <w:p w:rsidR="00A144E7" w:rsidRPr="00E2771E" w:rsidRDefault="00A144E7" w:rsidP="00323E7A">
            <w:pPr>
              <w:widowControl/>
              <w:jc w:val="center"/>
              <w:rPr>
                <w:rFonts w:ascii="Arial Narrow" w:hAnsi="Arial Narrow"/>
                <w:b/>
                <w:sz w:val="20"/>
              </w:rPr>
            </w:pPr>
            <w:r w:rsidRPr="00E2771E">
              <w:rPr>
                <w:rFonts w:ascii="Arial Narrow" w:hAnsi="Arial Narrow"/>
                <w:b/>
                <w:sz w:val="20"/>
              </w:rPr>
              <w:t>Summary</w:t>
            </w:r>
          </w:p>
        </w:tc>
      </w:tr>
      <w:tr w:rsidR="00A144E7" w:rsidRPr="00E2771E" w:rsidTr="005E347C">
        <w:tc>
          <w:tcPr>
            <w:tcW w:w="1529" w:type="pct"/>
            <w:shd w:val="clear" w:color="auto" w:fill="auto"/>
            <w:vAlign w:val="center"/>
          </w:tcPr>
          <w:p w:rsidR="00A144E7" w:rsidRPr="00E2771E" w:rsidRDefault="00A144E7" w:rsidP="00323E7A">
            <w:pPr>
              <w:widowControl/>
              <w:jc w:val="left"/>
              <w:rPr>
                <w:rFonts w:ascii="Arial Narrow" w:hAnsi="Arial Narrow"/>
                <w:sz w:val="20"/>
              </w:rPr>
            </w:pPr>
            <w:r w:rsidRPr="00E2771E">
              <w:rPr>
                <w:rFonts w:ascii="Arial Narrow" w:hAnsi="Arial Narrow"/>
                <w:sz w:val="20"/>
              </w:rPr>
              <w:t>Time horizon</w:t>
            </w:r>
          </w:p>
        </w:tc>
        <w:tc>
          <w:tcPr>
            <w:tcW w:w="3471" w:type="pct"/>
            <w:shd w:val="clear" w:color="auto" w:fill="auto"/>
          </w:tcPr>
          <w:p w:rsidR="00A144E7" w:rsidRPr="00E2771E" w:rsidRDefault="00A144E7" w:rsidP="00323E7A">
            <w:pPr>
              <w:widowControl/>
              <w:jc w:val="left"/>
              <w:rPr>
                <w:rFonts w:ascii="Arial Narrow" w:hAnsi="Arial Narrow"/>
                <w:sz w:val="20"/>
              </w:rPr>
            </w:pPr>
            <w:r w:rsidRPr="00653D30">
              <w:rPr>
                <w:rFonts w:ascii="Arial Narrow" w:hAnsi="Arial Narrow"/>
                <w:sz w:val="20"/>
              </w:rPr>
              <w:t>10 years in the model base case versus</w:t>
            </w:r>
            <w:r>
              <w:rPr>
                <w:rFonts w:ascii="Arial Narrow" w:hAnsi="Arial Narrow"/>
                <w:sz w:val="20"/>
              </w:rPr>
              <w:t xml:space="preserve"> 16 months in CA209-066</w:t>
            </w:r>
          </w:p>
        </w:tc>
      </w:tr>
      <w:tr w:rsidR="00A144E7" w:rsidRPr="00E2771E" w:rsidTr="005E347C">
        <w:tc>
          <w:tcPr>
            <w:tcW w:w="1529" w:type="pct"/>
            <w:shd w:val="clear" w:color="auto" w:fill="auto"/>
            <w:vAlign w:val="center"/>
          </w:tcPr>
          <w:p w:rsidR="00A144E7" w:rsidRPr="00E2771E" w:rsidRDefault="00A144E7" w:rsidP="00323E7A">
            <w:pPr>
              <w:widowControl/>
              <w:jc w:val="left"/>
              <w:rPr>
                <w:rFonts w:ascii="Arial Narrow" w:hAnsi="Arial Narrow"/>
                <w:sz w:val="20"/>
              </w:rPr>
            </w:pPr>
            <w:r w:rsidRPr="00E2771E">
              <w:rPr>
                <w:rFonts w:ascii="Arial Narrow" w:hAnsi="Arial Narrow"/>
                <w:sz w:val="20"/>
              </w:rPr>
              <w:t>Outcomes</w:t>
            </w:r>
          </w:p>
        </w:tc>
        <w:tc>
          <w:tcPr>
            <w:tcW w:w="3471" w:type="pct"/>
            <w:shd w:val="clear" w:color="auto" w:fill="auto"/>
          </w:tcPr>
          <w:p w:rsidR="00A144E7" w:rsidRPr="00E2771E" w:rsidRDefault="00A144E7" w:rsidP="00323E7A">
            <w:pPr>
              <w:widowControl/>
              <w:jc w:val="left"/>
              <w:rPr>
                <w:rFonts w:ascii="Arial Narrow" w:hAnsi="Arial Narrow"/>
                <w:sz w:val="20"/>
              </w:rPr>
            </w:pPr>
            <w:r>
              <w:rPr>
                <w:rFonts w:ascii="Arial Narrow" w:hAnsi="Arial Narrow"/>
                <w:sz w:val="20"/>
              </w:rPr>
              <w:t>LY</w:t>
            </w:r>
            <w:r w:rsidR="00B02F92">
              <w:rPr>
                <w:rFonts w:ascii="Arial Narrow" w:hAnsi="Arial Narrow"/>
                <w:sz w:val="20"/>
              </w:rPr>
              <w:t>s</w:t>
            </w:r>
            <w:r>
              <w:rPr>
                <w:rFonts w:ascii="Arial Narrow" w:hAnsi="Arial Narrow"/>
                <w:sz w:val="20"/>
              </w:rPr>
              <w:t xml:space="preserve"> and QALYs</w:t>
            </w:r>
          </w:p>
        </w:tc>
      </w:tr>
      <w:tr w:rsidR="00A144E7" w:rsidRPr="00E2771E" w:rsidTr="005E347C">
        <w:tc>
          <w:tcPr>
            <w:tcW w:w="1529" w:type="pct"/>
            <w:shd w:val="clear" w:color="auto" w:fill="auto"/>
            <w:vAlign w:val="center"/>
          </w:tcPr>
          <w:p w:rsidR="00A144E7" w:rsidRPr="00E2771E" w:rsidRDefault="00A144E7" w:rsidP="00323E7A">
            <w:pPr>
              <w:widowControl/>
              <w:jc w:val="left"/>
              <w:rPr>
                <w:rFonts w:ascii="Arial Narrow" w:hAnsi="Arial Narrow"/>
                <w:sz w:val="20"/>
              </w:rPr>
            </w:pPr>
            <w:r w:rsidRPr="00E2771E">
              <w:rPr>
                <w:rFonts w:ascii="Arial Narrow" w:hAnsi="Arial Narrow"/>
                <w:sz w:val="20"/>
              </w:rPr>
              <w:t>Methods used to generate results</w:t>
            </w:r>
          </w:p>
        </w:tc>
        <w:tc>
          <w:tcPr>
            <w:tcW w:w="3471" w:type="pct"/>
            <w:shd w:val="clear" w:color="auto" w:fill="auto"/>
          </w:tcPr>
          <w:p w:rsidR="00A144E7" w:rsidRPr="00E2771E" w:rsidRDefault="00A144E7" w:rsidP="00323E7A">
            <w:pPr>
              <w:widowControl/>
              <w:jc w:val="left"/>
              <w:rPr>
                <w:rFonts w:ascii="Arial Narrow" w:hAnsi="Arial Narrow"/>
                <w:sz w:val="20"/>
              </w:rPr>
            </w:pPr>
            <w:r>
              <w:rPr>
                <w:rFonts w:ascii="Arial Narrow" w:hAnsi="Arial Narrow"/>
                <w:sz w:val="20"/>
              </w:rPr>
              <w:t>C</w:t>
            </w:r>
            <w:r w:rsidRPr="00653D30">
              <w:rPr>
                <w:rFonts w:ascii="Arial Narrow" w:hAnsi="Arial Narrow"/>
                <w:sz w:val="20"/>
              </w:rPr>
              <w:t>ohort expected value analysis</w:t>
            </w:r>
            <w:r>
              <w:rPr>
                <w:rFonts w:ascii="Arial Narrow" w:hAnsi="Arial Narrow"/>
                <w:sz w:val="20"/>
              </w:rPr>
              <w:t xml:space="preserve"> based on log-logistic survival curves extrapolated from CA209-066 data, and the hazard ratio calculated from the indirect comparison of nivolumab and ipilimumab.</w:t>
            </w:r>
          </w:p>
        </w:tc>
      </w:tr>
      <w:tr w:rsidR="00A144E7" w:rsidRPr="00E2771E" w:rsidTr="005E347C">
        <w:trPr>
          <w:trHeight w:val="233"/>
        </w:trPr>
        <w:tc>
          <w:tcPr>
            <w:tcW w:w="1529" w:type="pct"/>
            <w:shd w:val="clear" w:color="auto" w:fill="auto"/>
            <w:vAlign w:val="center"/>
          </w:tcPr>
          <w:p w:rsidR="00A144E7" w:rsidRPr="00E2771E" w:rsidRDefault="00A144E7" w:rsidP="00323E7A">
            <w:pPr>
              <w:widowControl/>
              <w:jc w:val="left"/>
              <w:rPr>
                <w:rFonts w:ascii="Arial Narrow" w:hAnsi="Arial Narrow"/>
                <w:sz w:val="20"/>
              </w:rPr>
            </w:pPr>
            <w:r w:rsidRPr="00E2771E">
              <w:rPr>
                <w:rFonts w:ascii="Arial Narrow" w:hAnsi="Arial Narrow"/>
                <w:sz w:val="20"/>
              </w:rPr>
              <w:t>Health states</w:t>
            </w:r>
          </w:p>
        </w:tc>
        <w:tc>
          <w:tcPr>
            <w:tcW w:w="3471" w:type="pct"/>
            <w:shd w:val="clear" w:color="auto" w:fill="auto"/>
            <w:vAlign w:val="center"/>
          </w:tcPr>
          <w:p w:rsidR="00A144E7" w:rsidRPr="00E2771E" w:rsidRDefault="00433516" w:rsidP="00323E7A">
            <w:pPr>
              <w:widowControl/>
              <w:jc w:val="left"/>
              <w:rPr>
                <w:rFonts w:ascii="Arial Narrow" w:hAnsi="Arial Narrow"/>
                <w:sz w:val="20"/>
              </w:rPr>
            </w:pPr>
            <w:r>
              <w:rPr>
                <w:rFonts w:ascii="Arial Narrow" w:hAnsi="Arial Narrow"/>
                <w:sz w:val="20"/>
              </w:rPr>
              <w:t>Non-p</w:t>
            </w:r>
            <w:r w:rsidR="00A144E7">
              <w:rPr>
                <w:rFonts w:ascii="Arial Narrow" w:hAnsi="Arial Narrow"/>
                <w:sz w:val="20"/>
              </w:rPr>
              <w:t>rogressi</w:t>
            </w:r>
            <w:r>
              <w:rPr>
                <w:rFonts w:ascii="Arial Narrow" w:hAnsi="Arial Narrow"/>
                <w:sz w:val="20"/>
              </w:rPr>
              <w:t>ve disease</w:t>
            </w:r>
            <w:r w:rsidR="00A144E7">
              <w:rPr>
                <w:rFonts w:ascii="Arial Narrow" w:hAnsi="Arial Narrow"/>
                <w:sz w:val="20"/>
              </w:rPr>
              <w:t xml:space="preserve">, </w:t>
            </w:r>
            <w:r>
              <w:rPr>
                <w:rFonts w:ascii="Arial Narrow" w:hAnsi="Arial Narrow"/>
                <w:sz w:val="20"/>
              </w:rPr>
              <w:t>progressive disease</w:t>
            </w:r>
            <w:r w:rsidR="00A144E7">
              <w:rPr>
                <w:rFonts w:ascii="Arial Narrow" w:hAnsi="Arial Narrow"/>
                <w:sz w:val="20"/>
              </w:rPr>
              <w:t xml:space="preserve"> and death.</w:t>
            </w:r>
          </w:p>
        </w:tc>
      </w:tr>
      <w:tr w:rsidR="00A144E7" w:rsidRPr="00E2771E" w:rsidTr="005E347C">
        <w:trPr>
          <w:trHeight w:val="440"/>
        </w:trPr>
        <w:tc>
          <w:tcPr>
            <w:tcW w:w="1529" w:type="pct"/>
            <w:shd w:val="clear" w:color="auto" w:fill="auto"/>
            <w:vAlign w:val="center"/>
          </w:tcPr>
          <w:p w:rsidR="00A144E7" w:rsidRPr="00E2771E" w:rsidRDefault="00A144E7" w:rsidP="00323E7A">
            <w:pPr>
              <w:widowControl/>
              <w:jc w:val="left"/>
              <w:rPr>
                <w:rFonts w:ascii="Arial Narrow" w:hAnsi="Arial Narrow"/>
                <w:sz w:val="20"/>
              </w:rPr>
            </w:pPr>
            <w:r w:rsidRPr="00E2771E">
              <w:rPr>
                <w:rFonts w:ascii="Arial Narrow" w:hAnsi="Arial Narrow"/>
                <w:sz w:val="20"/>
              </w:rPr>
              <w:t>Cycle length</w:t>
            </w:r>
          </w:p>
        </w:tc>
        <w:tc>
          <w:tcPr>
            <w:tcW w:w="3471" w:type="pct"/>
            <w:shd w:val="clear" w:color="auto" w:fill="auto"/>
          </w:tcPr>
          <w:p w:rsidR="00A144E7" w:rsidRPr="00E2771E" w:rsidRDefault="00A144E7" w:rsidP="00323E7A">
            <w:pPr>
              <w:widowControl/>
              <w:jc w:val="left"/>
              <w:rPr>
                <w:rFonts w:ascii="Arial Narrow" w:hAnsi="Arial Narrow"/>
                <w:sz w:val="20"/>
              </w:rPr>
            </w:pPr>
            <w:r>
              <w:rPr>
                <w:rFonts w:ascii="Arial Narrow" w:hAnsi="Arial Narrow"/>
                <w:sz w:val="20"/>
              </w:rPr>
              <w:t>9 weeks for the first cycle, and 12 weeks for subsequent weeks. Half cycle correction applied</w:t>
            </w:r>
            <w:r w:rsidR="00B02F92">
              <w:rPr>
                <w:rFonts w:ascii="Arial Narrow" w:hAnsi="Arial Narrow"/>
                <w:sz w:val="20"/>
              </w:rPr>
              <w:t>.</w:t>
            </w:r>
          </w:p>
        </w:tc>
      </w:tr>
      <w:tr w:rsidR="00A144E7" w:rsidRPr="00E2771E" w:rsidTr="005E347C">
        <w:tc>
          <w:tcPr>
            <w:tcW w:w="1529" w:type="pct"/>
            <w:shd w:val="clear" w:color="auto" w:fill="auto"/>
            <w:vAlign w:val="center"/>
          </w:tcPr>
          <w:p w:rsidR="00A144E7" w:rsidRPr="00E2771E" w:rsidRDefault="00A144E7" w:rsidP="00323E7A">
            <w:pPr>
              <w:widowControl/>
              <w:jc w:val="left"/>
              <w:rPr>
                <w:rFonts w:ascii="Arial Narrow" w:hAnsi="Arial Narrow"/>
                <w:sz w:val="20"/>
              </w:rPr>
            </w:pPr>
            <w:r w:rsidRPr="00E2771E">
              <w:rPr>
                <w:rFonts w:ascii="Arial Narrow" w:hAnsi="Arial Narrow"/>
                <w:sz w:val="20"/>
              </w:rPr>
              <w:t>Transition probabilities</w:t>
            </w:r>
          </w:p>
        </w:tc>
        <w:tc>
          <w:tcPr>
            <w:tcW w:w="3471" w:type="pct"/>
            <w:shd w:val="clear" w:color="auto" w:fill="auto"/>
          </w:tcPr>
          <w:p w:rsidR="00A144E7" w:rsidRPr="00E2771E" w:rsidRDefault="00A144E7" w:rsidP="00323E7A">
            <w:pPr>
              <w:widowControl/>
              <w:jc w:val="left"/>
              <w:rPr>
                <w:rFonts w:ascii="Arial Narrow" w:hAnsi="Arial Narrow"/>
                <w:sz w:val="20"/>
              </w:rPr>
            </w:pPr>
            <w:r>
              <w:rPr>
                <w:rFonts w:ascii="Arial Narrow" w:hAnsi="Arial Narrow"/>
                <w:sz w:val="20"/>
              </w:rPr>
              <w:t>Nivolumab transition</w:t>
            </w:r>
            <w:r w:rsidR="004F042E">
              <w:rPr>
                <w:rFonts w:ascii="Arial Narrow" w:hAnsi="Arial Narrow"/>
                <w:sz w:val="20"/>
              </w:rPr>
              <w:t xml:space="preserve"> probabilities derived from log-</w:t>
            </w:r>
            <w:r>
              <w:rPr>
                <w:rFonts w:ascii="Arial Narrow" w:hAnsi="Arial Narrow"/>
                <w:sz w:val="20"/>
              </w:rPr>
              <w:t xml:space="preserve">logistic extrapolation of CA209-066 data. Ipilimumab transition probabilities were calculated by applying </w:t>
            </w:r>
            <w:r w:rsidR="00FB78A6">
              <w:rPr>
                <w:rFonts w:ascii="Arial Narrow" w:hAnsi="Arial Narrow"/>
                <w:sz w:val="20"/>
              </w:rPr>
              <w:t>hazard ratio</w:t>
            </w:r>
            <w:r>
              <w:rPr>
                <w:rFonts w:ascii="Arial Narrow" w:hAnsi="Arial Narrow"/>
                <w:sz w:val="20"/>
              </w:rPr>
              <w:t>s from the indirect nivolumab-ipilimumab comparison to nivolumab transition probabilities</w:t>
            </w:r>
            <w:r w:rsidR="00B02F92">
              <w:rPr>
                <w:rFonts w:ascii="Arial Narrow" w:hAnsi="Arial Narrow"/>
                <w:sz w:val="20"/>
              </w:rPr>
              <w:t>.</w:t>
            </w:r>
          </w:p>
        </w:tc>
      </w:tr>
    </w:tbl>
    <w:p w:rsidR="00A144E7" w:rsidRPr="00275C5A" w:rsidRDefault="00A144E7" w:rsidP="00323E7A">
      <w:pPr>
        <w:pStyle w:val="TableFooter"/>
        <w:widowControl/>
        <w:ind w:firstLine="720"/>
      </w:pPr>
      <w:r w:rsidRPr="00275C5A">
        <w:t>Source: compiled during the evaluation</w:t>
      </w:r>
      <w:r w:rsidR="00F55FEC">
        <w:t>. LY</w:t>
      </w:r>
      <w:r w:rsidR="00B02F92">
        <w:t>s</w:t>
      </w:r>
      <w:r w:rsidR="00F55FEC">
        <w:t>=life</w:t>
      </w:r>
      <w:r w:rsidR="00FB78A6">
        <w:t>-</w:t>
      </w:r>
      <w:r w:rsidR="00F55FEC">
        <w:t>years; QALYs=</w:t>
      </w:r>
      <w:r w:rsidR="00FB78A6">
        <w:t>quality-adjusted life-</w:t>
      </w:r>
      <w:r>
        <w:t>years.</w:t>
      </w:r>
    </w:p>
    <w:p w:rsidR="00275C5A" w:rsidRPr="004A053A" w:rsidRDefault="00275C5A" w:rsidP="00323E7A">
      <w:pPr>
        <w:widowControl/>
        <w:rPr>
          <w:szCs w:val="22"/>
        </w:rPr>
      </w:pPr>
    </w:p>
    <w:p w:rsidR="00E9215F" w:rsidRPr="004A053A" w:rsidRDefault="00E76D97" w:rsidP="00323E7A">
      <w:pPr>
        <w:pStyle w:val="ListParagraph"/>
        <w:widowControl/>
        <w:numPr>
          <w:ilvl w:val="1"/>
          <w:numId w:val="23"/>
        </w:numPr>
        <w:ind w:left="709" w:hanging="709"/>
      </w:pPr>
      <w:r w:rsidRPr="004A053A">
        <w:t>T</w:t>
      </w:r>
      <w:r w:rsidR="00793B44" w:rsidRPr="004A053A">
        <w:t xml:space="preserve">he difference between the utilities in the </w:t>
      </w:r>
      <w:r w:rsidR="00433516" w:rsidRPr="004A053A">
        <w:t>non-progressive</w:t>
      </w:r>
      <w:r w:rsidR="00793B44" w:rsidRPr="004A053A">
        <w:t xml:space="preserve"> </w:t>
      </w:r>
      <w:r w:rsidR="00433516" w:rsidRPr="004A053A">
        <w:t xml:space="preserve">disease </w:t>
      </w:r>
      <w:r w:rsidR="00793B44" w:rsidRPr="004A053A">
        <w:t>and progressi</w:t>
      </w:r>
      <w:r w:rsidR="00433516" w:rsidRPr="004A053A">
        <w:t>ve disease</w:t>
      </w:r>
      <w:r w:rsidR="00793B44" w:rsidRPr="004A053A">
        <w:t xml:space="preserve"> health states i</w:t>
      </w:r>
      <w:r w:rsidRPr="004A053A">
        <w:t>n the model wa</w:t>
      </w:r>
      <w:r w:rsidR="00793B44" w:rsidRPr="004A053A">
        <w:t xml:space="preserve">s small, however the difference </w:t>
      </w:r>
      <w:r w:rsidR="0063523C" w:rsidRPr="004A053A">
        <w:t xml:space="preserve">in disease costs between the two health states </w:t>
      </w:r>
      <w:r w:rsidRPr="004A053A">
        <w:t>wa</w:t>
      </w:r>
      <w:r w:rsidR="0063523C" w:rsidRPr="004A053A">
        <w:t>s large</w:t>
      </w:r>
      <w:r w:rsidR="00F50E86" w:rsidRPr="004A053A">
        <w:t xml:space="preserve">, </w:t>
      </w:r>
      <w:r w:rsidR="004358EC" w:rsidRPr="004A053A">
        <w:t>therefore</w:t>
      </w:r>
      <w:r w:rsidR="00F50E86" w:rsidRPr="004A053A">
        <w:t xml:space="preserve"> the ICER </w:t>
      </w:r>
      <w:r w:rsidRPr="004A053A">
        <w:t>wa</w:t>
      </w:r>
      <w:r w:rsidR="00F50E86" w:rsidRPr="004A053A">
        <w:t>s driven by survival differences.</w:t>
      </w:r>
      <w:r w:rsidR="00F22690" w:rsidRPr="004A053A">
        <w:t xml:space="preserve"> </w:t>
      </w:r>
      <w:r w:rsidR="00B54C91" w:rsidRPr="004A053A">
        <w:t xml:space="preserve"> </w:t>
      </w:r>
      <w:r w:rsidR="001D5B58" w:rsidRPr="004A053A">
        <w:t>T</w:t>
      </w:r>
      <w:r w:rsidR="00B54C91" w:rsidRPr="004A053A">
        <w:t xml:space="preserve">o examine how </w:t>
      </w:r>
      <w:r w:rsidR="00E9215F" w:rsidRPr="004A053A">
        <w:t xml:space="preserve">the survival differences drive the model, </w:t>
      </w:r>
      <w:r w:rsidR="001D5B58" w:rsidRPr="004A053A">
        <w:t xml:space="preserve">the model was tested by </w:t>
      </w:r>
      <w:r w:rsidR="00883C01" w:rsidRPr="004A053A">
        <w:t xml:space="preserve">increasing </w:t>
      </w:r>
      <w:r w:rsidR="00E9215F" w:rsidRPr="004A053A">
        <w:t xml:space="preserve">the OS hazard ratio </w:t>
      </w:r>
      <w:r w:rsidR="007B33DC" w:rsidRPr="004A053A">
        <w:t xml:space="preserve">of </w:t>
      </w:r>
      <w:r w:rsidR="00E9215F" w:rsidRPr="004A053A">
        <w:t xml:space="preserve">0.636 </w:t>
      </w:r>
      <w:r w:rsidR="00883C01" w:rsidRPr="004A053A">
        <w:t xml:space="preserve">in the base case </w:t>
      </w:r>
      <w:r w:rsidR="00E9215F" w:rsidRPr="004A053A">
        <w:t>to 0.986</w:t>
      </w:r>
      <w:r w:rsidR="00883C01" w:rsidRPr="004A053A">
        <w:t xml:space="preserve"> (the upper 95% confidence limit which corresponds to almost no OS effect)</w:t>
      </w:r>
      <w:r w:rsidR="001D5B58" w:rsidRPr="004A053A">
        <w:t>;</w:t>
      </w:r>
      <w:r w:rsidR="00E9215F" w:rsidRPr="004A053A">
        <w:t xml:space="preserve"> </w:t>
      </w:r>
      <w:r w:rsidR="001D5B58" w:rsidRPr="004A053A">
        <w:t xml:space="preserve">this </w:t>
      </w:r>
      <w:r w:rsidR="00E9215F" w:rsidRPr="004A053A">
        <w:t>counter-intuitively only increased t</w:t>
      </w:r>
      <w:r w:rsidR="00F50E86" w:rsidRPr="004A053A">
        <w:t>he ICER</w:t>
      </w:r>
      <w:r w:rsidR="00E9215F" w:rsidRPr="004A053A">
        <w:t>/QALY</w:t>
      </w:r>
      <w:r w:rsidR="00F50E86" w:rsidRPr="004A053A">
        <w:t xml:space="preserve"> from $</w:t>
      </w:r>
      <w:r w:rsidR="00323E7A">
        <w:t>45,000 - 75,000</w:t>
      </w:r>
      <w:r w:rsidR="00F50E86" w:rsidRPr="004A053A">
        <w:t xml:space="preserve"> to $</w:t>
      </w:r>
      <w:r w:rsidR="00323E7A">
        <w:t>45,000 - 75,000</w:t>
      </w:r>
      <w:r w:rsidR="00F50E86" w:rsidRPr="004A053A">
        <w:t xml:space="preserve">. </w:t>
      </w:r>
      <w:r w:rsidR="00B54C91" w:rsidRPr="004A053A">
        <w:t xml:space="preserve"> </w:t>
      </w:r>
      <w:r w:rsidR="003D4255" w:rsidRPr="004A053A">
        <w:t>Th</w:t>
      </w:r>
      <w:r w:rsidR="00E9215F" w:rsidRPr="004A053A">
        <w:t>e reason for th</w:t>
      </w:r>
      <w:r w:rsidR="003D4255" w:rsidRPr="004A053A">
        <w:t xml:space="preserve">is </w:t>
      </w:r>
      <w:r w:rsidR="00E9215F" w:rsidRPr="004A053A">
        <w:t>wa</w:t>
      </w:r>
      <w:r w:rsidR="003D4255" w:rsidRPr="004A053A">
        <w:t xml:space="preserve">s </w:t>
      </w:r>
      <w:r w:rsidR="00E9215F" w:rsidRPr="004A053A">
        <w:t>not clear</w:t>
      </w:r>
      <w:r w:rsidR="00883C01" w:rsidRPr="004A053A">
        <w:t>, and likely relate</w:t>
      </w:r>
      <w:r w:rsidR="007B33DC" w:rsidRPr="004A053A">
        <w:t>d</w:t>
      </w:r>
      <w:r w:rsidR="00883C01" w:rsidRPr="004A053A">
        <w:t xml:space="preserve"> to structural issues with the model</w:t>
      </w:r>
      <w:r w:rsidR="00E9215F" w:rsidRPr="004A053A">
        <w:t>, but it appear</w:t>
      </w:r>
      <w:r w:rsidR="001D5B58" w:rsidRPr="004A053A">
        <w:t xml:space="preserve">ed that there may be </w:t>
      </w:r>
      <w:r w:rsidR="00E9215F" w:rsidRPr="004A053A">
        <w:t xml:space="preserve">double-counting </w:t>
      </w:r>
      <w:r w:rsidR="001D5B58" w:rsidRPr="004A053A">
        <w:t xml:space="preserve">of </w:t>
      </w:r>
      <w:r w:rsidR="003D4255" w:rsidRPr="004A053A">
        <w:t>the treatment effect</w:t>
      </w:r>
      <w:r w:rsidR="001D5B58" w:rsidRPr="004A053A">
        <w:t xml:space="preserve"> built into the way the transition probabilities in the model were constructed</w:t>
      </w:r>
      <w:r w:rsidR="003D4255" w:rsidRPr="004A053A">
        <w:t xml:space="preserve">. </w:t>
      </w:r>
      <w:r w:rsidR="00D13B16" w:rsidRPr="004A053A">
        <w:t xml:space="preserve"> Even i</w:t>
      </w:r>
      <w:r w:rsidR="00E9215F" w:rsidRPr="004A053A">
        <w:t xml:space="preserve">f double-counting </w:t>
      </w:r>
      <w:r w:rsidR="007B33DC" w:rsidRPr="004A053A">
        <w:t>did not occur</w:t>
      </w:r>
      <w:r w:rsidR="00E9215F" w:rsidRPr="004A053A">
        <w:t>, th</w:t>
      </w:r>
      <w:r w:rsidR="00883C01" w:rsidRPr="004A053A">
        <w:t>is counter-intuitive</w:t>
      </w:r>
      <w:r w:rsidR="00E9215F" w:rsidRPr="004A053A">
        <w:t xml:space="preserve"> anomaly would still be of concern because the </w:t>
      </w:r>
      <w:r w:rsidR="00E9215F" w:rsidRPr="004A053A">
        <w:rPr>
          <w:szCs w:val="22"/>
        </w:rPr>
        <w:t>unnecessarily complex approach taken to modelling the transitions across the usual three health state structure of a model in metastatic cancer</w:t>
      </w:r>
      <w:r w:rsidR="00E9215F" w:rsidRPr="004A053A">
        <w:t xml:space="preserve"> prevented the generation of a satisfactory alternative explanation.</w:t>
      </w:r>
    </w:p>
    <w:p w:rsidR="00711630" w:rsidRPr="004A053A" w:rsidRDefault="00711630" w:rsidP="00323E7A">
      <w:pPr>
        <w:widowControl/>
      </w:pPr>
    </w:p>
    <w:p w:rsidR="00711630" w:rsidRPr="004A053A" w:rsidRDefault="00711630" w:rsidP="00323E7A">
      <w:pPr>
        <w:pStyle w:val="ListParagraph"/>
        <w:widowControl/>
        <w:numPr>
          <w:ilvl w:val="1"/>
          <w:numId w:val="23"/>
        </w:numPr>
        <w:ind w:left="709" w:hanging="709"/>
      </w:pPr>
      <w:r w:rsidRPr="004A053A">
        <w:t xml:space="preserve">The model split OS into “pre-progression OS” and “post-progression OS”.  No explanation or justification was provided for this split.  The model combined these two facets of OS although there appeared to be resultant inconsistencies within the model.  For example, the probabilities of death and PFS exceed 1.0.  This was corrected in the submission by down-adjusting the probability of death.  However, even though this down-adjustment was made, the model produced more deaths </w:t>
      </w:r>
      <w:r w:rsidR="00433516" w:rsidRPr="004A053A">
        <w:t xml:space="preserve">for </w:t>
      </w:r>
      <w:r w:rsidRPr="004A053A">
        <w:t>ipilimumab</w:t>
      </w:r>
      <w:r w:rsidR="00433516" w:rsidRPr="004A053A">
        <w:t>-treated patients</w:t>
      </w:r>
      <w:r w:rsidRPr="004A053A">
        <w:t xml:space="preserve"> when the hazard ratio for OS was set to 1.0 (and thus there should be no incremental life-years gained, and the number of deaths should be equal between nivolumab and ipilimumab).  It appeared that the combination of the extrapolations for pre- and post-progression</w:t>
      </w:r>
      <w:r w:rsidR="00323E7A">
        <w:t xml:space="preserve"> of OS resulted in this counter</w:t>
      </w:r>
      <w:r w:rsidR="00323E7A">
        <w:noBreakHyphen/>
      </w:r>
      <w:r w:rsidRPr="004A053A">
        <w:t>intuitive outcome.  It thus appeared that the splitting of the area under the OS curves biased the model in favour of nivolumab.</w:t>
      </w:r>
    </w:p>
    <w:p w:rsidR="00E9215F" w:rsidRPr="004A053A" w:rsidRDefault="00E9215F" w:rsidP="00323E7A">
      <w:pPr>
        <w:widowControl/>
      </w:pPr>
    </w:p>
    <w:p w:rsidR="00F50E86" w:rsidRPr="004A053A" w:rsidRDefault="003D4255" w:rsidP="00323E7A">
      <w:pPr>
        <w:pStyle w:val="ListParagraph"/>
        <w:widowControl/>
        <w:numPr>
          <w:ilvl w:val="1"/>
          <w:numId w:val="23"/>
        </w:numPr>
        <w:ind w:left="709" w:hanging="709"/>
      </w:pPr>
      <w:r w:rsidRPr="004A053A">
        <w:t>The curves in the figure below inform</w:t>
      </w:r>
      <w:r w:rsidR="00E9215F" w:rsidRPr="004A053A">
        <w:t>ed</w:t>
      </w:r>
      <w:r w:rsidRPr="004A053A">
        <w:t xml:space="preserve"> the baseline transition probabilities, to which the OS hazard ratio </w:t>
      </w:r>
      <w:r w:rsidR="00E9215F" w:rsidRPr="004A053A">
        <w:t>wa</w:t>
      </w:r>
      <w:r w:rsidRPr="004A053A">
        <w:t xml:space="preserve">s applied to transition probabilities extracted from </w:t>
      </w:r>
      <w:r w:rsidR="00427F0E" w:rsidRPr="004A053A">
        <w:t>b</w:t>
      </w:r>
      <w:r w:rsidRPr="004A053A">
        <w:t>ot</w:t>
      </w:r>
      <w:r w:rsidR="00EC07B7" w:rsidRPr="004A053A">
        <w:t>h of the OS curves -</w:t>
      </w:r>
      <w:r w:rsidRPr="004A053A">
        <w:t xml:space="preserve"> </w:t>
      </w:r>
      <w:r w:rsidR="00EC07B7" w:rsidRPr="004A053A">
        <w:t xml:space="preserve">the </w:t>
      </w:r>
      <w:r w:rsidR="00E9215F" w:rsidRPr="004A053A">
        <w:t>“</w:t>
      </w:r>
      <w:r w:rsidR="00EC07B7" w:rsidRPr="004A053A">
        <w:t>pre-progression</w:t>
      </w:r>
      <w:r w:rsidR="00E9215F" w:rsidRPr="004A053A">
        <w:t>”</w:t>
      </w:r>
      <w:r w:rsidR="00EC07B7" w:rsidRPr="004A053A">
        <w:t xml:space="preserve"> and </w:t>
      </w:r>
      <w:r w:rsidR="00E9215F" w:rsidRPr="004A053A">
        <w:t>“</w:t>
      </w:r>
      <w:r w:rsidR="00EC07B7" w:rsidRPr="004A053A">
        <w:t>post-progression</w:t>
      </w:r>
      <w:r w:rsidR="00E9215F" w:rsidRPr="004A053A">
        <w:t>”</w:t>
      </w:r>
      <w:r w:rsidRPr="004A053A">
        <w:t xml:space="preserve"> transition probabilities to </w:t>
      </w:r>
      <w:r w:rsidR="00E9215F" w:rsidRPr="004A053A">
        <w:t>“</w:t>
      </w:r>
      <w:r w:rsidRPr="004A053A">
        <w:t>dead</w:t>
      </w:r>
      <w:r w:rsidR="00E9215F" w:rsidRPr="004A053A">
        <w:t>”</w:t>
      </w:r>
      <w:r w:rsidRPr="004A053A">
        <w:t xml:space="preserve"> – and a PFS hazard ratio </w:t>
      </w:r>
      <w:r w:rsidR="00E9215F" w:rsidRPr="004A053A">
        <w:t>wa</w:t>
      </w:r>
      <w:r w:rsidRPr="004A053A">
        <w:t xml:space="preserve">s applied to the PFS transition probabilities from </w:t>
      </w:r>
      <w:r w:rsidR="00E9215F" w:rsidRPr="004A053A">
        <w:lastRenderedPageBreak/>
        <w:t>“</w:t>
      </w:r>
      <w:r w:rsidRPr="004A053A">
        <w:t>progression-free</w:t>
      </w:r>
      <w:r w:rsidR="00E9215F" w:rsidRPr="004A053A">
        <w:t>”</w:t>
      </w:r>
      <w:r w:rsidRPr="004A053A">
        <w:t xml:space="preserve"> to </w:t>
      </w:r>
      <w:r w:rsidR="00E9215F" w:rsidRPr="004A053A">
        <w:t>“</w:t>
      </w:r>
      <w:r w:rsidRPr="004A053A">
        <w:t>progression</w:t>
      </w:r>
      <w:r w:rsidR="00E9215F" w:rsidRPr="004A053A">
        <w:t>”</w:t>
      </w:r>
      <w:r w:rsidRPr="004A053A">
        <w:t xml:space="preserve">. </w:t>
      </w:r>
      <w:r w:rsidR="00E9215F" w:rsidRPr="004A053A">
        <w:t xml:space="preserve"> </w:t>
      </w:r>
      <w:r w:rsidR="009A05EA" w:rsidRPr="004A053A">
        <w:t xml:space="preserve">This </w:t>
      </w:r>
      <w:r w:rsidR="00E9215F" w:rsidRPr="004A053A">
        <w:t xml:space="preserve">suggested </w:t>
      </w:r>
      <w:r w:rsidR="009A05EA" w:rsidRPr="004A053A">
        <w:t>that</w:t>
      </w:r>
      <w:r w:rsidRPr="004A053A">
        <w:t xml:space="preserve"> survival gains </w:t>
      </w:r>
      <w:r w:rsidR="00E9215F" w:rsidRPr="004A053A">
        <w:t>we</w:t>
      </w:r>
      <w:r w:rsidRPr="004A053A">
        <w:t xml:space="preserve">re driven by </w:t>
      </w:r>
      <w:r w:rsidR="00E9215F" w:rsidRPr="004A053A">
        <w:t xml:space="preserve">both </w:t>
      </w:r>
      <w:r w:rsidRPr="004A053A">
        <w:t>increased PFS and OS.</w:t>
      </w:r>
    </w:p>
    <w:p w:rsidR="003D4255" w:rsidRPr="00283A78" w:rsidRDefault="003D4255" w:rsidP="00323E7A">
      <w:pPr>
        <w:widowControl/>
      </w:pPr>
    </w:p>
    <w:p w:rsidR="001E5966" w:rsidRPr="002E345B" w:rsidRDefault="003B088C" w:rsidP="00323E7A">
      <w:pPr>
        <w:pStyle w:val="ListParagraph"/>
        <w:keepNext/>
        <w:widowControl/>
        <w:ind w:left="709"/>
        <w:jc w:val="left"/>
        <w:rPr>
          <w:rFonts w:ascii="Arial Narrow" w:hAnsi="Arial Narrow"/>
          <w:b/>
          <w:sz w:val="20"/>
        </w:rPr>
      </w:pPr>
      <w:r w:rsidRPr="002E345B">
        <w:rPr>
          <w:rFonts w:ascii="Arial Narrow" w:hAnsi="Arial Narrow"/>
          <w:b/>
          <w:sz w:val="20"/>
        </w:rPr>
        <w:t xml:space="preserve">Figure 3: </w:t>
      </w:r>
      <w:r w:rsidR="001E5966" w:rsidRPr="002E345B">
        <w:rPr>
          <w:rFonts w:ascii="Arial Narrow" w:hAnsi="Arial Narrow"/>
          <w:b/>
          <w:sz w:val="20"/>
        </w:rPr>
        <w:t>Nivolumab transition probabilities derived from log-logistic extrapolation of CA209-066 data</w:t>
      </w:r>
    </w:p>
    <w:p w:rsidR="003D4255" w:rsidRPr="000276FD" w:rsidRDefault="002E345B" w:rsidP="00323E7A">
      <w:pPr>
        <w:pStyle w:val="ListParagraph"/>
        <w:widowControl/>
        <w:ind w:left="709"/>
        <w:rPr>
          <w:highlight w:val="darkGray"/>
        </w:rPr>
      </w:pPr>
      <w:r>
        <w:rPr>
          <w:noProof/>
          <w:snapToGrid/>
          <w:lang w:eastAsia="en-AU"/>
        </w:rPr>
        <w:drawing>
          <wp:inline distT="0" distB="0" distL="0" distR="0">
            <wp:extent cx="5339715" cy="2967355"/>
            <wp:effectExtent l="0" t="0" r="0" b="4445"/>
            <wp:docPr id="2" name="Picture 2" title="Nivolumab transition probabilities derived from log-logistic extrapolation of CA209-066 dat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39715" cy="2967355"/>
                    </a:xfrm>
                    <a:prstGeom prst="rect">
                      <a:avLst/>
                    </a:prstGeom>
                  </pic:spPr>
                </pic:pic>
              </a:graphicData>
            </a:graphic>
          </wp:inline>
        </w:drawing>
      </w:r>
    </w:p>
    <w:p w:rsidR="002E345B" w:rsidRPr="002E345B" w:rsidRDefault="0063523C" w:rsidP="002E345B">
      <w:pPr>
        <w:pStyle w:val="ListParagraph"/>
        <w:widowControl/>
        <w:rPr>
          <w:rFonts w:ascii="Arial Narrow" w:hAnsi="Arial Narrow"/>
          <w:sz w:val="20"/>
        </w:rPr>
      </w:pPr>
      <w:r w:rsidRPr="002E345B">
        <w:rPr>
          <w:rFonts w:ascii="Arial Narrow" w:hAnsi="Arial Narrow"/>
          <w:sz w:val="20"/>
        </w:rPr>
        <w:t>Source: Appendix B, Section D of the submission</w:t>
      </w:r>
    </w:p>
    <w:p w:rsidR="0063523C" w:rsidRPr="004A053A" w:rsidRDefault="0063523C" w:rsidP="00323E7A">
      <w:pPr>
        <w:widowControl/>
      </w:pPr>
    </w:p>
    <w:p w:rsidR="00C12FA8" w:rsidRPr="004A053A" w:rsidRDefault="00C12FA8" w:rsidP="00323E7A">
      <w:pPr>
        <w:pStyle w:val="ListParagraph"/>
        <w:widowControl/>
        <w:numPr>
          <w:ilvl w:val="1"/>
          <w:numId w:val="23"/>
        </w:numPr>
        <w:ind w:left="709" w:hanging="709"/>
      </w:pPr>
      <w:r w:rsidRPr="004A053A">
        <w:t xml:space="preserve">Mortality from the </w:t>
      </w:r>
      <w:r w:rsidR="00E9215F" w:rsidRPr="004A053A">
        <w:t>“</w:t>
      </w:r>
      <w:r w:rsidR="00860340" w:rsidRPr="004A053A">
        <w:t>non-progressive disease</w:t>
      </w:r>
      <w:r w:rsidR="00E9215F" w:rsidRPr="004A053A">
        <w:t>”</w:t>
      </w:r>
      <w:r w:rsidRPr="004A053A">
        <w:t xml:space="preserve"> state also </w:t>
      </w:r>
      <w:r w:rsidR="00E9215F" w:rsidRPr="004A053A">
        <w:t xml:space="preserve">appeared to be </w:t>
      </w:r>
      <w:r w:rsidRPr="004A053A">
        <w:t xml:space="preserve">double counted: separate transition probabilities to the </w:t>
      </w:r>
      <w:r w:rsidR="00E9215F" w:rsidRPr="004A053A">
        <w:t>“</w:t>
      </w:r>
      <w:r w:rsidR="00860340" w:rsidRPr="004A053A">
        <w:t>progressive disease</w:t>
      </w:r>
      <w:r w:rsidR="00E9215F" w:rsidRPr="004A053A">
        <w:t>”</w:t>
      </w:r>
      <w:r w:rsidRPr="004A053A">
        <w:t xml:space="preserve"> and </w:t>
      </w:r>
      <w:r w:rsidR="00E9215F" w:rsidRPr="004A053A">
        <w:t>“</w:t>
      </w:r>
      <w:r w:rsidRPr="004A053A">
        <w:t>dead</w:t>
      </w:r>
      <w:r w:rsidR="00E9215F" w:rsidRPr="004A053A">
        <w:t>”</w:t>
      </w:r>
      <w:r w:rsidRPr="004A053A">
        <w:t xml:space="preserve"> states </w:t>
      </w:r>
      <w:r w:rsidR="00E9215F" w:rsidRPr="004A053A">
        <w:t>we</w:t>
      </w:r>
      <w:r w:rsidRPr="004A053A">
        <w:t>re extracted from the fitted PFS and OS curves, respectively.</w:t>
      </w:r>
    </w:p>
    <w:p w:rsidR="000C1401" w:rsidRPr="004A053A" w:rsidRDefault="000C1401" w:rsidP="00323E7A">
      <w:pPr>
        <w:widowControl/>
      </w:pPr>
    </w:p>
    <w:p w:rsidR="000C1401" w:rsidRPr="004A053A" w:rsidRDefault="000C1401" w:rsidP="00323E7A">
      <w:pPr>
        <w:pStyle w:val="ListParagraph"/>
        <w:widowControl/>
        <w:numPr>
          <w:ilvl w:val="1"/>
          <w:numId w:val="23"/>
        </w:numPr>
        <w:ind w:left="709" w:hanging="709"/>
      </w:pPr>
      <w:r w:rsidRPr="004A053A">
        <w:t>The ESC concern was due to the fact that, in the same model:</w:t>
      </w:r>
    </w:p>
    <w:p w:rsidR="000C1401" w:rsidRPr="004A053A" w:rsidRDefault="000C1401" w:rsidP="00323E7A">
      <w:pPr>
        <w:pStyle w:val="ListParagraph"/>
        <w:widowControl/>
        <w:numPr>
          <w:ilvl w:val="0"/>
          <w:numId w:val="4"/>
        </w:numPr>
        <w:ind w:left="993" w:hanging="284"/>
      </w:pPr>
      <w:r w:rsidRPr="004A053A">
        <w:t>a progression-free survival hazard ratio was applied to PFS;</w:t>
      </w:r>
    </w:p>
    <w:p w:rsidR="000C1401" w:rsidRPr="004A053A" w:rsidRDefault="000C1401" w:rsidP="00323E7A">
      <w:pPr>
        <w:pStyle w:val="ListParagraph"/>
        <w:widowControl/>
        <w:numPr>
          <w:ilvl w:val="0"/>
          <w:numId w:val="4"/>
        </w:numPr>
        <w:ind w:left="993" w:hanging="284"/>
      </w:pPr>
      <w:r w:rsidRPr="004A053A">
        <w:rPr>
          <w:szCs w:val="22"/>
        </w:rPr>
        <w:t>a hazard ratio</w:t>
      </w:r>
      <w:r w:rsidRPr="004A053A">
        <w:t xml:space="preserve"> for aggregate OS was applied to pre-progression OS; and</w:t>
      </w:r>
    </w:p>
    <w:p w:rsidR="000C1401" w:rsidRPr="004A053A" w:rsidRDefault="000C1401" w:rsidP="00323E7A">
      <w:pPr>
        <w:pStyle w:val="ListParagraph"/>
        <w:widowControl/>
        <w:numPr>
          <w:ilvl w:val="0"/>
          <w:numId w:val="4"/>
        </w:numPr>
        <w:ind w:left="993" w:hanging="284"/>
      </w:pPr>
      <w:r w:rsidRPr="004A053A">
        <w:rPr>
          <w:szCs w:val="22"/>
        </w:rPr>
        <w:t xml:space="preserve">a hazard ratio </w:t>
      </w:r>
      <w:r w:rsidRPr="004A053A">
        <w:t>for aggregate OS was applied to post-progression OS.</w:t>
      </w:r>
    </w:p>
    <w:p w:rsidR="000C1401" w:rsidRPr="004A053A" w:rsidRDefault="000C1401" w:rsidP="00323E7A">
      <w:pPr>
        <w:widowControl/>
      </w:pPr>
    </w:p>
    <w:p w:rsidR="00C12FA8" w:rsidRPr="004A053A" w:rsidRDefault="000C1401" w:rsidP="00323E7A">
      <w:pPr>
        <w:pStyle w:val="ListParagraph"/>
        <w:widowControl/>
        <w:numPr>
          <w:ilvl w:val="1"/>
          <w:numId w:val="23"/>
        </w:numPr>
        <w:ind w:left="709" w:hanging="709"/>
      </w:pPr>
      <w:r w:rsidRPr="004A053A">
        <w:t xml:space="preserve">Applying a </w:t>
      </w:r>
      <w:r w:rsidR="00FB78A6" w:rsidRPr="004A053A">
        <w:t>hazard ratio</w:t>
      </w:r>
      <w:r w:rsidRPr="004A053A">
        <w:t xml:space="preserve"> to PFS reduced the likelihood of progression, whilst applying the </w:t>
      </w:r>
      <w:r w:rsidR="00FB78A6" w:rsidRPr="004A053A">
        <w:t>hazard ratio</w:t>
      </w:r>
      <w:r w:rsidRPr="004A053A">
        <w:t xml:space="preserve"> for aggregate OS to post-progression OS (there was no </w:t>
      </w:r>
      <w:r w:rsidR="00FB78A6" w:rsidRPr="004A053A">
        <w:t>hazard ratio</w:t>
      </w:r>
      <w:r w:rsidRPr="004A053A">
        <w:t xml:space="preserve"> for post-progression OS) increased the effect of progression.  The aggregate OS was a function of PFS, pre-progression OS, and post-progression OS.  The </w:t>
      </w:r>
      <w:r w:rsidR="00FB78A6" w:rsidRPr="004A053A">
        <w:t>hazard ratio</w:t>
      </w:r>
      <w:r w:rsidRPr="004A053A">
        <w:t xml:space="preserve"> for PFS should be applied independently of the </w:t>
      </w:r>
      <w:r w:rsidR="00FB78A6" w:rsidRPr="004A053A">
        <w:t>hazard ratio</w:t>
      </w:r>
      <w:r w:rsidRPr="004A053A">
        <w:t xml:space="preserve"> for aggregate OS.</w:t>
      </w:r>
    </w:p>
    <w:p w:rsidR="000C1401" w:rsidRPr="004A053A" w:rsidRDefault="000C1401" w:rsidP="00323E7A">
      <w:pPr>
        <w:widowControl/>
      </w:pPr>
    </w:p>
    <w:p w:rsidR="00C12FA8" w:rsidRPr="004A053A" w:rsidRDefault="00C12FA8" w:rsidP="00323E7A">
      <w:pPr>
        <w:pStyle w:val="ListParagraph"/>
        <w:widowControl/>
        <w:numPr>
          <w:ilvl w:val="1"/>
          <w:numId w:val="23"/>
        </w:numPr>
        <w:ind w:left="709" w:hanging="709"/>
      </w:pPr>
      <w:r w:rsidRPr="004A053A">
        <w:t xml:space="preserve">The ESC </w:t>
      </w:r>
      <w:r w:rsidR="000C1401" w:rsidRPr="004A053A">
        <w:t xml:space="preserve">therefore </w:t>
      </w:r>
      <w:r w:rsidRPr="004A053A">
        <w:t xml:space="preserve">considered that it was difficult to adapt the model to provide a robust estimate of the ICER. </w:t>
      </w:r>
      <w:r w:rsidR="00E9215F" w:rsidRPr="004A053A">
        <w:t xml:space="preserve"> </w:t>
      </w:r>
      <w:r w:rsidRPr="004A053A">
        <w:t>A</w:t>
      </w:r>
      <w:r w:rsidR="00F840FD" w:rsidRPr="004A053A">
        <w:t>n alternative</w:t>
      </w:r>
      <w:r w:rsidRPr="004A053A">
        <w:t xml:space="preserve"> approach </w:t>
      </w:r>
      <w:r w:rsidR="00883C01" w:rsidRPr="004A053A">
        <w:t xml:space="preserve">with the same original data </w:t>
      </w:r>
      <w:r w:rsidR="00A1290B" w:rsidRPr="004A053A">
        <w:t>might</w:t>
      </w:r>
      <w:r w:rsidRPr="004A053A">
        <w:t xml:space="preserve"> </w:t>
      </w:r>
      <w:r w:rsidR="00FA243D" w:rsidRPr="004A053A">
        <w:t xml:space="preserve">be to </w:t>
      </w:r>
      <w:r w:rsidRPr="004A053A">
        <w:t xml:space="preserve">generate separate </w:t>
      </w:r>
      <w:r w:rsidR="00F840FD" w:rsidRPr="004A053A">
        <w:t xml:space="preserve">time-to-event </w:t>
      </w:r>
      <w:r w:rsidRPr="004A053A">
        <w:t xml:space="preserve">curves for time to progression (censoring for mortality) and </w:t>
      </w:r>
      <w:r w:rsidR="00F840FD" w:rsidRPr="004A053A">
        <w:t>time to death</w:t>
      </w:r>
      <w:r w:rsidR="00FA243D" w:rsidRPr="004A053A">
        <w:t>,</w:t>
      </w:r>
      <w:r w:rsidRPr="004A053A">
        <w:t xml:space="preserve"> from which time in the </w:t>
      </w:r>
      <w:r w:rsidR="00F21FD7" w:rsidRPr="004A053A">
        <w:t xml:space="preserve">non-progressive </w:t>
      </w:r>
      <w:r w:rsidRPr="004A053A">
        <w:t>and progressi</w:t>
      </w:r>
      <w:r w:rsidR="00F21FD7" w:rsidRPr="004A053A">
        <w:t>ve</w:t>
      </w:r>
      <w:r w:rsidRPr="004A053A">
        <w:t xml:space="preserve"> states c</w:t>
      </w:r>
      <w:r w:rsidR="00F840FD" w:rsidRPr="004A053A">
        <w:t>ould</w:t>
      </w:r>
      <w:r w:rsidRPr="004A053A">
        <w:t xml:space="preserve"> be estimated.</w:t>
      </w:r>
    </w:p>
    <w:p w:rsidR="00427F0E" w:rsidRPr="004A053A" w:rsidRDefault="00427F0E" w:rsidP="00323E7A">
      <w:pPr>
        <w:widowControl/>
      </w:pPr>
    </w:p>
    <w:p w:rsidR="00427F0E" w:rsidRPr="004A053A" w:rsidRDefault="00FA243D" w:rsidP="00323E7A">
      <w:pPr>
        <w:pStyle w:val="ListParagraph"/>
        <w:widowControl/>
        <w:numPr>
          <w:ilvl w:val="1"/>
          <w:numId w:val="23"/>
        </w:numPr>
        <w:ind w:left="709" w:hanging="709"/>
      </w:pPr>
      <w:r w:rsidRPr="004A053A">
        <w:t xml:space="preserve">The </w:t>
      </w:r>
      <w:r w:rsidR="004358EC" w:rsidRPr="004A053A">
        <w:t>ESC</w:t>
      </w:r>
      <w:r w:rsidRPr="004A053A">
        <w:t xml:space="preserve"> noted that t</w:t>
      </w:r>
      <w:r w:rsidR="00427F0E" w:rsidRPr="004A053A">
        <w:t>he model applie</w:t>
      </w:r>
      <w:r w:rsidR="00A1290B" w:rsidRPr="004A053A">
        <w:t>d</w:t>
      </w:r>
      <w:r w:rsidR="00427F0E" w:rsidRPr="004A053A">
        <w:t xml:space="preserve"> the inverse of the </w:t>
      </w:r>
      <w:r w:rsidR="00FB78A6" w:rsidRPr="004A053A">
        <w:t>hazard ratio</w:t>
      </w:r>
      <w:r w:rsidR="0001036A" w:rsidRPr="004A053A">
        <w:t xml:space="preserve"> to the </w:t>
      </w:r>
      <w:r w:rsidR="00427F0E" w:rsidRPr="004A053A">
        <w:t>nivolumab tr</w:t>
      </w:r>
      <w:r w:rsidR="0001036A" w:rsidRPr="004A053A">
        <w:t xml:space="preserve">ansition probabilities for death </w:t>
      </w:r>
      <w:r w:rsidR="00427F0E" w:rsidRPr="004A053A">
        <w:t>to generate</w:t>
      </w:r>
      <w:r w:rsidR="0001036A" w:rsidRPr="004A053A">
        <w:t xml:space="preserve"> the ipilimumab transition probabilities for death</w:t>
      </w:r>
      <w:r w:rsidR="00427F0E" w:rsidRPr="004A053A">
        <w:t xml:space="preserve">. </w:t>
      </w:r>
      <w:r w:rsidR="00A1290B" w:rsidRPr="004A053A">
        <w:t xml:space="preserve"> </w:t>
      </w:r>
      <w:r w:rsidR="00427F0E" w:rsidRPr="004A053A">
        <w:t xml:space="preserve">The treatment effects </w:t>
      </w:r>
      <w:r w:rsidR="00A1290B" w:rsidRPr="004A053A">
        <w:t>we</w:t>
      </w:r>
      <w:r w:rsidR="00427F0E" w:rsidRPr="004A053A">
        <w:t xml:space="preserve">re assumed to be maintained for the duration of the model time horizon (10 years), which </w:t>
      </w:r>
      <w:r w:rsidR="006F6B38" w:rsidRPr="004A053A">
        <w:t>was</w:t>
      </w:r>
      <w:r w:rsidR="004358EC" w:rsidRPr="004A053A">
        <w:t xml:space="preserve"> considered</w:t>
      </w:r>
      <w:r w:rsidR="00427F0E" w:rsidRPr="004A053A">
        <w:t xml:space="preserve"> unlikely, and favour</w:t>
      </w:r>
      <w:r w:rsidR="00A1290B" w:rsidRPr="004A053A">
        <w:t>ed</w:t>
      </w:r>
      <w:r w:rsidR="00427F0E" w:rsidRPr="004A053A">
        <w:t xml:space="preserve"> nivolumab</w:t>
      </w:r>
      <w:r w:rsidR="004358EC" w:rsidRPr="004A053A">
        <w:t xml:space="preserve">. </w:t>
      </w:r>
      <w:r w:rsidR="00A1290B" w:rsidRPr="004A053A">
        <w:t xml:space="preserve"> </w:t>
      </w:r>
      <w:r w:rsidR="004358EC" w:rsidRPr="004A053A">
        <w:t>The ESC considered that a</w:t>
      </w:r>
      <w:r w:rsidR="00A1290B" w:rsidRPr="004A053A">
        <w:t>n alternative</w:t>
      </w:r>
      <w:r w:rsidR="00427F0E" w:rsidRPr="004A053A">
        <w:t xml:space="preserve"> approach </w:t>
      </w:r>
      <w:r w:rsidR="00883C01" w:rsidRPr="004A053A">
        <w:t xml:space="preserve">with the </w:t>
      </w:r>
      <w:r w:rsidR="00883C01" w:rsidRPr="004A053A">
        <w:lastRenderedPageBreak/>
        <w:t xml:space="preserve">same original data </w:t>
      </w:r>
      <w:r w:rsidR="00A1290B" w:rsidRPr="004A053A">
        <w:t>might</w:t>
      </w:r>
      <w:r w:rsidR="00427F0E" w:rsidRPr="004A053A">
        <w:t xml:space="preserve"> be to estimate separate hazard ratios for time to progression and </w:t>
      </w:r>
      <w:r w:rsidR="00A1290B" w:rsidRPr="004A053A">
        <w:t xml:space="preserve">for </w:t>
      </w:r>
      <w:r w:rsidR="00427F0E" w:rsidRPr="004A053A">
        <w:t xml:space="preserve">overall survival, and </w:t>
      </w:r>
      <w:r w:rsidR="00A1290B" w:rsidRPr="004A053A">
        <w:t xml:space="preserve">then </w:t>
      </w:r>
      <w:r w:rsidR="00427F0E" w:rsidRPr="004A053A">
        <w:t>apply the estimated hazard ratios to the respective curves for the time period over which the</w:t>
      </w:r>
      <w:r w:rsidR="007C0924">
        <w:t xml:space="preserve"> ratios were estimated (e.g. </w:t>
      </w:r>
      <w:r w:rsidR="00323E7A">
        <w:t>16 </w:t>
      </w:r>
      <w:r w:rsidR="00427F0E" w:rsidRPr="004A053A">
        <w:t xml:space="preserve">months in the CA209-066 study). </w:t>
      </w:r>
      <w:r w:rsidR="00A1290B" w:rsidRPr="004A053A">
        <w:t xml:space="preserve"> </w:t>
      </w:r>
      <w:r w:rsidR="00427F0E" w:rsidRPr="004A053A">
        <w:t>Beyond</w:t>
      </w:r>
      <w:r w:rsidR="00A1290B" w:rsidRPr="004A053A">
        <w:t xml:space="preserve"> </w:t>
      </w:r>
      <w:r w:rsidR="00427F0E" w:rsidRPr="004A053A">
        <w:t>16 months, the time to progression, and overall survival curves could be set to converge over the remainder of the model‘s time horizon.</w:t>
      </w:r>
      <w:r w:rsidR="006F6B38" w:rsidRPr="004A053A">
        <w:t xml:space="preserve"> </w:t>
      </w:r>
      <w:r w:rsidR="00A1290B" w:rsidRPr="004A053A">
        <w:t xml:space="preserve"> </w:t>
      </w:r>
      <w:r w:rsidR="00427F0E" w:rsidRPr="004A053A">
        <w:t>Alternative model time horizons should be specified to test the effects of alternative times to convergence (e.g. 5, 7, and 10 years).</w:t>
      </w:r>
    </w:p>
    <w:p w:rsidR="00C12FA8" w:rsidRDefault="00C12FA8" w:rsidP="00323E7A">
      <w:pPr>
        <w:widowControl/>
      </w:pPr>
    </w:p>
    <w:p w:rsidR="00871961" w:rsidRPr="004A053A" w:rsidRDefault="003D7D11" w:rsidP="00323E7A">
      <w:pPr>
        <w:pStyle w:val="ListParagraph"/>
        <w:widowControl/>
        <w:numPr>
          <w:ilvl w:val="1"/>
          <w:numId w:val="23"/>
        </w:numPr>
        <w:ind w:left="709" w:hanging="709"/>
      </w:pPr>
      <w:r w:rsidRPr="006C03DC">
        <w:t>The economic evaluation was limited to the population in CA209-066, the BRAF wild</w:t>
      </w:r>
      <w:r w:rsidR="00323E7A">
        <w:noBreakHyphen/>
      </w:r>
      <w:r w:rsidRPr="006C03DC">
        <w:t xml:space="preserve">type population.  As discussed above, there </w:t>
      </w:r>
      <w:r w:rsidR="00AD54DA" w:rsidRPr="006C03DC">
        <w:t>wa</w:t>
      </w:r>
      <w:r w:rsidRPr="006C03DC">
        <w:t>s limited evid</w:t>
      </w:r>
      <w:r w:rsidR="00AD54DA" w:rsidRPr="006C03DC">
        <w:t>e</w:t>
      </w:r>
      <w:r w:rsidRPr="006C03DC">
        <w:t>nce demonstrating there are no differences in efficacy and safety of nivolumab for BRAF wild</w:t>
      </w:r>
      <w:r w:rsidR="00B02F92" w:rsidRPr="006C03DC">
        <w:t>-</w:t>
      </w:r>
      <w:r w:rsidRPr="006C03DC">
        <w:t>type and BRAF mutant patients.  Since the requested restriction includes use in BRAF mutant patients, there is not a strong basis on which to extend the model results to that population.</w:t>
      </w:r>
    </w:p>
    <w:p w:rsidR="00886ECF" w:rsidRPr="004A053A" w:rsidRDefault="00886ECF" w:rsidP="00323E7A">
      <w:pPr>
        <w:widowControl/>
      </w:pPr>
    </w:p>
    <w:p w:rsidR="00886ECF" w:rsidRPr="004A053A" w:rsidRDefault="00886ECF" w:rsidP="00323E7A">
      <w:pPr>
        <w:pStyle w:val="ListParagraph"/>
        <w:widowControl/>
        <w:numPr>
          <w:ilvl w:val="1"/>
          <w:numId w:val="23"/>
        </w:numPr>
        <w:ind w:left="709" w:hanging="709"/>
      </w:pPr>
      <w:r w:rsidRPr="004A053A">
        <w:t xml:space="preserve">The difference in utilities between the </w:t>
      </w:r>
      <w:r w:rsidR="00F21FD7" w:rsidRPr="004A053A">
        <w:t xml:space="preserve">non-progressive </w:t>
      </w:r>
      <w:r w:rsidRPr="004A053A">
        <w:t>and progressi</w:t>
      </w:r>
      <w:r w:rsidR="00F21FD7" w:rsidRPr="004A053A">
        <w:t>ve</w:t>
      </w:r>
      <w:r w:rsidRPr="004A053A">
        <w:t xml:space="preserve"> states </w:t>
      </w:r>
      <w:r w:rsidR="00725599" w:rsidRPr="004A053A">
        <w:t>wa</w:t>
      </w:r>
      <w:r w:rsidRPr="004A053A">
        <w:t>s small, but</w:t>
      </w:r>
      <w:r w:rsidR="004358EC" w:rsidRPr="004A053A">
        <w:t xml:space="preserve"> the ESC noted that</w:t>
      </w:r>
      <w:r w:rsidRPr="004A053A">
        <w:t xml:space="preserve"> the absolute utility values – around 0.8 – appear</w:t>
      </w:r>
      <w:r w:rsidR="00725599" w:rsidRPr="004A053A">
        <w:t>ed</w:t>
      </w:r>
      <w:r w:rsidRPr="004A053A">
        <w:t xml:space="preserve"> to be high for a population with advanced cancer. </w:t>
      </w:r>
      <w:r w:rsidR="00725599" w:rsidRPr="004A053A">
        <w:t xml:space="preserve"> </w:t>
      </w:r>
      <w:r w:rsidRPr="004A053A">
        <w:t>The</w:t>
      </w:r>
      <w:r w:rsidR="00725599" w:rsidRPr="004A053A">
        <w:t>se</w:t>
      </w:r>
      <w:r w:rsidRPr="004A053A">
        <w:t xml:space="preserve"> absolute utility value</w:t>
      </w:r>
      <w:r w:rsidR="00725599" w:rsidRPr="004A053A">
        <w:t>s</w:t>
      </w:r>
      <w:r w:rsidRPr="004A053A">
        <w:t xml:space="preserve"> ha</w:t>
      </w:r>
      <w:r w:rsidR="00725599" w:rsidRPr="004A053A">
        <w:t>d</w:t>
      </w:r>
      <w:r w:rsidRPr="004A053A">
        <w:t xml:space="preserve"> a significant effect on the ICER, </w:t>
      </w:r>
      <w:r w:rsidR="00725599" w:rsidRPr="004A053A">
        <w:t xml:space="preserve">because they </w:t>
      </w:r>
      <w:r w:rsidRPr="004A053A">
        <w:t>drive the QALY gains associated with the estimated survival gain.</w:t>
      </w:r>
    </w:p>
    <w:p w:rsidR="00871961" w:rsidRPr="006C03DC" w:rsidRDefault="00871961" w:rsidP="00323E7A">
      <w:pPr>
        <w:widowControl/>
      </w:pPr>
    </w:p>
    <w:p w:rsidR="00275C5A" w:rsidRPr="00B841D9" w:rsidRDefault="00F55FEC" w:rsidP="00323E7A">
      <w:pPr>
        <w:pStyle w:val="ListParagraph"/>
        <w:widowControl/>
        <w:numPr>
          <w:ilvl w:val="1"/>
          <w:numId w:val="23"/>
        </w:numPr>
        <w:ind w:left="709" w:hanging="709"/>
      </w:pPr>
      <w:r w:rsidRPr="001946EB">
        <w:t xml:space="preserve">Key drivers of the model are identified in </w:t>
      </w:r>
      <w:r>
        <w:t>the table below.</w:t>
      </w:r>
    </w:p>
    <w:p w:rsidR="00275C5A" w:rsidRDefault="00275C5A" w:rsidP="00323E7A">
      <w:pPr>
        <w:widowControl/>
        <w:rPr>
          <w:szCs w:val="22"/>
        </w:rPr>
      </w:pPr>
    </w:p>
    <w:p w:rsidR="005E347C" w:rsidRDefault="005E347C" w:rsidP="00323E7A">
      <w:pPr>
        <w:widowControl/>
        <w:ind w:firstLine="720"/>
        <w:rPr>
          <w:rStyle w:val="CommentReference"/>
        </w:rPr>
      </w:pPr>
      <w:r w:rsidRPr="00A56B6A">
        <w:rPr>
          <w:rStyle w:val="CommentReference"/>
        </w:rPr>
        <w:t xml:space="preserve">Table </w:t>
      </w:r>
      <w:r w:rsidR="003B088C">
        <w:rPr>
          <w:rStyle w:val="CommentReference"/>
        </w:rPr>
        <w:t>9</w:t>
      </w:r>
      <w:r w:rsidRPr="00A56B6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78"/>
        <w:gridCol w:w="3401"/>
        <w:gridCol w:w="1966"/>
      </w:tblGrid>
      <w:tr w:rsidR="005E347C" w:rsidRPr="00E2771E" w:rsidTr="00860340">
        <w:trPr>
          <w:tblHeader/>
        </w:trPr>
        <w:tc>
          <w:tcPr>
            <w:tcW w:w="1784" w:type="pct"/>
            <w:shd w:val="clear" w:color="auto" w:fill="auto"/>
            <w:vAlign w:val="center"/>
          </w:tcPr>
          <w:p w:rsidR="005E347C" w:rsidRPr="00E2771E" w:rsidRDefault="005E347C" w:rsidP="00323E7A">
            <w:pPr>
              <w:widowControl/>
              <w:jc w:val="left"/>
              <w:rPr>
                <w:rFonts w:ascii="Arial Narrow" w:hAnsi="Arial Narrow"/>
                <w:b/>
                <w:sz w:val="20"/>
                <w:lang w:val="en-US"/>
              </w:rPr>
            </w:pPr>
            <w:r w:rsidRPr="00E2771E">
              <w:rPr>
                <w:rFonts w:ascii="Arial Narrow" w:hAnsi="Arial Narrow"/>
                <w:b/>
                <w:sz w:val="20"/>
                <w:lang w:val="en-US"/>
              </w:rPr>
              <w:t>Description</w:t>
            </w:r>
          </w:p>
        </w:tc>
        <w:tc>
          <w:tcPr>
            <w:tcW w:w="2038" w:type="pct"/>
            <w:shd w:val="clear" w:color="auto" w:fill="auto"/>
            <w:vAlign w:val="center"/>
          </w:tcPr>
          <w:p w:rsidR="005E347C" w:rsidRPr="00E2771E" w:rsidRDefault="005E347C" w:rsidP="00323E7A">
            <w:pPr>
              <w:widowControl/>
              <w:jc w:val="center"/>
              <w:rPr>
                <w:rFonts w:ascii="Arial Narrow" w:hAnsi="Arial Narrow"/>
                <w:b/>
                <w:sz w:val="20"/>
                <w:lang w:val="en-US"/>
              </w:rPr>
            </w:pPr>
            <w:r w:rsidRPr="00E2771E">
              <w:rPr>
                <w:rFonts w:ascii="Arial Narrow" w:hAnsi="Arial Narrow"/>
                <w:b/>
                <w:sz w:val="20"/>
                <w:lang w:val="en-US"/>
              </w:rPr>
              <w:t>Method/Value</w:t>
            </w:r>
          </w:p>
        </w:tc>
        <w:tc>
          <w:tcPr>
            <w:tcW w:w="1178" w:type="pct"/>
            <w:shd w:val="clear" w:color="auto" w:fill="auto"/>
            <w:vAlign w:val="center"/>
          </w:tcPr>
          <w:p w:rsidR="005E347C" w:rsidRPr="00E2771E" w:rsidRDefault="005E347C" w:rsidP="00323E7A">
            <w:pPr>
              <w:widowControl/>
              <w:jc w:val="center"/>
              <w:rPr>
                <w:rFonts w:ascii="Arial Narrow" w:hAnsi="Arial Narrow"/>
                <w:b/>
                <w:sz w:val="20"/>
                <w:lang w:val="en-US"/>
              </w:rPr>
            </w:pPr>
            <w:r w:rsidRPr="00E2771E">
              <w:rPr>
                <w:rFonts w:ascii="Arial Narrow" w:hAnsi="Arial Narrow"/>
                <w:b/>
                <w:sz w:val="20"/>
                <w:lang w:val="en-US"/>
              </w:rPr>
              <w:t>Impact</w:t>
            </w:r>
          </w:p>
        </w:tc>
      </w:tr>
      <w:tr w:rsidR="005E347C" w:rsidRPr="00E2771E" w:rsidTr="00860340">
        <w:tc>
          <w:tcPr>
            <w:tcW w:w="1784" w:type="pct"/>
            <w:shd w:val="clear" w:color="auto" w:fill="auto"/>
            <w:vAlign w:val="center"/>
          </w:tcPr>
          <w:p w:rsidR="005E347C" w:rsidRPr="00E2771E" w:rsidRDefault="005E347C" w:rsidP="00323E7A">
            <w:pPr>
              <w:widowControl/>
              <w:jc w:val="left"/>
              <w:rPr>
                <w:rFonts w:ascii="Arial Narrow" w:hAnsi="Arial Narrow"/>
                <w:sz w:val="20"/>
                <w:lang w:val="en-US"/>
              </w:rPr>
            </w:pPr>
            <w:r w:rsidRPr="00E2771E">
              <w:rPr>
                <w:rFonts w:ascii="Arial Narrow" w:hAnsi="Arial Narrow"/>
                <w:sz w:val="20"/>
                <w:lang w:val="en-US"/>
              </w:rPr>
              <w:t>Time horizon</w:t>
            </w:r>
          </w:p>
        </w:tc>
        <w:tc>
          <w:tcPr>
            <w:tcW w:w="2038" w:type="pct"/>
            <w:shd w:val="clear" w:color="auto" w:fill="auto"/>
            <w:vAlign w:val="center"/>
          </w:tcPr>
          <w:p w:rsidR="005E347C" w:rsidRPr="00E2771E" w:rsidRDefault="005E347C" w:rsidP="00323E7A">
            <w:pPr>
              <w:widowControl/>
              <w:jc w:val="center"/>
              <w:rPr>
                <w:rFonts w:ascii="Arial Narrow" w:hAnsi="Arial Narrow"/>
                <w:sz w:val="20"/>
                <w:lang w:val="en-US"/>
              </w:rPr>
            </w:pPr>
            <w:r>
              <w:rPr>
                <w:rFonts w:ascii="Arial Narrow" w:hAnsi="Arial Narrow"/>
                <w:sz w:val="20"/>
                <w:lang w:val="en-US"/>
              </w:rPr>
              <w:t>10 years</w:t>
            </w:r>
            <w:r w:rsidRPr="00E2771E">
              <w:rPr>
                <w:rFonts w:ascii="Arial Narrow" w:hAnsi="Arial Narrow"/>
                <w:sz w:val="20"/>
                <w:lang w:val="en-US"/>
              </w:rPr>
              <w:t xml:space="preserve">; assumed from </w:t>
            </w:r>
            <w:r>
              <w:rPr>
                <w:rFonts w:ascii="Arial Narrow" w:hAnsi="Arial Narrow"/>
                <w:sz w:val="20"/>
                <w:lang w:val="en-US"/>
              </w:rPr>
              <w:t>1</w:t>
            </w:r>
            <w:r w:rsidR="00860340">
              <w:rPr>
                <w:rFonts w:ascii="Arial Narrow" w:hAnsi="Arial Narrow"/>
                <w:sz w:val="20"/>
                <w:lang w:val="en-US"/>
              </w:rPr>
              <w:t>6-</w:t>
            </w:r>
            <w:r w:rsidRPr="00E2771E">
              <w:rPr>
                <w:rFonts w:ascii="Arial Narrow" w:hAnsi="Arial Narrow"/>
                <w:sz w:val="20"/>
                <w:lang w:val="en-US"/>
              </w:rPr>
              <w:t xml:space="preserve">month </w:t>
            </w:r>
            <w:r>
              <w:rPr>
                <w:rFonts w:ascii="Arial Narrow" w:hAnsi="Arial Narrow"/>
                <w:sz w:val="20"/>
                <w:lang w:val="en-US"/>
              </w:rPr>
              <w:t>CA209-066 trial</w:t>
            </w:r>
            <w:r w:rsidRPr="00E2771E">
              <w:rPr>
                <w:rFonts w:ascii="Arial Narrow" w:hAnsi="Arial Narrow"/>
                <w:sz w:val="20"/>
                <w:lang w:val="en-US"/>
              </w:rPr>
              <w:t xml:space="preserve"> duration</w:t>
            </w:r>
          </w:p>
        </w:tc>
        <w:tc>
          <w:tcPr>
            <w:tcW w:w="1178" w:type="pct"/>
            <w:shd w:val="clear" w:color="auto" w:fill="auto"/>
            <w:vAlign w:val="center"/>
          </w:tcPr>
          <w:p w:rsidR="005E347C" w:rsidRPr="00E2771E" w:rsidRDefault="005E347C" w:rsidP="00323E7A">
            <w:pPr>
              <w:widowControl/>
              <w:jc w:val="center"/>
              <w:rPr>
                <w:rFonts w:ascii="Arial Narrow" w:hAnsi="Arial Narrow"/>
                <w:sz w:val="20"/>
                <w:lang w:val="en-US"/>
              </w:rPr>
            </w:pPr>
            <w:r w:rsidRPr="00E2771E">
              <w:rPr>
                <w:rFonts w:ascii="Arial Narrow" w:hAnsi="Arial Narrow"/>
                <w:sz w:val="20"/>
                <w:lang w:val="en-US"/>
              </w:rPr>
              <w:t xml:space="preserve">High, favours </w:t>
            </w:r>
            <w:r>
              <w:rPr>
                <w:rFonts w:ascii="Arial Narrow" w:hAnsi="Arial Narrow"/>
                <w:sz w:val="20"/>
                <w:lang w:val="en-US"/>
              </w:rPr>
              <w:t>nivolumab</w:t>
            </w:r>
          </w:p>
        </w:tc>
      </w:tr>
      <w:tr w:rsidR="005E347C" w:rsidRPr="00E2771E" w:rsidTr="00860340">
        <w:tc>
          <w:tcPr>
            <w:tcW w:w="1784" w:type="pct"/>
            <w:shd w:val="clear" w:color="auto" w:fill="auto"/>
            <w:vAlign w:val="center"/>
          </w:tcPr>
          <w:p w:rsidR="005E347C" w:rsidRPr="00E2771E" w:rsidRDefault="005E347C" w:rsidP="00323E7A">
            <w:pPr>
              <w:widowControl/>
              <w:jc w:val="left"/>
              <w:rPr>
                <w:rFonts w:ascii="Arial Narrow" w:hAnsi="Arial Narrow"/>
                <w:sz w:val="20"/>
                <w:lang w:val="en-US"/>
              </w:rPr>
            </w:pPr>
            <w:r>
              <w:rPr>
                <w:rFonts w:ascii="Arial Narrow" w:hAnsi="Arial Narrow"/>
                <w:sz w:val="20"/>
                <w:lang w:val="en-US"/>
              </w:rPr>
              <w:t>Indirect comparison hazard ratio for OS</w:t>
            </w:r>
          </w:p>
        </w:tc>
        <w:tc>
          <w:tcPr>
            <w:tcW w:w="2038" w:type="pct"/>
            <w:shd w:val="clear" w:color="auto" w:fill="auto"/>
            <w:vAlign w:val="center"/>
          </w:tcPr>
          <w:p w:rsidR="005E347C" w:rsidRPr="00E2771E" w:rsidRDefault="005E347C" w:rsidP="00323E7A">
            <w:pPr>
              <w:widowControl/>
              <w:jc w:val="center"/>
              <w:rPr>
                <w:rFonts w:ascii="Arial Narrow" w:hAnsi="Arial Narrow"/>
                <w:sz w:val="20"/>
                <w:lang w:val="en-US"/>
              </w:rPr>
            </w:pPr>
            <w:r>
              <w:rPr>
                <w:rFonts w:ascii="Arial Narrow" w:hAnsi="Arial Narrow"/>
                <w:sz w:val="20"/>
                <w:lang w:val="en-US"/>
              </w:rPr>
              <w:t>0.636</w:t>
            </w:r>
          </w:p>
        </w:tc>
        <w:tc>
          <w:tcPr>
            <w:tcW w:w="1178" w:type="pct"/>
            <w:shd w:val="clear" w:color="auto" w:fill="auto"/>
            <w:vAlign w:val="center"/>
          </w:tcPr>
          <w:p w:rsidR="005E347C" w:rsidRPr="00E2771E" w:rsidRDefault="005E347C" w:rsidP="00323E7A">
            <w:pPr>
              <w:widowControl/>
              <w:jc w:val="center"/>
              <w:rPr>
                <w:rFonts w:ascii="Arial Narrow" w:hAnsi="Arial Narrow"/>
                <w:sz w:val="20"/>
                <w:lang w:val="en-US"/>
              </w:rPr>
            </w:pPr>
            <w:r>
              <w:rPr>
                <w:rFonts w:ascii="Arial Narrow" w:hAnsi="Arial Narrow"/>
                <w:sz w:val="20"/>
                <w:lang w:val="en-US"/>
              </w:rPr>
              <w:t>High, favours nivolumab</w:t>
            </w:r>
          </w:p>
        </w:tc>
      </w:tr>
      <w:tr w:rsidR="005E347C" w:rsidRPr="00E2771E" w:rsidTr="00860340">
        <w:tc>
          <w:tcPr>
            <w:tcW w:w="1784" w:type="pct"/>
            <w:shd w:val="clear" w:color="auto" w:fill="auto"/>
            <w:vAlign w:val="center"/>
          </w:tcPr>
          <w:p w:rsidR="005E347C" w:rsidRPr="00E2771E" w:rsidRDefault="005E347C" w:rsidP="00323E7A">
            <w:pPr>
              <w:widowControl/>
              <w:jc w:val="left"/>
              <w:rPr>
                <w:rFonts w:ascii="Arial Narrow" w:hAnsi="Arial Narrow"/>
                <w:sz w:val="20"/>
                <w:lang w:val="en-US"/>
              </w:rPr>
            </w:pPr>
            <w:r>
              <w:rPr>
                <w:rFonts w:ascii="Arial Narrow" w:hAnsi="Arial Narrow"/>
                <w:sz w:val="20"/>
                <w:lang w:val="en-US"/>
              </w:rPr>
              <w:t>Extrapolation method</w:t>
            </w:r>
          </w:p>
        </w:tc>
        <w:tc>
          <w:tcPr>
            <w:tcW w:w="2038" w:type="pct"/>
            <w:shd w:val="clear" w:color="auto" w:fill="auto"/>
            <w:vAlign w:val="center"/>
          </w:tcPr>
          <w:p w:rsidR="005E347C" w:rsidRPr="004A053A" w:rsidRDefault="005E347C" w:rsidP="00323E7A">
            <w:pPr>
              <w:widowControl/>
              <w:jc w:val="center"/>
              <w:rPr>
                <w:rFonts w:ascii="Arial Narrow" w:hAnsi="Arial Narrow"/>
                <w:sz w:val="20"/>
                <w:lang w:val="en-US"/>
              </w:rPr>
            </w:pPr>
            <w:r w:rsidRPr="004A053A">
              <w:rPr>
                <w:rFonts w:ascii="Arial Narrow" w:hAnsi="Arial Narrow"/>
                <w:sz w:val="20"/>
                <w:lang w:val="en-US"/>
              </w:rPr>
              <w:t>Log-logistic survival curves</w:t>
            </w:r>
            <w:r w:rsidR="00860340" w:rsidRPr="004A053A">
              <w:rPr>
                <w:rFonts w:ascii="Arial Narrow" w:hAnsi="Arial Narrow"/>
                <w:sz w:val="20"/>
                <w:lang w:val="en-US"/>
              </w:rPr>
              <w:t>; splitting of OS</w:t>
            </w:r>
          </w:p>
        </w:tc>
        <w:tc>
          <w:tcPr>
            <w:tcW w:w="1178" w:type="pct"/>
            <w:shd w:val="clear" w:color="auto" w:fill="auto"/>
            <w:vAlign w:val="center"/>
          </w:tcPr>
          <w:p w:rsidR="005E347C" w:rsidRPr="004A053A" w:rsidRDefault="00860340" w:rsidP="00323E7A">
            <w:pPr>
              <w:widowControl/>
              <w:jc w:val="center"/>
              <w:rPr>
                <w:rFonts w:ascii="Arial Narrow" w:hAnsi="Arial Narrow"/>
                <w:sz w:val="20"/>
                <w:lang w:val="en-US"/>
              </w:rPr>
            </w:pPr>
            <w:r w:rsidRPr="004A053A">
              <w:rPr>
                <w:rFonts w:ascii="Arial Narrow" w:hAnsi="Arial Narrow"/>
                <w:sz w:val="20"/>
                <w:lang w:val="en-US"/>
              </w:rPr>
              <w:t>H</w:t>
            </w:r>
            <w:r w:rsidR="005E347C" w:rsidRPr="004A053A">
              <w:rPr>
                <w:rFonts w:ascii="Arial Narrow" w:hAnsi="Arial Narrow"/>
                <w:sz w:val="20"/>
                <w:lang w:val="en-US"/>
              </w:rPr>
              <w:t xml:space="preserve">igh, </w:t>
            </w:r>
            <w:r w:rsidRPr="004A053A">
              <w:rPr>
                <w:rFonts w:ascii="Arial Narrow" w:hAnsi="Arial Narrow"/>
                <w:sz w:val="20"/>
                <w:lang w:val="en-US"/>
              </w:rPr>
              <w:t>favours nivolumab</w:t>
            </w:r>
          </w:p>
        </w:tc>
      </w:tr>
    </w:tbl>
    <w:p w:rsidR="005E347C" w:rsidRPr="00D110BD" w:rsidRDefault="005E347C" w:rsidP="00323E7A">
      <w:pPr>
        <w:pStyle w:val="TableFooter"/>
        <w:widowControl/>
        <w:ind w:firstLine="720"/>
      </w:pPr>
      <w:r w:rsidRPr="00D110BD">
        <w:t>Source: compiled during the evaluation</w:t>
      </w:r>
      <w:r>
        <w:t>. OS=overall survival</w:t>
      </w:r>
    </w:p>
    <w:p w:rsidR="005E347C" w:rsidRPr="004A053A" w:rsidRDefault="005E347C" w:rsidP="00323E7A">
      <w:pPr>
        <w:widowControl/>
        <w:rPr>
          <w:szCs w:val="22"/>
        </w:rPr>
      </w:pPr>
    </w:p>
    <w:p w:rsidR="00275C5A" w:rsidRPr="004A053A" w:rsidRDefault="00F55FEC" w:rsidP="00323E7A">
      <w:pPr>
        <w:pStyle w:val="ListParagraph"/>
        <w:widowControl/>
        <w:numPr>
          <w:ilvl w:val="1"/>
          <w:numId w:val="23"/>
        </w:numPr>
        <w:ind w:left="709" w:hanging="709"/>
      </w:pPr>
      <w:r w:rsidRPr="004A053A">
        <w:t>The 10</w:t>
      </w:r>
      <w:r w:rsidR="00502D53" w:rsidRPr="004A053A">
        <w:t>-</w:t>
      </w:r>
      <w:r w:rsidRPr="004A053A">
        <w:t>year time horizon favoured nivolumab significantly in the economic model.  Given that the clinical information (</w:t>
      </w:r>
      <w:r w:rsidR="00502D53" w:rsidRPr="004A053A">
        <w:t>Schadendorf 2015) supporting 10-</w:t>
      </w:r>
      <w:r w:rsidRPr="004A053A">
        <w:t>year ipilimumab survival was limited; that the efficacy data of nivolumab beyond 4 years was limited; and that the model assumed significant survival benefit of nivolumab ov</w:t>
      </w:r>
      <w:r w:rsidR="00502D53" w:rsidRPr="004A053A">
        <w:t>er ipilimumab throughout the 10-year duration, the 10-</w:t>
      </w:r>
      <w:r w:rsidRPr="004A053A">
        <w:t xml:space="preserve">year time horizon is not strongly supported by the clinical evidence.  The model was sensitive to </w:t>
      </w:r>
      <w:r w:rsidR="00502D53" w:rsidRPr="004A053A">
        <w:t xml:space="preserve">the </w:t>
      </w:r>
      <w:r w:rsidRPr="004A053A">
        <w:t>time horizon (see below).</w:t>
      </w:r>
    </w:p>
    <w:p w:rsidR="00AC2513" w:rsidRPr="004A053A" w:rsidRDefault="00AC2513" w:rsidP="00323E7A">
      <w:pPr>
        <w:widowControl/>
      </w:pPr>
    </w:p>
    <w:p w:rsidR="00AC2513" w:rsidRPr="004A053A" w:rsidRDefault="001F5E15" w:rsidP="00323E7A">
      <w:pPr>
        <w:pStyle w:val="ListParagraph"/>
        <w:widowControl/>
        <w:numPr>
          <w:ilvl w:val="1"/>
          <w:numId w:val="23"/>
        </w:numPr>
        <w:ind w:left="709" w:hanging="709"/>
      </w:pPr>
      <w:r w:rsidRPr="004A053A">
        <w:t>The model extrapolated progression</w:t>
      </w:r>
      <w:r w:rsidR="009B2A22" w:rsidRPr="004A053A">
        <w:t>-</w:t>
      </w:r>
      <w:r w:rsidRPr="004A053A">
        <w:t xml:space="preserve">free survival and overall survival from </w:t>
      </w:r>
      <w:r w:rsidR="00323E7A">
        <w:t>log</w:t>
      </w:r>
      <w:r w:rsidR="00323E7A">
        <w:noBreakHyphen/>
      </w:r>
      <w:r w:rsidRPr="004A053A">
        <w:t>logistic curves for the entirety of the model and not a post-trial (16 month) extrapolation phase.</w:t>
      </w:r>
      <w:r w:rsidR="00BA6747" w:rsidRPr="004A053A">
        <w:t xml:space="preserve"> </w:t>
      </w:r>
      <w:r w:rsidRPr="004A053A">
        <w:t xml:space="preserve"> The submission did not present sensitivity analyses exploring alternative extrapolation curves or methods, nor did it present sensitivity analyses using Kaplan-Meier estimate</w:t>
      </w:r>
      <w:r w:rsidR="00BA6747" w:rsidRPr="004A053A">
        <w:t>s</w:t>
      </w:r>
      <w:r w:rsidRPr="004A053A">
        <w:t xml:space="preserve"> for the </w:t>
      </w:r>
      <w:r w:rsidR="00BA6747" w:rsidRPr="004A053A">
        <w:t>trial period, followed by curve-</w:t>
      </w:r>
      <w:r w:rsidRPr="004A053A">
        <w:t xml:space="preserve">generated transition probabilities in the post-trial extrapolation period. </w:t>
      </w:r>
      <w:r w:rsidR="00BA6747" w:rsidRPr="004A053A">
        <w:t xml:space="preserve"> Sensitivity analyses could not be run during the evaluation for alternate extrapolation methods, </w:t>
      </w:r>
      <w:r w:rsidRPr="004A053A">
        <w:t xml:space="preserve">but it </w:t>
      </w:r>
      <w:r w:rsidR="00502D53" w:rsidRPr="004A053A">
        <w:t>wa</w:t>
      </w:r>
      <w:r w:rsidRPr="004A053A">
        <w:t>s reasonable to assume that the model was highly sensitive to the extrapolation method.</w:t>
      </w:r>
      <w:r w:rsidR="00725599" w:rsidRPr="004A053A">
        <w:t xml:space="preserve"> </w:t>
      </w:r>
      <w:r w:rsidR="00AA7DE2" w:rsidRPr="004A053A">
        <w:t xml:space="preserve"> </w:t>
      </w:r>
      <w:r w:rsidR="003A2DC7" w:rsidRPr="004A053A">
        <w:t>The PSCR</w:t>
      </w:r>
      <w:r w:rsidR="0060288F" w:rsidRPr="004A053A">
        <w:t xml:space="preserve"> </w:t>
      </w:r>
      <w:r w:rsidR="003A2DC7" w:rsidRPr="004A053A">
        <w:t xml:space="preserve">claimed that the log-logistic parametric distribution was selected based on face validity and goodness of fit statistics. </w:t>
      </w:r>
      <w:r w:rsidR="00725599" w:rsidRPr="004A053A">
        <w:t xml:space="preserve"> </w:t>
      </w:r>
      <w:r w:rsidR="003A2DC7" w:rsidRPr="004A053A">
        <w:t>T</w:t>
      </w:r>
      <w:r w:rsidR="00AA7DE2" w:rsidRPr="004A053A">
        <w:t xml:space="preserve">he ESC </w:t>
      </w:r>
      <w:r w:rsidR="003A2DC7" w:rsidRPr="004A053A">
        <w:t xml:space="preserve">also </w:t>
      </w:r>
      <w:r w:rsidR="00AA7DE2" w:rsidRPr="004A053A">
        <w:t xml:space="preserve">considered that </w:t>
      </w:r>
      <w:r w:rsidR="00725599" w:rsidRPr="004A053A">
        <w:t xml:space="preserve">directly </w:t>
      </w:r>
      <w:r w:rsidR="00AA7DE2" w:rsidRPr="004A053A">
        <w:t>using the Kaplan-Meier trial based data followed by extrapolated curves in the model would be informative.</w:t>
      </w:r>
    </w:p>
    <w:p w:rsidR="000D6C68" w:rsidRPr="006C03DC" w:rsidRDefault="000D6C68" w:rsidP="00323E7A">
      <w:pPr>
        <w:widowControl/>
      </w:pPr>
    </w:p>
    <w:p w:rsidR="000D6C68" w:rsidRPr="00B841D9" w:rsidRDefault="000D6C68" w:rsidP="00323E7A">
      <w:pPr>
        <w:pStyle w:val="ListParagraph"/>
        <w:widowControl/>
        <w:numPr>
          <w:ilvl w:val="1"/>
          <w:numId w:val="23"/>
        </w:numPr>
        <w:ind w:left="709" w:hanging="709"/>
      </w:pPr>
      <w:r w:rsidRPr="00B841D9">
        <w:lastRenderedPageBreak/>
        <w:t xml:space="preserve">The </w:t>
      </w:r>
      <w:r w:rsidR="00D04D17">
        <w:t>following table</w:t>
      </w:r>
      <w:r w:rsidRPr="00B841D9">
        <w:t xml:space="preserve"> provides the results of the modelled evaluation.</w:t>
      </w:r>
    </w:p>
    <w:p w:rsidR="00D110BD" w:rsidRDefault="00D110BD" w:rsidP="00323E7A">
      <w:pPr>
        <w:widowControl/>
        <w:rPr>
          <w:szCs w:val="22"/>
        </w:rPr>
      </w:pPr>
    </w:p>
    <w:p w:rsidR="000D6C68" w:rsidRDefault="000D6C68" w:rsidP="00323E7A">
      <w:pPr>
        <w:widowControl/>
        <w:ind w:firstLine="720"/>
        <w:rPr>
          <w:rStyle w:val="CommentReference"/>
        </w:rPr>
      </w:pPr>
      <w:r>
        <w:rPr>
          <w:rStyle w:val="CommentReference"/>
        </w:rPr>
        <w:t xml:space="preserve">Table </w:t>
      </w:r>
      <w:r w:rsidR="003B088C">
        <w:rPr>
          <w:rStyle w:val="CommentReference"/>
        </w:rPr>
        <w:t>10</w:t>
      </w:r>
      <w:r w:rsidRPr="001222FC">
        <w:rPr>
          <w:rStyle w:val="CommentReference"/>
        </w:rPr>
        <w:t>: Results of the economic evaluation</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1"/>
        <w:gridCol w:w="2377"/>
        <w:gridCol w:w="2222"/>
        <w:gridCol w:w="2214"/>
      </w:tblGrid>
      <w:tr w:rsidR="000D6C68" w:rsidRPr="004E2ADC" w:rsidTr="00DB5C4B">
        <w:tc>
          <w:tcPr>
            <w:tcW w:w="913" w:type="pct"/>
          </w:tcPr>
          <w:p w:rsidR="000D6C68" w:rsidRPr="004E2ADC" w:rsidRDefault="000D6C68" w:rsidP="00323E7A">
            <w:pPr>
              <w:widowControl/>
              <w:rPr>
                <w:rFonts w:ascii="Arial Narrow" w:hAnsi="Arial Narrow"/>
                <w:b/>
                <w:sz w:val="20"/>
              </w:rPr>
            </w:pPr>
            <w:r w:rsidRPr="004E2ADC">
              <w:rPr>
                <w:rFonts w:ascii="Arial Narrow" w:hAnsi="Arial Narrow"/>
                <w:b/>
                <w:sz w:val="20"/>
              </w:rPr>
              <w:t>Component</w:t>
            </w:r>
          </w:p>
        </w:tc>
        <w:tc>
          <w:tcPr>
            <w:tcW w:w="1426" w:type="pct"/>
          </w:tcPr>
          <w:p w:rsidR="000D6C68" w:rsidRPr="004E2ADC" w:rsidRDefault="000D6C68" w:rsidP="00323E7A">
            <w:pPr>
              <w:widowControl/>
              <w:jc w:val="center"/>
              <w:rPr>
                <w:rFonts w:ascii="Arial Narrow" w:hAnsi="Arial Narrow"/>
                <w:b/>
                <w:sz w:val="20"/>
              </w:rPr>
            </w:pPr>
            <w:r>
              <w:rPr>
                <w:rFonts w:ascii="Arial Narrow" w:hAnsi="Arial Narrow"/>
                <w:b/>
                <w:sz w:val="20"/>
              </w:rPr>
              <w:t>Nivolumab</w:t>
            </w:r>
          </w:p>
        </w:tc>
        <w:tc>
          <w:tcPr>
            <w:tcW w:w="1333" w:type="pct"/>
          </w:tcPr>
          <w:p w:rsidR="000D6C68" w:rsidRPr="004E2ADC" w:rsidRDefault="000D6C68" w:rsidP="00323E7A">
            <w:pPr>
              <w:widowControl/>
              <w:jc w:val="center"/>
              <w:rPr>
                <w:rFonts w:ascii="Arial Narrow" w:hAnsi="Arial Narrow"/>
                <w:b/>
                <w:sz w:val="20"/>
              </w:rPr>
            </w:pPr>
            <w:r>
              <w:rPr>
                <w:rFonts w:ascii="Arial Narrow" w:hAnsi="Arial Narrow"/>
                <w:b/>
                <w:sz w:val="20"/>
              </w:rPr>
              <w:t>Ipilimumab</w:t>
            </w:r>
          </w:p>
        </w:tc>
        <w:tc>
          <w:tcPr>
            <w:tcW w:w="1328" w:type="pct"/>
          </w:tcPr>
          <w:p w:rsidR="000D6C68" w:rsidRPr="004E2ADC" w:rsidRDefault="000D6C68" w:rsidP="00323E7A">
            <w:pPr>
              <w:widowControl/>
              <w:jc w:val="center"/>
              <w:rPr>
                <w:rFonts w:ascii="Arial Narrow" w:hAnsi="Arial Narrow"/>
                <w:b/>
                <w:sz w:val="20"/>
              </w:rPr>
            </w:pPr>
            <w:r w:rsidRPr="004E2ADC">
              <w:rPr>
                <w:rFonts w:ascii="Arial Narrow" w:hAnsi="Arial Narrow"/>
                <w:b/>
                <w:sz w:val="20"/>
              </w:rPr>
              <w:t>Increment</w:t>
            </w:r>
          </w:p>
        </w:tc>
      </w:tr>
      <w:tr w:rsidR="000D6C68" w:rsidRPr="004E2ADC" w:rsidTr="00DB5C4B">
        <w:tc>
          <w:tcPr>
            <w:tcW w:w="913" w:type="pct"/>
          </w:tcPr>
          <w:p w:rsidR="000D6C68" w:rsidRPr="004E2ADC" w:rsidRDefault="000D6C68" w:rsidP="00323E7A">
            <w:pPr>
              <w:widowControl/>
              <w:rPr>
                <w:rFonts w:ascii="Arial Narrow" w:hAnsi="Arial Narrow"/>
                <w:sz w:val="20"/>
              </w:rPr>
            </w:pPr>
            <w:r w:rsidRPr="004E2ADC">
              <w:rPr>
                <w:rFonts w:ascii="Arial Narrow" w:hAnsi="Arial Narrow"/>
                <w:sz w:val="20"/>
              </w:rPr>
              <w:t>Costs</w:t>
            </w:r>
          </w:p>
        </w:tc>
        <w:tc>
          <w:tcPr>
            <w:tcW w:w="1426" w:type="pct"/>
          </w:tcPr>
          <w:p w:rsidR="000D6C68" w:rsidRPr="004E2ADC" w:rsidRDefault="000D6C68" w:rsidP="00323E7A">
            <w:pPr>
              <w:widowControl/>
              <w:jc w:val="center"/>
              <w:rPr>
                <w:rFonts w:ascii="Arial Narrow" w:hAnsi="Arial Narrow"/>
                <w:sz w:val="20"/>
              </w:rPr>
            </w:pPr>
            <w:r w:rsidRPr="004E2ADC">
              <w:rPr>
                <w:rFonts w:ascii="Arial Narrow" w:hAnsi="Arial Narrow"/>
                <w:sz w:val="20"/>
              </w:rPr>
              <w:t>$</w:t>
            </w:r>
            <w:r w:rsidR="00930DE3">
              <w:rPr>
                <w:rFonts w:ascii="Arial Narrow" w:hAnsi="Arial Narrow"/>
                <w:noProof/>
                <w:color w:val="000000"/>
                <w:sz w:val="20"/>
                <w:highlight w:val="black"/>
              </w:rPr>
              <w:t>'''''''''''''''''''''</w:t>
            </w:r>
          </w:p>
        </w:tc>
        <w:tc>
          <w:tcPr>
            <w:tcW w:w="1333" w:type="pct"/>
          </w:tcPr>
          <w:p w:rsidR="000D6C68" w:rsidRPr="004E2ADC" w:rsidRDefault="000D6C68" w:rsidP="00323E7A">
            <w:pPr>
              <w:widowControl/>
              <w:jc w:val="center"/>
              <w:rPr>
                <w:rFonts w:ascii="Arial Narrow" w:hAnsi="Arial Narrow"/>
                <w:sz w:val="20"/>
              </w:rPr>
            </w:pPr>
            <w:r w:rsidRPr="004E2ADC">
              <w:rPr>
                <w:rFonts w:ascii="Arial Narrow" w:hAnsi="Arial Narrow"/>
                <w:sz w:val="20"/>
              </w:rPr>
              <w:t>$</w:t>
            </w:r>
            <w:r w:rsidR="00930DE3">
              <w:rPr>
                <w:rFonts w:ascii="Arial Narrow" w:hAnsi="Arial Narrow"/>
                <w:noProof/>
                <w:color w:val="000000"/>
                <w:sz w:val="20"/>
                <w:highlight w:val="black"/>
              </w:rPr>
              <w:t>'''''''''''''''''''</w:t>
            </w:r>
          </w:p>
        </w:tc>
        <w:tc>
          <w:tcPr>
            <w:tcW w:w="1328" w:type="pct"/>
          </w:tcPr>
          <w:p w:rsidR="000D6C68" w:rsidRPr="004E2ADC" w:rsidRDefault="000D6C68" w:rsidP="00323E7A">
            <w:pPr>
              <w:widowControl/>
              <w:jc w:val="center"/>
              <w:rPr>
                <w:rFonts w:ascii="Arial Narrow" w:hAnsi="Arial Narrow"/>
                <w:sz w:val="20"/>
              </w:rPr>
            </w:pPr>
            <w:r w:rsidRPr="004E2ADC">
              <w:rPr>
                <w:rFonts w:ascii="Arial Narrow" w:hAnsi="Arial Narrow"/>
                <w:sz w:val="20"/>
              </w:rPr>
              <w:t>$</w:t>
            </w:r>
            <w:r w:rsidR="00930DE3">
              <w:rPr>
                <w:rFonts w:ascii="Arial Narrow" w:hAnsi="Arial Narrow"/>
                <w:noProof/>
                <w:color w:val="000000"/>
                <w:sz w:val="20"/>
                <w:highlight w:val="black"/>
              </w:rPr>
              <w:t>''''''''''''''''''</w:t>
            </w:r>
          </w:p>
        </w:tc>
      </w:tr>
      <w:tr w:rsidR="000D6C68" w:rsidRPr="004E2ADC" w:rsidTr="00DB5C4B">
        <w:tc>
          <w:tcPr>
            <w:tcW w:w="913" w:type="pct"/>
          </w:tcPr>
          <w:p w:rsidR="000D6C68" w:rsidRPr="004E2ADC" w:rsidRDefault="000D6C68" w:rsidP="00323E7A">
            <w:pPr>
              <w:widowControl/>
              <w:rPr>
                <w:rFonts w:ascii="Arial Narrow" w:hAnsi="Arial Narrow"/>
                <w:sz w:val="20"/>
              </w:rPr>
            </w:pPr>
            <w:r>
              <w:rPr>
                <w:rFonts w:ascii="Arial Narrow" w:hAnsi="Arial Narrow"/>
                <w:sz w:val="20"/>
              </w:rPr>
              <w:t>QALYs</w:t>
            </w:r>
          </w:p>
        </w:tc>
        <w:tc>
          <w:tcPr>
            <w:tcW w:w="1426" w:type="pct"/>
          </w:tcPr>
          <w:p w:rsidR="000D6C68" w:rsidRPr="005E36D7" w:rsidRDefault="005E36D7" w:rsidP="00323E7A">
            <w:pPr>
              <w:widowControl/>
              <w:jc w:val="center"/>
              <w:rPr>
                <w:rFonts w:ascii="Arial Narrow" w:hAnsi="Arial Narrow"/>
                <w:sz w:val="20"/>
                <w:highlight w:val="black"/>
              </w:rPr>
            </w:pPr>
            <w:r>
              <w:rPr>
                <w:rFonts w:ascii="Arial Narrow" w:hAnsi="Arial Narrow"/>
                <w:noProof/>
                <w:color w:val="000000"/>
                <w:sz w:val="20"/>
                <w:highlight w:val="black"/>
              </w:rPr>
              <w:t>'''''''''''</w:t>
            </w:r>
          </w:p>
        </w:tc>
        <w:tc>
          <w:tcPr>
            <w:tcW w:w="1333" w:type="pct"/>
          </w:tcPr>
          <w:p w:rsidR="000D6C68" w:rsidRPr="005E36D7" w:rsidRDefault="005E36D7" w:rsidP="00323E7A">
            <w:pPr>
              <w:widowControl/>
              <w:jc w:val="center"/>
              <w:rPr>
                <w:rFonts w:ascii="Arial Narrow" w:hAnsi="Arial Narrow"/>
                <w:sz w:val="20"/>
                <w:highlight w:val="black"/>
              </w:rPr>
            </w:pPr>
            <w:r>
              <w:rPr>
                <w:rFonts w:ascii="Arial Narrow" w:hAnsi="Arial Narrow"/>
                <w:noProof/>
                <w:color w:val="000000"/>
                <w:sz w:val="20"/>
                <w:highlight w:val="black"/>
              </w:rPr>
              <w:t>''''''''''''</w:t>
            </w:r>
          </w:p>
        </w:tc>
        <w:tc>
          <w:tcPr>
            <w:tcW w:w="1328" w:type="pct"/>
          </w:tcPr>
          <w:p w:rsidR="000D6C68" w:rsidRPr="005E36D7" w:rsidRDefault="005E36D7" w:rsidP="00323E7A">
            <w:pPr>
              <w:widowControl/>
              <w:jc w:val="center"/>
              <w:rPr>
                <w:rFonts w:ascii="Arial Narrow" w:hAnsi="Arial Narrow"/>
                <w:sz w:val="20"/>
                <w:highlight w:val="black"/>
              </w:rPr>
            </w:pPr>
            <w:r>
              <w:rPr>
                <w:rFonts w:ascii="Arial Narrow" w:hAnsi="Arial Narrow"/>
                <w:noProof/>
                <w:color w:val="000000"/>
                <w:sz w:val="20"/>
                <w:highlight w:val="black"/>
              </w:rPr>
              <w:t>''''''''''''</w:t>
            </w:r>
          </w:p>
        </w:tc>
      </w:tr>
      <w:tr w:rsidR="000D6C68" w:rsidRPr="004E2ADC" w:rsidTr="00DB5C4B">
        <w:tc>
          <w:tcPr>
            <w:tcW w:w="3672" w:type="pct"/>
            <w:gridSpan w:val="3"/>
          </w:tcPr>
          <w:p w:rsidR="000D6C68" w:rsidRPr="004E2ADC" w:rsidRDefault="000D6C68" w:rsidP="00323E7A">
            <w:pPr>
              <w:widowControl/>
              <w:rPr>
                <w:rFonts w:ascii="Arial Narrow" w:hAnsi="Arial Narrow"/>
                <w:b/>
                <w:sz w:val="20"/>
              </w:rPr>
            </w:pPr>
            <w:r w:rsidRPr="004E2ADC">
              <w:rPr>
                <w:rFonts w:ascii="Arial Narrow" w:hAnsi="Arial Narrow"/>
                <w:b/>
                <w:sz w:val="20"/>
              </w:rPr>
              <w:t>Incremental cost/</w:t>
            </w:r>
            <w:r w:rsidR="00EC02F0">
              <w:rPr>
                <w:rFonts w:ascii="Arial Narrow" w:hAnsi="Arial Narrow"/>
                <w:b/>
                <w:sz w:val="20"/>
              </w:rPr>
              <w:t>life-</w:t>
            </w:r>
            <w:r>
              <w:rPr>
                <w:rFonts w:ascii="Arial Narrow" w:hAnsi="Arial Narrow"/>
                <w:b/>
                <w:sz w:val="20"/>
              </w:rPr>
              <w:t>year gained</w:t>
            </w:r>
          </w:p>
        </w:tc>
        <w:tc>
          <w:tcPr>
            <w:tcW w:w="1328" w:type="pct"/>
          </w:tcPr>
          <w:p w:rsidR="000D6C68" w:rsidRPr="004E2ADC" w:rsidRDefault="000D6C68" w:rsidP="00323E7A">
            <w:pPr>
              <w:widowControl/>
              <w:jc w:val="center"/>
              <w:rPr>
                <w:rFonts w:ascii="Arial Narrow" w:hAnsi="Arial Narrow"/>
                <w:b/>
                <w:sz w:val="20"/>
              </w:rPr>
            </w:pPr>
            <w:r w:rsidRPr="004E2ADC">
              <w:rPr>
                <w:rFonts w:ascii="Arial Narrow" w:hAnsi="Arial Narrow"/>
                <w:b/>
                <w:sz w:val="20"/>
              </w:rPr>
              <w:t>$</w:t>
            </w:r>
            <w:r w:rsidR="00930DE3">
              <w:rPr>
                <w:rFonts w:ascii="Arial Narrow" w:hAnsi="Arial Narrow"/>
                <w:b/>
                <w:noProof/>
                <w:color w:val="000000"/>
                <w:sz w:val="20"/>
                <w:highlight w:val="black"/>
              </w:rPr>
              <w:t>'''''''''''''</w:t>
            </w:r>
          </w:p>
        </w:tc>
      </w:tr>
      <w:tr w:rsidR="000D6C68" w:rsidRPr="004E2ADC" w:rsidTr="00DB5C4B">
        <w:tc>
          <w:tcPr>
            <w:tcW w:w="3672" w:type="pct"/>
            <w:gridSpan w:val="3"/>
          </w:tcPr>
          <w:p w:rsidR="000D6C68" w:rsidRPr="004E2ADC" w:rsidRDefault="000D6C68" w:rsidP="00323E7A">
            <w:pPr>
              <w:widowControl/>
              <w:rPr>
                <w:rFonts w:ascii="Arial Narrow" w:hAnsi="Arial Narrow"/>
                <w:b/>
                <w:sz w:val="20"/>
              </w:rPr>
            </w:pPr>
            <w:r>
              <w:rPr>
                <w:rFonts w:ascii="Arial Narrow" w:hAnsi="Arial Narrow"/>
                <w:b/>
                <w:sz w:val="20"/>
              </w:rPr>
              <w:t>Incremental cost/QALY</w:t>
            </w:r>
          </w:p>
        </w:tc>
        <w:tc>
          <w:tcPr>
            <w:tcW w:w="1328" w:type="pct"/>
          </w:tcPr>
          <w:p w:rsidR="000D6C68" w:rsidRPr="004E2ADC" w:rsidRDefault="000D6C68" w:rsidP="00323E7A">
            <w:pPr>
              <w:widowControl/>
              <w:jc w:val="center"/>
              <w:rPr>
                <w:rFonts w:ascii="Arial Narrow" w:hAnsi="Arial Narrow"/>
                <w:b/>
                <w:sz w:val="20"/>
              </w:rPr>
            </w:pPr>
            <w:r>
              <w:rPr>
                <w:rFonts w:ascii="Arial Narrow" w:hAnsi="Arial Narrow"/>
                <w:b/>
                <w:sz w:val="20"/>
              </w:rPr>
              <w:t>$</w:t>
            </w:r>
            <w:r w:rsidR="00930DE3">
              <w:rPr>
                <w:rFonts w:ascii="Arial Narrow" w:hAnsi="Arial Narrow"/>
                <w:b/>
                <w:noProof/>
                <w:color w:val="000000"/>
                <w:sz w:val="20"/>
                <w:highlight w:val="black"/>
              </w:rPr>
              <w:t>''''''''''''''</w:t>
            </w:r>
          </w:p>
        </w:tc>
      </w:tr>
      <w:tr w:rsidR="00E62767" w:rsidRPr="004E2ADC" w:rsidTr="00DB5C4B">
        <w:tc>
          <w:tcPr>
            <w:tcW w:w="3672" w:type="pct"/>
            <w:gridSpan w:val="3"/>
          </w:tcPr>
          <w:p w:rsidR="00E62767" w:rsidRPr="007C295B" w:rsidRDefault="00E62767" w:rsidP="00323E7A">
            <w:pPr>
              <w:widowControl/>
              <w:rPr>
                <w:rFonts w:ascii="Arial Narrow" w:hAnsi="Arial Narrow"/>
                <w:b/>
                <w:sz w:val="20"/>
              </w:rPr>
            </w:pPr>
            <w:r w:rsidRPr="007C295B">
              <w:rPr>
                <w:rFonts w:ascii="Arial Narrow" w:hAnsi="Arial Narrow"/>
                <w:b/>
                <w:sz w:val="20"/>
              </w:rPr>
              <w:t>Sensitivity analyses from the PSCR*</w:t>
            </w:r>
          </w:p>
        </w:tc>
        <w:tc>
          <w:tcPr>
            <w:tcW w:w="1328" w:type="pct"/>
          </w:tcPr>
          <w:p w:rsidR="00E62767" w:rsidRPr="007C295B" w:rsidRDefault="00E62767" w:rsidP="00323E7A">
            <w:pPr>
              <w:widowControl/>
              <w:jc w:val="center"/>
              <w:rPr>
                <w:rFonts w:ascii="Arial Narrow" w:hAnsi="Arial Narrow"/>
                <w:b/>
                <w:sz w:val="20"/>
              </w:rPr>
            </w:pPr>
            <w:r w:rsidRPr="007C295B">
              <w:rPr>
                <w:rFonts w:ascii="Arial Narrow" w:hAnsi="Arial Narrow"/>
                <w:b/>
                <w:sz w:val="20"/>
              </w:rPr>
              <w:t>I</w:t>
            </w:r>
            <w:r w:rsidR="00EC02F0" w:rsidRPr="007C295B">
              <w:rPr>
                <w:rFonts w:ascii="Arial Narrow" w:hAnsi="Arial Narrow"/>
                <w:b/>
                <w:sz w:val="20"/>
              </w:rPr>
              <w:t>ncremental cost/QALY</w:t>
            </w:r>
          </w:p>
        </w:tc>
      </w:tr>
      <w:tr w:rsidR="00E62767" w:rsidRPr="004E2ADC" w:rsidTr="00DB5C4B">
        <w:tc>
          <w:tcPr>
            <w:tcW w:w="3672" w:type="pct"/>
            <w:gridSpan w:val="3"/>
          </w:tcPr>
          <w:p w:rsidR="00E62767" w:rsidRPr="00323E7A" w:rsidRDefault="00E62767" w:rsidP="00323E7A">
            <w:pPr>
              <w:widowControl/>
              <w:rPr>
                <w:rFonts w:ascii="Arial Narrow" w:hAnsi="Arial Narrow"/>
                <w:sz w:val="20"/>
              </w:rPr>
            </w:pPr>
            <w:r w:rsidRPr="00323E7A">
              <w:rPr>
                <w:rFonts w:ascii="Arial Narrow" w:hAnsi="Arial Narrow"/>
                <w:sz w:val="20"/>
              </w:rPr>
              <w:t>CA209-067 data</w:t>
            </w:r>
          </w:p>
        </w:tc>
        <w:tc>
          <w:tcPr>
            <w:tcW w:w="1328" w:type="pct"/>
          </w:tcPr>
          <w:p w:rsidR="00E62767" w:rsidRPr="007C295B" w:rsidRDefault="00E62767" w:rsidP="00323E7A">
            <w:pPr>
              <w:widowControl/>
              <w:jc w:val="center"/>
              <w:rPr>
                <w:rFonts w:ascii="Arial Narrow" w:hAnsi="Arial Narrow"/>
                <w:b/>
                <w:sz w:val="20"/>
              </w:rPr>
            </w:pPr>
            <w:r w:rsidRPr="007C295B">
              <w:rPr>
                <w:rFonts w:ascii="Arial Narrow" w:hAnsi="Arial Narrow"/>
                <w:b/>
                <w:sz w:val="20"/>
              </w:rPr>
              <w:t>$</w:t>
            </w:r>
            <w:r w:rsidR="00930DE3">
              <w:rPr>
                <w:rFonts w:ascii="Arial Narrow" w:hAnsi="Arial Narrow"/>
                <w:b/>
                <w:noProof/>
                <w:color w:val="000000"/>
                <w:sz w:val="20"/>
                <w:highlight w:val="black"/>
              </w:rPr>
              <w:t>'''''''''''''</w:t>
            </w:r>
          </w:p>
        </w:tc>
      </w:tr>
      <w:tr w:rsidR="00E62767" w:rsidRPr="004E2ADC" w:rsidTr="00DB5C4B">
        <w:tc>
          <w:tcPr>
            <w:tcW w:w="3672" w:type="pct"/>
            <w:gridSpan w:val="3"/>
          </w:tcPr>
          <w:p w:rsidR="00E62767" w:rsidRPr="00323E7A" w:rsidRDefault="00E62767" w:rsidP="00323E7A">
            <w:pPr>
              <w:widowControl/>
              <w:rPr>
                <w:rFonts w:ascii="Arial Narrow" w:hAnsi="Arial Narrow"/>
                <w:sz w:val="20"/>
              </w:rPr>
            </w:pPr>
            <w:r w:rsidRPr="00323E7A">
              <w:rPr>
                <w:rFonts w:ascii="Arial Narrow" w:hAnsi="Arial Narrow"/>
                <w:sz w:val="20"/>
              </w:rPr>
              <w:t>Updated infusion costs</w:t>
            </w:r>
          </w:p>
        </w:tc>
        <w:tc>
          <w:tcPr>
            <w:tcW w:w="1328" w:type="pct"/>
          </w:tcPr>
          <w:p w:rsidR="00E62767" w:rsidRPr="007C295B" w:rsidRDefault="00E62767" w:rsidP="00323E7A">
            <w:pPr>
              <w:widowControl/>
              <w:jc w:val="center"/>
              <w:rPr>
                <w:rFonts w:ascii="Arial Narrow" w:hAnsi="Arial Narrow"/>
                <w:b/>
                <w:sz w:val="20"/>
              </w:rPr>
            </w:pPr>
            <w:r w:rsidRPr="007C295B">
              <w:rPr>
                <w:rFonts w:ascii="Arial Narrow" w:hAnsi="Arial Narrow"/>
                <w:b/>
                <w:sz w:val="20"/>
              </w:rPr>
              <w:t>$</w:t>
            </w:r>
            <w:r w:rsidR="00930DE3">
              <w:rPr>
                <w:rFonts w:ascii="Arial Narrow" w:hAnsi="Arial Narrow"/>
                <w:b/>
                <w:noProof/>
                <w:color w:val="000000"/>
                <w:sz w:val="20"/>
                <w:highlight w:val="black"/>
              </w:rPr>
              <w:t>'''''''''''''</w:t>
            </w:r>
          </w:p>
        </w:tc>
      </w:tr>
      <w:tr w:rsidR="00E62767" w:rsidRPr="004E2ADC" w:rsidTr="00DB5C4B">
        <w:tc>
          <w:tcPr>
            <w:tcW w:w="3672" w:type="pct"/>
            <w:gridSpan w:val="3"/>
          </w:tcPr>
          <w:p w:rsidR="00E62767" w:rsidRPr="00323E7A" w:rsidRDefault="00E62767" w:rsidP="00323E7A">
            <w:pPr>
              <w:widowControl/>
              <w:rPr>
                <w:rFonts w:ascii="Arial Narrow" w:hAnsi="Arial Narrow"/>
                <w:sz w:val="20"/>
              </w:rPr>
            </w:pPr>
            <w:r w:rsidRPr="00323E7A">
              <w:rPr>
                <w:rFonts w:ascii="Arial Narrow" w:hAnsi="Arial Narrow"/>
                <w:sz w:val="20"/>
              </w:rPr>
              <w:t>7 year time horizon</w:t>
            </w:r>
          </w:p>
        </w:tc>
        <w:tc>
          <w:tcPr>
            <w:tcW w:w="1328" w:type="pct"/>
          </w:tcPr>
          <w:p w:rsidR="00E62767" w:rsidRPr="007C295B" w:rsidRDefault="00E62767" w:rsidP="00323E7A">
            <w:pPr>
              <w:widowControl/>
              <w:jc w:val="center"/>
              <w:rPr>
                <w:rFonts w:ascii="Arial Narrow" w:hAnsi="Arial Narrow"/>
                <w:b/>
                <w:sz w:val="20"/>
              </w:rPr>
            </w:pPr>
            <w:r w:rsidRPr="007C295B">
              <w:rPr>
                <w:rFonts w:ascii="Arial Narrow" w:hAnsi="Arial Narrow"/>
                <w:b/>
                <w:sz w:val="20"/>
              </w:rPr>
              <w:t>$</w:t>
            </w:r>
            <w:r w:rsidR="00930DE3">
              <w:rPr>
                <w:rFonts w:ascii="Arial Narrow" w:hAnsi="Arial Narrow"/>
                <w:b/>
                <w:noProof/>
                <w:color w:val="000000"/>
                <w:sz w:val="20"/>
                <w:highlight w:val="black"/>
              </w:rPr>
              <w:t>'''''''''''''</w:t>
            </w:r>
          </w:p>
        </w:tc>
      </w:tr>
    </w:tbl>
    <w:p w:rsidR="000D6C68" w:rsidRPr="00AD1FDF" w:rsidRDefault="000D6C68" w:rsidP="00323E7A">
      <w:pPr>
        <w:pStyle w:val="TableFooter"/>
        <w:widowControl/>
        <w:ind w:left="720"/>
        <w:rPr>
          <w:i/>
        </w:rPr>
      </w:pPr>
      <w:r w:rsidRPr="00D13A3E">
        <w:t xml:space="preserve">Source: </w:t>
      </w:r>
      <w:r>
        <w:t>‘Appendix B Section D – Nivolumab March 2015 PBAC.xlsx’</w:t>
      </w:r>
      <w:r w:rsidR="00AD1FDF">
        <w:t xml:space="preserve">, </w:t>
      </w:r>
      <w:r w:rsidR="00AD1FDF" w:rsidRPr="00323E7A">
        <w:t>Table 3, p3</w:t>
      </w:r>
      <w:r w:rsidR="00B54C91" w:rsidRPr="00323E7A">
        <w:t xml:space="preserve"> of the PSCR</w:t>
      </w:r>
    </w:p>
    <w:p w:rsidR="000D6C68" w:rsidRPr="00D13A3E" w:rsidRDefault="000D6C68" w:rsidP="00323E7A">
      <w:pPr>
        <w:pStyle w:val="TableFooter"/>
        <w:widowControl/>
        <w:ind w:left="720"/>
      </w:pPr>
      <w:r>
        <w:t>QALY = Quality adjusted life-year</w:t>
      </w:r>
    </w:p>
    <w:p w:rsidR="00D110BD" w:rsidRDefault="000D6C68" w:rsidP="00323E7A">
      <w:pPr>
        <w:pStyle w:val="TableFooter"/>
        <w:widowControl/>
        <w:ind w:left="709"/>
      </w:pPr>
      <w:r>
        <w:t>Note: incremental costs and incremental QALYs were presented in 1000 person totals in the model. These values were divided by 1000 (individual patient average values) during the evaluation for clarity.</w:t>
      </w:r>
    </w:p>
    <w:p w:rsidR="00E62767" w:rsidRPr="007C295B" w:rsidRDefault="00E62767" w:rsidP="00323E7A">
      <w:pPr>
        <w:pStyle w:val="TableFooter"/>
        <w:widowControl/>
        <w:ind w:left="709"/>
      </w:pPr>
      <w:r w:rsidRPr="007C295B">
        <w:t>*</w:t>
      </w:r>
      <w:r w:rsidR="00CD2766" w:rsidRPr="007C295B">
        <w:t>The PSCR provided n</w:t>
      </w:r>
      <w:r w:rsidRPr="007C295B">
        <w:t>o detail</w:t>
      </w:r>
      <w:r w:rsidR="00CD2766" w:rsidRPr="007C295B">
        <w:t>s</w:t>
      </w:r>
      <w:r w:rsidRPr="007C295B">
        <w:t xml:space="preserve"> </w:t>
      </w:r>
      <w:r w:rsidR="00CD2766" w:rsidRPr="007C295B">
        <w:t>as to how the variables in the economic model were changed,</w:t>
      </w:r>
      <w:r w:rsidRPr="007C295B">
        <w:t xml:space="preserve"> therefore these sensitivity analyses could not be verified</w:t>
      </w:r>
      <w:r w:rsidR="00725599" w:rsidRPr="007C295B">
        <w:t xml:space="preserve"> independently</w:t>
      </w:r>
      <w:r w:rsidRPr="007C295B">
        <w:t>.</w:t>
      </w:r>
    </w:p>
    <w:p w:rsidR="000D6C68" w:rsidRPr="004A053A" w:rsidRDefault="000D6C68" w:rsidP="00323E7A">
      <w:pPr>
        <w:widowControl/>
      </w:pPr>
    </w:p>
    <w:p w:rsidR="00D110BD" w:rsidRPr="004A053A" w:rsidRDefault="00DC3F00" w:rsidP="00323E7A">
      <w:pPr>
        <w:pStyle w:val="ListParagraph"/>
        <w:widowControl/>
        <w:numPr>
          <w:ilvl w:val="1"/>
          <w:numId w:val="23"/>
        </w:numPr>
        <w:ind w:left="709" w:hanging="709"/>
      </w:pPr>
      <w:r w:rsidRPr="004A053A">
        <w:t xml:space="preserve">ESC </w:t>
      </w:r>
      <w:r w:rsidR="000D6C68" w:rsidRPr="004A053A">
        <w:t xml:space="preserve">considered </w:t>
      </w:r>
      <w:r w:rsidRPr="004A053A">
        <w:t xml:space="preserve">that it was </w:t>
      </w:r>
      <w:r w:rsidR="000D6C68" w:rsidRPr="004A053A">
        <w:t>likely that the incremental cost per QALY presented in the base case analysis was significantly underestimated</w:t>
      </w:r>
      <w:r w:rsidR="00A6558A" w:rsidRPr="004A053A">
        <w:t xml:space="preserve"> </w:t>
      </w:r>
      <w:r w:rsidR="00860340" w:rsidRPr="004A053A">
        <w:t xml:space="preserve">and </w:t>
      </w:r>
      <w:r w:rsidR="00A6558A" w:rsidRPr="004A053A">
        <w:rPr>
          <w:szCs w:val="22"/>
        </w:rPr>
        <w:t>did not accurately represent the cost-effectiveness of nivolumab over ipilimumab</w:t>
      </w:r>
      <w:r w:rsidR="000D6C68" w:rsidRPr="004A053A">
        <w:t>, for the following reasons:</w:t>
      </w:r>
    </w:p>
    <w:p w:rsidR="008A4A66" w:rsidRPr="004A053A" w:rsidRDefault="00B54C91" w:rsidP="00323E7A">
      <w:pPr>
        <w:pStyle w:val="ListParagraph"/>
        <w:widowControl/>
        <w:numPr>
          <w:ilvl w:val="0"/>
          <w:numId w:val="4"/>
        </w:numPr>
        <w:ind w:left="993" w:hanging="284"/>
        <w:rPr>
          <w:szCs w:val="22"/>
        </w:rPr>
      </w:pPr>
      <w:r w:rsidRPr="004A053A">
        <w:rPr>
          <w:szCs w:val="22"/>
        </w:rPr>
        <w:t>The unnecessarily complex approach</w:t>
      </w:r>
      <w:r w:rsidR="00E9215F" w:rsidRPr="004A053A">
        <w:rPr>
          <w:szCs w:val="22"/>
        </w:rPr>
        <w:t xml:space="preserve"> taken</w:t>
      </w:r>
      <w:r w:rsidRPr="004A053A">
        <w:rPr>
          <w:szCs w:val="22"/>
        </w:rPr>
        <w:t xml:space="preserve"> to modelling the transitions across the usual three health state structure of a model in metastatic cancer resulted in counter-intuitive results when tested in sensitivity analyses which could not be readily explained</w:t>
      </w:r>
      <w:r w:rsidR="008A4A66" w:rsidRPr="004A053A">
        <w:rPr>
          <w:szCs w:val="22"/>
        </w:rPr>
        <w:t>.</w:t>
      </w:r>
    </w:p>
    <w:p w:rsidR="008A4A66" w:rsidRPr="004A053A" w:rsidRDefault="00645AC3" w:rsidP="00323E7A">
      <w:pPr>
        <w:pStyle w:val="ListParagraph"/>
        <w:widowControl/>
        <w:numPr>
          <w:ilvl w:val="0"/>
          <w:numId w:val="4"/>
        </w:numPr>
        <w:ind w:left="993" w:hanging="284"/>
        <w:rPr>
          <w:szCs w:val="22"/>
        </w:rPr>
      </w:pPr>
      <w:r w:rsidRPr="004A053A">
        <w:t>While there was not enough information to determine whether the log-logistic extrapolation method was systematically biased in one direction or another, the lack of sensitivity analyses employing alternative curves was of concern.  In addition, the model did not use Kaplan-Meier trial-based data followed by extrapolated curves, and instead used solely modelled curves.  Overall, it was difficult to ascertain the sensitivity of the model to various extrapolation methods, and whether the extrapolated effect modelled in the submission could reasonably be expected in the Australian population.  The ESC noted that o</w:t>
      </w:r>
      <w:r w:rsidR="008A4A66" w:rsidRPr="004A053A">
        <w:rPr>
          <w:szCs w:val="22"/>
        </w:rPr>
        <w:t xml:space="preserve">nly the Akaike information criterion (AIC) statistics were presented for the extrapolated </w:t>
      </w:r>
      <w:r w:rsidRPr="004A053A">
        <w:t xml:space="preserve">PFS and post-progression OS </w:t>
      </w:r>
      <w:r w:rsidR="008A4A66" w:rsidRPr="004A053A">
        <w:rPr>
          <w:szCs w:val="22"/>
        </w:rPr>
        <w:t xml:space="preserve">curves used </w:t>
      </w:r>
      <w:r w:rsidR="00B54C91" w:rsidRPr="004A053A">
        <w:rPr>
          <w:szCs w:val="22"/>
        </w:rPr>
        <w:t xml:space="preserve">throughout </w:t>
      </w:r>
      <w:r w:rsidR="008A4A66" w:rsidRPr="004A053A">
        <w:rPr>
          <w:szCs w:val="22"/>
        </w:rPr>
        <w:t xml:space="preserve">the model. </w:t>
      </w:r>
      <w:r w:rsidR="00B54C91" w:rsidRPr="004A053A">
        <w:rPr>
          <w:szCs w:val="22"/>
        </w:rPr>
        <w:t xml:space="preserve"> </w:t>
      </w:r>
      <w:r w:rsidR="008A4A66" w:rsidRPr="004A053A">
        <w:rPr>
          <w:szCs w:val="22"/>
        </w:rPr>
        <w:t>The PFS curve, in particular, appear</w:t>
      </w:r>
      <w:r w:rsidR="00B54C91" w:rsidRPr="004A053A">
        <w:rPr>
          <w:szCs w:val="22"/>
        </w:rPr>
        <w:t>ed</w:t>
      </w:r>
      <w:r w:rsidR="008A4A66" w:rsidRPr="004A053A">
        <w:rPr>
          <w:szCs w:val="22"/>
        </w:rPr>
        <w:t xml:space="preserve"> to be highly favourable to nivolumab.</w:t>
      </w:r>
      <w:r w:rsidRPr="004A053A">
        <w:rPr>
          <w:szCs w:val="22"/>
        </w:rPr>
        <w:t xml:space="preserve">  </w:t>
      </w:r>
      <w:r w:rsidRPr="004A053A">
        <w:t>The ESC considered that the best fitting Weibull, log-logistic, exponential and Gompertz curves should be presented for each of the observed OS, PFS and post-progression survival data and the economic model re-run using different extrapolation methods for these outcomes to examine the model’s sensitivity to the extrapolation method selected.</w:t>
      </w:r>
    </w:p>
    <w:p w:rsidR="00BB31E7" w:rsidRPr="004A053A" w:rsidRDefault="00BB31E7" w:rsidP="00323E7A">
      <w:pPr>
        <w:pStyle w:val="ListParagraph"/>
        <w:widowControl/>
        <w:numPr>
          <w:ilvl w:val="0"/>
          <w:numId w:val="4"/>
        </w:numPr>
        <w:ind w:left="993" w:hanging="284"/>
        <w:rPr>
          <w:szCs w:val="22"/>
        </w:rPr>
      </w:pPr>
      <w:r w:rsidRPr="004A053A">
        <w:rPr>
          <w:szCs w:val="22"/>
        </w:rPr>
        <w:t xml:space="preserve">The treatment effects </w:t>
      </w:r>
      <w:r w:rsidR="00502D53" w:rsidRPr="004A053A">
        <w:rPr>
          <w:szCs w:val="22"/>
        </w:rPr>
        <w:t xml:space="preserve">relied </w:t>
      </w:r>
      <w:r w:rsidRPr="004A053A">
        <w:rPr>
          <w:szCs w:val="22"/>
        </w:rPr>
        <w:t xml:space="preserve">upon </w:t>
      </w:r>
      <w:r w:rsidR="00502D53" w:rsidRPr="004A053A">
        <w:rPr>
          <w:szCs w:val="22"/>
        </w:rPr>
        <w:t>for</w:t>
      </w:r>
      <w:r w:rsidRPr="004A053A">
        <w:rPr>
          <w:szCs w:val="22"/>
        </w:rPr>
        <w:t xml:space="preserve"> the extrapolations used in the model were derived from an indirect comparison </w:t>
      </w:r>
      <w:r w:rsidR="000454E9" w:rsidRPr="004A053A">
        <w:rPr>
          <w:szCs w:val="22"/>
        </w:rPr>
        <w:t>of</w:t>
      </w:r>
      <w:r w:rsidR="00A26DA9" w:rsidRPr="004A053A">
        <w:rPr>
          <w:szCs w:val="22"/>
        </w:rPr>
        <w:t xml:space="preserve"> </w:t>
      </w:r>
      <w:r w:rsidR="00502D53" w:rsidRPr="004A053A">
        <w:rPr>
          <w:szCs w:val="22"/>
        </w:rPr>
        <w:t>poorly exchangeable</w:t>
      </w:r>
      <w:r w:rsidR="00A26DA9" w:rsidRPr="004A053A">
        <w:rPr>
          <w:szCs w:val="22"/>
        </w:rPr>
        <w:t xml:space="preserve"> trials </w:t>
      </w:r>
      <w:r w:rsidR="000454E9" w:rsidRPr="004A053A">
        <w:rPr>
          <w:szCs w:val="22"/>
        </w:rPr>
        <w:t>that</w:t>
      </w:r>
      <w:r w:rsidR="00A26DA9" w:rsidRPr="004A053A">
        <w:rPr>
          <w:szCs w:val="22"/>
        </w:rPr>
        <w:t xml:space="preserve"> was likely to be</w:t>
      </w:r>
      <w:r w:rsidRPr="004A053A">
        <w:rPr>
          <w:szCs w:val="22"/>
        </w:rPr>
        <w:t xml:space="preserve"> </w:t>
      </w:r>
      <w:r w:rsidR="003C485F" w:rsidRPr="004A053A">
        <w:rPr>
          <w:szCs w:val="22"/>
        </w:rPr>
        <w:t>biased in favour of nivol</w:t>
      </w:r>
      <w:r w:rsidRPr="004A053A">
        <w:rPr>
          <w:szCs w:val="22"/>
        </w:rPr>
        <w:t>umab (healthier trial patients).</w:t>
      </w:r>
    </w:p>
    <w:p w:rsidR="00A86E8B" w:rsidRPr="004A053A" w:rsidRDefault="00DB5C4B" w:rsidP="00323E7A">
      <w:pPr>
        <w:pStyle w:val="ListParagraph"/>
        <w:widowControl/>
        <w:numPr>
          <w:ilvl w:val="0"/>
          <w:numId w:val="4"/>
        </w:numPr>
        <w:ind w:left="993" w:hanging="284"/>
        <w:rPr>
          <w:szCs w:val="22"/>
        </w:rPr>
      </w:pPr>
      <w:r w:rsidRPr="004A053A">
        <w:rPr>
          <w:szCs w:val="22"/>
        </w:rPr>
        <w:t xml:space="preserve">The time horizon of 10 years, which </w:t>
      </w:r>
      <w:r w:rsidRPr="004A053A">
        <w:t>was</w:t>
      </w:r>
      <w:r w:rsidRPr="004A053A">
        <w:rPr>
          <w:szCs w:val="22"/>
        </w:rPr>
        <w:t xml:space="preserve"> not adequately </w:t>
      </w:r>
      <w:r w:rsidR="000454E9" w:rsidRPr="004A053A">
        <w:rPr>
          <w:szCs w:val="22"/>
        </w:rPr>
        <w:t>justified, significantly favoured</w:t>
      </w:r>
      <w:r w:rsidRPr="004A053A">
        <w:rPr>
          <w:szCs w:val="22"/>
        </w:rPr>
        <w:t xml:space="preserve"> nivolumab.</w:t>
      </w:r>
    </w:p>
    <w:p w:rsidR="00DB5C4B" w:rsidRPr="004A053A" w:rsidRDefault="00DB5C4B" w:rsidP="00323E7A">
      <w:pPr>
        <w:pStyle w:val="ListParagraph"/>
        <w:widowControl/>
        <w:numPr>
          <w:ilvl w:val="0"/>
          <w:numId w:val="4"/>
        </w:numPr>
        <w:ind w:left="993" w:hanging="284"/>
        <w:rPr>
          <w:szCs w:val="22"/>
        </w:rPr>
      </w:pPr>
      <w:r w:rsidRPr="004A053A">
        <w:t xml:space="preserve">The model did not incorporate costs of patients continuing nivolumab treatment beyond progression. </w:t>
      </w:r>
      <w:r w:rsidR="009B2A22" w:rsidRPr="004A053A">
        <w:t xml:space="preserve"> </w:t>
      </w:r>
      <w:r w:rsidRPr="004A053A">
        <w:t xml:space="preserve">As there are no explicit restrictions for patients continuing treatment post-progression in the requested restriction, these costs could be considerable. </w:t>
      </w:r>
      <w:r w:rsidR="009B2A22" w:rsidRPr="004A053A">
        <w:t xml:space="preserve"> </w:t>
      </w:r>
      <w:r w:rsidRPr="004A053A">
        <w:t>Omissi</w:t>
      </w:r>
      <w:r w:rsidR="000454E9" w:rsidRPr="004A053A">
        <w:t>on of these costs likely favoured</w:t>
      </w:r>
      <w:r w:rsidRPr="004A053A">
        <w:t xml:space="preserve"> nivolumab significantly.</w:t>
      </w:r>
      <w:r w:rsidR="00B54C91" w:rsidRPr="004A053A">
        <w:t xml:space="preserve"> </w:t>
      </w:r>
      <w:r w:rsidR="00D6269E" w:rsidRPr="004A053A">
        <w:t xml:space="preserve"> </w:t>
      </w:r>
      <w:r w:rsidR="00D6269E" w:rsidRPr="004A053A">
        <w:lastRenderedPageBreak/>
        <w:t xml:space="preserve">The ESC also </w:t>
      </w:r>
      <w:r w:rsidR="00427F0E" w:rsidRPr="004A053A">
        <w:t>noted</w:t>
      </w:r>
      <w:r w:rsidR="00D6269E" w:rsidRPr="004A053A">
        <w:t xml:space="preserve"> that the model assume</w:t>
      </w:r>
      <w:r w:rsidR="00B54C91" w:rsidRPr="004A053A">
        <w:t>d</w:t>
      </w:r>
      <w:r w:rsidR="00D6269E" w:rsidRPr="004A053A">
        <w:t xml:space="preserve"> no further lines of therapy, e.g. ipilimumab as second</w:t>
      </w:r>
      <w:r w:rsidR="001E5B06" w:rsidRPr="004A053A">
        <w:t>-</w:t>
      </w:r>
      <w:r w:rsidR="00D6269E" w:rsidRPr="004A053A">
        <w:t>line therapy following first</w:t>
      </w:r>
      <w:r w:rsidR="001E5B06" w:rsidRPr="004A053A">
        <w:t>-</w:t>
      </w:r>
      <w:r w:rsidR="00D6269E" w:rsidRPr="004A053A">
        <w:t>line nivolumab therapy.</w:t>
      </w:r>
    </w:p>
    <w:p w:rsidR="003F3154" w:rsidRPr="00645AC3" w:rsidRDefault="003F3154" w:rsidP="00323E7A">
      <w:pPr>
        <w:widowControl/>
        <w:rPr>
          <w:szCs w:val="22"/>
        </w:rPr>
      </w:pPr>
    </w:p>
    <w:p w:rsidR="00B66B6D" w:rsidRPr="004A053A" w:rsidRDefault="002727C8" w:rsidP="00323E7A">
      <w:pPr>
        <w:pStyle w:val="ListParagraph"/>
        <w:widowControl/>
        <w:numPr>
          <w:ilvl w:val="1"/>
          <w:numId w:val="23"/>
        </w:numPr>
        <w:ind w:left="709" w:hanging="709"/>
      </w:pPr>
      <w:r w:rsidRPr="004A053A">
        <w:t xml:space="preserve">The results of the </w:t>
      </w:r>
      <w:r w:rsidR="009B2A22" w:rsidRPr="004A053A">
        <w:t xml:space="preserve">presented </w:t>
      </w:r>
      <w:r w:rsidRPr="004A053A">
        <w:t xml:space="preserve">sensitivity analyses demonstrated that the model </w:t>
      </w:r>
      <w:r w:rsidR="00DE4DD1" w:rsidRPr="004A053A">
        <w:t>wa</w:t>
      </w:r>
      <w:r w:rsidRPr="004A053A">
        <w:t xml:space="preserve">s most sensitive to time horizon (increasing the </w:t>
      </w:r>
      <w:r w:rsidR="00EC02F0" w:rsidRPr="004A053A">
        <w:t>incremental cost/QALY</w:t>
      </w:r>
      <w:r w:rsidRPr="004A053A">
        <w:t xml:space="preserve"> from $</w:t>
      </w:r>
      <w:r w:rsidR="00323E7A">
        <w:t xml:space="preserve">45,000 - $75,000 </w:t>
      </w:r>
      <w:r w:rsidRPr="004A053A">
        <w:t>to $</w:t>
      </w:r>
      <w:r w:rsidR="00323E7A">
        <w:t>45,000 - $75,000</w:t>
      </w:r>
      <w:r w:rsidRPr="004A053A">
        <w:t xml:space="preserve"> for a 5</w:t>
      </w:r>
      <w:r w:rsidR="009B2A22" w:rsidRPr="004A053A">
        <w:t>-</w:t>
      </w:r>
      <w:r w:rsidRPr="004A053A">
        <w:t>year horizon</w:t>
      </w:r>
      <w:r w:rsidR="00DE4DD1" w:rsidRPr="004A053A">
        <w:t xml:space="preserve"> and to $</w:t>
      </w:r>
      <w:r w:rsidR="00323E7A">
        <w:t>45,000 - $75,000</w:t>
      </w:r>
      <w:r w:rsidR="00DE4DD1" w:rsidRPr="004A053A">
        <w:t xml:space="preserve"> for a 7</w:t>
      </w:r>
      <w:r w:rsidR="009B2A22" w:rsidRPr="004A053A">
        <w:t>-</w:t>
      </w:r>
      <w:r w:rsidR="00DE4DD1" w:rsidRPr="004A053A">
        <w:t>year time horizon</w:t>
      </w:r>
      <w:r w:rsidRPr="004A053A">
        <w:t xml:space="preserve">), and estimates of hazard ratios between ipilimumab and nivolumab (increasing the </w:t>
      </w:r>
      <w:r w:rsidR="00EC02F0" w:rsidRPr="004A053A">
        <w:t xml:space="preserve">incremental cost/QALY </w:t>
      </w:r>
      <w:r w:rsidRPr="004A053A">
        <w:t>to $</w:t>
      </w:r>
      <w:r w:rsidR="00323E7A">
        <w:t>45,000 - $75,000</w:t>
      </w:r>
      <w:r w:rsidRPr="004A053A">
        <w:t xml:space="preserve"> when using the upper 95% C</w:t>
      </w:r>
      <w:r w:rsidR="009B2A22" w:rsidRPr="004A053A">
        <w:t>L</w:t>
      </w:r>
      <w:r w:rsidRPr="004A053A">
        <w:t xml:space="preserve"> of the </w:t>
      </w:r>
      <w:r w:rsidR="004D09D2" w:rsidRPr="004A053A">
        <w:t>OS</w:t>
      </w:r>
      <w:r w:rsidRPr="004A053A">
        <w:t xml:space="preserve"> hazard ratio</w:t>
      </w:r>
      <w:r w:rsidR="00860340" w:rsidRPr="004A053A">
        <w:t xml:space="preserve"> – although the ESC noted that this was a counter-intuitively small increase, see </w:t>
      </w:r>
      <w:r w:rsidR="00860340" w:rsidRPr="00E36EA6">
        <w:t xml:space="preserve">paragraph </w:t>
      </w:r>
      <w:r w:rsidR="009B6D28" w:rsidRPr="00E36EA6">
        <w:t>6.25</w:t>
      </w:r>
      <w:r w:rsidRPr="00E36EA6">
        <w:t>).</w:t>
      </w:r>
      <w:r w:rsidR="00B66B6D" w:rsidRPr="00E36EA6">
        <w:t xml:space="preserve"> Multivariate analyses </w:t>
      </w:r>
      <w:r w:rsidR="00EC02F0" w:rsidRPr="00E36EA6">
        <w:t xml:space="preserve">changing both </w:t>
      </w:r>
      <w:r w:rsidR="00B66B6D" w:rsidRPr="00E36EA6">
        <w:t xml:space="preserve">these two variables </w:t>
      </w:r>
      <w:r w:rsidR="00EC02F0" w:rsidRPr="00E36EA6">
        <w:t xml:space="preserve">simultaneously </w:t>
      </w:r>
      <w:r w:rsidR="00B66B6D" w:rsidRPr="00E36EA6">
        <w:t>increased</w:t>
      </w:r>
      <w:r w:rsidR="00B66B6D" w:rsidRPr="004A053A">
        <w:t xml:space="preserve"> the </w:t>
      </w:r>
      <w:r w:rsidR="00EC02F0" w:rsidRPr="004A053A">
        <w:t xml:space="preserve">incremental cost/QALY </w:t>
      </w:r>
      <w:r w:rsidR="00B66B6D" w:rsidRPr="004A053A">
        <w:t>to $</w:t>
      </w:r>
      <w:r w:rsidR="00323E7A">
        <w:t>75,000 – $105,000</w:t>
      </w:r>
      <w:r w:rsidR="00B66B6D" w:rsidRPr="004A053A">
        <w:t xml:space="preserve"> over 5 years and $</w:t>
      </w:r>
      <w:r w:rsidR="00323E7A">
        <w:t>45,000 - $75,000</w:t>
      </w:r>
      <w:r w:rsidR="00B66B6D" w:rsidRPr="004A053A">
        <w:t xml:space="preserve"> over 7 years</w:t>
      </w:r>
      <w:r w:rsidR="004D09D2" w:rsidRPr="004A053A">
        <w:t>.  A change in time horizon and use of the Australian population weight (sponsor’s data), which increased vial usage, had a si</w:t>
      </w:r>
      <w:r w:rsidR="009B2A22" w:rsidRPr="004A053A">
        <w:t xml:space="preserve">gnificant impact on the </w:t>
      </w:r>
      <w:r w:rsidR="00EC02F0" w:rsidRPr="004A053A">
        <w:t xml:space="preserve">incremental cost/QALY </w:t>
      </w:r>
      <w:r w:rsidR="009B2A22" w:rsidRPr="004A053A">
        <w:t>(7-</w:t>
      </w:r>
      <w:r w:rsidR="004D09D2" w:rsidRPr="004A053A">
        <w:t>year time horizon and weight of 82.1kg: $</w:t>
      </w:r>
      <w:r w:rsidR="009A1D2A">
        <w:t>45,000 - $75,000</w:t>
      </w:r>
      <w:r w:rsidR="004D09D2" w:rsidRPr="004A053A">
        <w:t>; 5</w:t>
      </w:r>
      <w:r w:rsidR="009B2A22" w:rsidRPr="004A053A">
        <w:t>-</w:t>
      </w:r>
      <w:r w:rsidR="004D09D2" w:rsidRPr="004A053A">
        <w:t>year time horizon and weight of 82.1kg: $</w:t>
      </w:r>
      <w:r w:rsidR="009A1D2A">
        <w:t>75,000 – $105,000</w:t>
      </w:r>
      <w:r w:rsidR="004D09D2" w:rsidRPr="004A053A">
        <w:t>).</w:t>
      </w:r>
    </w:p>
    <w:p w:rsidR="00B66B6D" w:rsidRPr="006C03DC" w:rsidRDefault="00B66B6D" w:rsidP="00323E7A">
      <w:pPr>
        <w:widowControl/>
      </w:pPr>
    </w:p>
    <w:p w:rsidR="00A86E8B" w:rsidRDefault="007941BF" w:rsidP="00323E7A">
      <w:pPr>
        <w:pStyle w:val="ListParagraph"/>
        <w:widowControl/>
        <w:numPr>
          <w:ilvl w:val="1"/>
          <w:numId w:val="23"/>
        </w:numPr>
        <w:ind w:left="709" w:hanging="709"/>
      </w:pPr>
      <w:r w:rsidRPr="006C03DC">
        <w:t>T</w:t>
      </w:r>
      <w:r w:rsidR="00DE4DD1" w:rsidRPr="006C03DC">
        <w:t xml:space="preserve">hese analyses </w:t>
      </w:r>
      <w:r w:rsidR="009B2A22" w:rsidRPr="006C03DC">
        <w:t xml:space="preserve">would </w:t>
      </w:r>
      <w:r w:rsidR="00DE4DD1" w:rsidRPr="006C03DC">
        <w:t xml:space="preserve">only </w:t>
      </w:r>
      <w:r w:rsidR="009B2A22" w:rsidRPr="006C03DC">
        <w:t xml:space="preserve">be </w:t>
      </w:r>
      <w:r w:rsidR="00DE4DD1" w:rsidRPr="006C03DC">
        <w:t xml:space="preserve">valid if the extrapolation method </w:t>
      </w:r>
      <w:r w:rsidR="009B2A22" w:rsidRPr="006C03DC">
        <w:t>wa</w:t>
      </w:r>
      <w:r w:rsidR="00DE4DD1" w:rsidRPr="006C03DC">
        <w:t xml:space="preserve">s justified and accepted, and if it </w:t>
      </w:r>
      <w:r w:rsidR="009B2A22" w:rsidRPr="006C03DC">
        <w:t>wa</w:t>
      </w:r>
      <w:r w:rsidR="00DE4DD1" w:rsidRPr="006C03DC">
        <w:t>s determined that the proportion of patients receiving nivolumab post-progression in the proposed Australian population would be negligible.</w:t>
      </w:r>
    </w:p>
    <w:p w:rsidR="00A1290B" w:rsidRPr="004A053A" w:rsidRDefault="00A1290B" w:rsidP="00323E7A">
      <w:pPr>
        <w:widowControl/>
      </w:pPr>
    </w:p>
    <w:p w:rsidR="00A1290B" w:rsidRPr="004A053A" w:rsidRDefault="00A1290B" w:rsidP="00323E7A">
      <w:pPr>
        <w:pStyle w:val="ListParagraph"/>
        <w:widowControl/>
        <w:numPr>
          <w:ilvl w:val="1"/>
          <w:numId w:val="23"/>
        </w:numPr>
        <w:ind w:left="709" w:hanging="709"/>
      </w:pPr>
      <w:r w:rsidRPr="004A053A">
        <w:t xml:space="preserve">Given that direct randomised trial evidence was now available, and noting the PBAC preference for economic evaluations that directly reflect the trial data before using modelling to extrapolate beyond the median duration of follow-up in the trials (see, for example, the description of the economic evaluation requested for the Managed Entry Scheme resubmission in the </w:t>
      </w:r>
      <w:r w:rsidRPr="00930DE3">
        <w:t>November 2014 PSD for trametinib</w:t>
      </w:r>
      <w:r w:rsidRPr="004A053A">
        <w:t xml:space="preserve">), the ESC </w:t>
      </w:r>
      <w:r w:rsidR="00725599" w:rsidRPr="004A053A">
        <w:t>advised</w:t>
      </w:r>
      <w:r w:rsidRPr="004A053A">
        <w:t xml:space="preserve"> that it would be informative to adopt the PBAC-preferred approach directly.</w:t>
      </w:r>
    </w:p>
    <w:p w:rsidR="00A86E8B" w:rsidRPr="00A86E8B" w:rsidRDefault="00A86E8B" w:rsidP="00323E7A">
      <w:pPr>
        <w:widowControl/>
        <w:rPr>
          <w:szCs w:val="22"/>
        </w:rPr>
      </w:pPr>
    </w:p>
    <w:p w:rsidR="00C25D9C" w:rsidRPr="00A51118" w:rsidRDefault="007B7704" w:rsidP="00323E7A">
      <w:pPr>
        <w:pStyle w:val="Heading2"/>
        <w:widowControl/>
        <w:rPr>
          <w:b w:val="0"/>
          <w:szCs w:val="22"/>
        </w:rPr>
      </w:pPr>
      <w:bookmarkStart w:id="15" w:name="_Toc419885976"/>
      <w:r>
        <w:rPr>
          <w:i/>
        </w:rPr>
        <w:t>Drug cost/patient/course</w:t>
      </w:r>
      <w:r w:rsidR="00C25D9C" w:rsidRPr="002C2775">
        <w:rPr>
          <w:i/>
        </w:rPr>
        <w:t>:</w:t>
      </w:r>
      <w:r w:rsidR="00C25D9C" w:rsidRPr="00A51118">
        <w:rPr>
          <w:b w:val="0"/>
        </w:rPr>
        <w:t xml:space="preserve"> </w:t>
      </w:r>
      <w:r w:rsidRPr="00A51118">
        <w:rPr>
          <w:b w:val="0"/>
        </w:rPr>
        <w:t>$</w:t>
      </w:r>
      <w:r w:rsidR="00930DE3">
        <w:rPr>
          <w:b w:val="0"/>
          <w:noProof/>
          <w:color w:val="000000"/>
          <w:highlight w:val="black"/>
        </w:rPr>
        <w:t>'''''''''''''''''''''''''''''</w:t>
      </w:r>
      <w:r w:rsidR="00C25D9C" w:rsidRPr="00A51118">
        <w:rPr>
          <w:b w:val="0"/>
        </w:rPr>
        <w:t>.</w:t>
      </w:r>
      <w:bookmarkEnd w:id="15"/>
    </w:p>
    <w:p w:rsidR="00C25D9C" w:rsidRPr="00C25D9C" w:rsidRDefault="00C25D9C" w:rsidP="00323E7A">
      <w:pPr>
        <w:widowControl/>
        <w:rPr>
          <w:szCs w:val="22"/>
        </w:rPr>
      </w:pPr>
    </w:p>
    <w:p w:rsidR="007B7704" w:rsidRPr="00B841D9" w:rsidRDefault="007B7704" w:rsidP="00323E7A">
      <w:pPr>
        <w:pStyle w:val="ListParagraph"/>
        <w:widowControl/>
        <w:numPr>
          <w:ilvl w:val="1"/>
          <w:numId w:val="23"/>
        </w:numPr>
        <w:ind w:left="709" w:hanging="709"/>
        <w:rPr>
          <w:i/>
        </w:rPr>
      </w:pPr>
      <w:r w:rsidRPr="00B841D9">
        <w:t xml:space="preserve">A summary of the </w:t>
      </w:r>
      <w:r w:rsidRPr="006C03DC">
        <w:t>estimated drug cost/patient/course for nivolumab and ipilimumab is presented in the table below.</w:t>
      </w:r>
      <w:r w:rsidR="0021178C" w:rsidRPr="006C03DC">
        <w:t xml:space="preserve">  Based on the estimates presented in the submission, the drug cost/patient/course for nivolumab </w:t>
      </w:r>
      <w:r w:rsidR="009B2A22" w:rsidRPr="006C03DC">
        <w:t>wa</w:t>
      </w:r>
      <w:r w:rsidR="0021178C" w:rsidRPr="006C03DC">
        <w:t xml:space="preserve">s </w:t>
      </w:r>
      <w:r w:rsidR="00930DE3">
        <w:rPr>
          <w:noProof/>
          <w:color w:val="000000"/>
          <w:highlight w:val="black"/>
        </w:rPr>
        <w:t>''''''''''</w:t>
      </w:r>
      <w:r w:rsidR="0021178C" w:rsidRPr="006C03DC">
        <w:t>% greater than that of ipilimumab.</w:t>
      </w:r>
    </w:p>
    <w:p w:rsidR="007B7704" w:rsidRDefault="007B7704" w:rsidP="00323E7A">
      <w:pPr>
        <w:widowControl/>
      </w:pPr>
    </w:p>
    <w:p w:rsidR="007B7704" w:rsidRPr="003F5A9C" w:rsidRDefault="007B7704" w:rsidP="00323E7A">
      <w:pPr>
        <w:pStyle w:val="ListParagraph"/>
        <w:widowControl/>
        <w:rPr>
          <w:rFonts w:ascii="Arial Narrow" w:hAnsi="Arial Narrow"/>
          <w:b/>
          <w:sz w:val="20"/>
          <w:szCs w:val="22"/>
        </w:rPr>
      </w:pPr>
      <w:r w:rsidRPr="003F5A9C">
        <w:rPr>
          <w:rFonts w:ascii="Arial Narrow" w:hAnsi="Arial Narrow"/>
          <w:b/>
          <w:sz w:val="20"/>
          <w:szCs w:val="22"/>
        </w:rPr>
        <w:t xml:space="preserve">Table </w:t>
      </w:r>
      <w:r w:rsidR="003B088C">
        <w:rPr>
          <w:rFonts w:ascii="Arial Narrow" w:hAnsi="Arial Narrow"/>
          <w:b/>
          <w:sz w:val="20"/>
          <w:szCs w:val="22"/>
        </w:rPr>
        <w:t>11</w:t>
      </w:r>
      <w:r w:rsidRPr="003F5A9C">
        <w:rPr>
          <w:rFonts w:ascii="Arial Narrow" w:hAnsi="Arial Narrow"/>
          <w:b/>
          <w:sz w:val="20"/>
          <w:szCs w:val="22"/>
        </w:rPr>
        <w:t xml:space="preserve">: </w:t>
      </w:r>
      <w:r>
        <w:rPr>
          <w:rFonts w:ascii="Arial Narrow" w:hAnsi="Arial Narrow"/>
          <w:b/>
          <w:sz w:val="20"/>
          <w:szCs w:val="22"/>
        </w:rPr>
        <w:t>Summary of</w:t>
      </w:r>
      <w:r w:rsidRPr="003F5A9C">
        <w:rPr>
          <w:rFonts w:ascii="Arial Narrow" w:hAnsi="Arial Narrow"/>
          <w:b/>
          <w:sz w:val="20"/>
          <w:szCs w:val="22"/>
        </w:rPr>
        <w:t xml:space="preserve"> drug costs/patient/course</w:t>
      </w:r>
      <w:r>
        <w:rPr>
          <w:rFonts w:ascii="Arial Narrow" w:hAnsi="Arial Narrow"/>
          <w:b/>
          <w:sz w:val="20"/>
          <w:szCs w:val="22"/>
        </w:rPr>
        <w:t xml:space="preserve"> for nivolumab and ipilimumab</w:t>
      </w:r>
    </w:p>
    <w:tbl>
      <w:tblPr>
        <w:tblStyle w:val="TableGrid"/>
        <w:tblW w:w="4594" w:type="pct"/>
        <w:tblInd w:w="737" w:type="dxa"/>
        <w:tblCellMar>
          <w:left w:w="28" w:type="dxa"/>
          <w:right w:w="28" w:type="dxa"/>
        </w:tblCellMar>
        <w:tblLook w:val="04A0" w:firstRow="1" w:lastRow="0" w:firstColumn="1" w:lastColumn="0" w:noHBand="0" w:noVBand="1"/>
        <w:tblCaption w:val="Summary of drug costs/patient/course for nivolumab and ipilimumab"/>
      </w:tblPr>
      <w:tblGrid>
        <w:gridCol w:w="991"/>
        <w:gridCol w:w="2665"/>
        <w:gridCol w:w="1818"/>
        <w:gridCol w:w="1045"/>
        <w:gridCol w:w="1826"/>
      </w:tblGrid>
      <w:tr w:rsidR="007B7704" w:rsidRPr="00523EE6" w:rsidTr="007C0924">
        <w:trPr>
          <w:tblHeader/>
        </w:trPr>
        <w:tc>
          <w:tcPr>
            <w:tcW w:w="594" w:type="pct"/>
            <w:vAlign w:val="center"/>
          </w:tcPr>
          <w:p w:rsidR="007B7704" w:rsidRPr="00523EE6" w:rsidRDefault="007B7704" w:rsidP="00323E7A">
            <w:pPr>
              <w:widowControl/>
              <w:jc w:val="left"/>
              <w:rPr>
                <w:rFonts w:ascii="Arial Narrow" w:hAnsi="Arial Narrow"/>
                <w:b/>
                <w:sz w:val="20"/>
              </w:rPr>
            </w:pPr>
            <w:r w:rsidRPr="00523EE6">
              <w:rPr>
                <w:rFonts w:ascii="Arial Narrow" w:hAnsi="Arial Narrow"/>
                <w:b/>
                <w:sz w:val="20"/>
              </w:rPr>
              <w:t>Parameter</w:t>
            </w:r>
          </w:p>
        </w:tc>
        <w:tc>
          <w:tcPr>
            <w:tcW w:w="1597" w:type="pct"/>
            <w:vAlign w:val="center"/>
          </w:tcPr>
          <w:p w:rsidR="007B7704" w:rsidRPr="00523EE6" w:rsidRDefault="007B7704" w:rsidP="00323E7A">
            <w:pPr>
              <w:widowControl/>
              <w:jc w:val="center"/>
              <w:rPr>
                <w:rFonts w:ascii="Arial Narrow" w:hAnsi="Arial Narrow"/>
                <w:b/>
                <w:sz w:val="20"/>
              </w:rPr>
            </w:pPr>
            <w:r w:rsidRPr="00523EE6">
              <w:rPr>
                <w:rFonts w:ascii="Arial Narrow" w:hAnsi="Arial Narrow"/>
                <w:b/>
                <w:sz w:val="20"/>
              </w:rPr>
              <w:t>Source</w:t>
            </w:r>
          </w:p>
        </w:tc>
        <w:tc>
          <w:tcPr>
            <w:tcW w:w="1089" w:type="pct"/>
            <w:vAlign w:val="center"/>
          </w:tcPr>
          <w:p w:rsidR="007B7704" w:rsidRPr="00523EE6" w:rsidRDefault="007B7704" w:rsidP="00323E7A">
            <w:pPr>
              <w:widowControl/>
              <w:jc w:val="center"/>
              <w:rPr>
                <w:rFonts w:ascii="Arial Narrow" w:hAnsi="Arial Narrow"/>
                <w:b/>
                <w:sz w:val="20"/>
              </w:rPr>
            </w:pPr>
            <w:r w:rsidRPr="00523EE6">
              <w:rPr>
                <w:rFonts w:ascii="Arial Narrow" w:hAnsi="Arial Narrow"/>
                <w:b/>
                <w:sz w:val="20"/>
              </w:rPr>
              <w:t>Number of vials and doses</w:t>
            </w:r>
          </w:p>
        </w:tc>
        <w:tc>
          <w:tcPr>
            <w:tcW w:w="626" w:type="pct"/>
            <w:vAlign w:val="center"/>
          </w:tcPr>
          <w:p w:rsidR="007B7704" w:rsidRPr="00523EE6" w:rsidRDefault="007B7704" w:rsidP="00323E7A">
            <w:pPr>
              <w:widowControl/>
              <w:jc w:val="center"/>
              <w:rPr>
                <w:rFonts w:ascii="Arial Narrow" w:hAnsi="Arial Narrow"/>
                <w:b/>
                <w:sz w:val="20"/>
              </w:rPr>
            </w:pPr>
            <w:r>
              <w:rPr>
                <w:rFonts w:ascii="Arial Narrow" w:hAnsi="Arial Narrow"/>
                <w:b/>
                <w:sz w:val="20"/>
              </w:rPr>
              <w:t>Drug cost/admin</w:t>
            </w:r>
          </w:p>
        </w:tc>
        <w:tc>
          <w:tcPr>
            <w:tcW w:w="1094" w:type="pct"/>
            <w:vAlign w:val="center"/>
          </w:tcPr>
          <w:p w:rsidR="007B7704" w:rsidRPr="00523EE6" w:rsidRDefault="007B7704" w:rsidP="00323E7A">
            <w:pPr>
              <w:widowControl/>
              <w:jc w:val="center"/>
              <w:rPr>
                <w:rFonts w:ascii="Arial Narrow" w:hAnsi="Arial Narrow"/>
                <w:b/>
                <w:sz w:val="20"/>
              </w:rPr>
            </w:pPr>
            <w:r w:rsidRPr="00523EE6">
              <w:rPr>
                <w:rFonts w:ascii="Arial Narrow" w:hAnsi="Arial Narrow"/>
                <w:b/>
                <w:sz w:val="20"/>
              </w:rPr>
              <w:t>D</w:t>
            </w:r>
            <w:r>
              <w:rPr>
                <w:rFonts w:ascii="Arial Narrow" w:hAnsi="Arial Narrow"/>
                <w:b/>
                <w:sz w:val="20"/>
              </w:rPr>
              <w:t>rug cost/</w:t>
            </w:r>
            <w:r w:rsidRPr="00523EE6">
              <w:rPr>
                <w:rFonts w:ascii="Arial Narrow" w:hAnsi="Arial Narrow"/>
                <w:b/>
                <w:sz w:val="20"/>
              </w:rPr>
              <w:t>patient</w:t>
            </w:r>
            <w:r>
              <w:rPr>
                <w:rFonts w:ascii="Arial Narrow" w:hAnsi="Arial Narrow"/>
                <w:b/>
                <w:sz w:val="20"/>
              </w:rPr>
              <w:t>/course</w:t>
            </w:r>
          </w:p>
        </w:tc>
      </w:tr>
      <w:tr w:rsidR="007B7704" w:rsidRPr="00523EE6" w:rsidTr="007B7704">
        <w:tc>
          <w:tcPr>
            <w:tcW w:w="5000" w:type="pct"/>
            <w:gridSpan w:val="5"/>
            <w:vAlign w:val="center"/>
          </w:tcPr>
          <w:p w:rsidR="007B7704" w:rsidRPr="00523EE6" w:rsidRDefault="007B7704" w:rsidP="00323E7A">
            <w:pPr>
              <w:widowControl/>
              <w:jc w:val="left"/>
              <w:rPr>
                <w:rFonts w:ascii="Arial Narrow" w:hAnsi="Arial Narrow"/>
                <w:b/>
                <w:sz w:val="20"/>
              </w:rPr>
            </w:pPr>
            <w:r>
              <w:rPr>
                <w:rFonts w:ascii="Arial Narrow" w:hAnsi="Arial Narrow"/>
                <w:b/>
                <w:sz w:val="20"/>
              </w:rPr>
              <w:t>Nivolumab</w:t>
            </w:r>
          </w:p>
        </w:tc>
      </w:tr>
      <w:tr w:rsidR="007B7704" w:rsidRPr="00523EE6" w:rsidTr="007B7704">
        <w:tc>
          <w:tcPr>
            <w:tcW w:w="594" w:type="pct"/>
            <w:vAlign w:val="center"/>
          </w:tcPr>
          <w:p w:rsidR="007B7704" w:rsidRPr="00523EE6" w:rsidRDefault="007B7704" w:rsidP="00323E7A">
            <w:pPr>
              <w:widowControl/>
              <w:jc w:val="left"/>
              <w:rPr>
                <w:rFonts w:ascii="Arial Narrow" w:hAnsi="Arial Narrow"/>
                <w:sz w:val="20"/>
              </w:rPr>
            </w:pPr>
            <w:r w:rsidRPr="00523EE6">
              <w:rPr>
                <w:rFonts w:ascii="Arial Narrow" w:hAnsi="Arial Narrow"/>
                <w:sz w:val="20"/>
              </w:rPr>
              <w:t>Doses per patient</w:t>
            </w:r>
          </w:p>
        </w:tc>
        <w:tc>
          <w:tcPr>
            <w:tcW w:w="1597" w:type="pct"/>
            <w:vAlign w:val="center"/>
          </w:tcPr>
          <w:p w:rsidR="007B7704" w:rsidRPr="00523EE6" w:rsidRDefault="007B7704" w:rsidP="00323E7A">
            <w:pPr>
              <w:widowControl/>
              <w:jc w:val="center"/>
              <w:rPr>
                <w:rFonts w:ascii="Arial Narrow" w:hAnsi="Arial Narrow"/>
                <w:sz w:val="20"/>
              </w:rPr>
            </w:pPr>
            <w:r w:rsidRPr="00523EE6">
              <w:rPr>
                <w:rFonts w:ascii="Arial Narrow" w:hAnsi="Arial Narrow"/>
                <w:sz w:val="20"/>
              </w:rPr>
              <w:t xml:space="preserve">CA209-003: 3mg/kg arm: mean duration of treatment = </w:t>
            </w:r>
            <w:r w:rsidR="005E36D7">
              <w:rPr>
                <w:rFonts w:ascii="Arial Narrow" w:hAnsi="Arial Narrow"/>
                <w:noProof/>
                <w:color w:val="000000"/>
                <w:sz w:val="20"/>
                <w:highlight w:val="black"/>
              </w:rPr>
              <w:t>'''''''''' ''''''''''''''''</w:t>
            </w:r>
          </w:p>
        </w:tc>
        <w:tc>
          <w:tcPr>
            <w:tcW w:w="1089" w:type="pct"/>
            <w:vAlign w:val="center"/>
          </w:tcPr>
          <w:p w:rsidR="007B7704" w:rsidRPr="005E36D7" w:rsidRDefault="005E36D7" w:rsidP="00323E7A">
            <w:pPr>
              <w:widowControl/>
              <w:jc w:val="center"/>
              <w:rPr>
                <w:rFonts w:ascii="Arial Narrow" w:hAnsi="Arial Narrow"/>
                <w:sz w:val="20"/>
                <w:highlight w:val="black"/>
              </w:rPr>
            </w:pPr>
            <w:r>
              <w:rPr>
                <w:rFonts w:ascii="Arial Narrow" w:hAnsi="Arial Narrow"/>
                <w:noProof/>
                <w:color w:val="000000"/>
                <w:sz w:val="20"/>
                <w:highlight w:val="black"/>
              </w:rPr>
              <w:t>'''''''''''' ''''''''''''''</w:t>
            </w:r>
          </w:p>
          <w:p w:rsidR="007B7704" w:rsidRPr="00523EE6" w:rsidRDefault="007B7704" w:rsidP="00323E7A">
            <w:pPr>
              <w:widowControl/>
              <w:jc w:val="center"/>
              <w:rPr>
                <w:rFonts w:ascii="Arial Narrow" w:hAnsi="Arial Narrow"/>
                <w:sz w:val="20"/>
              </w:rPr>
            </w:pPr>
            <w:r w:rsidRPr="00523EE6">
              <w:rPr>
                <w:rFonts w:ascii="Arial Narrow" w:hAnsi="Arial Narrow"/>
                <w:sz w:val="20"/>
              </w:rPr>
              <w:t>(dosing every 2 weeks)</w:t>
            </w:r>
          </w:p>
        </w:tc>
        <w:tc>
          <w:tcPr>
            <w:tcW w:w="626" w:type="pct"/>
            <w:vMerge w:val="restart"/>
            <w:vAlign w:val="center"/>
          </w:tcPr>
          <w:p w:rsidR="007B7704" w:rsidRPr="00523EE6" w:rsidRDefault="007B7704" w:rsidP="00323E7A">
            <w:pPr>
              <w:widowControl/>
              <w:jc w:val="center"/>
              <w:rPr>
                <w:rFonts w:ascii="Arial Narrow" w:hAnsi="Arial Narrow"/>
                <w:sz w:val="20"/>
              </w:rPr>
            </w:pPr>
            <w:r w:rsidRPr="00523EE6">
              <w:rPr>
                <w:rFonts w:ascii="Arial Narrow" w:hAnsi="Arial Narrow"/>
                <w:sz w:val="20"/>
              </w:rPr>
              <w:t>$</w:t>
            </w:r>
            <w:r w:rsidR="00930DE3">
              <w:rPr>
                <w:rFonts w:ascii="Arial Narrow" w:hAnsi="Arial Narrow"/>
                <w:noProof/>
                <w:color w:val="000000"/>
                <w:sz w:val="20"/>
                <w:highlight w:val="black"/>
              </w:rPr>
              <w:t>'''''''''''''''''''''</w:t>
            </w:r>
            <w:r w:rsidR="0075469C" w:rsidRPr="0075469C">
              <w:rPr>
                <w:rFonts w:ascii="Arial Narrow" w:hAnsi="Arial Narrow"/>
                <w:sz w:val="20"/>
                <w:vertAlign w:val="superscript"/>
              </w:rPr>
              <w:t>a</w:t>
            </w:r>
          </w:p>
        </w:tc>
        <w:tc>
          <w:tcPr>
            <w:tcW w:w="1094" w:type="pct"/>
            <w:vMerge w:val="restart"/>
            <w:vAlign w:val="center"/>
          </w:tcPr>
          <w:p w:rsidR="007B7704" w:rsidRPr="00523EE6" w:rsidRDefault="007B7704" w:rsidP="00323E7A">
            <w:pPr>
              <w:widowControl/>
              <w:jc w:val="center"/>
              <w:rPr>
                <w:rFonts w:ascii="Arial Narrow" w:hAnsi="Arial Narrow"/>
                <w:sz w:val="20"/>
              </w:rPr>
            </w:pPr>
            <w:r w:rsidRPr="00523EE6">
              <w:rPr>
                <w:rFonts w:ascii="Arial Narrow" w:hAnsi="Arial Narrow"/>
                <w:sz w:val="20"/>
              </w:rPr>
              <w:t>$</w:t>
            </w:r>
            <w:r w:rsidR="00930DE3">
              <w:rPr>
                <w:rFonts w:ascii="Arial Narrow" w:hAnsi="Arial Narrow"/>
                <w:noProof/>
                <w:color w:val="000000"/>
                <w:sz w:val="20"/>
                <w:highlight w:val="black"/>
              </w:rPr>
              <w:t>'''''''''''''''''''</w:t>
            </w:r>
            <w:r w:rsidR="0075469C" w:rsidRPr="0075469C">
              <w:rPr>
                <w:rFonts w:ascii="Arial Narrow" w:hAnsi="Arial Narrow"/>
                <w:sz w:val="20"/>
                <w:vertAlign w:val="superscript"/>
              </w:rPr>
              <w:t>a</w:t>
            </w:r>
            <w:r w:rsidRPr="00523EE6">
              <w:rPr>
                <w:rFonts w:ascii="Arial Narrow" w:hAnsi="Arial Narrow"/>
                <w:sz w:val="20"/>
              </w:rPr>
              <w:t xml:space="preserve"> </w:t>
            </w:r>
          </w:p>
        </w:tc>
      </w:tr>
      <w:tr w:rsidR="007B7704" w:rsidRPr="00885C28" w:rsidTr="007B7704">
        <w:trPr>
          <w:trHeight w:val="70"/>
        </w:trPr>
        <w:tc>
          <w:tcPr>
            <w:tcW w:w="594" w:type="pct"/>
            <w:vAlign w:val="center"/>
          </w:tcPr>
          <w:p w:rsidR="007B7704" w:rsidRPr="00523EE6" w:rsidRDefault="007B7704" w:rsidP="00323E7A">
            <w:pPr>
              <w:widowControl/>
              <w:jc w:val="left"/>
              <w:rPr>
                <w:rFonts w:ascii="Arial Narrow" w:hAnsi="Arial Narrow"/>
                <w:sz w:val="20"/>
              </w:rPr>
            </w:pPr>
            <w:r w:rsidRPr="00523EE6">
              <w:rPr>
                <w:rFonts w:ascii="Arial Narrow" w:hAnsi="Arial Narrow"/>
                <w:sz w:val="20"/>
              </w:rPr>
              <w:t>Vials per admin</w:t>
            </w:r>
          </w:p>
        </w:tc>
        <w:tc>
          <w:tcPr>
            <w:tcW w:w="1597" w:type="pct"/>
            <w:vAlign w:val="center"/>
          </w:tcPr>
          <w:p w:rsidR="007B7704" w:rsidRPr="00523EE6" w:rsidRDefault="007B7704" w:rsidP="00323E7A">
            <w:pPr>
              <w:widowControl/>
              <w:jc w:val="center"/>
              <w:rPr>
                <w:rFonts w:ascii="Arial Narrow" w:hAnsi="Arial Narrow"/>
                <w:sz w:val="20"/>
              </w:rPr>
            </w:pPr>
            <w:r w:rsidRPr="00523EE6">
              <w:rPr>
                <w:rFonts w:ascii="Arial Narrow" w:hAnsi="Arial Narrow"/>
                <w:sz w:val="20"/>
              </w:rPr>
              <w:t xml:space="preserve">CA209-066: mean weight for nivolumab patients: </w:t>
            </w:r>
            <w:r w:rsidR="005E36D7">
              <w:rPr>
                <w:rFonts w:ascii="Arial Narrow" w:hAnsi="Arial Narrow"/>
                <w:noProof/>
                <w:color w:val="000000"/>
                <w:sz w:val="20"/>
                <w:highlight w:val="black"/>
              </w:rPr>
              <w:t>''''''''''''''''''''</w:t>
            </w:r>
          </w:p>
        </w:tc>
        <w:tc>
          <w:tcPr>
            <w:tcW w:w="1089" w:type="pct"/>
            <w:vAlign w:val="center"/>
          </w:tcPr>
          <w:p w:rsidR="007B7704" w:rsidRPr="00885C28" w:rsidRDefault="007B7704" w:rsidP="00323E7A">
            <w:pPr>
              <w:widowControl/>
              <w:jc w:val="center"/>
              <w:rPr>
                <w:rFonts w:ascii="Arial Narrow" w:hAnsi="Arial Narrow"/>
                <w:sz w:val="20"/>
                <w:lang w:val="da-DK"/>
              </w:rPr>
            </w:pPr>
            <w:r w:rsidRPr="00885C28">
              <w:rPr>
                <w:rFonts w:ascii="Arial Narrow" w:hAnsi="Arial Narrow"/>
                <w:sz w:val="20"/>
                <w:lang w:val="da-DK"/>
              </w:rPr>
              <w:t xml:space="preserve">40mg/4ml: </w:t>
            </w:r>
            <w:r w:rsidR="005E36D7">
              <w:rPr>
                <w:rFonts w:ascii="Arial Narrow" w:hAnsi="Arial Narrow"/>
                <w:noProof/>
                <w:color w:val="000000"/>
                <w:sz w:val="20"/>
                <w:highlight w:val="black"/>
                <w:lang w:val="da-DK"/>
              </w:rPr>
              <w:t>''''''''''''</w:t>
            </w:r>
            <w:r w:rsidRPr="005E36D7">
              <w:rPr>
                <w:rFonts w:ascii="Arial Narrow" w:hAnsi="Arial Narrow"/>
                <w:sz w:val="20"/>
                <w:lang w:val="da-DK"/>
              </w:rPr>
              <w:t xml:space="preserve"> </w:t>
            </w:r>
            <w:r w:rsidRPr="009709CE">
              <w:rPr>
                <w:rFonts w:ascii="Arial Narrow" w:hAnsi="Arial Narrow"/>
                <w:sz w:val="20"/>
                <w:lang w:val="da-DK"/>
              </w:rPr>
              <w:t>vials</w:t>
            </w:r>
            <w:r w:rsidRPr="00885C28">
              <w:rPr>
                <w:rFonts w:ascii="Arial Narrow" w:hAnsi="Arial Narrow"/>
                <w:sz w:val="20"/>
                <w:lang w:val="da-DK"/>
              </w:rPr>
              <w:t xml:space="preserve">; </w:t>
            </w:r>
          </w:p>
          <w:p w:rsidR="007B7704" w:rsidRPr="00885C28" w:rsidRDefault="007B7704" w:rsidP="00323E7A">
            <w:pPr>
              <w:widowControl/>
              <w:jc w:val="center"/>
              <w:rPr>
                <w:rFonts w:ascii="Arial Narrow" w:hAnsi="Arial Narrow"/>
                <w:sz w:val="20"/>
                <w:lang w:val="da-DK"/>
              </w:rPr>
            </w:pPr>
            <w:r w:rsidRPr="00885C28">
              <w:rPr>
                <w:rFonts w:ascii="Arial Narrow" w:hAnsi="Arial Narrow"/>
                <w:sz w:val="20"/>
                <w:lang w:val="da-DK"/>
              </w:rPr>
              <w:t xml:space="preserve">100mg/10ml: </w:t>
            </w:r>
            <w:r w:rsidR="005E36D7">
              <w:rPr>
                <w:rFonts w:ascii="Arial Narrow" w:hAnsi="Arial Narrow"/>
                <w:noProof/>
                <w:color w:val="000000"/>
                <w:sz w:val="20"/>
                <w:highlight w:val="black"/>
                <w:lang w:val="da-DK"/>
              </w:rPr>
              <w:t xml:space="preserve">'''' </w:t>
            </w:r>
            <w:r w:rsidRPr="009709CE">
              <w:rPr>
                <w:rFonts w:ascii="Arial Narrow" w:hAnsi="Arial Narrow"/>
                <w:sz w:val="20"/>
                <w:lang w:val="da-DK"/>
              </w:rPr>
              <w:t>vials</w:t>
            </w:r>
          </w:p>
        </w:tc>
        <w:tc>
          <w:tcPr>
            <w:tcW w:w="626" w:type="pct"/>
            <w:vMerge/>
            <w:vAlign w:val="center"/>
          </w:tcPr>
          <w:p w:rsidR="007B7704" w:rsidRPr="00885C28" w:rsidRDefault="007B7704" w:rsidP="00323E7A">
            <w:pPr>
              <w:widowControl/>
              <w:jc w:val="center"/>
              <w:rPr>
                <w:rFonts w:ascii="Arial Narrow" w:hAnsi="Arial Narrow"/>
                <w:sz w:val="20"/>
                <w:lang w:val="da-DK"/>
              </w:rPr>
            </w:pPr>
          </w:p>
        </w:tc>
        <w:tc>
          <w:tcPr>
            <w:tcW w:w="1094" w:type="pct"/>
            <w:vMerge/>
            <w:vAlign w:val="center"/>
          </w:tcPr>
          <w:p w:rsidR="007B7704" w:rsidRPr="00885C28" w:rsidRDefault="007B7704" w:rsidP="00323E7A">
            <w:pPr>
              <w:widowControl/>
              <w:jc w:val="center"/>
              <w:rPr>
                <w:rFonts w:ascii="Arial Narrow" w:hAnsi="Arial Narrow"/>
                <w:sz w:val="20"/>
                <w:lang w:val="da-DK"/>
              </w:rPr>
            </w:pPr>
          </w:p>
        </w:tc>
      </w:tr>
      <w:tr w:rsidR="007B7704" w:rsidRPr="00743777" w:rsidTr="007B7704">
        <w:tc>
          <w:tcPr>
            <w:tcW w:w="5000" w:type="pct"/>
            <w:gridSpan w:val="5"/>
            <w:vAlign w:val="center"/>
          </w:tcPr>
          <w:p w:rsidR="007B7704" w:rsidRPr="00743777" w:rsidRDefault="007B7704" w:rsidP="00323E7A">
            <w:pPr>
              <w:widowControl/>
              <w:jc w:val="left"/>
              <w:rPr>
                <w:rFonts w:ascii="Arial Narrow" w:hAnsi="Arial Narrow"/>
                <w:b/>
                <w:sz w:val="20"/>
              </w:rPr>
            </w:pPr>
            <w:r w:rsidRPr="00743777">
              <w:rPr>
                <w:rFonts w:ascii="Arial Narrow" w:hAnsi="Arial Narrow"/>
                <w:b/>
                <w:sz w:val="20"/>
              </w:rPr>
              <w:t>Ipilimumab</w:t>
            </w:r>
          </w:p>
        </w:tc>
      </w:tr>
      <w:tr w:rsidR="007B7704" w:rsidRPr="00523EE6" w:rsidTr="007B7704">
        <w:tc>
          <w:tcPr>
            <w:tcW w:w="594" w:type="pct"/>
            <w:vAlign w:val="center"/>
          </w:tcPr>
          <w:p w:rsidR="007B7704" w:rsidRPr="00523EE6" w:rsidRDefault="007B7704" w:rsidP="00323E7A">
            <w:pPr>
              <w:widowControl/>
              <w:jc w:val="left"/>
              <w:rPr>
                <w:rFonts w:ascii="Arial Narrow" w:hAnsi="Arial Narrow"/>
                <w:sz w:val="20"/>
              </w:rPr>
            </w:pPr>
            <w:r w:rsidRPr="00743777">
              <w:rPr>
                <w:rFonts w:ascii="Arial Narrow" w:hAnsi="Arial Narrow"/>
                <w:sz w:val="20"/>
              </w:rPr>
              <w:t>Doses per patient</w:t>
            </w:r>
          </w:p>
        </w:tc>
        <w:tc>
          <w:tcPr>
            <w:tcW w:w="1597" w:type="pct"/>
            <w:vAlign w:val="center"/>
          </w:tcPr>
          <w:p w:rsidR="007B7704" w:rsidRPr="00523EE6" w:rsidRDefault="007B7704" w:rsidP="00323E7A">
            <w:pPr>
              <w:widowControl/>
              <w:jc w:val="center"/>
              <w:rPr>
                <w:rFonts w:ascii="Arial Narrow" w:hAnsi="Arial Narrow"/>
                <w:sz w:val="20"/>
              </w:rPr>
            </w:pPr>
            <w:r w:rsidRPr="00743777">
              <w:rPr>
                <w:rFonts w:ascii="Arial Narrow" w:hAnsi="Arial Narrow"/>
                <w:sz w:val="20"/>
              </w:rPr>
              <w:t>MDX010-20 + 4% re-induction rate (sponsor data)</w:t>
            </w:r>
          </w:p>
        </w:tc>
        <w:tc>
          <w:tcPr>
            <w:tcW w:w="1089" w:type="pct"/>
            <w:vAlign w:val="center"/>
          </w:tcPr>
          <w:p w:rsidR="007B7704" w:rsidRPr="00523EE6" w:rsidRDefault="007B7704" w:rsidP="00323E7A">
            <w:pPr>
              <w:widowControl/>
              <w:jc w:val="center"/>
              <w:rPr>
                <w:rFonts w:ascii="Arial Narrow" w:hAnsi="Arial Narrow"/>
                <w:sz w:val="20"/>
              </w:rPr>
            </w:pPr>
            <w:r w:rsidRPr="00743777">
              <w:rPr>
                <w:rFonts w:ascii="Arial Narrow" w:hAnsi="Arial Narrow"/>
                <w:sz w:val="20"/>
              </w:rPr>
              <w:t>3.54 doses</w:t>
            </w:r>
          </w:p>
        </w:tc>
        <w:tc>
          <w:tcPr>
            <w:tcW w:w="626" w:type="pct"/>
            <w:vMerge w:val="restart"/>
            <w:vAlign w:val="center"/>
          </w:tcPr>
          <w:p w:rsidR="007B7704" w:rsidRPr="00523EE6" w:rsidRDefault="007B7704" w:rsidP="00323E7A">
            <w:pPr>
              <w:widowControl/>
              <w:jc w:val="center"/>
              <w:rPr>
                <w:rFonts w:ascii="Arial Narrow" w:hAnsi="Arial Narrow"/>
                <w:sz w:val="20"/>
              </w:rPr>
            </w:pPr>
            <w:r w:rsidRPr="00743777">
              <w:rPr>
                <w:rFonts w:ascii="Arial Narrow" w:hAnsi="Arial Narrow"/>
                <w:sz w:val="20"/>
              </w:rPr>
              <w:t>$</w:t>
            </w:r>
            <w:r w:rsidR="00930DE3">
              <w:rPr>
                <w:rFonts w:ascii="Arial Narrow" w:hAnsi="Arial Narrow"/>
                <w:noProof/>
                <w:color w:val="000000"/>
                <w:sz w:val="20"/>
                <w:highlight w:val="black"/>
              </w:rPr>
              <w:t>'''''''''''''''''''''''</w:t>
            </w:r>
          </w:p>
        </w:tc>
        <w:tc>
          <w:tcPr>
            <w:tcW w:w="1094" w:type="pct"/>
            <w:vMerge w:val="restart"/>
            <w:vAlign w:val="center"/>
          </w:tcPr>
          <w:p w:rsidR="007B7704" w:rsidRPr="00523EE6" w:rsidRDefault="002A2F06" w:rsidP="00323E7A">
            <w:pPr>
              <w:widowControl/>
              <w:jc w:val="center"/>
              <w:rPr>
                <w:rFonts w:ascii="Arial Narrow" w:hAnsi="Arial Narrow"/>
                <w:sz w:val="20"/>
              </w:rPr>
            </w:pPr>
            <w:r>
              <w:rPr>
                <w:rFonts w:ascii="Arial Narrow" w:hAnsi="Arial Narrow"/>
                <w:sz w:val="20"/>
              </w:rPr>
              <w:t>$</w:t>
            </w:r>
            <w:r w:rsidR="00930DE3">
              <w:rPr>
                <w:rFonts w:ascii="Arial Narrow" w:hAnsi="Arial Narrow"/>
                <w:noProof/>
                <w:color w:val="000000"/>
                <w:sz w:val="20"/>
                <w:highlight w:val="black"/>
              </w:rPr>
              <w:t>''''''''''''''''</w:t>
            </w:r>
          </w:p>
        </w:tc>
      </w:tr>
      <w:tr w:rsidR="007B7704" w:rsidRPr="00885C28" w:rsidTr="007B7704">
        <w:tc>
          <w:tcPr>
            <w:tcW w:w="594" w:type="pct"/>
            <w:vAlign w:val="center"/>
          </w:tcPr>
          <w:p w:rsidR="007B7704" w:rsidRPr="00523EE6" w:rsidRDefault="007B7704" w:rsidP="00323E7A">
            <w:pPr>
              <w:widowControl/>
              <w:jc w:val="left"/>
              <w:rPr>
                <w:rFonts w:ascii="Arial Narrow" w:hAnsi="Arial Narrow"/>
                <w:sz w:val="20"/>
              </w:rPr>
            </w:pPr>
            <w:r w:rsidRPr="00743777">
              <w:rPr>
                <w:rFonts w:ascii="Arial Narrow" w:hAnsi="Arial Narrow"/>
                <w:sz w:val="20"/>
              </w:rPr>
              <w:t>Vials per admin</w:t>
            </w:r>
          </w:p>
        </w:tc>
        <w:tc>
          <w:tcPr>
            <w:tcW w:w="1597" w:type="pct"/>
            <w:vAlign w:val="center"/>
          </w:tcPr>
          <w:p w:rsidR="007B7704" w:rsidRPr="00523EE6" w:rsidRDefault="007B7704" w:rsidP="00323E7A">
            <w:pPr>
              <w:widowControl/>
              <w:jc w:val="center"/>
              <w:rPr>
                <w:rFonts w:ascii="Arial Narrow" w:hAnsi="Arial Narrow"/>
                <w:sz w:val="20"/>
              </w:rPr>
            </w:pPr>
            <w:r w:rsidRPr="00743777">
              <w:rPr>
                <w:rFonts w:ascii="Arial Narrow" w:hAnsi="Arial Narrow"/>
                <w:sz w:val="20"/>
              </w:rPr>
              <w:t xml:space="preserve">Assumption: same as nivolumab: </w:t>
            </w:r>
            <w:r w:rsidR="005E36D7">
              <w:rPr>
                <w:rFonts w:ascii="Arial Narrow" w:hAnsi="Arial Narrow"/>
                <w:noProof/>
                <w:color w:val="000000"/>
                <w:sz w:val="20"/>
                <w:highlight w:val="black"/>
              </w:rPr>
              <w:t>'''''''''''''''''</w:t>
            </w:r>
          </w:p>
        </w:tc>
        <w:tc>
          <w:tcPr>
            <w:tcW w:w="1089" w:type="pct"/>
            <w:vAlign w:val="center"/>
          </w:tcPr>
          <w:p w:rsidR="007B7704" w:rsidRPr="00885C28" w:rsidRDefault="007B7704" w:rsidP="00323E7A">
            <w:pPr>
              <w:widowControl/>
              <w:jc w:val="center"/>
              <w:rPr>
                <w:rFonts w:ascii="Arial Narrow" w:hAnsi="Arial Narrow"/>
                <w:sz w:val="20"/>
                <w:lang w:val="da-DK"/>
              </w:rPr>
            </w:pPr>
            <w:r w:rsidRPr="00885C28">
              <w:rPr>
                <w:rFonts w:ascii="Arial Narrow" w:hAnsi="Arial Narrow"/>
                <w:sz w:val="20"/>
                <w:lang w:val="da-DK"/>
              </w:rPr>
              <w:t xml:space="preserve">50mg/10ml: </w:t>
            </w:r>
            <w:r w:rsidR="005E36D7">
              <w:rPr>
                <w:rFonts w:ascii="Arial Narrow" w:hAnsi="Arial Narrow"/>
                <w:noProof/>
                <w:color w:val="000000"/>
                <w:sz w:val="20"/>
                <w:highlight w:val="black"/>
                <w:lang w:val="da-DK"/>
              </w:rPr>
              <w:t>'''''''</w:t>
            </w:r>
            <w:r w:rsidRPr="005E36D7">
              <w:rPr>
                <w:rFonts w:ascii="Arial Narrow" w:hAnsi="Arial Narrow"/>
                <w:sz w:val="20"/>
                <w:lang w:val="da-DK"/>
              </w:rPr>
              <w:t xml:space="preserve"> </w:t>
            </w:r>
            <w:r w:rsidRPr="00E02D5D">
              <w:rPr>
                <w:rFonts w:ascii="Arial Narrow" w:hAnsi="Arial Narrow"/>
                <w:sz w:val="20"/>
                <w:lang w:val="da-DK"/>
              </w:rPr>
              <w:t>vials;</w:t>
            </w:r>
          </w:p>
          <w:p w:rsidR="007B7704" w:rsidRPr="00885C28" w:rsidRDefault="007B7704" w:rsidP="00323E7A">
            <w:pPr>
              <w:widowControl/>
              <w:jc w:val="center"/>
              <w:rPr>
                <w:rFonts w:ascii="Arial Narrow" w:hAnsi="Arial Narrow"/>
                <w:sz w:val="20"/>
                <w:lang w:val="da-DK"/>
              </w:rPr>
            </w:pPr>
            <w:r w:rsidRPr="00885C28">
              <w:rPr>
                <w:rFonts w:ascii="Arial Narrow" w:hAnsi="Arial Narrow"/>
                <w:sz w:val="20"/>
                <w:lang w:val="da-DK"/>
              </w:rPr>
              <w:t xml:space="preserve">200mg/40ml: </w:t>
            </w:r>
            <w:r w:rsidR="005E36D7">
              <w:rPr>
                <w:rFonts w:ascii="Arial Narrow" w:hAnsi="Arial Narrow"/>
                <w:noProof/>
                <w:color w:val="000000"/>
                <w:sz w:val="20"/>
                <w:highlight w:val="black"/>
                <w:lang w:val="da-DK"/>
              </w:rPr>
              <w:t>'''''''''</w:t>
            </w:r>
            <w:r w:rsidRPr="005E36D7">
              <w:rPr>
                <w:rFonts w:ascii="Arial Narrow" w:hAnsi="Arial Narrow"/>
                <w:sz w:val="20"/>
                <w:lang w:val="da-DK"/>
              </w:rPr>
              <w:t xml:space="preserve"> </w:t>
            </w:r>
            <w:r w:rsidRPr="00E02D5D">
              <w:rPr>
                <w:rFonts w:ascii="Arial Narrow" w:hAnsi="Arial Narrow"/>
                <w:sz w:val="20"/>
                <w:lang w:val="da-DK"/>
              </w:rPr>
              <w:t>vials</w:t>
            </w:r>
          </w:p>
        </w:tc>
        <w:tc>
          <w:tcPr>
            <w:tcW w:w="626" w:type="pct"/>
            <w:vMerge/>
            <w:vAlign w:val="center"/>
          </w:tcPr>
          <w:p w:rsidR="007B7704" w:rsidRPr="00885C28" w:rsidRDefault="007B7704" w:rsidP="00323E7A">
            <w:pPr>
              <w:widowControl/>
              <w:jc w:val="center"/>
              <w:rPr>
                <w:rFonts w:ascii="Arial Narrow" w:hAnsi="Arial Narrow"/>
                <w:sz w:val="20"/>
                <w:lang w:val="da-DK"/>
              </w:rPr>
            </w:pPr>
          </w:p>
        </w:tc>
        <w:tc>
          <w:tcPr>
            <w:tcW w:w="1094" w:type="pct"/>
            <w:vMerge/>
            <w:vAlign w:val="center"/>
          </w:tcPr>
          <w:p w:rsidR="007B7704" w:rsidRPr="00885C28" w:rsidRDefault="007B7704" w:rsidP="00323E7A">
            <w:pPr>
              <w:widowControl/>
              <w:jc w:val="center"/>
              <w:rPr>
                <w:rFonts w:ascii="Arial Narrow" w:hAnsi="Arial Narrow"/>
                <w:sz w:val="20"/>
                <w:lang w:val="da-DK"/>
              </w:rPr>
            </w:pPr>
          </w:p>
        </w:tc>
      </w:tr>
    </w:tbl>
    <w:p w:rsidR="0075469C" w:rsidRPr="002A2F06" w:rsidRDefault="0075469C" w:rsidP="00323E7A">
      <w:pPr>
        <w:widowControl/>
        <w:tabs>
          <w:tab w:val="left" w:pos="851"/>
        </w:tabs>
        <w:ind w:left="720"/>
        <w:rPr>
          <w:rFonts w:ascii="Arial Narrow" w:hAnsi="Arial Narrow"/>
          <w:sz w:val="18"/>
        </w:rPr>
      </w:pPr>
      <w:r w:rsidRPr="0075469C">
        <w:rPr>
          <w:rFonts w:ascii="Arial Narrow" w:hAnsi="Arial Narrow"/>
          <w:sz w:val="20"/>
          <w:vertAlign w:val="superscript"/>
        </w:rPr>
        <w:t>a</w:t>
      </w:r>
      <w:r>
        <w:rPr>
          <w:rFonts w:ascii="Arial Narrow" w:hAnsi="Arial Narrow"/>
          <w:sz w:val="18"/>
        </w:rPr>
        <w:tab/>
      </w:r>
      <w:r w:rsidR="007B7704">
        <w:rPr>
          <w:rFonts w:ascii="Arial Narrow" w:hAnsi="Arial Narrow"/>
          <w:sz w:val="18"/>
        </w:rPr>
        <w:t>Based on an effective price of $</w:t>
      </w:r>
      <w:r w:rsidR="00930DE3">
        <w:rPr>
          <w:rFonts w:ascii="Arial Narrow" w:hAnsi="Arial Narrow"/>
          <w:noProof/>
          <w:color w:val="000000"/>
          <w:sz w:val="18"/>
          <w:highlight w:val="black"/>
        </w:rPr>
        <w:t>''''''''''''''''''''</w:t>
      </w:r>
      <w:r w:rsidR="007B7704">
        <w:rPr>
          <w:rFonts w:ascii="Arial Narrow" w:hAnsi="Arial Narrow"/>
          <w:sz w:val="18"/>
        </w:rPr>
        <w:t xml:space="preserve"> for the 100mg/10ml vial and $</w:t>
      </w:r>
      <w:r w:rsidR="00930DE3">
        <w:rPr>
          <w:rFonts w:ascii="Arial Narrow" w:hAnsi="Arial Narrow"/>
          <w:noProof/>
          <w:color w:val="000000"/>
          <w:sz w:val="18"/>
          <w:highlight w:val="black"/>
        </w:rPr>
        <w:t>'''''''''''''''</w:t>
      </w:r>
      <w:r w:rsidR="007B7704">
        <w:rPr>
          <w:rFonts w:ascii="Arial Narrow" w:hAnsi="Arial Narrow"/>
          <w:sz w:val="18"/>
        </w:rPr>
        <w:t xml:space="preserve"> for the 40mg/ml vial.  </w:t>
      </w:r>
      <w:r w:rsidR="007B7704" w:rsidRPr="009A1D2A">
        <w:rPr>
          <w:rFonts w:ascii="Arial Narrow" w:hAnsi="Arial Narrow"/>
          <w:sz w:val="18"/>
          <w:szCs w:val="18"/>
        </w:rPr>
        <w:t>Discrepancies were apparent in the written text of the submission and the spreadsheet inputs for the cost per administration for nivolumab and ipilimumab.  While the spreadsheet inputs were consistent with the derivation of nivolumab and ipilimumab costs in Tables 70 and 71, differing costs ($</w:t>
      </w:r>
      <w:r w:rsidR="00930DE3">
        <w:rPr>
          <w:rFonts w:ascii="Arial Narrow" w:hAnsi="Arial Narrow"/>
          <w:noProof/>
          <w:color w:val="000000"/>
          <w:sz w:val="18"/>
          <w:szCs w:val="18"/>
          <w:highlight w:val="black"/>
        </w:rPr>
        <w:t>''''''''''''''''''''</w:t>
      </w:r>
      <w:r w:rsidR="007B7704" w:rsidRPr="009A1D2A">
        <w:rPr>
          <w:rFonts w:ascii="Arial Narrow" w:hAnsi="Arial Narrow"/>
          <w:sz w:val="18"/>
          <w:szCs w:val="18"/>
        </w:rPr>
        <w:t xml:space="preserve"> and $</w:t>
      </w:r>
      <w:r w:rsidR="00930DE3">
        <w:rPr>
          <w:rFonts w:ascii="Arial Narrow" w:hAnsi="Arial Narrow"/>
          <w:noProof/>
          <w:color w:val="000000"/>
          <w:sz w:val="18"/>
          <w:szCs w:val="18"/>
          <w:highlight w:val="black"/>
        </w:rPr>
        <w:t>''''''''''''''''''''''''</w:t>
      </w:r>
      <w:r w:rsidR="007B7704" w:rsidRPr="009A1D2A">
        <w:rPr>
          <w:rFonts w:ascii="Arial Narrow" w:hAnsi="Arial Narrow"/>
          <w:sz w:val="18"/>
          <w:szCs w:val="18"/>
        </w:rPr>
        <w:t xml:space="preserve">, respectively) were presented in Table 80 of the submission.  </w:t>
      </w:r>
    </w:p>
    <w:p w:rsidR="007B7704" w:rsidRDefault="007B7704" w:rsidP="00323E7A">
      <w:pPr>
        <w:widowControl/>
        <w:ind w:left="709"/>
      </w:pPr>
      <w:r>
        <w:rPr>
          <w:rFonts w:ascii="Arial Narrow" w:hAnsi="Arial Narrow"/>
          <w:sz w:val="18"/>
        </w:rPr>
        <w:t>Source: Table 70, p177; Table 71, p177, Table 75, p180 and Table 76, p181 of the submission.</w:t>
      </w:r>
    </w:p>
    <w:p w:rsidR="007B7704" w:rsidRDefault="007B7704" w:rsidP="00323E7A">
      <w:pPr>
        <w:widowControl/>
      </w:pPr>
    </w:p>
    <w:p w:rsidR="00A86E8B" w:rsidRPr="006C03DC" w:rsidRDefault="007B7704" w:rsidP="00323E7A">
      <w:pPr>
        <w:pStyle w:val="ListParagraph"/>
        <w:widowControl/>
        <w:numPr>
          <w:ilvl w:val="1"/>
          <w:numId w:val="23"/>
        </w:numPr>
        <w:ind w:left="709" w:hanging="709"/>
      </w:pPr>
      <w:r w:rsidRPr="006C03DC">
        <w:t xml:space="preserve">It </w:t>
      </w:r>
      <w:r w:rsidR="009B2A22" w:rsidRPr="006C03DC">
        <w:t>wa</w:t>
      </w:r>
      <w:r w:rsidRPr="006C03DC">
        <w:t>s unlikely that the estimated nivolumab drug cost/patient/course was of sufficient reliability given the following issues:</w:t>
      </w:r>
    </w:p>
    <w:p w:rsidR="00B60939" w:rsidRPr="006C03DC" w:rsidRDefault="00867AA4" w:rsidP="00323E7A">
      <w:pPr>
        <w:pStyle w:val="ListParagraph"/>
        <w:widowControl/>
        <w:numPr>
          <w:ilvl w:val="0"/>
          <w:numId w:val="4"/>
        </w:numPr>
        <w:ind w:left="993" w:hanging="284"/>
        <w:rPr>
          <w:szCs w:val="22"/>
        </w:rPr>
      </w:pPr>
      <w:r w:rsidRPr="006C03DC">
        <w:rPr>
          <w:szCs w:val="22"/>
        </w:rPr>
        <w:t xml:space="preserve">The submission </w:t>
      </w:r>
      <w:r w:rsidRPr="00287DBE">
        <w:t>appropriately</w:t>
      </w:r>
      <w:r w:rsidRPr="006C03DC">
        <w:rPr>
          <w:szCs w:val="22"/>
        </w:rPr>
        <w:t xml:space="preserve"> acknowledged that nivolumab treatment in clinical practice may be longer than that observed in th</w:t>
      </w:r>
      <w:r w:rsidR="009A1D2A">
        <w:rPr>
          <w:szCs w:val="22"/>
        </w:rPr>
        <w:t>e pivotal trial CA209-066 (</w:t>
      </w:r>
      <w:r w:rsidR="005E36D7">
        <w:rPr>
          <w:noProof/>
          <w:color w:val="000000"/>
          <w:szCs w:val="22"/>
          <w:highlight w:val="black"/>
        </w:rPr>
        <w:t>''''''''''</w:t>
      </w:r>
      <w:r w:rsidR="009A1D2A">
        <w:rPr>
          <w:szCs w:val="22"/>
        </w:rPr>
        <w:t> </w:t>
      </w:r>
      <w:r w:rsidRPr="006C03DC">
        <w:rPr>
          <w:szCs w:val="22"/>
        </w:rPr>
        <w:t>doses) given the limited 12</w:t>
      </w:r>
      <w:r w:rsidR="009B2A22" w:rsidRPr="006C03DC">
        <w:rPr>
          <w:szCs w:val="22"/>
        </w:rPr>
        <w:t>-</w:t>
      </w:r>
      <w:r w:rsidRPr="006C03DC">
        <w:rPr>
          <w:szCs w:val="22"/>
        </w:rPr>
        <w:t>month follow-up.  T</w:t>
      </w:r>
      <w:r w:rsidR="009A1D2A">
        <w:rPr>
          <w:szCs w:val="22"/>
        </w:rPr>
        <w:t>he submission used longer</w:t>
      </w:r>
      <w:r w:rsidR="009A1D2A">
        <w:rPr>
          <w:szCs w:val="22"/>
        </w:rPr>
        <w:noBreakHyphen/>
      </w:r>
      <w:r w:rsidR="003C485F" w:rsidRPr="006C03DC">
        <w:rPr>
          <w:szCs w:val="22"/>
        </w:rPr>
        <w:t xml:space="preserve">term </w:t>
      </w:r>
      <w:r w:rsidRPr="006C03DC">
        <w:rPr>
          <w:szCs w:val="22"/>
        </w:rPr>
        <w:t xml:space="preserve">data from a phase I dose escalation trial (CA209-003) to estimate nivolumab treatment duration.  Although the use of long-term data may be more suitable, the reliability of the estimated mean duration treatment from CA209-003 was </w:t>
      </w:r>
      <w:r w:rsidR="009B2A22" w:rsidRPr="006C03DC">
        <w:rPr>
          <w:szCs w:val="22"/>
        </w:rPr>
        <w:t>affected</w:t>
      </w:r>
      <w:r w:rsidRPr="006C03DC">
        <w:rPr>
          <w:szCs w:val="22"/>
        </w:rPr>
        <w:t xml:space="preserve"> by limited recruitment (3mg/kg treatment arm: n=17) and inadequate applicability of the </w:t>
      </w:r>
      <w:r w:rsidR="00261270" w:rsidRPr="006C03DC">
        <w:rPr>
          <w:szCs w:val="22"/>
        </w:rPr>
        <w:t>trial</w:t>
      </w:r>
      <w:r w:rsidRPr="006C03DC">
        <w:rPr>
          <w:szCs w:val="22"/>
        </w:rPr>
        <w:t xml:space="preserve"> participants (</w:t>
      </w:r>
      <w:r w:rsidR="00261270" w:rsidRPr="006C03DC">
        <w:rPr>
          <w:szCs w:val="22"/>
        </w:rPr>
        <w:t>previously treated with ipilimumab).</w:t>
      </w:r>
    </w:p>
    <w:p w:rsidR="009D003C" w:rsidRPr="006C03DC" w:rsidRDefault="009D003C" w:rsidP="00323E7A">
      <w:pPr>
        <w:pStyle w:val="ListParagraph"/>
        <w:widowControl/>
        <w:numPr>
          <w:ilvl w:val="0"/>
          <w:numId w:val="3"/>
        </w:numPr>
        <w:ind w:left="993" w:hanging="284"/>
        <w:rPr>
          <w:szCs w:val="22"/>
        </w:rPr>
      </w:pPr>
      <w:r w:rsidRPr="006C03DC">
        <w:rPr>
          <w:szCs w:val="22"/>
        </w:rPr>
        <w:t>Appropriateness of using average patient weight from CA209-066 to determine the number of nivolumab vials per administration: the average weight observed in CA209-066 (</w:t>
      </w:r>
      <w:r w:rsidR="005E36D7">
        <w:rPr>
          <w:noProof/>
          <w:color w:val="000000"/>
          <w:szCs w:val="22"/>
          <w:highlight w:val="black"/>
        </w:rPr>
        <w:t>'''''''''''''''</w:t>
      </w:r>
      <w:r w:rsidRPr="006C03DC">
        <w:rPr>
          <w:szCs w:val="22"/>
        </w:rPr>
        <w:t>kg) was lower than that observed in the ipil</w:t>
      </w:r>
      <w:r w:rsidR="00867AA4" w:rsidRPr="006C03DC">
        <w:rPr>
          <w:szCs w:val="22"/>
        </w:rPr>
        <w:t>imumab-treated PBS population of</w:t>
      </w:r>
      <w:r w:rsidRPr="006C03DC">
        <w:rPr>
          <w:szCs w:val="22"/>
        </w:rPr>
        <w:t xml:space="preserve"> 82.1 kg.  Furthermore, the lack of consideration for patient weight distribution and associated vial wastage </w:t>
      </w:r>
      <w:r w:rsidR="0095142E" w:rsidRPr="006C03DC">
        <w:rPr>
          <w:szCs w:val="22"/>
        </w:rPr>
        <w:t>affected</w:t>
      </w:r>
      <w:r w:rsidRPr="006C03DC">
        <w:rPr>
          <w:szCs w:val="22"/>
        </w:rPr>
        <w:t xml:space="preserve"> the accuracy of the number of nivolumab vials used per patient.</w:t>
      </w:r>
    </w:p>
    <w:p w:rsidR="007B7704" w:rsidRPr="001E2B1E" w:rsidRDefault="007B7704" w:rsidP="00323E7A">
      <w:pPr>
        <w:widowControl/>
        <w:rPr>
          <w:szCs w:val="22"/>
        </w:rPr>
      </w:pPr>
    </w:p>
    <w:p w:rsidR="00B60939" w:rsidRPr="002C2775" w:rsidRDefault="00B60939" w:rsidP="00323E7A">
      <w:pPr>
        <w:pStyle w:val="Heading2"/>
        <w:widowControl/>
        <w:rPr>
          <w:i/>
        </w:rPr>
      </w:pPr>
      <w:bookmarkStart w:id="16" w:name="_Toc419885977"/>
      <w:r w:rsidRPr="002C2775">
        <w:rPr>
          <w:i/>
        </w:rPr>
        <w:t>Estimated PBS usage &amp; financial implications</w:t>
      </w:r>
      <w:bookmarkEnd w:id="16"/>
    </w:p>
    <w:p w:rsidR="00B60939" w:rsidRPr="00287DBE" w:rsidRDefault="00B60939" w:rsidP="00323E7A">
      <w:pPr>
        <w:widowControl/>
        <w:ind w:left="720" w:hanging="720"/>
        <w:rPr>
          <w:szCs w:val="22"/>
        </w:rPr>
      </w:pPr>
    </w:p>
    <w:p w:rsidR="00C25D9C" w:rsidRPr="00B841D9" w:rsidRDefault="00C76117" w:rsidP="00323E7A">
      <w:pPr>
        <w:pStyle w:val="ListParagraph"/>
        <w:widowControl/>
        <w:numPr>
          <w:ilvl w:val="1"/>
          <w:numId w:val="23"/>
        </w:numPr>
        <w:ind w:left="709" w:hanging="709"/>
      </w:pPr>
      <w:r w:rsidRPr="00B841D9">
        <w:t xml:space="preserve">This submission </w:t>
      </w:r>
      <w:r w:rsidR="006E38BD">
        <w:t>wa</w:t>
      </w:r>
      <w:r w:rsidRPr="00B841D9">
        <w:t xml:space="preserve">s not </w:t>
      </w:r>
      <w:r w:rsidR="006E38BD">
        <w:t>c</w:t>
      </w:r>
      <w:r w:rsidRPr="00B841D9">
        <w:t xml:space="preserve">onsidered by </w:t>
      </w:r>
      <w:r w:rsidR="006E38BD">
        <w:t xml:space="preserve">the </w:t>
      </w:r>
      <w:r w:rsidRPr="00B841D9">
        <w:t>DUSC.  Estimated use and financial implications are presented in the table below.</w:t>
      </w:r>
    </w:p>
    <w:p w:rsidR="00C25D9C" w:rsidRPr="0075469C" w:rsidRDefault="00C25D9C" w:rsidP="00323E7A">
      <w:pPr>
        <w:widowControl/>
        <w:rPr>
          <w:szCs w:val="22"/>
        </w:rPr>
      </w:pPr>
    </w:p>
    <w:p w:rsidR="00C76117" w:rsidRDefault="00C76117" w:rsidP="00323E7A">
      <w:pPr>
        <w:widowControl/>
        <w:ind w:firstLine="709"/>
        <w:rPr>
          <w:rStyle w:val="CommentReference"/>
        </w:rPr>
      </w:pPr>
      <w:r w:rsidRPr="001222FC">
        <w:rPr>
          <w:rStyle w:val="CommentReference"/>
        </w:rPr>
        <w:t xml:space="preserve">Table </w:t>
      </w:r>
      <w:r w:rsidR="003B088C">
        <w:rPr>
          <w:rStyle w:val="CommentReference"/>
        </w:rPr>
        <w:t>12</w:t>
      </w:r>
      <w:r w:rsidRPr="001222FC">
        <w:rPr>
          <w:rStyle w:val="CommentReference"/>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4"/>
        <w:gridCol w:w="1071"/>
        <w:gridCol w:w="1133"/>
        <w:gridCol w:w="1275"/>
        <w:gridCol w:w="1150"/>
        <w:gridCol w:w="1152"/>
      </w:tblGrid>
      <w:tr w:rsidR="00C76117" w:rsidRPr="004E2ADC" w:rsidTr="0075469C">
        <w:trPr>
          <w:tblHeader/>
        </w:trPr>
        <w:tc>
          <w:tcPr>
            <w:tcW w:w="1536" w:type="pct"/>
            <w:shd w:val="clear" w:color="auto" w:fill="auto"/>
            <w:vAlign w:val="center"/>
          </w:tcPr>
          <w:p w:rsidR="00C76117" w:rsidRPr="004E2ADC" w:rsidRDefault="00C76117" w:rsidP="00323E7A">
            <w:pPr>
              <w:widowControl/>
              <w:tabs>
                <w:tab w:val="left" w:pos="142"/>
              </w:tabs>
              <w:jc w:val="left"/>
              <w:rPr>
                <w:rFonts w:ascii="Arial Narrow" w:hAnsi="Arial Narrow"/>
                <w:b/>
                <w:sz w:val="20"/>
              </w:rPr>
            </w:pPr>
          </w:p>
        </w:tc>
        <w:tc>
          <w:tcPr>
            <w:tcW w:w="642" w:type="pct"/>
            <w:shd w:val="clear" w:color="auto" w:fill="auto"/>
            <w:vAlign w:val="center"/>
          </w:tcPr>
          <w:p w:rsidR="00C76117" w:rsidRPr="004E2ADC" w:rsidRDefault="00C76117" w:rsidP="00323E7A">
            <w:pPr>
              <w:widowControl/>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C76117" w:rsidRPr="004E2ADC" w:rsidRDefault="00C76117" w:rsidP="00323E7A">
            <w:pPr>
              <w:widowControl/>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C76117" w:rsidRPr="004E2ADC" w:rsidRDefault="00C76117" w:rsidP="00323E7A">
            <w:pPr>
              <w:widowControl/>
              <w:jc w:val="center"/>
              <w:rPr>
                <w:rFonts w:ascii="Arial Narrow" w:hAnsi="Arial Narrow"/>
                <w:b/>
                <w:sz w:val="20"/>
              </w:rPr>
            </w:pPr>
            <w:r w:rsidRPr="004E2ADC">
              <w:rPr>
                <w:rFonts w:ascii="Arial Narrow" w:hAnsi="Arial Narrow"/>
                <w:b/>
                <w:sz w:val="20"/>
              </w:rPr>
              <w:t>Year 3</w:t>
            </w:r>
          </w:p>
        </w:tc>
        <w:tc>
          <w:tcPr>
            <w:tcW w:w="689" w:type="pct"/>
            <w:shd w:val="clear" w:color="auto" w:fill="auto"/>
            <w:vAlign w:val="center"/>
          </w:tcPr>
          <w:p w:rsidR="00C76117" w:rsidRPr="004E2ADC" w:rsidRDefault="00C76117" w:rsidP="00323E7A">
            <w:pPr>
              <w:widowControl/>
              <w:jc w:val="center"/>
              <w:rPr>
                <w:rFonts w:ascii="Arial Narrow" w:hAnsi="Arial Narrow"/>
                <w:b/>
                <w:sz w:val="20"/>
              </w:rPr>
            </w:pPr>
            <w:r w:rsidRPr="004E2ADC">
              <w:rPr>
                <w:rFonts w:ascii="Arial Narrow" w:hAnsi="Arial Narrow"/>
                <w:b/>
                <w:sz w:val="20"/>
              </w:rPr>
              <w:t>Year 4</w:t>
            </w:r>
          </w:p>
        </w:tc>
        <w:tc>
          <w:tcPr>
            <w:tcW w:w="690" w:type="pct"/>
            <w:shd w:val="clear" w:color="auto" w:fill="auto"/>
            <w:vAlign w:val="center"/>
          </w:tcPr>
          <w:p w:rsidR="00C76117" w:rsidRPr="004E2ADC" w:rsidRDefault="00C76117" w:rsidP="00323E7A">
            <w:pPr>
              <w:widowControl/>
              <w:jc w:val="center"/>
              <w:rPr>
                <w:rFonts w:ascii="Arial Narrow" w:hAnsi="Arial Narrow"/>
                <w:b/>
                <w:sz w:val="20"/>
              </w:rPr>
            </w:pPr>
            <w:r w:rsidRPr="004E2ADC">
              <w:rPr>
                <w:rFonts w:ascii="Arial Narrow" w:hAnsi="Arial Narrow"/>
                <w:b/>
                <w:sz w:val="20"/>
              </w:rPr>
              <w:t>Year 5</w:t>
            </w:r>
          </w:p>
        </w:tc>
      </w:tr>
      <w:tr w:rsidR="00C76117" w:rsidRPr="004E2ADC" w:rsidTr="0075469C">
        <w:tc>
          <w:tcPr>
            <w:tcW w:w="1536" w:type="pct"/>
            <w:shd w:val="clear" w:color="auto" w:fill="auto"/>
            <w:vAlign w:val="center"/>
          </w:tcPr>
          <w:p w:rsidR="00C76117" w:rsidRPr="004E2ADC" w:rsidRDefault="003C485F" w:rsidP="00323E7A">
            <w:pPr>
              <w:widowControl/>
              <w:tabs>
                <w:tab w:val="left" w:pos="142"/>
              </w:tabs>
              <w:jc w:val="left"/>
              <w:rPr>
                <w:rFonts w:ascii="Arial Narrow" w:hAnsi="Arial Narrow"/>
                <w:sz w:val="20"/>
              </w:rPr>
            </w:pPr>
            <w:r>
              <w:rPr>
                <w:rFonts w:ascii="Arial Narrow" w:hAnsi="Arial Narrow"/>
                <w:sz w:val="20"/>
              </w:rPr>
              <w:t>Nivolu</w:t>
            </w:r>
            <w:r w:rsidR="00C76117">
              <w:rPr>
                <w:rFonts w:ascii="Arial Narrow" w:hAnsi="Arial Narrow"/>
                <w:sz w:val="20"/>
              </w:rPr>
              <w:t>mab treated patients</w:t>
            </w:r>
          </w:p>
        </w:tc>
        <w:tc>
          <w:tcPr>
            <w:tcW w:w="642" w:type="pct"/>
            <w:shd w:val="clear" w:color="auto" w:fill="auto"/>
            <w:vAlign w:val="center"/>
          </w:tcPr>
          <w:p w:rsidR="00C76117" w:rsidRPr="00930DE3" w:rsidRDefault="00930DE3" w:rsidP="00323E7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C76117" w:rsidRPr="00930DE3" w:rsidRDefault="00930DE3" w:rsidP="00323E7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C76117" w:rsidRPr="00930DE3" w:rsidRDefault="00930DE3" w:rsidP="00323E7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89" w:type="pct"/>
            <w:shd w:val="clear" w:color="auto" w:fill="auto"/>
            <w:vAlign w:val="center"/>
          </w:tcPr>
          <w:p w:rsidR="00C76117" w:rsidRPr="00930DE3" w:rsidRDefault="00930DE3" w:rsidP="00323E7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0" w:type="pct"/>
            <w:shd w:val="clear" w:color="auto" w:fill="auto"/>
            <w:vAlign w:val="center"/>
          </w:tcPr>
          <w:p w:rsidR="00C76117" w:rsidRPr="00930DE3" w:rsidRDefault="00930DE3" w:rsidP="00323E7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C76117" w:rsidRPr="00566ADE" w:rsidTr="0075469C">
        <w:tc>
          <w:tcPr>
            <w:tcW w:w="1536" w:type="pct"/>
            <w:shd w:val="clear" w:color="auto" w:fill="auto"/>
            <w:vAlign w:val="center"/>
          </w:tcPr>
          <w:p w:rsidR="00C76117" w:rsidRPr="00566ADE" w:rsidRDefault="00C76117" w:rsidP="00323E7A">
            <w:pPr>
              <w:widowControl/>
              <w:tabs>
                <w:tab w:val="left" w:pos="142"/>
              </w:tabs>
              <w:jc w:val="left"/>
              <w:rPr>
                <w:rFonts w:ascii="Arial Narrow" w:hAnsi="Arial Narrow"/>
                <w:sz w:val="20"/>
              </w:rPr>
            </w:pPr>
            <w:r w:rsidRPr="00566ADE">
              <w:rPr>
                <w:rFonts w:ascii="Arial Narrow" w:hAnsi="Arial Narrow"/>
                <w:sz w:val="20"/>
              </w:rPr>
              <w:t>Nivolumab cost</w:t>
            </w:r>
          </w:p>
        </w:tc>
        <w:tc>
          <w:tcPr>
            <w:tcW w:w="642" w:type="pct"/>
            <w:shd w:val="clear" w:color="auto" w:fill="auto"/>
            <w:vAlign w:val="center"/>
          </w:tcPr>
          <w:p w:rsidR="00C76117" w:rsidRPr="00566ADE" w:rsidRDefault="00C76117" w:rsidP="00323E7A">
            <w:pPr>
              <w:widowControl/>
              <w:jc w:val="center"/>
              <w:rPr>
                <w:rFonts w:ascii="Arial Narrow" w:hAnsi="Arial Narrow"/>
                <w:bCs/>
                <w:color w:val="000000"/>
                <w:sz w:val="20"/>
              </w:rPr>
            </w:pPr>
            <w:r w:rsidRPr="00566ADE">
              <w:rPr>
                <w:rFonts w:ascii="Arial Narrow" w:hAnsi="Arial Narrow"/>
                <w:sz w:val="20"/>
              </w:rPr>
              <w:t>$</w:t>
            </w:r>
            <w:r w:rsidR="00930DE3">
              <w:rPr>
                <w:rFonts w:ascii="Arial Narrow" w:hAnsi="Arial Narrow"/>
                <w:noProof/>
                <w:color w:val="000000"/>
                <w:sz w:val="20"/>
                <w:highlight w:val="black"/>
              </w:rPr>
              <w:t>''''''''''''''''''''''''''''''''</w:t>
            </w:r>
          </w:p>
        </w:tc>
        <w:tc>
          <w:tcPr>
            <w:tcW w:w="679" w:type="pct"/>
            <w:shd w:val="clear" w:color="auto" w:fill="auto"/>
            <w:vAlign w:val="center"/>
          </w:tcPr>
          <w:p w:rsidR="00C76117" w:rsidRPr="00566ADE" w:rsidRDefault="00C76117" w:rsidP="00323E7A">
            <w:pPr>
              <w:widowControl/>
              <w:jc w:val="center"/>
              <w:rPr>
                <w:rFonts w:ascii="Arial Narrow" w:hAnsi="Arial Narrow"/>
                <w:bCs/>
                <w:color w:val="000000"/>
                <w:sz w:val="20"/>
              </w:rPr>
            </w:pPr>
            <w:r w:rsidRPr="00566ADE">
              <w:rPr>
                <w:rFonts w:ascii="Arial Narrow" w:hAnsi="Arial Narrow"/>
                <w:sz w:val="20"/>
              </w:rPr>
              <w:t>$</w:t>
            </w:r>
            <w:r w:rsidR="00930DE3">
              <w:rPr>
                <w:rFonts w:ascii="Arial Narrow" w:hAnsi="Arial Narrow"/>
                <w:noProof/>
                <w:color w:val="000000"/>
                <w:sz w:val="20"/>
                <w:highlight w:val="black"/>
              </w:rPr>
              <w:t>''''''''''''''''''''''''''''''''</w:t>
            </w:r>
          </w:p>
        </w:tc>
        <w:tc>
          <w:tcPr>
            <w:tcW w:w="764" w:type="pct"/>
            <w:shd w:val="clear" w:color="auto" w:fill="auto"/>
            <w:vAlign w:val="center"/>
          </w:tcPr>
          <w:p w:rsidR="00C76117" w:rsidRPr="00566ADE" w:rsidRDefault="00C76117" w:rsidP="00323E7A">
            <w:pPr>
              <w:widowControl/>
              <w:jc w:val="center"/>
              <w:rPr>
                <w:rFonts w:ascii="Arial Narrow" w:hAnsi="Arial Narrow"/>
                <w:bCs/>
                <w:color w:val="000000"/>
                <w:sz w:val="20"/>
              </w:rPr>
            </w:pPr>
            <w:r w:rsidRPr="00566ADE">
              <w:rPr>
                <w:rFonts w:ascii="Arial Narrow" w:hAnsi="Arial Narrow"/>
                <w:sz w:val="20"/>
              </w:rPr>
              <w:t>$</w:t>
            </w:r>
            <w:r w:rsidR="00930DE3">
              <w:rPr>
                <w:rFonts w:ascii="Arial Narrow" w:hAnsi="Arial Narrow"/>
                <w:noProof/>
                <w:color w:val="000000"/>
                <w:sz w:val="20"/>
                <w:highlight w:val="black"/>
              </w:rPr>
              <w:t>'''''''''''''''''''''''''''''</w:t>
            </w:r>
          </w:p>
        </w:tc>
        <w:tc>
          <w:tcPr>
            <w:tcW w:w="689" w:type="pct"/>
            <w:shd w:val="clear" w:color="auto" w:fill="auto"/>
            <w:vAlign w:val="center"/>
          </w:tcPr>
          <w:p w:rsidR="00C76117" w:rsidRPr="00566ADE" w:rsidRDefault="00C76117" w:rsidP="00323E7A">
            <w:pPr>
              <w:widowControl/>
              <w:jc w:val="center"/>
              <w:rPr>
                <w:rFonts w:ascii="Arial Narrow" w:hAnsi="Arial Narrow"/>
                <w:bCs/>
                <w:color w:val="000000"/>
                <w:sz w:val="20"/>
              </w:rPr>
            </w:pPr>
            <w:r w:rsidRPr="00566ADE">
              <w:rPr>
                <w:rFonts w:ascii="Arial Narrow" w:hAnsi="Arial Narrow"/>
                <w:sz w:val="20"/>
              </w:rPr>
              <w:t>$</w:t>
            </w:r>
            <w:r w:rsidR="00930DE3">
              <w:rPr>
                <w:rFonts w:ascii="Arial Narrow" w:hAnsi="Arial Narrow"/>
                <w:noProof/>
                <w:color w:val="000000"/>
                <w:sz w:val="20"/>
                <w:highlight w:val="black"/>
              </w:rPr>
              <w:t>''''''''''''''''''''''''''''''''</w:t>
            </w:r>
          </w:p>
        </w:tc>
        <w:tc>
          <w:tcPr>
            <w:tcW w:w="690" w:type="pct"/>
            <w:shd w:val="clear" w:color="auto" w:fill="auto"/>
            <w:vAlign w:val="center"/>
          </w:tcPr>
          <w:p w:rsidR="00C76117" w:rsidRPr="00566ADE" w:rsidRDefault="00C76117" w:rsidP="00323E7A">
            <w:pPr>
              <w:widowControl/>
              <w:jc w:val="center"/>
              <w:rPr>
                <w:rFonts w:ascii="Arial Narrow" w:hAnsi="Arial Narrow"/>
                <w:bCs/>
                <w:color w:val="000000"/>
                <w:sz w:val="20"/>
              </w:rPr>
            </w:pPr>
            <w:r w:rsidRPr="00566ADE">
              <w:rPr>
                <w:rFonts w:ascii="Arial Narrow" w:hAnsi="Arial Narrow"/>
                <w:sz w:val="20"/>
              </w:rPr>
              <w:t>$</w:t>
            </w:r>
            <w:r w:rsidR="00930DE3">
              <w:rPr>
                <w:rFonts w:ascii="Arial Narrow" w:hAnsi="Arial Narrow"/>
                <w:noProof/>
                <w:color w:val="000000"/>
                <w:sz w:val="20"/>
                <w:highlight w:val="black"/>
              </w:rPr>
              <w:t>'''''''''''''''''''''''''''</w:t>
            </w:r>
          </w:p>
        </w:tc>
      </w:tr>
      <w:tr w:rsidR="00C76117" w:rsidRPr="004E2ADC" w:rsidTr="0075469C">
        <w:tc>
          <w:tcPr>
            <w:tcW w:w="1536" w:type="pct"/>
            <w:shd w:val="clear" w:color="auto" w:fill="auto"/>
            <w:vAlign w:val="center"/>
          </w:tcPr>
          <w:p w:rsidR="00C76117" w:rsidRPr="004E2ADC" w:rsidRDefault="00C76117" w:rsidP="00323E7A">
            <w:pPr>
              <w:widowControl/>
              <w:tabs>
                <w:tab w:val="left" w:pos="142"/>
              </w:tabs>
              <w:jc w:val="left"/>
              <w:rPr>
                <w:rFonts w:ascii="Arial Narrow" w:hAnsi="Arial Narrow"/>
                <w:sz w:val="20"/>
              </w:rPr>
            </w:pPr>
            <w:r>
              <w:rPr>
                <w:rFonts w:ascii="Arial Narrow" w:hAnsi="Arial Narrow"/>
                <w:sz w:val="20"/>
              </w:rPr>
              <w:t>Substituted therapies</w:t>
            </w:r>
            <w:r w:rsidR="0075469C" w:rsidRPr="0075469C">
              <w:rPr>
                <w:rFonts w:ascii="Arial Narrow" w:hAnsi="Arial Narrow"/>
                <w:sz w:val="20"/>
                <w:vertAlign w:val="superscript"/>
              </w:rPr>
              <w:t>a</w:t>
            </w:r>
          </w:p>
        </w:tc>
        <w:tc>
          <w:tcPr>
            <w:tcW w:w="642" w:type="pct"/>
            <w:shd w:val="clear" w:color="auto" w:fill="auto"/>
            <w:vAlign w:val="center"/>
          </w:tcPr>
          <w:p w:rsidR="00C76117" w:rsidRPr="004E2ADC" w:rsidRDefault="00C76117" w:rsidP="00323E7A">
            <w:pPr>
              <w:widowControl/>
              <w:jc w:val="center"/>
              <w:rPr>
                <w:rFonts w:ascii="Arial Narrow" w:hAnsi="Arial Narrow"/>
                <w:bCs/>
                <w:color w:val="000000"/>
                <w:sz w:val="20"/>
              </w:rPr>
            </w:pPr>
            <w:r w:rsidRPr="007F560F">
              <w:rPr>
                <w:rFonts w:ascii="Arial Narrow" w:hAnsi="Arial Narrow"/>
                <w:sz w:val="20"/>
              </w:rPr>
              <w:t>-$</w:t>
            </w:r>
            <w:r w:rsidR="00930DE3">
              <w:rPr>
                <w:rFonts w:ascii="Arial Narrow" w:hAnsi="Arial Narrow"/>
                <w:noProof/>
                <w:color w:val="000000"/>
                <w:sz w:val="20"/>
                <w:highlight w:val="black"/>
              </w:rPr>
              <w:t>'''''''''''''''''''''''''''</w:t>
            </w:r>
          </w:p>
        </w:tc>
        <w:tc>
          <w:tcPr>
            <w:tcW w:w="679" w:type="pct"/>
            <w:shd w:val="clear" w:color="auto" w:fill="auto"/>
            <w:vAlign w:val="center"/>
          </w:tcPr>
          <w:p w:rsidR="00C76117" w:rsidRPr="004E2ADC" w:rsidRDefault="00C76117" w:rsidP="00323E7A">
            <w:pPr>
              <w:widowControl/>
              <w:jc w:val="center"/>
              <w:rPr>
                <w:rFonts w:ascii="Arial Narrow" w:hAnsi="Arial Narrow"/>
                <w:bCs/>
                <w:color w:val="000000"/>
                <w:sz w:val="20"/>
              </w:rPr>
            </w:pPr>
            <w:r w:rsidRPr="007F560F">
              <w:rPr>
                <w:rFonts w:ascii="Arial Narrow" w:hAnsi="Arial Narrow"/>
                <w:sz w:val="20"/>
              </w:rPr>
              <w:t>-$</w:t>
            </w:r>
            <w:r w:rsidR="00930DE3">
              <w:rPr>
                <w:rFonts w:ascii="Arial Narrow" w:hAnsi="Arial Narrow"/>
                <w:noProof/>
                <w:color w:val="000000"/>
                <w:sz w:val="20"/>
                <w:highlight w:val="black"/>
              </w:rPr>
              <w:t>''''''''''''''''''''''''''''</w:t>
            </w:r>
          </w:p>
        </w:tc>
        <w:tc>
          <w:tcPr>
            <w:tcW w:w="764" w:type="pct"/>
            <w:shd w:val="clear" w:color="auto" w:fill="auto"/>
            <w:vAlign w:val="center"/>
          </w:tcPr>
          <w:p w:rsidR="00C76117" w:rsidRPr="004E2ADC" w:rsidRDefault="00C76117" w:rsidP="00323E7A">
            <w:pPr>
              <w:widowControl/>
              <w:jc w:val="center"/>
              <w:rPr>
                <w:rFonts w:ascii="Arial Narrow" w:hAnsi="Arial Narrow"/>
                <w:bCs/>
                <w:color w:val="000000"/>
                <w:sz w:val="20"/>
              </w:rPr>
            </w:pPr>
            <w:r w:rsidRPr="007F560F">
              <w:rPr>
                <w:rFonts w:ascii="Arial Narrow" w:hAnsi="Arial Narrow"/>
                <w:sz w:val="20"/>
              </w:rPr>
              <w:t>-$</w:t>
            </w:r>
            <w:r w:rsidR="00930DE3">
              <w:rPr>
                <w:rFonts w:ascii="Arial Narrow" w:hAnsi="Arial Narrow"/>
                <w:noProof/>
                <w:color w:val="000000"/>
                <w:sz w:val="20"/>
                <w:highlight w:val="black"/>
              </w:rPr>
              <w:t>''''''''''''''''''''''''</w:t>
            </w:r>
          </w:p>
        </w:tc>
        <w:tc>
          <w:tcPr>
            <w:tcW w:w="689" w:type="pct"/>
            <w:shd w:val="clear" w:color="auto" w:fill="auto"/>
            <w:vAlign w:val="center"/>
          </w:tcPr>
          <w:p w:rsidR="00C76117" w:rsidRPr="004E2ADC" w:rsidRDefault="00C76117" w:rsidP="00323E7A">
            <w:pPr>
              <w:widowControl/>
              <w:jc w:val="center"/>
              <w:rPr>
                <w:rFonts w:ascii="Arial Narrow" w:hAnsi="Arial Narrow"/>
                <w:bCs/>
                <w:color w:val="000000"/>
                <w:sz w:val="20"/>
              </w:rPr>
            </w:pPr>
            <w:r w:rsidRPr="007F560F">
              <w:rPr>
                <w:rFonts w:ascii="Arial Narrow" w:hAnsi="Arial Narrow"/>
                <w:sz w:val="20"/>
              </w:rPr>
              <w:t>-$</w:t>
            </w:r>
            <w:r w:rsidR="00930DE3">
              <w:rPr>
                <w:rFonts w:ascii="Arial Narrow" w:hAnsi="Arial Narrow"/>
                <w:noProof/>
                <w:color w:val="000000"/>
                <w:sz w:val="20"/>
                <w:highlight w:val="black"/>
              </w:rPr>
              <w:t>''''''''''''''''''''''''</w:t>
            </w:r>
          </w:p>
        </w:tc>
        <w:tc>
          <w:tcPr>
            <w:tcW w:w="690" w:type="pct"/>
            <w:shd w:val="clear" w:color="auto" w:fill="auto"/>
            <w:vAlign w:val="center"/>
          </w:tcPr>
          <w:p w:rsidR="00C76117" w:rsidRPr="004E2ADC" w:rsidRDefault="00C76117" w:rsidP="00323E7A">
            <w:pPr>
              <w:widowControl/>
              <w:jc w:val="center"/>
              <w:rPr>
                <w:rFonts w:ascii="Arial Narrow" w:hAnsi="Arial Narrow"/>
                <w:bCs/>
                <w:color w:val="000000"/>
                <w:sz w:val="20"/>
              </w:rPr>
            </w:pPr>
            <w:r w:rsidRPr="007F560F">
              <w:rPr>
                <w:rFonts w:ascii="Arial Narrow" w:hAnsi="Arial Narrow"/>
                <w:sz w:val="20"/>
              </w:rPr>
              <w:t>-$</w:t>
            </w:r>
            <w:r w:rsidR="00930DE3">
              <w:rPr>
                <w:rFonts w:ascii="Arial Narrow" w:hAnsi="Arial Narrow"/>
                <w:noProof/>
                <w:color w:val="000000"/>
                <w:sz w:val="20"/>
                <w:highlight w:val="black"/>
              </w:rPr>
              <w:t>'''''''''''''''''''''''</w:t>
            </w:r>
          </w:p>
        </w:tc>
      </w:tr>
      <w:tr w:rsidR="00C76117" w:rsidRPr="00E873FF" w:rsidTr="0075469C">
        <w:tc>
          <w:tcPr>
            <w:tcW w:w="1536" w:type="pct"/>
            <w:shd w:val="clear" w:color="auto" w:fill="auto"/>
            <w:vAlign w:val="center"/>
          </w:tcPr>
          <w:p w:rsidR="00C76117" w:rsidRPr="00E873FF" w:rsidRDefault="00C76117" w:rsidP="00323E7A">
            <w:pPr>
              <w:widowControl/>
              <w:tabs>
                <w:tab w:val="left" w:pos="142"/>
              </w:tabs>
              <w:jc w:val="left"/>
              <w:rPr>
                <w:rFonts w:ascii="Arial Narrow" w:hAnsi="Arial Narrow"/>
                <w:sz w:val="20"/>
              </w:rPr>
            </w:pPr>
            <w:r w:rsidRPr="00E873FF">
              <w:rPr>
                <w:rFonts w:ascii="Arial Narrow" w:hAnsi="Arial Narrow" w:cs="Times New Roman"/>
                <w:sz w:val="20"/>
                <w:lang w:eastAsia="en-AU"/>
              </w:rPr>
              <w:t>Net cost to the PBS/RPBS</w:t>
            </w:r>
          </w:p>
        </w:tc>
        <w:tc>
          <w:tcPr>
            <w:tcW w:w="642" w:type="pct"/>
            <w:shd w:val="clear" w:color="auto" w:fill="auto"/>
            <w:vAlign w:val="center"/>
          </w:tcPr>
          <w:p w:rsidR="00C76117" w:rsidRPr="00E873FF" w:rsidRDefault="00C76117" w:rsidP="00323E7A">
            <w:pPr>
              <w:widowControl/>
              <w:jc w:val="center"/>
              <w:rPr>
                <w:rFonts w:ascii="Arial Narrow" w:hAnsi="Arial Narrow"/>
                <w:bCs/>
                <w:color w:val="000000"/>
                <w:sz w:val="20"/>
              </w:rPr>
            </w:pPr>
            <w:r w:rsidRPr="00E873FF">
              <w:rPr>
                <w:rFonts w:ascii="Arial Narrow" w:hAnsi="Arial Narrow"/>
                <w:sz w:val="20"/>
              </w:rPr>
              <w:t>$</w:t>
            </w:r>
            <w:r w:rsidR="00930DE3">
              <w:rPr>
                <w:rFonts w:ascii="Arial Narrow" w:hAnsi="Arial Narrow"/>
                <w:noProof/>
                <w:color w:val="000000"/>
                <w:sz w:val="20"/>
                <w:highlight w:val="black"/>
              </w:rPr>
              <w:t>''''''''''''''''''''''''''''</w:t>
            </w:r>
          </w:p>
        </w:tc>
        <w:tc>
          <w:tcPr>
            <w:tcW w:w="679" w:type="pct"/>
            <w:shd w:val="clear" w:color="auto" w:fill="auto"/>
            <w:vAlign w:val="center"/>
          </w:tcPr>
          <w:p w:rsidR="00C76117" w:rsidRPr="00E873FF" w:rsidRDefault="00C76117" w:rsidP="00323E7A">
            <w:pPr>
              <w:widowControl/>
              <w:jc w:val="center"/>
              <w:rPr>
                <w:rFonts w:ascii="Arial Narrow" w:hAnsi="Arial Narrow"/>
                <w:bCs/>
                <w:color w:val="000000"/>
                <w:sz w:val="20"/>
              </w:rPr>
            </w:pPr>
            <w:r w:rsidRPr="00E873FF">
              <w:rPr>
                <w:rFonts w:ascii="Arial Narrow" w:hAnsi="Arial Narrow"/>
                <w:sz w:val="20"/>
              </w:rPr>
              <w:t>$</w:t>
            </w:r>
            <w:r w:rsidR="00930DE3">
              <w:rPr>
                <w:rFonts w:ascii="Arial Narrow" w:hAnsi="Arial Narrow"/>
                <w:noProof/>
                <w:color w:val="000000"/>
                <w:sz w:val="20"/>
                <w:highlight w:val="black"/>
              </w:rPr>
              <w:t>'''''''''''''''''''''''''''''</w:t>
            </w:r>
          </w:p>
        </w:tc>
        <w:tc>
          <w:tcPr>
            <w:tcW w:w="764" w:type="pct"/>
            <w:shd w:val="clear" w:color="auto" w:fill="auto"/>
            <w:vAlign w:val="center"/>
          </w:tcPr>
          <w:p w:rsidR="00C76117" w:rsidRPr="00E873FF" w:rsidRDefault="00C76117" w:rsidP="00323E7A">
            <w:pPr>
              <w:widowControl/>
              <w:jc w:val="center"/>
              <w:rPr>
                <w:rFonts w:ascii="Arial Narrow" w:hAnsi="Arial Narrow"/>
                <w:bCs/>
                <w:color w:val="000000"/>
                <w:sz w:val="20"/>
              </w:rPr>
            </w:pPr>
            <w:r w:rsidRPr="00E873FF">
              <w:rPr>
                <w:rFonts w:ascii="Arial Narrow" w:hAnsi="Arial Narrow"/>
                <w:sz w:val="20"/>
              </w:rPr>
              <w:t>$</w:t>
            </w:r>
            <w:r w:rsidR="00930DE3">
              <w:rPr>
                <w:rFonts w:ascii="Arial Narrow" w:hAnsi="Arial Narrow"/>
                <w:noProof/>
                <w:color w:val="000000"/>
                <w:sz w:val="20"/>
                <w:highlight w:val="black"/>
              </w:rPr>
              <w:t>''''''''''''''''''''''''''''''''</w:t>
            </w:r>
          </w:p>
        </w:tc>
        <w:tc>
          <w:tcPr>
            <w:tcW w:w="689" w:type="pct"/>
            <w:shd w:val="clear" w:color="auto" w:fill="auto"/>
            <w:vAlign w:val="center"/>
          </w:tcPr>
          <w:p w:rsidR="00C76117" w:rsidRPr="00E873FF" w:rsidRDefault="00C76117" w:rsidP="00323E7A">
            <w:pPr>
              <w:widowControl/>
              <w:jc w:val="center"/>
              <w:rPr>
                <w:rFonts w:ascii="Arial Narrow" w:hAnsi="Arial Narrow"/>
                <w:bCs/>
                <w:color w:val="000000"/>
                <w:sz w:val="20"/>
              </w:rPr>
            </w:pPr>
            <w:r w:rsidRPr="00E873FF">
              <w:rPr>
                <w:rFonts w:ascii="Arial Narrow" w:hAnsi="Arial Narrow"/>
                <w:sz w:val="20"/>
              </w:rPr>
              <w:t>$</w:t>
            </w:r>
            <w:r w:rsidR="00930DE3">
              <w:rPr>
                <w:rFonts w:ascii="Arial Narrow" w:hAnsi="Arial Narrow"/>
                <w:noProof/>
                <w:color w:val="000000"/>
                <w:sz w:val="20"/>
                <w:highlight w:val="black"/>
              </w:rPr>
              <w:t>''''''''''''''''''''''''''''</w:t>
            </w:r>
          </w:p>
        </w:tc>
        <w:tc>
          <w:tcPr>
            <w:tcW w:w="690" w:type="pct"/>
            <w:shd w:val="clear" w:color="auto" w:fill="auto"/>
            <w:vAlign w:val="center"/>
          </w:tcPr>
          <w:p w:rsidR="00C76117" w:rsidRPr="00E873FF" w:rsidRDefault="00C76117" w:rsidP="00323E7A">
            <w:pPr>
              <w:widowControl/>
              <w:jc w:val="center"/>
              <w:rPr>
                <w:rFonts w:ascii="Arial Narrow" w:hAnsi="Arial Narrow"/>
                <w:bCs/>
                <w:color w:val="000000"/>
                <w:sz w:val="20"/>
              </w:rPr>
            </w:pPr>
            <w:r w:rsidRPr="00E873FF">
              <w:rPr>
                <w:rFonts w:ascii="Arial Narrow" w:hAnsi="Arial Narrow"/>
                <w:sz w:val="20"/>
              </w:rPr>
              <w:t>$</w:t>
            </w:r>
            <w:r w:rsidR="00930DE3">
              <w:rPr>
                <w:rFonts w:ascii="Arial Narrow" w:hAnsi="Arial Narrow"/>
                <w:noProof/>
                <w:color w:val="000000"/>
                <w:sz w:val="20"/>
                <w:highlight w:val="black"/>
              </w:rPr>
              <w:t>''''''''''''''''''''''''''''</w:t>
            </w:r>
          </w:p>
        </w:tc>
      </w:tr>
      <w:tr w:rsidR="00C76117" w:rsidRPr="00E873FF" w:rsidTr="0075469C">
        <w:tc>
          <w:tcPr>
            <w:tcW w:w="1536" w:type="pct"/>
            <w:shd w:val="clear" w:color="auto" w:fill="auto"/>
            <w:vAlign w:val="center"/>
          </w:tcPr>
          <w:p w:rsidR="00C76117" w:rsidRPr="00E873FF" w:rsidRDefault="00C76117" w:rsidP="00323E7A">
            <w:pPr>
              <w:widowControl/>
              <w:tabs>
                <w:tab w:val="left" w:pos="142"/>
              </w:tabs>
              <w:jc w:val="left"/>
              <w:rPr>
                <w:rFonts w:ascii="Arial Narrow" w:hAnsi="Arial Narrow"/>
                <w:sz w:val="20"/>
              </w:rPr>
            </w:pPr>
            <w:r w:rsidRPr="00E873FF">
              <w:rPr>
                <w:rFonts w:ascii="Arial Narrow" w:hAnsi="Arial Narrow" w:cs="Times New Roman"/>
                <w:sz w:val="20"/>
                <w:lang w:eastAsia="en-AU"/>
              </w:rPr>
              <w:t>Net administration costs</w:t>
            </w:r>
          </w:p>
        </w:tc>
        <w:tc>
          <w:tcPr>
            <w:tcW w:w="642" w:type="pct"/>
            <w:shd w:val="clear" w:color="auto" w:fill="auto"/>
            <w:vAlign w:val="bottom"/>
          </w:tcPr>
          <w:p w:rsidR="00C76117" w:rsidRPr="00E873FF" w:rsidRDefault="00C76117" w:rsidP="00323E7A">
            <w:pPr>
              <w:widowControl/>
              <w:jc w:val="center"/>
              <w:rPr>
                <w:rFonts w:ascii="Arial Narrow" w:hAnsi="Arial Narrow"/>
                <w:bCs/>
                <w:color w:val="000000"/>
                <w:sz w:val="20"/>
              </w:rPr>
            </w:pPr>
            <w:r w:rsidRPr="00E873FF">
              <w:rPr>
                <w:rFonts w:ascii="Arial Narrow" w:hAnsi="Arial Narrow"/>
                <w:color w:val="000000"/>
                <w:sz w:val="20"/>
              </w:rPr>
              <w:t>$</w:t>
            </w:r>
            <w:r w:rsidR="00930DE3">
              <w:rPr>
                <w:rFonts w:ascii="Arial Narrow" w:hAnsi="Arial Narrow"/>
                <w:noProof/>
                <w:color w:val="000000"/>
                <w:sz w:val="20"/>
                <w:highlight w:val="black"/>
              </w:rPr>
              <w:t>'''''''''''''''''''''''''</w:t>
            </w:r>
          </w:p>
        </w:tc>
        <w:tc>
          <w:tcPr>
            <w:tcW w:w="679" w:type="pct"/>
            <w:shd w:val="clear" w:color="auto" w:fill="auto"/>
            <w:vAlign w:val="bottom"/>
          </w:tcPr>
          <w:p w:rsidR="00C76117" w:rsidRPr="00E873FF" w:rsidRDefault="00C76117" w:rsidP="00323E7A">
            <w:pPr>
              <w:widowControl/>
              <w:jc w:val="center"/>
              <w:rPr>
                <w:rFonts w:ascii="Arial Narrow" w:hAnsi="Arial Narrow"/>
                <w:bCs/>
                <w:color w:val="000000"/>
                <w:sz w:val="20"/>
              </w:rPr>
            </w:pPr>
            <w:r w:rsidRPr="00E873FF">
              <w:rPr>
                <w:rFonts w:ascii="Arial Narrow" w:hAnsi="Arial Narrow"/>
                <w:color w:val="000000"/>
                <w:sz w:val="20"/>
              </w:rPr>
              <w:t>$</w:t>
            </w:r>
            <w:r w:rsidR="00930DE3">
              <w:rPr>
                <w:rFonts w:ascii="Arial Narrow" w:hAnsi="Arial Narrow"/>
                <w:noProof/>
                <w:color w:val="000000"/>
                <w:sz w:val="20"/>
                <w:highlight w:val="black"/>
              </w:rPr>
              <w:t>'''''''''''''''''''''''''''''</w:t>
            </w:r>
          </w:p>
        </w:tc>
        <w:tc>
          <w:tcPr>
            <w:tcW w:w="764" w:type="pct"/>
            <w:shd w:val="clear" w:color="auto" w:fill="auto"/>
            <w:vAlign w:val="bottom"/>
          </w:tcPr>
          <w:p w:rsidR="00C76117" w:rsidRPr="00E873FF" w:rsidRDefault="00C76117" w:rsidP="00323E7A">
            <w:pPr>
              <w:widowControl/>
              <w:jc w:val="center"/>
              <w:rPr>
                <w:rFonts w:ascii="Arial Narrow" w:hAnsi="Arial Narrow"/>
                <w:bCs/>
                <w:color w:val="000000"/>
                <w:sz w:val="20"/>
              </w:rPr>
            </w:pPr>
            <w:r w:rsidRPr="00E873FF">
              <w:rPr>
                <w:rFonts w:ascii="Arial Narrow" w:hAnsi="Arial Narrow"/>
                <w:color w:val="000000"/>
                <w:sz w:val="20"/>
              </w:rPr>
              <w:t>$</w:t>
            </w:r>
            <w:r w:rsidR="00930DE3">
              <w:rPr>
                <w:rFonts w:ascii="Arial Narrow" w:hAnsi="Arial Narrow"/>
                <w:noProof/>
                <w:color w:val="000000"/>
                <w:sz w:val="20"/>
                <w:highlight w:val="black"/>
              </w:rPr>
              <w:t>''''''''''''''''''''''''''''</w:t>
            </w:r>
          </w:p>
        </w:tc>
        <w:tc>
          <w:tcPr>
            <w:tcW w:w="689" w:type="pct"/>
            <w:shd w:val="clear" w:color="auto" w:fill="auto"/>
            <w:vAlign w:val="bottom"/>
          </w:tcPr>
          <w:p w:rsidR="00C76117" w:rsidRPr="00E873FF" w:rsidRDefault="00C76117" w:rsidP="00323E7A">
            <w:pPr>
              <w:widowControl/>
              <w:jc w:val="center"/>
              <w:rPr>
                <w:rFonts w:ascii="Arial Narrow" w:hAnsi="Arial Narrow"/>
                <w:bCs/>
                <w:color w:val="000000"/>
                <w:sz w:val="20"/>
              </w:rPr>
            </w:pPr>
            <w:r w:rsidRPr="00E873FF">
              <w:rPr>
                <w:rFonts w:ascii="Arial Narrow" w:hAnsi="Arial Narrow"/>
                <w:color w:val="000000"/>
                <w:sz w:val="20"/>
              </w:rPr>
              <w:t>$</w:t>
            </w:r>
            <w:r w:rsidR="00930DE3">
              <w:rPr>
                <w:rFonts w:ascii="Arial Narrow" w:hAnsi="Arial Narrow"/>
                <w:noProof/>
                <w:color w:val="000000"/>
                <w:sz w:val="20"/>
                <w:highlight w:val="black"/>
              </w:rPr>
              <w:t>''''''''''''''''''''''''''''</w:t>
            </w:r>
          </w:p>
        </w:tc>
        <w:tc>
          <w:tcPr>
            <w:tcW w:w="690" w:type="pct"/>
            <w:shd w:val="clear" w:color="auto" w:fill="auto"/>
            <w:vAlign w:val="bottom"/>
          </w:tcPr>
          <w:p w:rsidR="00C76117" w:rsidRPr="00E873FF" w:rsidRDefault="00C76117" w:rsidP="00323E7A">
            <w:pPr>
              <w:widowControl/>
              <w:jc w:val="center"/>
              <w:rPr>
                <w:rFonts w:ascii="Arial Narrow" w:hAnsi="Arial Narrow"/>
                <w:bCs/>
                <w:color w:val="000000"/>
                <w:sz w:val="20"/>
              </w:rPr>
            </w:pPr>
            <w:r w:rsidRPr="00E873FF">
              <w:rPr>
                <w:rFonts w:ascii="Arial Narrow" w:hAnsi="Arial Narrow"/>
                <w:color w:val="000000"/>
                <w:sz w:val="20"/>
              </w:rPr>
              <w:t>$</w:t>
            </w:r>
            <w:r w:rsidR="00930DE3">
              <w:rPr>
                <w:rFonts w:ascii="Arial Narrow" w:hAnsi="Arial Narrow"/>
                <w:noProof/>
                <w:color w:val="000000"/>
                <w:sz w:val="20"/>
                <w:highlight w:val="black"/>
              </w:rPr>
              <w:t>''''''''''''''''''''''''''''</w:t>
            </w:r>
          </w:p>
        </w:tc>
      </w:tr>
      <w:tr w:rsidR="00C76117" w:rsidRPr="004E2ADC" w:rsidTr="0075469C">
        <w:tc>
          <w:tcPr>
            <w:tcW w:w="1536" w:type="pct"/>
            <w:shd w:val="clear" w:color="auto" w:fill="auto"/>
            <w:vAlign w:val="center"/>
          </w:tcPr>
          <w:p w:rsidR="00C76117" w:rsidRPr="00145540" w:rsidRDefault="00C76117" w:rsidP="00323E7A">
            <w:pPr>
              <w:widowControl/>
              <w:tabs>
                <w:tab w:val="left" w:pos="142"/>
              </w:tabs>
              <w:jc w:val="left"/>
              <w:rPr>
                <w:rFonts w:ascii="Arial Narrow" w:hAnsi="Arial Narrow"/>
                <w:b/>
                <w:sz w:val="20"/>
              </w:rPr>
            </w:pPr>
            <w:r>
              <w:rPr>
                <w:rFonts w:ascii="Arial Narrow" w:hAnsi="Arial Narrow" w:cs="Times New Roman"/>
                <w:b/>
                <w:sz w:val="20"/>
                <w:lang w:eastAsia="en-AU"/>
              </w:rPr>
              <w:t>N</w:t>
            </w:r>
            <w:r w:rsidRPr="007F560F">
              <w:rPr>
                <w:rFonts w:ascii="Arial Narrow" w:hAnsi="Arial Narrow" w:cs="Times New Roman"/>
                <w:b/>
                <w:sz w:val="20"/>
                <w:lang w:eastAsia="en-AU"/>
              </w:rPr>
              <w:t>et cost to health budget</w:t>
            </w:r>
          </w:p>
        </w:tc>
        <w:tc>
          <w:tcPr>
            <w:tcW w:w="642" w:type="pct"/>
            <w:shd w:val="clear" w:color="auto" w:fill="auto"/>
            <w:vAlign w:val="center"/>
          </w:tcPr>
          <w:p w:rsidR="00C76117" w:rsidRPr="004E2ADC" w:rsidRDefault="00C76117" w:rsidP="00323E7A">
            <w:pPr>
              <w:widowControl/>
              <w:jc w:val="center"/>
              <w:rPr>
                <w:rFonts w:ascii="Arial Narrow" w:hAnsi="Arial Narrow"/>
                <w:color w:val="000000"/>
                <w:sz w:val="20"/>
              </w:rPr>
            </w:pPr>
            <w:r w:rsidRPr="007F560F">
              <w:rPr>
                <w:rFonts w:ascii="Arial Narrow" w:hAnsi="Arial Narrow"/>
                <w:b/>
                <w:sz w:val="20"/>
              </w:rPr>
              <w:t>$</w:t>
            </w:r>
            <w:r w:rsidR="00930DE3">
              <w:rPr>
                <w:rFonts w:ascii="Arial Narrow" w:hAnsi="Arial Narrow"/>
                <w:b/>
                <w:noProof/>
                <w:color w:val="000000"/>
                <w:sz w:val="20"/>
                <w:highlight w:val="black"/>
              </w:rPr>
              <w:t>''''''''''''''''''''''''''</w:t>
            </w:r>
          </w:p>
        </w:tc>
        <w:tc>
          <w:tcPr>
            <w:tcW w:w="679" w:type="pct"/>
            <w:shd w:val="clear" w:color="auto" w:fill="auto"/>
            <w:vAlign w:val="center"/>
          </w:tcPr>
          <w:p w:rsidR="00C76117" w:rsidRPr="004E2ADC" w:rsidRDefault="00C76117" w:rsidP="00323E7A">
            <w:pPr>
              <w:widowControl/>
              <w:jc w:val="center"/>
              <w:rPr>
                <w:rFonts w:ascii="Arial Narrow" w:hAnsi="Arial Narrow"/>
                <w:color w:val="000000"/>
                <w:sz w:val="20"/>
              </w:rPr>
            </w:pPr>
            <w:r w:rsidRPr="007F560F">
              <w:rPr>
                <w:rFonts w:ascii="Arial Narrow" w:hAnsi="Arial Narrow"/>
                <w:b/>
                <w:sz w:val="20"/>
              </w:rPr>
              <w:t>$</w:t>
            </w:r>
            <w:r w:rsidR="00930DE3">
              <w:rPr>
                <w:rFonts w:ascii="Arial Narrow" w:hAnsi="Arial Narrow"/>
                <w:b/>
                <w:noProof/>
                <w:color w:val="000000"/>
                <w:sz w:val="20"/>
                <w:highlight w:val="black"/>
              </w:rPr>
              <w:t>'''''''''''''''''''''''</w:t>
            </w:r>
          </w:p>
        </w:tc>
        <w:tc>
          <w:tcPr>
            <w:tcW w:w="764" w:type="pct"/>
            <w:shd w:val="clear" w:color="auto" w:fill="auto"/>
            <w:vAlign w:val="center"/>
          </w:tcPr>
          <w:p w:rsidR="00C76117" w:rsidRPr="004E2ADC" w:rsidRDefault="00C76117" w:rsidP="00323E7A">
            <w:pPr>
              <w:widowControl/>
              <w:jc w:val="center"/>
              <w:rPr>
                <w:rFonts w:ascii="Arial Narrow" w:hAnsi="Arial Narrow"/>
                <w:color w:val="000000"/>
                <w:sz w:val="20"/>
              </w:rPr>
            </w:pPr>
            <w:r w:rsidRPr="007F560F">
              <w:rPr>
                <w:rFonts w:ascii="Arial Narrow" w:hAnsi="Arial Narrow"/>
                <w:b/>
                <w:sz w:val="20"/>
              </w:rPr>
              <w:t>$</w:t>
            </w:r>
            <w:r w:rsidR="00930DE3">
              <w:rPr>
                <w:rFonts w:ascii="Arial Narrow" w:hAnsi="Arial Narrow"/>
                <w:b/>
                <w:noProof/>
                <w:color w:val="000000"/>
                <w:sz w:val="20"/>
                <w:highlight w:val="black"/>
              </w:rPr>
              <w:t>'''''''''''''''''''''''</w:t>
            </w:r>
          </w:p>
        </w:tc>
        <w:tc>
          <w:tcPr>
            <w:tcW w:w="689" w:type="pct"/>
            <w:shd w:val="clear" w:color="auto" w:fill="auto"/>
            <w:vAlign w:val="center"/>
          </w:tcPr>
          <w:p w:rsidR="00C76117" w:rsidRPr="004E2ADC" w:rsidRDefault="00C76117" w:rsidP="00323E7A">
            <w:pPr>
              <w:widowControl/>
              <w:jc w:val="center"/>
              <w:rPr>
                <w:rFonts w:ascii="Arial Narrow" w:hAnsi="Arial Narrow"/>
                <w:color w:val="000000"/>
                <w:sz w:val="20"/>
              </w:rPr>
            </w:pPr>
            <w:r w:rsidRPr="007F560F">
              <w:rPr>
                <w:rFonts w:ascii="Arial Narrow" w:hAnsi="Arial Narrow"/>
                <w:b/>
                <w:sz w:val="20"/>
              </w:rPr>
              <w:t>$</w:t>
            </w:r>
            <w:r w:rsidR="00930DE3">
              <w:rPr>
                <w:rFonts w:ascii="Arial Narrow" w:hAnsi="Arial Narrow"/>
                <w:b/>
                <w:noProof/>
                <w:color w:val="000000"/>
                <w:sz w:val="20"/>
                <w:highlight w:val="black"/>
              </w:rPr>
              <w:t>''''''''''''''''''''''''''</w:t>
            </w:r>
          </w:p>
        </w:tc>
        <w:tc>
          <w:tcPr>
            <w:tcW w:w="690" w:type="pct"/>
            <w:shd w:val="clear" w:color="auto" w:fill="auto"/>
            <w:vAlign w:val="center"/>
          </w:tcPr>
          <w:p w:rsidR="00C76117" w:rsidRPr="004E2ADC" w:rsidRDefault="00C76117" w:rsidP="00323E7A">
            <w:pPr>
              <w:widowControl/>
              <w:jc w:val="center"/>
              <w:rPr>
                <w:rFonts w:ascii="Arial Narrow" w:hAnsi="Arial Narrow"/>
                <w:color w:val="000000"/>
                <w:sz w:val="20"/>
              </w:rPr>
            </w:pPr>
            <w:r w:rsidRPr="007F560F">
              <w:rPr>
                <w:rFonts w:ascii="Arial Narrow" w:hAnsi="Arial Narrow"/>
                <w:b/>
                <w:sz w:val="20"/>
              </w:rPr>
              <w:t>$</w:t>
            </w:r>
            <w:r w:rsidR="00930DE3">
              <w:rPr>
                <w:rFonts w:ascii="Arial Narrow" w:hAnsi="Arial Narrow"/>
                <w:b/>
                <w:noProof/>
                <w:color w:val="000000"/>
                <w:sz w:val="20"/>
                <w:highlight w:val="black"/>
              </w:rPr>
              <w:t>'''''''''''''''''''''''</w:t>
            </w:r>
          </w:p>
        </w:tc>
      </w:tr>
    </w:tbl>
    <w:p w:rsidR="00C76117" w:rsidRDefault="0075469C" w:rsidP="00323E7A">
      <w:pPr>
        <w:pStyle w:val="TableFooter"/>
        <w:widowControl/>
        <w:tabs>
          <w:tab w:val="left" w:pos="851"/>
        </w:tabs>
        <w:ind w:left="851" w:hanging="131"/>
      </w:pPr>
      <w:r w:rsidRPr="0075469C">
        <w:rPr>
          <w:vertAlign w:val="superscript"/>
        </w:rPr>
        <w:t>a</w:t>
      </w:r>
      <w:r>
        <w:tab/>
      </w:r>
      <w:r w:rsidR="00C76117" w:rsidRPr="00566ADE">
        <w:t xml:space="preserve">The submission </w:t>
      </w:r>
      <w:r w:rsidR="00C76117">
        <w:t>indicated</w:t>
      </w:r>
      <w:r w:rsidR="00C76117" w:rsidRPr="00566ADE">
        <w:t xml:space="preserve"> that nivolumab will substitute for ipilimumab, dabrafenib and chemotherapy (fotemustine used as a proxy) for the treatment of unresectable or metastatic melanoma.  </w:t>
      </w:r>
    </w:p>
    <w:p w:rsidR="00C76117" w:rsidRDefault="00C76117" w:rsidP="00323E7A">
      <w:pPr>
        <w:pStyle w:val="TableFooter"/>
        <w:widowControl/>
        <w:ind w:firstLine="720"/>
        <w:rPr>
          <w:szCs w:val="22"/>
        </w:rPr>
      </w:pPr>
      <w:r w:rsidRPr="001222FC">
        <w:rPr>
          <w:sz w:val="16"/>
          <w:szCs w:val="18"/>
        </w:rPr>
        <w:t xml:space="preserve">Source: </w:t>
      </w:r>
      <w:r>
        <w:rPr>
          <w:szCs w:val="18"/>
        </w:rPr>
        <w:t>Table 89, p195; Table 90 p196; Table 94, p200 and Table 98, p206 of the submission.</w:t>
      </w:r>
    </w:p>
    <w:p w:rsidR="00C76117" w:rsidRDefault="00C76117" w:rsidP="00323E7A">
      <w:pPr>
        <w:widowControl/>
        <w:rPr>
          <w:szCs w:val="22"/>
        </w:rPr>
      </w:pPr>
    </w:p>
    <w:p w:rsidR="009A1D2A" w:rsidRPr="009A1D2A" w:rsidRDefault="009A1D2A" w:rsidP="009A1D2A">
      <w:pPr>
        <w:pStyle w:val="ListParagraph"/>
        <w:widowControl/>
        <w:ind w:left="709"/>
        <w:rPr>
          <w:i/>
        </w:rPr>
      </w:pPr>
      <w:r w:rsidRPr="009A1D2A">
        <w:rPr>
          <w:i/>
        </w:rPr>
        <w:t>The redacted table above shows that the estimated use and financial implications of nivolumab to the health budget for the treatment of unresectable Stage III or Stage IV malignant melanoma is less than 10,000 patients per year and more than $</w:t>
      </w:r>
      <w:r>
        <w:rPr>
          <w:i/>
        </w:rPr>
        <w:t>100 </w:t>
      </w:r>
      <w:r w:rsidRPr="009A1D2A">
        <w:rPr>
          <w:i/>
        </w:rPr>
        <w:t>million per year in each of t</w:t>
      </w:r>
      <w:r>
        <w:rPr>
          <w:i/>
        </w:rPr>
        <w:t>he first five years of listing.</w:t>
      </w:r>
    </w:p>
    <w:p w:rsidR="009A1D2A" w:rsidRPr="00C25D9C" w:rsidRDefault="009A1D2A" w:rsidP="00323E7A">
      <w:pPr>
        <w:widowControl/>
        <w:rPr>
          <w:szCs w:val="22"/>
        </w:rPr>
      </w:pPr>
    </w:p>
    <w:p w:rsidR="00C25D9C" w:rsidRPr="004A053A" w:rsidRDefault="00AE0FCC" w:rsidP="00323E7A">
      <w:pPr>
        <w:pStyle w:val="ListParagraph"/>
        <w:widowControl/>
        <w:numPr>
          <w:ilvl w:val="1"/>
          <w:numId w:val="23"/>
        </w:numPr>
        <w:ind w:left="709" w:hanging="709"/>
      </w:pPr>
      <w:r w:rsidRPr="006C03DC">
        <w:t xml:space="preserve">While the epidemiological approach was consistent with methods used in the ipilimumab November 2012 resubmission, given that it is expected that nivolumab will be in the same therapeutic area as ipilimumab, it </w:t>
      </w:r>
      <w:r w:rsidR="0095142E" w:rsidRPr="006C03DC">
        <w:t>wa</w:t>
      </w:r>
      <w:r w:rsidRPr="006C03DC">
        <w:t xml:space="preserve">s unclear why a market share analysis was not incorporated in the financial model.  Analysis of ipilimumab PBS utilisation data </w:t>
      </w:r>
      <w:r w:rsidRPr="004A053A">
        <w:t>by the Department has indicated a sta</w:t>
      </w:r>
      <w:r w:rsidR="009A1D2A">
        <w:t xml:space="preserve">ble uptake of approximately </w:t>
      </w:r>
      <w:r w:rsidR="007C0924">
        <w:t>less than 10,000 </w:t>
      </w:r>
      <w:r w:rsidRPr="004A053A">
        <w:t xml:space="preserve">patients per year since commencement of listing in August 2013.  Given that the financial model calculated over three times as many patients initiating nivolumab (increasing from </w:t>
      </w:r>
      <w:r w:rsidR="007C0924">
        <w:t>less than 10,000</w:t>
      </w:r>
      <w:r w:rsidRPr="004A053A">
        <w:t xml:space="preserve"> in year 1 to </w:t>
      </w:r>
      <w:r w:rsidR="007C0924">
        <w:t>less than 10,000</w:t>
      </w:r>
      <w:r w:rsidRPr="004A053A">
        <w:t xml:space="preserve"> in year 5), there </w:t>
      </w:r>
      <w:r w:rsidR="0095142E" w:rsidRPr="004A053A">
        <w:t>wa</w:t>
      </w:r>
      <w:r w:rsidRPr="004A053A">
        <w:t>s inadequate external validity associated with the submission’s estimates.  On this basis</w:t>
      </w:r>
      <w:r w:rsidR="0095142E" w:rsidRPr="004A053A">
        <w:t>,</w:t>
      </w:r>
      <w:r w:rsidRPr="004A053A">
        <w:t xml:space="preserve"> it </w:t>
      </w:r>
      <w:r w:rsidR="0095142E" w:rsidRPr="004A053A">
        <w:t>wa</w:t>
      </w:r>
      <w:r w:rsidRPr="004A053A">
        <w:t xml:space="preserve">s likely that the net costs to </w:t>
      </w:r>
      <w:r w:rsidR="00AA3358" w:rsidRPr="004A053A">
        <w:t>G</w:t>
      </w:r>
      <w:r w:rsidRPr="004A053A">
        <w:t>overnment (</w:t>
      </w:r>
      <w:r w:rsidR="00C4564E">
        <w:t xml:space="preserve">more than </w:t>
      </w:r>
      <w:r w:rsidRPr="004A053A">
        <w:t>$</w:t>
      </w:r>
      <w:r w:rsidR="00C4564E">
        <w:t xml:space="preserve">100 million </w:t>
      </w:r>
      <w:r w:rsidR="00C4564E">
        <w:lastRenderedPageBreak/>
        <w:t xml:space="preserve">per year </w:t>
      </w:r>
      <w:r w:rsidRPr="004A053A">
        <w:t xml:space="preserve">over 5 years) </w:t>
      </w:r>
      <w:r w:rsidR="0095142E" w:rsidRPr="004A053A">
        <w:t>we</w:t>
      </w:r>
      <w:r w:rsidRPr="004A053A">
        <w:t>re substantially overestimated by the submission.</w:t>
      </w:r>
      <w:r w:rsidR="00283A78" w:rsidRPr="004A053A">
        <w:t xml:space="preserve"> </w:t>
      </w:r>
      <w:r w:rsidR="007361E5" w:rsidRPr="004A053A">
        <w:t xml:space="preserve"> In its PSCR, the sponsor argued that the</w:t>
      </w:r>
      <w:r w:rsidR="00931456" w:rsidRPr="004A053A">
        <w:t xml:space="preserve"> estimated patient numbers cited in its submission were representative of expected PD-1 inhibitor (i.e. nivolumab, pembrolizumab and other future PD-1 inhibitors) utilisation, and that current standard of care for BRAF wild</w:t>
      </w:r>
      <w:r w:rsidR="00C4564E">
        <w:noBreakHyphen/>
      </w:r>
      <w:r w:rsidR="00931456" w:rsidRPr="004A053A">
        <w:t>type and mutant patients (ipilimumab and dabrafenib ± trametinib) w</w:t>
      </w:r>
      <w:r w:rsidR="00283A78" w:rsidRPr="004A053A">
        <w:t>ould</w:t>
      </w:r>
      <w:r w:rsidR="00931456" w:rsidRPr="004A053A">
        <w:t xml:space="preserve"> be completely displaced.</w:t>
      </w:r>
      <w:r w:rsidR="00283A78" w:rsidRPr="004A053A">
        <w:t xml:space="preserve"> </w:t>
      </w:r>
      <w:r w:rsidR="00931456" w:rsidRPr="004A053A">
        <w:t xml:space="preserve"> The PSCR also claimed that there</w:t>
      </w:r>
      <w:r w:rsidR="007361E5" w:rsidRPr="004A053A">
        <w:t xml:space="preserve"> w</w:t>
      </w:r>
      <w:r w:rsidR="00283A78" w:rsidRPr="004A053A">
        <w:t>ould</w:t>
      </w:r>
      <w:r w:rsidR="007361E5" w:rsidRPr="004A053A">
        <w:t xml:space="preserve"> be an influx of patients who would traditionally be enrolled in clinical trials</w:t>
      </w:r>
      <w:r w:rsidR="00931456" w:rsidRPr="004A053A">
        <w:t>.</w:t>
      </w:r>
      <w:r w:rsidR="00283A78" w:rsidRPr="004A053A">
        <w:t xml:space="preserve"> </w:t>
      </w:r>
      <w:r w:rsidR="00931456" w:rsidRPr="004A053A">
        <w:t xml:space="preserve"> The ESC </w:t>
      </w:r>
      <w:r w:rsidR="00DC3F00" w:rsidRPr="004A053A">
        <w:t xml:space="preserve">agreed that the expected numbers of patients treated with nivolumab (or across all PD-1 inhibitors in the future) were overestimated.  The ESC therefore </w:t>
      </w:r>
      <w:r w:rsidR="00931456" w:rsidRPr="004A053A">
        <w:t xml:space="preserve">considered that it would </w:t>
      </w:r>
      <w:r w:rsidR="00DC3F00" w:rsidRPr="004A053A">
        <w:t xml:space="preserve">also </w:t>
      </w:r>
      <w:r w:rsidR="00931456" w:rsidRPr="004A053A">
        <w:t xml:space="preserve">be informative for the sponsor to provide information on the number of </w:t>
      </w:r>
      <w:r w:rsidR="00283A78" w:rsidRPr="004A053A">
        <w:t>Australian patients with unresectable Stage III or Stage IV malignant melanoma enrolled across all of its trials on a month-by-month basis since the listing of ipilimumab.</w:t>
      </w:r>
    </w:p>
    <w:p w:rsidR="00AE0FCC" w:rsidRPr="006C03DC" w:rsidRDefault="00AE0FCC" w:rsidP="00323E7A">
      <w:pPr>
        <w:widowControl/>
      </w:pPr>
    </w:p>
    <w:p w:rsidR="00AE0FCC" w:rsidRPr="006C03DC" w:rsidRDefault="00AE0FCC" w:rsidP="00323E7A">
      <w:pPr>
        <w:pStyle w:val="ListParagraph"/>
        <w:widowControl/>
        <w:numPr>
          <w:ilvl w:val="1"/>
          <w:numId w:val="23"/>
        </w:numPr>
        <w:ind w:left="709" w:hanging="709"/>
      </w:pPr>
      <w:r w:rsidRPr="006C03DC">
        <w:t>Sensitivity analyses limiting the nivolumab treated pop</w:t>
      </w:r>
      <w:r w:rsidR="00C4564E">
        <w:t xml:space="preserve">ulation to </w:t>
      </w:r>
      <w:r w:rsidR="00AF15D5">
        <w:t xml:space="preserve">be the same as the uptake for ipilimumab </w:t>
      </w:r>
      <w:r w:rsidR="00C4564E">
        <w:t xml:space="preserve"> in year </w:t>
      </w:r>
      <w:r w:rsidRPr="006C03DC">
        <w:t xml:space="preserve">1, increasing in subsequent years according to the projected growth in the incident melanoma population (Cancer in Australia an overview, AIHW &amp; ACCR 2012: chapter 2, supplementary table D2.5), estimated </w:t>
      </w:r>
      <w:r w:rsidR="00A62D64">
        <w:t xml:space="preserve">lower </w:t>
      </w:r>
      <w:r w:rsidRPr="006C03DC">
        <w:t>overall net costs of $</w:t>
      </w:r>
      <w:r w:rsidR="009E4590">
        <w:t>–more than</w:t>
      </w:r>
      <w:r w:rsidR="00C4564E">
        <w:t xml:space="preserve"> $100 million per year</w:t>
      </w:r>
      <w:r w:rsidR="00C4564E" w:rsidRPr="006C03DC">
        <w:t xml:space="preserve"> </w:t>
      </w:r>
      <w:r w:rsidRPr="006C03DC">
        <w:t>over 5 years.</w:t>
      </w:r>
    </w:p>
    <w:p w:rsidR="00576972" w:rsidRPr="006C03DC" w:rsidRDefault="00576972" w:rsidP="00323E7A">
      <w:pPr>
        <w:widowControl/>
        <w:rPr>
          <w:szCs w:val="22"/>
        </w:rPr>
      </w:pPr>
    </w:p>
    <w:p w:rsidR="00576972" w:rsidRPr="002C2775" w:rsidRDefault="00576972" w:rsidP="00323E7A">
      <w:pPr>
        <w:pStyle w:val="Heading2"/>
        <w:widowControl/>
        <w:rPr>
          <w:i/>
        </w:rPr>
      </w:pPr>
      <w:bookmarkStart w:id="17" w:name="_Toc419885978"/>
      <w:r w:rsidRPr="002C2775">
        <w:rPr>
          <w:i/>
        </w:rPr>
        <w:t>Quality Use of Medicines</w:t>
      </w:r>
      <w:bookmarkEnd w:id="17"/>
    </w:p>
    <w:p w:rsidR="00576972" w:rsidRPr="00576972" w:rsidRDefault="00576972" w:rsidP="00323E7A">
      <w:pPr>
        <w:widowControl/>
        <w:rPr>
          <w:szCs w:val="22"/>
        </w:rPr>
      </w:pPr>
    </w:p>
    <w:p w:rsidR="00576972" w:rsidRPr="0086524D" w:rsidRDefault="00261270" w:rsidP="00323E7A">
      <w:pPr>
        <w:pStyle w:val="ListParagraph"/>
        <w:widowControl/>
        <w:numPr>
          <w:ilvl w:val="1"/>
          <w:numId w:val="23"/>
        </w:numPr>
        <w:ind w:left="709" w:hanging="709"/>
      </w:pPr>
      <w:r w:rsidRPr="0086524D">
        <w:t>The submission provided a summary of the sponsor’s plans regarding the quality use of medicines</w:t>
      </w:r>
      <w:r w:rsidR="0015235D" w:rsidRPr="0086524D">
        <w:t>.  Details were provided on:</w:t>
      </w:r>
    </w:p>
    <w:p w:rsidR="0015235D" w:rsidRDefault="004F3D10" w:rsidP="00323E7A">
      <w:pPr>
        <w:pStyle w:val="ListParagraph"/>
        <w:widowControl/>
        <w:numPr>
          <w:ilvl w:val="0"/>
          <w:numId w:val="7"/>
        </w:numPr>
        <w:ind w:left="993" w:hanging="284"/>
        <w:rPr>
          <w:szCs w:val="22"/>
        </w:rPr>
      </w:pPr>
      <w:r>
        <w:rPr>
          <w:szCs w:val="22"/>
        </w:rPr>
        <w:t>Physician experience with nivol</w:t>
      </w:r>
      <w:r w:rsidR="0015235D">
        <w:rPr>
          <w:szCs w:val="22"/>
        </w:rPr>
        <w:t>umab;</w:t>
      </w:r>
    </w:p>
    <w:p w:rsidR="0015235D" w:rsidRDefault="0015235D" w:rsidP="00323E7A">
      <w:pPr>
        <w:pStyle w:val="ListParagraph"/>
        <w:widowControl/>
        <w:numPr>
          <w:ilvl w:val="0"/>
          <w:numId w:val="7"/>
        </w:numPr>
        <w:ind w:left="993" w:hanging="284"/>
        <w:rPr>
          <w:szCs w:val="22"/>
        </w:rPr>
      </w:pPr>
      <w:r>
        <w:rPr>
          <w:szCs w:val="22"/>
        </w:rPr>
        <w:t>Clinical trial activity in Australia;</w:t>
      </w:r>
    </w:p>
    <w:p w:rsidR="0015235D" w:rsidRPr="006C03DC" w:rsidRDefault="0015235D" w:rsidP="00323E7A">
      <w:pPr>
        <w:pStyle w:val="ListParagraph"/>
        <w:widowControl/>
        <w:numPr>
          <w:ilvl w:val="0"/>
          <w:numId w:val="4"/>
        </w:numPr>
        <w:ind w:left="993" w:hanging="284"/>
        <w:rPr>
          <w:szCs w:val="22"/>
        </w:rPr>
      </w:pPr>
      <w:r>
        <w:rPr>
          <w:szCs w:val="22"/>
        </w:rPr>
        <w:t xml:space="preserve">Expanded access </w:t>
      </w:r>
      <w:r w:rsidRPr="00287DBE">
        <w:t>program</w:t>
      </w:r>
      <w:r>
        <w:rPr>
          <w:szCs w:val="22"/>
        </w:rPr>
        <w:t xml:space="preserve">.  </w:t>
      </w:r>
      <w:r>
        <w:t xml:space="preserve">As of </w:t>
      </w:r>
      <w:r w:rsidR="0095142E">
        <w:t xml:space="preserve">28 </w:t>
      </w:r>
      <w:r>
        <w:t>February 2015, there were 187 patients enrolled</w:t>
      </w:r>
      <w:r w:rsidRPr="004A053A">
        <w:t xml:space="preserve">, 7 discontinued and 8 patients with pending applications.  No indication was provided by the submission as to whether these patients would be grandfathered </w:t>
      </w:r>
      <w:r w:rsidR="00283A78" w:rsidRPr="004A053A">
        <w:t>under the requested restriction</w:t>
      </w:r>
      <w:r w:rsidR="004A053A">
        <w:t xml:space="preserve"> </w:t>
      </w:r>
      <w:r w:rsidR="00A62D64" w:rsidRPr="004A053A">
        <w:t>(the PSCR indicated patients deriving clinical benefit in the sponsor’s Expanded Access Program should be grandfathered)</w:t>
      </w:r>
      <w:r w:rsidR="00283A78" w:rsidRPr="004A053A">
        <w:t>;</w:t>
      </w:r>
    </w:p>
    <w:p w:rsidR="004F3D10" w:rsidRPr="006C03DC" w:rsidRDefault="004F3D10" w:rsidP="00323E7A">
      <w:pPr>
        <w:pStyle w:val="ListParagraph"/>
        <w:widowControl/>
        <w:numPr>
          <w:ilvl w:val="0"/>
          <w:numId w:val="7"/>
        </w:numPr>
        <w:ind w:left="993" w:hanging="284"/>
        <w:rPr>
          <w:szCs w:val="22"/>
        </w:rPr>
      </w:pPr>
      <w:r w:rsidRPr="006C03DC">
        <w:t xml:space="preserve">Education initiatives </w:t>
      </w:r>
      <w:r w:rsidRPr="00287DBE">
        <w:rPr>
          <w:szCs w:val="22"/>
        </w:rPr>
        <w:t>supporting</w:t>
      </w:r>
      <w:r w:rsidRPr="006C03DC">
        <w:t xml:space="preserve"> nivolumab use;</w:t>
      </w:r>
    </w:p>
    <w:p w:rsidR="004F3D10" w:rsidRPr="0015235D" w:rsidRDefault="004F3D10" w:rsidP="00323E7A">
      <w:pPr>
        <w:pStyle w:val="ListParagraph"/>
        <w:widowControl/>
        <w:numPr>
          <w:ilvl w:val="0"/>
          <w:numId w:val="7"/>
        </w:numPr>
        <w:ind w:left="993" w:hanging="284"/>
        <w:rPr>
          <w:szCs w:val="22"/>
        </w:rPr>
      </w:pPr>
      <w:r>
        <w:t xml:space="preserve">The submission </w:t>
      </w:r>
      <w:r w:rsidRPr="00287DBE">
        <w:rPr>
          <w:szCs w:val="22"/>
        </w:rPr>
        <w:t>indicated</w:t>
      </w:r>
      <w:r>
        <w:t xml:space="preserve"> the customer support model used for ipilimumab is intended to also be used for nivolumab.</w:t>
      </w:r>
    </w:p>
    <w:p w:rsidR="00576972" w:rsidRDefault="00576972" w:rsidP="00323E7A">
      <w:pPr>
        <w:widowControl/>
        <w:rPr>
          <w:szCs w:val="22"/>
        </w:rPr>
      </w:pPr>
    </w:p>
    <w:p w:rsidR="00576972" w:rsidRPr="002C2775" w:rsidRDefault="00576972" w:rsidP="00323E7A">
      <w:pPr>
        <w:pStyle w:val="Heading2"/>
        <w:widowControl/>
        <w:rPr>
          <w:i/>
          <w:szCs w:val="22"/>
        </w:rPr>
      </w:pPr>
      <w:bookmarkStart w:id="18" w:name="_Toc419885979"/>
      <w:r w:rsidRPr="002C2775">
        <w:rPr>
          <w:i/>
        </w:rPr>
        <w:t>Financial Management – Risk Sharing Arrangements</w:t>
      </w:r>
      <w:bookmarkEnd w:id="18"/>
    </w:p>
    <w:p w:rsidR="00C25D9C" w:rsidRPr="00576972" w:rsidRDefault="00C25D9C" w:rsidP="00323E7A">
      <w:pPr>
        <w:widowControl/>
        <w:rPr>
          <w:szCs w:val="22"/>
        </w:rPr>
      </w:pPr>
    </w:p>
    <w:p w:rsidR="00C25D9C" w:rsidRPr="006C03DC" w:rsidRDefault="00B85FD7" w:rsidP="00323E7A">
      <w:pPr>
        <w:pStyle w:val="ListParagraph"/>
        <w:widowControl/>
        <w:numPr>
          <w:ilvl w:val="1"/>
          <w:numId w:val="23"/>
        </w:numPr>
        <w:ind w:left="709" w:hanging="709"/>
      </w:pPr>
      <w:r w:rsidRPr="006C03DC">
        <w:t>The submission assert</w:t>
      </w:r>
      <w:r w:rsidR="00745422" w:rsidRPr="006C03DC">
        <w:t>ed</w:t>
      </w:r>
      <w:r w:rsidRPr="006C03DC">
        <w:t xml:space="preserve"> that a managed entry scheme (MES), identified as a </w:t>
      </w:r>
      <w:r w:rsidRPr="004A053A">
        <w:t xml:space="preserve">managed access program (MAP) in the submission, </w:t>
      </w:r>
      <w:r w:rsidR="00745422" w:rsidRPr="004A053A">
        <w:t>wa</w:t>
      </w:r>
      <w:r w:rsidRPr="004A053A">
        <w:t>s not required for nivolumab as the sponsor d</w:t>
      </w:r>
      <w:r w:rsidR="00745422" w:rsidRPr="004A053A">
        <w:t>id</w:t>
      </w:r>
      <w:r w:rsidRPr="004A053A">
        <w:t xml:space="preserve"> not consider there to be significant clinical uncertainties that would necessitate the need for separate provision or collection of survival data, as has been done for ipilimumab.</w:t>
      </w:r>
      <w:r w:rsidR="006E3B80" w:rsidRPr="004A053A">
        <w:t xml:space="preserve">  Given the uncertainty regarding the clinical benefit of nivolumab (see Clinical claim above) and the resultant uncertainty surrounding the estimate of cost-effectiveness, it appears that there may be potential for a MES to be established, to allow for provision of directly comparative data </w:t>
      </w:r>
      <w:r w:rsidR="0095142E" w:rsidRPr="004A053A">
        <w:t xml:space="preserve">from a nearly completed direct randomised trial </w:t>
      </w:r>
      <w:r w:rsidR="006E3B80" w:rsidRPr="004A053A">
        <w:t>along with a revised cost-effectiveness estimate.</w:t>
      </w:r>
      <w:r w:rsidR="001E4156" w:rsidRPr="004A053A">
        <w:t xml:space="preserve">  </w:t>
      </w:r>
      <w:r w:rsidR="008974A7" w:rsidRPr="004A053A">
        <w:t xml:space="preserve">The </w:t>
      </w:r>
      <w:r w:rsidR="00184CE6" w:rsidRPr="004A053A">
        <w:t>PSCR</w:t>
      </w:r>
      <w:r w:rsidR="008974A7" w:rsidRPr="004A053A">
        <w:t xml:space="preserve"> provided results from trial CA209-067, for </w:t>
      </w:r>
      <w:r w:rsidR="00E76D97" w:rsidRPr="004A053A">
        <w:t xml:space="preserve">the </w:t>
      </w:r>
      <w:r w:rsidR="008974A7" w:rsidRPr="004A053A">
        <w:t>comparison of nivolumab monotherapy and ipilimumab monotherapy</w:t>
      </w:r>
      <w:r w:rsidR="00082D45" w:rsidRPr="004A053A">
        <w:t>, and some additional data was available in a paper by Larkin et al (</w:t>
      </w:r>
      <w:r w:rsidR="00562338" w:rsidRPr="004A053A">
        <w:t xml:space="preserve">NEJM, 31 May </w:t>
      </w:r>
      <w:r w:rsidR="00082D45" w:rsidRPr="004A053A">
        <w:t>2015).</w:t>
      </w:r>
      <w:r w:rsidR="00B27A12" w:rsidRPr="004A053A">
        <w:t xml:space="preserve"> </w:t>
      </w:r>
      <w:r w:rsidR="00283A78" w:rsidRPr="004A053A">
        <w:t xml:space="preserve"> </w:t>
      </w:r>
      <w:r w:rsidR="00B27A12" w:rsidRPr="004A053A">
        <w:t>The PSCR also presented an indirect comparison of nivolumab</w:t>
      </w:r>
      <w:r w:rsidR="00184CE6" w:rsidRPr="004A053A">
        <w:t xml:space="preserve"> (CA209-067)</w:t>
      </w:r>
      <w:r w:rsidR="00B27A12" w:rsidRPr="004A053A">
        <w:t xml:space="preserve"> and pembrolizumab</w:t>
      </w:r>
      <w:r w:rsidR="00184CE6" w:rsidRPr="004A053A">
        <w:t xml:space="preserve"> (KN-006) using ipilimumab as </w:t>
      </w:r>
      <w:r w:rsidR="00AB161D" w:rsidRPr="004A053A">
        <w:t>the</w:t>
      </w:r>
      <w:r w:rsidR="00184CE6" w:rsidRPr="004A053A">
        <w:t xml:space="preserve"> common reference.</w:t>
      </w:r>
    </w:p>
    <w:p w:rsidR="00B85FD7" w:rsidRPr="00B85FD7" w:rsidRDefault="00B85FD7" w:rsidP="00323E7A">
      <w:pPr>
        <w:widowControl/>
        <w:rPr>
          <w:szCs w:val="22"/>
        </w:rPr>
      </w:pPr>
    </w:p>
    <w:p w:rsidR="00101F2C" w:rsidRPr="0086524D" w:rsidRDefault="00101F2C" w:rsidP="00323E7A">
      <w:pPr>
        <w:pStyle w:val="ListParagraph"/>
        <w:widowControl/>
        <w:numPr>
          <w:ilvl w:val="1"/>
          <w:numId w:val="23"/>
        </w:numPr>
        <w:ind w:left="709" w:hanging="709"/>
      </w:pPr>
      <w:r>
        <w:t>The submission stated that</w:t>
      </w:r>
      <w:r w:rsidR="0095142E">
        <w:t>,</w:t>
      </w:r>
      <w:r>
        <w:t xml:space="preserve"> given the financial expenditure predicted, the sponsor expect</w:t>
      </w:r>
      <w:r w:rsidR="0095142E">
        <w:t>ed that</w:t>
      </w:r>
      <w:r>
        <w:t xml:space="preserve"> there </w:t>
      </w:r>
      <w:r w:rsidR="0095142E">
        <w:t>would be</w:t>
      </w:r>
      <w:r>
        <w:t xml:space="preserve"> a need for a Deed of Agreement.  The proposed Special Pricing Arrangement (SPA) ha</w:t>
      </w:r>
      <w:r w:rsidR="0095142E">
        <w:t>d</w:t>
      </w:r>
      <w:r>
        <w:t xml:space="preserve"> two components:</w:t>
      </w:r>
    </w:p>
    <w:p w:rsidR="00101F2C" w:rsidRPr="00101F2C" w:rsidRDefault="00101F2C" w:rsidP="00323E7A">
      <w:pPr>
        <w:pStyle w:val="ListParagraph"/>
        <w:widowControl/>
        <w:numPr>
          <w:ilvl w:val="0"/>
          <w:numId w:val="4"/>
        </w:numPr>
        <w:ind w:left="993" w:hanging="284"/>
      </w:pPr>
      <w:r>
        <w:rPr>
          <w:szCs w:val="22"/>
        </w:rPr>
        <w:t>Published versus effective price with a rebate proposed to accommodate the difference.</w:t>
      </w:r>
    </w:p>
    <w:p w:rsidR="00FE5FDE" w:rsidRPr="004A2FC8" w:rsidRDefault="00101F2C" w:rsidP="00323E7A">
      <w:pPr>
        <w:pStyle w:val="ListParagraph"/>
        <w:widowControl/>
        <w:numPr>
          <w:ilvl w:val="0"/>
          <w:numId w:val="4"/>
        </w:numPr>
        <w:ind w:left="993" w:hanging="284"/>
      </w:pPr>
      <w:r>
        <w:t xml:space="preserve">The submission stated it is </w:t>
      </w:r>
      <w:r w:rsidRPr="006C03DC">
        <w:t>impossible for the sponsor to provide detailed proposals for a capped arrangement until the restriction, price and base case estimates are agreed.  The submission indicated one proposed structure that may be discussed includes a capped approach that manages any residual risk associated with inappropriate expenditure</w:t>
      </w:r>
      <w:r w:rsidRPr="006C03DC">
        <w:rPr>
          <w:szCs w:val="22"/>
        </w:rPr>
        <w:t xml:space="preserve">.  While </w:t>
      </w:r>
      <w:r w:rsidR="0095142E" w:rsidRPr="006C03DC">
        <w:rPr>
          <w:szCs w:val="22"/>
        </w:rPr>
        <w:t xml:space="preserve">sharing </w:t>
      </w:r>
      <w:r w:rsidRPr="006C03DC">
        <w:rPr>
          <w:szCs w:val="22"/>
        </w:rPr>
        <w:t xml:space="preserve">the risk </w:t>
      </w:r>
      <w:r w:rsidR="0095142E" w:rsidRPr="006C03DC">
        <w:rPr>
          <w:szCs w:val="22"/>
        </w:rPr>
        <w:t>of</w:t>
      </w:r>
      <w:r w:rsidRPr="006C03DC">
        <w:rPr>
          <w:szCs w:val="22"/>
        </w:rPr>
        <w:t xml:space="preserve"> use of nivolumab outside of </w:t>
      </w:r>
      <w:r w:rsidR="0095142E" w:rsidRPr="006C03DC">
        <w:rPr>
          <w:szCs w:val="22"/>
        </w:rPr>
        <w:t xml:space="preserve">both </w:t>
      </w:r>
      <w:r w:rsidRPr="006C03DC">
        <w:rPr>
          <w:szCs w:val="22"/>
        </w:rPr>
        <w:t xml:space="preserve">the </w:t>
      </w:r>
      <w:r w:rsidR="0095142E" w:rsidRPr="006C03DC">
        <w:rPr>
          <w:szCs w:val="22"/>
        </w:rPr>
        <w:t xml:space="preserve">initial and continuing </w:t>
      </w:r>
      <w:r w:rsidRPr="006C03DC">
        <w:rPr>
          <w:szCs w:val="22"/>
        </w:rPr>
        <w:t>restriction</w:t>
      </w:r>
      <w:r w:rsidR="0095142E" w:rsidRPr="006C03DC">
        <w:rPr>
          <w:szCs w:val="22"/>
        </w:rPr>
        <w:t>s was</w:t>
      </w:r>
      <w:r w:rsidRPr="006C03DC">
        <w:rPr>
          <w:szCs w:val="22"/>
        </w:rPr>
        <w:t xml:space="preserve"> important, consideration of the substantial overestimate of the net cost to Government </w:t>
      </w:r>
      <w:r w:rsidR="0095142E" w:rsidRPr="006C03DC">
        <w:rPr>
          <w:szCs w:val="22"/>
        </w:rPr>
        <w:t>was also</w:t>
      </w:r>
      <w:r w:rsidRPr="006C03DC">
        <w:rPr>
          <w:szCs w:val="22"/>
        </w:rPr>
        <w:t xml:space="preserve"> required.</w:t>
      </w:r>
    </w:p>
    <w:p w:rsidR="004A2FC8" w:rsidRDefault="004A2FC8" w:rsidP="00323E7A">
      <w:pPr>
        <w:widowControl/>
      </w:pPr>
    </w:p>
    <w:p w:rsidR="004A2FC8" w:rsidRPr="00B6180A" w:rsidRDefault="004A2FC8" w:rsidP="00323E7A">
      <w:pPr>
        <w:widowControl/>
        <w:ind w:firstLine="709"/>
      </w:pPr>
      <w:r w:rsidRPr="00FD29CF">
        <w:rPr>
          <w:i/>
          <w:szCs w:val="22"/>
        </w:rPr>
        <w:t>For more detail on PBAC’s view, see section 7 “PBAC outcome”</w:t>
      </w:r>
    </w:p>
    <w:p w:rsidR="00B6180A" w:rsidRDefault="00B6180A" w:rsidP="00323E7A">
      <w:pPr>
        <w:widowControl/>
      </w:pPr>
    </w:p>
    <w:p w:rsidR="004A2FC8" w:rsidRPr="00A51118" w:rsidRDefault="004A2FC8" w:rsidP="00323E7A">
      <w:pPr>
        <w:widowControl/>
        <w:rPr>
          <w:bCs/>
          <w:szCs w:val="22"/>
        </w:rPr>
      </w:pPr>
    </w:p>
    <w:p w:rsidR="004A2FC8" w:rsidRPr="00FD29CF" w:rsidRDefault="004A2FC8" w:rsidP="00323E7A">
      <w:pPr>
        <w:pStyle w:val="Heading2"/>
        <w:widowControl/>
        <w:numPr>
          <w:ilvl w:val="0"/>
          <w:numId w:val="23"/>
        </w:numPr>
        <w:ind w:left="709" w:hanging="709"/>
        <w:rPr>
          <w:b w:val="0"/>
          <w:bCs/>
        </w:rPr>
      </w:pPr>
      <w:r w:rsidRPr="00FD29CF">
        <w:rPr>
          <w:bCs/>
        </w:rPr>
        <w:t>PBAC Outcome</w:t>
      </w:r>
    </w:p>
    <w:p w:rsidR="004A2FC8" w:rsidRPr="00A51118" w:rsidRDefault="004A2FC8" w:rsidP="00323E7A">
      <w:pPr>
        <w:widowControl/>
        <w:contextualSpacing/>
        <w:rPr>
          <w:bCs/>
          <w:szCs w:val="22"/>
          <w:lang w:val="en-GB"/>
        </w:rPr>
      </w:pPr>
    </w:p>
    <w:p w:rsidR="00A17370" w:rsidRDefault="004C6691" w:rsidP="00323E7A">
      <w:pPr>
        <w:pStyle w:val="ListParagraph"/>
        <w:widowControl/>
        <w:numPr>
          <w:ilvl w:val="1"/>
          <w:numId w:val="23"/>
        </w:numPr>
        <w:ind w:left="709" w:hanging="709"/>
        <w:rPr>
          <w:bCs/>
          <w:szCs w:val="22"/>
          <w:lang w:val="en-GB"/>
        </w:rPr>
      </w:pPr>
      <w:r w:rsidRPr="00635DB2">
        <w:rPr>
          <w:bCs/>
          <w:szCs w:val="22"/>
          <w:lang w:val="en-GB"/>
        </w:rPr>
        <w:t xml:space="preserve">The PBAC </w:t>
      </w:r>
      <w:r w:rsidR="008E5D06" w:rsidRPr="00635DB2">
        <w:rPr>
          <w:bCs/>
          <w:szCs w:val="22"/>
          <w:lang w:val="en-GB"/>
        </w:rPr>
        <w:t>decided not to recommend</w:t>
      </w:r>
      <w:r w:rsidRPr="00635DB2">
        <w:rPr>
          <w:bCs/>
          <w:szCs w:val="22"/>
          <w:lang w:val="en-GB"/>
        </w:rPr>
        <w:t xml:space="preserve"> nivolumab for the treatment of unresectable or metastatic (Stage III or IV) melanoma</w:t>
      </w:r>
      <w:r w:rsidR="00401B0A" w:rsidRPr="00635DB2">
        <w:rPr>
          <w:bCs/>
          <w:szCs w:val="22"/>
          <w:lang w:val="en-GB"/>
        </w:rPr>
        <w:t xml:space="preserve">. In </w:t>
      </w:r>
      <w:r w:rsidR="00A51118" w:rsidRPr="00635DB2">
        <w:rPr>
          <w:bCs/>
          <w:szCs w:val="22"/>
          <w:lang w:val="en-GB"/>
        </w:rPr>
        <w:t>reaching this conclusion</w:t>
      </w:r>
      <w:r w:rsidR="00401B0A" w:rsidRPr="00635DB2">
        <w:rPr>
          <w:bCs/>
          <w:szCs w:val="22"/>
          <w:lang w:val="en-GB"/>
        </w:rPr>
        <w:t xml:space="preserve">, the PBAC </w:t>
      </w:r>
      <w:r w:rsidR="00F53D19" w:rsidRPr="00635DB2">
        <w:rPr>
          <w:bCs/>
          <w:szCs w:val="22"/>
          <w:lang w:val="en-GB"/>
        </w:rPr>
        <w:t>did not accept that</w:t>
      </w:r>
      <w:r w:rsidR="00401B0A" w:rsidRPr="00635DB2">
        <w:rPr>
          <w:bCs/>
          <w:szCs w:val="22"/>
          <w:lang w:val="en-GB"/>
        </w:rPr>
        <w:t xml:space="preserve"> </w:t>
      </w:r>
      <w:r w:rsidR="00F53D19" w:rsidRPr="00635DB2">
        <w:rPr>
          <w:bCs/>
          <w:szCs w:val="22"/>
          <w:lang w:val="en-GB"/>
        </w:rPr>
        <w:t>ipilimumab, as presented in the submission,</w:t>
      </w:r>
      <w:r w:rsidRPr="00635DB2">
        <w:rPr>
          <w:bCs/>
          <w:szCs w:val="22"/>
          <w:lang w:val="en-GB"/>
        </w:rPr>
        <w:t xml:space="preserve"> </w:t>
      </w:r>
      <w:r w:rsidR="00493B7E" w:rsidRPr="00635DB2">
        <w:rPr>
          <w:bCs/>
          <w:szCs w:val="22"/>
          <w:lang w:val="en-GB"/>
        </w:rPr>
        <w:t>was</w:t>
      </w:r>
      <w:r w:rsidRPr="00635DB2">
        <w:rPr>
          <w:bCs/>
          <w:szCs w:val="22"/>
          <w:lang w:val="en-GB"/>
        </w:rPr>
        <w:t xml:space="preserve"> </w:t>
      </w:r>
      <w:r w:rsidR="00493B7E" w:rsidRPr="00635DB2">
        <w:rPr>
          <w:bCs/>
          <w:szCs w:val="22"/>
          <w:lang w:val="en-GB"/>
        </w:rPr>
        <w:t>the appropriate</w:t>
      </w:r>
      <w:r w:rsidR="00F53D19" w:rsidRPr="00635DB2">
        <w:rPr>
          <w:bCs/>
          <w:szCs w:val="22"/>
          <w:lang w:val="en-GB"/>
        </w:rPr>
        <w:t xml:space="preserve"> comparator</w:t>
      </w:r>
      <w:r w:rsidR="00322F1A">
        <w:rPr>
          <w:bCs/>
          <w:szCs w:val="22"/>
          <w:lang w:val="en-GB"/>
        </w:rPr>
        <w:t>.</w:t>
      </w:r>
    </w:p>
    <w:p w:rsidR="001B2F07" w:rsidRPr="001B2F07" w:rsidRDefault="001B2F07" w:rsidP="00323E7A">
      <w:pPr>
        <w:widowControl/>
        <w:rPr>
          <w:bCs/>
          <w:szCs w:val="22"/>
          <w:lang w:val="en-GB"/>
        </w:rPr>
      </w:pPr>
    </w:p>
    <w:p w:rsidR="001B2F07" w:rsidRPr="003F23CD" w:rsidRDefault="001B2F07" w:rsidP="00323E7A">
      <w:pPr>
        <w:pStyle w:val="ListParagraph"/>
        <w:widowControl/>
        <w:numPr>
          <w:ilvl w:val="1"/>
          <w:numId w:val="23"/>
        </w:numPr>
        <w:ind w:left="709" w:hanging="709"/>
        <w:rPr>
          <w:bCs/>
          <w:szCs w:val="22"/>
          <w:lang w:val="en-GB"/>
        </w:rPr>
      </w:pPr>
      <w:r>
        <w:rPr>
          <w:bCs/>
          <w:szCs w:val="22"/>
          <w:lang w:val="en-GB"/>
        </w:rPr>
        <w:t>The PBAC noted that the TGA had not completed its review of nivolumab at the time of PBAC consideration.</w:t>
      </w:r>
    </w:p>
    <w:p w:rsidR="007B6D1B" w:rsidRPr="00A51118" w:rsidRDefault="007B6D1B" w:rsidP="00323E7A">
      <w:pPr>
        <w:widowControl/>
        <w:rPr>
          <w:bCs/>
          <w:szCs w:val="22"/>
          <w:lang w:val="en-GB"/>
        </w:rPr>
      </w:pPr>
    </w:p>
    <w:p w:rsidR="00422132" w:rsidRDefault="00E71574" w:rsidP="00323E7A">
      <w:pPr>
        <w:pStyle w:val="ListParagraph"/>
        <w:widowControl/>
        <w:numPr>
          <w:ilvl w:val="1"/>
          <w:numId w:val="23"/>
        </w:numPr>
        <w:ind w:left="709" w:hanging="709"/>
        <w:rPr>
          <w:bCs/>
          <w:szCs w:val="22"/>
          <w:lang w:val="en-GB"/>
        </w:rPr>
      </w:pPr>
      <w:r w:rsidRPr="000F4F75">
        <w:rPr>
          <w:bCs/>
          <w:szCs w:val="22"/>
          <w:lang w:val="en-GB"/>
        </w:rPr>
        <w:t xml:space="preserve">Following </w:t>
      </w:r>
      <w:r w:rsidR="00DE5A6E">
        <w:rPr>
          <w:bCs/>
          <w:szCs w:val="22"/>
          <w:lang w:val="en-GB"/>
        </w:rPr>
        <w:t>its</w:t>
      </w:r>
      <w:r w:rsidRPr="000F4F75">
        <w:rPr>
          <w:bCs/>
          <w:szCs w:val="22"/>
          <w:lang w:val="en-GB"/>
        </w:rPr>
        <w:t xml:space="preserve"> recommendation of pembrolizumab through a managed entry scheme (MES) at its March 2015 meeting,</w:t>
      </w:r>
      <w:r w:rsidR="00DE5A6E">
        <w:rPr>
          <w:bCs/>
          <w:szCs w:val="22"/>
          <w:lang w:val="en-GB"/>
        </w:rPr>
        <w:t xml:space="preserve"> the PBAC </w:t>
      </w:r>
      <w:r w:rsidRPr="000F4F75">
        <w:rPr>
          <w:bCs/>
          <w:szCs w:val="22"/>
          <w:lang w:val="en-GB"/>
        </w:rPr>
        <w:t>considered that pembrolizumab</w:t>
      </w:r>
      <w:r w:rsidR="00322F1A">
        <w:rPr>
          <w:bCs/>
          <w:szCs w:val="22"/>
          <w:lang w:val="en-GB"/>
        </w:rPr>
        <w:t xml:space="preserve"> wa</w:t>
      </w:r>
      <w:r w:rsidR="00322F1A" w:rsidRPr="000F4F75">
        <w:rPr>
          <w:bCs/>
          <w:szCs w:val="22"/>
          <w:lang w:val="en-GB"/>
        </w:rPr>
        <w:t>s the appropriate comparator</w:t>
      </w:r>
      <w:r w:rsidR="00322F1A">
        <w:rPr>
          <w:bCs/>
          <w:szCs w:val="22"/>
          <w:lang w:val="en-GB"/>
        </w:rPr>
        <w:t>.  It is</w:t>
      </w:r>
      <w:r w:rsidRPr="000F4F75">
        <w:rPr>
          <w:bCs/>
          <w:szCs w:val="22"/>
          <w:lang w:val="en-GB"/>
        </w:rPr>
        <w:t xml:space="preserve"> also a PD-1 inhibitor, </w:t>
      </w:r>
      <w:r w:rsidR="00322F1A">
        <w:rPr>
          <w:bCs/>
          <w:szCs w:val="22"/>
          <w:lang w:val="en-GB"/>
        </w:rPr>
        <w:t>so</w:t>
      </w:r>
      <w:r w:rsidR="007D4ECC">
        <w:rPr>
          <w:bCs/>
          <w:szCs w:val="22"/>
          <w:lang w:val="en-GB"/>
        </w:rPr>
        <w:t xml:space="preserve"> it is in the same pharmacological class as nivolumab</w:t>
      </w:r>
      <w:r w:rsidR="00A33FE6">
        <w:rPr>
          <w:bCs/>
          <w:szCs w:val="22"/>
          <w:lang w:val="en-GB"/>
        </w:rPr>
        <w:t>.</w:t>
      </w:r>
      <w:r w:rsidR="00322F1A">
        <w:rPr>
          <w:bCs/>
          <w:szCs w:val="22"/>
          <w:lang w:val="en-GB"/>
        </w:rPr>
        <w:t xml:space="preserve"> </w:t>
      </w:r>
      <w:r w:rsidR="00B77624" w:rsidRPr="00B77624">
        <w:rPr>
          <w:bCs/>
          <w:szCs w:val="22"/>
          <w:lang w:val="en-GB"/>
        </w:rPr>
        <w:t xml:space="preserve"> </w:t>
      </w:r>
      <w:r w:rsidR="00322F1A">
        <w:rPr>
          <w:bCs/>
          <w:szCs w:val="22"/>
          <w:lang w:val="en-GB"/>
        </w:rPr>
        <w:t>Further</w:t>
      </w:r>
      <w:r w:rsidR="00CE1F7B">
        <w:rPr>
          <w:bCs/>
          <w:szCs w:val="22"/>
          <w:lang w:val="en-GB"/>
        </w:rPr>
        <w:t>,</w:t>
      </w:r>
      <w:r w:rsidR="00A33FE6">
        <w:rPr>
          <w:bCs/>
          <w:szCs w:val="22"/>
          <w:lang w:val="en-GB"/>
        </w:rPr>
        <w:t xml:space="preserve"> t</w:t>
      </w:r>
      <w:r w:rsidR="00B77624">
        <w:rPr>
          <w:bCs/>
          <w:szCs w:val="22"/>
          <w:lang w:val="en-GB"/>
        </w:rPr>
        <w:t xml:space="preserve">he </w:t>
      </w:r>
      <w:r w:rsidR="00A33FE6">
        <w:rPr>
          <w:bCs/>
          <w:szCs w:val="22"/>
          <w:lang w:val="en-GB"/>
        </w:rPr>
        <w:t xml:space="preserve">proposed patient population for nivolumab would </w:t>
      </w:r>
      <w:r w:rsidR="00CE1F7B">
        <w:rPr>
          <w:bCs/>
          <w:szCs w:val="22"/>
          <w:lang w:val="en-GB"/>
        </w:rPr>
        <w:t>receive pembrolizumab</w:t>
      </w:r>
      <w:r w:rsidR="00CE1F7B" w:rsidDel="00A33FE6">
        <w:rPr>
          <w:bCs/>
          <w:szCs w:val="22"/>
          <w:lang w:val="en-GB"/>
        </w:rPr>
        <w:t xml:space="preserve"> </w:t>
      </w:r>
      <w:r w:rsidR="00CE1F7B">
        <w:rPr>
          <w:bCs/>
          <w:szCs w:val="22"/>
          <w:lang w:val="en-GB"/>
        </w:rPr>
        <w:t xml:space="preserve">following its </w:t>
      </w:r>
      <w:r w:rsidR="00322F1A">
        <w:rPr>
          <w:bCs/>
          <w:szCs w:val="22"/>
          <w:lang w:val="en-GB"/>
        </w:rPr>
        <w:t xml:space="preserve">PBS </w:t>
      </w:r>
      <w:r w:rsidR="00A33FE6">
        <w:rPr>
          <w:bCs/>
          <w:szCs w:val="22"/>
          <w:lang w:val="en-GB"/>
        </w:rPr>
        <w:t xml:space="preserve">listing </w:t>
      </w:r>
      <w:r w:rsidR="00322F1A">
        <w:rPr>
          <w:bCs/>
          <w:szCs w:val="22"/>
          <w:lang w:val="en-GB"/>
        </w:rPr>
        <w:t xml:space="preserve">in </w:t>
      </w:r>
      <w:r w:rsidR="00A33FE6">
        <w:rPr>
          <w:bCs/>
          <w:szCs w:val="22"/>
          <w:lang w:val="en-GB"/>
        </w:rPr>
        <w:t xml:space="preserve">September 2015. </w:t>
      </w:r>
      <w:r w:rsidR="00322F1A">
        <w:rPr>
          <w:bCs/>
          <w:szCs w:val="22"/>
          <w:lang w:val="en-GB"/>
        </w:rPr>
        <w:t xml:space="preserve"> </w:t>
      </w:r>
      <w:r w:rsidR="00CE1F7B">
        <w:rPr>
          <w:bCs/>
          <w:szCs w:val="22"/>
          <w:lang w:val="en-GB"/>
        </w:rPr>
        <w:t xml:space="preserve">For </w:t>
      </w:r>
      <w:r w:rsidR="00322F1A">
        <w:rPr>
          <w:bCs/>
          <w:szCs w:val="22"/>
          <w:lang w:val="en-GB"/>
        </w:rPr>
        <w:t>both</w:t>
      </w:r>
      <w:r w:rsidR="00CE1F7B">
        <w:rPr>
          <w:bCs/>
          <w:szCs w:val="22"/>
          <w:lang w:val="en-GB"/>
        </w:rPr>
        <w:t xml:space="preserve"> these reasons,</w:t>
      </w:r>
      <w:r w:rsidR="00A33FE6">
        <w:rPr>
          <w:bCs/>
          <w:szCs w:val="22"/>
          <w:lang w:val="en-GB"/>
        </w:rPr>
        <w:t xml:space="preserve"> pembrolizumab </w:t>
      </w:r>
      <w:r w:rsidR="00CE1F7B">
        <w:rPr>
          <w:bCs/>
          <w:szCs w:val="22"/>
          <w:lang w:val="en-GB"/>
        </w:rPr>
        <w:t xml:space="preserve">was considered the </w:t>
      </w:r>
      <w:r w:rsidR="00322F1A">
        <w:rPr>
          <w:bCs/>
          <w:szCs w:val="22"/>
          <w:lang w:val="en-GB"/>
        </w:rPr>
        <w:t>appropriate comparator.</w:t>
      </w:r>
    </w:p>
    <w:p w:rsidR="009405C9" w:rsidRPr="0037703E" w:rsidRDefault="009405C9" w:rsidP="00323E7A">
      <w:pPr>
        <w:widowControl/>
        <w:rPr>
          <w:bCs/>
          <w:szCs w:val="22"/>
          <w:lang w:val="en-GB"/>
        </w:rPr>
      </w:pPr>
    </w:p>
    <w:p w:rsidR="00635DB2" w:rsidRDefault="00982380" w:rsidP="00323E7A">
      <w:pPr>
        <w:pStyle w:val="ListParagraph"/>
        <w:widowControl/>
        <w:numPr>
          <w:ilvl w:val="1"/>
          <w:numId w:val="23"/>
        </w:numPr>
        <w:ind w:left="709" w:hanging="709"/>
        <w:rPr>
          <w:bCs/>
          <w:szCs w:val="22"/>
          <w:lang w:val="en-GB"/>
        </w:rPr>
      </w:pPr>
      <w:r>
        <w:rPr>
          <w:bCs/>
          <w:szCs w:val="22"/>
          <w:lang w:val="en-GB"/>
        </w:rPr>
        <w:t>The PBAC agreed with the ESC that the</w:t>
      </w:r>
      <w:r w:rsidR="005A12C3">
        <w:rPr>
          <w:bCs/>
          <w:szCs w:val="22"/>
          <w:lang w:val="en-GB"/>
        </w:rPr>
        <w:t xml:space="preserve"> indirect comparison between nivolumab and ipilimumab presented in the submission was unreliable due to poor exchangeability of the trials.</w:t>
      </w:r>
      <w:r>
        <w:rPr>
          <w:bCs/>
          <w:szCs w:val="22"/>
          <w:lang w:val="en-GB"/>
        </w:rPr>
        <w:t xml:space="preserve"> </w:t>
      </w:r>
      <w:r w:rsidR="0037703E">
        <w:rPr>
          <w:bCs/>
          <w:szCs w:val="22"/>
          <w:lang w:val="en-GB"/>
        </w:rPr>
        <w:t xml:space="preserve"> </w:t>
      </w:r>
      <w:r w:rsidR="00007A29">
        <w:rPr>
          <w:bCs/>
          <w:szCs w:val="22"/>
          <w:lang w:val="en-GB"/>
        </w:rPr>
        <w:t xml:space="preserve">The PBAC noted that </w:t>
      </w:r>
      <w:r w:rsidR="0060566D" w:rsidRPr="0060566D">
        <w:rPr>
          <w:bCs/>
          <w:szCs w:val="22"/>
          <w:lang w:val="en-GB"/>
        </w:rPr>
        <w:t>CA209-067 would likely provide stronger support for the submission’s clinical claim of superior comparative efficacy and safety over ipilimumab, but noted that the information about this trial and its results were limited and still emerging</w:t>
      </w:r>
      <w:r>
        <w:rPr>
          <w:bCs/>
          <w:szCs w:val="22"/>
          <w:lang w:val="en-GB"/>
        </w:rPr>
        <w:t>.</w:t>
      </w:r>
      <w:r w:rsidR="0037703E">
        <w:rPr>
          <w:bCs/>
          <w:szCs w:val="22"/>
          <w:lang w:val="en-GB"/>
        </w:rPr>
        <w:t xml:space="preserve"> </w:t>
      </w:r>
      <w:r>
        <w:rPr>
          <w:bCs/>
          <w:szCs w:val="22"/>
          <w:lang w:val="en-GB"/>
        </w:rPr>
        <w:t xml:space="preserve"> </w:t>
      </w:r>
      <w:r w:rsidR="00635DB2">
        <w:rPr>
          <w:bCs/>
          <w:szCs w:val="22"/>
          <w:lang w:val="en-GB"/>
        </w:rPr>
        <w:t>The PBAC also considered that the extent of superior comparative effectiveness and safety of nivolumab compared with ipilimumab had not been adequately established by the submission and, due to several issues with the economic model, the resulting ICER was highly uncertain.</w:t>
      </w:r>
    </w:p>
    <w:p w:rsidR="009260E3" w:rsidRPr="009260E3" w:rsidRDefault="009260E3" w:rsidP="00323E7A">
      <w:pPr>
        <w:widowControl/>
        <w:rPr>
          <w:bCs/>
          <w:szCs w:val="22"/>
          <w:lang w:val="en-GB"/>
        </w:rPr>
      </w:pPr>
    </w:p>
    <w:p w:rsidR="00787D4C" w:rsidRDefault="008E5D06" w:rsidP="00323E7A">
      <w:pPr>
        <w:pStyle w:val="ListParagraph"/>
        <w:widowControl/>
        <w:numPr>
          <w:ilvl w:val="1"/>
          <w:numId w:val="23"/>
        </w:numPr>
        <w:ind w:left="709" w:hanging="709"/>
        <w:rPr>
          <w:bCs/>
          <w:szCs w:val="22"/>
          <w:lang w:val="en-GB"/>
        </w:rPr>
      </w:pPr>
      <w:r w:rsidRPr="003E4818">
        <w:rPr>
          <w:bCs/>
          <w:szCs w:val="22"/>
          <w:lang w:val="en-GB"/>
        </w:rPr>
        <w:t xml:space="preserve">The PBAC </w:t>
      </w:r>
      <w:r w:rsidR="00DA54A3" w:rsidRPr="003E4818">
        <w:rPr>
          <w:bCs/>
          <w:szCs w:val="22"/>
          <w:lang w:val="en-GB"/>
        </w:rPr>
        <w:t xml:space="preserve">considered that </w:t>
      </w:r>
      <w:r w:rsidRPr="003E4818">
        <w:rPr>
          <w:bCs/>
          <w:szCs w:val="22"/>
          <w:lang w:val="en-GB"/>
        </w:rPr>
        <w:t xml:space="preserve">the </w:t>
      </w:r>
      <w:r w:rsidR="00537A14" w:rsidRPr="00537A14">
        <w:rPr>
          <w:bCs/>
          <w:szCs w:val="22"/>
          <w:lang w:val="en-GB"/>
        </w:rPr>
        <w:t xml:space="preserve">incremental cost per QALY </w:t>
      </w:r>
      <w:r w:rsidR="00A3419C">
        <w:rPr>
          <w:bCs/>
          <w:szCs w:val="22"/>
          <w:lang w:val="en-GB"/>
        </w:rPr>
        <w:t xml:space="preserve">of nivolumab </w:t>
      </w:r>
      <w:r w:rsidR="00537A14" w:rsidRPr="00537A14">
        <w:rPr>
          <w:bCs/>
          <w:szCs w:val="22"/>
          <w:lang w:val="en-GB"/>
        </w:rPr>
        <w:t>over ipilimumab presented in the submission’s base case analysis, $</w:t>
      </w:r>
      <w:r w:rsidR="00C4564E">
        <w:rPr>
          <w:bCs/>
          <w:szCs w:val="22"/>
          <w:lang w:val="en-GB"/>
        </w:rPr>
        <w:t>45,000 - $75,000</w:t>
      </w:r>
      <w:r w:rsidR="00537A14">
        <w:rPr>
          <w:bCs/>
          <w:szCs w:val="22"/>
          <w:lang w:val="en-GB"/>
        </w:rPr>
        <w:t xml:space="preserve">, </w:t>
      </w:r>
      <w:r w:rsidR="00537A14" w:rsidRPr="00537A14">
        <w:rPr>
          <w:bCs/>
          <w:szCs w:val="22"/>
          <w:lang w:val="en-GB"/>
        </w:rPr>
        <w:t>was significantly underestimated and did not accurately represent the cost</w:t>
      </w:r>
      <w:r w:rsidR="00C4564E">
        <w:rPr>
          <w:bCs/>
          <w:szCs w:val="22"/>
          <w:lang w:val="en-GB"/>
        </w:rPr>
        <w:noBreakHyphen/>
      </w:r>
      <w:r w:rsidR="00537A14" w:rsidRPr="00537A14">
        <w:rPr>
          <w:bCs/>
          <w:szCs w:val="22"/>
          <w:lang w:val="en-GB"/>
        </w:rPr>
        <w:t>effectiveness of nivolumab over ipilimumab</w:t>
      </w:r>
      <w:r w:rsidR="00537A14">
        <w:rPr>
          <w:bCs/>
          <w:szCs w:val="22"/>
          <w:lang w:val="en-GB"/>
        </w:rPr>
        <w:t xml:space="preserve"> due to </w:t>
      </w:r>
      <w:r w:rsidR="003E4818">
        <w:rPr>
          <w:bCs/>
          <w:szCs w:val="22"/>
          <w:lang w:val="en-GB"/>
        </w:rPr>
        <w:t xml:space="preserve">the following concerns with the </w:t>
      </w:r>
      <w:r w:rsidR="00537A14" w:rsidRPr="003E4818">
        <w:rPr>
          <w:bCs/>
          <w:szCs w:val="22"/>
          <w:lang w:val="en-GB"/>
        </w:rPr>
        <w:t>economic model</w:t>
      </w:r>
      <w:r w:rsidR="00537A14">
        <w:rPr>
          <w:bCs/>
          <w:szCs w:val="22"/>
          <w:lang w:val="en-GB"/>
        </w:rPr>
        <w:t>:</w:t>
      </w:r>
    </w:p>
    <w:p w:rsidR="00537A14" w:rsidRPr="00537A14" w:rsidRDefault="00537A14" w:rsidP="00323E7A">
      <w:pPr>
        <w:pStyle w:val="ListParagraph"/>
        <w:widowControl/>
        <w:numPr>
          <w:ilvl w:val="0"/>
          <w:numId w:val="7"/>
        </w:numPr>
        <w:ind w:left="993" w:hanging="284"/>
        <w:rPr>
          <w:bCs/>
          <w:szCs w:val="22"/>
          <w:lang w:val="en-GB"/>
        </w:rPr>
      </w:pPr>
      <w:r w:rsidRPr="00537A14">
        <w:rPr>
          <w:bCs/>
          <w:szCs w:val="22"/>
          <w:lang w:val="en-GB"/>
        </w:rPr>
        <w:lastRenderedPageBreak/>
        <w:t>The unnecessarily complex approach to modelling the transitions across the usual three health state structure of a model in metast</w:t>
      </w:r>
      <w:r w:rsidR="00C4564E">
        <w:rPr>
          <w:bCs/>
          <w:szCs w:val="22"/>
          <w:lang w:val="en-GB"/>
        </w:rPr>
        <w:t>atic cancer resulted in counter</w:t>
      </w:r>
      <w:r w:rsidR="00C4564E">
        <w:rPr>
          <w:bCs/>
          <w:szCs w:val="22"/>
          <w:lang w:val="en-GB"/>
        </w:rPr>
        <w:noBreakHyphen/>
      </w:r>
      <w:r w:rsidRPr="00537A14">
        <w:rPr>
          <w:bCs/>
          <w:szCs w:val="22"/>
          <w:lang w:val="en-GB"/>
        </w:rPr>
        <w:t>intuitive results when tested in sensitivity analyses which could not be readily explained.</w:t>
      </w:r>
    </w:p>
    <w:p w:rsidR="003E4818" w:rsidRDefault="00A44EDA" w:rsidP="00323E7A">
      <w:pPr>
        <w:pStyle w:val="ListParagraph"/>
        <w:widowControl/>
        <w:numPr>
          <w:ilvl w:val="0"/>
          <w:numId w:val="7"/>
        </w:numPr>
        <w:ind w:left="993" w:hanging="284"/>
        <w:rPr>
          <w:bCs/>
          <w:szCs w:val="22"/>
          <w:lang w:val="en-GB"/>
        </w:rPr>
      </w:pPr>
      <w:r>
        <w:rPr>
          <w:bCs/>
          <w:szCs w:val="22"/>
          <w:lang w:val="en-GB"/>
        </w:rPr>
        <w:t>T</w:t>
      </w:r>
      <w:r w:rsidRPr="00A44EDA">
        <w:rPr>
          <w:bCs/>
          <w:szCs w:val="22"/>
          <w:lang w:val="en-GB"/>
        </w:rPr>
        <w:t>he lack of sensitivity analyses employing alternative curves</w:t>
      </w:r>
      <w:r>
        <w:rPr>
          <w:bCs/>
          <w:szCs w:val="22"/>
          <w:lang w:val="en-GB"/>
        </w:rPr>
        <w:t xml:space="preserve"> to the log-logistic extrapolation method</w:t>
      </w:r>
      <w:r w:rsidRPr="00A44EDA">
        <w:rPr>
          <w:bCs/>
          <w:szCs w:val="22"/>
          <w:lang w:val="en-GB"/>
        </w:rPr>
        <w:t>.  In addition, the model did not use Kaplan-Meier trial-based data followed by extrapolated curves, and instead used solely modelled curves.</w:t>
      </w:r>
      <w:r w:rsidR="00F2655B" w:rsidRPr="00F2655B">
        <w:t xml:space="preserve"> </w:t>
      </w:r>
      <w:r w:rsidR="0037703E">
        <w:t xml:space="preserve"> </w:t>
      </w:r>
      <w:r w:rsidR="00F2655B">
        <w:rPr>
          <w:bCs/>
          <w:szCs w:val="22"/>
          <w:lang w:val="en-GB"/>
        </w:rPr>
        <w:t>T</w:t>
      </w:r>
      <w:r w:rsidR="00F2655B" w:rsidRPr="00F2655B">
        <w:rPr>
          <w:bCs/>
          <w:szCs w:val="22"/>
          <w:lang w:val="en-GB"/>
        </w:rPr>
        <w:t>he PBAC</w:t>
      </w:r>
      <w:r w:rsidR="00F2655B">
        <w:rPr>
          <w:bCs/>
          <w:szCs w:val="22"/>
          <w:lang w:val="en-GB"/>
        </w:rPr>
        <w:t xml:space="preserve"> noted its</w:t>
      </w:r>
      <w:r w:rsidR="00F2655B" w:rsidRPr="00F2655B">
        <w:rPr>
          <w:bCs/>
          <w:szCs w:val="22"/>
          <w:lang w:val="en-GB"/>
        </w:rPr>
        <w:t xml:space="preserve"> preference for economic evaluations that directly reflect the trial data before using modelling to extrapolate beyond the median duration of follow-up in the trials</w:t>
      </w:r>
      <w:r w:rsidR="00F2655B">
        <w:rPr>
          <w:bCs/>
          <w:szCs w:val="22"/>
          <w:lang w:val="en-GB"/>
        </w:rPr>
        <w:t>.</w:t>
      </w:r>
    </w:p>
    <w:p w:rsidR="00F53D19" w:rsidRDefault="00A44EDA" w:rsidP="00323E7A">
      <w:pPr>
        <w:pStyle w:val="ListParagraph"/>
        <w:widowControl/>
        <w:numPr>
          <w:ilvl w:val="0"/>
          <w:numId w:val="7"/>
        </w:numPr>
        <w:ind w:left="993" w:hanging="284"/>
        <w:rPr>
          <w:bCs/>
          <w:szCs w:val="22"/>
          <w:lang w:val="en-GB"/>
        </w:rPr>
      </w:pPr>
      <w:r>
        <w:rPr>
          <w:bCs/>
          <w:szCs w:val="22"/>
          <w:lang w:val="en-GB"/>
        </w:rPr>
        <w:t>T</w:t>
      </w:r>
      <w:r w:rsidRPr="00A44EDA">
        <w:rPr>
          <w:bCs/>
          <w:szCs w:val="22"/>
          <w:lang w:val="en-GB"/>
        </w:rPr>
        <w:t xml:space="preserve">he 10-year time horizon is not strongly supported by the clinical evidence </w:t>
      </w:r>
      <w:r>
        <w:rPr>
          <w:bCs/>
          <w:szCs w:val="22"/>
          <w:lang w:val="en-GB"/>
        </w:rPr>
        <w:t>and</w:t>
      </w:r>
      <w:r w:rsidRPr="00A44EDA">
        <w:rPr>
          <w:bCs/>
          <w:szCs w:val="22"/>
          <w:lang w:val="en-GB"/>
        </w:rPr>
        <w:t xml:space="preserve"> favoured nivolumab signif</w:t>
      </w:r>
      <w:r>
        <w:rPr>
          <w:bCs/>
          <w:szCs w:val="22"/>
          <w:lang w:val="en-GB"/>
        </w:rPr>
        <w:t>icantly in the economic model.</w:t>
      </w:r>
    </w:p>
    <w:p w:rsidR="00F53D19" w:rsidRDefault="00F53D19" w:rsidP="00323E7A">
      <w:pPr>
        <w:pStyle w:val="ListParagraph"/>
        <w:widowControl/>
        <w:numPr>
          <w:ilvl w:val="0"/>
          <w:numId w:val="7"/>
        </w:numPr>
        <w:ind w:left="993" w:hanging="284"/>
        <w:rPr>
          <w:bCs/>
          <w:szCs w:val="22"/>
          <w:lang w:val="en-GB"/>
        </w:rPr>
      </w:pPr>
      <w:r w:rsidRPr="00F53D19">
        <w:rPr>
          <w:bCs/>
          <w:szCs w:val="22"/>
          <w:lang w:val="en-GB"/>
        </w:rPr>
        <w:t xml:space="preserve">Only the Akaike information criterion (AIC) statistics were presented for the extrapolated curves used throughout the model. </w:t>
      </w:r>
      <w:r w:rsidR="0037703E">
        <w:rPr>
          <w:bCs/>
          <w:szCs w:val="22"/>
          <w:lang w:val="en-GB"/>
        </w:rPr>
        <w:t xml:space="preserve"> </w:t>
      </w:r>
      <w:r w:rsidRPr="00F53D19">
        <w:rPr>
          <w:bCs/>
          <w:szCs w:val="22"/>
          <w:lang w:val="en-GB"/>
        </w:rPr>
        <w:t>The modelled PFS curves, in particular, appeared to be highly favourable to nivolumab.</w:t>
      </w:r>
    </w:p>
    <w:p w:rsidR="00F53D19" w:rsidRPr="00F53D19" w:rsidRDefault="00F53D19" w:rsidP="00323E7A">
      <w:pPr>
        <w:pStyle w:val="ListParagraph"/>
        <w:widowControl/>
        <w:numPr>
          <w:ilvl w:val="0"/>
          <w:numId w:val="7"/>
        </w:numPr>
        <w:ind w:left="993" w:hanging="284"/>
        <w:rPr>
          <w:bCs/>
          <w:szCs w:val="22"/>
          <w:lang w:val="en-GB"/>
        </w:rPr>
      </w:pPr>
      <w:r w:rsidRPr="00F53D19">
        <w:rPr>
          <w:bCs/>
          <w:szCs w:val="22"/>
          <w:lang w:val="en-GB"/>
        </w:rPr>
        <w:t>The extrapolations used in the model were based on treatment effects which were derived from an indirect comparison of poorly exchangeable trials that was likely to be biased, in favour of nivolumab (healthier trial patients).</w:t>
      </w:r>
    </w:p>
    <w:p w:rsidR="00BA6A60" w:rsidRDefault="00BA6A60" w:rsidP="00323E7A">
      <w:pPr>
        <w:pStyle w:val="ListParagraph"/>
        <w:widowControl/>
        <w:numPr>
          <w:ilvl w:val="0"/>
          <w:numId w:val="7"/>
        </w:numPr>
        <w:ind w:left="993" w:hanging="284"/>
        <w:rPr>
          <w:bCs/>
          <w:szCs w:val="22"/>
          <w:lang w:val="en-GB"/>
        </w:rPr>
      </w:pPr>
      <w:r>
        <w:rPr>
          <w:bCs/>
          <w:szCs w:val="22"/>
          <w:lang w:val="en-GB"/>
        </w:rPr>
        <w:t>The absolute utility values (around 0.8) used for non-progressive and progressive disease states appeared to be high for a popul</w:t>
      </w:r>
      <w:r w:rsidR="007E75EA">
        <w:rPr>
          <w:bCs/>
          <w:szCs w:val="22"/>
          <w:lang w:val="en-GB"/>
        </w:rPr>
        <w:t>ation with advanced cancer, and have a significant effect on the ICER.</w:t>
      </w:r>
    </w:p>
    <w:p w:rsidR="0021630B" w:rsidRPr="0021630B" w:rsidRDefault="0021630B" w:rsidP="00323E7A">
      <w:pPr>
        <w:pStyle w:val="ListParagraph"/>
        <w:widowControl/>
        <w:numPr>
          <w:ilvl w:val="0"/>
          <w:numId w:val="7"/>
        </w:numPr>
        <w:ind w:left="993" w:hanging="284"/>
        <w:rPr>
          <w:bCs/>
          <w:szCs w:val="22"/>
          <w:lang w:val="en-GB"/>
        </w:rPr>
      </w:pPr>
      <w:r w:rsidRPr="0021630B">
        <w:rPr>
          <w:bCs/>
          <w:szCs w:val="22"/>
          <w:lang w:val="en-GB"/>
        </w:rPr>
        <w:t xml:space="preserve">The model </w:t>
      </w:r>
      <w:r>
        <w:rPr>
          <w:bCs/>
          <w:szCs w:val="22"/>
          <w:lang w:val="en-GB"/>
        </w:rPr>
        <w:t xml:space="preserve">assumed no further lines of therapy and </w:t>
      </w:r>
      <w:r w:rsidRPr="0021630B">
        <w:rPr>
          <w:bCs/>
          <w:szCs w:val="22"/>
          <w:lang w:val="en-GB"/>
        </w:rPr>
        <w:t>did not incorporate costs of patients continuing nivolumab treatment beyond progression</w:t>
      </w:r>
      <w:r>
        <w:rPr>
          <w:bCs/>
          <w:szCs w:val="22"/>
          <w:lang w:val="en-GB"/>
        </w:rPr>
        <w:t>, which would be likely to occur in clinical practice</w:t>
      </w:r>
      <w:r w:rsidRPr="0021630B">
        <w:rPr>
          <w:bCs/>
          <w:szCs w:val="22"/>
          <w:lang w:val="en-GB"/>
        </w:rPr>
        <w:t>.</w:t>
      </w:r>
    </w:p>
    <w:p w:rsidR="00537A14" w:rsidRDefault="00A44EDA" w:rsidP="00323E7A">
      <w:pPr>
        <w:pStyle w:val="ListParagraph"/>
        <w:widowControl/>
        <w:numPr>
          <w:ilvl w:val="0"/>
          <w:numId w:val="7"/>
        </w:numPr>
        <w:ind w:left="993" w:hanging="284"/>
        <w:rPr>
          <w:bCs/>
          <w:szCs w:val="22"/>
          <w:lang w:val="en-GB"/>
        </w:rPr>
      </w:pPr>
      <w:r w:rsidRPr="00A44EDA">
        <w:rPr>
          <w:bCs/>
          <w:szCs w:val="22"/>
          <w:lang w:val="en-GB"/>
        </w:rPr>
        <w:t>Adverse events were not included in the model.</w:t>
      </w:r>
    </w:p>
    <w:p w:rsidR="000727F4" w:rsidRPr="003C3927" w:rsidRDefault="000727F4" w:rsidP="00323E7A">
      <w:pPr>
        <w:widowControl/>
        <w:contextualSpacing/>
        <w:rPr>
          <w:bCs/>
          <w:szCs w:val="22"/>
          <w:highlight w:val="yellow"/>
          <w:lang w:val="en-GB"/>
        </w:rPr>
      </w:pPr>
    </w:p>
    <w:p w:rsidR="001B2F07" w:rsidRDefault="001B2F07" w:rsidP="00323E7A">
      <w:pPr>
        <w:pStyle w:val="ListParagraph"/>
        <w:widowControl/>
        <w:numPr>
          <w:ilvl w:val="1"/>
          <w:numId w:val="23"/>
        </w:numPr>
        <w:ind w:left="709" w:hanging="709"/>
        <w:rPr>
          <w:bCs/>
          <w:szCs w:val="22"/>
          <w:lang w:val="en-GB"/>
        </w:rPr>
      </w:pPr>
      <w:r>
        <w:rPr>
          <w:bCs/>
          <w:szCs w:val="22"/>
          <w:lang w:val="en-GB"/>
        </w:rPr>
        <w:t xml:space="preserve">The PBAC considered that the indirect comparison of nivolumab and pembrolizumab presented in the PSCR, based on CA209-067 and KN-006 with ipilimumab as the common reference, suggested that they may be similar, however </w:t>
      </w:r>
      <w:r w:rsidRPr="009B2D42">
        <w:rPr>
          <w:bCs/>
          <w:szCs w:val="22"/>
          <w:lang w:val="en-GB"/>
        </w:rPr>
        <w:t xml:space="preserve">limited information </w:t>
      </w:r>
      <w:r>
        <w:rPr>
          <w:bCs/>
          <w:szCs w:val="22"/>
          <w:lang w:val="en-GB"/>
        </w:rPr>
        <w:t xml:space="preserve">was </w:t>
      </w:r>
      <w:r w:rsidRPr="009B2D42">
        <w:rPr>
          <w:bCs/>
          <w:szCs w:val="22"/>
          <w:lang w:val="en-GB"/>
        </w:rPr>
        <w:t>available to assess the exchangeability of these two trials, including whether the duration of follow-up was similar across the data analysed from the two trials</w:t>
      </w:r>
      <w:r>
        <w:rPr>
          <w:bCs/>
          <w:szCs w:val="22"/>
          <w:lang w:val="en-GB"/>
        </w:rPr>
        <w:t xml:space="preserve">.  </w:t>
      </w:r>
      <w:r w:rsidR="00CD6F32">
        <w:rPr>
          <w:bCs/>
          <w:szCs w:val="22"/>
          <w:lang w:val="en-GB"/>
        </w:rPr>
        <w:t xml:space="preserve">The possible signal of reduced colitis was considered in the light of emerging Australian evidence that colitis may have been under-reported in the ipilimumab trials, and so the extent of colitis following any of these recent cancer immunotherapies in regular clinical practice is not yet known with confidence.  </w:t>
      </w:r>
      <w:r>
        <w:rPr>
          <w:bCs/>
          <w:szCs w:val="22"/>
          <w:lang w:val="en-GB"/>
        </w:rPr>
        <w:t>Given the risk-share arrangements applying to pembrolizumab as part of its MES (an option rejected by the sponsor of nivolumab), nivolumab would not be cheaper, and its fortnightly dosing regimen is less convenient tha</w:t>
      </w:r>
      <w:r w:rsidR="003305F5">
        <w:rPr>
          <w:bCs/>
          <w:szCs w:val="22"/>
          <w:lang w:val="en-GB"/>
        </w:rPr>
        <w:t>n</w:t>
      </w:r>
      <w:r>
        <w:rPr>
          <w:bCs/>
          <w:szCs w:val="22"/>
          <w:lang w:val="en-GB"/>
        </w:rPr>
        <w:t xml:space="preserve"> pembrolizumab’s dosing regimen</w:t>
      </w:r>
      <w:r w:rsidR="003305F5">
        <w:rPr>
          <w:bCs/>
          <w:szCs w:val="22"/>
          <w:lang w:val="en-GB"/>
        </w:rPr>
        <w:t xml:space="preserve"> of every three weeks</w:t>
      </w:r>
      <w:r>
        <w:rPr>
          <w:bCs/>
          <w:szCs w:val="22"/>
          <w:lang w:val="en-GB"/>
        </w:rPr>
        <w:t>.</w:t>
      </w:r>
    </w:p>
    <w:p w:rsidR="00CD6F32" w:rsidRPr="00A51118" w:rsidRDefault="00CD6F32" w:rsidP="00323E7A">
      <w:pPr>
        <w:widowControl/>
        <w:rPr>
          <w:bCs/>
          <w:szCs w:val="22"/>
          <w:lang w:val="en-GB"/>
        </w:rPr>
      </w:pPr>
    </w:p>
    <w:p w:rsidR="00CD6F32" w:rsidRPr="00422132" w:rsidRDefault="00CD6F32" w:rsidP="00323E7A">
      <w:pPr>
        <w:pStyle w:val="ListParagraph"/>
        <w:widowControl/>
        <w:numPr>
          <w:ilvl w:val="1"/>
          <w:numId w:val="23"/>
        </w:numPr>
        <w:ind w:left="709" w:hanging="709"/>
        <w:rPr>
          <w:bCs/>
          <w:szCs w:val="22"/>
          <w:lang w:val="en-GB"/>
        </w:rPr>
      </w:pPr>
      <w:r>
        <w:rPr>
          <w:bCs/>
          <w:szCs w:val="22"/>
          <w:lang w:val="en-GB"/>
        </w:rPr>
        <w:t xml:space="preserve">In comparing the strength of the evidence available for the two PD-1 inhibitors, the PBAC recalled that, by the time of its March 2015 consideration of pembrolizumab, the early results of KN-006 were made available, and showed a statistically significant prolongation in median progression-free survival of pembrolizumab compared with ipilimumab based on the RECIST criteria, which the PBAC had considered was likely to be clinically meaningful.  The PBAC noted that CA209-067 was yet to report on outcomes to this extent.  The PBAC also noted that CA209-067 was primarily a comparison of nivolumab and ipilimumab combination therapy with nivolumab monotherapy and with ipilimumab monotherapy rather than comparing the two monotherapies.  Further, CA209-067 was still ongoing, and data on overall </w:t>
      </w:r>
      <w:r>
        <w:rPr>
          <w:bCs/>
          <w:szCs w:val="22"/>
          <w:lang w:val="en-GB"/>
        </w:rPr>
        <w:lastRenderedPageBreak/>
        <w:t>survival was still being collected, whereas data collection for KN-006 was stopped between March and July 2015 following an interim analysis.</w:t>
      </w:r>
    </w:p>
    <w:p w:rsidR="00CD6F32" w:rsidRPr="003E4818" w:rsidRDefault="00CD6F32" w:rsidP="00323E7A">
      <w:pPr>
        <w:widowControl/>
        <w:rPr>
          <w:bCs/>
          <w:szCs w:val="22"/>
          <w:lang w:val="en-GB"/>
        </w:rPr>
      </w:pPr>
    </w:p>
    <w:p w:rsidR="000727F4" w:rsidRPr="00265138" w:rsidRDefault="00265138" w:rsidP="00323E7A">
      <w:pPr>
        <w:pStyle w:val="ListParagraph"/>
        <w:widowControl/>
        <w:numPr>
          <w:ilvl w:val="1"/>
          <w:numId w:val="23"/>
        </w:numPr>
        <w:ind w:left="709" w:hanging="709"/>
        <w:rPr>
          <w:bCs/>
          <w:szCs w:val="22"/>
          <w:lang w:val="en-GB"/>
        </w:rPr>
      </w:pPr>
      <w:r w:rsidRPr="00265138">
        <w:rPr>
          <w:bCs/>
          <w:szCs w:val="22"/>
          <w:lang w:val="en-GB"/>
        </w:rPr>
        <w:t>The PBAC considered that</w:t>
      </w:r>
      <w:r w:rsidR="0037703E">
        <w:rPr>
          <w:bCs/>
          <w:szCs w:val="22"/>
          <w:lang w:val="en-GB"/>
        </w:rPr>
        <w:t>,</w:t>
      </w:r>
      <w:r w:rsidRPr="00265138">
        <w:rPr>
          <w:bCs/>
          <w:szCs w:val="22"/>
          <w:lang w:val="en-GB"/>
        </w:rPr>
        <w:t xml:space="preserve"> due to the various issues with the model and </w:t>
      </w:r>
      <w:r w:rsidR="00C10654">
        <w:rPr>
          <w:bCs/>
          <w:szCs w:val="22"/>
          <w:lang w:val="en-GB"/>
        </w:rPr>
        <w:t>inappropriate choice of</w:t>
      </w:r>
      <w:r w:rsidRPr="00265138">
        <w:rPr>
          <w:bCs/>
          <w:szCs w:val="22"/>
          <w:lang w:val="en-GB"/>
        </w:rPr>
        <w:t xml:space="preserve"> comparator, any resubmission should be a major submission to allow </w:t>
      </w:r>
      <w:r w:rsidR="00C10654">
        <w:rPr>
          <w:bCs/>
          <w:szCs w:val="22"/>
          <w:lang w:val="en-GB"/>
        </w:rPr>
        <w:t xml:space="preserve">for </w:t>
      </w:r>
      <w:r w:rsidRPr="00265138">
        <w:rPr>
          <w:bCs/>
          <w:szCs w:val="22"/>
          <w:lang w:val="en-GB"/>
        </w:rPr>
        <w:t>evaluation.</w:t>
      </w:r>
    </w:p>
    <w:p w:rsidR="000727F4" w:rsidRPr="003C3927" w:rsidRDefault="000727F4" w:rsidP="00323E7A">
      <w:pPr>
        <w:widowControl/>
        <w:contextualSpacing/>
        <w:rPr>
          <w:bCs/>
          <w:szCs w:val="22"/>
          <w:highlight w:val="yellow"/>
          <w:lang w:val="en-GB"/>
        </w:rPr>
      </w:pPr>
    </w:p>
    <w:p w:rsidR="000727F4" w:rsidRPr="00265138" w:rsidRDefault="000727F4" w:rsidP="00323E7A">
      <w:pPr>
        <w:pStyle w:val="ListParagraph"/>
        <w:widowControl/>
        <w:numPr>
          <w:ilvl w:val="1"/>
          <w:numId w:val="23"/>
        </w:numPr>
        <w:ind w:left="709" w:hanging="709"/>
        <w:rPr>
          <w:b/>
          <w:bCs/>
          <w:szCs w:val="22"/>
          <w:lang w:val="en-GB"/>
        </w:rPr>
      </w:pPr>
      <w:r w:rsidRPr="00265138">
        <w:rPr>
          <w:bCs/>
          <w:szCs w:val="22"/>
          <w:lang w:val="en-GB"/>
        </w:rPr>
        <w:t>The PBAC noted that this submission is elig</w:t>
      </w:r>
      <w:r w:rsidR="0037703E">
        <w:rPr>
          <w:bCs/>
          <w:szCs w:val="22"/>
          <w:lang w:val="en-GB"/>
        </w:rPr>
        <w:t>ible for an Independent Review.</w:t>
      </w:r>
    </w:p>
    <w:p w:rsidR="000727F4" w:rsidRPr="00EA0EDA" w:rsidRDefault="000727F4" w:rsidP="00323E7A">
      <w:pPr>
        <w:widowControl/>
        <w:rPr>
          <w:b/>
          <w:szCs w:val="22"/>
          <w:highlight w:val="yellow"/>
          <w:lang w:val="en-GB"/>
        </w:rPr>
      </w:pPr>
    </w:p>
    <w:p w:rsidR="000727F4" w:rsidRPr="00EA0EDA" w:rsidRDefault="000727F4" w:rsidP="00323E7A">
      <w:pPr>
        <w:widowControl/>
        <w:rPr>
          <w:b/>
          <w:bCs/>
          <w:szCs w:val="22"/>
          <w:highlight w:val="yellow"/>
          <w:lang w:val="en-GB"/>
        </w:rPr>
      </w:pPr>
    </w:p>
    <w:p w:rsidR="000727F4" w:rsidRPr="000727F4" w:rsidRDefault="000727F4" w:rsidP="00323E7A">
      <w:pPr>
        <w:widowControl/>
        <w:rPr>
          <w:b/>
          <w:bCs/>
          <w:szCs w:val="22"/>
          <w:lang w:val="en-GB"/>
        </w:rPr>
      </w:pPr>
      <w:r w:rsidRPr="000727F4">
        <w:rPr>
          <w:b/>
          <w:bCs/>
          <w:szCs w:val="22"/>
          <w:lang w:val="en-GB"/>
        </w:rPr>
        <w:t>Outcome:</w:t>
      </w:r>
    </w:p>
    <w:p w:rsidR="000727F4" w:rsidRPr="000727F4" w:rsidRDefault="000727F4" w:rsidP="00323E7A">
      <w:pPr>
        <w:widowControl/>
        <w:rPr>
          <w:bCs/>
          <w:szCs w:val="22"/>
          <w:lang w:val="en-GB"/>
        </w:rPr>
      </w:pPr>
      <w:r w:rsidRPr="000727F4">
        <w:rPr>
          <w:bCs/>
          <w:szCs w:val="22"/>
          <w:lang w:val="en-GB"/>
        </w:rPr>
        <w:t>Rejected</w:t>
      </w:r>
    </w:p>
    <w:p w:rsidR="000727F4" w:rsidRDefault="000727F4" w:rsidP="00323E7A">
      <w:pPr>
        <w:widowControl/>
        <w:rPr>
          <w:bCs/>
          <w:szCs w:val="22"/>
          <w:highlight w:val="yellow"/>
          <w:lang w:val="en-GB"/>
        </w:rPr>
      </w:pPr>
    </w:p>
    <w:p w:rsidR="00A00B3C" w:rsidRDefault="00A00B3C" w:rsidP="00323E7A">
      <w:pPr>
        <w:widowControl/>
        <w:rPr>
          <w:bCs/>
          <w:szCs w:val="22"/>
          <w:highlight w:val="yellow"/>
          <w:lang w:val="en-GB"/>
        </w:rPr>
      </w:pPr>
    </w:p>
    <w:p w:rsidR="00A00B3C" w:rsidRPr="00A00B3C" w:rsidRDefault="00A00B3C" w:rsidP="00A00B3C">
      <w:pPr>
        <w:pStyle w:val="Heading2"/>
        <w:widowControl/>
        <w:numPr>
          <w:ilvl w:val="0"/>
          <w:numId w:val="23"/>
        </w:numPr>
        <w:ind w:left="709" w:hanging="709"/>
        <w:rPr>
          <w:bCs/>
        </w:rPr>
      </w:pPr>
      <w:r w:rsidRPr="00A00B3C">
        <w:rPr>
          <w:bCs/>
        </w:rPr>
        <w:t xml:space="preserve">Context for Decision </w:t>
      </w:r>
    </w:p>
    <w:p w:rsidR="00A00B3C" w:rsidRDefault="00A00B3C" w:rsidP="00A00B3C">
      <w:pPr>
        <w:widowControl/>
      </w:pPr>
    </w:p>
    <w:p w:rsidR="00A00B3C" w:rsidRPr="00A00B3C" w:rsidRDefault="00A00B3C" w:rsidP="00A00B3C">
      <w:pPr>
        <w:pStyle w:val="ListParagraph"/>
        <w:widowControl/>
        <w:numPr>
          <w:ilvl w:val="1"/>
          <w:numId w:val="23"/>
        </w:numPr>
        <w:ind w:left="709" w:hanging="709"/>
        <w:rPr>
          <w:bCs/>
          <w:szCs w:val="22"/>
          <w:lang w:val="en-GB"/>
        </w:rPr>
      </w:pPr>
      <w:r w:rsidRPr="00A00B3C">
        <w:rPr>
          <w:bCs/>
          <w:szCs w:val="22"/>
          <w:lang w:val="en-GB"/>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00B3C" w:rsidRDefault="00A00B3C" w:rsidP="00A00B3C">
      <w:pPr>
        <w:widowControl/>
        <w:ind w:left="360"/>
        <w:rPr>
          <w:bCs/>
          <w:szCs w:val="22"/>
          <w:highlight w:val="yellow"/>
          <w:lang w:val="en-GB"/>
        </w:rPr>
      </w:pPr>
    </w:p>
    <w:p w:rsidR="00BF41A5" w:rsidRPr="00A00B3C" w:rsidRDefault="00BF41A5" w:rsidP="00A00B3C">
      <w:pPr>
        <w:widowControl/>
        <w:ind w:left="360"/>
        <w:rPr>
          <w:bCs/>
          <w:szCs w:val="22"/>
          <w:highlight w:val="yellow"/>
          <w:lang w:val="en-GB"/>
        </w:rPr>
      </w:pPr>
    </w:p>
    <w:p w:rsidR="00A00B3C" w:rsidRDefault="00A00B3C" w:rsidP="00A00B3C">
      <w:pPr>
        <w:pStyle w:val="Heading2"/>
        <w:widowControl/>
        <w:numPr>
          <w:ilvl w:val="0"/>
          <w:numId w:val="23"/>
        </w:numPr>
        <w:ind w:left="709" w:hanging="709"/>
        <w:rPr>
          <w:bCs/>
        </w:rPr>
      </w:pPr>
      <w:r>
        <w:rPr>
          <w:bCs/>
        </w:rPr>
        <w:t>Sponsor’s Comment</w:t>
      </w:r>
    </w:p>
    <w:p w:rsidR="00851CB1" w:rsidRDefault="00851CB1" w:rsidP="00A40ADF">
      <w:pPr>
        <w:ind w:left="709"/>
      </w:pPr>
    </w:p>
    <w:p w:rsidR="00A40ADF" w:rsidRPr="00550BA3" w:rsidRDefault="00A40ADF" w:rsidP="00A40ADF">
      <w:pPr>
        <w:ind w:left="709"/>
      </w:pPr>
      <w:r w:rsidRPr="00550BA3">
        <w:t>The sponsor continues to work with the PBAC to ensure nivolumab is available to Australian patients via the PBS in the earliest possible timeframe.</w:t>
      </w:r>
    </w:p>
    <w:sectPr w:rsidR="00A40ADF" w:rsidRPr="00550BA3" w:rsidSect="006E38B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D7" w:rsidRDefault="005E36D7" w:rsidP="00124A51">
      <w:r>
        <w:separator/>
      </w:r>
    </w:p>
  </w:endnote>
  <w:endnote w:type="continuationSeparator" w:id="0">
    <w:p w:rsidR="005E36D7" w:rsidRDefault="005E36D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5B" w:rsidRDefault="002E34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76" w:rsidRPr="00D13A3E" w:rsidRDefault="000D4476" w:rsidP="00015886">
    <w:pPr>
      <w:ind w:right="360"/>
      <w:jc w:val="center"/>
      <w:rPr>
        <w:b/>
        <w:sz w:val="20"/>
      </w:rPr>
    </w:pPr>
  </w:p>
  <w:p w:rsidR="000D4476" w:rsidRPr="00015886" w:rsidRDefault="000D4476" w:rsidP="004A2FC8">
    <w:pPr>
      <w:ind w:right="360"/>
      <w:jc w:val="center"/>
      <w:rPr>
        <w:b/>
        <w:sz w:val="20"/>
      </w:rPr>
    </w:pPr>
    <w:r w:rsidRPr="00651169">
      <w:rPr>
        <w:sz w:val="20"/>
        <w:szCs w:val="20"/>
      </w:rPr>
      <w:fldChar w:fldCharType="begin"/>
    </w:r>
    <w:r w:rsidRPr="00651169">
      <w:rPr>
        <w:sz w:val="20"/>
        <w:szCs w:val="20"/>
      </w:rPr>
      <w:instrText xml:space="preserve"> PAGE   \* MERGEFORMAT </w:instrText>
    </w:r>
    <w:r w:rsidRPr="00651169">
      <w:rPr>
        <w:sz w:val="20"/>
        <w:szCs w:val="20"/>
      </w:rPr>
      <w:fldChar w:fldCharType="separate"/>
    </w:r>
    <w:r w:rsidR="006E43DE">
      <w:rPr>
        <w:noProof/>
        <w:sz w:val="20"/>
        <w:szCs w:val="20"/>
      </w:rPr>
      <w:t>13</w:t>
    </w:r>
    <w:r w:rsidRPr="00651169">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5B" w:rsidRDefault="002E3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D7" w:rsidRDefault="005E36D7" w:rsidP="00124A51">
      <w:r>
        <w:separator/>
      </w:r>
    </w:p>
  </w:footnote>
  <w:footnote w:type="continuationSeparator" w:id="0">
    <w:p w:rsidR="005E36D7" w:rsidRDefault="005E36D7"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5B" w:rsidRDefault="002E34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76" w:rsidRPr="00DF217D" w:rsidRDefault="000D4476" w:rsidP="00E36EA6">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0D4476" w:rsidRPr="008C7ECB" w:rsidRDefault="000D44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5B" w:rsidRDefault="002E34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75pt;height:168.75pt" o:bullet="t">
        <v:imagedata r:id="rId1" o:title="download"/>
      </v:shape>
    </w:pict>
  </w:numPicBullet>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59152D"/>
    <w:multiLevelType w:val="hybridMultilevel"/>
    <w:tmpl w:val="363E589E"/>
    <w:lvl w:ilvl="0" w:tplc="0C090001">
      <w:start w:val="1"/>
      <w:numFmt w:val="bullet"/>
      <w:lvlText w:val=""/>
      <w:lvlJc w:val="left"/>
      <w:pPr>
        <w:ind w:left="360" w:hanging="360"/>
      </w:pPr>
      <w:rPr>
        <w:rFonts w:ascii="Symbol" w:hAnsi="Symbol"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41076"/>
    <w:multiLevelType w:val="multilevel"/>
    <w:tmpl w:val="0F2669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B4871A1"/>
    <w:multiLevelType w:val="multilevel"/>
    <w:tmpl w:val="B65A18F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7200AE"/>
    <w:multiLevelType w:val="hybridMultilevel"/>
    <w:tmpl w:val="C130E3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4AC5075"/>
    <w:multiLevelType w:val="multilevel"/>
    <w:tmpl w:val="67664B0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213795"/>
    <w:multiLevelType w:val="hybridMultilevel"/>
    <w:tmpl w:val="EA78A6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C4E15AA"/>
    <w:multiLevelType w:val="multilevel"/>
    <w:tmpl w:val="E15AC2F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5863A2"/>
    <w:multiLevelType w:val="hybridMultilevel"/>
    <w:tmpl w:val="7A2C6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567BF3"/>
    <w:multiLevelType w:val="hybridMultilevel"/>
    <w:tmpl w:val="BF42C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55971"/>
    <w:multiLevelType w:val="hybridMultilevel"/>
    <w:tmpl w:val="2FE85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5DB6981"/>
    <w:multiLevelType w:val="multilevel"/>
    <w:tmpl w:val="AFF6FD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BA91F6A"/>
    <w:multiLevelType w:val="multilevel"/>
    <w:tmpl w:val="4DA2AC0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0992938"/>
    <w:multiLevelType w:val="hybridMultilevel"/>
    <w:tmpl w:val="E60272B2"/>
    <w:lvl w:ilvl="0" w:tplc="13C6E648">
      <w:start w:val="1"/>
      <w:numFmt w:val="decimal"/>
      <w:lvlText w:val="%1"/>
      <w:lvlJc w:val="left"/>
      <w:pPr>
        <w:ind w:left="1446" w:hanging="360"/>
      </w:pPr>
      <w:rPr>
        <w:rFonts w:hint="default"/>
        <w:b w:val="0"/>
        <w:i w:val="0"/>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17">
    <w:nsid w:val="315B382B"/>
    <w:multiLevelType w:val="hybridMultilevel"/>
    <w:tmpl w:val="A64E78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nsid w:val="318455A9"/>
    <w:multiLevelType w:val="multilevel"/>
    <w:tmpl w:val="7D8E562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2117F50"/>
    <w:multiLevelType w:val="hybridMultilevel"/>
    <w:tmpl w:val="C8EC8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3F01F9"/>
    <w:multiLevelType w:val="hybridMultilevel"/>
    <w:tmpl w:val="D6F4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5F5280"/>
    <w:multiLevelType w:val="multilevel"/>
    <w:tmpl w:val="6D4C87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B351428"/>
    <w:multiLevelType w:val="hybridMultilevel"/>
    <w:tmpl w:val="3EFEF6B0"/>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nsid w:val="50CF5872"/>
    <w:multiLevelType w:val="hybridMultilevel"/>
    <w:tmpl w:val="A506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BC56449"/>
    <w:multiLevelType w:val="multilevel"/>
    <w:tmpl w:val="B83E9DB4"/>
    <w:lvl w:ilvl="0">
      <w:start w:val="1"/>
      <w:numFmt w:val="decimal"/>
      <w:lvlText w:val="%1"/>
      <w:lvlJc w:val="left"/>
      <w:pPr>
        <w:ind w:left="1065" w:hanging="705"/>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C2959DA"/>
    <w:multiLevelType w:val="hybridMultilevel"/>
    <w:tmpl w:val="4CBAF16A"/>
    <w:lvl w:ilvl="0" w:tplc="CF047E6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2C7685"/>
    <w:multiLevelType w:val="hybridMultilevel"/>
    <w:tmpl w:val="56DCC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FDB6EEA"/>
    <w:multiLevelType w:val="multilevel"/>
    <w:tmpl w:val="7D8E562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84D033C"/>
    <w:multiLevelType w:val="multilevel"/>
    <w:tmpl w:val="011C0DCC"/>
    <w:lvl w:ilvl="0">
      <w:start w:val="1"/>
      <w:numFmt w:val="decimal"/>
      <w:pStyle w:val="PBACHeading1"/>
      <w:lvlText w:val="%1"/>
      <w:lvlJc w:val="left"/>
      <w:pPr>
        <w:ind w:left="720" w:hanging="720"/>
      </w:pPr>
      <w:rPr>
        <w:rFonts w:hint="default"/>
        <w:b/>
        <w:i w:val="0"/>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9"/>
  </w:num>
  <w:num w:numId="3">
    <w:abstractNumId w:val="23"/>
  </w:num>
  <w:num w:numId="4">
    <w:abstractNumId w:val="20"/>
  </w:num>
  <w:num w:numId="5">
    <w:abstractNumId w:val="11"/>
  </w:num>
  <w:num w:numId="6">
    <w:abstractNumId w:val="10"/>
  </w:num>
  <w:num w:numId="7">
    <w:abstractNumId w:val="19"/>
  </w:num>
  <w:num w:numId="8">
    <w:abstractNumId w:val="3"/>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5"/>
  </w:num>
  <w:num w:numId="15">
    <w:abstractNumId w:val="7"/>
  </w:num>
  <w:num w:numId="16">
    <w:abstractNumId w:val="28"/>
  </w:num>
  <w:num w:numId="17">
    <w:abstractNumId w:val="1"/>
  </w:num>
  <w:num w:numId="18">
    <w:abstractNumId w:val="29"/>
  </w:num>
  <w:num w:numId="19">
    <w:abstractNumId w:val="18"/>
  </w:num>
  <w:num w:numId="20">
    <w:abstractNumId w:val="16"/>
  </w:num>
  <w:num w:numId="21">
    <w:abstractNumId w:val="21"/>
  </w:num>
  <w:num w:numId="22">
    <w:abstractNumId w:val="14"/>
  </w:num>
  <w:num w:numId="23">
    <w:abstractNumId w:val="25"/>
  </w:num>
  <w:num w:numId="24">
    <w:abstractNumId w:val="24"/>
  </w:num>
  <w:num w:numId="25">
    <w:abstractNumId w:val="4"/>
  </w:num>
  <w:num w:numId="26">
    <w:abstractNumId w:val="0"/>
  </w:num>
  <w:num w:numId="27">
    <w:abstractNumId w:val="13"/>
  </w:num>
  <w:num w:numId="28">
    <w:abstractNumId w:val="27"/>
  </w:num>
  <w:num w:numId="29">
    <w:abstractNumId w:val="12"/>
  </w:num>
  <w:num w:numId="30">
    <w:abstractNumId w:val="6"/>
  </w:num>
  <w:num w:numId="31">
    <w:abstractNumId w:val="26"/>
  </w:num>
  <w:num w:numId="3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441"/>
    <w:rsid w:val="00000790"/>
    <w:rsid w:val="00000C64"/>
    <w:rsid w:val="0000110B"/>
    <w:rsid w:val="00002803"/>
    <w:rsid w:val="00003499"/>
    <w:rsid w:val="00003690"/>
    <w:rsid w:val="00007A29"/>
    <w:rsid w:val="0001036A"/>
    <w:rsid w:val="000119E6"/>
    <w:rsid w:val="000125EF"/>
    <w:rsid w:val="0001275D"/>
    <w:rsid w:val="000128AA"/>
    <w:rsid w:val="00012BB5"/>
    <w:rsid w:val="00013247"/>
    <w:rsid w:val="00015886"/>
    <w:rsid w:val="000162EF"/>
    <w:rsid w:val="000207BD"/>
    <w:rsid w:val="0002225F"/>
    <w:rsid w:val="0002285D"/>
    <w:rsid w:val="00022C8C"/>
    <w:rsid w:val="00023763"/>
    <w:rsid w:val="00025826"/>
    <w:rsid w:val="00025C3B"/>
    <w:rsid w:val="00026492"/>
    <w:rsid w:val="000268E8"/>
    <w:rsid w:val="00026FC7"/>
    <w:rsid w:val="000276FD"/>
    <w:rsid w:val="00030D89"/>
    <w:rsid w:val="00030EEE"/>
    <w:rsid w:val="00033C0C"/>
    <w:rsid w:val="00035CEA"/>
    <w:rsid w:val="00035FC8"/>
    <w:rsid w:val="00036DDC"/>
    <w:rsid w:val="00037256"/>
    <w:rsid w:val="00037A89"/>
    <w:rsid w:val="00040895"/>
    <w:rsid w:val="00042579"/>
    <w:rsid w:val="000436CB"/>
    <w:rsid w:val="000438E4"/>
    <w:rsid w:val="00043C37"/>
    <w:rsid w:val="00044262"/>
    <w:rsid w:val="000454E9"/>
    <w:rsid w:val="00045FDB"/>
    <w:rsid w:val="0005411F"/>
    <w:rsid w:val="00054604"/>
    <w:rsid w:val="00054621"/>
    <w:rsid w:val="000546D7"/>
    <w:rsid w:val="00057963"/>
    <w:rsid w:val="000600BC"/>
    <w:rsid w:val="00061234"/>
    <w:rsid w:val="000626E7"/>
    <w:rsid w:val="0006329D"/>
    <w:rsid w:val="00064AFA"/>
    <w:rsid w:val="00066542"/>
    <w:rsid w:val="00066822"/>
    <w:rsid w:val="000671E0"/>
    <w:rsid w:val="00071248"/>
    <w:rsid w:val="000720B9"/>
    <w:rsid w:val="000727F4"/>
    <w:rsid w:val="0007443C"/>
    <w:rsid w:val="000812CA"/>
    <w:rsid w:val="00082D45"/>
    <w:rsid w:val="00086E93"/>
    <w:rsid w:val="0008760D"/>
    <w:rsid w:val="00087A2C"/>
    <w:rsid w:val="00087FF0"/>
    <w:rsid w:val="00090C7E"/>
    <w:rsid w:val="00090E4A"/>
    <w:rsid w:val="0009130C"/>
    <w:rsid w:val="00091F7D"/>
    <w:rsid w:val="00094977"/>
    <w:rsid w:val="00096786"/>
    <w:rsid w:val="00097C14"/>
    <w:rsid w:val="000A0218"/>
    <w:rsid w:val="000A1EAD"/>
    <w:rsid w:val="000A4033"/>
    <w:rsid w:val="000A615E"/>
    <w:rsid w:val="000A75C6"/>
    <w:rsid w:val="000B0145"/>
    <w:rsid w:val="000B05D9"/>
    <w:rsid w:val="000B0705"/>
    <w:rsid w:val="000B0D54"/>
    <w:rsid w:val="000C1401"/>
    <w:rsid w:val="000C54F0"/>
    <w:rsid w:val="000C6E04"/>
    <w:rsid w:val="000C7715"/>
    <w:rsid w:val="000C7A34"/>
    <w:rsid w:val="000D1BFC"/>
    <w:rsid w:val="000D3EF9"/>
    <w:rsid w:val="000D4476"/>
    <w:rsid w:val="000D6C68"/>
    <w:rsid w:val="000D6D1B"/>
    <w:rsid w:val="000E2485"/>
    <w:rsid w:val="000E4586"/>
    <w:rsid w:val="000E4EBF"/>
    <w:rsid w:val="000E6E31"/>
    <w:rsid w:val="000E75DB"/>
    <w:rsid w:val="000F4BB8"/>
    <w:rsid w:val="000F4F75"/>
    <w:rsid w:val="000F5DD3"/>
    <w:rsid w:val="000F7127"/>
    <w:rsid w:val="000F7CDD"/>
    <w:rsid w:val="00100F8A"/>
    <w:rsid w:val="00101F2C"/>
    <w:rsid w:val="00102B3E"/>
    <w:rsid w:val="00104431"/>
    <w:rsid w:val="0011032E"/>
    <w:rsid w:val="0011348B"/>
    <w:rsid w:val="00113774"/>
    <w:rsid w:val="00113BA1"/>
    <w:rsid w:val="00121799"/>
    <w:rsid w:val="00121F09"/>
    <w:rsid w:val="001222FC"/>
    <w:rsid w:val="0012296C"/>
    <w:rsid w:val="00122F21"/>
    <w:rsid w:val="001237EA"/>
    <w:rsid w:val="00124A51"/>
    <w:rsid w:val="00124A80"/>
    <w:rsid w:val="00126621"/>
    <w:rsid w:val="001301E9"/>
    <w:rsid w:val="001302A9"/>
    <w:rsid w:val="00136D35"/>
    <w:rsid w:val="00137645"/>
    <w:rsid w:val="0014015A"/>
    <w:rsid w:val="00140258"/>
    <w:rsid w:val="00140E99"/>
    <w:rsid w:val="00143309"/>
    <w:rsid w:val="00144C4C"/>
    <w:rsid w:val="00145540"/>
    <w:rsid w:val="001456B0"/>
    <w:rsid w:val="00146561"/>
    <w:rsid w:val="0015235D"/>
    <w:rsid w:val="00157130"/>
    <w:rsid w:val="001577AA"/>
    <w:rsid w:val="00157D6B"/>
    <w:rsid w:val="00160924"/>
    <w:rsid w:val="00161A81"/>
    <w:rsid w:val="00162913"/>
    <w:rsid w:val="00163EFF"/>
    <w:rsid w:val="0016544F"/>
    <w:rsid w:val="00165B47"/>
    <w:rsid w:val="001661FB"/>
    <w:rsid w:val="00166693"/>
    <w:rsid w:val="0017085A"/>
    <w:rsid w:val="00171CAA"/>
    <w:rsid w:val="0017295A"/>
    <w:rsid w:val="0017494F"/>
    <w:rsid w:val="0017704D"/>
    <w:rsid w:val="001777D8"/>
    <w:rsid w:val="00181407"/>
    <w:rsid w:val="0018277B"/>
    <w:rsid w:val="00182AAA"/>
    <w:rsid w:val="00182E36"/>
    <w:rsid w:val="00182FE8"/>
    <w:rsid w:val="00184ABA"/>
    <w:rsid w:val="00184CE6"/>
    <w:rsid w:val="00185699"/>
    <w:rsid w:val="0018577D"/>
    <w:rsid w:val="0018752F"/>
    <w:rsid w:val="00191974"/>
    <w:rsid w:val="00195222"/>
    <w:rsid w:val="001975D8"/>
    <w:rsid w:val="001A16A5"/>
    <w:rsid w:val="001A1E7B"/>
    <w:rsid w:val="001A42D5"/>
    <w:rsid w:val="001A4806"/>
    <w:rsid w:val="001A5DB9"/>
    <w:rsid w:val="001A5ED5"/>
    <w:rsid w:val="001B0B42"/>
    <w:rsid w:val="001B101F"/>
    <w:rsid w:val="001B18DF"/>
    <w:rsid w:val="001B2F07"/>
    <w:rsid w:val="001B3443"/>
    <w:rsid w:val="001B5C1D"/>
    <w:rsid w:val="001B62AE"/>
    <w:rsid w:val="001C080F"/>
    <w:rsid w:val="001C206D"/>
    <w:rsid w:val="001C2CF6"/>
    <w:rsid w:val="001C382C"/>
    <w:rsid w:val="001C3D76"/>
    <w:rsid w:val="001C3E9D"/>
    <w:rsid w:val="001C5280"/>
    <w:rsid w:val="001C66C6"/>
    <w:rsid w:val="001C6E66"/>
    <w:rsid w:val="001C7C1D"/>
    <w:rsid w:val="001D0256"/>
    <w:rsid w:val="001D11C3"/>
    <w:rsid w:val="001D1BEB"/>
    <w:rsid w:val="001D1E89"/>
    <w:rsid w:val="001D26CB"/>
    <w:rsid w:val="001D5B58"/>
    <w:rsid w:val="001D5BAA"/>
    <w:rsid w:val="001D6090"/>
    <w:rsid w:val="001D62B1"/>
    <w:rsid w:val="001D664A"/>
    <w:rsid w:val="001E098B"/>
    <w:rsid w:val="001E1023"/>
    <w:rsid w:val="001E1B5D"/>
    <w:rsid w:val="001E238E"/>
    <w:rsid w:val="001E2B1E"/>
    <w:rsid w:val="001E35BD"/>
    <w:rsid w:val="001E36DA"/>
    <w:rsid w:val="001E4156"/>
    <w:rsid w:val="001E52EB"/>
    <w:rsid w:val="001E5966"/>
    <w:rsid w:val="001E5B06"/>
    <w:rsid w:val="001E73AE"/>
    <w:rsid w:val="001E740C"/>
    <w:rsid w:val="001E7DB5"/>
    <w:rsid w:val="001F1235"/>
    <w:rsid w:val="001F1666"/>
    <w:rsid w:val="001F1CB3"/>
    <w:rsid w:val="001F5E15"/>
    <w:rsid w:val="001F71D8"/>
    <w:rsid w:val="001F7361"/>
    <w:rsid w:val="00201C40"/>
    <w:rsid w:val="002025D2"/>
    <w:rsid w:val="0020385F"/>
    <w:rsid w:val="00204253"/>
    <w:rsid w:val="00207021"/>
    <w:rsid w:val="00207D00"/>
    <w:rsid w:val="002105C1"/>
    <w:rsid w:val="00210778"/>
    <w:rsid w:val="0021178C"/>
    <w:rsid w:val="00211A28"/>
    <w:rsid w:val="002138C8"/>
    <w:rsid w:val="0021630B"/>
    <w:rsid w:val="00223B49"/>
    <w:rsid w:val="002246C5"/>
    <w:rsid w:val="00224DD4"/>
    <w:rsid w:val="00225FA2"/>
    <w:rsid w:val="002262E3"/>
    <w:rsid w:val="00227676"/>
    <w:rsid w:val="002309CC"/>
    <w:rsid w:val="0023136E"/>
    <w:rsid w:val="002338B9"/>
    <w:rsid w:val="002362E1"/>
    <w:rsid w:val="002376E5"/>
    <w:rsid w:val="00242830"/>
    <w:rsid w:val="00243448"/>
    <w:rsid w:val="002468D2"/>
    <w:rsid w:val="00246C27"/>
    <w:rsid w:val="00250B3B"/>
    <w:rsid w:val="00250F4A"/>
    <w:rsid w:val="00250F5E"/>
    <w:rsid w:val="00251480"/>
    <w:rsid w:val="002520BB"/>
    <w:rsid w:val="00254954"/>
    <w:rsid w:val="00254DCF"/>
    <w:rsid w:val="0025534B"/>
    <w:rsid w:val="00255BB7"/>
    <w:rsid w:val="002574BC"/>
    <w:rsid w:val="00257536"/>
    <w:rsid w:val="002600BD"/>
    <w:rsid w:val="00260B0B"/>
    <w:rsid w:val="00260FDF"/>
    <w:rsid w:val="00261270"/>
    <w:rsid w:val="00262A87"/>
    <w:rsid w:val="00262C1C"/>
    <w:rsid w:val="00262F24"/>
    <w:rsid w:val="00265138"/>
    <w:rsid w:val="00265686"/>
    <w:rsid w:val="00267754"/>
    <w:rsid w:val="00270419"/>
    <w:rsid w:val="002727C8"/>
    <w:rsid w:val="00272B87"/>
    <w:rsid w:val="0027342E"/>
    <w:rsid w:val="00275768"/>
    <w:rsid w:val="00275C5A"/>
    <w:rsid w:val="002801BD"/>
    <w:rsid w:val="00280C76"/>
    <w:rsid w:val="00280EE4"/>
    <w:rsid w:val="00281014"/>
    <w:rsid w:val="002821F7"/>
    <w:rsid w:val="00282A4E"/>
    <w:rsid w:val="00282E11"/>
    <w:rsid w:val="0028374A"/>
    <w:rsid w:val="00283A78"/>
    <w:rsid w:val="00284581"/>
    <w:rsid w:val="00285208"/>
    <w:rsid w:val="002852A0"/>
    <w:rsid w:val="00287DBE"/>
    <w:rsid w:val="00292A0E"/>
    <w:rsid w:val="00293CAF"/>
    <w:rsid w:val="00294F70"/>
    <w:rsid w:val="00295196"/>
    <w:rsid w:val="0029713E"/>
    <w:rsid w:val="002976EC"/>
    <w:rsid w:val="002A14AB"/>
    <w:rsid w:val="002A1B9C"/>
    <w:rsid w:val="002A1E6A"/>
    <w:rsid w:val="002A2F06"/>
    <w:rsid w:val="002A3127"/>
    <w:rsid w:val="002A3389"/>
    <w:rsid w:val="002A6BAC"/>
    <w:rsid w:val="002A6DB6"/>
    <w:rsid w:val="002A708F"/>
    <w:rsid w:val="002B1C1F"/>
    <w:rsid w:val="002B432F"/>
    <w:rsid w:val="002B6104"/>
    <w:rsid w:val="002B6CCE"/>
    <w:rsid w:val="002B6F1C"/>
    <w:rsid w:val="002B7156"/>
    <w:rsid w:val="002C2775"/>
    <w:rsid w:val="002C27C1"/>
    <w:rsid w:val="002C2919"/>
    <w:rsid w:val="002C36B2"/>
    <w:rsid w:val="002C37D1"/>
    <w:rsid w:val="002C6AA5"/>
    <w:rsid w:val="002D1D52"/>
    <w:rsid w:val="002D4EAA"/>
    <w:rsid w:val="002D78A1"/>
    <w:rsid w:val="002E26D7"/>
    <w:rsid w:val="002E345B"/>
    <w:rsid w:val="002E4A21"/>
    <w:rsid w:val="002E5EBB"/>
    <w:rsid w:val="002E6C4E"/>
    <w:rsid w:val="002F1C6C"/>
    <w:rsid w:val="002F22F7"/>
    <w:rsid w:val="00301017"/>
    <w:rsid w:val="0030426C"/>
    <w:rsid w:val="003068FC"/>
    <w:rsid w:val="0030786C"/>
    <w:rsid w:val="00307C25"/>
    <w:rsid w:val="0031031A"/>
    <w:rsid w:val="00310981"/>
    <w:rsid w:val="00310C7A"/>
    <w:rsid w:val="003111FC"/>
    <w:rsid w:val="00314C40"/>
    <w:rsid w:val="00315498"/>
    <w:rsid w:val="00320333"/>
    <w:rsid w:val="00322F1A"/>
    <w:rsid w:val="003239E5"/>
    <w:rsid w:val="00323E7A"/>
    <w:rsid w:val="003305F5"/>
    <w:rsid w:val="00334C50"/>
    <w:rsid w:val="00336437"/>
    <w:rsid w:val="003366C9"/>
    <w:rsid w:val="00336A21"/>
    <w:rsid w:val="003371B0"/>
    <w:rsid w:val="00337775"/>
    <w:rsid w:val="003406F3"/>
    <w:rsid w:val="0034302B"/>
    <w:rsid w:val="00343ECB"/>
    <w:rsid w:val="00345DED"/>
    <w:rsid w:val="003460DD"/>
    <w:rsid w:val="00352481"/>
    <w:rsid w:val="00353C52"/>
    <w:rsid w:val="00353C64"/>
    <w:rsid w:val="00353DF1"/>
    <w:rsid w:val="00354E53"/>
    <w:rsid w:val="0035620E"/>
    <w:rsid w:val="003569B5"/>
    <w:rsid w:val="00360C85"/>
    <w:rsid w:val="00363780"/>
    <w:rsid w:val="00365907"/>
    <w:rsid w:val="00365AB4"/>
    <w:rsid w:val="00365BF9"/>
    <w:rsid w:val="00367753"/>
    <w:rsid w:val="00367A2F"/>
    <w:rsid w:val="003704E9"/>
    <w:rsid w:val="00375043"/>
    <w:rsid w:val="003753F0"/>
    <w:rsid w:val="0037598E"/>
    <w:rsid w:val="00376192"/>
    <w:rsid w:val="0037634C"/>
    <w:rsid w:val="0037703E"/>
    <w:rsid w:val="0038069D"/>
    <w:rsid w:val="0038365C"/>
    <w:rsid w:val="00396FD0"/>
    <w:rsid w:val="003979D0"/>
    <w:rsid w:val="003A1A7A"/>
    <w:rsid w:val="003A2DC7"/>
    <w:rsid w:val="003A3593"/>
    <w:rsid w:val="003A5637"/>
    <w:rsid w:val="003A6646"/>
    <w:rsid w:val="003A68CA"/>
    <w:rsid w:val="003A7CE2"/>
    <w:rsid w:val="003B088C"/>
    <w:rsid w:val="003B1D45"/>
    <w:rsid w:val="003B246F"/>
    <w:rsid w:val="003B2A37"/>
    <w:rsid w:val="003B3344"/>
    <w:rsid w:val="003B344E"/>
    <w:rsid w:val="003B66DF"/>
    <w:rsid w:val="003C0B22"/>
    <w:rsid w:val="003C33B2"/>
    <w:rsid w:val="003C412B"/>
    <w:rsid w:val="003C485F"/>
    <w:rsid w:val="003C4E45"/>
    <w:rsid w:val="003C7BAF"/>
    <w:rsid w:val="003C7C48"/>
    <w:rsid w:val="003D1828"/>
    <w:rsid w:val="003D2422"/>
    <w:rsid w:val="003D30E8"/>
    <w:rsid w:val="003D3EE6"/>
    <w:rsid w:val="003D4255"/>
    <w:rsid w:val="003D4B3C"/>
    <w:rsid w:val="003D6613"/>
    <w:rsid w:val="003D7D11"/>
    <w:rsid w:val="003E1037"/>
    <w:rsid w:val="003E1DC2"/>
    <w:rsid w:val="003E2DFE"/>
    <w:rsid w:val="003E4818"/>
    <w:rsid w:val="003E4A48"/>
    <w:rsid w:val="003E606F"/>
    <w:rsid w:val="003E6CAB"/>
    <w:rsid w:val="003F046D"/>
    <w:rsid w:val="003F23CD"/>
    <w:rsid w:val="003F2DFE"/>
    <w:rsid w:val="003F3154"/>
    <w:rsid w:val="003F4156"/>
    <w:rsid w:val="003F679B"/>
    <w:rsid w:val="003F7F1C"/>
    <w:rsid w:val="00401B0A"/>
    <w:rsid w:val="00401E77"/>
    <w:rsid w:val="00402D26"/>
    <w:rsid w:val="00403DB5"/>
    <w:rsid w:val="00405DF4"/>
    <w:rsid w:val="00410708"/>
    <w:rsid w:val="00410EC7"/>
    <w:rsid w:val="00412159"/>
    <w:rsid w:val="00414476"/>
    <w:rsid w:val="004163DD"/>
    <w:rsid w:val="00420B9F"/>
    <w:rsid w:val="00420FC5"/>
    <w:rsid w:val="00421C64"/>
    <w:rsid w:val="00422062"/>
    <w:rsid w:val="00422132"/>
    <w:rsid w:val="00423B77"/>
    <w:rsid w:val="00424289"/>
    <w:rsid w:val="00426F22"/>
    <w:rsid w:val="00427B9C"/>
    <w:rsid w:val="00427F0E"/>
    <w:rsid w:val="004306A5"/>
    <w:rsid w:val="004319F8"/>
    <w:rsid w:val="00432D22"/>
    <w:rsid w:val="00433044"/>
    <w:rsid w:val="00433516"/>
    <w:rsid w:val="004348AC"/>
    <w:rsid w:val="004358EC"/>
    <w:rsid w:val="0043765A"/>
    <w:rsid w:val="0044006B"/>
    <w:rsid w:val="00440AD0"/>
    <w:rsid w:val="00441310"/>
    <w:rsid w:val="00442AA0"/>
    <w:rsid w:val="00442CF6"/>
    <w:rsid w:val="00442F2E"/>
    <w:rsid w:val="004442A7"/>
    <w:rsid w:val="004443A7"/>
    <w:rsid w:val="004464EB"/>
    <w:rsid w:val="0044759C"/>
    <w:rsid w:val="004510AE"/>
    <w:rsid w:val="00455D45"/>
    <w:rsid w:val="004567F1"/>
    <w:rsid w:val="004614B4"/>
    <w:rsid w:val="00462BF8"/>
    <w:rsid w:val="00462D36"/>
    <w:rsid w:val="00464595"/>
    <w:rsid w:val="00464EB4"/>
    <w:rsid w:val="004673E1"/>
    <w:rsid w:val="004703E5"/>
    <w:rsid w:val="00470C3A"/>
    <w:rsid w:val="004710B5"/>
    <w:rsid w:val="0048009B"/>
    <w:rsid w:val="004802CF"/>
    <w:rsid w:val="00480C55"/>
    <w:rsid w:val="00482D27"/>
    <w:rsid w:val="0048418C"/>
    <w:rsid w:val="004867E2"/>
    <w:rsid w:val="00490C96"/>
    <w:rsid w:val="00491B3A"/>
    <w:rsid w:val="0049240C"/>
    <w:rsid w:val="00492BBF"/>
    <w:rsid w:val="00492CFD"/>
    <w:rsid w:val="00493B7E"/>
    <w:rsid w:val="00493F97"/>
    <w:rsid w:val="00494FA1"/>
    <w:rsid w:val="00495230"/>
    <w:rsid w:val="00495545"/>
    <w:rsid w:val="004962D2"/>
    <w:rsid w:val="00496BBE"/>
    <w:rsid w:val="004A053A"/>
    <w:rsid w:val="004A0DA1"/>
    <w:rsid w:val="004A2802"/>
    <w:rsid w:val="004A2FC8"/>
    <w:rsid w:val="004A3E52"/>
    <w:rsid w:val="004A475D"/>
    <w:rsid w:val="004A54DB"/>
    <w:rsid w:val="004A6372"/>
    <w:rsid w:val="004A6597"/>
    <w:rsid w:val="004A6A8F"/>
    <w:rsid w:val="004A73BF"/>
    <w:rsid w:val="004B1CB4"/>
    <w:rsid w:val="004B2F18"/>
    <w:rsid w:val="004B3BFE"/>
    <w:rsid w:val="004B3DDB"/>
    <w:rsid w:val="004B44FD"/>
    <w:rsid w:val="004B4D81"/>
    <w:rsid w:val="004B5CFC"/>
    <w:rsid w:val="004B67EB"/>
    <w:rsid w:val="004B68B8"/>
    <w:rsid w:val="004B7304"/>
    <w:rsid w:val="004B774D"/>
    <w:rsid w:val="004B7B2A"/>
    <w:rsid w:val="004C0353"/>
    <w:rsid w:val="004C067D"/>
    <w:rsid w:val="004C1234"/>
    <w:rsid w:val="004C449C"/>
    <w:rsid w:val="004C4AED"/>
    <w:rsid w:val="004C6691"/>
    <w:rsid w:val="004C738F"/>
    <w:rsid w:val="004D09D2"/>
    <w:rsid w:val="004D38AC"/>
    <w:rsid w:val="004E0EB8"/>
    <w:rsid w:val="004E2ADC"/>
    <w:rsid w:val="004E43B2"/>
    <w:rsid w:val="004E5803"/>
    <w:rsid w:val="004F042E"/>
    <w:rsid w:val="004F1463"/>
    <w:rsid w:val="004F1D02"/>
    <w:rsid w:val="004F2679"/>
    <w:rsid w:val="004F3D10"/>
    <w:rsid w:val="004F68F6"/>
    <w:rsid w:val="004F6FC2"/>
    <w:rsid w:val="004F7770"/>
    <w:rsid w:val="004F7865"/>
    <w:rsid w:val="00502D53"/>
    <w:rsid w:val="00506928"/>
    <w:rsid w:val="005071BD"/>
    <w:rsid w:val="0051036E"/>
    <w:rsid w:val="00511606"/>
    <w:rsid w:val="00512902"/>
    <w:rsid w:val="005152B5"/>
    <w:rsid w:val="005158A4"/>
    <w:rsid w:val="0051672A"/>
    <w:rsid w:val="005201AB"/>
    <w:rsid w:val="00520A3F"/>
    <w:rsid w:val="00520F90"/>
    <w:rsid w:val="00521319"/>
    <w:rsid w:val="00523C28"/>
    <w:rsid w:val="0052786A"/>
    <w:rsid w:val="00533A18"/>
    <w:rsid w:val="005356EE"/>
    <w:rsid w:val="00536136"/>
    <w:rsid w:val="0053687C"/>
    <w:rsid w:val="00536DFC"/>
    <w:rsid w:val="005373DF"/>
    <w:rsid w:val="00537A14"/>
    <w:rsid w:val="005409CE"/>
    <w:rsid w:val="00540EBD"/>
    <w:rsid w:val="00542AED"/>
    <w:rsid w:val="00542C2D"/>
    <w:rsid w:val="0055092F"/>
    <w:rsid w:val="00550BA3"/>
    <w:rsid w:val="005511F4"/>
    <w:rsid w:val="00552BD3"/>
    <w:rsid w:val="00555109"/>
    <w:rsid w:val="005556EF"/>
    <w:rsid w:val="0055623C"/>
    <w:rsid w:val="005565AF"/>
    <w:rsid w:val="00560E74"/>
    <w:rsid w:val="00562338"/>
    <w:rsid w:val="00564F1A"/>
    <w:rsid w:val="0056696F"/>
    <w:rsid w:val="0056790A"/>
    <w:rsid w:val="00571EFD"/>
    <w:rsid w:val="005753B6"/>
    <w:rsid w:val="00575D8D"/>
    <w:rsid w:val="0057675F"/>
    <w:rsid w:val="00576972"/>
    <w:rsid w:val="005770EF"/>
    <w:rsid w:val="00580361"/>
    <w:rsid w:val="005822A7"/>
    <w:rsid w:val="00583699"/>
    <w:rsid w:val="00583814"/>
    <w:rsid w:val="00583C29"/>
    <w:rsid w:val="00587465"/>
    <w:rsid w:val="00590AD6"/>
    <w:rsid w:val="005941F0"/>
    <w:rsid w:val="0059436E"/>
    <w:rsid w:val="00594D4D"/>
    <w:rsid w:val="00594F27"/>
    <w:rsid w:val="005A081C"/>
    <w:rsid w:val="005A12C3"/>
    <w:rsid w:val="005A284E"/>
    <w:rsid w:val="005A4BAF"/>
    <w:rsid w:val="005A67BE"/>
    <w:rsid w:val="005A6964"/>
    <w:rsid w:val="005B10F6"/>
    <w:rsid w:val="005B558C"/>
    <w:rsid w:val="005B56E6"/>
    <w:rsid w:val="005B5857"/>
    <w:rsid w:val="005B62F5"/>
    <w:rsid w:val="005C028F"/>
    <w:rsid w:val="005C1B83"/>
    <w:rsid w:val="005C1E6E"/>
    <w:rsid w:val="005C2613"/>
    <w:rsid w:val="005C346B"/>
    <w:rsid w:val="005C3B96"/>
    <w:rsid w:val="005C719B"/>
    <w:rsid w:val="005C7773"/>
    <w:rsid w:val="005C7821"/>
    <w:rsid w:val="005D0276"/>
    <w:rsid w:val="005D044D"/>
    <w:rsid w:val="005D1753"/>
    <w:rsid w:val="005D18AD"/>
    <w:rsid w:val="005D496A"/>
    <w:rsid w:val="005D599A"/>
    <w:rsid w:val="005D5B5D"/>
    <w:rsid w:val="005E18C8"/>
    <w:rsid w:val="005E347C"/>
    <w:rsid w:val="005E36D7"/>
    <w:rsid w:val="005E41AE"/>
    <w:rsid w:val="005E4547"/>
    <w:rsid w:val="005E53AB"/>
    <w:rsid w:val="005E6D4D"/>
    <w:rsid w:val="005E73C0"/>
    <w:rsid w:val="005F0545"/>
    <w:rsid w:val="005F2706"/>
    <w:rsid w:val="005F34F2"/>
    <w:rsid w:val="005F4919"/>
    <w:rsid w:val="005F5AFF"/>
    <w:rsid w:val="005F6A8F"/>
    <w:rsid w:val="00601C2C"/>
    <w:rsid w:val="0060224B"/>
    <w:rsid w:val="0060288F"/>
    <w:rsid w:val="0060566D"/>
    <w:rsid w:val="00607669"/>
    <w:rsid w:val="00610B09"/>
    <w:rsid w:val="00612F97"/>
    <w:rsid w:val="006147F2"/>
    <w:rsid w:val="0061538A"/>
    <w:rsid w:val="0061570F"/>
    <w:rsid w:val="006162DF"/>
    <w:rsid w:val="00616759"/>
    <w:rsid w:val="00616802"/>
    <w:rsid w:val="00617E12"/>
    <w:rsid w:val="0062005F"/>
    <w:rsid w:val="00621477"/>
    <w:rsid w:val="00622F08"/>
    <w:rsid w:val="00624DB9"/>
    <w:rsid w:val="006252C4"/>
    <w:rsid w:val="00627F58"/>
    <w:rsid w:val="00631D6B"/>
    <w:rsid w:val="0063479F"/>
    <w:rsid w:val="0063523C"/>
    <w:rsid w:val="00635DB2"/>
    <w:rsid w:val="00636251"/>
    <w:rsid w:val="006364A1"/>
    <w:rsid w:val="006368B8"/>
    <w:rsid w:val="00636B8D"/>
    <w:rsid w:val="0063702F"/>
    <w:rsid w:val="006370EC"/>
    <w:rsid w:val="00637BFD"/>
    <w:rsid w:val="00643ED5"/>
    <w:rsid w:val="00645695"/>
    <w:rsid w:val="00645AC3"/>
    <w:rsid w:val="00646460"/>
    <w:rsid w:val="006471CC"/>
    <w:rsid w:val="00647FBC"/>
    <w:rsid w:val="0065079F"/>
    <w:rsid w:val="00653B8A"/>
    <w:rsid w:val="00656B2B"/>
    <w:rsid w:val="00660E7A"/>
    <w:rsid w:val="00661889"/>
    <w:rsid w:val="0066298B"/>
    <w:rsid w:val="006674A3"/>
    <w:rsid w:val="00667E0F"/>
    <w:rsid w:val="00670CB8"/>
    <w:rsid w:val="00671DA4"/>
    <w:rsid w:val="0067394C"/>
    <w:rsid w:val="00673A97"/>
    <w:rsid w:val="00674044"/>
    <w:rsid w:val="00674155"/>
    <w:rsid w:val="00674ABF"/>
    <w:rsid w:val="00674E42"/>
    <w:rsid w:val="006767E4"/>
    <w:rsid w:val="006818DA"/>
    <w:rsid w:val="00682112"/>
    <w:rsid w:val="006824E0"/>
    <w:rsid w:val="00682988"/>
    <w:rsid w:val="0068412F"/>
    <w:rsid w:val="0068478C"/>
    <w:rsid w:val="0068482C"/>
    <w:rsid w:val="00686BDB"/>
    <w:rsid w:val="006872BA"/>
    <w:rsid w:val="006917D7"/>
    <w:rsid w:val="006946BA"/>
    <w:rsid w:val="00694F44"/>
    <w:rsid w:val="0069561E"/>
    <w:rsid w:val="006A12D9"/>
    <w:rsid w:val="006A5DED"/>
    <w:rsid w:val="006B0B75"/>
    <w:rsid w:val="006B14C7"/>
    <w:rsid w:val="006B3C0E"/>
    <w:rsid w:val="006B4F06"/>
    <w:rsid w:val="006B65E3"/>
    <w:rsid w:val="006C03DC"/>
    <w:rsid w:val="006C055D"/>
    <w:rsid w:val="006C1609"/>
    <w:rsid w:val="006C17C8"/>
    <w:rsid w:val="006C2A8E"/>
    <w:rsid w:val="006C4D11"/>
    <w:rsid w:val="006D36E3"/>
    <w:rsid w:val="006D3C7D"/>
    <w:rsid w:val="006D5D5F"/>
    <w:rsid w:val="006D668F"/>
    <w:rsid w:val="006E129E"/>
    <w:rsid w:val="006E14C6"/>
    <w:rsid w:val="006E2FBA"/>
    <w:rsid w:val="006E3290"/>
    <w:rsid w:val="006E38BD"/>
    <w:rsid w:val="006E3B80"/>
    <w:rsid w:val="006E3BBB"/>
    <w:rsid w:val="006E43DE"/>
    <w:rsid w:val="006E63AD"/>
    <w:rsid w:val="006E65BF"/>
    <w:rsid w:val="006F63A5"/>
    <w:rsid w:val="006F6B38"/>
    <w:rsid w:val="0070222E"/>
    <w:rsid w:val="0070276E"/>
    <w:rsid w:val="00702B7C"/>
    <w:rsid w:val="00702F8F"/>
    <w:rsid w:val="007110FB"/>
    <w:rsid w:val="00711630"/>
    <w:rsid w:val="007116B9"/>
    <w:rsid w:val="00711A36"/>
    <w:rsid w:val="007122B1"/>
    <w:rsid w:val="00713836"/>
    <w:rsid w:val="0071693B"/>
    <w:rsid w:val="00716ACA"/>
    <w:rsid w:val="007172AD"/>
    <w:rsid w:val="00720B59"/>
    <w:rsid w:val="0072318D"/>
    <w:rsid w:val="0072416F"/>
    <w:rsid w:val="0072526B"/>
    <w:rsid w:val="00725599"/>
    <w:rsid w:val="0072681F"/>
    <w:rsid w:val="0072705E"/>
    <w:rsid w:val="00727EAD"/>
    <w:rsid w:val="0073273E"/>
    <w:rsid w:val="00735328"/>
    <w:rsid w:val="00735344"/>
    <w:rsid w:val="007361E5"/>
    <w:rsid w:val="0073685B"/>
    <w:rsid w:val="007411BE"/>
    <w:rsid w:val="0074120A"/>
    <w:rsid w:val="007428AB"/>
    <w:rsid w:val="007437AD"/>
    <w:rsid w:val="00743F2A"/>
    <w:rsid w:val="0074486D"/>
    <w:rsid w:val="007449FF"/>
    <w:rsid w:val="00745422"/>
    <w:rsid w:val="00745BEA"/>
    <w:rsid w:val="00745CC7"/>
    <w:rsid w:val="00746A6F"/>
    <w:rsid w:val="00746A8A"/>
    <w:rsid w:val="00750A7A"/>
    <w:rsid w:val="00751BD0"/>
    <w:rsid w:val="007535C4"/>
    <w:rsid w:val="007535DF"/>
    <w:rsid w:val="0075469C"/>
    <w:rsid w:val="00755556"/>
    <w:rsid w:val="00755BA3"/>
    <w:rsid w:val="00755EB4"/>
    <w:rsid w:val="00755FBD"/>
    <w:rsid w:val="007602D6"/>
    <w:rsid w:val="00763BBA"/>
    <w:rsid w:val="00770A63"/>
    <w:rsid w:val="00771FEA"/>
    <w:rsid w:val="0077269B"/>
    <w:rsid w:val="00772FA6"/>
    <w:rsid w:val="007733E0"/>
    <w:rsid w:val="00773C13"/>
    <w:rsid w:val="007746FB"/>
    <w:rsid w:val="00774972"/>
    <w:rsid w:val="00776346"/>
    <w:rsid w:val="0078139C"/>
    <w:rsid w:val="00782054"/>
    <w:rsid w:val="00784269"/>
    <w:rsid w:val="0078433B"/>
    <w:rsid w:val="00786ADF"/>
    <w:rsid w:val="00787D4C"/>
    <w:rsid w:val="00793B44"/>
    <w:rsid w:val="00793DD9"/>
    <w:rsid w:val="007941BF"/>
    <w:rsid w:val="00794619"/>
    <w:rsid w:val="00795020"/>
    <w:rsid w:val="007951A8"/>
    <w:rsid w:val="00797712"/>
    <w:rsid w:val="00797DE3"/>
    <w:rsid w:val="007A0A12"/>
    <w:rsid w:val="007A1203"/>
    <w:rsid w:val="007A1614"/>
    <w:rsid w:val="007B251D"/>
    <w:rsid w:val="007B33DC"/>
    <w:rsid w:val="007B3815"/>
    <w:rsid w:val="007B5E3A"/>
    <w:rsid w:val="007B6D1B"/>
    <w:rsid w:val="007B7704"/>
    <w:rsid w:val="007B77D1"/>
    <w:rsid w:val="007C0924"/>
    <w:rsid w:val="007C1A7A"/>
    <w:rsid w:val="007C24FB"/>
    <w:rsid w:val="007C295B"/>
    <w:rsid w:val="007C361D"/>
    <w:rsid w:val="007C4797"/>
    <w:rsid w:val="007C5FB1"/>
    <w:rsid w:val="007C692B"/>
    <w:rsid w:val="007C6E0B"/>
    <w:rsid w:val="007D004F"/>
    <w:rsid w:val="007D0B38"/>
    <w:rsid w:val="007D1D56"/>
    <w:rsid w:val="007D4ECC"/>
    <w:rsid w:val="007D5E5C"/>
    <w:rsid w:val="007D7792"/>
    <w:rsid w:val="007D7E0C"/>
    <w:rsid w:val="007E0F50"/>
    <w:rsid w:val="007E293C"/>
    <w:rsid w:val="007E4F29"/>
    <w:rsid w:val="007E5BA7"/>
    <w:rsid w:val="007E75EA"/>
    <w:rsid w:val="007F005F"/>
    <w:rsid w:val="007F0D38"/>
    <w:rsid w:val="007F1017"/>
    <w:rsid w:val="007F381A"/>
    <w:rsid w:val="007F4A3F"/>
    <w:rsid w:val="007F5E3D"/>
    <w:rsid w:val="007F6DDA"/>
    <w:rsid w:val="0080137D"/>
    <w:rsid w:val="00801399"/>
    <w:rsid w:val="00801834"/>
    <w:rsid w:val="00803470"/>
    <w:rsid w:val="00805142"/>
    <w:rsid w:val="00805375"/>
    <w:rsid w:val="00806638"/>
    <w:rsid w:val="00806CDA"/>
    <w:rsid w:val="00807438"/>
    <w:rsid w:val="00807A8B"/>
    <w:rsid w:val="00810A6C"/>
    <w:rsid w:val="008116FF"/>
    <w:rsid w:val="00812149"/>
    <w:rsid w:val="00812370"/>
    <w:rsid w:val="00812ED7"/>
    <w:rsid w:val="00813393"/>
    <w:rsid w:val="00814107"/>
    <w:rsid w:val="008166EF"/>
    <w:rsid w:val="00821F39"/>
    <w:rsid w:val="008264EB"/>
    <w:rsid w:val="00830F9E"/>
    <w:rsid w:val="00831A62"/>
    <w:rsid w:val="00833B05"/>
    <w:rsid w:val="008363E4"/>
    <w:rsid w:val="008370B4"/>
    <w:rsid w:val="00840CA2"/>
    <w:rsid w:val="00841BE4"/>
    <w:rsid w:val="00842D74"/>
    <w:rsid w:val="0084607F"/>
    <w:rsid w:val="0085066D"/>
    <w:rsid w:val="00850DE5"/>
    <w:rsid w:val="0085132A"/>
    <w:rsid w:val="00851CB1"/>
    <w:rsid w:val="00856E9A"/>
    <w:rsid w:val="00860340"/>
    <w:rsid w:val="00861218"/>
    <w:rsid w:val="00862502"/>
    <w:rsid w:val="00863120"/>
    <w:rsid w:val="0086357A"/>
    <w:rsid w:val="0086419F"/>
    <w:rsid w:val="0086524D"/>
    <w:rsid w:val="00867AA4"/>
    <w:rsid w:val="008702E1"/>
    <w:rsid w:val="00870CC5"/>
    <w:rsid w:val="00871961"/>
    <w:rsid w:val="008734E7"/>
    <w:rsid w:val="00874807"/>
    <w:rsid w:val="0087728B"/>
    <w:rsid w:val="008811DE"/>
    <w:rsid w:val="00881AB2"/>
    <w:rsid w:val="00882540"/>
    <w:rsid w:val="00882874"/>
    <w:rsid w:val="00882AAD"/>
    <w:rsid w:val="008833BC"/>
    <w:rsid w:val="00883787"/>
    <w:rsid w:val="00883C01"/>
    <w:rsid w:val="00883FBA"/>
    <w:rsid w:val="00885C28"/>
    <w:rsid w:val="00886ECF"/>
    <w:rsid w:val="00890896"/>
    <w:rsid w:val="00892C90"/>
    <w:rsid w:val="00892D9D"/>
    <w:rsid w:val="00894489"/>
    <w:rsid w:val="008947D6"/>
    <w:rsid w:val="008963A5"/>
    <w:rsid w:val="00896788"/>
    <w:rsid w:val="008974A7"/>
    <w:rsid w:val="008A0092"/>
    <w:rsid w:val="008A12E4"/>
    <w:rsid w:val="008A311A"/>
    <w:rsid w:val="008A3C3E"/>
    <w:rsid w:val="008A4A66"/>
    <w:rsid w:val="008A4F9F"/>
    <w:rsid w:val="008A5667"/>
    <w:rsid w:val="008A64E7"/>
    <w:rsid w:val="008A79DE"/>
    <w:rsid w:val="008B0E20"/>
    <w:rsid w:val="008B28B8"/>
    <w:rsid w:val="008B290E"/>
    <w:rsid w:val="008B2FE3"/>
    <w:rsid w:val="008B34CB"/>
    <w:rsid w:val="008B41C6"/>
    <w:rsid w:val="008B7D7E"/>
    <w:rsid w:val="008C0F89"/>
    <w:rsid w:val="008C3485"/>
    <w:rsid w:val="008C5116"/>
    <w:rsid w:val="008C7ECB"/>
    <w:rsid w:val="008D083E"/>
    <w:rsid w:val="008D0BE4"/>
    <w:rsid w:val="008D3A74"/>
    <w:rsid w:val="008D4F31"/>
    <w:rsid w:val="008D5696"/>
    <w:rsid w:val="008D7543"/>
    <w:rsid w:val="008E0B6F"/>
    <w:rsid w:val="008E0DFE"/>
    <w:rsid w:val="008E0F2A"/>
    <w:rsid w:val="008E1B9E"/>
    <w:rsid w:val="008E5406"/>
    <w:rsid w:val="008E5D06"/>
    <w:rsid w:val="008F07E1"/>
    <w:rsid w:val="008F0B21"/>
    <w:rsid w:val="008F120A"/>
    <w:rsid w:val="008F1F7E"/>
    <w:rsid w:val="008F23A2"/>
    <w:rsid w:val="008F4367"/>
    <w:rsid w:val="008F48EB"/>
    <w:rsid w:val="008F4F0B"/>
    <w:rsid w:val="008F5018"/>
    <w:rsid w:val="008F7A92"/>
    <w:rsid w:val="00902186"/>
    <w:rsid w:val="0090225E"/>
    <w:rsid w:val="009039C8"/>
    <w:rsid w:val="009060D8"/>
    <w:rsid w:val="009062A5"/>
    <w:rsid w:val="009072A8"/>
    <w:rsid w:val="00907D47"/>
    <w:rsid w:val="00911272"/>
    <w:rsid w:val="00913B4D"/>
    <w:rsid w:val="00915574"/>
    <w:rsid w:val="00917711"/>
    <w:rsid w:val="0092068A"/>
    <w:rsid w:val="0092130D"/>
    <w:rsid w:val="00923E9E"/>
    <w:rsid w:val="00923EE3"/>
    <w:rsid w:val="009260E3"/>
    <w:rsid w:val="00930DE3"/>
    <w:rsid w:val="00931320"/>
    <w:rsid w:val="00931456"/>
    <w:rsid w:val="009318D6"/>
    <w:rsid w:val="00932111"/>
    <w:rsid w:val="00935525"/>
    <w:rsid w:val="009355E8"/>
    <w:rsid w:val="009403CE"/>
    <w:rsid w:val="009405C9"/>
    <w:rsid w:val="00941220"/>
    <w:rsid w:val="00943B56"/>
    <w:rsid w:val="00944AC1"/>
    <w:rsid w:val="009465E3"/>
    <w:rsid w:val="00950076"/>
    <w:rsid w:val="0095049F"/>
    <w:rsid w:val="0095142E"/>
    <w:rsid w:val="00961381"/>
    <w:rsid w:val="00962CB9"/>
    <w:rsid w:val="00963614"/>
    <w:rsid w:val="00964312"/>
    <w:rsid w:val="00964EA5"/>
    <w:rsid w:val="00965ED6"/>
    <w:rsid w:val="009709CE"/>
    <w:rsid w:val="00971984"/>
    <w:rsid w:val="009738C5"/>
    <w:rsid w:val="00980106"/>
    <w:rsid w:val="00980CE3"/>
    <w:rsid w:val="00982380"/>
    <w:rsid w:val="00983E57"/>
    <w:rsid w:val="0098588C"/>
    <w:rsid w:val="0099055B"/>
    <w:rsid w:val="0099134E"/>
    <w:rsid w:val="00995681"/>
    <w:rsid w:val="00996129"/>
    <w:rsid w:val="00996250"/>
    <w:rsid w:val="00996B1A"/>
    <w:rsid w:val="00996B66"/>
    <w:rsid w:val="009A05EA"/>
    <w:rsid w:val="009A15CB"/>
    <w:rsid w:val="009A1D2A"/>
    <w:rsid w:val="009A37CC"/>
    <w:rsid w:val="009A3F12"/>
    <w:rsid w:val="009A7C61"/>
    <w:rsid w:val="009B032F"/>
    <w:rsid w:val="009B2A22"/>
    <w:rsid w:val="009B2D42"/>
    <w:rsid w:val="009B38E3"/>
    <w:rsid w:val="009B3E26"/>
    <w:rsid w:val="009B6D28"/>
    <w:rsid w:val="009B6E4C"/>
    <w:rsid w:val="009C00F1"/>
    <w:rsid w:val="009C0BCD"/>
    <w:rsid w:val="009C146F"/>
    <w:rsid w:val="009C1D57"/>
    <w:rsid w:val="009C3185"/>
    <w:rsid w:val="009C3840"/>
    <w:rsid w:val="009C4986"/>
    <w:rsid w:val="009C4BDE"/>
    <w:rsid w:val="009C4D95"/>
    <w:rsid w:val="009D003C"/>
    <w:rsid w:val="009D1991"/>
    <w:rsid w:val="009D2F94"/>
    <w:rsid w:val="009D5B91"/>
    <w:rsid w:val="009E12B3"/>
    <w:rsid w:val="009E2D0B"/>
    <w:rsid w:val="009E4590"/>
    <w:rsid w:val="009E4C07"/>
    <w:rsid w:val="009E5B85"/>
    <w:rsid w:val="009E5D59"/>
    <w:rsid w:val="009F07F7"/>
    <w:rsid w:val="009F25F5"/>
    <w:rsid w:val="009F3AEE"/>
    <w:rsid w:val="009F4FF7"/>
    <w:rsid w:val="009F526B"/>
    <w:rsid w:val="009F5A6D"/>
    <w:rsid w:val="00A00B3C"/>
    <w:rsid w:val="00A0266F"/>
    <w:rsid w:val="00A03D43"/>
    <w:rsid w:val="00A04380"/>
    <w:rsid w:val="00A05163"/>
    <w:rsid w:val="00A054DF"/>
    <w:rsid w:val="00A054F8"/>
    <w:rsid w:val="00A06A24"/>
    <w:rsid w:val="00A06C6F"/>
    <w:rsid w:val="00A0756E"/>
    <w:rsid w:val="00A07A17"/>
    <w:rsid w:val="00A10BF0"/>
    <w:rsid w:val="00A1290B"/>
    <w:rsid w:val="00A12A2D"/>
    <w:rsid w:val="00A13948"/>
    <w:rsid w:val="00A13EAF"/>
    <w:rsid w:val="00A144E7"/>
    <w:rsid w:val="00A1638A"/>
    <w:rsid w:val="00A17370"/>
    <w:rsid w:val="00A24D99"/>
    <w:rsid w:val="00A24EB4"/>
    <w:rsid w:val="00A26DA9"/>
    <w:rsid w:val="00A275CF"/>
    <w:rsid w:val="00A2799E"/>
    <w:rsid w:val="00A27AEC"/>
    <w:rsid w:val="00A27BF6"/>
    <w:rsid w:val="00A3127F"/>
    <w:rsid w:val="00A3268C"/>
    <w:rsid w:val="00A33FE6"/>
    <w:rsid w:val="00A3419C"/>
    <w:rsid w:val="00A3581B"/>
    <w:rsid w:val="00A35D16"/>
    <w:rsid w:val="00A4054E"/>
    <w:rsid w:val="00A40746"/>
    <w:rsid w:val="00A40ADF"/>
    <w:rsid w:val="00A41BF1"/>
    <w:rsid w:val="00A42523"/>
    <w:rsid w:val="00A42833"/>
    <w:rsid w:val="00A43C59"/>
    <w:rsid w:val="00A44EDA"/>
    <w:rsid w:val="00A50877"/>
    <w:rsid w:val="00A50BD0"/>
    <w:rsid w:val="00A50ECD"/>
    <w:rsid w:val="00A50F5E"/>
    <w:rsid w:val="00A51118"/>
    <w:rsid w:val="00A5147C"/>
    <w:rsid w:val="00A52729"/>
    <w:rsid w:val="00A53675"/>
    <w:rsid w:val="00A53B86"/>
    <w:rsid w:val="00A53C61"/>
    <w:rsid w:val="00A56B6A"/>
    <w:rsid w:val="00A56CBB"/>
    <w:rsid w:val="00A571B6"/>
    <w:rsid w:val="00A577EE"/>
    <w:rsid w:val="00A57886"/>
    <w:rsid w:val="00A578DC"/>
    <w:rsid w:val="00A60E3B"/>
    <w:rsid w:val="00A62D64"/>
    <w:rsid w:val="00A6367F"/>
    <w:rsid w:val="00A63FB0"/>
    <w:rsid w:val="00A648EB"/>
    <w:rsid w:val="00A6558A"/>
    <w:rsid w:val="00A65F6A"/>
    <w:rsid w:val="00A668D9"/>
    <w:rsid w:val="00A6725B"/>
    <w:rsid w:val="00A70773"/>
    <w:rsid w:val="00A72979"/>
    <w:rsid w:val="00A7354D"/>
    <w:rsid w:val="00A745E3"/>
    <w:rsid w:val="00A7618E"/>
    <w:rsid w:val="00A77CE2"/>
    <w:rsid w:val="00A805CB"/>
    <w:rsid w:val="00A82B22"/>
    <w:rsid w:val="00A833E2"/>
    <w:rsid w:val="00A84B6D"/>
    <w:rsid w:val="00A85423"/>
    <w:rsid w:val="00A86E8B"/>
    <w:rsid w:val="00A87694"/>
    <w:rsid w:val="00A878E9"/>
    <w:rsid w:val="00A93072"/>
    <w:rsid w:val="00A93F18"/>
    <w:rsid w:val="00A959D8"/>
    <w:rsid w:val="00A95B17"/>
    <w:rsid w:val="00A96B35"/>
    <w:rsid w:val="00A97195"/>
    <w:rsid w:val="00A97FC7"/>
    <w:rsid w:val="00AA0E1C"/>
    <w:rsid w:val="00AA1086"/>
    <w:rsid w:val="00AA3358"/>
    <w:rsid w:val="00AA7C10"/>
    <w:rsid w:val="00AA7DE2"/>
    <w:rsid w:val="00AB042A"/>
    <w:rsid w:val="00AB054E"/>
    <w:rsid w:val="00AB0837"/>
    <w:rsid w:val="00AB161D"/>
    <w:rsid w:val="00AB2D34"/>
    <w:rsid w:val="00AB3430"/>
    <w:rsid w:val="00AB5B4C"/>
    <w:rsid w:val="00AB7CFA"/>
    <w:rsid w:val="00AC1F85"/>
    <w:rsid w:val="00AC2513"/>
    <w:rsid w:val="00AC525D"/>
    <w:rsid w:val="00AC5CFB"/>
    <w:rsid w:val="00AD1FDF"/>
    <w:rsid w:val="00AD54DA"/>
    <w:rsid w:val="00AD65D8"/>
    <w:rsid w:val="00AE0FCC"/>
    <w:rsid w:val="00AE341C"/>
    <w:rsid w:val="00AE6E34"/>
    <w:rsid w:val="00AF0367"/>
    <w:rsid w:val="00AF142A"/>
    <w:rsid w:val="00AF15D5"/>
    <w:rsid w:val="00AF54D2"/>
    <w:rsid w:val="00AF6F87"/>
    <w:rsid w:val="00B02F92"/>
    <w:rsid w:val="00B04CD4"/>
    <w:rsid w:val="00B0577C"/>
    <w:rsid w:val="00B05E3F"/>
    <w:rsid w:val="00B07AD8"/>
    <w:rsid w:val="00B07B5C"/>
    <w:rsid w:val="00B1086A"/>
    <w:rsid w:val="00B120B8"/>
    <w:rsid w:val="00B1352D"/>
    <w:rsid w:val="00B150B9"/>
    <w:rsid w:val="00B15AA0"/>
    <w:rsid w:val="00B228D2"/>
    <w:rsid w:val="00B27A12"/>
    <w:rsid w:val="00B30B53"/>
    <w:rsid w:val="00B3385D"/>
    <w:rsid w:val="00B34476"/>
    <w:rsid w:val="00B35583"/>
    <w:rsid w:val="00B36895"/>
    <w:rsid w:val="00B37794"/>
    <w:rsid w:val="00B3791C"/>
    <w:rsid w:val="00B4027B"/>
    <w:rsid w:val="00B42851"/>
    <w:rsid w:val="00B46FD1"/>
    <w:rsid w:val="00B471C9"/>
    <w:rsid w:val="00B4791A"/>
    <w:rsid w:val="00B50DB8"/>
    <w:rsid w:val="00B53152"/>
    <w:rsid w:val="00B532B0"/>
    <w:rsid w:val="00B53905"/>
    <w:rsid w:val="00B5477A"/>
    <w:rsid w:val="00B54B5B"/>
    <w:rsid w:val="00B54C91"/>
    <w:rsid w:val="00B5562E"/>
    <w:rsid w:val="00B57000"/>
    <w:rsid w:val="00B60939"/>
    <w:rsid w:val="00B60AA3"/>
    <w:rsid w:val="00B60AFD"/>
    <w:rsid w:val="00B616D5"/>
    <w:rsid w:val="00B6180A"/>
    <w:rsid w:val="00B61F8B"/>
    <w:rsid w:val="00B62715"/>
    <w:rsid w:val="00B62AA1"/>
    <w:rsid w:val="00B62AEE"/>
    <w:rsid w:val="00B6329C"/>
    <w:rsid w:val="00B63304"/>
    <w:rsid w:val="00B66B6D"/>
    <w:rsid w:val="00B67C36"/>
    <w:rsid w:val="00B72635"/>
    <w:rsid w:val="00B72BFE"/>
    <w:rsid w:val="00B74E6F"/>
    <w:rsid w:val="00B764D8"/>
    <w:rsid w:val="00B76DA2"/>
    <w:rsid w:val="00B77624"/>
    <w:rsid w:val="00B818A4"/>
    <w:rsid w:val="00B82D01"/>
    <w:rsid w:val="00B841D9"/>
    <w:rsid w:val="00B8479D"/>
    <w:rsid w:val="00B84ED8"/>
    <w:rsid w:val="00B853FD"/>
    <w:rsid w:val="00B85928"/>
    <w:rsid w:val="00B85FD7"/>
    <w:rsid w:val="00B8649C"/>
    <w:rsid w:val="00B86E1D"/>
    <w:rsid w:val="00B87233"/>
    <w:rsid w:val="00B9041E"/>
    <w:rsid w:val="00B92D0B"/>
    <w:rsid w:val="00B94474"/>
    <w:rsid w:val="00B94945"/>
    <w:rsid w:val="00B94DCF"/>
    <w:rsid w:val="00B95D84"/>
    <w:rsid w:val="00BA082D"/>
    <w:rsid w:val="00BA1E50"/>
    <w:rsid w:val="00BA2412"/>
    <w:rsid w:val="00BA2D1A"/>
    <w:rsid w:val="00BA6747"/>
    <w:rsid w:val="00BA6803"/>
    <w:rsid w:val="00BA6A60"/>
    <w:rsid w:val="00BA7511"/>
    <w:rsid w:val="00BB0B66"/>
    <w:rsid w:val="00BB1C28"/>
    <w:rsid w:val="00BB1C42"/>
    <w:rsid w:val="00BB2064"/>
    <w:rsid w:val="00BB31E7"/>
    <w:rsid w:val="00BB35C8"/>
    <w:rsid w:val="00BB53BC"/>
    <w:rsid w:val="00BB7405"/>
    <w:rsid w:val="00BC34D4"/>
    <w:rsid w:val="00BD16DD"/>
    <w:rsid w:val="00BD2D73"/>
    <w:rsid w:val="00BD4A40"/>
    <w:rsid w:val="00BD6CF3"/>
    <w:rsid w:val="00BE2180"/>
    <w:rsid w:val="00BE4275"/>
    <w:rsid w:val="00BE4921"/>
    <w:rsid w:val="00BE53E3"/>
    <w:rsid w:val="00BF2433"/>
    <w:rsid w:val="00BF3F4F"/>
    <w:rsid w:val="00BF41A5"/>
    <w:rsid w:val="00BF61C9"/>
    <w:rsid w:val="00BF67FE"/>
    <w:rsid w:val="00BF77DB"/>
    <w:rsid w:val="00C06265"/>
    <w:rsid w:val="00C10654"/>
    <w:rsid w:val="00C108E5"/>
    <w:rsid w:val="00C12FA8"/>
    <w:rsid w:val="00C14C24"/>
    <w:rsid w:val="00C17401"/>
    <w:rsid w:val="00C1741A"/>
    <w:rsid w:val="00C20EC5"/>
    <w:rsid w:val="00C2421A"/>
    <w:rsid w:val="00C24EC8"/>
    <w:rsid w:val="00C25418"/>
    <w:rsid w:val="00C25D9C"/>
    <w:rsid w:val="00C26357"/>
    <w:rsid w:val="00C31649"/>
    <w:rsid w:val="00C3311D"/>
    <w:rsid w:val="00C34D6B"/>
    <w:rsid w:val="00C3600D"/>
    <w:rsid w:val="00C369E6"/>
    <w:rsid w:val="00C3706A"/>
    <w:rsid w:val="00C374F7"/>
    <w:rsid w:val="00C40385"/>
    <w:rsid w:val="00C41ECF"/>
    <w:rsid w:val="00C42E07"/>
    <w:rsid w:val="00C43731"/>
    <w:rsid w:val="00C4564E"/>
    <w:rsid w:val="00C46EAA"/>
    <w:rsid w:val="00C5356C"/>
    <w:rsid w:val="00C60D0C"/>
    <w:rsid w:val="00C61649"/>
    <w:rsid w:val="00C62534"/>
    <w:rsid w:val="00C64460"/>
    <w:rsid w:val="00C64906"/>
    <w:rsid w:val="00C65576"/>
    <w:rsid w:val="00C66165"/>
    <w:rsid w:val="00C750C8"/>
    <w:rsid w:val="00C75EB3"/>
    <w:rsid w:val="00C76117"/>
    <w:rsid w:val="00C8213F"/>
    <w:rsid w:val="00C8263D"/>
    <w:rsid w:val="00C83222"/>
    <w:rsid w:val="00C85E76"/>
    <w:rsid w:val="00C86E75"/>
    <w:rsid w:val="00C8797A"/>
    <w:rsid w:val="00C9152E"/>
    <w:rsid w:val="00C938CF"/>
    <w:rsid w:val="00C942B9"/>
    <w:rsid w:val="00C957DC"/>
    <w:rsid w:val="00CA0FAD"/>
    <w:rsid w:val="00CA1891"/>
    <w:rsid w:val="00CA5245"/>
    <w:rsid w:val="00CA537A"/>
    <w:rsid w:val="00CA6CC1"/>
    <w:rsid w:val="00CA7B09"/>
    <w:rsid w:val="00CB03D5"/>
    <w:rsid w:val="00CB348C"/>
    <w:rsid w:val="00CB4BA2"/>
    <w:rsid w:val="00CB5979"/>
    <w:rsid w:val="00CB5B1A"/>
    <w:rsid w:val="00CB66B6"/>
    <w:rsid w:val="00CB7C0F"/>
    <w:rsid w:val="00CB7C23"/>
    <w:rsid w:val="00CC02D5"/>
    <w:rsid w:val="00CC1C92"/>
    <w:rsid w:val="00CC2C36"/>
    <w:rsid w:val="00CC300B"/>
    <w:rsid w:val="00CC3301"/>
    <w:rsid w:val="00CC6481"/>
    <w:rsid w:val="00CC67A3"/>
    <w:rsid w:val="00CC74FE"/>
    <w:rsid w:val="00CC7964"/>
    <w:rsid w:val="00CD2766"/>
    <w:rsid w:val="00CD3857"/>
    <w:rsid w:val="00CD564A"/>
    <w:rsid w:val="00CD5B3A"/>
    <w:rsid w:val="00CD6ADC"/>
    <w:rsid w:val="00CD6C35"/>
    <w:rsid w:val="00CD6F32"/>
    <w:rsid w:val="00CD73AE"/>
    <w:rsid w:val="00CE193A"/>
    <w:rsid w:val="00CE1F7B"/>
    <w:rsid w:val="00CE6274"/>
    <w:rsid w:val="00CF0BE1"/>
    <w:rsid w:val="00CF1BCC"/>
    <w:rsid w:val="00CF1D02"/>
    <w:rsid w:val="00CF3786"/>
    <w:rsid w:val="00CF4116"/>
    <w:rsid w:val="00CF456B"/>
    <w:rsid w:val="00CF5A22"/>
    <w:rsid w:val="00CF60B1"/>
    <w:rsid w:val="00CF6943"/>
    <w:rsid w:val="00D0262E"/>
    <w:rsid w:val="00D04477"/>
    <w:rsid w:val="00D04D17"/>
    <w:rsid w:val="00D110BD"/>
    <w:rsid w:val="00D11AAD"/>
    <w:rsid w:val="00D12130"/>
    <w:rsid w:val="00D13B16"/>
    <w:rsid w:val="00D1585D"/>
    <w:rsid w:val="00D174C7"/>
    <w:rsid w:val="00D17D6C"/>
    <w:rsid w:val="00D201B8"/>
    <w:rsid w:val="00D20275"/>
    <w:rsid w:val="00D22576"/>
    <w:rsid w:val="00D23CC3"/>
    <w:rsid w:val="00D243C8"/>
    <w:rsid w:val="00D276C9"/>
    <w:rsid w:val="00D30593"/>
    <w:rsid w:val="00D30840"/>
    <w:rsid w:val="00D3110B"/>
    <w:rsid w:val="00D31CD6"/>
    <w:rsid w:val="00D343EC"/>
    <w:rsid w:val="00D357FF"/>
    <w:rsid w:val="00D366A6"/>
    <w:rsid w:val="00D4143D"/>
    <w:rsid w:val="00D43170"/>
    <w:rsid w:val="00D44E81"/>
    <w:rsid w:val="00D45B53"/>
    <w:rsid w:val="00D473FD"/>
    <w:rsid w:val="00D47E9A"/>
    <w:rsid w:val="00D51523"/>
    <w:rsid w:val="00D5378B"/>
    <w:rsid w:val="00D548A8"/>
    <w:rsid w:val="00D5508D"/>
    <w:rsid w:val="00D55CA1"/>
    <w:rsid w:val="00D57CBE"/>
    <w:rsid w:val="00D57D31"/>
    <w:rsid w:val="00D60982"/>
    <w:rsid w:val="00D6269E"/>
    <w:rsid w:val="00D63E78"/>
    <w:rsid w:val="00D64DF4"/>
    <w:rsid w:val="00D66116"/>
    <w:rsid w:val="00D7126A"/>
    <w:rsid w:val="00D71732"/>
    <w:rsid w:val="00D74B13"/>
    <w:rsid w:val="00D7675D"/>
    <w:rsid w:val="00D76A44"/>
    <w:rsid w:val="00D77FC5"/>
    <w:rsid w:val="00D8011D"/>
    <w:rsid w:val="00D81167"/>
    <w:rsid w:val="00D82191"/>
    <w:rsid w:val="00D8354B"/>
    <w:rsid w:val="00D86749"/>
    <w:rsid w:val="00D878DD"/>
    <w:rsid w:val="00D909BC"/>
    <w:rsid w:val="00D91D33"/>
    <w:rsid w:val="00D93753"/>
    <w:rsid w:val="00D941A5"/>
    <w:rsid w:val="00DA1C86"/>
    <w:rsid w:val="00DA1F11"/>
    <w:rsid w:val="00DA2418"/>
    <w:rsid w:val="00DA54A3"/>
    <w:rsid w:val="00DA5A54"/>
    <w:rsid w:val="00DA77A5"/>
    <w:rsid w:val="00DA7EDE"/>
    <w:rsid w:val="00DB06C9"/>
    <w:rsid w:val="00DB11E4"/>
    <w:rsid w:val="00DB179A"/>
    <w:rsid w:val="00DB4346"/>
    <w:rsid w:val="00DB4475"/>
    <w:rsid w:val="00DB4FA1"/>
    <w:rsid w:val="00DB57C2"/>
    <w:rsid w:val="00DB5C4B"/>
    <w:rsid w:val="00DB6DE6"/>
    <w:rsid w:val="00DC21A7"/>
    <w:rsid w:val="00DC24A4"/>
    <w:rsid w:val="00DC28BA"/>
    <w:rsid w:val="00DC2AA1"/>
    <w:rsid w:val="00DC3283"/>
    <w:rsid w:val="00DC3F00"/>
    <w:rsid w:val="00DC5501"/>
    <w:rsid w:val="00DC63A6"/>
    <w:rsid w:val="00DD392A"/>
    <w:rsid w:val="00DD3F28"/>
    <w:rsid w:val="00DD4537"/>
    <w:rsid w:val="00DD4E15"/>
    <w:rsid w:val="00DE1DEB"/>
    <w:rsid w:val="00DE4DD1"/>
    <w:rsid w:val="00DE4FCB"/>
    <w:rsid w:val="00DE5A6E"/>
    <w:rsid w:val="00DE72F4"/>
    <w:rsid w:val="00DF1295"/>
    <w:rsid w:val="00DF18FC"/>
    <w:rsid w:val="00DF371D"/>
    <w:rsid w:val="00DF59CB"/>
    <w:rsid w:val="00DF5D2B"/>
    <w:rsid w:val="00DF79BF"/>
    <w:rsid w:val="00E02D5D"/>
    <w:rsid w:val="00E05FAA"/>
    <w:rsid w:val="00E07CB8"/>
    <w:rsid w:val="00E10149"/>
    <w:rsid w:val="00E16372"/>
    <w:rsid w:val="00E16D82"/>
    <w:rsid w:val="00E17C8F"/>
    <w:rsid w:val="00E20BAA"/>
    <w:rsid w:val="00E20ED6"/>
    <w:rsid w:val="00E21358"/>
    <w:rsid w:val="00E2249B"/>
    <w:rsid w:val="00E22A0D"/>
    <w:rsid w:val="00E24601"/>
    <w:rsid w:val="00E25432"/>
    <w:rsid w:val="00E25AF3"/>
    <w:rsid w:val="00E26DE6"/>
    <w:rsid w:val="00E2771E"/>
    <w:rsid w:val="00E342C1"/>
    <w:rsid w:val="00E35544"/>
    <w:rsid w:val="00E35CD9"/>
    <w:rsid w:val="00E35F19"/>
    <w:rsid w:val="00E3631E"/>
    <w:rsid w:val="00E36EA6"/>
    <w:rsid w:val="00E371E9"/>
    <w:rsid w:val="00E37569"/>
    <w:rsid w:val="00E41E30"/>
    <w:rsid w:val="00E43D70"/>
    <w:rsid w:val="00E473AE"/>
    <w:rsid w:val="00E47B2C"/>
    <w:rsid w:val="00E51560"/>
    <w:rsid w:val="00E55424"/>
    <w:rsid w:val="00E55587"/>
    <w:rsid w:val="00E55BB5"/>
    <w:rsid w:val="00E56ED2"/>
    <w:rsid w:val="00E62767"/>
    <w:rsid w:val="00E65E79"/>
    <w:rsid w:val="00E67416"/>
    <w:rsid w:val="00E67CB9"/>
    <w:rsid w:val="00E67E87"/>
    <w:rsid w:val="00E71574"/>
    <w:rsid w:val="00E718B6"/>
    <w:rsid w:val="00E72F71"/>
    <w:rsid w:val="00E73581"/>
    <w:rsid w:val="00E73D6C"/>
    <w:rsid w:val="00E752B3"/>
    <w:rsid w:val="00E76BB5"/>
    <w:rsid w:val="00E76D97"/>
    <w:rsid w:val="00E76DFF"/>
    <w:rsid w:val="00E812FF"/>
    <w:rsid w:val="00E82FD2"/>
    <w:rsid w:val="00E83BDF"/>
    <w:rsid w:val="00E83CA0"/>
    <w:rsid w:val="00E85001"/>
    <w:rsid w:val="00E90821"/>
    <w:rsid w:val="00E9215F"/>
    <w:rsid w:val="00E92E7B"/>
    <w:rsid w:val="00E93202"/>
    <w:rsid w:val="00E95BF3"/>
    <w:rsid w:val="00E96544"/>
    <w:rsid w:val="00EA192E"/>
    <w:rsid w:val="00EA3864"/>
    <w:rsid w:val="00EA57DF"/>
    <w:rsid w:val="00EA757D"/>
    <w:rsid w:val="00EB15B6"/>
    <w:rsid w:val="00EB4916"/>
    <w:rsid w:val="00EB5A36"/>
    <w:rsid w:val="00EB5C66"/>
    <w:rsid w:val="00EB667C"/>
    <w:rsid w:val="00EB6B59"/>
    <w:rsid w:val="00EC00C9"/>
    <w:rsid w:val="00EC02F0"/>
    <w:rsid w:val="00EC07B7"/>
    <w:rsid w:val="00EC07F5"/>
    <w:rsid w:val="00EC1BF6"/>
    <w:rsid w:val="00EC2D59"/>
    <w:rsid w:val="00EC3628"/>
    <w:rsid w:val="00EC4DB0"/>
    <w:rsid w:val="00EC5661"/>
    <w:rsid w:val="00EC5D25"/>
    <w:rsid w:val="00EC612F"/>
    <w:rsid w:val="00ED0AF3"/>
    <w:rsid w:val="00ED1325"/>
    <w:rsid w:val="00ED2807"/>
    <w:rsid w:val="00ED2F75"/>
    <w:rsid w:val="00ED62C7"/>
    <w:rsid w:val="00ED71A9"/>
    <w:rsid w:val="00EE07D3"/>
    <w:rsid w:val="00EE0FA0"/>
    <w:rsid w:val="00EE13EA"/>
    <w:rsid w:val="00EE1EFA"/>
    <w:rsid w:val="00EE226C"/>
    <w:rsid w:val="00EE33FE"/>
    <w:rsid w:val="00EE38A0"/>
    <w:rsid w:val="00EE4E8B"/>
    <w:rsid w:val="00EE51EB"/>
    <w:rsid w:val="00EE6594"/>
    <w:rsid w:val="00EE6AF4"/>
    <w:rsid w:val="00EE7EEB"/>
    <w:rsid w:val="00EF01ED"/>
    <w:rsid w:val="00EF0B21"/>
    <w:rsid w:val="00EF15AB"/>
    <w:rsid w:val="00EF2DF9"/>
    <w:rsid w:val="00EF388A"/>
    <w:rsid w:val="00EF5DAE"/>
    <w:rsid w:val="00EF75BE"/>
    <w:rsid w:val="00F000E5"/>
    <w:rsid w:val="00F00C4E"/>
    <w:rsid w:val="00F03888"/>
    <w:rsid w:val="00F03CCE"/>
    <w:rsid w:val="00F05264"/>
    <w:rsid w:val="00F061D5"/>
    <w:rsid w:val="00F067A2"/>
    <w:rsid w:val="00F161E5"/>
    <w:rsid w:val="00F16B6F"/>
    <w:rsid w:val="00F217C4"/>
    <w:rsid w:val="00F21FD7"/>
    <w:rsid w:val="00F22690"/>
    <w:rsid w:val="00F23A7D"/>
    <w:rsid w:val="00F24837"/>
    <w:rsid w:val="00F2575F"/>
    <w:rsid w:val="00F2655B"/>
    <w:rsid w:val="00F267D4"/>
    <w:rsid w:val="00F30A46"/>
    <w:rsid w:val="00F32185"/>
    <w:rsid w:val="00F32909"/>
    <w:rsid w:val="00F33DE9"/>
    <w:rsid w:val="00F3619A"/>
    <w:rsid w:val="00F36F78"/>
    <w:rsid w:val="00F45BD4"/>
    <w:rsid w:val="00F46CB6"/>
    <w:rsid w:val="00F50135"/>
    <w:rsid w:val="00F5035A"/>
    <w:rsid w:val="00F50E86"/>
    <w:rsid w:val="00F521FC"/>
    <w:rsid w:val="00F53D19"/>
    <w:rsid w:val="00F53FB1"/>
    <w:rsid w:val="00F54169"/>
    <w:rsid w:val="00F55E73"/>
    <w:rsid w:val="00F55FEC"/>
    <w:rsid w:val="00F560F6"/>
    <w:rsid w:val="00F57F71"/>
    <w:rsid w:val="00F60092"/>
    <w:rsid w:val="00F61B5A"/>
    <w:rsid w:val="00F61CD0"/>
    <w:rsid w:val="00F61EE6"/>
    <w:rsid w:val="00F646E0"/>
    <w:rsid w:val="00F66C06"/>
    <w:rsid w:val="00F67845"/>
    <w:rsid w:val="00F73D49"/>
    <w:rsid w:val="00F74FC8"/>
    <w:rsid w:val="00F76F40"/>
    <w:rsid w:val="00F80E5D"/>
    <w:rsid w:val="00F81B7B"/>
    <w:rsid w:val="00F83871"/>
    <w:rsid w:val="00F83C83"/>
    <w:rsid w:val="00F840FD"/>
    <w:rsid w:val="00F84CD2"/>
    <w:rsid w:val="00F851CE"/>
    <w:rsid w:val="00F9085B"/>
    <w:rsid w:val="00F90E06"/>
    <w:rsid w:val="00F90EAD"/>
    <w:rsid w:val="00F94AEC"/>
    <w:rsid w:val="00F95E1C"/>
    <w:rsid w:val="00F97A78"/>
    <w:rsid w:val="00FA1DE1"/>
    <w:rsid w:val="00FA243D"/>
    <w:rsid w:val="00FA24E7"/>
    <w:rsid w:val="00FA274F"/>
    <w:rsid w:val="00FA342F"/>
    <w:rsid w:val="00FA4AB3"/>
    <w:rsid w:val="00FA6362"/>
    <w:rsid w:val="00FB2FCB"/>
    <w:rsid w:val="00FB59D5"/>
    <w:rsid w:val="00FB6A19"/>
    <w:rsid w:val="00FB78A6"/>
    <w:rsid w:val="00FC0370"/>
    <w:rsid w:val="00FC1074"/>
    <w:rsid w:val="00FC1884"/>
    <w:rsid w:val="00FC2DDE"/>
    <w:rsid w:val="00FC2F05"/>
    <w:rsid w:val="00FC2FF4"/>
    <w:rsid w:val="00FC4A11"/>
    <w:rsid w:val="00FC52CB"/>
    <w:rsid w:val="00FD2100"/>
    <w:rsid w:val="00FD29CF"/>
    <w:rsid w:val="00FD446D"/>
    <w:rsid w:val="00FD46D0"/>
    <w:rsid w:val="00FD54F4"/>
    <w:rsid w:val="00FD568C"/>
    <w:rsid w:val="00FD574F"/>
    <w:rsid w:val="00FD5BA3"/>
    <w:rsid w:val="00FE1386"/>
    <w:rsid w:val="00FE2AC8"/>
    <w:rsid w:val="00FE39D3"/>
    <w:rsid w:val="00FE4B72"/>
    <w:rsid w:val="00FE5FDE"/>
    <w:rsid w:val="00FE7618"/>
    <w:rsid w:val="00FF1356"/>
    <w:rsid w:val="00FF2A0D"/>
    <w:rsid w:val="00FF2C4D"/>
    <w:rsid w:val="00FF3DCF"/>
    <w:rsid w:val="00FF5AA3"/>
    <w:rsid w:val="00FF61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aption2,Char,Caption Char1 Char Char Char,Caption Char Char Char Char Char,Caption Char Char1 Char,Caption Char1 Char1,Caption Char Char Char1,Bayer Caption,IB Caption,Medical Caption,IB Caption Cha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2,Caption Char Char Char2,Caption2 Char1,Char Char1,Caption Char1 Char Char Char Char1,Caption Char Char Char Char Char Char1,Caption Char Char1 Char Char1,Caption Char1 Char1 Char1,Caption Char Char Char1 Char1"/>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9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hitinf">
    <w:name w:val="hit_inf"/>
    <w:basedOn w:val="DefaultParagraphFont"/>
    <w:rsid w:val="00B150B9"/>
  </w:style>
  <w:style w:type="character" w:customStyle="1" w:styleId="hitsyn">
    <w:name w:val="hit_syn"/>
    <w:basedOn w:val="DefaultParagraphFont"/>
    <w:rsid w:val="00B150B9"/>
  </w:style>
  <w:style w:type="character" w:customStyle="1" w:styleId="li-content">
    <w:name w:val="li-content"/>
    <w:basedOn w:val="DefaultParagraphFont"/>
    <w:rsid w:val="00B150B9"/>
  </w:style>
  <w:style w:type="character" w:customStyle="1" w:styleId="ccbntxt">
    <w:name w:val="ccbntxt"/>
    <w:basedOn w:val="DefaultParagraphFont"/>
    <w:rsid w:val="0037598E"/>
  </w:style>
  <w:style w:type="paragraph" w:styleId="FootnoteText">
    <w:name w:val="footnote text"/>
    <w:basedOn w:val="Normal"/>
    <w:link w:val="FootnoteTextChar"/>
    <w:unhideWhenUsed/>
    <w:rsid w:val="00022C8C"/>
    <w:rPr>
      <w:sz w:val="24"/>
    </w:rPr>
  </w:style>
  <w:style w:type="character" w:customStyle="1" w:styleId="FootnoteTextChar">
    <w:name w:val="Footnote Text Char"/>
    <w:basedOn w:val="DefaultParagraphFont"/>
    <w:link w:val="FootnoteText"/>
    <w:rsid w:val="00022C8C"/>
    <w:rPr>
      <w:rFonts w:ascii="Arial" w:hAnsi="Arial" w:cs="Arial"/>
      <w:snapToGrid w:val="0"/>
      <w:sz w:val="24"/>
      <w:szCs w:val="24"/>
      <w:lang w:eastAsia="en-US"/>
    </w:rPr>
  </w:style>
  <w:style w:type="character" w:styleId="FootnoteReference">
    <w:name w:val="footnote reference"/>
    <w:basedOn w:val="DefaultParagraphFont"/>
    <w:unhideWhenUsed/>
    <w:rsid w:val="00022C8C"/>
    <w:rPr>
      <w:vertAlign w:val="superscript"/>
    </w:rPr>
  </w:style>
  <w:style w:type="character" w:styleId="FollowedHyperlink">
    <w:name w:val="FollowedHyperlink"/>
    <w:basedOn w:val="DefaultParagraphFont"/>
    <w:semiHidden/>
    <w:unhideWhenUsed/>
    <w:rsid w:val="0086419F"/>
    <w:rPr>
      <w:color w:val="800080" w:themeColor="followedHyperlink"/>
      <w:u w:val="single"/>
    </w:rPr>
  </w:style>
  <w:style w:type="character" w:customStyle="1" w:styleId="TableTextChar0">
    <w:name w:val="TableText Char"/>
    <w:link w:val="TableText0"/>
    <w:uiPriority w:val="99"/>
    <w:rsid w:val="00996B66"/>
    <w:rPr>
      <w:rFonts w:ascii="Arial Narrow" w:hAnsi="Arial Narrow" w:cs="Arial Narrow"/>
      <w:lang w:eastAsia="en-US"/>
    </w:rPr>
  </w:style>
  <w:style w:type="character" w:customStyle="1" w:styleId="ListParagraphChar">
    <w:name w:val="List Paragraph Char"/>
    <w:link w:val="ListParagraph"/>
    <w:uiPriority w:val="34"/>
    <w:rsid w:val="00064AFA"/>
    <w:rPr>
      <w:rFonts w:ascii="Arial" w:hAnsi="Arial" w:cs="Arial"/>
      <w:snapToGrid w:val="0"/>
      <w:sz w:val="22"/>
      <w:lang w:eastAsia="en-US"/>
    </w:rPr>
  </w:style>
  <w:style w:type="paragraph" w:customStyle="1" w:styleId="TableNotes">
    <w:name w:val="Table Notes"/>
    <w:basedOn w:val="Normal"/>
    <w:next w:val="Normal"/>
    <w:link w:val="TableNotesChar"/>
    <w:uiPriority w:val="99"/>
    <w:qFormat/>
    <w:rsid w:val="004B3BFE"/>
    <w:pPr>
      <w:keepNext/>
      <w:keepLines/>
      <w:widowControl/>
    </w:pPr>
    <w:rPr>
      <w:rFonts w:cs="Times New Roman"/>
      <w:snapToGrid/>
      <w:sz w:val="16"/>
      <w:lang w:eastAsia="en-AU"/>
    </w:rPr>
  </w:style>
  <w:style w:type="character" w:customStyle="1" w:styleId="TableNotesChar">
    <w:name w:val="Table Notes Char"/>
    <w:link w:val="TableNotes"/>
    <w:uiPriority w:val="99"/>
    <w:rsid w:val="004B3BFE"/>
    <w:rPr>
      <w:rFonts w:ascii="Arial" w:hAnsi="Arial"/>
      <w:sz w:val="16"/>
      <w:szCs w:val="24"/>
    </w:rPr>
  </w:style>
  <w:style w:type="character" w:customStyle="1" w:styleId="CaptionChar2">
    <w:name w:val="Caption Char2"/>
    <w:aliases w:val="Caption Char1 Char,Caption Char Char Char,Caption Char Char1,Caption2 Char,Char Char,Caption Char1 Char Char Char Char,Caption Char Char Char Char Char Char,Caption Char Char1 Char Char,Caption Char1 Char1 Char,Caption Char Char Char1 Char"/>
    <w:rsid w:val="004B3BFE"/>
    <w:rPr>
      <w:rFonts w:ascii="Arial" w:eastAsia="Times New Roman" w:hAnsi="Arial" w:cs="Times New Roman"/>
      <w:b/>
      <w:bCs/>
      <w:sz w:val="20"/>
      <w:szCs w:val="20"/>
      <w:lang w:eastAsia="en-AU"/>
    </w:rPr>
  </w:style>
  <w:style w:type="paragraph" w:customStyle="1" w:styleId="TableText1">
    <w:name w:val="Table Text"/>
    <w:basedOn w:val="Normal"/>
    <w:link w:val="TableTextChar1"/>
    <w:uiPriority w:val="99"/>
    <w:qFormat/>
    <w:rsid w:val="004B3BFE"/>
    <w:pPr>
      <w:keepNext/>
      <w:keepLines/>
      <w:widowControl/>
      <w:spacing w:before="60" w:after="40"/>
    </w:pPr>
    <w:rPr>
      <w:rFonts w:ascii="Arial Narrow" w:hAnsi="Arial Narrow" w:cs="Times New Roman"/>
      <w:snapToGrid/>
      <w:sz w:val="20"/>
      <w:lang w:eastAsia="en-AU"/>
    </w:rPr>
  </w:style>
  <w:style w:type="character" w:customStyle="1" w:styleId="TableTextChar1">
    <w:name w:val="Table Text Char"/>
    <w:link w:val="TableText1"/>
    <w:uiPriority w:val="99"/>
    <w:locked/>
    <w:rsid w:val="004B3BFE"/>
    <w:rPr>
      <w:rFonts w:ascii="Arial Narrow" w:hAnsi="Arial Narrow"/>
    </w:rPr>
  </w:style>
  <w:style w:type="paragraph" w:customStyle="1" w:styleId="BodyText1">
    <w:name w:val="Body Text1"/>
    <w:basedOn w:val="Normal"/>
    <w:uiPriority w:val="99"/>
    <w:qFormat/>
    <w:rsid w:val="00314C40"/>
    <w:pPr>
      <w:spacing w:after="240" w:line="288" w:lineRule="auto"/>
    </w:pPr>
    <w:rPr>
      <w:rFonts w:cs="Times New Roman"/>
      <w:snapToGrid/>
      <w:szCs w:val="18"/>
      <w:lang w:eastAsia="en-AU"/>
    </w:rPr>
  </w:style>
  <w:style w:type="character" w:customStyle="1" w:styleId="MainBodyTextChar">
    <w:name w:val="Main Body Text Char"/>
    <w:link w:val="MainBodyText"/>
    <w:rsid w:val="00580361"/>
    <w:rPr>
      <w:rFonts w:ascii="Arial" w:hAnsi="Arial"/>
    </w:rPr>
  </w:style>
  <w:style w:type="paragraph" w:customStyle="1" w:styleId="MainBodyText">
    <w:name w:val="Main Body Text"/>
    <w:basedOn w:val="Normal"/>
    <w:link w:val="MainBodyTextChar"/>
    <w:rsid w:val="00580361"/>
    <w:pPr>
      <w:widowControl/>
      <w:spacing w:line="360" w:lineRule="auto"/>
    </w:pPr>
    <w:rPr>
      <w:rFonts w:cs="Times New Roman"/>
      <w:snapToGrid/>
      <w:sz w:val="24"/>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65ED6"/>
    <w:pPr>
      <w:widowControl/>
      <w:spacing w:after="160" w:line="240" w:lineRule="exact"/>
      <w:jc w:val="left"/>
    </w:pPr>
    <w:rPr>
      <w:rFonts w:ascii="Verdana" w:eastAsia="MS Mincho" w:hAnsi="Verdana" w:cs="Verdana"/>
      <w:snapToGrid/>
      <w:sz w:val="20"/>
      <w:szCs w:val="20"/>
      <w:lang w:val="en-US"/>
    </w:rPr>
  </w:style>
  <w:style w:type="character" w:styleId="IntenseReference">
    <w:name w:val="Intense Reference"/>
    <w:basedOn w:val="DefaultParagraphFont"/>
    <w:uiPriority w:val="32"/>
    <w:qFormat/>
    <w:rsid w:val="009A1D2A"/>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aption2,Char,Caption Char1 Char Char Char,Caption Char Char Char Char Char,Caption Char Char1 Char,Caption Char1 Char1,Caption Char Char Char1,Bayer Caption,IB Caption,Medical Caption,IB Caption Cha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2,Caption Char Char Char2,Caption2 Char1,Char Char1,Caption Char1 Char Char Char Char1,Caption Char Char Char Char Char Char1,Caption Char Char1 Char Char1,Caption Char1 Char1 Char1,Caption Char Char Char1 Char1"/>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9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hitinf">
    <w:name w:val="hit_inf"/>
    <w:basedOn w:val="DefaultParagraphFont"/>
    <w:rsid w:val="00B150B9"/>
  </w:style>
  <w:style w:type="character" w:customStyle="1" w:styleId="hitsyn">
    <w:name w:val="hit_syn"/>
    <w:basedOn w:val="DefaultParagraphFont"/>
    <w:rsid w:val="00B150B9"/>
  </w:style>
  <w:style w:type="character" w:customStyle="1" w:styleId="li-content">
    <w:name w:val="li-content"/>
    <w:basedOn w:val="DefaultParagraphFont"/>
    <w:rsid w:val="00B150B9"/>
  </w:style>
  <w:style w:type="character" w:customStyle="1" w:styleId="ccbntxt">
    <w:name w:val="ccbntxt"/>
    <w:basedOn w:val="DefaultParagraphFont"/>
    <w:rsid w:val="0037598E"/>
  </w:style>
  <w:style w:type="paragraph" w:styleId="FootnoteText">
    <w:name w:val="footnote text"/>
    <w:basedOn w:val="Normal"/>
    <w:link w:val="FootnoteTextChar"/>
    <w:unhideWhenUsed/>
    <w:rsid w:val="00022C8C"/>
    <w:rPr>
      <w:sz w:val="24"/>
    </w:rPr>
  </w:style>
  <w:style w:type="character" w:customStyle="1" w:styleId="FootnoteTextChar">
    <w:name w:val="Footnote Text Char"/>
    <w:basedOn w:val="DefaultParagraphFont"/>
    <w:link w:val="FootnoteText"/>
    <w:rsid w:val="00022C8C"/>
    <w:rPr>
      <w:rFonts w:ascii="Arial" w:hAnsi="Arial" w:cs="Arial"/>
      <w:snapToGrid w:val="0"/>
      <w:sz w:val="24"/>
      <w:szCs w:val="24"/>
      <w:lang w:eastAsia="en-US"/>
    </w:rPr>
  </w:style>
  <w:style w:type="character" w:styleId="FootnoteReference">
    <w:name w:val="footnote reference"/>
    <w:basedOn w:val="DefaultParagraphFont"/>
    <w:unhideWhenUsed/>
    <w:rsid w:val="00022C8C"/>
    <w:rPr>
      <w:vertAlign w:val="superscript"/>
    </w:rPr>
  </w:style>
  <w:style w:type="character" w:styleId="FollowedHyperlink">
    <w:name w:val="FollowedHyperlink"/>
    <w:basedOn w:val="DefaultParagraphFont"/>
    <w:semiHidden/>
    <w:unhideWhenUsed/>
    <w:rsid w:val="0086419F"/>
    <w:rPr>
      <w:color w:val="800080" w:themeColor="followedHyperlink"/>
      <w:u w:val="single"/>
    </w:rPr>
  </w:style>
  <w:style w:type="character" w:customStyle="1" w:styleId="TableTextChar0">
    <w:name w:val="TableText Char"/>
    <w:link w:val="TableText0"/>
    <w:uiPriority w:val="99"/>
    <w:rsid w:val="00996B66"/>
    <w:rPr>
      <w:rFonts w:ascii="Arial Narrow" w:hAnsi="Arial Narrow" w:cs="Arial Narrow"/>
      <w:lang w:eastAsia="en-US"/>
    </w:rPr>
  </w:style>
  <w:style w:type="character" w:customStyle="1" w:styleId="ListParagraphChar">
    <w:name w:val="List Paragraph Char"/>
    <w:link w:val="ListParagraph"/>
    <w:uiPriority w:val="34"/>
    <w:rsid w:val="00064AFA"/>
    <w:rPr>
      <w:rFonts w:ascii="Arial" w:hAnsi="Arial" w:cs="Arial"/>
      <w:snapToGrid w:val="0"/>
      <w:sz w:val="22"/>
      <w:lang w:eastAsia="en-US"/>
    </w:rPr>
  </w:style>
  <w:style w:type="paragraph" w:customStyle="1" w:styleId="TableNotes">
    <w:name w:val="Table Notes"/>
    <w:basedOn w:val="Normal"/>
    <w:next w:val="Normal"/>
    <w:link w:val="TableNotesChar"/>
    <w:uiPriority w:val="99"/>
    <w:qFormat/>
    <w:rsid w:val="004B3BFE"/>
    <w:pPr>
      <w:keepNext/>
      <w:keepLines/>
      <w:widowControl/>
    </w:pPr>
    <w:rPr>
      <w:rFonts w:cs="Times New Roman"/>
      <w:snapToGrid/>
      <w:sz w:val="16"/>
      <w:lang w:eastAsia="en-AU"/>
    </w:rPr>
  </w:style>
  <w:style w:type="character" w:customStyle="1" w:styleId="TableNotesChar">
    <w:name w:val="Table Notes Char"/>
    <w:link w:val="TableNotes"/>
    <w:uiPriority w:val="99"/>
    <w:rsid w:val="004B3BFE"/>
    <w:rPr>
      <w:rFonts w:ascii="Arial" w:hAnsi="Arial"/>
      <w:sz w:val="16"/>
      <w:szCs w:val="24"/>
    </w:rPr>
  </w:style>
  <w:style w:type="character" w:customStyle="1" w:styleId="CaptionChar2">
    <w:name w:val="Caption Char2"/>
    <w:aliases w:val="Caption Char1 Char,Caption Char Char Char,Caption Char Char1,Caption2 Char,Char Char,Caption Char1 Char Char Char Char,Caption Char Char Char Char Char Char,Caption Char Char1 Char Char,Caption Char1 Char1 Char,Caption Char Char Char1 Char"/>
    <w:rsid w:val="004B3BFE"/>
    <w:rPr>
      <w:rFonts w:ascii="Arial" w:eastAsia="Times New Roman" w:hAnsi="Arial" w:cs="Times New Roman"/>
      <w:b/>
      <w:bCs/>
      <w:sz w:val="20"/>
      <w:szCs w:val="20"/>
      <w:lang w:eastAsia="en-AU"/>
    </w:rPr>
  </w:style>
  <w:style w:type="paragraph" w:customStyle="1" w:styleId="TableText1">
    <w:name w:val="Table Text"/>
    <w:basedOn w:val="Normal"/>
    <w:link w:val="TableTextChar1"/>
    <w:uiPriority w:val="99"/>
    <w:qFormat/>
    <w:rsid w:val="004B3BFE"/>
    <w:pPr>
      <w:keepNext/>
      <w:keepLines/>
      <w:widowControl/>
      <w:spacing w:before="60" w:after="40"/>
    </w:pPr>
    <w:rPr>
      <w:rFonts w:ascii="Arial Narrow" w:hAnsi="Arial Narrow" w:cs="Times New Roman"/>
      <w:snapToGrid/>
      <w:sz w:val="20"/>
      <w:lang w:eastAsia="en-AU"/>
    </w:rPr>
  </w:style>
  <w:style w:type="character" w:customStyle="1" w:styleId="TableTextChar1">
    <w:name w:val="Table Text Char"/>
    <w:link w:val="TableText1"/>
    <w:uiPriority w:val="99"/>
    <w:locked/>
    <w:rsid w:val="004B3BFE"/>
    <w:rPr>
      <w:rFonts w:ascii="Arial Narrow" w:hAnsi="Arial Narrow"/>
    </w:rPr>
  </w:style>
  <w:style w:type="paragraph" w:customStyle="1" w:styleId="BodyText1">
    <w:name w:val="Body Text1"/>
    <w:basedOn w:val="Normal"/>
    <w:uiPriority w:val="99"/>
    <w:qFormat/>
    <w:rsid w:val="00314C40"/>
    <w:pPr>
      <w:spacing w:after="240" w:line="288" w:lineRule="auto"/>
    </w:pPr>
    <w:rPr>
      <w:rFonts w:cs="Times New Roman"/>
      <w:snapToGrid/>
      <w:szCs w:val="18"/>
      <w:lang w:eastAsia="en-AU"/>
    </w:rPr>
  </w:style>
  <w:style w:type="character" w:customStyle="1" w:styleId="MainBodyTextChar">
    <w:name w:val="Main Body Text Char"/>
    <w:link w:val="MainBodyText"/>
    <w:rsid w:val="00580361"/>
    <w:rPr>
      <w:rFonts w:ascii="Arial" w:hAnsi="Arial"/>
    </w:rPr>
  </w:style>
  <w:style w:type="paragraph" w:customStyle="1" w:styleId="MainBodyText">
    <w:name w:val="Main Body Text"/>
    <w:basedOn w:val="Normal"/>
    <w:link w:val="MainBodyTextChar"/>
    <w:rsid w:val="00580361"/>
    <w:pPr>
      <w:widowControl/>
      <w:spacing w:line="360" w:lineRule="auto"/>
    </w:pPr>
    <w:rPr>
      <w:rFonts w:cs="Times New Roman"/>
      <w:snapToGrid/>
      <w:sz w:val="24"/>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65ED6"/>
    <w:pPr>
      <w:widowControl/>
      <w:spacing w:after="160" w:line="240" w:lineRule="exact"/>
      <w:jc w:val="left"/>
    </w:pPr>
    <w:rPr>
      <w:rFonts w:ascii="Verdana" w:eastAsia="MS Mincho" w:hAnsi="Verdana" w:cs="Verdana"/>
      <w:snapToGrid/>
      <w:sz w:val="20"/>
      <w:szCs w:val="20"/>
      <w:lang w:val="en-US"/>
    </w:rPr>
  </w:style>
  <w:style w:type="character" w:styleId="IntenseReference">
    <w:name w:val="Intense Reference"/>
    <w:basedOn w:val="DefaultParagraphFont"/>
    <w:uiPriority w:val="32"/>
    <w:qFormat/>
    <w:rsid w:val="009A1D2A"/>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5300">
      <w:bodyDiv w:val="1"/>
      <w:marLeft w:val="0"/>
      <w:marRight w:val="0"/>
      <w:marTop w:val="0"/>
      <w:marBottom w:val="0"/>
      <w:divBdr>
        <w:top w:val="none" w:sz="0" w:space="0" w:color="auto"/>
        <w:left w:val="none" w:sz="0" w:space="0" w:color="auto"/>
        <w:bottom w:val="none" w:sz="0" w:space="0" w:color="auto"/>
        <w:right w:val="none" w:sz="0" w:space="0" w:color="auto"/>
      </w:divBdr>
      <w:divsChild>
        <w:div w:id="921984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tm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F22C7-51B3-4A0F-9ECE-2C34F9F0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9540</Words>
  <Characters>56163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2015-10-23T00:44:00Z</dcterms:created>
  <dcterms:modified xsi:type="dcterms:W3CDTF">2016-02-18T03:24:00Z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