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2B" w:rsidRDefault="00D4172B" w:rsidP="00D4172B">
      <w:pPr>
        <w:rPr>
          <w:rFonts w:ascii="Arial" w:hAnsi="Arial"/>
          <w:b/>
        </w:rPr>
      </w:pPr>
    </w:p>
    <w:p w:rsidR="00DC01C1" w:rsidRDefault="00DC01C1" w:rsidP="00D4172B">
      <w:pPr>
        <w:ind w:left="720" w:hanging="720"/>
        <w:rPr>
          <w:rFonts w:ascii="Arial" w:hAnsi="Arial"/>
          <w:b/>
          <w:sz w:val="28"/>
          <w:szCs w:val="28"/>
        </w:rPr>
      </w:pPr>
      <w:r>
        <w:rPr>
          <w:rFonts w:ascii="Arial" w:hAnsi="Arial"/>
          <w:b/>
          <w:sz w:val="28"/>
          <w:szCs w:val="28"/>
        </w:rPr>
        <w:t>4.04</w:t>
      </w:r>
      <w:r w:rsidRPr="006D6EC7">
        <w:rPr>
          <w:rFonts w:ascii="Arial" w:hAnsi="Arial"/>
          <w:b/>
          <w:sz w:val="28"/>
          <w:szCs w:val="28"/>
        </w:rPr>
        <w:tab/>
      </w:r>
      <w:r>
        <w:rPr>
          <w:rFonts w:ascii="Arial" w:hAnsi="Arial"/>
          <w:b/>
          <w:sz w:val="28"/>
          <w:szCs w:val="28"/>
        </w:rPr>
        <w:t>NITISINONE</w:t>
      </w:r>
    </w:p>
    <w:p w:rsidR="00DC01C1" w:rsidRPr="00DC01C1" w:rsidRDefault="00DC01C1" w:rsidP="00D4172B">
      <w:pPr>
        <w:ind w:left="720"/>
        <w:rPr>
          <w:rFonts w:ascii="Arial" w:hAnsi="Arial"/>
          <w:b/>
          <w:sz w:val="28"/>
          <w:szCs w:val="28"/>
        </w:rPr>
      </w:pPr>
      <w:r w:rsidRPr="00DC01C1">
        <w:rPr>
          <w:rFonts w:ascii="Arial" w:hAnsi="Arial"/>
          <w:b/>
          <w:sz w:val="28"/>
          <w:szCs w:val="28"/>
        </w:rPr>
        <w:t>2 mg capsule, 60</w:t>
      </w:r>
    </w:p>
    <w:p w:rsidR="00DC01C1" w:rsidRPr="00DC01C1" w:rsidRDefault="00DC01C1" w:rsidP="00D4172B">
      <w:pPr>
        <w:ind w:left="720"/>
        <w:rPr>
          <w:rFonts w:ascii="Arial" w:hAnsi="Arial"/>
          <w:b/>
          <w:sz w:val="28"/>
          <w:szCs w:val="28"/>
        </w:rPr>
      </w:pPr>
      <w:r w:rsidRPr="00DC01C1">
        <w:rPr>
          <w:rFonts w:ascii="Arial" w:hAnsi="Arial"/>
          <w:b/>
          <w:sz w:val="28"/>
          <w:szCs w:val="28"/>
        </w:rPr>
        <w:t>5 mg capsule, 60</w:t>
      </w:r>
    </w:p>
    <w:p w:rsidR="00DC01C1" w:rsidRDefault="00DC01C1" w:rsidP="00D4172B">
      <w:pPr>
        <w:ind w:firstLine="720"/>
        <w:rPr>
          <w:rFonts w:ascii="Arial" w:hAnsi="Arial"/>
          <w:b/>
          <w:sz w:val="28"/>
          <w:szCs w:val="28"/>
        </w:rPr>
      </w:pPr>
      <w:r w:rsidRPr="00DC01C1">
        <w:rPr>
          <w:rFonts w:ascii="Arial" w:hAnsi="Arial"/>
          <w:b/>
          <w:sz w:val="28"/>
          <w:szCs w:val="28"/>
        </w:rPr>
        <w:t>10 mg capsule, 60</w:t>
      </w:r>
    </w:p>
    <w:p w:rsidR="00DC01C1" w:rsidRPr="006D6EC7" w:rsidRDefault="00DC01C1" w:rsidP="00D4172B">
      <w:pPr>
        <w:ind w:firstLine="720"/>
        <w:rPr>
          <w:rFonts w:ascii="Arial" w:hAnsi="Arial"/>
          <w:b/>
          <w:sz w:val="28"/>
          <w:szCs w:val="28"/>
        </w:rPr>
      </w:pPr>
      <w:r>
        <w:rPr>
          <w:rFonts w:ascii="Arial" w:hAnsi="Arial"/>
          <w:b/>
          <w:sz w:val="28"/>
          <w:szCs w:val="28"/>
        </w:rPr>
        <w:t>ORFADIN</w:t>
      </w:r>
      <w:r w:rsidRPr="006D6EC7">
        <w:rPr>
          <w:rFonts w:ascii="Arial" w:hAnsi="Arial"/>
          <w:b/>
          <w:sz w:val="28"/>
          <w:szCs w:val="28"/>
          <w:vertAlign w:val="superscript"/>
        </w:rPr>
        <w:t>®</w:t>
      </w:r>
      <w:r>
        <w:rPr>
          <w:rFonts w:ascii="Arial" w:hAnsi="Arial"/>
          <w:b/>
          <w:sz w:val="28"/>
          <w:szCs w:val="28"/>
        </w:rPr>
        <w:t xml:space="preserve">, A. </w:t>
      </w:r>
      <w:proofErr w:type="spellStart"/>
      <w:r>
        <w:rPr>
          <w:rFonts w:ascii="Arial" w:hAnsi="Arial"/>
          <w:b/>
          <w:sz w:val="28"/>
          <w:szCs w:val="28"/>
        </w:rPr>
        <w:t>Menarini</w:t>
      </w:r>
      <w:proofErr w:type="spellEnd"/>
      <w:r w:rsidR="00A613B8">
        <w:rPr>
          <w:rFonts w:ascii="Arial" w:hAnsi="Arial"/>
          <w:b/>
          <w:sz w:val="28"/>
          <w:szCs w:val="28"/>
        </w:rPr>
        <w:t xml:space="preserve"> Pty Ltd</w:t>
      </w:r>
    </w:p>
    <w:p w:rsidR="00DC01C1" w:rsidRDefault="00DC01C1" w:rsidP="00D4172B">
      <w:pPr>
        <w:pStyle w:val="NoSpacing"/>
      </w:pPr>
    </w:p>
    <w:p w:rsidR="00DC01C1" w:rsidRPr="007860B0" w:rsidRDefault="00DC01C1" w:rsidP="007860B0">
      <w:pPr>
        <w:pStyle w:val="Heading2"/>
      </w:pPr>
      <w:r w:rsidRPr="007860B0">
        <w:t>Purpose of Application</w:t>
      </w:r>
    </w:p>
    <w:p w:rsidR="00DC01C1" w:rsidRDefault="00DC01C1" w:rsidP="00D4172B">
      <w:pPr>
        <w:jc w:val="both"/>
        <w:rPr>
          <w:rFonts w:ascii="Arial" w:hAnsi="Arial"/>
          <w:sz w:val="22"/>
          <w:szCs w:val="22"/>
        </w:rPr>
      </w:pPr>
    </w:p>
    <w:p w:rsidR="00EA7339" w:rsidRPr="00882085" w:rsidRDefault="00521EF6" w:rsidP="00D4172B">
      <w:pPr>
        <w:pStyle w:val="ListParagraph"/>
        <w:numPr>
          <w:ilvl w:val="1"/>
          <w:numId w:val="2"/>
        </w:numPr>
        <w:jc w:val="both"/>
        <w:rPr>
          <w:rFonts w:ascii="Arial" w:hAnsi="Arial"/>
          <w:sz w:val="22"/>
          <w:szCs w:val="22"/>
        </w:rPr>
      </w:pPr>
      <w:r>
        <w:rPr>
          <w:rFonts w:ascii="Arial" w:hAnsi="Arial"/>
          <w:sz w:val="22"/>
          <w:szCs w:val="22"/>
        </w:rPr>
        <w:t xml:space="preserve">The minor </w:t>
      </w:r>
      <w:r w:rsidR="000F3B12">
        <w:rPr>
          <w:rFonts w:ascii="Arial" w:hAnsi="Arial"/>
          <w:sz w:val="22"/>
          <w:szCs w:val="22"/>
        </w:rPr>
        <w:t>re-</w:t>
      </w:r>
      <w:r>
        <w:rPr>
          <w:rFonts w:ascii="Arial" w:hAnsi="Arial"/>
          <w:sz w:val="22"/>
          <w:szCs w:val="22"/>
        </w:rPr>
        <w:t>submission</w:t>
      </w:r>
      <w:r w:rsidR="000F3B12">
        <w:rPr>
          <w:rFonts w:ascii="Arial" w:hAnsi="Arial"/>
          <w:sz w:val="22"/>
          <w:szCs w:val="22"/>
        </w:rPr>
        <w:t xml:space="preserve"> sought</w:t>
      </w:r>
      <w:r w:rsidR="00EA7339">
        <w:rPr>
          <w:rFonts w:ascii="Arial" w:hAnsi="Arial"/>
          <w:sz w:val="22"/>
          <w:szCs w:val="22"/>
        </w:rPr>
        <w:t xml:space="preserve"> to clarify the issues discussed at the </w:t>
      </w:r>
      <w:r>
        <w:rPr>
          <w:rFonts w:ascii="Arial" w:hAnsi="Arial"/>
          <w:sz w:val="22"/>
          <w:szCs w:val="22"/>
        </w:rPr>
        <w:t xml:space="preserve">nitisinone </w:t>
      </w:r>
      <w:r w:rsidR="005A6333">
        <w:rPr>
          <w:rFonts w:ascii="Arial" w:hAnsi="Arial"/>
          <w:sz w:val="22"/>
          <w:szCs w:val="22"/>
        </w:rPr>
        <w:t>s</w:t>
      </w:r>
      <w:r w:rsidR="00EA7339">
        <w:rPr>
          <w:rFonts w:ascii="Arial" w:hAnsi="Arial"/>
          <w:sz w:val="22"/>
          <w:szCs w:val="22"/>
        </w:rPr>
        <w:t>takeholder meeting</w:t>
      </w:r>
      <w:r>
        <w:rPr>
          <w:rFonts w:ascii="Arial" w:hAnsi="Arial"/>
          <w:sz w:val="22"/>
          <w:szCs w:val="22"/>
        </w:rPr>
        <w:t xml:space="preserve"> in order to </w:t>
      </w:r>
      <w:r w:rsidRPr="00521EF6">
        <w:rPr>
          <w:rFonts w:ascii="Arial" w:hAnsi="Arial"/>
          <w:sz w:val="22"/>
          <w:szCs w:val="22"/>
        </w:rPr>
        <w:t xml:space="preserve">assist the PBAC in making a decision to recommend listing of nitisinone on the PBS for the treatment of patients with </w:t>
      </w:r>
      <w:r w:rsidR="00016B77">
        <w:rPr>
          <w:rFonts w:ascii="Arial" w:hAnsi="Arial"/>
          <w:sz w:val="22"/>
          <w:szCs w:val="22"/>
        </w:rPr>
        <w:t>h</w:t>
      </w:r>
      <w:r w:rsidR="009D013B">
        <w:rPr>
          <w:rFonts w:ascii="Arial" w:hAnsi="Arial"/>
          <w:sz w:val="22"/>
          <w:szCs w:val="22"/>
        </w:rPr>
        <w:t xml:space="preserve">ereditary </w:t>
      </w:r>
      <w:proofErr w:type="gramStart"/>
      <w:r w:rsidR="00016B77">
        <w:rPr>
          <w:rFonts w:ascii="Arial" w:hAnsi="Arial"/>
          <w:sz w:val="22"/>
          <w:szCs w:val="22"/>
        </w:rPr>
        <w:t>t</w:t>
      </w:r>
      <w:r w:rsidR="009D013B">
        <w:rPr>
          <w:rFonts w:ascii="Arial" w:hAnsi="Arial"/>
          <w:sz w:val="22"/>
          <w:szCs w:val="22"/>
        </w:rPr>
        <w:t>yrosinaemia</w:t>
      </w:r>
      <w:proofErr w:type="gramEnd"/>
      <w:r w:rsidR="009D013B">
        <w:rPr>
          <w:rFonts w:ascii="Arial" w:hAnsi="Arial"/>
          <w:sz w:val="22"/>
          <w:szCs w:val="22"/>
        </w:rPr>
        <w:t xml:space="preserve"> </w:t>
      </w:r>
      <w:r w:rsidR="00016B77">
        <w:rPr>
          <w:rFonts w:ascii="Arial" w:hAnsi="Arial"/>
          <w:sz w:val="22"/>
          <w:szCs w:val="22"/>
        </w:rPr>
        <w:t>t</w:t>
      </w:r>
      <w:r w:rsidR="009D013B">
        <w:rPr>
          <w:rFonts w:ascii="Arial" w:hAnsi="Arial"/>
          <w:sz w:val="22"/>
          <w:szCs w:val="22"/>
        </w:rPr>
        <w:t>ype 1 (</w:t>
      </w:r>
      <w:r w:rsidRPr="00521EF6">
        <w:rPr>
          <w:rFonts w:ascii="Arial" w:hAnsi="Arial"/>
          <w:sz w:val="22"/>
          <w:szCs w:val="22"/>
        </w:rPr>
        <w:t>HT-1</w:t>
      </w:r>
      <w:r w:rsidR="009D013B">
        <w:rPr>
          <w:rFonts w:ascii="Arial" w:hAnsi="Arial"/>
          <w:sz w:val="22"/>
          <w:szCs w:val="22"/>
        </w:rPr>
        <w:t>)</w:t>
      </w:r>
      <w:r w:rsidRPr="00521EF6">
        <w:rPr>
          <w:rFonts w:ascii="Arial" w:hAnsi="Arial"/>
          <w:sz w:val="22"/>
          <w:szCs w:val="22"/>
        </w:rPr>
        <w:t>.</w:t>
      </w:r>
    </w:p>
    <w:p w:rsidR="00DC01C1" w:rsidRPr="00C27B58" w:rsidRDefault="00DC01C1" w:rsidP="00D4172B">
      <w:pPr>
        <w:pStyle w:val="NoSpacing"/>
      </w:pPr>
    </w:p>
    <w:p w:rsidR="00DC01C1" w:rsidRPr="007860B0" w:rsidRDefault="00DC01C1" w:rsidP="007860B0">
      <w:pPr>
        <w:pStyle w:val="Heading2"/>
      </w:pPr>
      <w:r w:rsidRPr="00882085">
        <w:t>Requested listing</w:t>
      </w:r>
    </w:p>
    <w:p w:rsidR="00DC01C1" w:rsidRPr="00882085" w:rsidRDefault="00DC01C1" w:rsidP="00D4172B">
      <w:pPr>
        <w:jc w:val="both"/>
        <w:rPr>
          <w:rFonts w:ascii="Arial" w:hAnsi="Arial"/>
          <w:b/>
          <w:sz w:val="22"/>
          <w:szCs w:val="22"/>
        </w:rPr>
      </w:pPr>
    </w:p>
    <w:p w:rsidR="00EA7339" w:rsidRDefault="00DC01C1" w:rsidP="00D4172B">
      <w:pPr>
        <w:pStyle w:val="ListParagraph"/>
        <w:numPr>
          <w:ilvl w:val="1"/>
          <w:numId w:val="2"/>
        </w:numPr>
        <w:jc w:val="both"/>
        <w:rPr>
          <w:rFonts w:ascii="Arial" w:hAnsi="Arial"/>
          <w:sz w:val="22"/>
          <w:szCs w:val="22"/>
        </w:rPr>
      </w:pPr>
      <w:r>
        <w:rPr>
          <w:rFonts w:ascii="Arial" w:hAnsi="Arial"/>
          <w:sz w:val="22"/>
          <w:szCs w:val="22"/>
        </w:rPr>
        <w:t xml:space="preserve">The submission </w:t>
      </w:r>
      <w:r w:rsidR="000F3B12">
        <w:rPr>
          <w:rFonts w:ascii="Arial" w:hAnsi="Arial"/>
          <w:sz w:val="22"/>
          <w:szCs w:val="22"/>
        </w:rPr>
        <w:t>requested</w:t>
      </w:r>
      <w:r>
        <w:rPr>
          <w:rFonts w:ascii="Arial" w:hAnsi="Arial"/>
          <w:sz w:val="22"/>
          <w:szCs w:val="22"/>
        </w:rPr>
        <w:t xml:space="preserve"> the following new listing</w:t>
      </w:r>
      <w:r w:rsidR="00EA7339">
        <w:rPr>
          <w:rFonts w:ascii="Arial" w:hAnsi="Arial"/>
          <w:sz w:val="22"/>
          <w:szCs w:val="22"/>
        </w:rPr>
        <w:t xml:space="preserve"> of nitisinone for the treatment of </w:t>
      </w:r>
      <w:r w:rsidR="009D013B">
        <w:rPr>
          <w:rFonts w:ascii="Arial" w:hAnsi="Arial"/>
          <w:sz w:val="22"/>
          <w:szCs w:val="22"/>
        </w:rPr>
        <w:t xml:space="preserve">HT-1 </w:t>
      </w:r>
      <w:r w:rsidR="00EA7339">
        <w:rPr>
          <w:rFonts w:ascii="Arial" w:hAnsi="Arial"/>
          <w:sz w:val="22"/>
          <w:szCs w:val="22"/>
        </w:rPr>
        <w:t xml:space="preserve">on Section 100 (Highly Specialised Drugs). </w:t>
      </w:r>
    </w:p>
    <w:p w:rsidR="00DC01C1" w:rsidRPr="00C27B58" w:rsidRDefault="00DC01C1" w:rsidP="00D4172B">
      <w:pPr>
        <w:pStyle w:val="NoSpacing"/>
      </w:pPr>
    </w:p>
    <w:tbl>
      <w:tblPr>
        <w:tblW w:w="4558" w:type="pct"/>
        <w:tblInd w:w="817" w:type="dxa"/>
        <w:tblLayout w:type="fixed"/>
        <w:tblLook w:val="0000" w:firstRow="0" w:lastRow="0" w:firstColumn="0" w:lastColumn="0" w:noHBand="0" w:noVBand="0"/>
      </w:tblPr>
      <w:tblGrid>
        <w:gridCol w:w="1406"/>
        <w:gridCol w:w="13"/>
        <w:gridCol w:w="706"/>
        <w:gridCol w:w="492"/>
        <w:gridCol w:w="1351"/>
        <w:gridCol w:w="1501"/>
        <w:gridCol w:w="1033"/>
        <w:gridCol w:w="1923"/>
      </w:tblGrid>
      <w:tr w:rsidR="00B27833" w:rsidRPr="0039782C" w:rsidTr="00E3252D">
        <w:trPr>
          <w:cantSplit/>
          <w:trHeight w:val="471"/>
        </w:trPr>
        <w:tc>
          <w:tcPr>
            <w:tcW w:w="834" w:type="pct"/>
            <w:tcBorders>
              <w:bottom w:val="single" w:sz="4" w:space="0" w:color="auto"/>
            </w:tcBorders>
          </w:tcPr>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Name, Restriction,</w:t>
            </w:r>
          </w:p>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Manner of administration and form</w:t>
            </w:r>
          </w:p>
        </w:tc>
        <w:tc>
          <w:tcPr>
            <w:tcW w:w="427" w:type="pct"/>
            <w:gridSpan w:val="2"/>
            <w:tcBorders>
              <w:bottom w:val="single" w:sz="4" w:space="0" w:color="auto"/>
            </w:tcBorders>
          </w:tcPr>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Max.</w:t>
            </w:r>
          </w:p>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Qty</w:t>
            </w:r>
          </w:p>
        </w:tc>
        <w:tc>
          <w:tcPr>
            <w:tcW w:w="292" w:type="pct"/>
            <w:tcBorders>
              <w:bottom w:val="single" w:sz="4" w:space="0" w:color="auto"/>
            </w:tcBorders>
          </w:tcPr>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№.of</w:t>
            </w:r>
          </w:p>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Rpts</w:t>
            </w:r>
          </w:p>
        </w:tc>
        <w:tc>
          <w:tcPr>
            <w:tcW w:w="802" w:type="pct"/>
            <w:tcBorders>
              <w:bottom w:val="single" w:sz="4" w:space="0" w:color="auto"/>
            </w:tcBorders>
          </w:tcPr>
          <w:p w:rsidR="00A613B8" w:rsidRPr="0039782C" w:rsidRDefault="00A613B8" w:rsidP="00D4172B">
            <w:pPr>
              <w:keepNext/>
              <w:ind w:left="-108"/>
              <w:rPr>
                <w:rFonts w:ascii="Arial Narrow" w:hAnsi="Arial Narrow" w:cs="Arial"/>
                <w:b/>
                <w:sz w:val="20"/>
                <w:szCs w:val="20"/>
              </w:rPr>
            </w:pPr>
            <w:r w:rsidRPr="0039782C">
              <w:rPr>
                <w:rFonts w:ascii="Arial Narrow" w:hAnsi="Arial Narrow" w:cs="Arial"/>
                <w:b/>
                <w:sz w:val="20"/>
                <w:szCs w:val="20"/>
              </w:rPr>
              <w:t>Dispensed Price for Max. Qty</w:t>
            </w:r>
            <w:r>
              <w:rPr>
                <w:rFonts w:ascii="Arial Narrow" w:hAnsi="Arial Narrow" w:cs="Arial"/>
                <w:b/>
                <w:sz w:val="20"/>
                <w:szCs w:val="20"/>
              </w:rPr>
              <w:t xml:space="preserve"> (Public)</w:t>
            </w:r>
          </w:p>
        </w:tc>
        <w:tc>
          <w:tcPr>
            <w:tcW w:w="891" w:type="pct"/>
            <w:tcBorders>
              <w:bottom w:val="single" w:sz="4" w:space="0" w:color="auto"/>
            </w:tcBorders>
          </w:tcPr>
          <w:p w:rsidR="00A613B8" w:rsidRPr="0039782C" w:rsidRDefault="00A613B8" w:rsidP="00D4172B">
            <w:pPr>
              <w:keepNext/>
              <w:rPr>
                <w:rFonts w:ascii="Arial Narrow" w:hAnsi="Arial Narrow" w:cs="Arial"/>
                <w:b/>
                <w:sz w:val="20"/>
                <w:szCs w:val="20"/>
              </w:rPr>
            </w:pPr>
            <w:r w:rsidRPr="0039782C">
              <w:rPr>
                <w:rFonts w:ascii="Arial Narrow" w:hAnsi="Arial Narrow" w:cs="Arial"/>
                <w:b/>
                <w:sz w:val="20"/>
                <w:szCs w:val="20"/>
              </w:rPr>
              <w:t>Dispensed Price for Max. Qty</w:t>
            </w:r>
            <w:r>
              <w:rPr>
                <w:rFonts w:ascii="Arial Narrow" w:hAnsi="Arial Narrow" w:cs="Arial"/>
                <w:b/>
                <w:sz w:val="20"/>
                <w:szCs w:val="20"/>
              </w:rPr>
              <w:t xml:space="preserve"> (Private)</w:t>
            </w:r>
          </w:p>
        </w:tc>
        <w:tc>
          <w:tcPr>
            <w:tcW w:w="1754" w:type="pct"/>
            <w:gridSpan w:val="2"/>
            <w:tcBorders>
              <w:bottom w:val="single" w:sz="4" w:space="0" w:color="auto"/>
            </w:tcBorders>
          </w:tcPr>
          <w:p w:rsidR="00A613B8" w:rsidRPr="0039782C" w:rsidRDefault="00A613B8" w:rsidP="00D4172B">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A613B8" w:rsidRPr="00260CE3" w:rsidTr="00E3252D">
        <w:trPr>
          <w:cantSplit/>
          <w:trHeight w:val="577"/>
        </w:trPr>
        <w:tc>
          <w:tcPr>
            <w:tcW w:w="834" w:type="pct"/>
            <w:tcBorders>
              <w:top w:val="single" w:sz="4" w:space="0" w:color="auto"/>
            </w:tcBorders>
          </w:tcPr>
          <w:p w:rsidR="00A613B8" w:rsidRPr="00260CE3" w:rsidRDefault="00A613B8" w:rsidP="00D4172B">
            <w:pPr>
              <w:keepNext/>
              <w:ind w:left="-108"/>
              <w:jc w:val="both"/>
              <w:rPr>
                <w:rFonts w:ascii="Arial Narrow" w:hAnsi="Arial Narrow" w:cs="Arial"/>
                <w:sz w:val="20"/>
                <w:szCs w:val="20"/>
              </w:rPr>
            </w:pPr>
            <w:r>
              <w:rPr>
                <w:rFonts w:ascii="Arial Narrow" w:hAnsi="Arial Narrow" w:cs="Arial"/>
                <w:smallCaps/>
                <w:sz w:val="20"/>
                <w:szCs w:val="20"/>
              </w:rPr>
              <w:t>NITISINONE</w:t>
            </w:r>
          </w:p>
          <w:p w:rsidR="00A613B8" w:rsidRPr="00A613B8" w:rsidRDefault="00A613B8" w:rsidP="00D4172B">
            <w:pPr>
              <w:keepNext/>
              <w:ind w:left="-108"/>
              <w:jc w:val="both"/>
              <w:rPr>
                <w:rFonts w:ascii="Arial Narrow" w:hAnsi="Arial Narrow" w:cs="Arial"/>
                <w:sz w:val="20"/>
                <w:szCs w:val="20"/>
              </w:rPr>
            </w:pPr>
            <w:r w:rsidRPr="00A613B8">
              <w:rPr>
                <w:rFonts w:ascii="Arial Narrow" w:hAnsi="Arial Narrow" w:cs="Arial"/>
                <w:sz w:val="20"/>
                <w:szCs w:val="20"/>
              </w:rPr>
              <w:t>2 mg capsule, 60</w:t>
            </w:r>
          </w:p>
          <w:p w:rsidR="00A613B8" w:rsidRPr="00A613B8" w:rsidRDefault="00A613B8" w:rsidP="00D4172B">
            <w:pPr>
              <w:keepNext/>
              <w:ind w:left="-108"/>
              <w:jc w:val="both"/>
              <w:rPr>
                <w:rFonts w:ascii="Arial Narrow" w:hAnsi="Arial Narrow" w:cs="Arial"/>
                <w:sz w:val="20"/>
                <w:szCs w:val="20"/>
              </w:rPr>
            </w:pPr>
            <w:r w:rsidRPr="00A613B8">
              <w:rPr>
                <w:rFonts w:ascii="Arial Narrow" w:hAnsi="Arial Narrow" w:cs="Arial"/>
                <w:sz w:val="20"/>
                <w:szCs w:val="20"/>
              </w:rPr>
              <w:t>5 mg capsule, 60</w:t>
            </w:r>
          </w:p>
          <w:p w:rsidR="00A613B8" w:rsidRPr="00A613B8" w:rsidRDefault="00A613B8" w:rsidP="00D4172B">
            <w:pPr>
              <w:keepNext/>
              <w:ind w:left="-108"/>
              <w:jc w:val="both"/>
              <w:rPr>
                <w:rFonts w:ascii="Arial Narrow" w:hAnsi="Arial Narrow" w:cs="Arial"/>
                <w:sz w:val="20"/>
                <w:szCs w:val="20"/>
              </w:rPr>
            </w:pPr>
            <w:r w:rsidRPr="00A613B8">
              <w:rPr>
                <w:rFonts w:ascii="Arial Narrow" w:hAnsi="Arial Narrow" w:cs="Arial"/>
                <w:sz w:val="20"/>
                <w:szCs w:val="20"/>
              </w:rPr>
              <w:t>10 mg capsule, 60</w:t>
            </w:r>
          </w:p>
          <w:p w:rsidR="00A613B8" w:rsidRPr="00260CE3" w:rsidRDefault="00A613B8" w:rsidP="00D4172B">
            <w:pPr>
              <w:keepNext/>
              <w:ind w:left="-108"/>
              <w:jc w:val="both"/>
              <w:rPr>
                <w:rFonts w:ascii="Arial Narrow" w:hAnsi="Arial Narrow" w:cs="Arial"/>
                <w:sz w:val="20"/>
                <w:szCs w:val="20"/>
              </w:rPr>
            </w:pPr>
          </w:p>
        </w:tc>
        <w:tc>
          <w:tcPr>
            <w:tcW w:w="427" w:type="pct"/>
            <w:gridSpan w:val="2"/>
            <w:tcBorders>
              <w:top w:val="single" w:sz="4" w:space="0" w:color="auto"/>
            </w:tcBorders>
          </w:tcPr>
          <w:p w:rsidR="00A613B8" w:rsidRPr="00C77A50" w:rsidRDefault="00A613B8" w:rsidP="00D4172B">
            <w:pPr>
              <w:keepNext/>
              <w:ind w:left="-108"/>
              <w:jc w:val="both"/>
              <w:rPr>
                <w:rFonts w:ascii="Arial Narrow" w:hAnsi="Arial Narrow" w:cs="Arial"/>
                <w:sz w:val="20"/>
                <w:szCs w:val="20"/>
              </w:rPr>
            </w:pPr>
          </w:p>
          <w:p w:rsidR="00A613B8" w:rsidRPr="00C77A50" w:rsidRDefault="00A613B8" w:rsidP="00D4172B">
            <w:pPr>
              <w:keepNext/>
              <w:jc w:val="both"/>
              <w:rPr>
                <w:rFonts w:ascii="Arial Narrow" w:hAnsi="Arial Narrow" w:cs="Arial"/>
                <w:sz w:val="20"/>
                <w:szCs w:val="20"/>
              </w:rPr>
            </w:pPr>
            <w:r w:rsidRPr="00C77A50">
              <w:rPr>
                <w:rFonts w:ascii="Arial Narrow" w:hAnsi="Arial Narrow" w:cs="Arial"/>
                <w:sz w:val="20"/>
                <w:szCs w:val="20"/>
              </w:rPr>
              <w:t>1</w:t>
            </w:r>
          </w:p>
          <w:p w:rsidR="009D013B" w:rsidRPr="00C77A50" w:rsidRDefault="009D013B" w:rsidP="00D4172B">
            <w:pPr>
              <w:keepNext/>
              <w:jc w:val="both"/>
              <w:rPr>
                <w:rFonts w:ascii="Arial Narrow" w:hAnsi="Arial Narrow" w:cs="Arial"/>
                <w:sz w:val="20"/>
                <w:szCs w:val="20"/>
              </w:rPr>
            </w:pPr>
            <w:r w:rsidRPr="00C77A50">
              <w:rPr>
                <w:rFonts w:ascii="Arial Narrow" w:hAnsi="Arial Narrow" w:cs="Arial"/>
                <w:sz w:val="20"/>
                <w:szCs w:val="20"/>
              </w:rPr>
              <w:t>1</w:t>
            </w:r>
          </w:p>
          <w:p w:rsidR="009D013B" w:rsidRPr="00C77A50" w:rsidRDefault="009D013B" w:rsidP="00D4172B">
            <w:pPr>
              <w:keepNext/>
              <w:jc w:val="both"/>
              <w:rPr>
                <w:rFonts w:ascii="Arial Narrow" w:hAnsi="Arial Narrow" w:cs="Arial"/>
                <w:sz w:val="20"/>
                <w:szCs w:val="20"/>
              </w:rPr>
            </w:pPr>
            <w:r w:rsidRPr="00C77A50">
              <w:rPr>
                <w:rFonts w:ascii="Arial Narrow" w:hAnsi="Arial Narrow" w:cs="Arial"/>
                <w:sz w:val="20"/>
                <w:szCs w:val="20"/>
              </w:rPr>
              <w:t>1</w:t>
            </w:r>
          </w:p>
        </w:tc>
        <w:tc>
          <w:tcPr>
            <w:tcW w:w="292" w:type="pct"/>
            <w:tcBorders>
              <w:top w:val="single" w:sz="4" w:space="0" w:color="auto"/>
            </w:tcBorders>
          </w:tcPr>
          <w:p w:rsidR="00A613B8" w:rsidRPr="005B2BAC" w:rsidRDefault="00A613B8" w:rsidP="00D4172B">
            <w:pPr>
              <w:keepNext/>
              <w:ind w:left="-108"/>
              <w:jc w:val="both"/>
              <w:rPr>
                <w:rFonts w:ascii="Arial Narrow" w:hAnsi="Arial Narrow" w:cs="Arial"/>
                <w:sz w:val="20"/>
                <w:szCs w:val="20"/>
              </w:rPr>
            </w:pPr>
          </w:p>
          <w:p w:rsidR="00A613B8" w:rsidRPr="005B2BAC" w:rsidRDefault="00A613B8" w:rsidP="00D4172B">
            <w:pPr>
              <w:keepNext/>
              <w:ind w:left="-108"/>
              <w:jc w:val="both"/>
              <w:rPr>
                <w:rFonts w:ascii="Arial Narrow" w:hAnsi="Arial Narrow" w:cs="Arial"/>
                <w:sz w:val="20"/>
                <w:szCs w:val="20"/>
              </w:rPr>
            </w:pPr>
            <w:r w:rsidRPr="005B2BAC">
              <w:rPr>
                <w:rFonts w:ascii="Arial Narrow" w:hAnsi="Arial Narrow" w:cs="Arial"/>
                <w:sz w:val="20"/>
                <w:szCs w:val="20"/>
              </w:rPr>
              <w:t>5</w:t>
            </w:r>
          </w:p>
          <w:p w:rsidR="009D013B" w:rsidRPr="005B2BAC" w:rsidRDefault="009D013B" w:rsidP="00D4172B">
            <w:pPr>
              <w:keepNext/>
              <w:ind w:left="-108"/>
              <w:jc w:val="both"/>
              <w:rPr>
                <w:rFonts w:ascii="Arial Narrow" w:hAnsi="Arial Narrow" w:cs="Arial"/>
                <w:sz w:val="20"/>
                <w:szCs w:val="20"/>
              </w:rPr>
            </w:pPr>
            <w:r w:rsidRPr="005B2BAC">
              <w:rPr>
                <w:rFonts w:ascii="Arial Narrow" w:hAnsi="Arial Narrow" w:cs="Arial"/>
                <w:sz w:val="20"/>
                <w:szCs w:val="20"/>
              </w:rPr>
              <w:t>5</w:t>
            </w:r>
          </w:p>
          <w:p w:rsidR="009D013B" w:rsidRPr="005B2BAC" w:rsidRDefault="009D013B" w:rsidP="00D4172B">
            <w:pPr>
              <w:keepNext/>
              <w:ind w:left="-108"/>
              <w:jc w:val="both"/>
              <w:rPr>
                <w:rFonts w:ascii="Arial Narrow" w:hAnsi="Arial Narrow" w:cs="Arial"/>
                <w:sz w:val="20"/>
                <w:szCs w:val="20"/>
              </w:rPr>
            </w:pPr>
            <w:r w:rsidRPr="005B2BAC">
              <w:rPr>
                <w:rFonts w:ascii="Arial Narrow" w:hAnsi="Arial Narrow" w:cs="Arial"/>
                <w:sz w:val="20"/>
                <w:szCs w:val="20"/>
              </w:rPr>
              <w:t>5</w:t>
            </w:r>
          </w:p>
        </w:tc>
        <w:tc>
          <w:tcPr>
            <w:tcW w:w="802" w:type="pct"/>
            <w:tcBorders>
              <w:top w:val="single" w:sz="4" w:space="0" w:color="auto"/>
            </w:tcBorders>
          </w:tcPr>
          <w:p w:rsidR="00A613B8" w:rsidRPr="005B2BAC" w:rsidRDefault="00A613B8" w:rsidP="00D4172B">
            <w:pPr>
              <w:keepNext/>
              <w:ind w:left="-108"/>
              <w:jc w:val="both"/>
              <w:rPr>
                <w:rFonts w:ascii="Arial Narrow" w:hAnsi="Arial Narrow" w:cs="Arial"/>
                <w:sz w:val="20"/>
                <w:szCs w:val="20"/>
              </w:rPr>
            </w:pPr>
          </w:p>
          <w:p w:rsidR="00A613B8" w:rsidRPr="005B2BAC" w:rsidRDefault="00A613B8" w:rsidP="00D4172B">
            <w:pPr>
              <w:keepNext/>
              <w:ind w:left="-108"/>
              <w:jc w:val="both"/>
              <w:rPr>
                <w:rFonts w:ascii="Arial Narrow" w:hAnsi="Arial Narrow" w:cs="Arial"/>
                <w:sz w:val="20"/>
                <w:szCs w:val="20"/>
              </w:rPr>
            </w:pPr>
            <w:r w:rsidRPr="005B2BAC">
              <w:rPr>
                <w:rFonts w:ascii="Arial Narrow" w:hAnsi="Arial Narrow" w:cs="Arial"/>
                <w:sz w:val="20"/>
                <w:szCs w:val="20"/>
              </w:rPr>
              <w:t>$</w:t>
            </w:r>
            <w:r w:rsidR="00580300">
              <w:rPr>
                <w:rFonts w:ascii="Arial Narrow" w:hAnsi="Arial Narrow" w:cs="Arial"/>
                <w:noProof/>
                <w:color w:val="000000"/>
                <w:sz w:val="20"/>
                <w:szCs w:val="20"/>
                <w:highlight w:val="black"/>
              </w:rPr>
              <w:t>''''''''''''''''''''</w:t>
            </w:r>
          </w:p>
          <w:p w:rsidR="00A613B8" w:rsidRPr="005B2BAC" w:rsidRDefault="00A613B8" w:rsidP="00D4172B">
            <w:pPr>
              <w:keepNext/>
              <w:ind w:left="-108"/>
              <w:jc w:val="both"/>
              <w:rPr>
                <w:rFonts w:ascii="Arial Narrow" w:hAnsi="Arial Narrow" w:cs="Arial"/>
                <w:sz w:val="20"/>
                <w:szCs w:val="20"/>
              </w:rPr>
            </w:pPr>
            <w:r w:rsidRPr="005B2BAC">
              <w:rPr>
                <w:rFonts w:ascii="Arial Narrow" w:hAnsi="Arial Narrow" w:cs="Arial"/>
                <w:sz w:val="20"/>
                <w:szCs w:val="20"/>
              </w:rPr>
              <w:t>$</w:t>
            </w:r>
            <w:r w:rsidR="00580300">
              <w:rPr>
                <w:rFonts w:ascii="Arial Narrow" w:hAnsi="Arial Narrow" w:cs="Arial"/>
                <w:noProof/>
                <w:color w:val="000000"/>
                <w:sz w:val="20"/>
                <w:szCs w:val="20"/>
                <w:highlight w:val="black"/>
              </w:rPr>
              <w:t>'''''''''''''''''''''''</w:t>
            </w:r>
          </w:p>
          <w:p w:rsidR="00A613B8" w:rsidRPr="005B2BAC" w:rsidRDefault="00A613B8" w:rsidP="00D4172B">
            <w:pPr>
              <w:keepNext/>
              <w:ind w:left="-108"/>
              <w:jc w:val="both"/>
              <w:rPr>
                <w:rFonts w:ascii="Arial Narrow" w:hAnsi="Arial Narrow" w:cs="Arial"/>
                <w:sz w:val="20"/>
                <w:szCs w:val="20"/>
              </w:rPr>
            </w:pPr>
            <w:r w:rsidRPr="005B2BAC">
              <w:rPr>
                <w:rFonts w:ascii="Arial Narrow" w:hAnsi="Arial Narrow" w:cs="Arial"/>
                <w:sz w:val="20"/>
                <w:szCs w:val="20"/>
              </w:rPr>
              <w:t>$</w:t>
            </w:r>
            <w:r w:rsidR="00580300">
              <w:rPr>
                <w:rFonts w:ascii="Arial Narrow" w:hAnsi="Arial Narrow" w:cs="Arial"/>
                <w:noProof/>
                <w:color w:val="000000"/>
                <w:sz w:val="20"/>
                <w:szCs w:val="20"/>
                <w:highlight w:val="black"/>
              </w:rPr>
              <w:t>'''''''''''''''''''''</w:t>
            </w:r>
          </w:p>
        </w:tc>
        <w:tc>
          <w:tcPr>
            <w:tcW w:w="891" w:type="pct"/>
            <w:tcBorders>
              <w:top w:val="single" w:sz="4" w:space="0" w:color="auto"/>
            </w:tcBorders>
          </w:tcPr>
          <w:p w:rsidR="00A613B8" w:rsidRPr="005B2BAC" w:rsidRDefault="00A613B8" w:rsidP="00D4172B">
            <w:pPr>
              <w:keepNext/>
              <w:jc w:val="both"/>
              <w:rPr>
                <w:rFonts w:ascii="Arial Narrow" w:hAnsi="Arial Narrow" w:cs="Arial"/>
                <w:sz w:val="20"/>
                <w:szCs w:val="20"/>
              </w:rPr>
            </w:pPr>
          </w:p>
          <w:p w:rsidR="00A613B8" w:rsidRPr="005B2BAC" w:rsidRDefault="00A613B8" w:rsidP="00D4172B">
            <w:pPr>
              <w:keepNext/>
              <w:jc w:val="both"/>
              <w:rPr>
                <w:rFonts w:ascii="Arial Narrow" w:hAnsi="Arial Narrow" w:cs="Arial"/>
                <w:sz w:val="20"/>
                <w:szCs w:val="20"/>
              </w:rPr>
            </w:pPr>
            <w:r w:rsidRPr="005B2BAC">
              <w:rPr>
                <w:rFonts w:ascii="Arial Narrow" w:hAnsi="Arial Narrow" w:cs="Arial"/>
                <w:sz w:val="20"/>
                <w:szCs w:val="20"/>
              </w:rPr>
              <w:t>$</w:t>
            </w:r>
            <w:r w:rsidR="00580300">
              <w:rPr>
                <w:rFonts w:ascii="Arial Narrow" w:hAnsi="Arial Narrow" w:cs="Arial"/>
                <w:noProof/>
                <w:color w:val="000000"/>
                <w:sz w:val="20"/>
                <w:szCs w:val="20"/>
                <w:highlight w:val="black"/>
              </w:rPr>
              <w:t>''''''''''''''''''''</w:t>
            </w:r>
          </w:p>
          <w:p w:rsidR="00A613B8" w:rsidRPr="005B2BAC" w:rsidRDefault="00A613B8" w:rsidP="00D4172B">
            <w:pPr>
              <w:keepNext/>
              <w:jc w:val="both"/>
              <w:rPr>
                <w:rFonts w:ascii="Arial Narrow" w:hAnsi="Arial Narrow" w:cs="Arial"/>
                <w:sz w:val="20"/>
                <w:szCs w:val="20"/>
              </w:rPr>
            </w:pPr>
            <w:r w:rsidRPr="005B2BAC">
              <w:rPr>
                <w:rFonts w:ascii="Arial Narrow" w:hAnsi="Arial Narrow" w:cs="Arial"/>
                <w:sz w:val="20"/>
                <w:szCs w:val="20"/>
              </w:rPr>
              <w:t>$</w:t>
            </w:r>
            <w:r w:rsidR="00580300">
              <w:rPr>
                <w:rFonts w:ascii="Arial Narrow" w:hAnsi="Arial Narrow" w:cs="Arial"/>
                <w:noProof/>
                <w:color w:val="000000"/>
                <w:sz w:val="20"/>
                <w:szCs w:val="20"/>
                <w:highlight w:val="black"/>
              </w:rPr>
              <w:t>'''''''''''''''''''''''</w:t>
            </w:r>
          </w:p>
          <w:p w:rsidR="00A613B8" w:rsidRPr="005B2BAC" w:rsidRDefault="00A613B8" w:rsidP="00D4172B">
            <w:pPr>
              <w:keepNext/>
              <w:jc w:val="both"/>
              <w:rPr>
                <w:rFonts w:ascii="Arial Narrow" w:hAnsi="Arial Narrow" w:cs="Arial"/>
                <w:sz w:val="20"/>
                <w:szCs w:val="20"/>
              </w:rPr>
            </w:pPr>
            <w:r w:rsidRPr="005B2BAC">
              <w:rPr>
                <w:rFonts w:ascii="Arial Narrow" w:hAnsi="Arial Narrow" w:cs="Arial"/>
                <w:sz w:val="20"/>
                <w:szCs w:val="20"/>
              </w:rPr>
              <w:t>$</w:t>
            </w:r>
            <w:r w:rsidR="00580300">
              <w:rPr>
                <w:rFonts w:ascii="Arial Narrow" w:hAnsi="Arial Narrow" w:cs="Arial"/>
                <w:noProof/>
                <w:color w:val="000000"/>
                <w:sz w:val="20"/>
                <w:szCs w:val="20"/>
                <w:highlight w:val="black"/>
              </w:rPr>
              <w:t>''''''''''''''''''''</w:t>
            </w:r>
          </w:p>
        </w:tc>
        <w:tc>
          <w:tcPr>
            <w:tcW w:w="613" w:type="pct"/>
            <w:tcBorders>
              <w:top w:val="single" w:sz="4" w:space="0" w:color="auto"/>
            </w:tcBorders>
          </w:tcPr>
          <w:p w:rsidR="00A613B8" w:rsidRDefault="00A613B8" w:rsidP="00D4172B">
            <w:pPr>
              <w:keepNext/>
              <w:jc w:val="both"/>
              <w:rPr>
                <w:rFonts w:ascii="Arial Narrow" w:hAnsi="Arial Narrow" w:cs="Arial"/>
                <w:sz w:val="20"/>
                <w:szCs w:val="20"/>
              </w:rPr>
            </w:pPr>
          </w:p>
          <w:p w:rsidR="00A613B8" w:rsidRPr="00260CE3" w:rsidRDefault="00A613B8" w:rsidP="00D4172B">
            <w:pPr>
              <w:keepNext/>
              <w:jc w:val="both"/>
              <w:rPr>
                <w:rFonts w:ascii="Arial Narrow" w:hAnsi="Arial Narrow" w:cs="Arial"/>
                <w:sz w:val="20"/>
                <w:szCs w:val="20"/>
              </w:rPr>
            </w:pPr>
            <w:r w:rsidRPr="00A613B8">
              <w:rPr>
                <w:rFonts w:ascii="Arial Narrow" w:hAnsi="Arial Narrow" w:cs="Arial"/>
                <w:sz w:val="20"/>
                <w:szCs w:val="20"/>
              </w:rPr>
              <w:t>ORFADIN</w:t>
            </w:r>
            <w:r w:rsidRPr="00A613B8">
              <w:rPr>
                <w:rFonts w:ascii="Arial Narrow" w:hAnsi="Arial Narrow" w:cs="Arial"/>
                <w:sz w:val="20"/>
                <w:szCs w:val="20"/>
                <w:vertAlign w:val="superscript"/>
              </w:rPr>
              <w:t>®</w:t>
            </w:r>
          </w:p>
        </w:tc>
        <w:tc>
          <w:tcPr>
            <w:tcW w:w="1141" w:type="pct"/>
            <w:tcBorders>
              <w:top w:val="single" w:sz="4" w:space="0" w:color="auto"/>
            </w:tcBorders>
          </w:tcPr>
          <w:p w:rsidR="00A613B8" w:rsidRDefault="00A613B8" w:rsidP="00D4172B">
            <w:pPr>
              <w:keepNext/>
              <w:jc w:val="both"/>
              <w:rPr>
                <w:rFonts w:ascii="Arial Narrow" w:hAnsi="Arial Narrow" w:cs="Arial"/>
                <w:sz w:val="20"/>
                <w:szCs w:val="20"/>
              </w:rPr>
            </w:pPr>
          </w:p>
          <w:p w:rsidR="00A613B8" w:rsidRPr="00A613B8" w:rsidRDefault="00A613B8" w:rsidP="00D4172B">
            <w:pPr>
              <w:pStyle w:val="ListParagraph"/>
              <w:keepNext/>
              <w:numPr>
                <w:ilvl w:val="0"/>
                <w:numId w:val="6"/>
              </w:numPr>
              <w:jc w:val="both"/>
              <w:rPr>
                <w:rFonts w:ascii="Arial Narrow" w:hAnsi="Arial Narrow" w:cs="Arial"/>
                <w:sz w:val="20"/>
                <w:szCs w:val="20"/>
              </w:rPr>
            </w:pPr>
            <w:proofErr w:type="spellStart"/>
            <w:r>
              <w:rPr>
                <w:rFonts w:ascii="Arial Narrow" w:hAnsi="Arial Narrow" w:cs="Arial"/>
                <w:sz w:val="20"/>
                <w:szCs w:val="20"/>
              </w:rPr>
              <w:t>Menarini</w:t>
            </w:r>
            <w:proofErr w:type="spellEnd"/>
            <w:r>
              <w:rPr>
                <w:rFonts w:ascii="Arial Narrow" w:hAnsi="Arial Narrow" w:cs="Arial"/>
                <w:sz w:val="20"/>
                <w:szCs w:val="20"/>
              </w:rPr>
              <w:t xml:space="preserve"> </w:t>
            </w:r>
          </w:p>
        </w:tc>
      </w:tr>
      <w:tr w:rsidR="00A613B8" w:rsidRPr="00260CE3" w:rsidTr="007B7AE7">
        <w:trPr>
          <w:cantSplit/>
          <w:trHeight w:val="360"/>
        </w:trPr>
        <w:tc>
          <w:tcPr>
            <w:tcW w:w="834" w:type="pct"/>
            <w:tcBorders>
              <w:bottom w:val="single" w:sz="4" w:space="0" w:color="auto"/>
            </w:tcBorders>
          </w:tcPr>
          <w:p w:rsidR="00A613B8" w:rsidRPr="00260CE3" w:rsidRDefault="00A613B8" w:rsidP="00D4172B">
            <w:pPr>
              <w:jc w:val="both"/>
              <w:rPr>
                <w:rFonts w:ascii="Arial Narrow" w:hAnsi="Arial Narrow" w:cs="Arial"/>
                <w:sz w:val="20"/>
                <w:szCs w:val="20"/>
              </w:rPr>
            </w:pPr>
          </w:p>
        </w:tc>
        <w:tc>
          <w:tcPr>
            <w:tcW w:w="4166" w:type="pct"/>
            <w:gridSpan w:val="7"/>
            <w:tcBorders>
              <w:bottom w:val="single" w:sz="4" w:space="0" w:color="auto"/>
            </w:tcBorders>
          </w:tcPr>
          <w:p w:rsidR="00A613B8" w:rsidRPr="00260CE3" w:rsidRDefault="00A613B8" w:rsidP="00D4172B">
            <w:pPr>
              <w:jc w:val="both"/>
              <w:rPr>
                <w:rFonts w:ascii="Arial Narrow" w:hAnsi="Arial Narrow" w:cs="Arial"/>
                <w:sz w:val="20"/>
                <w:szCs w:val="20"/>
              </w:rPr>
            </w:pP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 xml:space="preserve">Category / </w:t>
            </w:r>
          </w:p>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Program</w:t>
            </w:r>
          </w:p>
        </w:tc>
        <w:tc>
          <w:tcPr>
            <w:tcW w:w="4158" w:type="pct"/>
            <w:gridSpan w:val="6"/>
            <w:tcBorders>
              <w:top w:val="single" w:sz="4" w:space="0" w:color="auto"/>
              <w:left w:val="single" w:sz="4" w:space="0" w:color="auto"/>
              <w:bottom w:val="single" w:sz="4" w:space="0" w:color="auto"/>
              <w:right w:val="single" w:sz="4" w:space="0" w:color="auto"/>
            </w:tcBorders>
          </w:tcPr>
          <w:p w:rsidR="00B27833" w:rsidRDefault="00B27833" w:rsidP="00D4172B">
            <w:pPr>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(Public)</w:t>
            </w:r>
          </w:p>
          <w:p w:rsidR="00B27833" w:rsidRPr="00260CE3" w:rsidRDefault="00B27833" w:rsidP="00D4172B">
            <w:pPr>
              <w:rPr>
                <w:rFonts w:ascii="Arial Narrow" w:hAnsi="Arial Narrow" w:cs="Arial"/>
                <w:sz w:val="20"/>
                <w:szCs w:val="20"/>
              </w:rPr>
            </w:pPr>
            <w:r>
              <w:rPr>
                <w:rFonts w:ascii="Arial Narrow" w:hAnsi="Arial Narrow" w:cs="Arial"/>
                <w:sz w:val="20"/>
                <w:szCs w:val="20"/>
              </w:rPr>
              <w:t>Section 100 – Highly Specialised Drugs Program (Private)</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Prescriber type:</w:t>
            </w:r>
          </w:p>
        </w:tc>
        <w:tc>
          <w:tcPr>
            <w:tcW w:w="4158" w:type="pct"/>
            <w:gridSpan w:val="6"/>
            <w:tcBorders>
              <w:top w:val="single" w:sz="4" w:space="0" w:color="auto"/>
              <w:left w:val="single" w:sz="4" w:space="0" w:color="auto"/>
              <w:bottom w:val="single" w:sz="4" w:space="0" w:color="auto"/>
              <w:right w:val="single" w:sz="4" w:space="0" w:color="auto"/>
            </w:tcBorders>
          </w:tcPr>
          <w:p w:rsidR="00B27833" w:rsidRPr="00260CE3" w:rsidRDefault="00516FD3" w:rsidP="00D4172B">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r w:rsidR="00B27833"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Optometrists</w:t>
            </w:r>
          </w:p>
          <w:p w:rsidR="00B27833" w:rsidRPr="00260CE3" w:rsidRDefault="00516FD3" w:rsidP="00D4172B">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Midwives</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Condition:</w:t>
            </w:r>
          </w:p>
        </w:tc>
        <w:tc>
          <w:tcPr>
            <w:tcW w:w="4158" w:type="pct"/>
            <w:gridSpan w:val="6"/>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Pr>
                <w:rFonts w:ascii="Arial Narrow" w:hAnsi="Arial Narrow" w:cs="Arial"/>
                <w:sz w:val="20"/>
                <w:szCs w:val="20"/>
              </w:rPr>
              <w:t>Tyrosinaemia type 1</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PBS Indication:</w:t>
            </w:r>
          </w:p>
        </w:tc>
        <w:tc>
          <w:tcPr>
            <w:tcW w:w="4158" w:type="pct"/>
            <w:gridSpan w:val="6"/>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Pr>
                <w:rFonts w:ascii="Arial Narrow" w:hAnsi="Arial Narrow" w:cs="Arial"/>
                <w:sz w:val="20"/>
                <w:szCs w:val="20"/>
              </w:rPr>
              <w:t>Tyrosinaemia type 1</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A613B8" w:rsidRDefault="00B27833" w:rsidP="00D4172B">
            <w:pPr>
              <w:rPr>
                <w:rFonts w:ascii="Arial Narrow" w:hAnsi="Arial Narrow" w:cs="Arial"/>
                <w:b/>
                <w:sz w:val="20"/>
                <w:szCs w:val="20"/>
              </w:rPr>
            </w:pPr>
            <w:r w:rsidRPr="00260CE3">
              <w:rPr>
                <w:rFonts w:ascii="Arial Narrow" w:hAnsi="Arial Narrow" w:cs="Arial"/>
                <w:b/>
                <w:sz w:val="20"/>
                <w:szCs w:val="20"/>
              </w:rPr>
              <w:t>Treatment phase:</w:t>
            </w:r>
          </w:p>
        </w:tc>
        <w:tc>
          <w:tcPr>
            <w:tcW w:w="4158" w:type="pct"/>
            <w:gridSpan w:val="6"/>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Pr>
                <w:rFonts w:ascii="Arial Narrow" w:hAnsi="Arial Narrow" w:cs="Arial"/>
                <w:sz w:val="20"/>
                <w:szCs w:val="20"/>
              </w:rPr>
              <w:t>Initial</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27833" w:rsidRPr="00260CE3" w:rsidRDefault="00B27833" w:rsidP="00D4172B">
            <w:pPr>
              <w:rPr>
                <w:rFonts w:ascii="Arial Narrow" w:hAnsi="Arial Narrow" w:cs="Arial"/>
                <w:sz w:val="20"/>
                <w:szCs w:val="20"/>
              </w:rPr>
            </w:pPr>
          </w:p>
        </w:tc>
        <w:tc>
          <w:tcPr>
            <w:tcW w:w="4158" w:type="pct"/>
            <w:gridSpan w:val="6"/>
            <w:tcBorders>
              <w:top w:val="single" w:sz="4" w:space="0" w:color="auto"/>
              <w:left w:val="single" w:sz="4" w:space="0" w:color="auto"/>
              <w:bottom w:val="single" w:sz="4" w:space="0" w:color="auto"/>
              <w:right w:val="single" w:sz="4" w:space="0" w:color="auto"/>
            </w:tcBorders>
          </w:tcPr>
          <w:p w:rsidR="00B27833" w:rsidRPr="00106BCF"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Restricted benefit</w:t>
            </w:r>
          </w:p>
          <w:p w:rsidR="00B27833" w:rsidRPr="00106BCF" w:rsidRDefault="00516FD3" w:rsidP="00D4172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r w:rsidR="00B27833" w:rsidRPr="00106BCF">
              <w:rPr>
                <w:rFonts w:ascii="Arial Narrow" w:hAnsi="Arial Narrow" w:cs="Arial"/>
                <w:sz w:val="20"/>
                <w:szCs w:val="20"/>
              </w:rPr>
              <w:t>Authority Required - In Writing</w:t>
            </w:r>
          </w:p>
          <w:p w:rsidR="00B27833" w:rsidRPr="00106BCF"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Authority Required - Telephone</w:t>
            </w:r>
          </w:p>
          <w:p w:rsidR="00B27833" w:rsidRPr="00106BCF"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Authority Required – Emergency</w:t>
            </w:r>
          </w:p>
          <w:p w:rsidR="00B27833" w:rsidRPr="00106BCF"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Authority Required - Electronic</w:t>
            </w:r>
          </w:p>
          <w:p w:rsidR="00B27833" w:rsidRPr="00260CE3"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Streamlined</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lastRenderedPageBreak/>
              <w:t>Treatment criteria:</w:t>
            </w:r>
          </w:p>
          <w:p w:rsidR="00B27833" w:rsidRPr="00260CE3" w:rsidRDefault="00B27833" w:rsidP="00D4172B">
            <w:pPr>
              <w:rPr>
                <w:rFonts w:ascii="Arial Narrow" w:hAnsi="Arial Narrow" w:cs="Arial"/>
                <w:sz w:val="20"/>
                <w:szCs w:val="20"/>
              </w:rPr>
            </w:pPr>
          </w:p>
        </w:tc>
        <w:tc>
          <w:tcPr>
            <w:tcW w:w="4158" w:type="pct"/>
            <w:gridSpan w:val="6"/>
            <w:tcBorders>
              <w:top w:val="single" w:sz="4" w:space="0" w:color="auto"/>
              <w:left w:val="single" w:sz="4" w:space="0" w:color="auto"/>
              <w:bottom w:val="single" w:sz="4" w:space="0" w:color="auto"/>
              <w:right w:val="single" w:sz="4" w:space="0" w:color="auto"/>
            </w:tcBorders>
          </w:tcPr>
          <w:p w:rsidR="00D4172B" w:rsidRDefault="00D4172B" w:rsidP="00D4172B">
            <w:pPr>
              <w:rPr>
                <w:rFonts w:ascii="Arial Narrow" w:hAnsi="Arial Narrow" w:cs="Arial"/>
                <w:sz w:val="20"/>
                <w:szCs w:val="20"/>
              </w:rPr>
            </w:pPr>
            <w:r w:rsidRPr="00A613B8">
              <w:rPr>
                <w:rFonts w:ascii="Arial Narrow" w:hAnsi="Arial Narrow" w:cs="Arial"/>
                <w:sz w:val="20"/>
                <w:szCs w:val="20"/>
              </w:rPr>
              <w:t xml:space="preserve">Must be treated in a centre with experience in metabolic disorders. </w:t>
            </w:r>
          </w:p>
          <w:p w:rsidR="00D4172B" w:rsidRPr="00A613B8" w:rsidRDefault="00D4172B" w:rsidP="00D4172B">
            <w:pPr>
              <w:rPr>
                <w:rFonts w:ascii="Arial Narrow" w:hAnsi="Arial Narrow" w:cs="Arial"/>
                <w:sz w:val="20"/>
                <w:szCs w:val="20"/>
              </w:rPr>
            </w:pPr>
          </w:p>
          <w:p w:rsidR="00D4172B" w:rsidRDefault="00D4172B" w:rsidP="00D4172B">
            <w:pPr>
              <w:rPr>
                <w:rFonts w:ascii="Arial Narrow" w:hAnsi="Arial Narrow" w:cs="Arial"/>
                <w:sz w:val="20"/>
                <w:szCs w:val="20"/>
              </w:rPr>
            </w:pPr>
            <w:r w:rsidRPr="00A613B8">
              <w:rPr>
                <w:rFonts w:ascii="Arial Narrow" w:hAnsi="Arial Narrow" w:cs="Arial"/>
                <w:sz w:val="20"/>
                <w:szCs w:val="20"/>
              </w:rPr>
              <w:t xml:space="preserve">AND </w:t>
            </w:r>
          </w:p>
          <w:p w:rsidR="00D4172B" w:rsidRPr="00A613B8" w:rsidRDefault="00D4172B" w:rsidP="00D4172B">
            <w:pPr>
              <w:rPr>
                <w:rFonts w:ascii="Arial Narrow" w:hAnsi="Arial Narrow" w:cs="Arial"/>
                <w:sz w:val="20"/>
                <w:szCs w:val="20"/>
              </w:rPr>
            </w:pPr>
          </w:p>
          <w:p w:rsidR="00B27833" w:rsidRPr="00260CE3" w:rsidRDefault="00D4172B" w:rsidP="00D4172B">
            <w:pPr>
              <w:rPr>
                <w:rFonts w:ascii="Arial Narrow" w:hAnsi="Arial Narrow" w:cs="Arial"/>
                <w:sz w:val="20"/>
                <w:szCs w:val="20"/>
              </w:rPr>
            </w:pPr>
            <w:r w:rsidRPr="00A613B8">
              <w:rPr>
                <w:rFonts w:ascii="Arial Narrow" w:hAnsi="Arial Narrow" w:cs="Arial"/>
                <w:sz w:val="20"/>
                <w:szCs w:val="20"/>
              </w:rPr>
              <w:t xml:space="preserve">Must be treated by a paediatrician or specialist physician with experience in the management </w:t>
            </w:r>
            <w:r w:rsidRPr="00B27833">
              <w:rPr>
                <w:rFonts w:ascii="Arial Narrow" w:hAnsi="Arial Narrow" w:cs="Arial"/>
                <w:sz w:val="20"/>
                <w:szCs w:val="20"/>
              </w:rPr>
              <w:t>of patients with tyrosinaemia type I or other inherited metabolic diseases.</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Clinical criteria:</w:t>
            </w:r>
          </w:p>
          <w:p w:rsidR="00B27833" w:rsidRPr="00260CE3" w:rsidRDefault="00B27833" w:rsidP="00D4172B">
            <w:pPr>
              <w:rPr>
                <w:rFonts w:ascii="Arial Narrow" w:hAnsi="Arial Narrow" w:cs="Arial"/>
                <w:sz w:val="20"/>
                <w:szCs w:val="20"/>
              </w:rPr>
            </w:pPr>
          </w:p>
        </w:tc>
        <w:tc>
          <w:tcPr>
            <w:tcW w:w="4158" w:type="pct"/>
            <w:gridSpan w:val="6"/>
            <w:tcBorders>
              <w:top w:val="single" w:sz="4" w:space="0" w:color="auto"/>
              <w:left w:val="single" w:sz="4" w:space="0" w:color="auto"/>
              <w:bottom w:val="single" w:sz="4" w:space="0" w:color="auto"/>
              <w:right w:val="single" w:sz="4" w:space="0" w:color="auto"/>
            </w:tcBorders>
          </w:tcPr>
          <w:p w:rsidR="00B27833" w:rsidRDefault="00B27833" w:rsidP="00D4172B">
            <w:pPr>
              <w:rPr>
                <w:rFonts w:ascii="Arial Narrow" w:hAnsi="Arial Narrow" w:cs="Arial"/>
                <w:sz w:val="20"/>
                <w:szCs w:val="20"/>
              </w:rPr>
            </w:pPr>
            <w:r w:rsidRPr="00A613B8">
              <w:rPr>
                <w:rFonts w:ascii="Arial Narrow" w:hAnsi="Arial Narrow" w:cs="Arial"/>
                <w:sz w:val="20"/>
                <w:szCs w:val="20"/>
              </w:rPr>
              <w:t>Patient must have a confirmed clinical diagnosis of tyrosinaemia type I based on detection of succinylacetone in the urine and/or blood by a National Association of Testing Authorities accredited laboratory.</w:t>
            </w:r>
          </w:p>
          <w:p w:rsidR="00B27833" w:rsidRDefault="00B27833" w:rsidP="00D4172B">
            <w:pPr>
              <w:rPr>
                <w:rFonts w:ascii="Arial Narrow" w:hAnsi="Arial Narrow" w:cs="Arial"/>
                <w:sz w:val="20"/>
                <w:szCs w:val="20"/>
              </w:rPr>
            </w:pPr>
          </w:p>
          <w:p w:rsidR="00B27833" w:rsidRPr="00260CE3" w:rsidRDefault="00B27833" w:rsidP="00D4172B">
            <w:pPr>
              <w:rPr>
                <w:rFonts w:ascii="Arial Narrow" w:hAnsi="Arial Narrow" w:cs="Arial"/>
                <w:sz w:val="20"/>
                <w:szCs w:val="20"/>
              </w:rPr>
            </w:pPr>
            <w:r>
              <w:rPr>
                <w:rFonts w:ascii="Arial Narrow" w:hAnsi="Arial Narrow" w:cs="Arial"/>
                <w:sz w:val="20"/>
                <w:szCs w:val="20"/>
              </w:rPr>
              <w:t xml:space="preserve">AND </w:t>
            </w:r>
          </w:p>
          <w:p w:rsidR="00B27833" w:rsidRPr="00260CE3" w:rsidRDefault="00B27833" w:rsidP="00D4172B">
            <w:pPr>
              <w:jc w:val="both"/>
              <w:rPr>
                <w:rFonts w:ascii="Arial Narrow" w:hAnsi="Arial Narrow" w:cs="Arial"/>
                <w:sz w:val="20"/>
                <w:szCs w:val="20"/>
              </w:rPr>
            </w:pPr>
          </w:p>
          <w:p w:rsidR="00B27833" w:rsidRPr="00260CE3" w:rsidRDefault="00B27833" w:rsidP="00D4172B">
            <w:pPr>
              <w:rPr>
                <w:rFonts w:ascii="Arial Narrow" w:hAnsi="Arial Narrow" w:cs="Arial"/>
                <w:sz w:val="20"/>
                <w:szCs w:val="20"/>
              </w:rPr>
            </w:pPr>
            <w:r w:rsidRPr="00A613B8">
              <w:rPr>
                <w:rFonts w:ascii="Arial Narrow" w:hAnsi="Arial Narrow" w:cs="Arial"/>
                <w:sz w:val="20"/>
                <w:szCs w:val="20"/>
              </w:rPr>
              <w:t>The treatment must be administered in combination with dietary restriction of tyrosine and phenylalanine.</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A613B8" w:rsidRDefault="00B27833" w:rsidP="00D4172B">
            <w:pPr>
              <w:rPr>
                <w:rFonts w:ascii="Arial Narrow" w:hAnsi="Arial Narrow" w:cs="Arial"/>
                <w:b/>
                <w:sz w:val="20"/>
                <w:szCs w:val="20"/>
              </w:rPr>
            </w:pPr>
            <w:r w:rsidRPr="00260CE3">
              <w:rPr>
                <w:rFonts w:ascii="Arial Narrow" w:hAnsi="Arial Narrow" w:cs="Arial"/>
                <w:b/>
                <w:sz w:val="20"/>
                <w:szCs w:val="20"/>
              </w:rPr>
              <w:t>Prescriber Instructions</w:t>
            </w:r>
          </w:p>
        </w:tc>
        <w:tc>
          <w:tcPr>
            <w:tcW w:w="4158" w:type="pct"/>
            <w:gridSpan w:val="6"/>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sidRPr="00A613B8">
              <w:rPr>
                <w:rFonts w:ascii="Arial Narrow" w:hAnsi="Arial Narrow" w:cs="Arial"/>
                <w:sz w:val="20"/>
                <w:szCs w:val="20"/>
              </w:rPr>
              <w:t>At the time of Authority application, prescribers should advise the weight of the patient</w:t>
            </w:r>
            <w:r>
              <w:rPr>
                <w:rFonts w:ascii="Arial Narrow" w:hAnsi="Arial Narrow" w:cs="Arial"/>
                <w:sz w:val="20"/>
                <w:szCs w:val="20"/>
              </w:rPr>
              <w:t xml:space="preserve">. </w:t>
            </w:r>
          </w:p>
        </w:tc>
      </w:tr>
      <w:tr w:rsidR="00B27833" w:rsidRPr="00260CE3" w:rsidTr="00E3252D">
        <w:trPr>
          <w:cantSplit/>
          <w:trHeight w:val="360"/>
        </w:trPr>
        <w:tc>
          <w:tcPr>
            <w:tcW w:w="842" w:type="pct"/>
            <w:gridSpan w:val="2"/>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Administrative Advice</w:t>
            </w:r>
          </w:p>
          <w:p w:rsidR="00B27833" w:rsidRPr="00260CE3" w:rsidRDefault="00B27833" w:rsidP="00D4172B">
            <w:pPr>
              <w:rPr>
                <w:rFonts w:ascii="Arial Narrow" w:hAnsi="Arial Narrow" w:cs="Arial"/>
                <w:i/>
                <w:sz w:val="20"/>
                <w:szCs w:val="20"/>
              </w:rPr>
            </w:pPr>
          </w:p>
        </w:tc>
        <w:tc>
          <w:tcPr>
            <w:tcW w:w="4158" w:type="pct"/>
            <w:gridSpan w:val="6"/>
            <w:tcBorders>
              <w:top w:val="single" w:sz="4" w:space="0" w:color="auto"/>
              <w:left w:val="single" w:sz="4" w:space="0" w:color="auto"/>
              <w:bottom w:val="single" w:sz="4" w:space="0" w:color="auto"/>
              <w:right w:val="single" w:sz="4" w:space="0" w:color="auto"/>
            </w:tcBorders>
          </w:tcPr>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Increased maximum quantities may be requested from the Department of Human Services and should be based on a dosing regimen of 1 to 2 mg/kg/day.</w:t>
            </w:r>
          </w:p>
          <w:p w:rsidR="00B27833" w:rsidRDefault="00B27833" w:rsidP="00D4172B">
            <w:pPr>
              <w:rPr>
                <w:rFonts w:ascii="Arial Narrow" w:hAnsi="Arial Narrow" w:cs="Arial"/>
                <w:sz w:val="20"/>
                <w:szCs w:val="20"/>
              </w:rPr>
            </w:pP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Applications for authority to prescribe should be forwarded to:</w:t>
            </w: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Department of Human Services</w:t>
            </w: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Prior Written Approval of Complex Drugs</w:t>
            </w: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Reply Paid 9826</w:t>
            </w:r>
          </w:p>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GPO Box 9826</w:t>
            </w:r>
          </w:p>
          <w:p w:rsidR="00B27833" w:rsidRPr="00260CE3" w:rsidRDefault="00B27833" w:rsidP="00D4172B">
            <w:pPr>
              <w:rPr>
                <w:rFonts w:ascii="Arial Narrow" w:hAnsi="Arial Narrow" w:cs="Arial"/>
                <w:sz w:val="20"/>
                <w:szCs w:val="20"/>
              </w:rPr>
            </w:pPr>
            <w:r w:rsidRPr="00A613B8">
              <w:rPr>
                <w:rFonts w:ascii="Arial Narrow" w:hAnsi="Arial Narrow" w:cs="Arial"/>
                <w:sz w:val="20"/>
                <w:szCs w:val="20"/>
              </w:rPr>
              <w:t>HOBART TAS 7001</w:t>
            </w:r>
          </w:p>
        </w:tc>
      </w:tr>
    </w:tbl>
    <w:p w:rsidR="00DC01C1" w:rsidRPr="00826F6D" w:rsidRDefault="00DC01C1" w:rsidP="00D4172B">
      <w:pPr>
        <w:pStyle w:val="ListParagraph"/>
        <w:jc w:val="both"/>
        <w:rPr>
          <w:rFonts w:ascii="Arial" w:hAnsi="Arial"/>
          <w:sz w:val="22"/>
          <w:szCs w:val="22"/>
        </w:rPr>
      </w:pPr>
    </w:p>
    <w:tbl>
      <w:tblPr>
        <w:tblW w:w="4558" w:type="pct"/>
        <w:tblInd w:w="817" w:type="dxa"/>
        <w:tblLayout w:type="fixed"/>
        <w:tblLook w:val="0000" w:firstRow="0" w:lastRow="0" w:firstColumn="0" w:lastColumn="0" w:noHBand="0" w:noVBand="0"/>
      </w:tblPr>
      <w:tblGrid>
        <w:gridCol w:w="1419"/>
        <w:gridCol w:w="7006"/>
      </w:tblGrid>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 xml:space="preserve">Category / </w:t>
            </w:r>
          </w:p>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Program</w:t>
            </w:r>
          </w:p>
        </w:tc>
        <w:tc>
          <w:tcPr>
            <w:tcW w:w="4158" w:type="pct"/>
            <w:tcBorders>
              <w:top w:val="single" w:sz="4" w:space="0" w:color="auto"/>
              <w:left w:val="single" w:sz="4" w:space="0" w:color="auto"/>
              <w:bottom w:val="single" w:sz="4" w:space="0" w:color="auto"/>
              <w:right w:val="single" w:sz="4" w:space="0" w:color="auto"/>
            </w:tcBorders>
          </w:tcPr>
          <w:p w:rsidR="00B27833" w:rsidRDefault="00B27833" w:rsidP="00D4172B">
            <w:pPr>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(Public)</w:t>
            </w:r>
          </w:p>
          <w:p w:rsidR="00B27833" w:rsidRPr="00260CE3" w:rsidRDefault="00B27833" w:rsidP="00D4172B">
            <w:pPr>
              <w:rPr>
                <w:rFonts w:ascii="Arial Narrow" w:hAnsi="Arial Narrow" w:cs="Arial"/>
                <w:sz w:val="20"/>
                <w:szCs w:val="20"/>
              </w:rPr>
            </w:pPr>
            <w:r>
              <w:rPr>
                <w:rFonts w:ascii="Arial Narrow" w:hAnsi="Arial Narrow" w:cs="Arial"/>
                <w:sz w:val="20"/>
                <w:szCs w:val="20"/>
              </w:rPr>
              <w:t>Section 100 – Highly Specialised Drugs Program (Private)</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Prescriber type:</w:t>
            </w:r>
          </w:p>
        </w:tc>
        <w:tc>
          <w:tcPr>
            <w:tcW w:w="4158" w:type="pct"/>
            <w:tcBorders>
              <w:top w:val="single" w:sz="4" w:space="0" w:color="auto"/>
              <w:left w:val="single" w:sz="4" w:space="0" w:color="auto"/>
              <w:bottom w:val="single" w:sz="4" w:space="0" w:color="auto"/>
              <w:right w:val="single" w:sz="4" w:space="0" w:color="auto"/>
            </w:tcBorders>
          </w:tcPr>
          <w:p w:rsidR="00B27833" w:rsidRPr="00260CE3" w:rsidRDefault="00516FD3" w:rsidP="00D4172B">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r w:rsidR="00B27833" w:rsidRPr="00260CE3">
              <w:rPr>
                <w:rFonts w:ascii="Arial Narrow" w:hAnsi="Arial Narrow" w:cs="Arial"/>
                <w:sz w:val="20"/>
                <w:szCs w:val="20"/>
              </w:rPr>
              <w:t xml:space="preserve">Medical Practitioners  </w:t>
            </w:r>
            <w:r w:rsidRPr="00033087">
              <w:rPr>
                <w:rFonts w:ascii="Arial Narrow" w:hAnsi="Arial Narrow" w:cs="Arial"/>
                <w:sz w:val="20"/>
                <w:szCs w:val="20"/>
              </w:rPr>
              <w:fldChar w:fldCharType="begin">
                <w:ffData>
                  <w:name w:val="Check3"/>
                  <w:enabled/>
                  <w:calcOnExit w:val="0"/>
                  <w:checkBox>
                    <w:sizeAuto/>
                    <w:default w:val="0"/>
                  </w:checkBox>
                </w:ffData>
              </w:fldChar>
            </w:r>
            <w:r w:rsidR="00B27833" w:rsidRPr="00033087">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033087">
              <w:rPr>
                <w:rFonts w:ascii="Arial Narrow" w:hAnsi="Arial Narrow" w:cs="Arial"/>
                <w:sz w:val="20"/>
                <w:szCs w:val="20"/>
              </w:rPr>
              <w:fldChar w:fldCharType="end"/>
            </w:r>
            <w:r w:rsidR="00B27833" w:rsidRPr="00033087">
              <w:rPr>
                <w:rFonts w:ascii="Arial Narrow" w:hAnsi="Arial Narrow" w:cs="Arial"/>
                <w:sz w:val="20"/>
                <w:szCs w:val="20"/>
              </w:rPr>
              <w:t>Nurse practitioners</w:t>
            </w:r>
            <w:r w:rsidR="00B27833" w:rsidRPr="00260CE3">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Optometrists</w:t>
            </w:r>
          </w:p>
          <w:p w:rsidR="00B27833" w:rsidRPr="00260CE3" w:rsidRDefault="00516FD3" w:rsidP="00D4172B">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00B27833" w:rsidRPr="00260CE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260CE3">
              <w:rPr>
                <w:rFonts w:ascii="Arial Narrow" w:hAnsi="Arial Narrow" w:cs="Arial"/>
                <w:sz w:val="20"/>
                <w:szCs w:val="20"/>
              </w:rPr>
              <w:fldChar w:fldCharType="end"/>
            </w:r>
            <w:r w:rsidR="00B27833" w:rsidRPr="00260CE3">
              <w:rPr>
                <w:rFonts w:ascii="Arial Narrow" w:hAnsi="Arial Narrow" w:cs="Arial"/>
                <w:sz w:val="20"/>
                <w:szCs w:val="20"/>
              </w:rPr>
              <w:t>Midwives</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Condition:</w:t>
            </w:r>
          </w:p>
        </w:tc>
        <w:tc>
          <w:tcPr>
            <w:tcW w:w="4158"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Pr>
                <w:rFonts w:ascii="Arial Narrow" w:hAnsi="Arial Narrow" w:cs="Arial"/>
                <w:sz w:val="20"/>
                <w:szCs w:val="20"/>
              </w:rPr>
              <w:t>Tyrosinaemia type 1</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PBS Indication:</w:t>
            </w:r>
          </w:p>
        </w:tc>
        <w:tc>
          <w:tcPr>
            <w:tcW w:w="4158"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Pr>
                <w:rFonts w:ascii="Arial Narrow" w:hAnsi="Arial Narrow" w:cs="Arial"/>
                <w:sz w:val="20"/>
                <w:szCs w:val="20"/>
              </w:rPr>
              <w:t>Tyrosinaemia type 1</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A613B8" w:rsidRDefault="00B27833" w:rsidP="00D4172B">
            <w:pPr>
              <w:rPr>
                <w:rFonts w:ascii="Arial Narrow" w:hAnsi="Arial Narrow" w:cs="Arial"/>
                <w:b/>
                <w:sz w:val="20"/>
                <w:szCs w:val="20"/>
              </w:rPr>
            </w:pPr>
            <w:r w:rsidRPr="00260CE3">
              <w:rPr>
                <w:rFonts w:ascii="Arial Narrow" w:hAnsi="Arial Narrow" w:cs="Arial"/>
                <w:b/>
                <w:sz w:val="20"/>
                <w:szCs w:val="20"/>
              </w:rPr>
              <w:t>Treatment phase:</w:t>
            </w:r>
          </w:p>
        </w:tc>
        <w:tc>
          <w:tcPr>
            <w:tcW w:w="4158"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Pr>
                <w:rFonts w:ascii="Arial Narrow" w:hAnsi="Arial Narrow" w:cs="Arial"/>
                <w:sz w:val="20"/>
                <w:szCs w:val="20"/>
              </w:rPr>
              <w:t>Continuing</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27833" w:rsidRPr="00260CE3" w:rsidRDefault="00B27833" w:rsidP="00D4172B">
            <w:pPr>
              <w:rPr>
                <w:rFonts w:ascii="Arial Narrow" w:hAnsi="Arial Narrow" w:cs="Arial"/>
                <w:sz w:val="20"/>
                <w:szCs w:val="20"/>
              </w:rPr>
            </w:pPr>
          </w:p>
        </w:tc>
        <w:tc>
          <w:tcPr>
            <w:tcW w:w="4158" w:type="pct"/>
            <w:tcBorders>
              <w:top w:val="single" w:sz="4" w:space="0" w:color="auto"/>
              <w:left w:val="single" w:sz="4" w:space="0" w:color="auto"/>
              <w:bottom w:val="single" w:sz="4" w:space="0" w:color="auto"/>
              <w:right w:val="single" w:sz="4" w:space="0" w:color="auto"/>
            </w:tcBorders>
          </w:tcPr>
          <w:p w:rsidR="00B27833" w:rsidRPr="00106BCF"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Restricted benefit</w:t>
            </w:r>
          </w:p>
          <w:p w:rsidR="00B27833" w:rsidRPr="00106BCF" w:rsidRDefault="00516FD3" w:rsidP="00D4172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r w:rsidR="00B27833" w:rsidRPr="00106BCF">
              <w:rPr>
                <w:rFonts w:ascii="Arial Narrow" w:hAnsi="Arial Narrow" w:cs="Arial"/>
                <w:sz w:val="20"/>
                <w:szCs w:val="20"/>
              </w:rPr>
              <w:t>Authority Required - In Writing</w:t>
            </w:r>
          </w:p>
          <w:p w:rsidR="00B27833" w:rsidRPr="00106BCF" w:rsidRDefault="00516FD3" w:rsidP="00D4172B">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0" w:name="Check3"/>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bookmarkEnd w:id="0"/>
            <w:r w:rsidR="00B27833" w:rsidRPr="00106BCF">
              <w:rPr>
                <w:rFonts w:ascii="Arial Narrow" w:hAnsi="Arial Narrow" w:cs="Arial"/>
                <w:sz w:val="20"/>
                <w:szCs w:val="20"/>
              </w:rPr>
              <w:t>Authority Required - Telephone</w:t>
            </w:r>
          </w:p>
          <w:p w:rsidR="00B27833" w:rsidRPr="00106BCF" w:rsidRDefault="00516FD3" w:rsidP="00D4172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r w:rsidR="00B27833" w:rsidRPr="00106BCF">
              <w:rPr>
                <w:rFonts w:ascii="Arial Narrow" w:hAnsi="Arial Narrow" w:cs="Arial"/>
                <w:sz w:val="20"/>
                <w:szCs w:val="20"/>
              </w:rPr>
              <w:t>Authority Required – Emergency</w:t>
            </w:r>
          </w:p>
          <w:p w:rsidR="00B27833" w:rsidRPr="00106BCF" w:rsidRDefault="00516FD3" w:rsidP="00D4172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sidR="00B27833">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Pr>
                <w:rFonts w:ascii="Arial Narrow" w:hAnsi="Arial Narrow" w:cs="Arial"/>
                <w:sz w:val="20"/>
                <w:szCs w:val="20"/>
              </w:rPr>
              <w:fldChar w:fldCharType="end"/>
            </w:r>
            <w:bookmarkEnd w:id="1"/>
            <w:r w:rsidR="00B27833" w:rsidRPr="00106BCF">
              <w:rPr>
                <w:rFonts w:ascii="Arial Narrow" w:hAnsi="Arial Narrow" w:cs="Arial"/>
                <w:sz w:val="20"/>
                <w:szCs w:val="20"/>
              </w:rPr>
              <w:t>Authority Required - Electronic</w:t>
            </w:r>
          </w:p>
          <w:p w:rsidR="00B27833" w:rsidRPr="00260CE3" w:rsidRDefault="00516FD3" w:rsidP="00D4172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B27833" w:rsidRPr="00106BCF">
              <w:rPr>
                <w:rFonts w:ascii="Arial Narrow" w:hAnsi="Arial Narrow" w:cs="Arial"/>
                <w:sz w:val="20"/>
                <w:szCs w:val="20"/>
              </w:rPr>
              <w:instrText xml:space="preserve"> FORMCHECKBOX </w:instrText>
            </w:r>
            <w:r w:rsidR="006425ED">
              <w:rPr>
                <w:rFonts w:ascii="Arial Narrow" w:hAnsi="Arial Narrow" w:cs="Arial"/>
                <w:sz w:val="20"/>
                <w:szCs w:val="20"/>
              </w:rPr>
            </w:r>
            <w:r w:rsidR="006425ED">
              <w:rPr>
                <w:rFonts w:ascii="Arial Narrow" w:hAnsi="Arial Narrow" w:cs="Arial"/>
                <w:sz w:val="20"/>
                <w:szCs w:val="20"/>
              </w:rPr>
              <w:fldChar w:fldCharType="separate"/>
            </w:r>
            <w:r w:rsidRPr="00106BCF">
              <w:rPr>
                <w:rFonts w:ascii="Arial Narrow" w:hAnsi="Arial Narrow" w:cs="Arial"/>
                <w:sz w:val="20"/>
                <w:szCs w:val="20"/>
              </w:rPr>
              <w:fldChar w:fldCharType="end"/>
            </w:r>
            <w:r w:rsidR="00B27833" w:rsidRPr="00106BCF">
              <w:rPr>
                <w:rFonts w:ascii="Arial Narrow" w:hAnsi="Arial Narrow" w:cs="Arial"/>
                <w:sz w:val="20"/>
                <w:szCs w:val="20"/>
              </w:rPr>
              <w:t>Streamlined</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lastRenderedPageBreak/>
              <w:t>Treatment criteria:</w:t>
            </w:r>
          </w:p>
          <w:p w:rsidR="00B27833" w:rsidRPr="00260CE3" w:rsidRDefault="00B27833" w:rsidP="00D4172B">
            <w:pPr>
              <w:rPr>
                <w:rFonts w:ascii="Arial Narrow" w:hAnsi="Arial Narrow" w:cs="Arial"/>
                <w:sz w:val="20"/>
                <w:szCs w:val="20"/>
              </w:rPr>
            </w:pPr>
          </w:p>
        </w:tc>
        <w:tc>
          <w:tcPr>
            <w:tcW w:w="4158" w:type="pct"/>
            <w:tcBorders>
              <w:top w:val="single" w:sz="4" w:space="0" w:color="auto"/>
              <w:left w:val="single" w:sz="4" w:space="0" w:color="auto"/>
              <w:bottom w:val="single" w:sz="4" w:space="0" w:color="auto"/>
              <w:right w:val="single" w:sz="4" w:space="0" w:color="auto"/>
            </w:tcBorders>
          </w:tcPr>
          <w:p w:rsidR="00D4172B" w:rsidRDefault="00D4172B" w:rsidP="00D4172B">
            <w:pPr>
              <w:ind w:left="-13" w:firstLine="13"/>
              <w:rPr>
                <w:rFonts w:ascii="Arial Narrow" w:hAnsi="Arial Narrow" w:cs="Arial"/>
                <w:sz w:val="20"/>
                <w:szCs w:val="20"/>
              </w:rPr>
            </w:pPr>
            <w:r w:rsidRPr="00A613B8">
              <w:rPr>
                <w:rFonts w:ascii="Arial Narrow" w:hAnsi="Arial Narrow" w:cs="Arial"/>
                <w:sz w:val="20"/>
                <w:szCs w:val="20"/>
              </w:rPr>
              <w:t xml:space="preserve">Must be treated in a centre with experience in metabolic disorders. </w:t>
            </w:r>
            <w:r w:rsidRPr="00B27833">
              <w:rPr>
                <w:rFonts w:ascii="Arial Narrow" w:hAnsi="Arial Narrow" w:cs="Arial"/>
                <w:sz w:val="20"/>
                <w:szCs w:val="20"/>
              </w:rPr>
              <w:t>If attendance at such a centre is not possible because of geographical isolation, management (including prescribing) may be in consultation with such a centre.</w:t>
            </w:r>
          </w:p>
          <w:p w:rsidR="00D4172B" w:rsidRPr="00A613B8" w:rsidRDefault="00D4172B" w:rsidP="00D4172B">
            <w:pPr>
              <w:ind w:left="-13" w:firstLine="13"/>
              <w:rPr>
                <w:rFonts w:ascii="Arial Narrow" w:hAnsi="Arial Narrow" w:cs="Arial"/>
                <w:sz w:val="20"/>
                <w:szCs w:val="20"/>
              </w:rPr>
            </w:pPr>
          </w:p>
          <w:p w:rsidR="00D4172B" w:rsidRDefault="00D4172B" w:rsidP="00D4172B">
            <w:pPr>
              <w:ind w:left="-13" w:firstLine="13"/>
              <w:rPr>
                <w:rFonts w:ascii="Arial Narrow" w:hAnsi="Arial Narrow" w:cs="Arial"/>
                <w:sz w:val="20"/>
                <w:szCs w:val="20"/>
              </w:rPr>
            </w:pPr>
            <w:r w:rsidRPr="00A613B8">
              <w:rPr>
                <w:rFonts w:ascii="Arial Narrow" w:hAnsi="Arial Narrow" w:cs="Arial"/>
                <w:sz w:val="20"/>
                <w:szCs w:val="20"/>
              </w:rPr>
              <w:t xml:space="preserve">AND </w:t>
            </w:r>
          </w:p>
          <w:p w:rsidR="00D4172B" w:rsidRPr="00A613B8" w:rsidRDefault="00D4172B" w:rsidP="00D4172B">
            <w:pPr>
              <w:ind w:left="-13" w:firstLine="13"/>
              <w:rPr>
                <w:rFonts w:ascii="Arial Narrow" w:hAnsi="Arial Narrow" w:cs="Arial"/>
                <w:sz w:val="20"/>
                <w:szCs w:val="20"/>
              </w:rPr>
            </w:pPr>
          </w:p>
          <w:p w:rsidR="00B27833" w:rsidRPr="00260CE3" w:rsidRDefault="00D4172B" w:rsidP="00D4172B">
            <w:pPr>
              <w:rPr>
                <w:rFonts w:ascii="Arial Narrow" w:hAnsi="Arial Narrow" w:cs="Arial"/>
                <w:sz w:val="20"/>
                <w:szCs w:val="20"/>
              </w:rPr>
            </w:pPr>
            <w:r w:rsidRPr="00A613B8">
              <w:rPr>
                <w:rFonts w:ascii="Arial Narrow" w:hAnsi="Arial Narrow" w:cs="Arial"/>
                <w:sz w:val="20"/>
                <w:szCs w:val="20"/>
              </w:rPr>
              <w:t>Must be treated by</w:t>
            </w:r>
            <w:r>
              <w:rPr>
                <w:rFonts w:ascii="Arial Narrow" w:hAnsi="Arial Narrow" w:cs="Arial"/>
                <w:sz w:val="20"/>
                <w:szCs w:val="20"/>
              </w:rPr>
              <w:t>, or in consultation with,</w:t>
            </w:r>
            <w:r w:rsidRPr="00A613B8">
              <w:rPr>
                <w:rFonts w:ascii="Arial Narrow" w:hAnsi="Arial Narrow" w:cs="Arial"/>
                <w:sz w:val="20"/>
                <w:szCs w:val="20"/>
              </w:rPr>
              <w:t xml:space="preserve"> a paediatrician or specialist physician with experience in the management </w:t>
            </w:r>
            <w:r>
              <w:rPr>
                <w:rFonts w:ascii="Arial Narrow" w:hAnsi="Arial Narrow" w:cs="Arial"/>
                <w:sz w:val="20"/>
                <w:szCs w:val="20"/>
              </w:rPr>
              <w:t>of patients with tyrosinaemia type 1 or other inherited metabolic diseases.</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Clinical criteria:</w:t>
            </w:r>
          </w:p>
          <w:p w:rsidR="00B27833" w:rsidRPr="00260CE3" w:rsidRDefault="00B27833" w:rsidP="00D4172B">
            <w:pPr>
              <w:rPr>
                <w:rFonts w:ascii="Arial Narrow" w:hAnsi="Arial Narrow" w:cs="Arial"/>
                <w:sz w:val="20"/>
                <w:szCs w:val="20"/>
              </w:rPr>
            </w:pPr>
          </w:p>
        </w:tc>
        <w:tc>
          <w:tcPr>
            <w:tcW w:w="4158" w:type="pct"/>
            <w:tcBorders>
              <w:top w:val="single" w:sz="4" w:space="0" w:color="auto"/>
              <w:left w:val="single" w:sz="4" w:space="0" w:color="auto"/>
              <w:bottom w:val="single" w:sz="4" w:space="0" w:color="auto"/>
              <w:right w:val="single" w:sz="4" w:space="0" w:color="auto"/>
            </w:tcBorders>
          </w:tcPr>
          <w:p w:rsidR="00B27833" w:rsidRDefault="00B27833" w:rsidP="00D4172B">
            <w:pPr>
              <w:rPr>
                <w:rFonts w:ascii="Arial Narrow" w:hAnsi="Arial Narrow" w:cs="Arial"/>
                <w:sz w:val="20"/>
                <w:szCs w:val="20"/>
              </w:rPr>
            </w:pPr>
            <w:r>
              <w:rPr>
                <w:rFonts w:ascii="Arial Narrow" w:hAnsi="Arial Narrow" w:cs="Arial"/>
                <w:sz w:val="20"/>
                <w:szCs w:val="20"/>
              </w:rPr>
              <w:t xml:space="preserve">Patient must have previously received PBS-subsidised therapy with this drug for this condition. </w:t>
            </w:r>
          </w:p>
          <w:p w:rsidR="00B27833" w:rsidRDefault="00B27833" w:rsidP="00D4172B">
            <w:pPr>
              <w:rPr>
                <w:rFonts w:ascii="Arial Narrow" w:hAnsi="Arial Narrow" w:cs="Arial"/>
                <w:sz w:val="20"/>
                <w:szCs w:val="20"/>
              </w:rPr>
            </w:pPr>
          </w:p>
          <w:p w:rsidR="00B27833" w:rsidRPr="00260CE3" w:rsidRDefault="00B27833" w:rsidP="00D4172B">
            <w:pPr>
              <w:rPr>
                <w:rFonts w:ascii="Arial Narrow" w:hAnsi="Arial Narrow" w:cs="Arial"/>
                <w:sz w:val="20"/>
                <w:szCs w:val="20"/>
              </w:rPr>
            </w:pPr>
            <w:r>
              <w:rPr>
                <w:rFonts w:ascii="Arial Narrow" w:hAnsi="Arial Narrow" w:cs="Arial"/>
                <w:sz w:val="20"/>
                <w:szCs w:val="20"/>
              </w:rPr>
              <w:t xml:space="preserve">AND </w:t>
            </w:r>
          </w:p>
          <w:p w:rsidR="00B27833" w:rsidRPr="00260CE3" w:rsidRDefault="00B27833" w:rsidP="00D4172B">
            <w:pPr>
              <w:jc w:val="both"/>
              <w:rPr>
                <w:rFonts w:ascii="Arial Narrow" w:hAnsi="Arial Narrow" w:cs="Arial"/>
                <w:sz w:val="20"/>
                <w:szCs w:val="20"/>
              </w:rPr>
            </w:pPr>
          </w:p>
          <w:p w:rsidR="00B27833" w:rsidRPr="00260CE3" w:rsidRDefault="00B27833" w:rsidP="00D4172B">
            <w:pPr>
              <w:jc w:val="both"/>
              <w:rPr>
                <w:rFonts w:ascii="Arial Narrow" w:hAnsi="Arial Narrow" w:cs="Arial"/>
                <w:sz w:val="20"/>
                <w:szCs w:val="20"/>
              </w:rPr>
            </w:pPr>
            <w:r w:rsidRPr="00A613B8">
              <w:rPr>
                <w:rFonts w:ascii="Arial Narrow" w:hAnsi="Arial Narrow" w:cs="Arial"/>
                <w:sz w:val="20"/>
                <w:szCs w:val="20"/>
              </w:rPr>
              <w:t>The treatment must be administered in combination with dietary restriction of tyrosine and phenylalanine.</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A613B8" w:rsidRDefault="00B27833" w:rsidP="00D4172B">
            <w:pPr>
              <w:rPr>
                <w:rFonts w:ascii="Arial Narrow" w:hAnsi="Arial Narrow" w:cs="Arial"/>
                <w:b/>
                <w:sz w:val="20"/>
                <w:szCs w:val="20"/>
              </w:rPr>
            </w:pPr>
            <w:r w:rsidRPr="00260CE3">
              <w:rPr>
                <w:rFonts w:ascii="Arial Narrow" w:hAnsi="Arial Narrow" w:cs="Arial"/>
                <w:b/>
                <w:sz w:val="20"/>
                <w:szCs w:val="20"/>
              </w:rPr>
              <w:t>Prescriber Instructions</w:t>
            </w:r>
          </w:p>
        </w:tc>
        <w:tc>
          <w:tcPr>
            <w:tcW w:w="4158"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sz w:val="20"/>
                <w:szCs w:val="20"/>
              </w:rPr>
            </w:pPr>
            <w:r w:rsidRPr="00A613B8">
              <w:rPr>
                <w:rFonts w:ascii="Arial Narrow" w:hAnsi="Arial Narrow" w:cs="Arial"/>
                <w:sz w:val="20"/>
                <w:szCs w:val="20"/>
              </w:rPr>
              <w:t>At the time of Authority application, prescribers should advise the weight of the patient</w:t>
            </w:r>
            <w:r>
              <w:rPr>
                <w:rFonts w:ascii="Arial Narrow" w:hAnsi="Arial Narrow" w:cs="Arial"/>
                <w:sz w:val="20"/>
                <w:szCs w:val="20"/>
              </w:rPr>
              <w:t xml:space="preserve"> </w:t>
            </w:r>
            <w:r w:rsidRPr="00033087">
              <w:rPr>
                <w:rFonts w:ascii="Arial Narrow" w:hAnsi="Arial Narrow" w:cs="Arial"/>
                <w:sz w:val="20"/>
                <w:szCs w:val="20"/>
              </w:rPr>
              <w:t>in the patient’</w:t>
            </w:r>
            <w:r w:rsidR="00407A3A" w:rsidRPr="00033087">
              <w:rPr>
                <w:rFonts w:ascii="Arial Narrow" w:hAnsi="Arial Narrow" w:cs="Arial"/>
                <w:sz w:val="20"/>
                <w:szCs w:val="20"/>
              </w:rPr>
              <w:t>s record</w:t>
            </w:r>
            <w:r w:rsidRPr="00033087">
              <w:rPr>
                <w:rFonts w:ascii="Arial Narrow" w:hAnsi="Arial Narrow" w:cs="Arial"/>
                <w:sz w:val="20"/>
                <w:szCs w:val="20"/>
              </w:rPr>
              <w:t>.</w:t>
            </w:r>
          </w:p>
        </w:tc>
      </w:tr>
      <w:tr w:rsidR="00B27833" w:rsidRPr="00260CE3" w:rsidTr="005A6333">
        <w:trPr>
          <w:cantSplit/>
          <w:trHeight w:val="360"/>
        </w:trPr>
        <w:tc>
          <w:tcPr>
            <w:tcW w:w="842" w:type="pct"/>
            <w:tcBorders>
              <w:top w:val="single" w:sz="4" w:space="0" w:color="auto"/>
              <w:left w:val="single" w:sz="4" w:space="0" w:color="auto"/>
              <w:bottom w:val="single" w:sz="4" w:space="0" w:color="auto"/>
              <w:right w:val="single" w:sz="4" w:space="0" w:color="auto"/>
            </w:tcBorders>
          </w:tcPr>
          <w:p w:rsidR="00B27833" w:rsidRPr="00260CE3" w:rsidRDefault="00B27833" w:rsidP="00D4172B">
            <w:pPr>
              <w:rPr>
                <w:rFonts w:ascii="Arial Narrow" w:hAnsi="Arial Narrow" w:cs="Arial"/>
                <w:b/>
                <w:sz w:val="20"/>
                <w:szCs w:val="20"/>
              </w:rPr>
            </w:pPr>
            <w:r w:rsidRPr="00260CE3">
              <w:rPr>
                <w:rFonts w:ascii="Arial Narrow" w:hAnsi="Arial Narrow" w:cs="Arial"/>
                <w:b/>
                <w:sz w:val="20"/>
                <w:szCs w:val="20"/>
              </w:rPr>
              <w:t>Administrative Advice</w:t>
            </w:r>
          </w:p>
          <w:p w:rsidR="00B27833" w:rsidRPr="00260CE3" w:rsidRDefault="00B27833" w:rsidP="00D4172B">
            <w:pPr>
              <w:rPr>
                <w:rFonts w:ascii="Arial Narrow" w:hAnsi="Arial Narrow" w:cs="Arial"/>
                <w:i/>
                <w:sz w:val="20"/>
                <w:szCs w:val="20"/>
              </w:rPr>
            </w:pPr>
          </w:p>
        </w:tc>
        <w:tc>
          <w:tcPr>
            <w:tcW w:w="4158" w:type="pct"/>
            <w:tcBorders>
              <w:top w:val="single" w:sz="4" w:space="0" w:color="auto"/>
              <w:left w:val="single" w:sz="4" w:space="0" w:color="auto"/>
              <w:bottom w:val="single" w:sz="4" w:space="0" w:color="auto"/>
              <w:right w:val="single" w:sz="4" w:space="0" w:color="auto"/>
            </w:tcBorders>
          </w:tcPr>
          <w:p w:rsidR="00B27833" w:rsidRPr="00A613B8" w:rsidRDefault="00B27833" w:rsidP="00D4172B">
            <w:pPr>
              <w:rPr>
                <w:rFonts w:ascii="Arial Narrow" w:hAnsi="Arial Narrow" w:cs="Arial"/>
                <w:sz w:val="20"/>
                <w:szCs w:val="20"/>
              </w:rPr>
            </w:pPr>
            <w:r w:rsidRPr="00A613B8">
              <w:rPr>
                <w:rFonts w:ascii="Arial Narrow" w:hAnsi="Arial Narrow" w:cs="Arial"/>
                <w:sz w:val="20"/>
                <w:szCs w:val="20"/>
              </w:rPr>
              <w:t>Increased maximum quantities may be requested from the Department of Human Services and should be based on a dosing regimen of 1 to 2 mg/kg/day.</w:t>
            </w:r>
          </w:p>
          <w:p w:rsidR="00B27833" w:rsidRDefault="00B27833" w:rsidP="00D4172B">
            <w:pPr>
              <w:rPr>
                <w:rFonts w:ascii="Arial Narrow" w:hAnsi="Arial Narrow" w:cs="Arial"/>
                <w:sz w:val="20"/>
                <w:szCs w:val="20"/>
              </w:rPr>
            </w:pPr>
          </w:p>
          <w:p w:rsidR="00B27833" w:rsidRPr="00260CE3" w:rsidRDefault="00B27833" w:rsidP="00D4172B">
            <w:pPr>
              <w:rPr>
                <w:rFonts w:ascii="Arial Narrow" w:hAnsi="Arial Narrow" w:cs="Arial"/>
                <w:sz w:val="20"/>
                <w:szCs w:val="20"/>
              </w:rPr>
            </w:pPr>
            <w:r w:rsidRPr="00B27833">
              <w:rPr>
                <w:rFonts w:ascii="Arial Narrow" w:hAnsi="Arial Narrow" w:cs="Arial"/>
                <w:sz w:val="20"/>
                <w:szCs w:val="20"/>
              </w:rPr>
              <w:t>Authority applications for continuing treatment may be made by telephone to the Department of Human Services on 1800 700 270 (hours of operation 8 a.m. to 5 p.m. EST Monday to Friday).</w:t>
            </w:r>
          </w:p>
        </w:tc>
      </w:tr>
    </w:tbl>
    <w:p w:rsidR="007B6E69" w:rsidRDefault="007B6E69" w:rsidP="00D4172B">
      <w:pPr>
        <w:jc w:val="both"/>
        <w:rPr>
          <w:rFonts w:ascii="Arial" w:hAnsi="Arial"/>
          <w:b/>
          <w:sz w:val="22"/>
          <w:szCs w:val="22"/>
        </w:rPr>
      </w:pPr>
    </w:p>
    <w:p w:rsidR="00D4172B" w:rsidRPr="00882085" w:rsidRDefault="00D4172B" w:rsidP="00D4172B">
      <w:pPr>
        <w:jc w:val="both"/>
        <w:rPr>
          <w:rFonts w:ascii="Arial" w:hAnsi="Arial"/>
          <w:b/>
          <w:sz w:val="22"/>
          <w:szCs w:val="22"/>
        </w:rPr>
      </w:pPr>
    </w:p>
    <w:p w:rsidR="00DC01C1" w:rsidRPr="00882085" w:rsidRDefault="00DC01C1" w:rsidP="007860B0">
      <w:pPr>
        <w:pStyle w:val="Heading2"/>
      </w:pPr>
      <w:r w:rsidRPr="00882085">
        <w:t>Background</w:t>
      </w:r>
    </w:p>
    <w:p w:rsidR="00DC01C1" w:rsidRPr="00EA7339" w:rsidRDefault="00DC01C1" w:rsidP="00D4172B">
      <w:pPr>
        <w:jc w:val="both"/>
        <w:rPr>
          <w:rFonts w:ascii="Arial" w:hAnsi="Arial"/>
          <w:sz w:val="22"/>
          <w:szCs w:val="22"/>
        </w:rPr>
      </w:pPr>
    </w:p>
    <w:p w:rsidR="00700119" w:rsidRDefault="001A0681" w:rsidP="00D4172B">
      <w:pPr>
        <w:pStyle w:val="ListParagraph"/>
        <w:numPr>
          <w:ilvl w:val="1"/>
          <w:numId w:val="2"/>
        </w:numPr>
        <w:jc w:val="both"/>
        <w:rPr>
          <w:rFonts w:ascii="Arial" w:hAnsi="Arial"/>
          <w:sz w:val="22"/>
          <w:szCs w:val="22"/>
        </w:rPr>
      </w:pPr>
      <w:r>
        <w:rPr>
          <w:rFonts w:ascii="Arial" w:hAnsi="Arial"/>
          <w:sz w:val="22"/>
          <w:szCs w:val="22"/>
        </w:rPr>
        <w:t>In November 2014 t</w:t>
      </w:r>
      <w:r w:rsidR="00EA7339" w:rsidRPr="00EA7339">
        <w:rPr>
          <w:rFonts w:ascii="Arial" w:hAnsi="Arial"/>
          <w:sz w:val="22"/>
          <w:szCs w:val="22"/>
        </w:rPr>
        <w:t xml:space="preserve">he PBAC considered a submission </w:t>
      </w:r>
      <w:r w:rsidR="000060A9">
        <w:rPr>
          <w:rFonts w:ascii="Arial" w:hAnsi="Arial"/>
          <w:sz w:val="22"/>
          <w:szCs w:val="22"/>
        </w:rPr>
        <w:t>requesting</w:t>
      </w:r>
      <w:r w:rsidR="00697C90">
        <w:rPr>
          <w:rFonts w:ascii="Arial" w:hAnsi="Arial"/>
          <w:sz w:val="22"/>
          <w:szCs w:val="22"/>
        </w:rPr>
        <w:t xml:space="preserve"> Authority required Section 100 (Highly Specialised Drugs Program)</w:t>
      </w:r>
      <w:r>
        <w:rPr>
          <w:rFonts w:ascii="Arial" w:hAnsi="Arial"/>
          <w:sz w:val="22"/>
          <w:szCs w:val="22"/>
        </w:rPr>
        <w:t xml:space="preserve"> </w:t>
      </w:r>
      <w:r w:rsidR="00EA7339" w:rsidRPr="00EA7339">
        <w:rPr>
          <w:rFonts w:ascii="Arial" w:hAnsi="Arial"/>
          <w:sz w:val="22"/>
          <w:szCs w:val="22"/>
        </w:rPr>
        <w:t xml:space="preserve">listing of nitisinone for HT-1. </w:t>
      </w:r>
      <w:r w:rsidR="00853220">
        <w:rPr>
          <w:rFonts w:ascii="Arial" w:hAnsi="Arial"/>
          <w:sz w:val="22"/>
          <w:szCs w:val="22"/>
        </w:rPr>
        <w:t>The submission requested the PBAC</w:t>
      </w:r>
      <w:r w:rsidR="000F3B12">
        <w:rPr>
          <w:rFonts w:ascii="Arial" w:hAnsi="Arial"/>
          <w:sz w:val="22"/>
          <w:szCs w:val="22"/>
        </w:rPr>
        <w:t xml:space="preserve"> to</w:t>
      </w:r>
      <w:r w:rsidR="00853220">
        <w:rPr>
          <w:rFonts w:ascii="Arial" w:hAnsi="Arial"/>
          <w:sz w:val="22"/>
          <w:szCs w:val="22"/>
        </w:rPr>
        <w:t xml:space="preserve"> consider listing on the basis of ‘rule of rescue’. </w:t>
      </w:r>
    </w:p>
    <w:p w:rsidR="00700119" w:rsidRDefault="00700119" w:rsidP="00D4172B">
      <w:pPr>
        <w:pStyle w:val="ListParagraph"/>
        <w:jc w:val="both"/>
        <w:rPr>
          <w:rFonts w:ascii="Arial" w:hAnsi="Arial"/>
          <w:sz w:val="22"/>
          <w:szCs w:val="22"/>
        </w:rPr>
      </w:pPr>
    </w:p>
    <w:p w:rsidR="00DC01C1" w:rsidRPr="00697C90" w:rsidRDefault="00700119" w:rsidP="00D4172B">
      <w:pPr>
        <w:pStyle w:val="ListParagraph"/>
        <w:numPr>
          <w:ilvl w:val="1"/>
          <w:numId w:val="2"/>
        </w:numPr>
        <w:jc w:val="both"/>
        <w:rPr>
          <w:rFonts w:ascii="Arial" w:hAnsi="Arial"/>
          <w:sz w:val="22"/>
          <w:szCs w:val="22"/>
        </w:rPr>
      </w:pPr>
      <w:r>
        <w:rPr>
          <w:rFonts w:ascii="Arial" w:hAnsi="Arial"/>
          <w:sz w:val="22"/>
          <w:szCs w:val="22"/>
        </w:rPr>
        <w:t xml:space="preserve">While the PBAC </w:t>
      </w:r>
      <w:r w:rsidR="00853220" w:rsidRPr="00853220">
        <w:rPr>
          <w:rFonts w:ascii="Arial" w:hAnsi="Arial"/>
          <w:sz w:val="22"/>
          <w:szCs w:val="22"/>
        </w:rPr>
        <w:t>considered the submission satisfactorily addressed and met the four criteria for listing under the ‘rule of rescue’</w:t>
      </w:r>
      <w:r w:rsidR="00697C90">
        <w:rPr>
          <w:rFonts w:ascii="Arial" w:hAnsi="Arial"/>
          <w:sz w:val="22"/>
          <w:szCs w:val="22"/>
        </w:rPr>
        <w:t xml:space="preserve">, it </w:t>
      </w:r>
      <w:r w:rsidR="00EA7339" w:rsidRPr="00697C90">
        <w:rPr>
          <w:rFonts w:ascii="Arial" w:hAnsi="Arial"/>
          <w:sz w:val="22"/>
          <w:szCs w:val="22"/>
        </w:rPr>
        <w:t xml:space="preserve">deferred making a recommendation regarding the proposed </w:t>
      </w:r>
      <w:r w:rsidR="00697C90">
        <w:rPr>
          <w:rFonts w:ascii="Arial" w:hAnsi="Arial"/>
          <w:sz w:val="22"/>
          <w:szCs w:val="22"/>
        </w:rPr>
        <w:t>listing. The PBAC considered there was</w:t>
      </w:r>
      <w:r w:rsidR="00EA7339" w:rsidRPr="00697C90">
        <w:rPr>
          <w:rFonts w:ascii="Arial" w:hAnsi="Arial"/>
          <w:sz w:val="22"/>
          <w:szCs w:val="22"/>
        </w:rPr>
        <w:t xml:space="preserve"> a lack of clarity </w:t>
      </w:r>
      <w:r w:rsidR="00697C90">
        <w:rPr>
          <w:rFonts w:ascii="Arial" w:hAnsi="Arial"/>
          <w:sz w:val="22"/>
          <w:szCs w:val="22"/>
        </w:rPr>
        <w:t>on both</w:t>
      </w:r>
      <w:r w:rsidR="00EA7339" w:rsidRPr="00697C90">
        <w:rPr>
          <w:rFonts w:ascii="Arial" w:hAnsi="Arial"/>
          <w:sz w:val="22"/>
          <w:szCs w:val="22"/>
        </w:rPr>
        <w:t xml:space="preserve"> </w:t>
      </w:r>
      <w:r w:rsidR="00697C90">
        <w:rPr>
          <w:rFonts w:ascii="Arial" w:hAnsi="Arial"/>
          <w:sz w:val="22"/>
          <w:szCs w:val="22"/>
        </w:rPr>
        <w:t xml:space="preserve">the impact of </w:t>
      </w:r>
      <w:r w:rsidR="00EA7339" w:rsidRPr="00697C90">
        <w:rPr>
          <w:rFonts w:ascii="Arial" w:hAnsi="Arial"/>
          <w:sz w:val="22"/>
          <w:szCs w:val="22"/>
        </w:rPr>
        <w:t>current and future</w:t>
      </w:r>
      <w:r w:rsidR="00697C90">
        <w:rPr>
          <w:rFonts w:ascii="Arial" w:hAnsi="Arial"/>
          <w:sz w:val="22"/>
          <w:szCs w:val="22"/>
        </w:rPr>
        <w:t xml:space="preserve"> HT-1</w:t>
      </w:r>
      <w:r w:rsidR="00EA7339" w:rsidRPr="00697C90">
        <w:rPr>
          <w:rFonts w:ascii="Arial" w:hAnsi="Arial"/>
          <w:sz w:val="22"/>
          <w:szCs w:val="22"/>
        </w:rPr>
        <w:t xml:space="preserve"> screening practices </w:t>
      </w:r>
      <w:r w:rsidR="00697C90">
        <w:rPr>
          <w:rFonts w:ascii="Arial" w:hAnsi="Arial"/>
          <w:sz w:val="22"/>
          <w:szCs w:val="22"/>
        </w:rPr>
        <w:t>on patient survival, and the association between</w:t>
      </w:r>
      <w:r w:rsidR="00EA7339" w:rsidRPr="00697C90">
        <w:rPr>
          <w:rFonts w:ascii="Arial" w:hAnsi="Arial"/>
          <w:sz w:val="22"/>
          <w:szCs w:val="22"/>
        </w:rPr>
        <w:t xml:space="preserve"> adverse </w:t>
      </w:r>
      <w:r w:rsidR="00697C90">
        <w:rPr>
          <w:rFonts w:ascii="Arial" w:hAnsi="Arial"/>
          <w:sz w:val="22"/>
          <w:szCs w:val="22"/>
        </w:rPr>
        <w:t>events and</w:t>
      </w:r>
      <w:r w:rsidR="00EA7339" w:rsidRPr="00697C90">
        <w:rPr>
          <w:rFonts w:ascii="Arial" w:hAnsi="Arial"/>
          <w:sz w:val="22"/>
          <w:szCs w:val="22"/>
        </w:rPr>
        <w:t xml:space="preserve"> </w:t>
      </w:r>
      <w:r w:rsidR="00697C90">
        <w:rPr>
          <w:rFonts w:ascii="Arial" w:hAnsi="Arial"/>
          <w:sz w:val="22"/>
          <w:szCs w:val="22"/>
        </w:rPr>
        <w:t>nitisinone treatment</w:t>
      </w:r>
      <w:r w:rsidR="00EA7339" w:rsidRPr="00697C90">
        <w:rPr>
          <w:rFonts w:ascii="Arial" w:hAnsi="Arial"/>
          <w:sz w:val="22"/>
          <w:szCs w:val="22"/>
        </w:rPr>
        <w:t>.</w:t>
      </w:r>
    </w:p>
    <w:p w:rsidR="00222902" w:rsidRPr="00697C90" w:rsidRDefault="00222902" w:rsidP="00D4172B">
      <w:pPr>
        <w:jc w:val="both"/>
        <w:rPr>
          <w:rFonts w:ascii="Arial" w:hAnsi="Arial"/>
          <w:sz w:val="22"/>
          <w:szCs w:val="22"/>
        </w:rPr>
      </w:pPr>
    </w:p>
    <w:p w:rsidR="00DC01C1" w:rsidRPr="00697C90" w:rsidRDefault="00EA7339" w:rsidP="00D4172B">
      <w:pPr>
        <w:pStyle w:val="ListParagraph"/>
        <w:numPr>
          <w:ilvl w:val="1"/>
          <w:numId w:val="2"/>
        </w:numPr>
        <w:jc w:val="both"/>
        <w:rPr>
          <w:rFonts w:ascii="Arial" w:hAnsi="Arial"/>
          <w:b/>
          <w:sz w:val="22"/>
          <w:szCs w:val="22"/>
        </w:rPr>
      </w:pPr>
      <w:r w:rsidRPr="00EA7339">
        <w:rPr>
          <w:rFonts w:ascii="Arial" w:hAnsi="Arial"/>
          <w:sz w:val="22"/>
          <w:szCs w:val="22"/>
        </w:rPr>
        <w:t xml:space="preserve">Noting the clinical need for nitisinone, the PBAC recommended holding a stakeholder meeting with the sponsor, the Department, clinicians from applicable professional bodies, consumer representatives and PBAC members. The aims were to provide clarity about the clinical effectiveness of nitisinone for HT-1 with respect to current and future screening programs, to consider the need for </w:t>
      </w:r>
      <w:r w:rsidR="00D4172B">
        <w:rPr>
          <w:rFonts w:ascii="Arial" w:hAnsi="Arial"/>
          <w:sz w:val="22"/>
          <w:szCs w:val="22"/>
        </w:rPr>
        <w:t xml:space="preserve">a </w:t>
      </w:r>
      <w:r w:rsidR="00EC38F8">
        <w:rPr>
          <w:rFonts w:ascii="Arial" w:hAnsi="Arial"/>
          <w:sz w:val="22"/>
          <w:szCs w:val="22"/>
        </w:rPr>
        <w:t>neuropsychological assessment and monitoring progra</w:t>
      </w:r>
      <w:r w:rsidRPr="00EA7339">
        <w:rPr>
          <w:rFonts w:ascii="Arial" w:hAnsi="Arial"/>
          <w:sz w:val="22"/>
          <w:szCs w:val="22"/>
        </w:rPr>
        <w:t>m, and to propose an appropriate restriction arrangement.</w:t>
      </w:r>
    </w:p>
    <w:p w:rsidR="00CF3225" w:rsidRPr="005A58ED" w:rsidRDefault="00CF3225" w:rsidP="00D4172B">
      <w:pPr>
        <w:jc w:val="both"/>
        <w:rPr>
          <w:rFonts w:ascii="Arial" w:hAnsi="Arial"/>
          <w:i/>
          <w:sz w:val="22"/>
          <w:szCs w:val="22"/>
        </w:rPr>
      </w:pPr>
    </w:p>
    <w:p w:rsidR="00EA7339" w:rsidRPr="005A58ED" w:rsidRDefault="00EA7339" w:rsidP="00D4172B">
      <w:pPr>
        <w:pStyle w:val="ListParagraph"/>
        <w:numPr>
          <w:ilvl w:val="1"/>
          <w:numId w:val="2"/>
        </w:numPr>
        <w:jc w:val="both"/>
        <w:rPr>
          <w:rFonts w:ascii="Arial" w:hAnsi="Arial"/>
          <w:b/>
          <w:sz w:val="22"/>
          <w:szCs w:val="22"/>
        </w:rPr>
      </w:pPr>
      <w:r>
        <w:rPr>
          <w:rFonts w:ascii="Arial" w:hAnsi="Arial"/>
          <w:sz w:val="22"/>
          <w:szCs w:val="22"/>
        </w:rPr>
        <w:t xml:space="preserve">The stakeholder meeting was held on 4 February 2015. </w:t>
      </w:r>
    </w:p>
    <w:p w:rsidR="00077FB9" w:rsidRPr="005A58ED" w:rsidRDefault="00077FB9" w:rsidP="00D4172B">
      <w:pPr>
        <w:pStyle w:val="ListParagraph"/>
        <w:rPr>
          <w:rFonts w:ascii="Arial" w:hAnsi="Arial"/>
          <w:b/>
          <w:sz w:val="22"/>
          <w:szCs w:val="22"/>
        </w:rPr>
      </w:pPr>
    </w:p>
    <w:p w:rsidR="003D6F9D" w:rsidRDefault="003D6F9D" w:rsidP="00D4172B">
      <w:pPr>
        <w:pStyle w:val="ListParagraph"/>
        <w:ind w:left="709"/>
        <w:jc w:val="both"/>
        <w:rPr>
          <w:rFonts w:ascii="Arial" w:hAnsi="Arial"/>
          <w:i/>
          <w:sz w:val="22"/>
          <w:szCs w:val="22"/>
        </w:rPr>
      </w:pPr>
      <w:r w:rsidRPr="00677328">
        <w:rPr>
          <w:rFonts w:ascii="Arial" w:hAnsi="Arial"/>
          <w:i/>
          <w:sz w:val="22"/>
          <w:szCs w:val="22"/>
        </w:rPr>
        <w:t xml:space="preserve">For more detail on PBAC’s view, see section </w:t>
      </w:r>
      <w:r w:rsidR="001945F2" w:rsidRPr="00677328">
        <w:rPr>
          <w:rFonts w:ascii="Arial" w:hAnsi="Arial"/>
          <w:i/>
          <w:sz w:val="22"/>
          <w:szCs w:val="22"/>
        </w:rPr>
        <w:t>6</w:t>
      </w:r>
      <w:r w:rsidRPr="00677328">
        <w:rPr>
          <w:rFonts w:ascii="Arial" w:hAnsi="Arial"/>
          <w:i/>
          <w:sz w:val="22"/>
          <w:szCs w:val="22"/>
        </w:rPr>
        <w:t xml:space="preserve"> “PBAC outcome”</w:t>
      </w:r>
    </w:p>
    <w:p w:rsidR="00DC01C1" w:rsidRPr="00882085" w:rsidRDefault="00DC01C1" w:rsidP="00D4172B">
      <w:pPr>
        <w:pStyle w:val="Header"/>
        <w:tabs>
          <w:tab w:val="clear" w:pos="4153"/>
          <w:tab w:val="clear" w:pos="8306"/>
        </w:tabs>
        <w:jc w:val="both"/>
        <w:rPr>
          <w:rFonts w:ascii="Arial" w:hAnsi="Arial"/>
          <w:sz w:val="22"/>
          <w:szCs w:val="22"/>
        </w:rPr>
      </w:pPr>
    </w:p>
    <w:p w:rsidR="00DC01C1" w:rsidRPr="007860B0" w:rsidRDefault="00DC01C1" w:rsidP="007860B0">
      <w:pPr>
        <w:pStyle w:val="Heading2"/>
        <w:keepNext/>
      </w:pPr>
      <w:r w:rsidRPr="00882085">
        <w:lastRenderedPageBreak/>
        <w:t>Comparator</w:t>
      </w:r>
    </w:p>
    <w:p w:rsidR="00DC01C1" w:rsidRPr="00882085" w:rsidRDefault="00DC01C1" w:rsidP="007860B0">
      <w:pPr>
        <w:pStyle w:val="Header"/>
        <w:keepNext/>
        <w:tabs>
          <w:tab w:val="clear" w:pos="4153"/>
          <w:tab w:val="clear" w:pos="8306"/>
        </w:tabs>
        <w:jc w:val="both"/>
        <w:rPr>
          <w:rFonts w:ascii="Arial" w:hAnsi="Arial"/>
          <w:b/>
          <w:sz w:val="22"/>
          <w:szCs w:val="22"/>
        </w:rPr>
      </w:pPr>
    </w:p>
    <w:p w:rsidR="00DC01C1" w:rsidRPr="00821E43" w:rsidRDefault="00DC01C1" w:rsidP="00D4172B">
      <w:pPr>
        <w:pStyle w:val="ListParagraph"/>
        <w:numPr>
          <w:ilvl w:val="1"/>
          <w:numId w:val="2"/>
        </w:numPr>
        <w:jc w:val="both"/>
        <w:rPr>
          <w:rFonts w:ascii="Arial" w:hAnsi="Arial"/>
          <w:sz w:val="22"/>
          <w:szCs w:val="22"/>
        </w:rPr>
      </w:pPr>
      <w:r w:rsidRPr="00821E43">
        <w:rPr>
          <w:rFonts w:ascii="Arial" w:hAnsi="Arial"/>
          <w:sz w:val="22"/>
          <w:szCs w:val="22"/>
        </w:rPr>
        <w:t xml:space="preserve">The major submission </w:t>
      </w:r>
      <w:r w:rsidR="001A0681">
        <w:rPr>
          <w:rFonts w:ascii="Arial" w:hAnsi="Arial"/>
          <w:sz w:val="22"/>
          <w:szCs w:val="22"/>
        </w:rPr>
        <w:t xml:space="preserve">for nitisinone </w:t>
      </w:r>
      <w:r w:rsidR="00606FB6">
        <w:rPr>
          <w:rFonts w:ascii="Arial" w:hAnsi="Arial"/>
          <w:sz w:val="22"/>
          <w:szCs w:val="22"/>
        </w:rPr>
        <w:t>nominated standard</w:t>
      </w:r>
      <w:r w:rsidR="00606FB6" w:rsidRPr="00606FB6">
        <w:rPr>
          <w:rFonts w:ascii="Arial" w:hAnsi="Arial"/>
          <w:sz w:val="22"/>
          <w:szCs w:val="22"/>
        </w:rPr>
        <w:t xml:space="preserve"> medical management witho</w:t>
      </w:r>
      <w:r w:rsidR="00606FB6">
        <w:rPr>
          <w:rFonts w:ascii="Arial" w:hAnsi="Arial"/>
          <w:sz w:val="22"/>
          <w:szCs w:val="22"/>
        </w:rPr>
        <w:t>ut nitisinone (i.e. diet alone).  This wa</w:t>
      </w:r>
      <w:r w:rsidRPr="00821E43">
        <w:rPr>
          <w:rFonts w:ascii="Arial" w:hAnsi="Arial"/>
          <w:sz w:val="22"/>
          <w:szCs w:val="22"/>
        </w:rPr>
        <w:t xml:space="preserve">s </w:t>
      </w:r>
      <w:r w:rsidR="006D4E7C">
        <w:rPr>
          <w:rFonts w:ascii="Arial" w:hAnsi="Arial"/>
          <w:sz w:val="22"/>
          <w:szCs w:val="22"/>
        </w:rPr>
        <w:t>accepted by the PBAC and remained</w:t>
      </w:r>
      <w:r w:rsidR="00606FB6">
        <w:rPr>
          <w:rFonts w:ascii="Arial" w:hAnsi="Arial"/>
          <w:sz w:val="22"/>
          <w:szCs w:val="22"/>
        </w:rPr>
        <w:t xml:space="preserve"> </w:t>
      </w:r>
      <w:r w:rsidRPr="00821E43">
        <w:rPr>
          <w:rFonts w:ascii="Arial" w:hAnsi="Arial"/>
          <w:sz w:val="22"/>
          <w:szCs w:val="22"/>
        </w:rPr>
        <w:t>unchanged</w:t>
      </w:r>
      <w:r w:rsidR="00222902">
        <w:rPr>
          <w:rFonts w:ascii="Arial" w:hAnsi="Arial"/>
          <w:sz w:val="22"/>
          <w:szCs w:val="22"/>
        </w:rPr>
        <w:t xml:space="preserve"> in the minor submission</w:t>
      </w:r>
      <w:r w:rsidRPr="00821E43">
        <w:rPr>
          <w:rFonts w:ascii="Arial" w:hAnsi="Arial"/>
          <w:sz w:val="22"/>
          <w:szCs w:val="22"/>
        </w:rPr>
        <w:t xml:space="preserve">. </w:t>
      </w:r>
    </w:p>
    <w:p w:rsidR="001945F2" w:rsidRPr="00677328" w:rsidRDefault="001945F2" w:rsidP="00D4172B">
      <w:pPr>
        <w:ind w:left="720"/>
        <w:jc w:val="both"/>
        <w:rPr>
          <w:rFonts w:ascii="Arial" w:hAnsi="Arial"/>
          <w:i/>
          <w:sz w:val="22"/>
          <w:szCs w:val="22"/>
        </w:rPr>
      </w:pPr>
    </w:p>
    <w:p w:rsidR="00697C90" w:rsidRPr="00677328" w:rsidRDefault="001945F2" w:rsidP="00D4172B">
      <w:pPr>
        <w:ind w:firstLine="720"/>
        <w:jc w:val="both"/>
        <w:rPr>
          <w:rFonts w:ascii="Arial" w:hAnsi="Arial"/>
          <w:i/>
          <w:sz w:val="22"/>
          <w:szCs w:val="22"/>
        </w:rPr>
      </w:pPr>
      <w:r w:rsidRPr="00677328">
        <w:rPr>
          <w:rFonts w:ascii="Arial" w:hAnsi="Arial"/>
          <w:i/>
          <w:sz w:val="22"/>
          <w:szCs w:val="22"/>
        </w:rPr>
        <w:t>For more detail on PBAC’s view, see section 6 “PBAC outcome”</w:t>
      </w:r>
    </w:p>
    <w:p w:rsidR="00DC01C1" w:rsidRDefault="00DC01C1" w:rsidP="00D4172B">
      <w:pPr>
        <w:jc w:val="both"/>
        <w:rPr>
          <w:rFonts w:ascii="Arial" w:hAnsi="Arial"/>
          <w:sz w:val="22"/>
          <w:szCs w:val="22"/>
        </w:rPr>
      </w:pPr>
    </w:p>
    <w:p w:rsidR="00522049" w:rsidRPr="00476245" w:rsidRDefault="00522049" w:rsidP="00D4172B">
      <w:pPr>
        <w:jc w:val="both"/>
        <w:rPr>
          <w:rFonts w:ascii="Arial" w:hAnsi="Arial"/>
          <w:sz w:val="22"/>
          <w:szCs w:val="22"/>
        </w:rPr>
      </w:pPr>
    </w:p>
    <w:p w:rsidR="00DC01C1" w:rsidRPr="007860B0" w:rsidRDefault="00DC01C1" w:rsidP="007860B0">
      <w:pPr>
        <w:pStyle w:val="Heading2"/>
      </w:pPr>
      <w:r>
        <w:t>Consideration of the evidence</w:t>
      </w:r>
    </w:p>
    <w:p w:rsidR="003D6F9D" w:rsidRDefault="003D6F9D" w:rsidP="00D4172B">
      <w:pPr>
        <w:pStyle w:val="Header"/>
        <w:tabs>
          <w:tab w:val="clear" w:pos="4153"/>
          <w:tab w:val="clear" w:pos="8306"/>
        </w:tabs>
        <w:ind w:left="720"/>
        <w:jc w:val="both"/>
        <w:rPr>
          <w:rFonts w:ascii="Arial" w:hAnsi="Arial"/>
          <w:b/>
          <w:sz w:val="22"/>
          <w:szCs w:val="22"/>
        </w:rPr>
      </w:pPr>
    </w:p>
    <w:p w:rsidR="003D6F9D" w:rsidRPr="007860B0" w:rsidRDefault="003D6F9D" w:rsidP="007860B0">
      <w:pPr>
        <w:pStyle w:val="Heading3"/>
      </w:pPr>
      <w:r w:rsidRPr="007860B0">
        <w:t>Sponsor hearing</w:t>
      </w:r>
    </w:p>
    <w:p w:rsidR="003D6F9D" w:rsidRPr="00AE1D61" w:rsidRDefault="003D6F9D" w:rsidP="00D4172B">
      <w:pPr>
        <w:numPr>
          <w:ilvl w:val="1"/>
          <w:numId w:val="2"/>
        </w:numPr>
        <w:contextualSpacing/>
        <w:jc w:val="both"/>
        <w:rPr>
          <w:rFonts w:ascii="Arial" w:hAnsi="Arial" w:cs="Arial"/>
          <w:bCs/>
          <w:snapToGrid w:val="0"/>
          <w:sz w:val="22"/>
          <w:szCs w:val="22"/>
        </w:rPr>
      </w:pPr>
      <w:r w:rsidRPr="00AE1D61">
        <w:rPr>
          <w:rFonts w:ascii="Arial" w:hAnsi="Arial" w:cs="Arial"/>
          <w:bCs/>
          <w:snapToGrid w:val="0"/>
          <w:sz w:val="22"/>
          <w:szCs w:val="22"/>
        </w:rPr>
        <w:t>There was no hearing for this item as it was a minor submission.</w:t>
      </w:r>
    </w:p>
    <w:p w:rsidR="003D6F9D" w:rsidRPr="003A49F2" w:rsidRDefault="003D6F9D" w:rsidP="00D4172B">
      <w:pPr>
        <w:jc w:val="both"/>
        <w:rPr>
          <w:rFonts w:ascii="Arial" w:hAnsi="Arial" w:cs="Arial"/>
          <w:bCs/>
          <w:snapToGrid w:val="0"/>
          <w:sz w:val="22"/>
          <w:szCs w:val="22"/>
          <w:highlight w:val="yellow"/>
        </w:rPr>
      </w:pPr>
    </w:p>
    <w:p w:rsidR="003D6F9D" w:rsidRPr="007860B0" w:rsidRDefault="003D6F9D" w:rsidP="007860B0">
      <w:pPr>
        <w:pStyle w:val="Heading3"/>
      </w:pPr>
      <w:r w:rsidRPr="00AE1D61">
        <w:t>Consumer comments</w:t>
      </w:r>
    </w:p>
    <w:p w:rsidR="003D6F9D" w:rsidRDefault="003D6F9D" w:rsidP="00D4172B">
      <w:pPr>
        <w:numPr>
          <w:ilvl w:val="1"/>
          <w:numId w:val="2"/>
        </w:numPr>
        <w:contextualSpacing/>
        <w:jc w:val="both"/>
        <w:rPr>
          <w:rFonts w:ascii="Arial" w:hAnsi="Arial" w:cs="Arial"/>
          <w:bCs/>
          <w:snapToGrid w:val="0"/>
          <w:sz w:val="22"/>
          <w:szCs w:val="22"/>
        </w:rPr>
      </w:pPr>
      <w:r w:rsidRPr="00AE1D61">
        <w:rPr>
          <w:rFonts w:ascii="Arial" w:hAnsi="Arial" w:cs="Arial"/>
          <w:bCs/>
          <w:snapToGrid w:val="0"/>
          <w:sz w:val="22"/>
          <w:szCs w:val="22"/>
        </w:rPr>
        <w:t>The PBAC noted and welcomed the input from individuals (</w:t>
      </w:r>
      <w:r w:rsidR="00AE1D61">
        <w:rPr>
          <w:rFonts w:ascii="Arial" w:hAnsi="Arial" w:cs="Arial"/>
          <w:bCs/>
          <w:snapToGrid w:val="0"/>
          <w:sz w:val="22"/>
          <w:szCs w:val="22"/>
        </w:rPr>
        <w:t>18</w:t>
      </w:r>
      <w:r w:rsidRPr="00AE1D61">
        <w:rPr>
          <w:rFonts w:ascii="Arial" w:hAnsi="Arial" w:cs="Arial"/>
          <w:bCs/>
          <w:snapToGrid w:val="0"/>
          <w:sz w:val="22"/>
          <w:szCs w:val="22"/>
        </w:rPr>
        <w:t xml:space="preserve">) and </w:t>
      </w:r>
      <w:r w:rsidR="00D4172B">
        <w:rPr>
          <w:rFonts w:ascii="Arial" w:hAnsi="Arial" w:cs="Arial"/>
          <w:bCs/>
          <w:snapToGrid w:val="0"/>
          <w:sz w:val="22"/>
          <w:szCs w:val="22"/>
        </w:rPr>
        <w:t xml:space="preserve">an </w:t>
      </w:r>
      <w:r w:rsidRPr="00AE1D61">
        <w:rPr>
          <w:rFonts w:ascii="Arial" w:hAnsi="Arial" w:cs="Arial"/>
          <w:bCs/>
          <w:snapToGrid w:val="0"/>
          <w:sz w:val="22"/>
          <w:szCs w:val="22"/>
        </w:rPr>
        <w:t>organisation (1) via the Consumer Comments facility on the PBS website. The comments described a range of benefits of treatment with</w:t>
      </w:r>
      <w:r w:rsidR="00AE1D61">
        <w:rPr>
          <w:rFonts w:ascii="Arial" w:hAnsi="Arial" w:cs="Arial"/>
          <w:bCs/>
          <w:snapToGrid w:val="0"/>
          <w:sz w:val="22"/>
          <w:szCs w:val="22"/>
        </w:rPr>
        <w:t xml:space="preserve"> nitisinone </w:t>
      </w:r>
      <w:r w:rsidRPr="00AE1D61">
        <w:rPr>
          <w:rFonts w:ascii="Arial" w:hAnsi="Arial" w:cs="Arial"/>
          <w:bCs/>
          <w:snapToGrid w:val="0"/>
          <w:sz w:val="22"/>
          <w:szCs w:val="22"/>
        </w:rPr>
        <w:t xml:space="preserve">including </w:t>
      </w:r>
      <w:r w:rsidR="00AE1D61">
        <w:rPr>
          <w:rFonts w:ascii="Arial" w:hAnsi="Arial" w:cs="Arial"/>
          <w:bCs/>
          <w:snapToGrid w:val="0"/>
          <w:sz w:val="22"/>
          <w:szCs w:val="22"/>
        </w:rPr>
        <w:t>the fact that it is a reliable and effective treatment which enables patients to live a longer life than would otherwise be possible</w:t>
      </w:r>
      <w:r w:rsidR="007421E6">
        <w:rPr>
          <w:rFonts w:ascii="Arial" w:hAnsi="Arial" w:cs="Arial"/>
          <w:bCs/>
          <w:snapToGrid w:val="0"/>
          <w:sz w:val="22"/>
          <w:szCs w:val="22"/>
        </w:rPr>
        <w:t>. It was considered that availability on the PBS would provide more security with regards to continued treatment access.</w:t>
      </w:r>
    </w:p>
    <w:p w:rsidR="00D4172B" w:rsidRDefault="00D4172B" w:rsidP="00D4172B">
      <w:pPr>
        <w:ind w:left="720"/>
        <w:contextualSpacing/>
        <w:jc w:val="both"/>
        <w:rPr>
          <w:rFonts w:ascii="Arial" w:hAnsi="Arial" w:cs="Arial"/>
          <w:bCs/>
          <w:snapToGrid w:val="0"/>
          <w:sz w:val="22"/>
          <w:szCs w:val="22"/>
        </w:rPr>
      </w:pPr>
    </w:p>
    <w:p w:rsidR="00D4172B" w:rsidRPr="00AE1D61" w:rsidRDefault="00D4172B" w:rsidP="00CF5066">
      <w:pPr>
        <w:numPr>
          <w:ilvl w:val="1"/>
          <w:numId w:val="2"/>
        </w:numPr>
        <w:contextualSpacing/>
        <w:jc w:val="both"/>
        <w:rPr>
          <w:rFonts w:ascii="Arial" w:hAnsi="Arial" w:cs="Arial"/>
          <w:bCs/>
          <w:snapToGrid w:val="0"/>
          <w:sz w:val="22"/>
          <w:szCs w:val="22"/>
        </w:rPr>
      </w:pPr>
      <w:r w:rsidRPr="00D4172B">
        <w:rPr>
          <w:rFonts w:ascii="Arial" w:hAnsi="Arial" w:cs="Arial"/>
          <w:bCs/>
          <w:snapToGrid w:val="0"/>
          <w:sz w:val="22"/>
          <w:szCs w:val="22"/>
        </w:rPr>
        <w:t xml:space="preserve">The PBAC noted the advice received from </w:t>
      </w:r>
      <w:r>
        <w:rPr>
          <w:rFonts w:ascii="Arial" w:hAnsi="Arial" w:cs="Arial"/>
          <w:bCs/>
          <w:snapToGrid w:val="0"/>
          <w:sz w:val="22"/>
          <w:szCs w:val="22"/>
        </w:rPr>
        <w:t>the Metabolic Dietary Disorders Association</w:t>
      </w:r>
      <w:r w:rsidR="00CF5066">
        <w:rPr>
          <w:rFonts w:ascii="Arial" w:hAnsi="Arial" w:cs="Arial"/>
          <w:bCs/>
          <w:snapToGrid w:val="0"/>
          <w:sz w:val="22"/>
          <w:szCs w:val="22"/>
        </w:rPr>
        <w:t xml:space="preserve"> clarifying the benefits of nitisinone </w:t>
      </w:r>
      <w:r w:rsidR="00CF5066" w:rsidRPr="00CF5066">
        <w:rPr>
          <w:rFonts w:ascii="Arial" w:hAnsi="Arial" w:cs="Arial"/>
          <w:bCs/>
          <w:snapToGrid w:val="0"/>
          <w:sz w:val="22"/>
          <w:szCs w:val="22"/>
        </w:rPr>
        <w:t xml:space="preserve">including the ability to extend life, </w:t>
      </w:r>
      <w:r w:rsidR="00EC38F8">
        <w:rPr>
          <w:rFonts w:ascii="Arial" w:hAnsi="Arial" w:cs="Arial"/>
          <w:bCs/>
          <w:snapToGrid w:val="0"/>
          <w:sz w:val="22"/>
          <w:szCs w:val="22"/>
        </w:rPr>
        <w:t xml:space="preserve">the opportunity for </w:t>
      </w:r>
      <w:r w:rsidR="00CF5066" w:rsidRPr="00CF5066">
        <w:rPr>
          <w:rFonts w:ascii="Arial" w:hAnsi="Arial" w:cs="Arial"/>
          <w:bCs/>
          <w:snapToGrid w:val="0"/>
          <w:sz w:val="22"/>
          <w:szCs w:val="22"/>
        </w:rPr>
        <w:t xml:space="preserve">patients to manage their condition and </w:t>
      </w:r>
      <w:r w:rsidR="00EC38F8">
        <w:rPr>
          <w:rFonts w:ascii="Arial" w:hAnsi="Arial" w:cs="Arial"/>
          <w:bCs/>
          <w:snapToGrid w:val="0"/>
          <w:sz w:val="22"/>
          <w:szCs w:val="22"/>
        </w:rPr>
        <w:t xml:space="preserve">the </w:t>
      </w:r>
      <w:r w:rsidR="00CF5066" w:rsidRPr="00CF5066">
        <w:rPr>
          <w:rFonts w:ascii="Arial" w:hAnsi="Arial" w:cs="Arial"/>
          <w:bCs/>
          <w:snapToGrid w:val="0"/>
          <w:sz w:val="22"/>
          <w:szCs w:val="22"/>
        </w:rPr>
        <w:t xml:space="preserve">avoidance of costly and risky liver transplant. The </w:t>
      </w:r>
      <w:r w:rsidR="00CF5066">
        <w:rPr>
          <w:rFonts w:ascii="Arial" w:hAnsi="Arial" w:cs="Arial"/>
          <w:bCs/>
          <w:snapToGrid w:val="0"/>
          <w:sz w:val="22"/>
          <w:szCs w:val="22"/>
        </w:rPr>
        <w:t>advice</w:t>
      </w:r>
      <w:r w:rsidR="00CF5066" w:rsidRPr="00CF5066">
        <w:rPr>
          <w:rFonts w:ascii="Arial" w:hAnsi="Arial" w:cs="Arial"/>
          <w:bCs/>
          <w:snapToGrid w:val="0"/>
          <w:sz w:val="22"/>
          <w:szCs w:val="22"/>
        </w:rPr>
        <w:t xml:space="preserve"> also noted current issues of equity and ease of access and security of supply due to this drug currently being funded and supplied through hospitals</w:t>
      </w:r>
      <w:r w:rsidR="00CF5066">
        <w:rPr>
          <w:rFonts w:ascii="Arial" w:hAnsi="Arial" w:cs="Arial"/>
          <w:bCs/>
          <w:snapToGrid w:val="0"/>
          <w:sz w:val="22"/>
          <w:szCs w:val="22"/>
        </w:rPr>
        <w:t>.</w:t>
      </w:r>
      <w:r>
        <w:rPr>
          <w:rFonts w:ascii="Arial" w:hAnsi="Arial" w:cs="Arial"/>
          <w:bCs/>
          <w:snapToGrid w:val="0"/>
          <w:sz w:val="22"/>
          <w:szCs w:val="22"/>
        </w:rPr>
        <w:t xml:space="preserve"> </w:t>
      </w:r>
      <w:r w:rsidRPr="00D4172B">
        <w:rPr>
          <w:rFonts w:ascii="Arial" w:hAnsi="Arial" w:cs="Arial"/>
          <w:bCs/>
          <w:snapToGrid w:val="0"/>
          <w:sz w:val="22"/>
          <w:szCs w:val="22"/>
        </w:rPr>
        <w:t>The PBAC noted that this advice was supportive of the evidence provided in the submission.</w:t>
      </w:r>
    </w:p>
    <w:p w:rsidR="00066C0F" w:rsidRPr="003A49F2" w:rsidRDefault="00066C0F" w:rsidP="00D4172B">
      <w:pPr>
        <w:contextualSpacing/>
        <w:jc w:val="both"/>
        <w:rPr>
          <w:rFonts w:ascii="Arial" w:hAnsi="Arial" w:cs="Arial"/>
          <w:bCs/>
          <w:snapToGrid w:val="0"/>
          <w:sz w:val="22"/>
          <w:szCs w:val="22"/>
          <w:highlight w:val="yellow"/>
        </w:rPr>
      </w:pPr>
    </w:p>
    <w:p w:rsidR="00853220" w:rsidRPr="007860B0" w:rsidRDefault="00E72760" w:rsidP="007860B0">
      <w:pPr>
        <w:pStyle w:val="Heading3"/>
      </w:pPr>
      <w:r>
        <w:t>Comparative harms</w:t>
      </w:r>
    </w:p>
    <w:p w:rsidR="0011527E" w:rsidRDefault="0011527E" w:rsidP="00D4172B">
      <w:pPr>
        <w:pStyle w:val="ListParagraph"/>
        <w:numPr>
          <w:ilvl w:val="1"/>
          <w:numId w:val="2"/>
        </w:numPr>
        <w:jc w:val="both"/>
        <w:rPr>
          <w:rFonts w:ascii="Arial" w:hAnsi="Arial"/>
          <w:sz w:val="22"/>
          <w:szCs w:val="22"/>
        </w:rPr>
      </w:pPr>
      <w:r w:rsidDel="003B4840">
        <w:rPr>
          <w:rFonts w:ascii="Arial" w:hAnsi="Arial"/>
          <w:sz w:val="22"/>
          <w:szCs w:val="22"/>
        </w:rPr>
        <w:t xml:space="preserve">At the November 2014 meeting the PBAC </w:t>
      </w:r>
      <w:r w:rsidR="00700119">
        <w:rPr>
          <w:rFonts w:ascii="Arial" w:hAnsi="Arial"/>
          <w:sz w:val="22"/>
          <w:szCs w:val="22"/>
        </w:rPr>
        <w:t>raised concerns</w:t>
      </w:r>
      <w:r w:rsidDel="003B4840">
        <w:rPr>
          <w:rFonts w:ascii="Arial" w:hAnsi="Arial"/>
          <w:sz w:val="22"/>
          <w:szCs w:val="22"/>
        </w:rPr>
        <w:t xml:space="preserve"> </w:t>
      </w:r>
      <w:r w:rsidR="005A6333">
        <w:rPr>
          <w:rFonts w:ascii="Arial" w:hAnsi="Arial"/>
          <w:sz w:val="22"/>
          <w:szCs w:val="22"/>
        </w:rPr>
        <w:t xml:space="preserve">that </w:t>
      </w:r>
      <w:r w:rsidDel="003B4840">
        <w:rPr>
          <w:rFonts w:ascii="Arial" w:hAnsi="Arial"/>
          <w:sz w:val="22"/>
          <w:szCs w:val="22"/>
        </w:rPr>
        <w:t xml:space="preserve">adverse events such as </w:t>
      </w:r>
      <w:r w:rsidRPr="00A9307F" w:rsidDel="003B4840">
        <w:rPr>
          <w:rFonts w:ascii="Arial" w:hAnsi="Arial"/>
          <w:sz w:val="22"/>
          <w:szCs w:val="22"/>
        </w:rPr>
        <w:t>eye disorders, haematological events and developmental and cognitive disorders</w:t>
      </w:r>
      <w:r w:rsidDel="003B4840">
        <w:rPr>
          <w:rFonts w:ascii="Arial" w:hAnsi="Arial"/>
          <w:sz w:val="22"/>
          <w:szCs w:val="22"/>
        </w:rPr>
        <w:t xml:space="preserve"> had been associated with nitisinone treatment</w:t>
      </w:r>
      <w:r>
        <w:rPr>
          <w:rFonts w:ascii="Arial" w:hAnsi="Arial"/>
          <w:sz w:val="22"/>
          <w:szCs w:val="22"/>
        </w:rPr>
        <w:t>.</w:t>
      </w:r>
      <w:r w:rsidDel="003B4840">
        <w:rPr>
          <w:rFonts w:ascii="Arial" w:hAnsi="Arial"/>
          <w:sz w:val="22"/>
          <w:szCs w:val="22"/>
        </w:rPr>
        <w:t xml:space="preserve"> </w:t>
      </w:r>
    </w:p>
    <w:p w:rsidR="005A6333" w:rsidRDefault="005A6333" w:rsidP="00D4172B">
      <w:pPr>
        <w:pStyle w:val="ListParagraph"/>
        <w:jc w:val="both"/>
        <w:rPr>
          <w:rFonts w:ascii="Arial" w:hAnsi="Arial"/>
          <w:sz w:val="22"/>
          <w:szCs w:val="22"/>
        </w:rPr>
      </w:pPr>
    </w:p>
    <w:p w:rsidR="005A6333" w:rsidRDefault="005A6333" w:rsidP="00D4172B">
      <w:pPr>
        <w:pStyle w:val="ListParagraph"/>
        <w:numPr>
          <w:ilvl w:val="1"/>
          <w:numId w:val="2"/>
        </w:numPr>
        <w:jc w:val="both"/>
        <w:rPr>
          <w:rFonts w:ascii="Arial" w:hAnsi="Arial"/>
          <w:sz w:val="22"/>
          <w:szCs w:val="22"/>
        </w:rPr>
      </w:pPr>
      <w:r>
        <w:rPr>
          <w:rFonts w:ascii="Arial" w:hAnsi="Arial"/>
          <w:sz w:val="22"/>
          <w:szCs w:val="22"/>
        </w:rPr>
        <w:t>It was agreed at the stakeholder meeting</w:t>
      </w:r>
      <w:r w:rsidRPr="00821E43" w:rsidDel="003B4840">
        <w:rPr>
          <w:rFonts w:ascii="Arial" w:hAnsi="Arial"/>
          <w:sz w:val="22"/>
          <w:szCs w:val="22"/>
        </w:rPr>
        <w:t xml:space="preserve"> that </w:t>
      </w:r>
      <w:r w:rsidR="00EC38F8">
        <w:rPr>
          <w:rFonts w:ascii="Arial" w:hAnsi="Arial"/>
          <w:sz w:val="22"/>
          <w:szCs w:val="22"/>
        </w:rPr>
        <w:t>neuropsychological</w:t>
      </w:r>
      <w:r w:rsidRPr="00821E43" w:rsidDel="003B4840">
        <w:rPr>
          <w:rFonts w:ascii="Arial" w:hAnsi="Arial"/>
          <w:sz w:val="22"/>
          <w:szCs w:val="22"/>
        </w:rPr>
        <w:t xml:space="preserve"> assessment over time would be helpful in monitoring children’s development while taking nitisinone to highlight </w:t>
      </w:r>
      <w:r w:rsidDel="003B4840">
        <w:rPr>
          <w:rFonts w:ascii="Arial" w:hAnsi="Arial"/>
          <w:sz w:val="22"/>
          <w:szCs w:val="22"/>
        </w:rPr>
        <w:t>any as yet unidentified risks</w:t>
      </w:r>
      <w:r w:rsidRPr="006600E5" w:rsidDel="003B4840">
        <w:rPr>
          <w:rFonts w:ascii="Arial" w:hAnsi="Arial"/>
          <w:sz w:val="22"/>
          <w:szCs w:val="22"/>
        </w:rPr>
        <w:t>.</w:t>
      </w:r>
    </w:p>
    <w:p w:rsidR="005A6333" w:rsidRDefault="005A6333" w:rsidP="00D4172B">
      <w:pPr>
        <w:pStyle w:val="ListParagraph"/>
        <w:jc w:val="both"/>
        <w:rPr>
          <w:rFonts w:ascii="Arial" w:hAnsi="Arial"/>
          <w:sz w:val="22"/>
          <w:szCs w:val="22"/>
        </w:rPr>
      </w:pPr>
    </w:p>
    <w:p w:rsidR="005A6333" w:rsidRDefault="005A6333" w:rsidP="00D4172B">
      <w:pPr>
        <w:pStyle w:val="ListParagraph"/>
        <w:numPr>
          <w:ilvl w:val="1"/>
          <w:numId w:val="2"/>
        </w:numPr>
        <w:jc w:val="both"/>
        <w:rPr>
          <w:rFonts w:ascii="Arial" w:hAnsi="Arial"/>
          <w:sz w:val="22"/>
          <w:szCs w:val="22"/>
        </w:rPr>
      </w:pPr>
      <w:r w:rsidDel="003B4840">
        <w:rPr>
          <w:rFonts w:ascii="Arial" w:hAnsi="Arial"/>
          <w:sz w:val="22"/>
          <w:szCs w:val="22"/>
        </w:rPr>
        <w:t xml:space="preserve">The minor </w:t>
      </w:r>
      <w:r>
        <w:rPr>
          <w:rFonts w:ascii="Arial" w:hAnsi="Arial"/>
          <w:sz w:val="22"/>
          <w:szCs w:val="22"/>
        </w:rPr>
        <w:t>re-</w:t>
      </w:r>
      <w:r w:rsidDel="003B4840">
        <w:rPr>
          <w:rFonts w:ascii="Arial" w:hAnsi="Arial"/>
          <w:sz w:val="22"/>
          <w:szCs w:val="22"/>
        </w:rPr>
        <w:t>submission provided a</w:t>
      </w:r>
      <w:r w:rsidR="00077FB9">
        <w:rPr>
          <w:rFonts w:ascii="Arial" w:hAnsi="Arial"/>
          <w:sz w:val="22"/>
          <w:szCs w:val="22"/>
        </w:rPr>
        <w:t xml:space="preserve">n </w:t>
      </w:r>
      <w:r w:rsidDel="003B4840">
        <w:rPr>
          <w:rFonts w:ascii="Arial" w:hAnsi="Arial"/>
          <w:sz w:val="22"/>
          <w:szCs w:val="22"/>
        </w:rPr>
        <w:t xml:space="preserve">overview of the literature on the relationship between developmental and cognitive disorders in patients with HT-1 who were treated with nitisinone in combination with diet therapy. </w:t>
      </w:r>
      <w:r>
        <w:rPr>
          <w:rFonts w:ascii="Arial" w:hAnsi="Arial"/>
          <w:sz w:val="22"/>
          <w:szCs w:val="22"/>
        </w:rPr>
        <w:t>It was</w:t>
      </w:r>
      <w:r w:rsidDel="003B4840">
        <w:rPr>
          <w:rFonts w:ascii="Arial" w:hAnsi="Arial"/>
          <w:sz w:val="22"/>
          <w:szCs w:val="22"/>
        </w:rPr>
        <w:t xml:space="preserve"> noted that a</w:t>
      </w:r>
      <w:r w:rsidRPr="00617108" w:rsidDel="003B4840">
        <w:rPr>
          <w:rFonts w:ascii="Arial" w:hAnsi="Arial"/>
          <w:sz w:val="22"/>
          <w:szCs w:val="22"/>
        </w:rPr>
        <w:t>lthough neurocognitive disorders in patients with HT-1 treated with nitisinone in combination with diet therapy have been reported</w:t>
      </w:r>
      <w:r w:rsidDel="003B4840">
        <w:rPr>
          <w:rFonts w:ascii="Arial" w:hAnsi="Arial"/>
          <w:sz w:val="22"/>
          <w:szCs w:val="22"/>
        </w:rPr>
        <w:t>, none of the studies provided established causality between developmental and cognitive disorders</w:t>
      </w:r>
      <w:r w:rsidR="000F3B12">
        <w:rPr>
          <w:rFonts w:ascii="Arial" w:hAnsi="Arial"/>
          <w:sz w:val="22"/>
          <w:szCs w:val="22"/>
        </w:rPr>
        <w:t>,</w:t>
      </w:r>
      <w:r w:rsidDel="003B4840">
        <w:rPr>
          <w:rFonts w:ascii="Arial" w:hAnsi="Arial"/>
          <w:sz w:val="22"/>
          <w:szCs w:val="22"/>
        </w:rPr>
        <w:t xml:space="preserve"> and treatment with nitisinone in combination with diet therapy. </w:t>
      </w:r>
      <w:r>
        <w:rPr>
          <w:rFonts w:ascii="Arial" w:hAnsi="Arial"/>
          <w:sz w:val="22"/>
          <w:szCs w:val="22"/>
        </w:rPr>
        <w:t xml:space="preserve">It was </w:t>
      </w:r>
      <w:r w:rsidDel="003B4840">
        <w:rPr>
          <w:rFonts w:ascii="Arial" w:hAnsi="Arial"/>
          <w:sz w:val="22"/>
          <w:szCs w:val="22"/>
        </w:rPr>
        <w:t xml:space="preserve">also highlighted that the majority of the patients reported in the publications had much higher than recommended plasma </w:t>
      </w:r>
      <w:r w:rsidDel="003B4840">
        <w:rPr>
          <w:rFonts w:ascii="Arial" w:hAnsi="Arial"/>
          <w:sz w:val="22"/>
          <w:szCs w:val="22"/>
        </w:rPr>
        <w:lastRenderedPageBreak/>
        <w:t>tyrosine levels, and argued that this most likely represented po</w:t>
      </w:r>
      <w:r w:rsidR="007860B0">
        <w:rPr>
          <w:rFonts w:ascii="Arial" w:hAnsi="Arial"/>
          <w:sz w:val="22"/>
          <w:szCs w:val="22"/>
        </w:rPr>
        <w:t>or compliance with diet therapy.</w:t>
      </w:r>
    </w:p>
    <w:p w:rsidR="0011527E" w:rsidRPr="005A6333" w:rsidRDefault="0011527E" w:rsidP="00D4172B">
      <w:pPr>
        <w:jc w:val="both"/>
        <w:rPr>
          <w:rFonts w:ascii="Arial" w:hAnsi="Arial"/>
          <w:sz w:val="22"/>
          <w:szCs w:val="22"/>
        </w:rPr>
      </w:pPr>
    </w:p>
    <w:p w:rsidR="0011527E" w:rsidRDefault="0011527E" w:rsidP="00D4172B">
      <w:pPr>
        <w:pStyle w:val="ListParagraph"/>
        <w:numPr>
          <w:ilvl w:val="1"/>
          <w:numId w:val="2"/>
        </w:numPr>
        <w:jc w:val="both"/>
        <w:rPr>
          <w:rFonts w:ascii="Arial" w:hAnsi="Arial"/>
          <w:sz w:val="22"/>
          <w:szCs w:val="22"/>
        </w:rPr>
      </w:pPr>
      <w:r w:rsidRPr="006600E5" w:rsidDel="003B4840">
        <w:rPr>
          <w:rFonts w:ascii="Arial" w:hAnsi="Arial"/>
          <w:sz w:val="22"/>
          <w:szCs w:val="22"/>
        </w:rPr>
        <w:t xml:space="preserve">The </w:t>
      </w:r>
      <w:r w:rsidR="006D4E7C">
        <w:rPr>
          <w:rFonts w:ascii="Arial" w:hAnsi="Arial"/>
          <w:sz w:val="22"/>
          <w:szCs w:val="22"/>
        </w:rPr>
        <w:t>minor re-</w:t>
      </w:r>
      <w:r w:rsidRPr="006600E5" w:rsidDel="003B4840">
        <w:rPr>
          <w:rFonts w:ascii="Arial" w:hAnsi="Arial"/>
          <w:sz w:val="22"/>
          <w:szCs w:val="22"/>
        </w:rPr>
        <w:t xml:space="preserve">submission </w:t>
      </w:r>
      <w:r w:rsidR="00700119">
        <w:rPr>
          <w:rFonts w:ascii="Arial" w:hAnsi="Arial"/>
          <w:sz w:val="22"/>
          <w:szCs w:val="22"/>
        </w:rPr>
        <w:t>advised</w:t>
      </w:r>
      <w:r w:rsidR="006D4E7C">
        <w:rPr>
          <w:rFonts w:ascii="Arial" w:hAnsi="Arial"/>
          <w:sz w:val="22"/>
          <w:szCs w:val="22"/>
        </w:rPr>
        <w:t xml:space="preserve"> </w:t>
      </w:r>
      <w:r w:rsidRPr="006600E5" w:rsidDel="003B4840">
        <w:rPr>
          <w:rFonts w:ascii="Arial" w:hAnsi="Arial"/>
          <w:sz w:val="22"/>
          <w:szCs w:val="22"/>
        </w:rPr>
        <w:t xml:space="preserve">the sponsor has approached the TGA to discuss the requirements for </w:t>
      </w:r>
      <w:r w:rsidR="00700119">
        <w:rPr>
          <w:rFonts w:ascii="Arial" w:hAnsi="Arial"/>
          <w:sz w:val="22"/>
          <w:szCs w:val="22"/>
        </w:rPr>
        <w:t>a</w:t>
      </w:r>
      <w:r w:rsidRPr="006600E5" w:rsidDel="003B4840">
        <w:rPr>
          <w:rFonts w:ascii="Arial" w:hAnsi="Arial"/>
          <w:sz w:val="22"/>
          <w:szCs w:val="22"/>
        </w:rPr>
        <w:t xml:space="preserve"> risk management plan and is currently awaiting their response. </w:t>
      </w:r>
    </w:p>
    <w:p w:rsidR="00483A93" w:rsidRPr="00483A93" w:rsidRDefault="00483A93" w:rsidP="00D4172B">
      <w:pPr>
        <w:pStyle w:val="ListParagraph"/>
        <w:rPr>
          <w:rFonts w:ascii="Arial" w:hAnsi="Arial"/>
          <w:sz w:val="22"/>
          <w:szCs w:val="22"/>
        </w:rPr>
      </w:pPr>
    </w:p>
    <w:p w:rsidR="009552A7" w:rsidRDefault="00483A93" w:rsidP="00D4172B">
      <w:pPr>
        <w:pStyle w:val="ListParagraph"/>
        <w:numPr>
          <w:ilvl w:val="1"/>
          <w:numId w:val="2"/>
        </w:numPr>
        <w:jc w:val="both"/>
        <w:rPr>
          <w:rFonts w:ascii="Arial" w:hAnsi="Arial"/>
          <w:sz w:val="22"/>
          <w:szCs w:val="22"/>
        </w:rPr>
      </w:pPr>
      <w:r w:rsidRPr="00483A93">
        <w:rPr>
          <w:rFonts w:ascii="Arial" w:hAnsi="Arial"/>
          <w:sz w:val="22"/>
          <w:szCs w:val="22"/>
        </w:rPr>
        <w:t>The pre-PBAC response provided an update on the sponsor’s development of a systematic post-marketing surveillance</w:t>
      </w:r>
      <w:r w:rsidR="0090759B">
        <w:rPr>
          <w:rFonts w:ascii="Arial" w:hAnsi="Arial"/>
          <w:sz w:val="22"/>
          <w:szCs w:val="22"/>
        </w:rPr>
        <w:t xml:space="preserve"> program</w:t>
      </w:r>
      <w:r w:rsidRPr="00483A93">
        <w:rPr>
          <w:rFonts w:ascii="Arial" w:hAnsi="Arial"/>
          <w:sz w:val="22"/>
          <w:szCs w:val="22"/>
        </w:rPr>
        <w:t xml:space="preserve">. </w:t>
      </w:r>
      <w:r w:rsidR="0090759B">
        <w:rPr>
          <w:rFonts w:ascii="Arial" w:hAnsi="Arial"/>
          <w:sz w:val="22"/>
          <w:szCs w:val="22"/>
        </w:rPr>
        <w:t>The response</w:t>
      </w:r>
      <w:r w:rsidRPr="00483A93">
        <w:rPr>
          <w:rFonts w:ascii="Arial" w:hAnsi="Arial"/>
          <w:sz w:val="22"/>
          <w:szCs w:val="22"/>
        </w:rPr>
        <w:t xml:space="preserve"> advised that</w:t>
      </w:r>
      <w:r>
        <w:rPr>
          <w:rFonts w:ascii="Arial" w:hAnsi="Arial"/>
          <w:sz w:val="22"/>
          <w:szCs w:val="22"/>
        </w:rPr>
        <w:t xml:space="preserve"> discussions between the TGA, sponsor and </w:t>
      </w:r>
      <w:r w:rsidR="009552A7">
        <w:rPr>
          <w:rFonts w:ascii="Arial" w:hAnsi="Arial"/>
          <w:sz w:val="22"/>
          <w:szCs w:val="22"/>
        </w:rPr>
        <w:t xml:space="preserve">the </w:t>
      </w:r>
      <w:r w:rsidR="001D354C" w:rsidDel="003B4840">
        <w:rPr>
          <w:rFonts w:ascii="Arial" w:hAnsi="Arial"/>
          <w:sz w:val="22"/>
          <w:szCs w:val="22"/>
        </w:rPr>
        <w:t xml:space="preserve">Australasian Society for Inborn Errors of Metabolism </w:t>
      </w:r>
      <w:r w:rsidR="001D354C">
        <w:rPr>
          <w:rFonts w:ascii="Arial" w:hAnsi="Arial"/>
          <w:sz w:val="22"/>
          <w:szCs w:val="22"/>
        </w:rPr>
        <w:t>(</w:t>
      </w:r>
      <w:r>
        <w:rPr>
          <w:rFonts w:ascii="Arial" w:hAnsi="Arial"/>
          <w:sz w:val="22"/>
          <w:szCs w:val="22"/>
        </w:rPr>
        <w:t>ASIEM</w:t>
      </w:r>
      <w:r w:rsidR="001D354C">
        <w:rPr>
          <w:rFonts w:ascii="Arial" w:hAnsi="Arial"/>
          <w:sz w:val="22"/>
          <w:szCs w:val="22"/>
        </w:rPr>
        <w:t>)</w:t>
      </w:r>
      <w:r>
        <w:rPr>
          <w:rFonts w:ascii="Arial" w:hAnsi="Arial"/>
          <w:sz w:val="22"/>
          <w:szCs w:val="22"/>
        </w:rPr>
        <w:t xml:space="preserve"> are ongoing and that TGA and ASIEM had agreed on a potential approach for the surveillance program</w:t>
      </w:r>
      <w:r w:rsidR="0090759B">
        <w:rPr>
          <w:rFonts w:ascii="Arial" w:hAnsi="Arial"/>
          <w:sz w:val="22"/>
          <w:szCs w:val="22"/>
        </w:rPr>
        <w:t>. It</w:t>
      </w:r>
      <w:r w:rsidR="003833B9">
        <w:rPr>
          <w:rFonts w:ascii="Arial" w:hAnsi="Arial"/>
          <w:sz w:val="22"/>
          <w:szCs w:val="22"/>
        </w:rPr>
        <w:t xml:space="preserve"> also</w:t>
      </w:r>
      <w:r w:rsidR="0090759B">
        <w:rPr>
          <w:rFonts w:ascii="Arial" w:hAnsi="Arial"/>
          <w:sz w:val="22"/>
          <w:szCs w:val="22"/>
        </w:rPr>
        <w:t xml:space="preserve"> advised that the PBAC will be informed on the details of the </w:t>
      </w:r>
      <w:r w:rsidR="00677328">
        <w:rPr>
          <w:rFonts w:ascii="Arial" w:hAnsi="Arial"/>
          <w:sz w:val="22"/>
          <w:szCs w:val="22"/>
        </w:rPr>
        <w:t>approach</w:t>
      </w:r>
      <w:r w:rsidR="0090759B">
        <w:rPr>
          <w:rFonts w:ascii="Arial" w:hAnsi="Arial"/>
          <w:sz w:val="22"/>
          <w:szCs w:val="22"/>
        </w:rPr>
        <w:t xml:space="preserve"> once it is finalised. </w:t>
      </w:r>
    </w:p>
    <w:p w:rsidR="005A6333" w:rsidRPr="00483A93" w:rsidRDefault="005A6333" w:rsidP="00D4172B">
      <w:pPr>
        <w:pStyle w:val="ListParagraph"/>
        <w:rPr>
          <w:rFonts w:ascii="Arial" w:hAnsi="Arial"/>
          <w:sz w:val="22"/>
          <w:szCs w:val="22"/>
        </w:rPr>
      </w:pPr>
    </w:p>
    <w:p w:rsidR="005A6333" w:rsidRDefault="005A6333" w:rsidP="00D4172B">
      <w:pPr>
        <w:pStyle w:val="ListParagraph"/>
        <w:numPr>
          <w:ilvl w:val="1"/>
          <w:numId w:val="2"/>
        </w:numPr>
        <w:jc w:val="both"/>
        <w:rPr>
          <w:rFonts w:ascii="Arial" w:hAnsi="Arial"/>
          <w:sz w:val="22"/>
          <w:szCs w:val="22"/>
        </w:rPr>
      </w:pPr>
      <w:r w:rsidDel="003B4840">
        <w:rPr>
          <w:rFonts w:ascii="Arial" w:hAnsi="Arial"/>
          <w:sz w:val="22"/>
          <w:szCs w:val="22"/>
        </w:rPr>
        <w:t xml:space="preserve">The </w:t>
      </w:r>
      <w:r>
        <w:rPr>
          <w:rFonts w:ascii="Arial" w:hAnsi="Arial"/>
          <w:sz w:val="22"/>
          <w:szCs w:val="22"/>
        </w:rPr>
        <w:t>minor re-</w:t>
      </w:r>
      <w:r w:rsidDel="003B4840">
        <w:rPr>
          <w:rFonts w:ascii="Arial" w:hAnsi="Arial"/>
          <w:sz w:val="22"/>
          <w:szCs w:val="22"/>
        </w:rPr>
        <w:t>submission also highlighted advice from the ASIEM that neuropsychological assessments are currently undertaken as per good medical practice determined by the treating physicians in the met</w:t>
      </w:r>
      <w:r w:rsidR="007950A3">
        <w:rPr>
          <w:rFonts w:ascii="Arial" w:hAnsi="Arial"/>
          <w:sz w:val="22"/>
          <w:szCs w:val="22"/>
        </w:rPr>
        <w:t>abolic centres. The submission stated</w:t>
      </w:r>
      <w:r w:rsidDel="003B4840">
        <w:rPr>
          <w:rFonts w:ascii="Arial" w:hAnsi="Arial"/>
          <w:sz w:val="22"/>
          <w:szCs w:val="22"/>
        </w:rPr>
        <w:t xml:space="preserve"> that implementation of post-market surveillance will formalise what is already clinical practice</w:t>
      </w:r>
      <w:r>
        <w:rPr>
          <w:rFonts w:ascii="Arial" w:hAnsi="Arial"/>
          <w:sz w:val="22"/>
          <w:szCs w:val="22"/>
        </w:rPr>
        <w:t xml:space="preserve">. </w:t>
      </w:r>
    </w:p>
    <w:p w:rsidR="0011527E" w:rsidRDefault="0011527E" w:rsidP="00D4172B">
      <w:pPr>
        <w:jc w:val="both"/>
        <w:rPr>
          <w:rFonts w:ascii="Arial" w:hAnsi="Arial"/>
          <w:sz w:val="22"/>
          <w:szCs w:val="22"/>
        </w:rPr>
      </w:pPr>
    </w:p>
    <w:p w:rsidR="001D354C" w:rsidRPr="007860B0" w:rsidRDefault="001D354C" w:rsidP="007860B0">
      <w:pPr>
        <w:pStyle w:val="Heading3"/>
      </w:pPr>
      <w:r w:rsidRPr="009552A7">
        <w:t>Clinical claim</w:t>
      </w:r>
    </w:p>
    <w:p w:rsidR="00D46DB0" w:rsidRPr="005835DD" w:rsidRDefault="005835DD" w:rsidP="00D4172B">
      <w:pPr>
        <w:pStyle w:val="ListParagraph"/>
        <w:numPr>
          <w:ilvl w:val="1"/>
          <w:numId w:val="2"/>
        </w:numPr>
        <w:jc w:val="both"/>
        <w:rPr>
          <w:rFonts w:ascii="Arial" w:hAnsi="Arial"/>
          <w:sz w:val="22"/>
          <w:szCs w:val="22"/>
        </w:rPr>
      </w:pPr>
      <w:r>
        <w:rPr>
          <w:rFonts w:ascii="Arial" w:hAnsi="Arial"/>
          <w:sz w:val="22"/>
          <w:szCs w:val="22"/>
        </w:rPr>
        <w:t>The PBAC recalled that the November 2014 submission described nitisinone plus diet therapy as superior in terms of comparative effectiveness and superior in terms of comparative safety over diet alone. At the July meeting the PBAC reiterated its consideration from November 2014 that this claim was reasonable in terms of effectiveness</w:t>
      </w:r>
      <w:r w:rsidR="00D04A51">
        <w:rPr>
          <w:rFonts w:ascii="Arial" w:hAnsi="Arial"/>
          <w:sz w:val="22"/>
          <w:szCs w:val="22"/>
        </w:rPr>
        <w:t xml:space="preserve"> </w:t>
      </w:r>
      <w:r w:rsidR="001D354C">
        <w:rPr>
          <w:rFonts w:ascii="Arial" w:hAnsi="Arial"/>
          <w:sz w:val="22"/>
          <w:szCs w:val="22"/>
        </w:rPr>
        <w:t>but</w:t>
      </w:r>
      <w:r>
        <w:rPr>
          <w:rFonts w:ascii="Arial" w:hAnsi="Arial"/>
          <w:sz w:val="22"/>
          <w:szCs w:val="22"/>
        </w:rPr>
        <w:t xml:space="preserve"> not reasonable in terms of safe</w:t>
      </w:r>
      <w:r w:rsidR="008776A4">
        <w:rPr>
          <w:rFonts w:ascii="Arial" w:hAnsi="Arial"/>
          <w:sz w:val="22"/>
          <w:szCs w:val="22"/>
        </w:rPr>
        <w:t>t</w:t>
      </w:r>
      <w:r>
        <w:rPr>
          <w:rFonts w:ascii="Arial" w:hAnsi="Arial"/>
          <w:sz w:val="22"/>
          <w:szCs w:val="22"/>
        </w:rPr>
        <w:t>y</w:t>
      </w:r>
      <w:r w:rsidR="00FF1587">
        <w:rPr>
          <w:rFonts w:ascii="Arial" w:hAnsi="Arial"/>
          <w:sz w:val="22"/>
          <w:szCs w:val="22"/>
        </w:rPr>
        <w:t>.</w:t>
      </w:r>
    </w:p>
    <w:p w:rsidR="00FF1587" w:rsidRDefault="00FF1587" w:rsidP="00D4172B">
      <w:pPr>
        <w:jc w:val="both"/>
        <w:rPr>
          <w:rFonts w:ascii="Arial" w:hAnsi="Arial"/>
          <w:b/>
          <w:i/>
          <w:sz w:val="22"/>
          <w:szCs w:val="22"/>
        </w:rPr>
      </w:pPr>
    </w:p>
    <w:p w:rsidR="00DC01C1" w:rsidRPr="007860B0" w:rsidRDefault="00DC01C1" w:rsidP="007860B0">
      <w:pPr>
        <w:pStyle w:val="Heading3"/>
      </w:pPr>
      <w:r w:rsidRPr="00882085">
        <w:t>Economic analysis</w:t>
      </w:r>
    </w:p>
    <w:p w:rsidR="00853220" w:rsidRDefault="00706027" w:rsidP="00693743">
      <w:pPr>
        <w:pStyle w:val="ListParagraph"/>
        <w:numPr>
          <w:ilvl w:val="1"/>
          <w:numId w:val="2"/>
        </w:numPr>
        <w:jc w:val="both"/>
        <w:rPr>
          <w:rFonts w:ascii="Arial" w:hAnsi="Arial"/>
          <w:sz w:val="22"/>
          <w:szCs w:val="22"/>
        </w:rPr>
      </w:pPr>
      <w:r>
        <w:rPr>
          <w:rFonts w:ascii="Arial" w:hAnsi="Arial"/>
          <w:sz w:val="22"/>
          <w:szCs w:val="22"/>
        </w:rPr>
        <w:t>In</w:t>
      </w:r>
      <w:r w:rsidR="009824DF">
        <w:rPr>
          <w:rFonts w:ascii="Arial" w:hAnsi="Arial"/>
          <w:sz w:val="22"/>
          <w:szCs w:val="22"/>
        </w:rPr>
        <w:t xml:space="preserve"> November 2014 the PBAC recommended</w:t>
      </w:r>
      <w:r w:rsidR="00717986">
        <w:rPr>
          <w:rFonts w:ascii="Arial" w:hAnsi="Arial"/>
          <w:sz w:val="22"/>
          <w:szCs w:val="22"/>
        </w:rPr>
        <w:t xml:space="preserve"> that if treatment</w:t>
      </w:r>
      <w:r w:rsidR="004B696A">
        <w:rPr>
          <w:rFonts w:ascii="Arial" w:hAnsi="Arial"/>
          <w:sz w:val="22"/>
          <w:szCs w:val="22"/>
        </w:rPr>
        <w:t xml:space="preserve"> with nitisinone</w:t>
      </w:r>
      <w:r w:rsidR="00717986">
        <w:rPr>
          <w:rFonts w:ascii="Arial" w:hAnsi="Arial"/>
          <w:sz w:val="22"/>
          <w:szCs w:val="22"/>
        </w:rPr>
        <w:t xml:space="preserve"> is commenced prior to the development of clinical symptoms</w:t>
      </w:r>
      <w:r w:rsidR="004B696A">
        <w:rPr>
          <w:rFonts w:ascii="Arial" w:hAnsi="Arial"/>
          <w:sz w:val="22"/>
          <w:szCs w:val="22"/>
        </w:rPr>
        <w:t xml:space="preserve"> (i.e. prior to 1</w:t>
      </w:r>
      <w:r w:rsidR="00077FB9">
        <w:rPr>
          <w:rFonts w:ascii="Arial" w:hAnsi="Arial"/>
          <w:sz w:val="22"/>
          <w:szCs w:val="22"/>
        </w:rPr>
        <w:t> </w:t>
      </w:r>
      <w:r w:rsidR="004B696A">
        <w:rPr>
          <w:rFonts w:ascii="Arial" w:hAnsi="Arial"/>
          <w:sz w:val="22"/>
          <w:szCs w:val="22"/>
        </w:rPr>
        <w:t>month of age),</w:t>
      </w:r>
      <w:r w:rsidR="000F3B12">
        <w:rPr>
          <w:rFonts w:ascii="Arial" w:hAnsi="Arial"/>
          <w:sz w:val="22"/>
          <w:szCs w:val="22"/>
        </w:rPr>
        <w:t xml:space="preserve"> the results</w:t>
      </w:r>
      <w:r w:rsidR="004B696A">
        <w:rPr>
          <w:rFonts w:ascii="Arial" w:hAnsi="Arial"/>
          <w:sz w:val="22"/>
          <w:szCs w:val="22"/>
        </w:rPr>
        <w:t xml:space="preserve"> of the</w:t>
      </w:r>
      <w:r w:rsidR="000F3B12">
        <w:rPr>
          <w:rFonts w:ascii="Arial" w:hAnsi="Arial"/>
          <w:sz w:val="22"/>
          <w:szCs w:val="22"/>
        </w:rPr>
        <w:t xml:space="preserve"> </w:t>
      </w:r>
      <w:proofErr w:type="spellStart"/>
      <w:r w:rsidR="000F3B12">
        <w:rPr>
          <w:rFonts w:ascii="Arial" w:hAnsi="Arial"/>
          <w:sz w:val="22"/>
          <w:szCs w:val="22"/>
        </w:rPr>
        <w:t>Larochelle</w:t>
      </w:r>
      <w:proofErr w:type="spellEnd"/>
      <w:r w:rsidR="000F3B12">
        <w:rPr>
          <w:rFonts w:ascii="Arial" w:hAnsi="Arial"/>
          <w:sz w:val="22"/>
          <w:szCs w:val="22"/>
        </w:rPr>
        <w:t xml:space="preserve"> 2012</w:t>
      </w:r>
      <w:r w:rsidR="004B696A">
        <w:rPr>
          <w:rFonts w:ascii="Arial" w:hAnsi="Arial"/>
          <w:sz w:val="22"/>
          <w:szCs w:val="22"/>
        </w:rPr>
        <w:t xml:space="preserve"> study</w:t>
      </w:r>
      <w:r w:rsidR="000F3B12">
        <w:rPr>
          <w:rFonts w:ascii="Arial" w:hAnsi="Arial"/>
          <w:sz w:val="22"/>
          <w:szCs w:val="22"/>
        </w:rPr>
        <w:t xml:space="preserve"> would be considered relevant. It was noted that such a scenario would occur</w:t>
      </w:r>
      <w:r w:rsidR="00717986">
        <w:rPr>
          <w:rFonts w:ascii="Arial" w:hAnsi="Arial"/>
          <w:sz w:val="22"/>
          <w:szCs w:val="22"/>
        </w:rPr>
        <w:t xml:space="preserve"> if </w:t>
      </w:r>
      <w:r w:rsidR="00677328">
        <w:rPr>
          <w:rFonts w:ascii="Arial" w:hAnsi="Arial"/>
          <w:sz w:val="22"/>
          <w:szCs w:val="22"/>
        </w:rPr>
        <w:t>s</w:t>
      </w:r>
      <w:r w:rsidR="009824DF">
        <w:rPr>
          <w:rFonts w:ascii="Arial" w:hAnsi="Arial"/>
          <w:sz w:val="22"/>
          <w:szCs w:val="22"/>
        </w:rPr>
        <w:t xml:space="preserve">uccinylacetone (SA) </w:t>
      </w:r>
      <w:r w:rsidR="00717986">
        <w:rPr>
          <w:rFonts w:ascii="Arial" w:hAnsi="Arial"/>
          <w:sz w:val="22"/>
          <w:szCs w:val="22"/>
        </w:rPr>
        <w:t>screening</w:t>
      </w:r>
      <w:r w:rsidR="000F3B12">
        <w:rPr>
          <w:rFonts w:ascii="Arial" w:hAnsi="Arial"/>
          <w:sz w:val="22"/>
          <w:szCs w:val="22"/>
        </w:rPr>
        <w:t xml:space="preserve"> (a highly sensitive and specific test for HT-1)</w:t>
      </w:r>
      <w:r w:rsidR="00717986">
        <w:rPr>
          <w:rFonts w:ascii="Arial" w:hAnsi="Arial"/>
          <w:sz w:val="22"/>
          <w:szCs w:val="22"/>
        </w:rPr>
        <w:t xml:space="preserve"> for all newborns </w:t>
      </w:r>
      <w:r w:rsidR="004B696A">
        <w:rPr>
          <w:rFonts w:ascii="Arial" w:hAnsi="Arial"/>
          <w:sz w:val="22"/>
          <w:szCs w:val="22"/>
        </w:rPr>
        <w:t>were to be implemented</w:t>
      </w:r>
      <w:r w:rsidR="00717986">
        <w:rPr>
          <w:rFonts w:ascii="Arial" w:hAnsi="Arial"/>
          <w:sz w:val="22"/>
          <w:szCs w:val="22"/>
        </w:rPr>
        <w:t xml:space="preserve">. </w:t>
      </w:r>
      <w:r w:rsidR="009824DF">
        <w:rPr>
          <w:rFonts w:ascii="Arial" w:hAnsi="Arial"/>
          <w:sz w:val="22"/>
          <w:szCs w:val="22"/>
        </w:rPr>
        <w:t xml:space="preserve">According to </w:t>
      </w:r>
      <w:r w:rsidR="004B696A">
        <w:rPr>
          <w:rFonts w:ascii="Arial" w:hAnsi="Arial"/>
          <w:sz w:val="22"/>
          <w:szCs w:val="22"/>
        </w:rPr>
        <w:t xml:space="preserve">the </w:t>
      </w:r>
      <w:proofErr w:type="spellStart"/>
      <w:r w:rsidR="004B696A">
        <w:rPr>
          <w:rFonts w:ascii="Arial" w:hAnsi="Arial"/>
          <w:sz w:val="22"/>
          <w:szCs w:val="22"/>
        </w:rPr>
        <w:t>Larochelle</w:t>
      </w:r>
      <w:proofErr w:type="spellEnd"/>
      <w:r w:rsidR="004B696A">
        <w:rPr>
          <w:rFonts w:ascii="Arial" w:hAnsi="Arial"/>
          <w:sz w:val="22"/>
          <w:szCs w:val="22"/>
        </w:rPr>
        <w:t xml:space="preserve"> study</w:t>
      </w:r>
      <w:r w:rsidR="009824DF">
        <w:rPr>
          <w:rFonts w:ascii="Arial" w:hAnsi="Arial"/>
          <w:sz w:val="22"/>
          <w:szCs w:val="22"/>
        </w:rPr>
        <w:t xml:space="preserve">, </w:t>
      </w:r>
      <w:r w:rsidR="004B696A">
        <w:rPr>
          <w:rFonts w:ascii="Arial" w:hAnsi="Arial"/>
          <w:sz w:val="22"/>
          <w:szCs w:val="22"/>
        </w:rPr>
        <w:t>the introduction of SA testing would result in an</w:t>
      </w:r>
      <w:r w:rsidR="00727ECA">
        <w:rPr>
          <w:rFonts w:ascii="Arial" w:hAnsi="Arial"/>
          <w:sz w:val="22"/>
          <w:szCs w:val="22"/>
        </w:rPr>
        <w:t xml:space="preserve"> incremental cost per life year</w:t>
      </w:r>
      <w:r w:rsidR="00727ECA">
        <w:rPr>
          <w:rFonts w:ascii="Arial" w:hAnsi="Arial"/>
          <w:sz w:val="22"/>
          <w:szCs w:val="22"/>
        </w:rPr>
        <w:noBreakHyphen/>
      </w:r>
      <w:r w:rsidR="00727ECA" w:rsidRPr="00727ECA">
        <w:rPr>
          <w:rFonts w:ascii="Arial" w:hAnsi="Arial"/>
          <w:sz w:val="22"/>
          <w:szCs w:val="22"/>
        </w:rPr>
        <w:t>gained for early nitisin</w:t>
      </w:r>
      <w:r w:rsidR="00727ECA" w:rsidRPr="005B2BAC">
        <w:rPr>
          <w:rFonts w:ascii="Arial" w:hAnsi="Arial" w:cs="Arial"/>
          <w:sz w:val="22"/>
          <w:szCs w:val="22"/>
        </w:rPr>
        <w:t xml:space="preserve">one treatment </w:t>
      </w:r>
      <w:r w:rsidR="004B696A" w:rsidRPr="005B2BAC">
        <w:rPr>
          <w:rFonts w:ascii="Arial" w:hAnsi="Arial" w:cs="Arial"/>
          <w:sz w:val="22"/>
          <w:szCs w:val="22"/>
        </w:rPr>
        <w:t>of</w:t>
      </w:r>
      <w:r w:rsidR="008E3E31">
        <w:rPr>
          <w:rFonts w:ascii="Arial" w:hAnsi="Arial" w:cs="Arial"/>
          <w:sz w:val="22"/>
          <w:szCs w:val="22"/>
        </w:rPr>
        <w:t xml:space="preserve"> </w:t>
      </w:r>
      <w:r w:rsidR="00693743" w:rsidRPr="005B2BAC">
        <w:rPr>
          <w:rFonts w:ascii="Arial" w:hAnsi="Arial" w:cs="Arial"/>
          <w:sz w:val="22"/>
          <w:szCs w:val="22"/>
        </w:rPr>
        <w:t>$105,000 – $200,000</w:t>
      </w:r>
      <w:r w:rsidR="00727ECA" w:rsidRPr="005B2BAC">
        <w:rPr>
          <w:rFonts w:ascii="Arial" w:hAnsi="Arial" w:cs="Arial"/>
          <w:sz w:val="22"/>
          <w:szCs w:val="22"/>
        </w:rPr>
        <w:t xml:space="preserve"> and </w:t>
      </w:r>
      <w:r w:rsidR="00693743" w:rsidRPr="005B2BAC">
        <w:rPr>
          <w:rFonts w:ascii="Arial" w:hAnsi="Arial" w:cs="Arial"/>
          <w:sz w:val="22"/>
          <w:szCs w:val="22"/>
        </w:rPr>
        <w:t>$105,000 – $200,000</w:t>
      </w:r>
      <w:r w:rsidR="00727ECA" w:rsidRPr="005B2BAC">
        <w:rPr>
          <w:rFonts w:ascii="Arial" w:hAnsi="Arial" w:cs="Arial"/>
          <w:sz w:val="22"/>
          <w:szCs w:val="22"/>
        </w:rPr>
        <w:t xml:space="preserve"> per quality adjusted life year</w:t>
      </w:r>
      <w:r w:rsidR="00CF3225" w:rsidRPr="005B2BAC">
        <w:rPr>
          <w:rFonts w:ascii="Arial" w:hAnsi="Arial" w:cs="Arial"/>
          <w:sz w:val="22"/>
          <w:szCs w:val="22"/>
        </w:rPr>
        <w:t xml:space="preserve"> (QALY)</w:t>
      </w:r>
      <w:r w:rsidR="00727ECA" w:rsidRPr="005B2BAC">
        <w:rPr>
          <w:rFonts w:ascii="Arial" w:hAnsi="Arial" w:cs="Arial"/>
          <w:sz w:val="22"/>
          <w:szCs w:val="22"/>
        </w:rPr>
        <w:t xml:space="preserve"> gained</w:t>
      </w:r>
      <w:r w:rsidR="00AB73FD" w:rsidRPr="005B2BAC">
        <w:rPr>
          <w:rFonts w:ascii="Arial" w:hAnsi="Arial" w:cs="Arial"/>
          <w:sz w:val="22"/>
          <w:szCs w:val="22"/>
        </w:rPr>
        <w:t>.</w:t>
      </w:r>
      <w:r w:rsidR="00FA402A" w:rsidRPr="005B2BAC">
        <w:rPr>
          <w:rFonts w:ascii="Arial" w:hAnsi="Arial" w:cs="Arial"/>
          <w:sz w:val="22"/>
          <w:szCs w:val="22"/>
        </w:rPr>
        <w:t xml:space="preserve"> </w:t>
      </w:r>
    </w:p>
    <w:p w:rsidR="00853220" w:rsidRDefault="00853220" w:rsidP="00D4172B">
      <w:pPr>
        <w:pStyle w:val="ListParagraph"/>
        <w:jc w:val="both"/>
        <w:rPr>
          <w:rFonts w:ascii="Arial" w:hAnsi="Arial"/>
          <w:sz w:val="22"/>
          <w:szCs w:val="22"/>
        </w:rPr>
      </w:pPr>
    </w:p>
    <w:p w:rsidR="00853220" w:rsidRDefault="00853220" w:rsidP="00D4172B">
      <w:pPr>
        <w:pStyle w:val="ListParagraph"/>
        <w:numPr>
          <w:ilvl w:val="1"/>
          <w:numId w:val="2"/>
        </w:numPr>
        <w:jc w:val="both"/>
        <w:rPr>
          <w:rFonts w:ascii="Arial" w:hAnsi="Arial"/>
          <w:sz w:val="22"/>
          <w:szCs w:val="22"/>
        </w:rPr>
      </w:pPr>
      <w:r>
        <w:rPr>
          <w:rFonts w:ascii="Arial" w:hAnsi="Arial"/>
          <w:sz w:val="22"/>
          <w:szCs w:val="22"/>
        </w:rPr>
        <w:t xml:space="preserve">At the stakeholder meeting it was agreed that although SA testing may be introduced, </w:t>
      </w:r>
      <w:r w:rsidR="00077FB9">
        <w:rPr>
          <w:rFonts w:ascii="Arial" w:hAnsi="Arial"/>
          <w:sz w:val="22"/>
          <w:szCs w:val="22"/>
        </w:rPr>
        <w:t xml:space="preserve">a universal newborn screening program </w:t>
      </w:r>
      <w:r w:rsidR="00C96D2F">
        <w:rPr>
          <w:rFonts w:ascii="Arial" w:hAnsi="Arial"/>
          <w:sz w:val="22"/>
          <w:szCs w:val="22"/>
        </w:rPr>
        <w:t xml:space="preserve">for SA </w:t>
      </w:r>
      <w:r>
        <w:rPr>
          <w:rFonts w:ascii="Arial" w:hAnsi="Arial"/>
          <w:sz w:val="22"/>
          <w:szCs w:val="22"/>
        </w:rPr>
        <w:t>is</w:t>
      </w:r>
      <w:r w:rsidRPr="00040F66">
        <w:rPr>
          <w:rFonts w:ascii="Arial" w:hAnsi="Arial"/>
          <w:sz w:val="22"/>
          <w:szCs w:val="22"/>
        </w:rPr>
        <w:t xml:space="preserve"> unlikely to come into effect in the next three years</w:t>
      </w:r>
      <w:r w:rsidRPr="00A9307F">
        <w:rPr>
          <w:rFonts w:ascii="Arial" w:hAnsi="Arial"/>
          <w:sz w:val="22"/>
          <w:szCs w:val="22"/>
        </w:rPr>
        <w:t>.</w:t>
      </w:r>
      <w:r>
        <w:rPr>
          <w:rFonts w:ascii="Arial" w:hAnsi="Arial"/>
          <w:sz w:val="22"/>
          <w:szCs w:val="22"/>
        </w:rPr>
        <w:t xml:space="preserve"> </w:t>
      </w:r>
      <w:r w:rsidR="00066C0F">
        <w:rPr>
          <w:rFonts w:ascii="Arial" w:hAnsi="Arial"/>
          <w:sz w:val="22"/>
          <w:szCs w:val="22"/>
        </w:rPr>
        <w:t xml:space="preserve">In addition, it was noted that while a national framework for adding new tests is being developed, </w:t>
      </w:r>
      <w:r w:rsidR="00066C0F" w:rsidRPr="00066C0F">
        <w:rPr>
          <w:rFonts w:ascii="Arial" w:hAnsi="Arial"/>
          <w:sz w:val="22"/>
          <w:szCs w:val="22"/>
          <w:lang w:val="en-US"/>
        </w:rPr>
        <w:t>the decision to implement the framework and responsibility for funding is that of individual state and territory governments</w:t>
      </w:r>
      <w:r w:rsidR="00066C0F">
        <w:rPr>
          <w:rFonts w:ascii="Arial" w:hAnsi="Arial"/>
          <w:sz w:val="22"/>
          <w:szCs w:val="22"/>
        </w:rPr>
        <w:t>.</w:t>
      </w:r>
    </w:p>
    <w:p w:rsidR="00853220" w:rsidRDefault="00853220" w:rsidP="00D4172B">
      <w:pPr>
        <w:pStyle w:val="ListParagraph"/>
        <w:jc w:val="both"/>
        <w:rPr>
          <w:rFonts w:ascii="Arial" w:hAnsi="Arial"/>
          <w:sz w:val="22"/>
          <w:szCs w:val="22"/>
        </w:rPr>
      </w:pPr>
    </w:p>
    <w:p w:rsidR="007A512F" w:rsidRPr="00E37ACD" w:rsidRDefault="004B696A" w:rsidP="00D4172B">
      <w:pPr>
        <w:pStyle w:val="ListParagraph"/>
        <w:numPr>
          <w:ilvl w:val="1"/>
          <w:numId w:val="2"/>
        </w:numPr>
        <w:jc w:val="both"/>
        <w:rPr>
          <w:szCs w:val="22"/>
        </w:rPr>
      </w:pPr>
      <w:r>
        <w:rPr>
          <w:rFonts w:ascii="Arial" w:hAnsi="Arial"/>
          <w:sz w:val="22"/>
          <w:szCs w:val="22"/>
        </w:rPr>
        <w:t xml:space="preserve">The minor re-submission noted the PBAC advice and accepted the </w:t>
      </w:r>
      <w:r w:rsidR="00CF3225" w:rsidRPr="00C77A50">
        <w:rPr>
          <w:rFonts w:ascii="Arial" w:hAnsi="Arial"/>
          <w:sz w:val="22"/>
          <w:szCs w:val="22"/>
        </w:rPr>
        <w:t>$</w:t>
      </w:r>
      <w:r w:rsidR="006C19BB">
        <w:rPr>
          <w:rFonts w:ascii="Arial" w:hAnsi="Arial"/>
          <w:sz w:val="22"/>
          <w:szCs w:val="22"/>
        </w:rPr>
        <w:t>105</w:t>
      </w:r>
      <w:r w:rsidR="000E6AB5">
        <w:rPr>
          <w:rFonts w:ascii="Arial" w:hAnsi="Arial"/>
          <w:sz w:val="22"/>
          <w:szCs w:val="22"/>
        </w:rPr>
        <w:t>,000</w:t>
      </w:r>
      <w:r w:rsidR="006C19BB">
        <w:rPr>
          <w:rFonts w:ascii="Arial" w:hAnsi="Arial"/>
          <w:sz w:val="22"/>
          <w:szCs w:val="22"/>
        </w:rPr>
        <w:t xml:space="preserve"> - $200</w:t>
      </w:r>
      <w:r w:rsidR="000E6AB5">
        <w:rPr>
          <w:rFonts w:ascii="Arial" w:hAnsi="Arial"/>
          <w:sz w:val="22"/>
          <w:szCs w:val="22"/>
        </w:rPr>
        <w:t>,000</w:t>
      </w:r>
      <w:r w:rsidR="00CF3225">
        <w:rPr>
          <w:rFonts w:ascii="Arial" w:hAnsi="Arial"/>
          <w:sz w:val="22"/>
          <w:szCs w:val="22"/>
        </w:rPr>
        <w:t xml:space="preserve"> per QALY </w:t>
      </w:r>
      <w:r>
        <w:rPr>
          <w:rFonts w:ascii="Arial" w:hAnsi="Arial"/>
          <w:sz w:val="22"/>
          <w:szCs w:val="22"/>
        </w:rPr>
        <w:t>ICER for early nitisinone treatment</w:t>
      </w:r>
      <w:r w:rsidR="00CF3225">
        <w:rPr>
          <w:rFonts w:ascii="Arial" w:hAnsi="Arial"/>
          <w:sz w:val="22"/>
          <w:szCs w:val="22"/>
        </w:rPr>
        <w:t xml:space="preserve"> based on the </w:t>
      </w:r>
      <w:proofErr w:type="spellStart"/>
      <w:r w:rsidR="00CF3225">
        <w:rPr>
          <w:rFonts w:ascii="Arial" w:hAnsi="Arial"/>
          <w:sz w:val="22"/>
          <w:szCs w:val="22"/>
        </w:rPr>
        <w:t>Larochelle</w:t>
      </w:r>
      <w:proofErr w:type="spellEnd"/>
      <w:r w:rsidR="00CF3225">
        <w:rPr>
          <w:rFonts w:ascii="Arial" w:hAnsi="Arial"/>
          <w:sz w:val="22"/>
          <w:szCs w:val="22"/>
        </w:rPr>
        <w:t xml:space="preserve"> trial</w:t>
      </w:r>
      <w:r>
        <w:rPr>
          <w:rFonts w:ascii="Arial" w:hAnsi="Arial"/>
          <w:sz w:val="22"/>
          <w:szCs w:val="22"/>
        </w:rPr>
        <w:t xml:space="preserve">. </w:t>
      </w:r>
      <w:r w:rsidR="00BA5554" w:rsidRPr="009552A7">
        <w:rPr>
          <w:rFonts w:ascii="Arial" w:hAnsi="Arial"/>
          <w:sz w:val="22"/>
          <w:szCs w:val="22"/>
        </w:rPr>
        <w:t>Given</w:t>
      </w:r>
      <w:r w:rsidR="00BA5554" w:rsidRPr="00706027">
        <w:rPr>
          <w:rFonts w:ascii="Arial" w:hAnsi="Arial"/>
          <w:i/>
          <w:sz w:val="22"/>
          <w:szCs w:val="22"/>
        </w:rPr>
        <w:t xml:space="preserve"> </w:t>
      </w:r>
      <w:r w:rsidR="00BA5554" w:rsidRPr="009552A7">
        <w:rPr>
          <w:rFonts w:ascii="Arial" w:hAnsi="Arial"/>
          <w:sz w:val="22"/>
          <w:szCs w:val="22"/>
        </w:rPr>
        <w:t xml:space="preserve">the outcomes of the stakeholder meeting, the </w:t>
      </w:r>
      <w:r w:rsidR="00706027" w:rsidRPr="009552A7">
        <w:rPr>
          <w:rFonts w:ascii="Arial" w:hAnsi="Arial"/>
          <w:sz w:val="22"/>
          <w:szCs w:val="22"/>
        </w:rPr>
        <w:t xml:space="preserve">PBAC considered that the </w:t>
      </w:r>
      <w:r w:rsidR="00BA5554" w:rsidRPr="009552A7">
        <w:rPr>
          <w:rFonts w:ascii="Arial" w:hAnsi="Arial"/>
          <w:sz w:val="22"/>
          <w:szCs w:val="22"/>
        </w:rPr>
        <w:t xml:space="preserve">ICER </w:t>
      </w:r>
      <w:r w:rsidR="00CF799B" w:rsidRPr="009552A7">
        <w:rPr>
          <w:rFonts w:ascii="Arial" w:hAnsi="Arial"/>
          <w:sz w:val="22"/>
          <w:szCs w:val="22"/>
        </w:rPr>
        <w:t xml:space="preserve">based on the </w:t>
      </w:r>
      <w:proofErr w:type="spellStart"/>
      <w:r w:rsidR="00CF799B" w:rsidRPr="009552A7">
        <w:rPr>
          <w:rFonts w:ascii="Arial" w:hAnsi="Arial"/>
          <w:sz w:val="22"/>
          <w:szCs w:val="22"/>
        </w:rPr>
        <w:t>Larochelle</w:t>
      </w:r>
      <w:proofErr w:type="spellEnd"/>
      <w:r w:rsidR="00CF799B" w:rsidRPr="009552A7">
        <w:rPr>
          <w:rFonts w:ascii="Arial" w:hAnsi="Arial"/>
          <w:sz w:val="22"/>
          <w:szCs w:val="22"/>
        </w:rPr>
        <w:t xml:space="preserve"> trial </w:t>
      </w:r>
      <w:r w:rsidR="00BA5554" w:rsidRPr="009552A7">
        <w:rPr>
          <w:rFonts w:ascii="Arial" w:hAnsi="Arial"/>
          <w:sz w:val="22"/>
          <w:szCs w:val="22"/>
        </w:rPr>
        <w:t xml:space="preserve">may not reflect current practice, but </w:t>
      </w:r>
      <w:r w:rsidR="00CF799B" w:rsidRPr="009552A7">
        <w:rPr>
          <w:rFonts w:ascii="Arial" w:hAnsi="Arial"/>
          <w:sz w:val="22"/>
          <w:szCs w:val="22"/>
        </w:rPr>
        <w:t>w</w:t>
      </w:r>
      <w:r w:rsidR="00CF3225" w:rsidRPr="009552A7">
        <w:rPr>
          <w:rFonts w:ascii="Arial" w:hAnsi="Arial"/>
          <w:sz w:val="22"/>
          <w:szCs w:val="22"/>
        </w:rPr>
        <w:t>ould</w:t>
      </w:r>
      <w:r w:rsidR="00CF799B" w:rsidRPr="009552A7">
        <w:rPr>
          <w:rFonts w:ascii="Arial" w:hAnsi="Arial"/>
          <w:sz w:val="22"/>
          <w:szCs w:val="22"/>
        </w:rPr>
        <w:t xml:space="preserve"> </w:t>
      </w:r>
      <w:r w:rsidR="00BA5554" w:rsidRPr="009552A7">
        <w:rPr>
          <w:rFonts w:ascii="Arial" w:hAnsi="Arial"/>
          <w:sz w:val="22"/>
          <w:szCs w:val="22"/>
        </w:rPr>
        <w:t xml:space="preserve">be relevant in the event that </w:t>
      </w:r>
      <w:r w:rsidR="00CF3225" w:rsidRPr="009552A7">
        <w:rPr>
          <w:rFonts w:ascii="Arial" w:hAnsi="Arial"/>
          <w:sz w:val="22"/>
          <w:szCs w:val="22"/>
        </w:rPr>
        <w:t xml:space="preserve">a newborn </w:t>
      </w:r>
      <w:r w:rsidR="00BA5554" w:rsidRPr="009552A7">
        <w:rPr>
          <w:rFonts w:ascii="Arial" w:hAnsi="Arial"/>
          <w:sz w:val="22"/>
          <w:szCs w:val="22"/>
        </w:rPr>
        <w:t xml:space="preserve">SA screening </w:t>
      </w:r>
      <w:r w:rsidR="00CF3225" w:rsidRPr="009552A7">
        <w:rPr>
          <w:rFonts w:ascii="Arial" w:hAnsi="Arial"/>
          <w:sz w:val="22"/>
          <w:szCs w:val="22"/>
        </w:rPr>
        <w:t xml:space="preserve">program was </w:t>
      </w:r>
      <w:r w:rsidR="005A6333" w:rsidRPr="009552A7">
        <w:rPr>
          <w:rFonts w:ascii="Arial" w:hAnsi="Arial"/>
          <w:sz w:val="22"/>
          <w:szCs w:val="22"/>
        </w:rPr>
        <w:t>introduced</w:t>
      </w:r>
      <w:r w:rsidR="00BA5554" w:rsidRPr="009552A7">
        <w:rPr>
          <w:rFonts w:ascii="Arial" w:hAnsi="Arial"/>
          <w:sz w:val="22"/>
          <w:szCs w:val="22"/>
        </w:rPr>
        <w:t xml:space="preserve"> </w:t>
      </w:r>
      <w:r w:rsidR="00CF3225" w:rsidRPr="009552A7">
        <w:rPr>
          <w:rFonts w:ascii="Arial" w:hAnsi="Arial"/>
          <w:sz w:val="22"/>
          <w:szCs w:val="22"/>
        </w:rPr>
        <w:t xml:space="preserve">(which is unlikely to occur </w:t>
      </w:r>
      <w:r w:rsidR="00BA5554" w:rsidRPr="009552A7">
        <w:rPr>
          <w:rFonts w:ascii="Arial" w:hAnsi="Arial"/>
          <w:sz w:val="22"/>
          <w:szCs w:val="22"/>
        </w:rPr>
        <w:t xml:space="preserve">in </w:t>
      </w:r>
      <w:r w:rsidR="00CF3225" w:rsidRPr="009552A7">
        <w:rPr>
          <w:rFonts w:ascii="Arial" w:hAnsi="Arial"/>
          <w:sz w:val="22"/>
          <w:szCs w:val="22"/>
        </w:rPr>
        <w:t xml:space="preserve">the next </w:t>
      </w:r>
      <w:r w:rsidR="00C96D2F" w:rsidRPr="009552A7">
        <w:rPr>
          <w:rFonts w:ascii="Arial" w:hAnsi="Arial"/>
          <w:sz w:val="22"/>
          <w:szCs w:val="22"/>
        </w:rPr>
        <w:t>three</w:t>
      </w:r>
      <w:r w:rsidR="00BA5554" w:rsidRPr="009552A7">
        <w:rPr>
          <w:rFonts w:ascii="Arial" w:hAnsi="Arial"/>
          <w:sz w:val="22"/>
          <w:szCs w:val="22"/>
        </w:rPr>
        <w:t xml:space="preserve"> years</w:t>
      </w:r>
      <w:r w:rsidR="00CF3225" w:rsidRPr="009552A7">
        <w:rPr>
          <w:rFonts w:ascii="Arial" w:hAnsi="Arial"/>
          <w:sz w:val="22"/>
          <w:szCs w:val="22"/>
        </w:rPr>
        <w:t>)</w:t>
      </w:r>
      <w:r w:rsidR="00252CA2" w:rsidRPr="009552A7">
        <w:rPr>
          <w:rFonts w:ascii="Arial" w:hAnsi="Arial"/>
          <w:sz w:val="22"/>
          <w:szCs w:val="22"/>
        </w:rPr>
        <w:t xml:space="preserve">. </w:t>
      </w:r>
      <w:r w:rsidR="0030681D" w:rsidRPr="009552A7">
        <w:rPr>
          <w:rFonts w:ascii="Arial" w:hAnsi="Arial"/>
          <w:sz w:val="22"/>
          <w:szCs w:val="22"/>
        </w:rPr>
        <w:t xml:space="preserve">By comparison, the ICER presented in the </w:t>
      </w:r>
      <w:r w:rsidR="007A512F" w:rsidRPr="009552A7">
        <w:rPr>
          <w:rFonts w:ascii="Arial" w:hAnsi="Arial"/>
          <w:sz w:val="22"/>
          <w:szCs w:val="22"/>
        </w:rPr>
        <w:t>pre-sub-</w:t>
      </w:r>
      <w:r w:rsidR="007A512F" w:rsidRPr="009552A7">
        <w:rPr>
          <w:rFonts w:ascii="Arial" w:hAnsi="Arial"/>
          <w:sz w:val="22"/>
          <w:szCs w:val="22"/>
        </w:rPr>
        <w:lastRenderedPageBreak/>
        <w:t>committee response for the major submission</w:t>
      </w:r>
      <w:r w:rsidR="0030681D" w:rsidRPr="009552A7">
        <w:rPr>
          <w:rFonts w:ascii="Arial" w:hAnsi="Arial"/>
          <w:sz w:val="22"/>
          <w:szCs w:val="22"/>
        </w:rPr>
        <w:t>, which assumed the continuation of current screening practices and a time horizon of 22 years, was</w:t>
      </w:r>
      <w:r w:rsidR="005A58ED" w:rsidRPr="009552A7">
        <w:rPr>
          <w:rFonts w:ascii="Arial" w:hAnsi="Arial"/>
          <w:sz w:val="22"/>
          <w:szCs w:val="22"/>
        </w:rPr>
        <w:t xml:space="preserve"> </w:t>
      </w:r>
      <w:r w:rsidR="00BA650B">
        <w:rPr>
          <w:rFonts w:ascii="Arial" w:hAnsi="Arial"/>
          <w:sz w:val="22"/>
          <w:szCs w:val="22"/>
        </w:rPr>
        <w:t>more than $200,000</w:t>
      </w:r>
      <w:r w:rsidR="000620EA">
        <w:rPr>
          <w:rFonts w:ascii="Arial" w:hAnsi="Arial"/>
          <w:sz w:val="22"/>
          <w:szCs w:val="22"/>
        </w:rPr>
        <w:t xml:space="preserve"> </w:t>
      </w:r>
      <w:r w:rsidR="000620EA" w:rsidRPr="009552A7">
        <w:rPr>
          <w:rFonts w:ascii="Arial" w:hAnsi="Arial"/>
          <w:sz w:val="22"/>
          <w:szCs w:val="22"/>
        </w:rPr>
        <w:t>per</w:t>
      </w:r>
      <w:r w:rsidR="00CF3225" w:rsidRPr="009552A7">
        <w:rPr>
          <w:rFonts w:ascii="Arial" w:hAnsi="Arial"/>
          <w:sz w:val="22"/>
          <w:szCs w:val="22"/>
        </w:rPr>
        <w:t xml:space="preserve"> </w:t>
      </w:r>
      <w:r w:rsidR="0011527E" w:rsidRPr="009552A7">
        <w:rPr>
          <w:rFonts w:ascii="Arial" w:hAnsi="Arial"/>
          <w:sz w:val="22"/>
          <w:szCs w:val="22"/>
        </w:rPr>
        <w:t>QALY</w:t>
      </w:r>
      <w:r w:rsidR="007A512F" w:rsidRPr="009552A7">
        <w:rPr>
          <w:rFonts w:ascii="Arial" w:hAnsi="Arial"/>
          <w:sz w:val="22"/>
          <w:szCs w:val="22"/>
        </w:rPr>
        <w:t>.</w:t>
      </w:r>
      <w:r w:rsidR="007A512F">
        <w:rPr>
          <w:rFonts w:ascii="Arial" w:hAnsi="Arial"/>
          <w:i/>
          <w:sz w:val="22"/>
          <w:szCs w:val="22"/>
        </w:rPr>
        <w:t xml:space="preserve"> </w:t>
      </w:r>
    </w:p>
    <w:p w:rsidR="00DC01C1" w:rsidRDefault="00DC01C1" w:rsidP="00D4172B">
      <w:pPr>
        <w:jc w:val="both"/>
        <w:rPr>
          <w:rFonts w:ascii="Arial" w:hAnsi="Arial"/>
          <w:b/>
          <w:i/>
          <w:sz w:val="22"/>
          <w:szCs w:val="22"/>
        </w:rPr>
      </w:pPr>
    </w:p>
    <w:p w:rsidR="00DC01C1" w:rsidRPr="007860B0" w:rsidRDefault="00DC01C1" w:rsidP="007860B0">
      <w:pPr>
        <w:pStyle w:val="Heading3"/>
      </w:pPr>
      <w:r w:rsidRPr="00882085">
        <w:t>Estimated PBS usage &amp; financial implications</w:t>
      </w:r>
    </w:p>
    <w:p w:rsidR="004B696A" w:rsidRPr="004B696A" w:rsidRDefault="009824DF" w:rsidP="00D4172B">
      <w:pPr>
        <w:pStyle w:val="ListParagraph"/>
        <w:numPr>
          <w:ilvl w:val="1"/>
          <w:numId w:val="2"/>
        </w:numPr>
        <w:jc w:val="both"/>
        <w:rPr>
          <w:rFonts w:ascii="Arial" w:hAnsi="Arial"/>
          <w:color w:val="FF00FF"/>
          <w:sz w:val="22"/>
          <w:szCs w:val="22"/>
        </w:rPr>
      </w:pPr>
      <w:r>
        <w:rPr>
          <w:rFonts w:ascii="Arial" w:hAnsi="Arial"/>
          <w:sz w:val="22"/>
          <w:szCs w:val="22"/>
        </w:rPr>
        <w:t>At the November 2014 meeting the PBAC expressed concern</w:t>
      </w:r>
      <w:r w:rsidR="001A0681">
        <w:rPr>
          <w:rFonts w:ascii="Arial" w:hAnsi="Arial"/>
          <w:sz w:val="22"/>
          <w:szCs w:val="22"/>
        </w:rPr>
        <w:t xml:space="preserve"> that the potential introduction of SA screening would substantially increase the number of newborns diagnosed with HT-1.</w:t>
      </w:r>
    </w:p>
    <w:p w:rsidR="004B696A" w:rsidRPr="004B696A" w:rsidRDefault="004B696A" w:rsidP="00D4172B">
      <w:pPr>
        <w:pStyle w:val="ListParagraph"/>
        <w:jc w:val="both"/>
        <w:rPr>
          <w:rFonts w:ascii="Arial" w:hAnsi="Arial"/>
          <w:color w:val="FF00FF"/>
          <w:sz w:val="22"/>
          <w:szCs w:val="22"/>
        </w:rPr>
      </w:pPr>
    </w:p>
    <w:p w:rsidR="00AD5431" w:rsidRPr="00AD5431" w:rsidRDefault="00814428" w:rsidP="00D4172B">
      <w:pPr>
        <w:pStyle w:val="ListParagraph"/>
        <w:numPr>
          <w:ilvl w:val="1"/>
          <w:numId w:val="2"/>
        </w:numPr>
        <w:jc w:val="both"/>
        <w:rPr>
          <w:rFonts w:ascii="Arial" w:hAnsi="Arial"/>
          <w:color w:val="FF00FF"/>
          <w:sz w:val="22"/>
          <w:szCs w:val="22"/>
        </w:rPr>
      </w:pPr>
      <w:r>
        <w:rPr>
          <w:rFonts w:ascii="Arial" w:hAnsi="Arial"/>
          <w:sz w:val="22"/>
          <w:szCs w:val="22"/>
        </w:rPr>
        <w:t xml:space="preserve">At the stakeholder meeting it was agreed that </w:t>
      </w:r>
      <w:r w:rsidR="004B696A">
        <w:rPr>
          <w:rFonts w:ascii="Arial" w:hAnsi="Arial"/>
          <w:sz w:val="22"/>
          <w:szCs w:val="22"/>
        </w:rPr>
        <w:t>while SA screening</w:t>
      </w:r>
      <w:r>
        <w:rPr>
          <w:rFonts w:ascii="Arial" w:hAnsi="Arial"/>
          <w:sz w:val="22"/>
          <w:szCs w:val="22"/>
        </w:rPr>
        <w:t xml:space="preserve"> could potentially double the number of newborn </w:t>
      </w:r>
      <w:r w:rsidR="004B696A">
        <w:rPr>
          <w:rFonts w:ascii="Arial" w:hAnsi="Arial"/>
          <w:sz w:val="22"/>
          <w:szCs w:val="22"/>
        </w:rPr>
        <w:t>HT-1 diagnoses, this was</w:t>
      </w:r>
      <w:r>
        <w:rPr>
          <w:rFonts w:ascii="Arial" w:hAnsi="Arial"/>
          <w:sz w:val="22"/>
          <w:szCs w:val="22"/>
        </w:rPr>
        <w:t xml:space="preserve"> unlikely to be observed in clinical practice since patients not diagnosed in infancy are usually diagnosed later in life. </w:t>
      </w:r>
      <w:r w:rsidR="004B696A">
        <w:rPr>
          <w:rFonts w:ascii="Arial" w:hAnsi="Arial"/>
          <w:sz w:val="22"/>
          <w:szCs w:val="22"/>
        </w:rPr>
        <w:t>It was also reiterated that introduction of SA screening was unlikely to occur in the next 3 years.</w:t>
      </w:r>
    </w:p>
    <w:p w:rsidR="00AD5431" w:rsidRPr="00AD5431" w:rsidRDefault="00AD5431" w:rsidP="00D4172B">
      <w:pPr>
        <w:pStyle w:val="ListParagraph"/>
        <w:jc w:val="both"/>
        <w:rPr>
          <w:rFonts w:ascii="Arial" w:hAnsi="Arial"/>
          <w:color w:val="FF00FF"/>
          <w:sz w:val="22"/>
          <w:szCs w:val="22"/>
        </w:rPr>
      </w:pPr>
    </w:p>
    <w:p w:rsidR="00814428" w:rsidRPr="00B4026C" w:rsidRDefault="00814428" w:rsidP="00D4172B">
      <w:pPr>
        <w:pStyle w:val="ListParagraph"/>
        <w:numPr>
          <w:ilvl w:val="1"/>
          <w:numId w:val="2"/>
        </w:numPr>
        <w:jc w:val="both"/>
        <w:rPr>
          <w:rFonts w:ascii="Arial" w:hAnsi="Arial"/>
          <w:color w:val="FF00FF"/>
          <w:sz w:val="22"/>
          <w:szCs w:val="22"/>
        </w:rPr>
      </w:pPr>
      <w:r>
        <w:rPr>
          <w:rFonts w:ascii="Arial" w:hAnsi="Arial"/>
          <w:sz w:val="22"/>
          <w:szCs w:val="22"/>
        </w:rPr>
        <w:t xml:space="preserve">The </w:t>
      </w:r>
      <w:r w:rsidR="000A35F9">
        <w:rPr>
          <w:rFonts w:ascii="Arial" w:hAnsi="Arial"/>
          <w:sz w:val="22"/>
          <w:szCs w:val="22"/>
        </w:rPr>
        <w:t>minor re-</w:t>
      </w:r>
      <w:r>
        <w:rPr>
          <w:rFonts w:ascii="Arial" w:hAnsi="Arial"/>
          <w:sz w:val="22"/>
          <w:szCs w:val="22"/>
        </w:rPr>
        <w:t>submission</w:t>
      </w:r>
      <w:r w:rsidR="00AD5431">
        <w:rPr>
          <w:rFonts w:ascii="Arial" w:hAnsi="Arial"/>
          <w:sz w:val="22"/>
          <w:szCs w:val="22"/>
        </w:rPr>
        <w:t xml:space="preserve"> revised the incidence of HT-1</w:t>
      </w:r>
      <w:r>
        <w:rPr>
          <w:rFonts w:ascii="Arial" w:hAnsi="Arial"/>
          <w:sz w:val="22"/>
          <w:szCs w:val="22"/>
        </w:rPr>
        <w:t xml:space="preserve"> from 0.54/100,000 live births to 1.08/100,000 live births in years 4 and 5. This change was based on the assumption that SA screening would be introduced in year 4, thus doubling the number of infants diagnosed. </w:t>
      </w:r>
    </w:p>
    <w:p w:rsidR="00814428" w:rsidRPr="00814428" w:rsidRDefault="00814428" w:rsidP="00D4172B">
      <w:pPr>
        <w:pStyle w:val="ListParagraph"/>
        <w:jc w:val="both"/>
        <w:rPr>
          <w:rFonts w:ascii="Arial" w:hAnsi="Arial"/>
          <w:color w:val="FF00FF"/>
          <w:sz w:val="22"/>
          <w:szCs w:val="22"/>
        </w:rPr>
      </w:pPr>
    </w:p>
    <w:p w:rsidR="00814428" w:rsidRPr="00F25805" w:rsidRDefault="000A35F9" w:rsidP="00D4172B">
      <w:pPr>
        <w:pStyle w:val="ListParagraph"/>
        <w:numPr>
          <w:ilvl w:val="1"/>
          <w:numId w:val="2"/>
        </w:numPr>
        <w:jc w:val="both"/>
        <w:rPr>
          <w:rFonts w:ascii="Arial" w:hAnsi="Arial"/>
          <w:color w:val="FF00FF"/>
          <w:sz w:val="22"/>
          <w:szCs w:val="22"/>
        </w:rPr>
      </w:pPr>
      <w:r>
        <w:rPr>
          <w:rFonts w:ascii="Arial" w:hAnsi="Arial"/>
          <w:sz w:val="22"/>
          <w:szCs w:val="22"/>
        </w:rPr>
        <w:t xml:space="preserve">The minor re-submission also updated the prevalence of HT-1 on advice from </w:t>
      </w:r>
      <w:r w:rsidR="000254E3">
        <w:rPr>
          <w:rFonts w:ascii="Arial" w:hAnsi="Arial"/>
          <w:sz w:val="22"/>
          <w:szCs w:val="22"/>
        </w:rPr>
        <w:t xml:space="preserve">ASIEM </w:t>
      </w:r>
      <w:r w:rsidR="00AD5431">
        <w:rPr>
          <w:rFonts w:ascii="Arial" w:hAnsi="Arial"/>
          <w:sz w:val="22"/>
          <w:szCs w:val="22"/>
        </w:rPr>
        <w:t>indicating</w:t>
      </w:r>
      <w:r w:rsidR="000254E3">
        <w:rPr>
          <w:rFonts w:ascii="Arial" w:hAnsi="Arial"/>
          <w:sz w:val="22"/>
          <w:szCs w:val="22"/>
        </w:rPr>
        <w:t xml:space="preserve"> that there are currently 19 HT-1 patients in Australia</w:t>
      </w:r>
      <w:r>
        <w:rPr>
          <w:rFonts w:ascii="Arial" w:hAnsi="Arial"/>
          <w:sz w:val="22"/>
          <w:szCs w:val="22"/>
        </w:rPr>
        <w:t xml:space="preserve"> (</w:t>
      </w:r>
      <w:r w:rsidR="00AD5431">
        <w:rPr>
          <w:rFonts w:ascii="Arial" w:hAnsi="Arial"/>
          <w:sz w:val="22"/>
          <w:szCs w:val="22"/>
        </w:rPr>
        <w:t>compared with the</w:t>
      </w:r>
      <w:r>
        <w:rPr>
          <w:rFonts w:ascii="Arial" w:hAnsi="Arial"/>
          <w:sz w:val="22"/>
          <w:szCs w:val="22"/>
        </w:rPr>
        <w:t xml:space="preserve"> 18</w:t>
      </w:r>
      <w:r w:rsidR="00C96D2F">
        <w:rPr>
          <w:rFonts w:ascii="Arial" w:hAnsi="Arial"/>
          <w:sz w:val="22"/>
          <w:szCs w:val="22"/>
        </w:rPr>
        <w:t> </w:t>
      </w:r>
      <w:r>
        <w:rPr>
          <w:rFonts w:ascii="Arial" w:hAnsi="Arial"/>
          <w:sz w:val="22"/>
          <w:szCs w:val="22"/>
        </w:rPr>
        <w:t>patients</w:t>
      </w:r>
      <w:r w:rsidR="00AD5431">
        <w:rPr>
          <w:rFonts w:ascii="Arial" w:hAnsi="Arial"/>
          <w:sz w:val="22"/>
          <w:szCs w:val="22"/>
        </w:rPr>
        <w:t xml:space="preserve"> stated by</w:t>
      </w:r>
      <w:r>
        <w:rPr>
          <w:rFonts w:ascii="Arial" w:hAnsi="Arial"/>
          <w:sz w:val="22"/>
          <w:szCs w:val="22"/>
        </w:rPr>
        <w:t xml:space="preserve"> the</w:t>
      </w:r>
      <w:r w:rsidR="005F3C40">
        <w:rPr>
          <w:rFonts w:ascii="Arial" w:hAnsi="Arial"/>
          <w:sz w:val="22"/>
          <w:szCs w:val="22"/>
        </w:rPr>
        <w:t xml:space="preserve"> previous</w:t>
      </w:r>
      <w:r>
        <w:rPr>
          <w:rFonts w:ascii="Arial" w:hAnsi="Arial"/>
          <w:sz w:val="22"/>
          <w:szCs w:val="22"/>
        </w:rPr>
        <w:t xml:space="preserve"> major submission).</w:t>
      </w:r>
    </w:p>
    <w:p w:rsidR="00814428" w:rsidRDefault="00814428" w:rsidP="00D4172B">
      <w:pPr>
        <w:pStyle w:val="ListParagraph"/>
        <w:jc w:val="both"/>
        <w:rPr>
          <w:rFonts w:ascii="Arial" w:hAnsi="Arial"/>
          <w:color w:val="FF00FF"/>
          <w:sz w:val="22"/>
          <w:szCs w:val="22"/>
        </w:rPr>
      </w:pPr>
    </w:p>
    <w:p w:rsidR="00814428" w:rsidRPr="00814428" w:rsidRDefault="00814428" w:rsidP="00D4172B">
      <w:pPr>
        <w:pStyle w:val="ListParagraph"/>
        <w:numPr>
          <w:ilvl w:val="1"/>
          <w:numId w:val="2"/>
        </w:numPr>
        <w:jc w:val="both"/>
        <w:rPr>
          <w:rFonts w:ascii="Arial" w:hAnsi="Arial"/>
          <w:sz w:val="22"/>
          <w:szCs w:val="22"/>
        </w:rPr>
      </w:pPr>
      <w:r w:rsidRPr="00814428">
        <w:rPr>
          <w:rFonts w:ascii="Arial" w:hAnsi="Arial"/>
          <w:sz w:val="22"/>
          <w:szCs w:val="22"/>
        </w:rPr>
        <w:t xml:space="preserve">The </w:t>
      </w:r>
      <w:r w:rsidR="005F3C40">
        <w:rPr>
          <w:rFonts w:ascii="Arial" w:hAnsi="Arial"/>
          <w:sz w:val="22"/>
          <w:szCs w:val="22"/>
        </w:rPr>
        <w:t xml:space="preserve">minor re-submission’s </w:t>
      </w:r>
      <w:r w:rsidRPr="00814428">
        <w:rPr>
          <w:rFonts w:ascii="Arial" w:hAnsi="Arial"/>
          <w:sz w:val="22"/>
          <w:szCs w:val="22"/>
        </w:rPr>
        <w:t>revised financial estimates</w:t>
      </w:r>
      <w:r w:rsidR="00AD5431">
        <w:rPr>
          <w:rFonts w:ascii="Arial" w:hAnsi="Arial"/>
          <w:sz w:val="22"/>
          <w:szCs w:val="22"/>
        </w:rPr>
        <w:t>, incorporating the updated incidence and prevalence figures for HT-1</w:t>
      </w:r>
      <w:r w:rsidR="00C96D2F">
        <w:rPr>
          <w:rFonts w:ascii="Arial" w:hAnsi="Arial"/>
          <w:sz w:val="22"/>
          <w:szCs w:val="22"/>
        </w:rPr>
        <w:t>,</w:t>
      </w:r>
      <w:r w:rsidR="000A35F9">
        <w:rPr>
          <w:rFonts w:ascii="Arial" w:hAnsi="Arial"/>
          <w:sz w:val="22"/>
          <w:szCs w:val="22"/>
        </w:rPr>
        <w:t xml:space="preserve"> </w:t>
      </w:r>
      <w:r w:rsidRPr="00814428">
        <w:rPr>
          <w:rFonts w:ascii="Arial" w:hAnsi="Arial"/>
          <w:sz w:val="22"/>
          <w:szCs w:val="22"/>
        </w:rPr>
        <w:t>are presented in the following table.</w:t>
      </w:r>
    </w:p>
    <w:p w:rsidR="00AB73FD" w:rsidRDefault="00AB73FD" w:rsidP="00D4172B">
      <w:pPr>
        <w:ind w:left="720"/>
        <w:jc w:val="both"/>
        <w:rPr>
          <w:rFonts w:ascii="Arial" w:hAnsi="Arial"/>
          <w:sz w:val="22"/>
          <w:szCs w:val="22"/>
        </w:rPr>
      </w:pPr>
    </w:p>
    <w:p w:rsidR="00FA402A" w:rsidRPr="00FA402A" w:rsidRDefault="00FA402A" w:rsidP="00D4172B">
      <w:pPr>
        <w:keepNext/>
        <w:ind w:left="720"/>
        <w:jc w:val="both"/>
        <w:rPr>
          <w:rFonts w:ascii="Arial Narrow" w:hAnsi="Arial Narrow"/>
          <w:b/>
          <w:sz w:val="20"/>
          <w:szCs w:val="20"/>
        </w:rPr>
      </w:pPr>
      <w:r w:rsidRPr="00FA402A">
        <w:rPr>
          <w:rFonts w:ascii="Arial Narrow" w:hAnsi="Arial Narrow"/>
          <w:b/>
          <w:sz w:val="20"/>
          <w:szCs w:val="20"/>
        </w:rPr>
        <w:t xml:space="preserve">Table 1: Revised financial estimates presented in the minor </w:t>
      </w:r>
      <w:r w:rsidR="005F3C40">
        <w:rPr>
          <w:rFonts w:ascii="Arial Narrow" w:hAnsi="Arial Narrow"/>
          <w:b/>
          <w:sz w:val="20"/>
          <w:szCs w:val="20"/>
        </w:rPr>
        <w:t>re-</w:t>
      </w:r>
      <w:r w:rsidRPr="00FA402A">
        <w:rPr>
          <w:rFonts w:ascii="Arial Narrow" w:hAnsi="Arial Narrow"/>
          <w:b/>
          <w:sz w:val="20"/>
          <w:szCs w:val="20"/>
        </w:rPr>
        <w:t>submission</w:t>
      </w:r>
    </w:p>
    <w:tbl>
      <w:tblPr>
        <w:tblStyle w:val="TableGrid"/>
        <w:tblW w:w="0" w:type="auto"/>
        <w:tblInd w:w="720" w:type="dxa"/>
        <w:tblLook w:val="04A0" w:firstRow="1" w:lastRow="0" w:firstColumn="1" w:lastColumn="0" w:noHBand="0" w:noVBand="1"/>
        <w:tblCaption w:val="Table 1: Revised financial estimates presented in the minor re-submission"/>
        <w:tblDescription w:val="The redacted table above shows the minor-resubmission estimated a net cost to the PBS of less than $10 million in year 5 of listing, with a total net cost tot he PBS of $10-$20 illion over the first 5 years of listing. "/>
      </w:tblPr>
      <w:tblGrid>
        <w:gridCol w:w="2365"/>
        <w:gridCol w:w="1231"/>
        <w:gridCol w:w="1231"/>
        <w:gridCol w:w="1232"/>
        <w:gridCol w:w="1231"/>
        <w:gridCol w:w="1232"/>
      </w:tblGrid>
      <w:tr w:rsidR="00C47B7D" w:rsidRPr="00FA402A" w:rsidTr="007860B0">
        <w:trPr>
          <w:cantSplit/>
          <w:tblHeader/>
        </w:trPr>
        <w:tc>
          <w:tcPr>
            <w:tcW w:w="2365" w:type="dxa"/>
            <w:vAlign w:val="center"/>
          </w:tcPr>
          <w:p w:rsidR="00C47B7D" w:rsidRPr="00FA402A" w:rsidRDefault="00C47B7D" w:rsidP="0082378F">
            <w:pPr>
              <w:keepNext/>
              <w:rPr>
                <w:rFonts w:ascii="Arial Narrow" w:hAnsi="Arial Narrow"/>
                <w:sz w:val="20"/>
                <w:szCs w:val="20"/>
              </w:rPr>
            </w:pPr>
          </w:p>
        </w:tc>
        <w:tc>
          <w:tcPr>
            <w:tcW w:w="1231" w:type="dxa"/>
            <w:vAlign w:val="center"/>
          </w:tcPr>
          <w:p w:rsidR="00C47B7D" w:rsidRPr="00FA402A" w:rsidRDefault="00C47B7D" w:rsidP="0082378F">
            <w:pPr>
              <w:keepNext/>
              <w:rPr>
                <w:rFonts w:ascii="Arial Narrow" w:hAnsi="Arial Narrow"/>
                <w:b/>
                <w:sz w:val="20"/>
                <w:szCs w:val="20"/>
              </w:rPr>
            </w:pPr>
            <w:r w:rsidRPr="00FA402A">
              <w:rPr>
                <w:rFonts w:ascii="Arial Narrow" w:hAnsi="Arial Narrow"/>
                <w:b/>
                <w:sz w:val="20"/>
                <w:szCs w:val="20"/>
              </w:rPr>
              <w:t>Year 1</w:t>
            </w:r>
          </w:p>
        </w:tc>
        <w:tc>
          <w:tcPr>
            <w:tcW w:w="1231" w:type="dxa"/>
            <w:vAlign w:val="center"/>
          </w:tcPr>
          <w:p w:rsidR="00C47B7D" w:rsidRPr="00FA402A" w:rsidRDefault="00C47B7D" w:rsidP="0082378F">
            <w:pPr>
              <w:keepNext/>
              <w:rPr>
                <w:rFonts w:ascii="Arial Narrow" w:hAnsi="Arial Narrow"/>
                <w:b/>
                <w:sz w:val="20"/>
                <w:szCs w:val="20"/>
              </w:rPr>
            </w:pPr>
            <w:r w:rsidRPr="00FA402A">
              <w:rPr>
                <w:rFonts w:ascii="Arial Narrow" w:hAnsi="Arial Narrow"/>
                <w:b/>
                <w:sz w:val="20"/>
                <w:szCs w:val="20"/>
              </w:rPr>
              <w:t xml:space="preserve">Year 2 </w:t>
            </w:r>
          </w:p>
        </w:tc>
        <w:tc>
          <w:tcPr>
            <w:tcW w:w="1232" w:type="dxa"/>
            <w:vAlign w:val="center"/>
          </w:tcPr>
          <w:p w:rsidR="00C47B7D" w:rsidRPr="00FA402A" w:rsidRDefault="00C47B7D" w:rsidP="0082378F">
            <w:pPr>
              <w:keepNext/>
              <w:rPr>
                <w:rFonts w:ascii="Arial Narrow" w:hAnsi="Arial Narrow"/>
                <w:b/>
                <w:sz w:val="20"/>
                <w:szCs w:val="20"/>
              </w:rPr>
            </w:pPr>
            <w:r w:rsidRPr="00FA402A">
              <w:rPr>
                <w:rFonts w:ascii="Arial Narrow" w:hAnsi="Arial Narrow"/>
                <w:b/>
                <w:sz w:val="20"/>
                <w:szCs w:val="20"/>
              </w:rPr>
              <w:t xml:space="preserve">Year 3 </w:t>
            </w:r>
          </w:p>
        </w:tc>
        <w:tc>
          <w:tcPr>
            <w:tcW w:w="1231" w:type="dxa"/>
            <w:vAlign w:val="center"/>
          </w:tcPr>
          <w:p w:rsidR="00C47B7D" w:rsidRPr="00FA402A" w:rsidRDefault="00C47B7D" w:rsidP="0082378F">
            <w:pPr>
              <w:keepNext/>
              <w:rPr>
                <w:rFonts w:ascii="Arial Narrow" w:hAnsi="Arial Narrow"/>
                <w:b/>
                <w:sz w:val="20"/>
                <w:szCs w:val="20"/>
              </w:rPr>
            </w:pPr>
            <w:r w:rsidRPr="00FA402A">
              <w:rPr>
                <w:rFonts w:ascii="Arial Narrow" w:hAnsi="Arial Narrow"/>
                <w:b/>
                <w:sz w:val="20"/>
                <w:szCs w:val="20"/>
              </w:rPr>
              <w:t xml:space="preserve">Year 4 </w:t>
            </w:r>
          </w:p>
        </w:tc>
        <w:tc>
          <w:tcPr>
            <w:tcW w:w="1232" w:type="dxa"/>
            <w:vAlign w:val="center"/>
          </w:tcPr>
          <w:p w:rsidR="00C47B7D" w:rsidRPr="00FA402A" w:rsidRDefault="00C47B7D" w:rsidP="0082378F">
            <w:pPr>
              <w:keepNext/>
              <w:rPr>
                <w:rFonts w:ascii="Arial Narrow" w:hAnsi="Arial Narrow"/>
                <w:b/>
                <w:sz w:val="20"/>
                <w:szCs w:val="20"/>
              </w:rPr>
            </w:pPr>
            <w:r w:rsidRPr="00FA402A">
              <w:rPr>
                <w:rFonts w:ascii="Arial Narrow" w:hAnsi="Arial Narrow"/>
                <w:b/>
                <w:sz w:val="20"/>
                <w:szCs w:val="20"/>
              </w:rPr>
              <w:t xml:space="preserve">Year 5 </w:t>
            </w:r>
          </w:p>
        </w:tc>
      </w:tr>
      <w:tr w:rsidR="00C47B7D" w:rsidRPr="00FA402A" w:rsidTr="0082378F">
        <w:trPr>
          <w:cantSplit/>
        </w:trPr>
        <w:tc>
          <w:tcPr>
            <w:tcW w:w="2365" w:type="dxa"/>
            <w:vAlign w:val="center"/>
          </w:tcPr>
          <w:p w:rsidR="00C47B7D" w:rsidRPr="00FA402A" w:rsidRDefault="000327A9" w:rsidP="0082378F">
            <w:pPr>
              <w:keepNext/>
              <w:rPr>
                <w:rFonts w:ascii="Arial Narrow" w:hAnsi="Arial Narrow"/>
                <w:b/>
                <w:sz w:val="20"/>
                <w:szCs w:val="20"/>
              </w:rPr>
            </w:pPr>
            <w:r w:rsidRPr="00FA402A">
              <w:rPr>
                <w:rFonts w:ascii="Arial Narrow" w:hAnsi="Arial Narrow"/>
                <w:b/>
                <w:sz w:val="20"/>
                <w:szCs w:val="20"/>
              </w:rPr>
              <w:t>Number of patients</w:t>
            </w:r>
          </w:p>
        </w:tc>
        <w:tc>
          <w:tcPr>
            <w:tcW w:w="1231" w:type="dxa"/>
            <w:vAlign w:val="center"/>
          </w:tcPr>
          <w:p w:rsidR="00C47B7D" w:rsidRPr="00580300" w:rsidRDefault="00580300" w:rsidP="0082378F">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231" w:type="dxa"/>
            <w:vAlign w:val="center"/>
          </w:tcPr>
          <w:p w:rsidR="00C47B7D" w:rsidRPr="00580300" w:rsidRDefault="00580300" w:rsidP="0082378F">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232" w:type="dxa"/>
            <w:vAlign w:val="center"/>
          </w:tcPr>
          <w:p w:rsidR="00C47B7D" w:rsidRPr="00580300" w:rsidRDefault="00580300" w:rsidP="0082378F">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231" w:type="dxa"/>
            <w:vAlign w:val="center"/>
          </w:tcPr>
          <w:p w:rsidR="00C47B7D" w:rsidRPr="00580300" w:rsidRDefault="00580300" w:rsidP="0082378F">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232" w:type="dxa"/>
            <w:vAlign w:val="center"/>
          </w:tcPr>
          <w:p w:rsidR="00C47B7D" w:rsidRPr="00580300" w:rsidRDefault="00580300" w:rsidP="0082378F">
            <w:pPr>
              <w:keepNext/>
              <w:rPr>
                <w:rFonts w:ascii="Arial Narrow" w:hAnsi="Arial Narrow"/>
                <w:sz w:val="20"/>
                <w:szCs w:val="20"/>
                <w:highlight w:val="black"/>
              </w:rPr>
            </w:pPr>
            <w:r>
              <w:rPr>
                <w:rFonts w:ascii="Arial Narrow" w:hAnsi="Arial Narrow"/>
                <w:noProof/>
                <w:color w:val="000000"/>
                <w:sz w:val="20"/>
                <w:szCs w:val="20"/>
                <w:highlight w:val="black"/>
              </w:rPr>
              <w:t>'''''''''''''</w:t>
            </w:r>
          </w:p>
        </w:tc>
      </w:tr>
      <w:tr w:rsidR="00C47B7D" w:rsidRPr="00FA402A" w:rsidTr="0082378F">
        <w:trPr>
          <w:cantSplit/>
        </w:trPr>
        <w:tc>
          <w:tcPr>
            <w:tcW w:w="2365" w:type="dxa"/>
            <w:vAlign w:val="center"/>
          </w:tcPr>
          <w:p w:rsidR="00C47B7D" w:rsidRPr="00FA402A" w:rsidRDefault="007B6E69" w:rsidP="0082378F">
            <w:pPr>
              <w:keepNext/>
              <w:rPr>
                <w:rFonts w:ascii="Arial Narrow" w:hAnsi="Arial Narrow"/>
                <w:b/>
                <w:sz w:val="20"/>
                <w:szCs w:val="20"/>
              </w:rPr>
            </w:pPr>
            <w:r>
              <w:rPr>
                <w:rFonts w:ascii="Arial Narrow" w:hAnsi="Arial Narrow"/>
                <w:b/>
                <w:sz w:val="20"/>
                <w:szCs w:val="20"/>
              </w:rPr>
              <w:t>C</w:t>
            </w:r>
            <w:r w:rsidR="000327A9" w:rsidRPr="00FA402A">
              <w:rPr>
                <w:rFonts w:ascii="Arial Narrow" w:hAnsi="Arial Narrow"/>
                <w:b/>
                <w:sz w:val="20"/>
                <w:szCs w:val="20"/>
              </w:rPr>
              <w:t>ost to the PBS/RPBS</w:t>
            </w:r>
          </w:p>
        </w:tc>
        <w:tc>
          <w:tcPr>
            <w:tcW w:w="1231"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1"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2"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1"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2"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r>
      <w:tr w:rsidR="00C47B7D" w:rsidRPr="00FA402A" w:rsidTr="0082378F">
        <w:trPr>
          <w:cantSplit/>
        </w:trPr>
        <w:tc>
          <w:tcPr>
            <w:tcW w:w="2365" w:type="dxa"/>
            <w:vAlign w:val="center"/>
          </w:tcPr>
          <w:p w:rsidR="00C47B7D" w:rsidRPr="00FA402A" w:rsidRDefault="007B6E69" w:rsidP="0082378F">
            <w:pPr>
              <w:keepNext/>
              <w:rPr>
                <w:rFonts w:ascii="Arial Narrow" w:hAnsi="Arial Narrow"/>
                <w:b/>
                <w:sz w:val="20"/>
                <w:szCs w:val="20"/>
              </w:rPr>
            </w:pPr>
            <w:r>
              <w:rPr>
                <w:rFonts w:ascii="Arial Narrow" w:hAnsi="Arial Narrow"/>
                <w:b/>
                <w:sz w:val="20"/>
                <w:szCs w:val="20"/>
              </w:rPr>
              <w:t>P</w:t>
            </w:r>
            <w:r w:rsidR="000327A9" w:rsidRPr="00FA402A">
              <w:rPr>
                <w:rFonts w:ascii="Arial Narrow" w:hAnsi="Arial Narrow"/>
                <w:b/>
                <w:sz w:val="20"/>
                <w:szCs w:val="20"/>
              </w:rPr>
              <w:t xml:space="preserve">atient </w:t>
            </w:r>
            <w:proofErr w:type="spellStart"/>
            <w:r w:rsidR="000327A9" w:rsidRPr="00FA402A">
              <w:rPr>
                <w:rFonts w:ascii="Arial Narrow" w:hAnsi="Arial Narrow"/>
                <w:b/>
                <w:sz w:val="20"/>
                <w:szCs w:val="20"/>
              </w:rPr>
              <w:t>cop</w:t>
            </w:r>
            <w:r w:rsidR="000254E3" w:rsidRPr="00FA402A">
              <w:rPr>
                <w:rFonts w:ascii="Arial Narrow" w:hAnsi="Arial Narrow"/>
                <w:b/>
                <w:sz w:val="20"/>
                <w:szCs w:val="20"/>
              </w:rPr>
              <w:t>ay</w:t>
            </w:r>
            <w:r w:rsidR="000327A9" w:rsidRPr="00FA402A">
              <w:rPr>
                <w:rFonts w:ascii="Arial Narrow" w:hAnsi="Arial Narrow"/>
                <w:b/>
                <w:sz w:val="20"/>
                <w:szCs w:val="20"/>
              </w:rPr>
              <w:t>ments</w:t>
            </w:r>
            <w:proofErr w:type="spellEnd"/>
          </w:p>
        </w:tc>
        <w:tc>
          <w:tcPr>
            <w:tcW w:w="1231"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1"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2"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1"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2" w:type="dxa"/>
            <w:vAlign w:val="center"/>
          </w:tcPr>
          <w:p w:rsidR="00C47B7D" w:rsidRPr="00001BD7" w:rsidRDefault="00F25805" w:rsidP="0082378F">
            <w:pPr>
              <w:keepNext/>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r>
      <w:tr w:rsidR="00C47B7D" w:rsidRPr="00FA402A" w:rsidTr="00001BD7">
        <w:trPr>
          <w:cantSplit/>
        </w:trPr>
        <w:tc>
          <w:tcPr>
            <w:tcW w:w="2365" w:type="dxa"/>
            <w:shd w:val="clear" w:color="auto" w:fill="auto"/>
            <w:vAlign w:val="center"/>
          </w:tcPr>
          <w:p w:rsidR="00C47B7D" w:rsidRPr="00FA402A" w:rsidRDefault="000327A9" w:rsidP="0082378F">
            <w:pPr>
              <w:rPr>
                <w:rFonts w:ascii="Arial Narrow" w:hAnsi="Arial Narrow"/>
                <w:b/>
                <w:sz w:val="20"/>
                <w:szCs w:val="20"/>
              </w:rPr>
            </w:pPr>
            <w:r w:rsidRPr="00FA402A">
              <w:rPr>
                <w:rFonts w:ascii="Arial Narrow" w:hAnsi="Arial Narrow"/>
                <w:b/>
                <w:sz w:val="20"/>
                <w:szCs w:val="20"/>
              </w:rPr>
              <w:t>Net cost to the PBS/RPBS</w:t>
            </w:r>
          </w:p>
        </w:tc>
        <w:tc>
          <w:tcPr>
            <w:tcW w:w="1231" w:type="dxa"/>
            <w:shd w:val="clear" w:color="auto" w:fill="auto"/>
            <w:vAlign w:val="center"/>
          </w:tcPr>
          <w:p w:rsidR="00C47B7D" w:rsidRPr="00001BD7" w:rsidRDefault="00F25805" w:rsidP="0082378F">
            <w:pPr>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1" w:type="dxa"/>
            <w:shd w:val="clear" w:color="auto" w:fill="auto"/>
            <w:vAlign w:val="center"/>
          </w:tcPr>
          <w:p w:rsidR="00C47B7D" w:rsidRPr="00001BD7" w:rsidRDefault="00F25805" w:rsidP="0082378F">
            <w:pPr>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2" w:type="dxa"/>
            <w:shd w:val="clear" w:color="auto" w:fill="auto"/>
            <w:vAlign w:val="center"/>
          </w:tcPr>
          <w:p w:rsidR="00C47B7D" w:rsidRPr="00001BD7" w:rsidRDefault="00F25805" w:rsidP="0082378F">
            <w:pPr>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1" w:type="dxa"/>
            <w:shd w:val="clear" w:color="auto" w:fill="auto"/>
            <w:vAlign w:val="center"/>
          </w:tcPr>
          <w:p w:rsidR="00C47B7D" w:rsidRPr="00001BD7" w:rsidRDefault="00F25805" w:rsidP="0082378F">
            <w:pPr>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c>
          <w:tcPr>
            <w:tcW w:w="1232" w:type="dxa"/>
            <w:shd w:val="clear" w:color="auto" w:fill="auto"/>
            <w:vAlign w:val="center"/>
          </w:tcPr>
          <w:p w:rsidR="00C47B7D" w:rsidRPr="00001BD7" w:rsidRDefault="00F25805" w:rsidP="0082378F">
            <w:pPr>
              <w:rPr>
                <w:rFonts w:ascii="Arial Narrow" w:hAnsi="Arial Narrow"/>
                <w:sz w:val="20"/>
                <w:szCs w:val="20"/>
              </w:rPr>
            </w:pPr>
            <w:r w:rsidRPr="00001BD7">
              <w:rPr>
                <w:rFonts w:ascii="Arial Narrow" w:hAnsi="Arial Narrow"/>
                <w:sz w:val="20"/>
                <w:szCs w:val="20"/>
              </w:rPr>
              <w:t>$</w:t>
            </w:r>
            <w:r w:rsidR="00580300">
              <w:rPr>
                <w:rFonts w:ascii="Arial Narrow" w:hAnsi="Arial Narrow"/>
                <w:noProof/>
                <w:color w:val="000000"/>
                <w:sz w:val="20"/>
                <w:szCs w:val="20"/>
                <w:highlight w:val="black"/>
              </w:rPr>
              <w:t>'''''''''''''''''''''''''</w:t>
            </w:r>
          </w:p>
        </w:tc>
      </w:tr>
    </w:tbl>
    <w:p w:rsidR="00F25805" w:rsidRPr="00814428" w:rsidRDefault="00F25805" w:rsidP="00D4172B">
      <w:pPr>
        <w:rPr>
          <w:rFonts w:ascii="Arial" w:hAnsi="Arial"/>
          <w:color w:val="FF00FF"/>
          <w:sz w:val="22"/>
          <w:szCs w:val="22"/>
        </w:rPr>
      </w:pPr>
    </w:p>
    <w:p w:rsidR="000327A9" w:rsidRPr="005B00AA" w:rsidRDefault="00001BD7" w:rsidP="005B00AA">
      <w:pPr>
        <w:pStyle w:val="ListParagraph"/>
        <w:numPr>
          <w:ilvl w:val="1"/>
          <w:numId w:val="2"/>
        </w:numPr>
        <w:jc w:val="both"/>
        <w:rPr>
          <w:rFonts w:ascii="Arial" w:hAnsi="Arial"/>
          <w:sz w:val="22"/>
          <w:szCs w:val="22"/>
        </w:rPr>
      </w:pPr>
      <w:r w:rsidRPr="005B00AA">
        <w:rPr>
          <w:rFonts w:ascii="Arial" w:hAnsi="Arial"/>
          <w:sz w:val="22"/>
          <w:szCs w:val="22"/>
        </w:rPr>
        <w:t>The redacted table above shows t</w:t>
      </w:r>
      <w:r w:rsidR="00F25805" w:rsidRPr="005B00AA">
        <w:rPr>
          <w:rFonts w:ascii="Arial" w:hAnsi="Arial"/>
          <w:sz w:val="22"/>
          <w:szCs w:val="22"/>
        </w:rPr>
        <w:t xml:space="preserve">he minor </w:t>
      </w:r>
      <w:r w:rsidR="005F3C40" w:rsidRPr="005B00AA">
        <w:rPr>
          <w:rFonts w:ascii="Arial" w:hAnsi="Arial"/>
          <w:sz w:val="22"/>
          <w:szCs w:val="22"/>
        </w:rPr>
        <w:t>re-</w:t>
      </w:r>
      <w:r w:rsidR="00F25805" w:rsidRPr="005B00AA">
        <w:rPr>
          <w:rFonts w:ascii="Arial" w:hAnsi="Arial"/>
          <w:sz w:val="22"/>
          <w:szCs w:val="22"/>
        </w:rPr>
        <w:t>submission estimate</w:t>
      </w:r>
      <w:r w:rsidR="00CE25CE" w:rsidRPr="005B00AA">
        <w:rPr>
          <w:rFonts w:ascii="Arial" w:hAnsi="Arial"/>
          <w:sz w:val="22"/>
          <w:szCs w:val="22"/>
        </w:rPr>
        <w:t>d</w:t>
      </w:r>
      <w:r w:rsidR="00F25805" w:rsidRPr="005B00AA">
        <w:rPr>
          <w:rFonts w:ascii="Arial" w:hAnsi="Arial"/>
          <w:sz w:val="22"/>
          <w:szCs w:val="22"/>
        </w:rPr>
        <w:t xml:space="preserve"> a net cost to the PBS of </w:t>
      </w:r>
      <w:r w:rsidRPr="005B00AA">
        <w:rPr>
          <w:rFonts w:ascii="Arial" w:hAnsi="Arial"/>
          <w:sz w:val="22"/>
          <w:szCs w:val="22"/>
        </w:rPr>
        <w:t>less than $10 million</w:t>
      </w:r>
      <w:r w:rsidR="00F25805" w:rsidRPr="005B00AA">
        <w:rPr>
          <w:rFonts w:ascii="Arial" w:hAnsi="Arial"/>
          <w:sz w:val="22"/>
          <w:szCs w:val="22"/>
        </w:rPr>
        <w:t xml:space="preserve"> in year 5 of listing, with a total net cost to the PBS of $</w:t>
      </w:r>
      <w:r w:rsidRPr="005B00AA">
        <w:rPr>
          <w:rFonts w:ascii="Arial" w:hAnsi="Arial"/>
          <w:sz w:val="22"/>
          <w:szCs w:val="22"/>
        </w:rPr>
        <w:t>10-$20 million</w:t>
      </w:r>
      <w:r w:rsidR="00F25805" w:rsidRPr="005B00AA">
        <w:rPr>
          <w:rFonts w:ascii="Arial" w:hAnsi="Arial"/>
          <w:sz w:val="22"/>
          <w:szCs w:val="22"/>
        </w:rPr>
        <w:t xml:space="preserve"> over the first 5 years of listing.</w:t>
      </w:r>
    </w:p>
    <w:p w:rsidR="006D4E7C" w:rsidRDefault="006D4E7C" w:rsidP="00D4172B">
      <w:pPr>
        <w:pStyle w:val="ListParagraph"/>
        <w:jc w:val="both"/>
        <w:rPr>
          <w:rFonts w:ascii="Arial" w:hAnsi="Arial"/>
          <w:sz w:val="22"/>
          <w:szCs w:val="22"/>
        </w:rPr>
      </w:pPr>
    </w:p>
    <w:p w:rsidR="006D4E7C" w:rsidRPr="006D4E7C" w:rsidRDefault="006D4E7C" w:rsidP="00D4172B">
      <w:pPr>
        <w:pStyle w:val="ListParagraph"/>
        <w:numPr>
          <w:ilvl w:val="1"/>
          <w:numId w:val="2"/>
        </w:numPr>
        <w:jc w:val="both"/>
        <w:rPr>
          <w:rFonts w:ascii="Arial" w:hAnsi="Arial"/>
          <w:sz w:val="22"/>
          <w:szCs w:val="22"/>
        </w:rPr>
      </w:pPr>
      <w:r>
        <w:rPr>
          <w:rFonts w:ascii="Arial" w:hAnsi="Arial"/>
          <w:sz w:val="22"/>
          <w:szCs w:val="22"/>
        </w:rPr>
        <w:t xml:space="preserve">The minor re-submission referenced the fees for neuropsychological assessments, as advised by the </w:t>
      </w:r>
      <w:r w:rsidDel="003B4840">
        <w:rPr>
          <w:rFonts w:ascii="Arial" w:hAnsi="Arial"/>
          <w:sz w:val="22"/>
          <w:szCs w:val="22"/>
        </w:rPr>
        <w:t xml:space="preserve">Australian Psychological Society </w:t>
      </w:r>
      <w:r>
        <w:rPr>
          <w:rFonts w:ascii="Arial" w:hAnsi="Arial"/>
          <w:sz w:val="22"/>
          <w:szCs w:val="22"/>
        </w:rPr>
        <w:t xml:space="preserve">and Department of Veterans Affairs. According to these sources, tests ranged from 16 minutes to 4 hours and had an associated fee range from </w:t>
      </w:r>
      <w:r w:rsidRPr="00C77A50">
        <w:rPr>
          <w:rFonts w:ascii="Arial" w:hAnsi="Arial"/>
          <w:sz w:val="22"/>
          <w:szCs w:val="22"/>
        </w:rPr>
        <w:t>$</w:t>
      </w:r>
      <w:r w:rsidRPr="00675BD8">
        <w:rPr>
          <w:rFonts w:ascii="Arial" w:hAnsi="Arial"/>
          <w:sz w:val="22"/>
          <w:szCs w:val="22"/>
        </w:rPr>
        <w:t xml:space="preserve">129 to $595.65. </w:t>
      </w:r>
      <w:r>
        <w:rPr>
          <w:rFonts w:ascii="Arial" w:hAnsi="Arial"/>
          <w:sz w:val="22"/>
          <w:szCs w:val="22"/>
        </w:rPr>
        <w:t>The submission</w:t>
      </w:r>
      <w:r w:rsidDel="003B4840">
        <w:rPr>
          <w:rFonts w:ascii="Arial" w:hAnsi="Arial"/>
          <w:sz w:val="22"/>
          <w:szCs w:val="22"/>
        </w:rPr>
        <w:t xml:space="preserve"> </w:t>
      </w:r>
      <w:r w:rsidR="00CF799B">
        <w:rPr>
          <w:rFonts w:ascii="Arial" w:hAnsi="Arial"/>
          <w:sz w:val="22"/>
          <w:szCs w:val="22"/>
        </w:rPr>
        <w:t>claimed</w:t>
      </w:r>
      <w:r w:rsidR="00CF799B" w:rsidDel="003B4840">
        <w:rPr>
          <w:rFonts w:ascii="Arial" w:hAnsi="Arial"/>
          <w:sz w:val="22"/>
          <w:szCs w:val="22"/>
        </w:rPr>
        <w:t xml:space="preserve"> </w:t>
      </w:r>
      <w:r w:rsidDel="003B4840">
        <w:rPr>
          <w:rFonts w:ascii="Arial" w:hAnsi="Arial"/>
          <w:sz w:val="22"/>
          <w:szCs w:val="22"/>
        </w:rPr>
        <w:t xml:space="preserve">that </w:t>
      </w:r>
      <w:r>
        <w:rPr>
          <w:rFonts w:ascii="Arial" w:hAnsi="Arial"/>
          <w:sz w:val="22"/>
          <w:szCs w:val="22"/>
        </w:rPr>
        <w:t>these costs</w:t>
      </w:r>
      <w:r w:rsidDel="003B4840">
        <w:rPr>
          <w:rFonts w:ascii="Arial" w:hAnsi="Arial"/>
          <w:sz w:val="22"/>
          <w:szCs w:val="22"/>
        </w:rPr>
        <w:t xml:space="preserve"> would have little to no impact on the cost-effectiveness or net financial implications to Government health budgets.</w:t>
      </w:r>
    </w:p>
    <w:p w:rsidR="00F25805" w:rsidRPr="00F25805" w:rsidRDefault="00F25805" w:rsidP="00D4172B">
      <w:pPr>
        <w:jc w:val="both"/>
        <w:rPr>
          <w:rFonts w:ascii="Arial" w:hAnsi="Arial"/>
          <w:sz w:val="22"/>
          <w:szCs w:val="22"/>
        </w:rPr>
      </w:pPr>
    </w:p>
    <w:p w:rsidR="00DC01C1" w:rsidRPr="00B4026C" w:rsidRDefault="000327A9" w:rsidP="00D4172B">
      <w:pPr>
        <w:pStyle w:val="ListParagraph"/>
        <w:numPr>
          <w:ilvl w:val="1"/>
          <w:numId w:val="2"/>
        </w:numPr>
        <w:jc w:val="both"/>
        <w:rPr>
          <w:rFonts w:ascii="Arial" w:hAnsi="Arial"/>
          <w:color w:val="FF00FF"/>
          <w:sz w:val="22"/>
          <w:szCs w:val="22"/>
        </w:rPr>
      </w:pPr>
      <w:r>
        <w:rPr>
          <w:rFonts w:ascii="Arial" w:hAnsi="Arial"/>
          <w:sz w:val="22"/>
          <w:szCs w:val="22"/>
        </w:rPr>
        <w:t>The submission noted that the sponsor is willing to enter into a discussion with the PBAC on a Risk Sharing Agreement and the potential mechanisms to contain the risk associated with the cost of the drug to the PBS.</w:t>
      </w:r>
    </w:p>
    <w:p w:rsidR="008408E7" w:rsidRPr="00C00DA7" w:rsidRDefault="008408E7" w:rsidP="00D4172B">
      <w:pPr>
        <w:jc w:val="both"/>
        <w:rPr>
          <w:rFonts w:ascii="Arial" w:hAnsi="Arial"/>
          <w:sz w:val="22"/>
          <w:szCs w:val="22"/>
        </w:rPr>
      </w:pPr>
    </w:p>
    <w:p w:rsidR="003D6F9D" w:rsidRDefault="003D6F9D" w:rsidP="00D4172B">
      <w:pPr>
        <w:pStyle w:val="ListParagraph"/>
        <w:ind w:left="709"/>
        <w:jc w:val="both"/>
        <w:rPr>
          <w:rFonts w:ascii="Arial" w:hAnsi="Arial"/>
          <w:i/>
          <w:sz w:val="22"/>
          <w:szCs w:val="22"/>
        </w:rPr>
      </w:pPr>
      <w:r w:rsidRPr="00677328">
        <w:rPr>
          <w:rFonts w:ascii="Arial" w:hAnsi="Arial"/>
          <w:i/>
          <w:sz w:val="22"/>
          <w:szCs w:val="22"/>
        </w:rPr>
        <w:t>For more detail on PBAC’s view, see section 6 “PBAC outcome”</w:t>
      </w:r>
    </w:p>
    <w:p w:rsidR="00DC01C1" w:rsidRDefault="00DC01C1" w:rsidP="00D4172B">
      <w:pPr>
        <w:rPr>
          <w:rFonts w:ascii="Arial" w:hAnsi="Arial"/>
          <w:sz w:val="22"/>
          <w:szCs w:val="22"/>
        </w:rPr>
      </w:pPr>
    </w:p>
    <w:p w:rsidR="000327A9" w:rsidRPr="000327A9" w:rsidRDefault="000327A9" w:rsidP="00D4172B">
      <w:pPr>
        <w:rPr>
          <w:rFonts w:ascii="Arial" w:hAnsi="Arial" w:cs="Arial"/>
          <w:sz w:val="22"/>
          <w:szCs w:val="22"/>
        </w:rPr>
      </w:pPr>
    </w:p>
    <w:p w:rsidR="003D6F9D" w:rsidRPr="007860B0" w:rsidRDefault="003D6F9D" w:rsidP="007860B0">
      <w:pPr>
        <w:pStyle w:val="Heading2"/>
      </w:pPr>
      <w:r w:rsidRPr="007860B0">
        <w:t>PBAC Outcome</w:t>
      </w:r>
    </w:p>
    <w:p w:rsidR="003D6F9D" w:rsidRDefault="003D6F9D" w:rsidP="00D4172B">
      <w:pPr>
        <w:contextualSpacing/>
        <w:jc w:val="both"/>
        <w:rPr>
          <w:rFonts w:ascii="Arial" w:hAnsi="Arial" w:cs="Arial"/>
          <w:b/>
          <w:bCs/>
          <w:snapToGrid w:val="0"/>
          <w:sz w:val="22"/>
          <w:szCs w:val="22"/>
          <w:highlight w:val="yellow"/>
          <w:lang w:val="en-GB"/>
        </w:rPr>
      </w:pPr>
    </w:p>
    <w:p w:rsidR="00424FBA" w:rsidRPr="00FF1587" w:rsidRDefault="00424FBA" w:rsidP="00D4172B">
      <w:pPr>
        <w:pStyle w:val="ListParagraph"/>
        <w:numPr>
          <w:ilvl w:val="1"/>
          <w:numId w:val="2"/>
        </w:numPr>
        <w:jc w:val="both"/>
      </w:pPr>
      <w:r w:rsidRPr="00424FBA">
        <w:rPr>
          <w:rFonts w:ascii="Arial" w:hAnsi="Arial" w:cs="Arial"/>
          <w:bCs/>
          <w:snapToGrid w:val="0"/>
          <w:sz w:val="22"/>
          <w:szCs w:val="22"/>
          <w:lang w:val="en-GB"/>
        </w:rPr>
        <w:t xml:space="preserve">The PBAC rejected the request to list nitisinone on the PBS for the treatment of </w:t>
      </w:r>
      <w:r w:rsidR="00016B77">
        <w:rPr>
          <w:rFonts w:ascii="Arial" w:hAnsi="Arial" w:cs="Arial"/>
          <w:bCs/>
          <w:snapToGrid w:val="0"/>
          <w:sz w:val="22"/>
          <w:szCs w:val="22"/>
          <w:lang w:val="en-GB"/>
        </w:rPr>
        <w:t>HT-1</w:t>
      </w:r>
      <w:r w:rsidR="00016B77" w:rsidRPr="00424FBA">
        <w:rPr>
          <w:rFonts w:ascii="Arial" w:hAnsi="Arial" w:cs="Arial"/>
          <w:bCs/>
          <w:snapToGrid w:val="0"/>
          <w:sz w:val="22"/>
          <w:szCs w:val="22"/>
          <w:lang w:val="en-GB"/>
        </w:rPr>
        <w:t xml:space="preserve"> </w:t>
      </w:r>
      <w:r w:rsidRPr="00424FBA">
        <w:rPr>
          <w:rFonts w:ascii="Arial" w:hAnsi="Arial" w:cs="Arial"/>
          <w:bCs/>
          <w:snapToGrid w:val="0"/>
          <w:sz w:val="22"/>
          <w:szCs w:val="22"/>
          <w:lang w:val="en-GB"/>
        </w:rPr>
        <w:t xml:space="preserve">on the basis </w:t>
      </w:r>
      <w:r w:rsidR="00016B77">
        <w:rPr>
          <w:rFonts w:ascii="Arial" w:hAnsi="Arial" w:cs="Arial"/>
          <w:bCs/>
          <w:snapToGrid w:val="0"/>
          <w:sz w:val="22"/>
          <w:szCs w:val="22"/>
          <w:lang w:val="en-GB"/>
        </w:rPr>
        <w:t xml:space="preserve">of an </w:t>
      </w:r>
      <w:r w:rsidR="0082378F">
        <w:rPr>
          <w:rFonts w:ascii="Arial" w:hAnsi="Arial" w:cs="Arial"/>
          <w:bCs/>
          <w:snapToGrid w:val="0"/>
          <w:sz w:val="22"/>
          <w:szCs w:val="22"/>
          <w:lang w:val="en-GB"/>
        </w:rPr>
        <w:t>uncertain and unacceptably</w:t>
      </w:r>
      <w:r w:rsidR="002E4631" w:rsidRPr="002E4631">
        <w:rPr>
          <w:rFonts w:ascii="Arial" w:hAnsi="Arial" w:cs="Arial"/>
          <w:sz w:val="22"/>
          <w:szCs w:val="22"/>
        </w:rPr>
        <w:t xml:space="preserve"> high</w:t>
      </w:r>
      <w:r w:rsidR="00016B77">
        <w:rPr>
          <w:rFonts w:ascii="Arial" w:hAnsi="Arial" w:cs="Arial"/>
          <w:sz w:val="22"/>
          <w:szCs w:val="22"/>
        </w:rPr>
        <w:t xml:space="preserve"> estimate of</w:t>
      </w:r>
      <w:r w:rsidR="0082378F">
        <w:rPr>
          <w:rFonts w:ascii="Arial" w:hAnsi="Arial" w:cs="Arial"/>
          <w:sz w:val="22"/>
          <w:szCs w:val="22"/>
        </w:rPr>
        <w:t xml:space="preserve"> cost effectiveness</w:t>
      </w:r>
      <w:r w:rsidR="002E4631" w:rsidRPr="002E4631">
        <w:rPr>
          <w:rFonts w:ascii="Arial" w:hAnsi="Arial" w:cs="Arial"/>
          <w:sz w:val="22"/>
          <w:szCs w:val="22"/>
        </w:rPr>
        <w:t>.</w:t>
      </w:r>
      <w:r w:rsidR="002E4631">
        <w:t xml:space="preserve"> </w:t>
      </w:r>
    </w:p>
    <w:p w:rsidR="00424FBA" w:rsidRPr="00424FBA" w:rsidRDefault="00424FBA" w:rsidP="00D4172B">
      <w:pPr>
        <w:contextualSpacing/>
        <w:jc w:val="both"/>
        <w:rPr>
          <w:rFonts w:ascii="Arial" w:hAnsi="Arial" w:cs="Arial"/>
          <w:b/>
          <w:bCs/>
          <w:snapToGrid w:val="0"/>
          <w:sz w:val="22"/>
          <w:szCs w:val="22"/>
          <w:lang w:val="en-GB"/>
        </w:rPr>
      </w:pPr>
    </w:p>
    <w:p w:rsidR="00424FBA" w:rsidRPr="00424FBA" w:rsidRDefault="002E4631" w:rsidP="00D4172B">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w:t>
      </w:r>
      <w:r w:rsidRPr="002E4631">
        <w:rPr>
          <w:rFonts w:ascii="Arial" w:hAnsi="Arial" w:cs="Arial"/>
          <w:bCs/>
          <w:snapToGrid w:val="0"/>
          <w:sz w:val="22"/>
          <w:szCs w:val="22"/>
          <w:lang w:val="en-GB"/>
        </w:rPr>
        <w:t xml:space="preserve">PBAC recalled </w:t>
      </w:r>
      <w:r w:rsidR="0082378F">
        <w:rPr>
          <w:rFonts w:ascii="Arial" w:hAnsi="Arial" w:cs="Arial"/>
          <w:bCs/>
          <w:snapToGrid w:val="0"/>
          <w:sz w:val="22"/>
          <w:szCs w:val="22"/>
          <w:lang w:val="en-GB"/>
        </w:rPr>
        <w:t>that in November 2014, it noted the</w:t>
      </w:r>
      <w:r w:rsidRPr="002E4631">
        <w:rPr>
          <w:rFonts w:ascii="Arial" w:hAnsi="Arial" w:cs="Arial"/>
          <w:sz w:val="22"/>
          <w:szCs w:val="22"/>
        </w:rPr>
        <w:t xml:space="preserve"> clinical need for nitisinone for the treatment of HT-1 and </w:t>
      </w:r>
      <w:proofErr w:type="gramStart"/>
      <w:r w:rsidRPr="002E4631">
        <w:rPr>
          <w:rFonts w:ascii="Arial" w:hAnsi="Arial" w:cs="Arial"/>
          <w:sz w:val="22"/>
          <w:szCs w:val="22"/>
        </w:rPr>
        <w:t>that patients</w:t>
      </w:r>
      <w:proofErr w:type="gramEnd"/>
      <w:r w:rsidRPr="002E4631">
        <w:rPr>
          <w:rFonts w:ascii="Arial" w:hAnsi="Arial" w:cs="Arial"/>
          <w:sz w:val="22"/>
          <w:szCs w:val="22"/>
        </w:rPr>
        <w:t xml:space="preserve"> are currently being treated with the drug through hospitals.</w:t>
      </w:r>
    </w:p>
    <w:p w:rsidR="00424FBA" w:rsidRPr="00424FBA" w:rsidRDefault="00424FBA" w:rsidP="00D4172B">
      <w:pPr>
        <w:contextualSpacing/>
        <w:jc w:val="both"/>
        <w:rPr>
          <w:rFonts w:ascii="Arial" w:hAnsi="Arial" w:cs="Arial"/>
          <w:b/>
          <w:bCs/>
          <w:snapToGrid w:val="0"/>
          <w:sz w:val="22"/>
          <w:szCs w:val="22"/>
          <w:lang w:val="en-GB"/>
        </w:rPr>
      </w:pPr>
      <w:r w:rsidRPr="00424FBA">
        <w:rPr>
          <w:rFonts w:ascii="Arial" w:hAnsi="Arial" w:cs="Arial"/>
          <w:bCs/>
          <w:snapToGrid w:val="0"/>
          <w:sz w:val="22"/>
          <w:szCs w:val="22"/>
          <w:lang w:val="en-GB"/>
        </w:rPr>
        <w:t xml:space="preserve"> </w:t>
      </w:r>
    </w:p>
    <w:p w:rsidR="00424FBA" w:rsidRPr="00016B77" w:rsidRDefault="00C515AF" w:rsidP="00D4172B">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accepted that </w:t>
      </w:r>
      <w:r>
        <w:rPr>
          <w:rFonts w:ascii="Arial" w:hAnsi="Arial"/>
          <w:sz w:val="22"/>
          <w:szCs w:val="22"/>
        </w:rPr>
        <w:t>standard</w:t>
      </w:r>
      <w:r w:rsidRPr="00606FB6">
        <w:rPr>
          <w:rFonts w:ascii="Arial" w:hAnsi="Arial"/>
          <w:sz w:val="22"/>
          <w:szCs w:val="22"/>
        </w:rPr>
        <w:t xml:space="preserve"> medical management witho</w:t>
      </w:r>
      <w:r>
        <w:rPr>
          <w:rFonts w:ascii="Arial" w:hAnsi="Arial"/>
          <w:sz w:val="22"/>
          <w:szCs w:val="22"/>
        </w:rPr>
        <w:t xml:space="preserve">ut nitisinone (i.e. diet alone) was the appropriate comparator. </w:t>
      </w:r>
    </w:p>
    <w:p w:rsidR="002303B2" w:rsidRDefault="002303B2" w:rsidP="00016B77">
      <w:pPr>
        <w:pStyle w:val="ListParagraph"/>
        <w:rPr>
          <w:rFonts w:ascii="Arial" w:hAnsi="Arial" w:cs="Arial"/>
          <w:b/>
          <w:bCs/>
          <w:snapToGrid w:val="0"/>
          <w:sz w:val="22"/>
          <w:szCs w:val="22"/>
          <w:lang w:val="en-GB"/>
        </w:rPr>
      </w:pPr>
    </w:p>
    <w:p w:rsidR="002303B2" w:rsidRPr="00016B77" w:rsidRDefault="002303B2" w:rsidP="00D4172B">
      <w:pPr>
        <w:numPr>
          <w:ilvl w:val="1"/>
          <w:numId w:val="2"/>
        </w:numPr>
        <w:contextualSpacing/>
        <w:jc w:val="both"/>
        <w:rPr>
          <w:rFonts w:ascii="Arial" w:hAnsi="Arial" w:cs="Arial"/>
          <w:bCs/>
          <w:snapToGrid w:val="0"/>
          <w:sz w:val="22"/>
          <w:szCs w:val="22"/>
          <w:lang w:val="en-GB"/>
        </w:rPr>
      </w:pPr>
      <w:r w:rsidRPr="00016B77">
        <w:rPr>
          <w:rFonts w:ascii="Arial" w:hAnsi="Arial" w:cs="Arial"/>
          <w:bCs/>
          <w:snapToGrid w:val="0"/>
          <w:sz w:val="22"/>
          <w:szCs w:val="22"/>
          <w:lang w:val="en-GB"/>
        </w:rPr>
        <w:t>The PBAC</w:t>
      </w:r>
      <w:r>
        <w:rPr>
          <w:rFonts w:ascii="Arial" w:hAnsi="Arial" w:cs="Arial"/>
          <w:bCs/>
          <w:snapToGrid w:val="0"/>
          <w:sz w:val="22"/>
          <w:szCs w:val="22"/>
          <w:lang w:val="en-GB"/>
        </w:rPr>
        <w:t xml:space="preserve"> noted that the restriction requested in the minor re-submission was consistent with the agreed wording from the February 2015 stakeholder meeting.</w:t>
      </w:r>
    </w:p>
    <w:p w:rsidR="00424FBA" w:rsidRPr="00424FBA" w:rsidRDefault="00424FBA" w:rsidP="00D4172B">
      <w:pPr>
        <w:ind w:left="720"/>
        <w:contextualSpacing/>
        <w:jc w:val="both"/>
        <w:rPr>
          <w:rFonts w:ascii="Arial" w:hAnsi="Arial" w:cs="Arial"/>
          <w:b/>
          <w:bCs/>
          <w:snapToGrid w:val="0"/>
          <w:sz w:val="22"/>
          <w:szCs w:val="22"/>
          <w:lang w:val="en-GB"/>
        </w:rPr>
      </w:pPr>
    </w:p>
    <w:p w:rsidR="00424FBA" w:rsidRPr="00677328" w:rsidRDefault="00C515AF" w:rsidP="00D4172B">
      <w:pPr>
        <w:numPr>
          <w:ilvl w:val="1"/>
          <w:numId w:val="2"/>
        </w:numPr>
        <w:contextualSpacing/>
        <w:jc w:val="both"/>
        <w:rPr>
          <w:rFonts w:ascii="Arial" w:hAnsi="Arial" w:cs="Arial"/>
          <w:b/>
          <w:bCs/>
          <w:snapToGrid w:val="0"/>
          <w:sz w:val="22"/>
          <w:szCs w:val="22"/>
          <w:lang w:val="en-GB"/>
        </w:rPr>
      </w:pPr>
      <w:r>
        <w:rPr>
          <w:rFonts w:ascii="Arial" w:hAnsi="Arial" w:cs="Arial"/>
          <w:bCs/>
          <w:snapToGrid w:val="0"/>
          <w:sz w:val="22"/>
          <w:szCs w:val="22"/>
          <w:lang w:val="en-GB"/>
        </w:rPr>
        <w:t>The PBAC noted that no new clinical evidence was presented in the minor re</w:t>
      </w:r>
      <w:r w:rsidR="0082378F">
        <w:rPr>
          <w:rFonts w:ascii="Arial" w:hAnsi="Arial" w:cs="Arial"/>
          <w:bCs/>
          <w:snapToGrid w:val="0"/>
          <w:sz w:val="22"/>
          <w:szCs w:val="22"/>
          <w:lang w:val="en-GB"/>
        </w:rPr>
        <w:noBreakHyphen/>
      </w:r>
      <w:r>
        <w:rPr>
          <w:rFonts w:ascii="Arial" w:hAnsi="Arial" w:cs="Arial"/>
          <w:bCs/>
          <w:snapToGrid w:val="0"/>
          <w:sz w:val="22"/>
          <w:szCs w:val="22"/>
          <w:lang w:val="en-GB"/>
        </w:rPr>
        <w:t>submission</w:t>
      </w:r>
      <w:r w:rsidR="00CE4173">
        <w:rPr>
          <w:rFonts w:ascii="Arial" w:hAnsi="Arial" w:cs="Arial"/>
          <w:bCs/>
          <w:snapToGrid w:val="0"/>
          <w:sz w:val="22"/>
          <w:szCs w:val="22"/>
          <w:lang w:val="en-GB"/>
        </w:rPr>
        <w:t>. The PBAC</w:t>
      </w:r>
      <w:r w:rsidR="00FF1587">
        <w:rPr>
          <w:rFonts w:ascii="Arial" w:hAnsi="Arial" w:cs="Arial"/>
          <w:bCs/>
          <w:snapToGrid w:val="0"/>
          <w:sz w:val="22"/>
          <w:szCs w:val="22"/>
          <w:lang w:val="en-GB"/>
        </w:rPr>
        <w:t xml:space="preserve"> </w:t>
      </w:r>
      <w:r>
        <w:rPr>
          <w:rFonts w:ascii="Arial" w:hAnsi="Arial" w:cs="Arial"/>
          <w:bCs/>
          <w:snapToGrid w:val="0"/>
          <w:sz w:val="22"/>
          <w:szCs w:val="22"/>
          <w:lang w:val="en-GB"/>
        </w:rPr>
        <w:t>recalled that the previous major submission presented evidence based on non-randomised studies.</w:t>
      </w:r>
    </w:p>
    <w:p w:rsidR="00677328" w:rsidRDefault="00677328" w:rsidP="00D4172B">
      <w:pPr>
        <w:pStyle w:val="ListParagraph"/>
        <w:rPr>
          <w:rFonts w:ascii="Arial" w:hAnsi="Arial" w:cs="Arial"/>
          <w:b/>
          <w:bCs/>
          <w:snapToGrid w:val="0"/>
          <w:sz w:val="22"/>
          <w:szCs w:val="22"/>
          <w:lang w:val="en-GB"/>
        </w:rPr>
      </w:pPr>
    </w:p>
    <w:p w:rsidR="00677328" w:rsidRPr="00E05282" w:rsidRDefault="00677328" w:rsidP="00D4172B">
      <w:pPr>
        <w:pStyle w:val="ListParagraph"/>
        <w:numPr>
          <w:ilvl w:val="1"/>
          <w:numId w:val="2"/>
        </w:numPr>
        <w:jc w:val="both"/>
        <w:rPr>
          <w:rFonts w:ascii="Arial" w:hAnsi="Arial"/>
          <w:sz w:val="22"/>
          <w:szCs w:val="22"/>
        </w:rPr>
      </w:pPr>
      <w:r>
        <w:rPr>
          <w:rFonts w:ascii="Arial" w:hAnsi="Arial"/>
          <w:sz w:val="22"/>
          <w:szCs w:val="22"/>
        </w:rPr>
        <w:t xml:space="preserve">The PBAC recalled that the November 2014 submission described nitisinone plus diet therapy as superior in terms of comparative effectiveness and superior in terms of comparative safety over diet alone. </w:t>
      </w:r>
      <w:r w:rsidR="00066C0F">
        <w:rPr>
          <w:rFonts w:ascii="Arial" w:hAnsi="Arial"/>
          <w:sz w:val="22"/>
          <w:szCs w:val="22"/>
        </w:rPr>
        <w:t>T</w:t>
      </w:r>
      <w:r>
        <w:rPr>
          <w:rFonts w:ascii="Arial" w:hAnsi="Arial"/>
          <w:sz w:val="22"/>
          <w:szCs w:val="22"/>
        </w:rPr>
        <w:t xml:space="preserve">he PBAC reiterated its consideration from November 2014 that this claim was reasonable in terms of effectiveness </w:t>
      </w:r>
      <w:r w:rsidR="0082378F">
        <w:rPr>
          <w:rFonts w:ascii="Arial" w:hAnsi="Arial"/>
          <w:sz w:val="22"/>
          <w:szCs w:val="22"/>
        </w:rPr>
        <w:t>but</w:t>
      </w:r>
      <w:r>
        <w:rPr>
          <w:rFonts w:ascii="Arial" w:hAnsi="Arial"/>
          <w:sz w:val="22"/>
          <w:szCs w:val="22"/>
        </w:rPr>
        <w:t xml:space="preserve"> not reasonable in terms of safety.</w:t>
      </w:r>
    </w:p>
    <w:p w:rsidR="00424FBA" w:rsidRPr="00424FBA" w:rsidRDefault="00424FBA" w:rsidP="00D4172B">
      <w:pPr>
        <w:contextualSpacing/>
        <w:jc w:val="both"/>
        <w:rPr>
          <w:rFonts w:ascii="Arial" w:hAnsi="Arial" w:cs="Arial"/>
          <w:b/>
          <w:bCs/>
          <w:snapToGrid w:val="0"/>
          <w:sz w:val="22"/>
          <w:szCs w:val="22"/>
          <w:lang w:val="en-GB"/>
        </w:rPr>
      </w:pPr>
    </w:p>
    <w:p w:rsidR="00424FBA" w:rsidRPr="00993B91" w:rsidRDefault="00A00B37" w:rsidP="00D4172B">
      <w:pPr>
        <w:numPr>
          <w:ilvl w:val="1"/>
          <w:numId w:val="2"/>
        </w:numPr>
        <w:jc w:val="both"/>
        <w:rPr>
          <w:rFonts w:ascii="Arial" w:hAnsi="Arial" w:cs="Arial"/>
          <w:bCs/>
          <w:snapToGrid w:val="0"/>
          <w:sz w:val="22"/>
          <w:szCs w:val="22"/>
        </w:rPr>
      </w:pPr>
      <w:r>
        <w:rPr>
          <w:rFonts w:ascii="Arial" w:hAnsi="Arial" w:cs="Arial"/>
          <w:bCs/>
          <w:snapToGrid w:val="0"/>
          <w:sz w:val="22"/>
          <w:szCs w:val="22"/>
          <w:lang w:val="en-GB"/>
        </w:rPr>
        <w:t>The PBAC</w:t>
      </w:r>
      <w:r w:rsidR="00993B91">
        <w:rPr>
          <w:rFonts w:ascii="Arial" w:hAnsi="Arial" w:cs="Arial"/>
          <w:bCs/>
          <w:snapToGrid w:val="0"/>
          <w:sz w:val="22"/>
          <w:szCs w:val="22"/>
          <w:lang w:val="en-GB"/>
        </w:rPr>
        <w:t xml:space="preserve"> also</w:t>
      </w:r>
      <w:r w:rsidR="00CE4173">
        <w:rPr>
          <w:rFonts w:ascii="Arial" w:hAnsi="Arial" w:cs="Arial"/>
          <w:bCs/>
          <w:snapToGrid w:val="0"/>
          <w:sz w:val="22"/>
          <w:szCs w:val="22"/>
          <w:lang w:val="en-GB"/>
        </w:rPr>
        <w:t xml:space="preserve"> recalled that nitisinone had been associated with adverse events such as </w:t>
      </w:r>
      <w:r w:rsidR="00FF1587" w:rsidRPr="00A9307F" w:rsidDel="003B4840">
        <w:rPr>
          <w:rFonts w:ascii="Arial" w:hAnsi="Arial"/>
          <w:sz w:val="22"/>
          <w:szCs w:val="22"/>
        </w:rPr>
        <w:t>eye disorders, haematological events and developmental and cognitive disorders</w:t>
      </w:r>
      <w:r w:rsidR="00FF1587">
        <w:rPr>
          <w:rFonts w:ascii="Arial" w:hAnsi="Arial" w:cs="Arial"/>
          <w:bCs/>
          <w:snapToGrid w:val="0"/>
          <w:sz w:val="22"/>
          <w:szCs w:val="22"/>
          <w:lang w:val="en-GB"/>
        </w:rPr>
        <w:t>. The PBAC noted</w:t>
      </w:r>
      <w:r w:rsidR="00CE4173">
        <w:rPr>
          <w:rFonts w:ascii="Arial" w:hAnsi="Arial" w:cs="Arial"/>
          <w:bCs/>
          <w:snapToGrid w:val="0"/>
          <w:sz w:val="22"/>
          <w:szCs w:val="22"/>
          <w:lang w:val="en-GB"/>
        </w:rPr>
        <w:t xml:space="preserve"> the advice </w:t>
      </w:r>
      <w:r w:rsidR="009552A7">
        <w:rPr>
          <w:rFonts w:ascii="Arial" w:hAnsi="Arial" w:cs="Arial"/>
          <w:bCs/>
          <w:snapToGrid w:val="0"/>
          <w:sz w:val="22"/>
          <w:szCs w:val="22"/>
          <w:lang w:val="en-GB"/>
        </w:rPr>
        <w:t>recei</w:t>
      </w:r>
      <w:r w:rsidR="009B097B">
        <w:rPr>
          <w:rFonts w:ascii="Arial" w:hAnsi="Arial" w:cs="Arial"/>
          <w:bCs/>
          <w:snapToGrid w:val="0"/>
          <w:sz w:val="22"/>
          <w:szCs w:val="22"/>
          <w:lang w:val="en-GB"/>
        </w:rPr>
        <w:t>ved at</w:t>
      </w:r>
      <w:r w:rsidR="00CE4173">
        <w:rPr>
          <w:rFonts w:ascii="Arial" w:hAnsi="Arial" w:cs="Arial"/>
          <w:bCs/>
          <w:snapToGrid w:val="0"/>
          <w:sz w:val="22"/>
          <w:szCs w:val="22"/>
          <w:lang w:val="en-GB"/>
        </w:rPr>
        <w:t xml:space="preserve"> the stakeholder meeting that</w:t>
      </w:r>
      <w:r w:rsidR="00EC0A4B">
        <w:rPr>
          <w:rFonts w:ascii="Arial" w:hAnsi="Arial" w:cs="Arial"/>
          <w:bCs/>
          <w:snapToGrid w:val="0"/>
          <w:sz w:val="22"/>
          <w:szCs w:val="22"/>
          <w:lang w:val="en-GB"/>
        </w:rPr>
        <w:t xml:space="preserve"> adverse events reported in nitisinone trials were possibly confounded by ascertainment bias and likely due to the disease itself, rather than the drug</w:t>
      </w:r>
      <w:r w:rsidR="004668EF">
        <w:rPr>
          <w:rFonts w:ascii="Arial" w:hAnsi="Arial" w:cs="Arial"/>
          <w:bCs/>
          <w:snapToGrid w:val="0"/>
          <w:sz w:val="22"/>
          <w:szCs w:val="22"/>
          <w:lang w:val="en-GB"/>
        </w:rPr>
        <w:t xml:space="preserve">. The PBAC also noted </w:t>
      </w:r>
      <w:r w:rsidR="00CD04B9">
        <w:rPr>
          <w:rFonts w:ascii="Arial" w:hAnsi="Arial" w:cs="Arial"/>
          <w:bCs/>
          <w:snapToGrid w:val="0"/>
          <w:sz w:val="22"/>
          <w:szCs w:val="22"/>
          <w:lang w:val="en-GB"/>
        </w:rPr>
        <w:t xml:space="preserve">that the TGA had not identified any safety issues since </w:t>
      </w:r>
      <w:r w:rsidR="00461E32">
        <w:rPr>
          <w:rFonts w:ascii="Arial" w:hAnsi="Arial" w:cs="Arial"/>
          <w:bCs/>
          <w:snapToGrid w:val="0"/>
          <w:sz w:val="22"/>
          <w:szCs w:val="22"/>
          <w:lang w:val="en-GB"/>
        </w:rPr>
        <w:t xml:space="preserve">registration of </w:t>
      </w:r>
      <w:r w:rsidR="00CD04B9">
        <w:rPr>
          <w:rFonts w:ascii="Arial" w:hAnsi="Arial" w:cs="Arial"/>
          <w:bCs/>
          <w:snapToGrid w:val="0"/>
          <w:sz w:val="22"/>
          <w:szCs w:val="22"/>
          <w:lang w:val="en-GB"/>
        </w:rPr>
        <w:t xml:space="preserve">nitisinone in </w:t>
      </w:r>
      <w:r w:rsidR="004668EF">
        <w:rPr>
          <w:rFonts w:ascii="Arial" w:hAnsi="Arial" w:cs="Arial"/>
          <w:bCs/>
          <w:snapToGrid w:val="0"/>
          <w:sz w:val="22"/>
          <w:szCs w:val="22"/>
          <w:lang w:val="en-GB"/>
        </w:rPr>
        <w:t xml:space="preserve">Australia in </w:t>
      </w:r>
      <w:r w:rsidR="00CD04B9">
        <w:rPr>
          <w:rFonts w:ascii="Arial" w:hAnsi="Arial" w:cs="Arial"/>
          <w:bCs/>
          <w:snapToGrid w:val="0"/>
          <w:sz w:val="22"/>
          <w:szCs w:val="22"/>
          <w:lang w:val="en-GB"/>
        </w:rPr>
        <w:t>2010. The PBAC noted the sponsor’s argument that many of the adverse events could be due to non-compliance with diet therapy</w:t>
      </w:r>
      <w:r w:rsidR="004668EF">
        <w:rPr>
          <w:rFonts w:ascii="Arial" w:hAnsi="Arial" w:cs="Arial"/>
          <w:bCs/>
          <w:snapToGrid w:val="0"/>
          <w:sz w:val="22"/>
          <w:szCs w:val="22"/>
          <w:lang w:val="en-GB"/>
        </w:rPr>
        <w:t xml:space="preserve"> </w:t>
      </w:r>
      <w:r w:rsidR="00FE0023">
        <w:rPr>
          <w:rFonts w:ascii="Arial" w:hAnsi="Arial" w:cs="Arial"/>
          <w:bCs/>
          <w:snapToGrid w:val="0"/>
          <w:sz w:val="22"/>
          <w:szCs w:val="22"/>
          <w:lang w:val="en-GB"/>
        </w:rPr>
        <w:t xml:space="preserve">but </w:t>
      </w:r>
      <w:r w:rsidR="00424FBA">
        <w:rPr>
          <w:rFonts w:ascii="Arial" w:hAnsi="Arial" w:cs="Arial"/>
          <w:bCs/>
          <w:snapToGrid w:val="0"/>
          <w:sz w:val="22"/>
          <w:szCs w:val="22"/>
          <w:lang w:val="en-GB"/>
        </w:rPr>
        <w:t>did not accept that neurocognitive disorders were caused solely by non-compliance with diet therapy</w:t>
      </w:r>
      <w:r w:rsidR="00E33FB5">
        <w:rPr>
          <w:rFonts w:ascii="Arial" w:hAnsi="Arial" w:cs="Arial"/>
          <w:bCs/>
          <w:snapToGrid w:val="0"/>
          <w:sz w:val="22"/>
          <w:szCs w:val="22"/>
          <w:lang w:val="en-GB"/>
        </w:rPr>
        <w:t>, considering</w:t>
      </w:r>
      <w:r w:rsidR="004668EF">
        <w:rPr>
          <w:rFonts w:ascii="Arial" w:hAnsi="Arial" w:cs="Arial"/>
          <w:bCs/>
          <w:snapToGrid w:val="0"/>
          <w:sz w:val="22"/>
          <w:szCs w:val="22"/>
          <w:lang w:val="en-GB"/>
        </w:rPr>
        <w:t xml:space="preserve"> </w:t>
      </w:r>
      <w:r w:rsidR="00424FBA">
        <w:rPr>
          <w:rFonts w:ascii="Arial" w:hAnsi="Arial" w:cs="Arial"/>
          <w:bCs/>
          <w:snapToGrid w:val="0"/>
          <w:sz w:val="22"/>
          <w:szCs w:val="22"/>
          <w:lang w:val="en-GB"/>
        </w:rPr>
        <w:t>that the relationship between diet and</w:t>
      </w:r>
      <w:r w:rsidR="005835DD">
        <w:rPr>
          <w:rFonts w:ascii="Arial" w:hAnsi="Arial" w:cs="Arial"/>
          <w:bCs/>
          <w:snapToGrid w:val="0"/>
          <w:sz w:val="22"/>
          <w:szCs w:val="22"/>
          <w:lang w:val="en-GB"/>
        </w:rPr>
        <w:t xml:space="preserve"> plasma levels of </w:t>
      </w:r>
      <w:r w:rsidR="00EC38F8">
        <w:rPr>
          <w:rFonts w:ascii="Arial" w:hAnsi="Arial" w:cs="Arial"/>
          <w:bCs/>
          <w:snapToGrid w:val="0"/>
          <w:sz w:val="22"/>
          <w:szCs w:val="22"/>
          <w:lang w:val="en-GB"/>
        </w:rPr>
        <w:t>tyrosine</w:t>
      </w:r>
      <w:r w:rsidR="005835DD">
        <w:rPr>
          <w:rFonts w:ascii="Arial" w:hAnsi="Arial" w:cs="Arial"/>
          <w:bCs/>
          <w:snapToGrid w:val="0"/>
          <w:sz w:val="22"/>
          <w:szCs w:val="22"/>
          <w:lang w:val="en-GB"/>
        </w:rPr>
        <w:t xml:space="preserve"> </w:t>
      </w:r>
      <w:r w:rsidR="004668EF">
        <w:rPr>
          <w:rFonts w:ascii="Arial" w:hAnsi="Arial" w:cs="Arial"/>
          <w:bCs/>
          <w:snapToGrid w:val="0"/>
          <w:sz w:val="22"/>
          <w:szCs w:val="22"/>
          <w:lang w:val="en-GB"/>
        </w:rPr>
        <w:t xml:space="preserve">was </w:t>
      </w:r>
      <w:r w:rsidR="00E33FB5">
        <w:rPr>
          <w:rFonts w:ascii="Arial" w:hAnsi="Arial" w:cs="Arial"/>
          <w:bCs/>
          <w:snapToGrid w:val="0"/>
          <w:sz w:val="22"/>
          <w:szCs w:val="22"/>
          <w:lang w:val="en-GB"/>
        </w:rPr>
        <w:t>un</w:t>
      </w:r>
      <w:r w:rsidR="005835DD">
        <w:rPr>
          <w:rFonts w:ascii="Arial" w:hAnsi="Arial" w:cs="Arial"/>
          <w:bCs/>
          <w:snapToGrid w:val="0"/>
          <w:sz w:val="22"/>
          <w:szCs w:val="22"/>
          <w:lang w:val="en-GB"/>
        </w:rPr>
        <w:t>clear</w:t>
      </w:r>
      <w:r>
        <w:rPr>
          <w:rFonts w:ascii="Arial" w:hAnsi="Arial" w:cs="Arial"/>
          <w:bCs/>
          <w:snapToGrid w:val="0"/>
          <w:sz w:val="22"/>
          <w:szCs w:val="22"/>
          <w:lang w:val="en-GB"/>
        </w:rPr>
        <w:t xml:space="preserve">. The PBAC </w:t>
      </w:r>
      <w:r w:rsidR="00CE4173">
        <w:rPr>
          <w:rFonts w:ascii="Arial" w:hAnsi="Arial" w:cs="Arial"/>
          <w:bCs/>
          <w:snapToGrid w:val="0"/>
          <w:sz w:val="22"/>
          <w:szCs w:val="22"/>
          <w:lang w:val="en-GB"/>
        </w:rPr>
        <w:t xml:space="preserve">agreed with the consensus at the stakeholder meeting </w:t>
      </w:r>
      <w:proofErr w:type="gramStart"/>
      <w:r w:rsidR="00CE4173">
        <w:rPr>
          <w:rFonts w:ascii="Arial" w:hAnsi="Arial" w:cs="Arial"/>
          <w:bCs/>
          <w:snapToGrid w:val="0"/>
          <w:sz w:val="22"/>
          <w:szCs w:val="22"/>
          <w:lang w:val="en-GB"/>
        </w:rPr>
        <w:t>that neuropsychological assessments</w:t>
      </w:r>
      <w:proofErr w:type="gramEnd"/>
      <w:r w:rsidR="00CE4173" w:rsidRPr="00CE4173">
        <w:rPr>
          <w:rFonts w:ascii="Arial" w:hAnsi="Arial" w:cs="Arial"/>
          <w:bCs/>
          <w:snapToGrid w:val="0"/>
          <w:sz w:val="22"/>
          <w:szCs w:val="22"/>
          <w:lang w:val="en-GB"/>
        </w:rPr>
        <w:t xml:space="preserve"> </w:t>
      </w:r>
      <w:r w:rsidR="00CE4173">
        <w:rPr>
          <w:rFonts w:ascii="Arial" w:hAnsi="Arial" w:cs="Arial"/>
          <w:bCs/>
          <w:snapToGrid w:val="0"/>
          <w:sz w:val="22"/>
          <w:szCs w:val="22"/>
          <w:lang w:val="en-GB"/>
        </w:rPr>
        <w:t xml:space="preserve">over time would be helpful, </w:t>
      </w:r>
      <w:r w:rsidR="00CD04B9">
        <w:rPr>
          <w:rFonts w:ascii="Arial" w:hAnsi="Arial" w:cs="Arial"/>
          <w:bCs/>
          <w:snapToGrid w:val="0"/>
          <w:sz w:val="22"/>
          <w:szCs w:val="22"/>
          <w:lang w:val="en-GB"/>
        </w:rPr>
        <w:t>noting</w:t>
      </w:r>
      <w:r w:rsidR="00CE4173">
        <w:rPr>
          <w:rFonts w:ascii="Arial" w:hAnsi="Arial" w:cs="Arial"/>
          <w:bCs/>
          <w:snapToGrid w:val="0"/>
          <w:sz w:val="22"/>
          <w:szCs w:val="22"/>
          <w:lang w:val="en-GB"/>
        </w:rPr>
        <w:t xml:space="preserve"> that</w:t>
      </w:r>
      <w:r w:rsidR="00CD04B9">
        <w:rPr>
          <w:rFonts w:ascii="Arial" w:hAnsi="Arial" w:cs="Arial"/>
          <w:bCs/>
          <w:snapToGrid w:val="0"/>
          <w:sz w:val="22"/>
          <w:szCs w:val="22"/>
          <w:lang w:val="en-GB"/>
        </w:rPr>
        <w:t xml:space="preserve"> the</w:t>
      </w:r>
      <w:r w:rsidR="00CE4173">
        <w:rPr>
          <w:rFonts w:ascii="Arial" w:hAnsi="Arial" w:cs="Arial"/>
          <w:bCs/>
          <w:snapToGrid w:val="0"/>
          <w:sz w:val="22"/>
          <w:szCs w:val="22"/>
          <w:lang w:val="en-GB"/>
        </w:rPr>
        <w:t xml:space="preserve"> </w:t>
      </w:r>
      <w:r w:rsidR="00FE0023">
        <w:rPr>
          <w:rFonts w:ascii="Arial" w:hAnsi="Arial" w:cs="Arial"/>
          <w:bCs/>
          <w:snapToGrid w:val="0"/>
          <w:sz w:val="22"/>
          <w:szCs w:val="22"/>
          <w:lang w:val="en-GB"/>
        </w:rPr>
        <w:t>product information</w:t>
      </w:r>
      <w:r w:rsidR="006767E3">
        <w:rPr>
          <w:rFonts w:ascii="Arial" w:hAnsi="Arial" w:cs="Arial"/>
          <w:bCs/>
          <w:snapToGrid w:val="0"/>
          <w:sz w:val="22"/>
          <w:szCs w:val="22"/>
          <w:lang w:val="en-GB"/>
        </w:rPr>
        <w:t xml:space="preserve"> for nitisinone</w:t>
      </w:r>
      <w:r w:rsidR="00CE4173">
        <w:rPr>
          <w:rFonts w:ascii="Arial" w:hAnsi="Arial" w:cs="Arial"/>
          <w:bCs/>
          <w:snapToGrid w:val="0"/>
          <w:sz w:val="22"/>
          <w:szCs w:val="22"/>
          <w:lang w:val="en-GB"/>
        </w:rPr>
        <w:t xml:space="preserve"> recommends regular and systematic developmental assessment, including neuro-cognitive development</w:t>
      </w:r>
      <w:r w:rsidR="006767E3">
        <w:rPr>
          <w:rFonts w:ascii="Arial" w:hAnsi="Arial" w:cs="Arial"/>
          <w:bCs/>
          <w:snapToGrid w:val="0"/>
          <w:sz w:val="22"/>
          <w:szCs w:val="22"/>
          <w:lang w:val="en-GB"/>
        </w:rPr>
        <w:t xml:space="preserve">. </w:t>
      </w:r>
      <w:r w:rsidR="00CE4173">
        <w:rPr>
          <w:rFonts w:ascii="Arial" w:hAnsi="Arial" w:cs="Arial"/>
          <w:bCs/>
          <w:snapToGrid w:val="0"/>
          <w:sz w:val="22"/>
          <w:szCs w:val="22"/>
          <w:lang w:val="en-GB"/>
        </w:rPr>
        <w:t>The PBAC noted the submission</w:t>
      </w:r>
      <w:r w:rsidR="004668EF">
        <w:rPr>
          <w:rFonts w:ascii="Arial" w:hAnsi="Arial" w:cs="Arial"/>
          <w:bCs/>
          <w:snapToGrid w:val="0"/>
          <w:sz w:val="22"/>
          <w:szCs w:val="22"/>
          <w:lang w:val="en-GB"/>
        </w:rPr>
        <w:t>’</w:t>
      </w:r>
      <w:r w:rsidR="00CE4173">
        <w:rPr>
          <w:rFonts w:ascii="Arial" w:hAnsi="Arial" w:cs="Arial"/>
          <w:bCs/>
          <w:snapToGrid w:val="0"/>
          <w:sz w:val="22"/>
          <w:szCs w:val="22"/>
          <w:lang w:val="en-GB"/>
        </w:rPr>
        <w:t>s assertion that this is</w:t>
      </w:r>
      <w:r w:rsidR="006767E3">
        <w:rPr>
          <w:rFonts w:ascii="Arial" w:hAnsi="Arial" w:cs="Arial"/>
          <w:bCs/>
          <w:snapToGrid w:val="0"/>
          <w:sz w:val="22"/>
          <w:szCs w:val="22"/>
          <w:lang w:val="en-GB"/>
        </w:rPr>
        <w:t xml:space="preserve"> already </w:t>
      </w:r>
      <w:r w:rsidR="004668EF">
        <w:rPr>
          <w:rFonts w:ascii="Arial" w:hAnsi="Arial" w:cs="Arial"/>
          <w:bCs/>
          <w:snapToGrid w:val="0"/>
          <w:sz w:val="22"/>
          <w:szCs w:val="22"/>
          <w:lang w:val="en-GB"/>
        </w:rPr>
        <w:t xml:space="preserve">undertaken </w:t>
      </w:r>
      <w:r w:rsidR="006767E3">
        <w:rPr>
          <w:rFonts w:ascii="Arial" w:hAnsi="Arial" w:cs="Arial"/>
          <w:bCs/>
          <w:snapToGrid w:val="0"/>
          <w:sz w:val="22"/>
          <w:szCs w:val="22"/>
          <w:lang w:val="en-GB"/>
        </w:rPr>
        <w:t>as per good medical practice,</w:t>
      </w:r>
      <w:r w:rsidR="00CE4173">
        <w:rPr>
          <w:rFonts w:ascii="Arial" w:hAnsi="Arial" w:cs="Arial"/>
          <w:bCs/>
          <w:snapToGrid w:val="0"/>
          <w:sz w:val="22"/>
          <w:szCs w:val="22"/>
          <w:lang w:val="en-GB"/>
        </w:rPr>
        <w:t xml:space="preserve"> however</w:t>
      </w:r>
      <w:r w:rsidR="00FF1587">
        <w:rPr>
          <w:rFonts w:ascii="Arial" w:hAnsi="Arial" w:cs="Arial"/>
          <w:bCs/>
          <w:snapToGrid w:val="0"/>
          <w:sz w:val="22"/>
          <w:szCs w:val="22"/>
          <w:lang w:val="en-GB"/>
        </w:rPr>
        <w:t xml:space="preserve"> reiterated its position that this monitoring is important and should be implemented in a systematic fashion</w:t>
      </w:r>
      <w:r w:rsidR="00CE4173">
        <w:rPr>
          <w:rFonts w:ascii="Arial" w:hAnsi="Arial" w:cs="Arial"/>
          <w:bCs/>
          <w:snapToGrid w:val="0"/>
          <w:sz w:val="22"/>
          <w:szCs w:val="22"/>
          <w:lang w:val="en-GB"/>
        </w:rPr>
        <w:t xml:space="preserve">. </w:t>
      </w:r>
    </w:p>
    <w:p w:rsidR="00993B91" w:rsidRPr="00993B91" w:rsidRDefault="00993B91" w:rsidP="00D4172B">
      <w:pPr>
        <w:pStyle w:val="ListParagraph"/>
        <w:jc w:val="both"/>
        <w:rPr>
          <w:szCs w:val="22"/>
        </w:rPr>
      </w:pPr>
    </w:p>
    <w:p w:rsidR="00625549" w:rsidRPr="00D7297F" w:rsidRDefault="00285EB9" w:rsidP="00D4172B">
      <w:pPr>
        <w:pStyle w:val="ListParagraph"/>
        <w:numPr>
          <w:ilvl w:val="1"/>
          <w:numId w:val="2"/>
        </w:numPr>
        <w:jc w:val="both"/>
        <w:rPr>
          <w:szCs w:val="22"/>
        </w:rPr>
      </w:pPr>
      <w:r>
        <w:rPr>
          <w:rFonts w:ascii="Arial" w:hAnsi="Arial" w:cs="Arial"/>
          <w:bCs/>
          <w:snapToGrid w:val="0"/>
          <w:sz w:val="22"/>
          <w:szCs w:val="22"/>
          <w:lang w:val="en-GB"/>
        </w:rPr>
        <w:t xml:space="preserve">The PBAC noted </w:t>
      </w:r>
      <w:r w:rsidR="00E01F76">
        <w:rPr>
          <w:rFonts w:ascii="Arial" w:hAnsi="Arial" w:cs="Arial"/>
          <w:bCs/>
          <w:snapToGrid w:val="0"/>
          <w:sz w:val="22"/>
          <w:szCs w:val="22"/>
          <w:lang w:val="en-GB"/>
        </w:rPr>
        <w:t xml:space="preserve">the </w:t>
      </w:r>
      <w:r>
        <w:rPr>
          <w:rFonts w:ascii="Arial" w:hAnsi="Arial" w:cs="Arial"/>
          <w:bCs/>
          <w:snapToGrid w:val="0"/>
          <w:sz w:val="22"/>
          <w:szCs w:val="22"/>
          <w:lang w:val="en-GB"/>
        </w:rPr>
        <w:t xml:space="preserve">submission’s assertion that </w:t>
      </w:r>
      <w:r>
        <w:rPr>
          <w:rFonts w:ascii="Arial" w:hAnsi="Arial"/>
          <w:sz w:val="22"/>
          <w:szCs w:val="22"/>
        </w:rPr>
        <w:t xml:space="preserve">neuropsychological assessments would have </w:t>
      </w:r>
      <w:r w:rsidDel="003B4840">
        <w:rPr>
          <w:rFonts w:ascii="Arial" w:hAnsi="Arial"/>
          <w:sz w:val="22"/>
          <w:szCs w:val="22"/>
        </w:rPr>
        <w:t>little to no impact on the cost-effectiveness or net financial implications to Government health budgets</w:t>
      </w:r>
      <w:r w:rsidR="000D5119">
        <w:rPr>
          <w:rFonts w:ascii="Arial" w:hAnsi="Arial"/>
          <w:sz w:val="22"/>
          <w:szCs w:val="22"/>
        </w:rPr>
        <w:t xml:space="preserve">. The PBAC </w:t>
      </w:r>
      <w:r>
        <w:rPr>
          <w:rFonts w:ascii="Arial" w:hAnsi="Arial"/>
          <w:sz w:val="22"/>
          <w:szCs w:val="22"/>
        </w:rPr>
        <w:t xml:space="preserve">agreed that the cost of these assessments </w:t>
      </w:r>
      <w:r w:rsidR="000D5119">
        <w:rPr>
          <w:rFonts w:ascii="Arial" w:hAnsi="Arial"/>
          <w:sz w:val="22"/>
          <w:szCs w:val="22"/>
        </w:rPr>
        <w:t>would be</w:t>
      </w:r>
      <w:r>
        <w:rPr>
          <w:rFonts w:ascii="Arial" w:hAnsi="Arial"/>
          <w:sz w:val="22"/>
          <w:szCs w:val="22"/>
        </w:rPr>
        <w:t xml:space="preserve"> small compared with the cost of the drug.</w:t>
      </w:r>
    </w:p>
    <w:p w:rsidR="00DD3E8E" w:rsidRPr="00D7297F" w:rsidRDefault="00DD3E8E" w:rsidP="00D7297F">
      <w:pPr>
        <w:jc w:val="both"/>
        <w:rPr>
          <w:szCs w:val="22"/>
        </w:rPr>
      </w:pPr>
    </w:p>
    <w:p w:rsidR="009668C6" w:rsidRPr="00E37ACD" w:rsidRDefault="0034550B" w:rsidP="00D4172B">
      <w:pPr>
        <w:pStyle w:val="ListParagraph"/>
        <w:numPr>
          <w:ilvl w:val="1"/>
          <w:numId w:val="2"/>
        </w:numPr>
        <w:jc w:val="both"/>
        <w:rPr>
          <w:szCs w:val="22"/>
        </w:rPr>
      </w:pPr>
      <w:r>
        <w:rPr>
          <w:rFonts w:ascii="Arial" w:hAnsi="Arial" w:cs="Arial"/>
          <w:bCs/>
          <w:snapToGrid w:val="0"/>
          <w:sz w:val="22"/>
          <w:szCs w:val="22"/>
          <w:lang w:val="en-GB"/>
        </w:rPr>
        <w:lastRenderedPageBreak/>
        <w:t>The PBAC considered that</w:t>
      </w:r>
      <w:r w:rsidR="00424FBA">
        <w:rPr>
          <w:rFonts w:ascii="Arial" w:hAnsi="Arial" w:cs="Arial"/>
          <w:bCs/>
          <w:snapToGrid w:val="0"/>
          <w:sz w:val="22"/>
          <w:szCs w:val="22"/>
          <w:lang w:val="en-GB"/>
        </w:rPr>
        <w:t xml:space="preserve"> the ICERs presented</w:t>
      </w:r>
      <w:r w:rsidR="009552A7">
        <w:rPr>
          <w:rFonts w:ascii="Arial" w:hAnsi="Arial" w:cs="Arial"/>
          <w:bCs/>
          <w:snapToGrid w:val="0"/>
          <w:sz w:val="22"/>
          <w:szCs w:val="22"/>
          <w:lang w:val="en-GB"/>
        </w:rPr>
        <w:t xml:space="preserve"> </w:t>
      </w:r>
      <w:r>
        <w:rPr>
          <w:rFonts w:ascii="Arial" w:hAnsi="Arial" w:cs="Arial"/>
          <w:bCs/>
          <w:snapToGrid w:val="0"/>
          <w:sz w:val="22"/>
          <w:szCs w:val="22"/>
          <w:lang w:val="en-GB"/>
        </w:rPr>
        <w:t>were</w:t>
      </w:r>
      <w:r w:rsidR="00424FBA">
        <w:rPr>
          <w:rFonts w:ascii="Arial" w:hAnsi="Arial" w:cs="Arial"/>
          <w:bCs/>
          <w:snapToGrid w:val="0"/>
          <w:sz w:val="22"/>
          <w:szCs w:val="22"/>
          <w:lang w:val="en-GB"/>
        </w:rPr>
        <w:t xml:space="preserve"> </w:t>
      </w:r>
      <w:r w:rsidR="00431413">
        <w:rPr>
          <w:rFonts w:ascii="Arial" w:hAnsi="Arial" w:cs="Arial"/>
          <w:bCs/>
          <w:snapToGrid w:val="0"/>
          <w:sz w:val="22"/>
          <w:szCs w:val="22"/>
          <w:lang w:val="en-GB"/>
        </w:rPr>
        <w:t xml:space="preserve">unacceptably </w:t>
      </w:r>
      <w:r w:rsidR="00424FBA">
        <w:rPr>
          <w:rFonts w:ascii="Arial" w:hAnsi="Arial" w:cs="Arial"/>
          <w:bCs/>
          <w:snapToGrid w:val="0"/>
          <w:sz w:val="22"/>
          <w:szCs w:val="22"/>
          <w:lang w:val="en-GB"/>
        </w:rPr>
        <w:t>high</w:t>
      </w:r>
      <w:r w:rsidR="00431413">
        <w:rPr>
          <w:rFonts w:ascii="Arial" w:hAnsi="Arial" w:cs="Arial"/>
          <w:bCs/>
          <w:snapToGrid w:val="0"/>
          <w:sz w:val="22"/>
          <w:szCs w:val="22"/>
          <w:lang w:val="en-GB"/>
        </w:rPr>
        <w:t>,</w:t>
      </w:r>
      <w:r w:rsidR="00424FBA">
        <w:rPr>
          <w:rFonts w:ascii="Arial" w:hAnsi="Arial" w:cs="Arial"/>
          <w:bCs/>
          <w:snapToGrid w:val="0"/>
          <w:sz w:val="22"/>
          <w:szCs w:val="22"/>
          <w:lang w:val="en-GB"/>
        </w:rPr>
        <w:t xml:space="preserve"> </w:t>
      </w:r>
      <w:r w:rsidR="00431413">
        <w:rPr>
          <w:rFonts w:ascii="Arial" w:hAnsi="Arial" w:cs="Arial"/>
          <w:bCs/>
          <w:snapToGrid w:val="0"/>
          <w:sz w:val="22"/>
          <w:szCs w:val="22"/>
          <w:lang w:val="en-GB"/>
        </w:rPr>
        <w:t>regardless of SA screening status</w:t>
      </w:r>
      <w:r w:rsidR="00803DEC">
        <w:rPr>
          <w:rFonts w:ascii="Arial" w:hAnsi="Arial" w:cs="Arial"/>
          <w:bCs/>
          <w:snapToGrid w:val="0"/>
          <w:sz w:val="22"/>
          <w:szCs w:val="22"/>
          <w:lang w:val="en-GB"/>
        </w:rPr>
        <w:t xml:space="preserve">. </w:t>
      </w:r>
      <w:r>
        <w:rPr>
          <w:rFonts w:ascii="Arial" w:hAnsi="Arial" w:cs="Arial"/>
          <w:bCs/>
          <w:snapToGrid w:val="0"/>
          <w:sz w:val="22"/>
          <w:szCs w:val="22"/>
          <w:lang w:val="en-GB"/>
        </w:rPr>
        <w:t xml:space="preserve">The PBAC </w:t>
      </w:r>
      <w:r w:rsidR="008B79BD">
        <w:rPr>
          <w:rFonts w:ascii="Arial" w:hAnsi="Arial" w:cs="Arial"/>
          <w:bCs/>
          <w:snapToGrid w:val="0"/>
          <w:sz w:val="22"/>
          <w:szCs w:val="22"/>
          <w:lang w:val="en-GB"/>
        </w:rPr>
        <w:t xml:space="preserve">noted </w:t>
      </w:r>
      <w:r w:rsidR="00803DEC">
        <w:rPr>
          <w:rFonts w:ascii="Arial" w:hAnsi="Arial" w:cs="Arial"/>
          <w:bCs/>
          <w:snapToGrid w:val="0"/>
          <w:sz w:val="22"/>
          <w:szCs w:val="22"/>
          <w:lang w:val="en-GB"/>
        </w:rPr>
        <w:t>that this was</w:t>
      </w:r>
      <w:r>
        <w:rPr>
          <w:rFonts w:ascii="Arial" w:hAnsi="Arial" w:cs="Arial"/>
          <w:bCs/>
          <w:snapToGrid w:val="0"/>
          <w:sz w:val="22"/>
          <w:szCs w:val="22"/>
          <w:lang w:val="en-GB"/>
        </w:rPr>
        <w:t xml:space="preserve"> </w:t>
      </w:r>
      <w:r w:rsidR="00A00B37">
        <w:rPr>
          <w:rFonts w:ascii="Arial" w:hAnsi="Arial" w:cs="Arial"/>
          <w:bCs/>
          <w:snapToGrid w:val="0"/>
          <w:sz w:val="22"/>
          <w:szCs w:val="22"/>
          <w:lang w:val="en-GB"/>
        </w:rPr>
        <w:t>primarily</w:t>
      </w:r>
      <w:r>
        <w:rPr>
          <w:rFonts w:ascii="Arial" w:hAnsi="Arial" w:cs="Arial"/>
          <w:bCs/>
          <w:snapToGrid w:val="0"/>
          <w:sz w:val="22"/>
          <w:szCs w:val="22"/>
          <w:lang w:val="en-GB"/>
        </w:rPr>
        <w:t xml:space="preserve"> driven by the high cost of </w:t>
      </w:r>
      <w:r w:rsidR="00E01F76">
        <w:rPr>
          <w:rFonts w:ascii="Arial" w:hAnsi="Arial" w:cs="Arial"/>
          <w:bCs/>
          <w:snapToGrid w:val="0"/>
          <w:sz w:val="22"/>
          <w:szCs w:val="22"/>
          <w:lang w:val="en-GB"/>
        </w:rPr>
        <w:t>nitisinone</w:t>
      </w:r>
      <w:r w:rsidR="00625549">
        <w:rPr>
          <w:rFonts w:ascii="Arial" w:hAnsi="Arial" w:cs="Arial"/>
          <w:bCs/>
          <w:snapToGrid w:val="0"/>
          <w:sz w:val="22"/>
          <w:szCs w:val="22"/>
          <w:lang w:val="en-GB"/>
        </w:rPr>
        <w:t xml:space="preserve">. </w:t>
      </w:r>
      <w:r>
        <w:rPr>
          <w:rFonts w:ascii="Arial" w:hAnsi="Arial" w:cs="Arial"/>
          <w:bCs/>
          <w:snapToGrid w:val="0"/>
          <w:sz w:val="22"/>
          <w:szCs w:val="22"/>
          <w:lang w:val="en-GB"/>
        </w:rPr>
        <w:t xml:space="preserve">The PBAC </w:t>
      </w:r>
      <w:r w:rsidR="00803DEC">
        <w:rPr>
          <w:rFonts w:ascii="Arial" w:hAnsi="Arial" w:cs="Arial"/>
          <w:bCs/>
          <w:snapToGrid w:val="0"/>
          <w:sz w:val="22"/>
          <w:szCs w:val="22"/>
          <w:lang w:val="en-GB"/>
        </w:rPr>
        <w:t xml:space="preserve">recalled the major submission had requested listing under the </w:t>
      </w:r>
      <w:r w:rsidR="00E05282">
        <w:rPr>
          <w:rFonts w:ascii="Arial" w:hAnsi="Arial" w:cs="Arial"/>
          <w:bCs/>
          <w:snapToGrid w:val="0"/>
          <w:sz w:val="22"/>
          <w:szCs w:val="22"/>
          <w:lang w:val="en-GB"/>
        </w:rPr>
        <w:t>‘</w:t>
      </w:r>
      <w:r w:rsidR="00803DEC">
        <w:rPr>
          <w:rFonts w:ascii="Arial" w:hAnsi="Arial" w:cs="Arial"/>
          <w:bCs/>
          <w:snapToGrid w:val="0"/>
          <w:sz w:val="22"/>
          <w:szCs w:val="22"/>
          <w:lang w:val="en-GB"/>
        </w:rPr>
        <w:t>rule of rescue</w:t>
      </w:r>
      <w:r w:rsidR="00E05282">
        <w:rPr>
          <w:rFonts w:ascii="Arial" w:hAnsi="Arial" w:cs="Arial"/>
          <w:bCs/>
          <w:snapToGrid w:val="0"/>
          <w:sz w:val="22"/>
          <w:szCs w:val="22"/>
          <w:lang w:val="en-GB"/>
        </w:rPr>
        <w:t>’</w:t>
      </w:r>
      <w:r w:rsidR="00803DEC">
        <w:rPr>
          <w:rFonts w:ascii="Arial" w:hAnsi="Arial" w:cs="Arial"/>
          <w:bCs/>
          <w:snapToGrid w:val="0"/>
          <w:sz w:val="22"/>
          <w:szCs w:val="22"/>
          <w:lang w:val="en-GB"/>
        </w:rPr>
        <w:t xml:space="preserve"> and that the PBAC had considered </w:t>
      </w:r>
      <w:r w:rsidR="008B79BD">
        <w:rPr>
          <w:rFonts w:ascii="Arial" w:hAnsi="Arial" w:cs="Arial"/>
          <w:bCs/>
          <w:snapToGrid w:val="0"/>
          <w:sz w:val="22"/>
          <w:szCs w:val="22"/>
          <w:lang w:val="en-GB"/>
        </w:rPr>
        <w:t>in November 2014 that it</w:t>
      </w:r>
      <w:r w:rsidR="006767E3">
        <w:rPr>
          <w:rFonts w:ascii="Arial" w:hAnsi="Arial" w:cs="Arial"/>
          <w:bCs/>
          <w:snapToGrid w:val="0"/>
          <w:sz w:val="22"/>
          <w:szCs w:val="22"/>
          <w:lang w:val="en-GB"/>
        </w:rPr>
        <w:t xml:space="preserve"> satisfied the four </w:t>
      </w:r>
      <w:r w:rsidR="000D5119">
        <w:rPr>
          <w:rFonts w:ascii="Arial" w:hAnsi="Arial" w:cs="Arial"/>
          <w:bCs/>
          <w:snapToGrid w:val="0"/>
          <w:sz w:val="22"/>
          <w:szCs w:val="22"/>
          <w:lang w:val="en-GB"/>
        </w:rPr>
        <w:t xml:space="preserve">necessary </w:t>
      </w:r>
      <w:r w:rsidR="00483A93">
        <w:rPr>
          <w:rFonts w:ascii="Arial" w:hAnsi="Arial" w:cs="Arial"/>
          <w:bCs/>
          <w:snapToGrid w:val="0"/>
          <w:sz w:val="22"/>
          <w:szCs w:val="22"/>
          <w:lang w:val="en-GB"/>
        </w:rPr>
        <w:t>criteria</w:t>
      </w:r>
      <w:r w:rsidR="006767E3">
        <w:rPr>
          <w:rFonts w:ascii="Arial" w:hAnsi="Arial" w:cs="Arial"/>
          <w:bCs/>
          <w:snapToGrid w:val="0"/>
          <w:sz w:val="22"/>
          <w:szCs w:val="22"/>
          <w:lang w:val="en-GB"/>
        </w:rPr>
        <w:t xml:space="preserve">. </w:t>
      </w:r>
      <w:r w:rsidR="008B79BD">
        <w:rPr>
          <w:rFonts w:ascii="Arial" w:hAnsi="Arial" w:cs="Arial"/>
          <w:bCs/>
          <w:snapToGrid w:val="0"/>
          <w:sz w:val="22"/>
          <w:szCs w:val="22"/>
          <w:lang w:val="en-GB"/>
        </w:rPr>
        <w:t>In July 2015</w:t>
      </w:r>
      <w:r w:rsidR="008A46D5">
        <w:rPr>
          <w:rFonts w:ascii="Arial" w:hAnsi="Arial" w:cs="Arial"/>
          <w:bCs/>
          <w:snapToGrid w:val="0"/>
          <w:sz w:val="22"/>
          <w:szCs w:val="22"/>
          <w:lang w:val="en-GB"/>
        </w:rPr>
        <w:t>,</w:t>
      </w:r>
      <w:r w:rsidR="008B79BD">
        <w:rPr>
          <w:rFonts w:ascii="Arial" w:hAnsi="Arial" w:cs="Arial"/>
          <w:bCs/>
          <w:snapToGrid w:val="0"/>
          <w:sz w:val="22"/>
          <w:szCs w:val="22"/>
          <w:lang w:val="en-GB"/>
        </w:rPr>
        <w:t xml:space="preserve"> </w:t>
      </w:r>
      <w:r w:rsidR="008A46D5">
        <w:rPr>
          <w:rFonts w:ascii="Arial" w:hAnsi="Arial" w:cs="Arial"/>
          <w:bCs/>
          <w:snapToGrid w:val="0"/>
          <w:sz w:val="22"/>
          <w:szCs w:val="22"/>
          <w:lang w:val="en-GB"/>
        </w:rPr>
        <w:t>t</w:t>
      </w:r>
      <w:r w:rsidR="006767E3">
        <w:rPr>
          <w:rFonts w:ascii="Arial" w:hAnsi="Arial" w:cs="Arial"/>
          <w:bCs/>
          <w:snapToGrid w:val="0"/>
          <w:sz w:val="22"/>
          <w:szCs w:val="22"/>
          <w:lang w:val="en-GB"/>
        </w:rPr>
        <w:t>he PBAC considered</w:t>
      </w:r>
      <w:r w:rsidR="008A46D5">
        <w:rPr>
          <w:rFonts w:ascii="Arial" w:hAnsi="Arial" w:cs="Arial"/>
          <w:bCs/>
          <w:snapToGrid w:val="0"/>
          <w:sz w:val="22"/>
          <w:szCs w:val="22"/>
          <w:lang w:val="en-GB"/>
        </w:rPr>
        <w:t xml:space="preserve"> </w:t>
      </w:r>
      <w:r w:rsidR="006767E3">
        <w:rPr>
          <w:rFonts w:ascii="Arial" w:hAnsi="Arial" w:cs="Arial"/>
          <w:bCs/>
          <w:snapToGrid w:val="0"/>
          <w:sz w:val="22"/>
          <w:szCs w:val="22"/>
          <w:lang w:val="en-GB"/>
        </w:rPr>
        <w:t>that</w:t>
      </w:r>
      <w:r w:rsidR="00803DEC">
        <w:rPr>
          <w:rFonts w:ascii="Arial" w:hAnsi="Arial" w:cs="Arial"/>
          <w:bCs/>
          <w:snapToGrid w:val="0"/>
          <w:sz w:val="22"/>
          <w:szCs w:val="22"/>
          <w:lang w:val="en-GB"/>
        </w:rPr>
        <w:t xml:space="preserve"> </w:t>
      </w:r>
      <w:r w:rsidR="00803DEC" w:rsidRPr="004668EF">
        <w:rPr>
          <w:rFonts w:ascii="Arial" w:hAnsi="Arial" w:cs="Arial"/>
          <w:color w:val="222222"/>
          <w:sz w:val="22"/>
          <w:szCs w:val="22"/>
        </w:rPr>
        <w:t>a significantly lower price than that proposed by the sponsor in the current submission would be needed</w:t>
      </w:r>
      <w:r w:rsidR="00483A93">
        <w:rPr>
          <w:rFonts w:ascii="Arial" w:hAnsi="Arial" w:cs="Arial"/>
          <w:color w:val="222222"/>
          <w:sz w:val="22"/>
          <w:szCs w:val="22"/>
        </w:rPr>
        <w:t xml:space="preserve"> for a positive PBAC recommendation under </w:t>
      </w:r>
      <w:r w:rsidR="00E05282">
        <w:rPr>
          <w:rFonts w:ascii="Arial" w:hAnsi="Arial" w:cs="Arial"/>
          <w:color w:val="222222"/>
          <w:sz w:val="22"/>
          <w:szCs w:val="22"/>
        </w:rPr>
        <w:t>‘</w:t>
      </w:r>
      <w:r w:rsidR="00483A93">
        <w:rPr>
          <w:rFonts w:ascii="Arial" w:hAnsi="Arial" w:cs="Arial"/>
          <w:color w:val="222222"/>
          <w:sz w:val="22"/>
          <w:szCs w:val="22"/>
        </w:rPr>
        <w:t>rule of rescue</w:t>
      </w:r>
      <w:r w:rsidR="00E05282">
        <w:rPr>
          <w:rFonts w:ascii="Arial" w:hAnsi="Arial" w:cs="Arial"/>
          <w:color w:val="222222"/>
          <w:sz w:val="22"/>
          <w:szCs w:val="22"/>
        </w:rPr>
        <w:t>’</w:t>
      </w:r>
      <w:r w:rsidR="008A46D5">
        <w:rPr>
          <w:rFonts w:ascii="Arial" w:hAnsi="Arial" w:cs="Arial"/>
          <w:color w:val="222222"/>
          <w:sz w:val="22"/>
          <w:szCs w:val="22"/>
        </w:rPr>
        <w:t>.</w:t>
      </w:r>
      <w:r w:rsidR="00803DEC" w:rsidRPr="004668EF">
        <w:rPr>
          <w:rFonts w:ascii="Arial" w:hAnsi="Arial" w:cs="Arial"/>
          <w:color w:val="222222"/>
          <w:sz w:val="22"/>
          <w:szCs w:val="22"/>
        </w:rPr>
        <w:t xml:space="preserve"> </w:t>
      </w:r>
      <w:r w:rsidR="008A46D5">
        <w:rPr>
          <w:rFonts w:ascii="Arial" w:hAnsi="Arial" w:cs="Arial"/>
          <w:color w:val="222222"/>
          <w:sz w:val="22"/>
          <w:szCs w:val="22"/>
        </w:rPr>
        <w:t>T</w:t>
      </w:r>
      <w:r w:rsidR="00803DEC" w:rsidRPr="004668EF">
        <w:rPr>
          <w:rFonts w:ascii="Arial" w:hAnsi="Arial" w:cs="Arial"/>
          <w:color w:val="222222"/>
          <w:sz w:val="22"/>
          <w:szCs w:val="22"/>
        </w:rPr>
        <w:t xml:space="preserve">he PBAC </w:t>
      </w:r>
      <w:r w:rsidR="0023624A" w:rsidRPr="004668EF">
        <w:rPr>
          <w:rFonts w:ascii="Arial" w:hAnsi="Arial" w:cs="Arial"/>
          <w:color w:val="222222"/>
          <w:sz w:val="22"/>
          <w:szCs w:val="22"/>
        </w:rPr>
        <w:t>Guidelines (2013, v4.4</w:t>
      </w:r>
      <w:r w:rsidR="00803DEC" w:rsidRPr="004668EF">
        <w:rPr>
          <w:rFonts w:ascii="Arial" w:hAnsi="Arial" w:cs="Arial"/>
          <w:color w:val="222222"/>
          <w:sz w:val="22"/>
          <w:szCs w:val="22"/>
        </w:rPr>
        <w:t xml:space="preserve">) state that, unlike the </w:t>
      </w:r>
      <w:r w:rsidR="00835709">
        <w:rPr>
          <w:rFonts w:ascii="Arial" w:hAnsi="Arial" w:cs="Arial"/>
          <w:color w:val="222222"/>
          <w:sz w:val="22"/>
          <w:szCs w:val="22"/>
        </w:rPr>
        <w:t>Life Saving Drugs Programme</w:t>
      </w:r>
      <w:r w:rsidR="00835709" w:rsidRPr="004668EF">
        <w:rPr>
          <w:rFonts w:ascii="Arial" w:hAnsi="Arial" w:cs="Arial"/>
          <w:color w:val="222222"/>
          <w:sz w:val="22"/>
          <w:szCs w:val="22"/>
        </w:rPr>
        <w:t xml:space="preserve"> </w:t>
      </w:r>
      <w:r w:rsidR="00803DEC" w:rsidRPr="004668EF">
        <w:rPr>
          <w:rFonts w:ascii="Arial" w:hAnsi="Arial" w:cs="Arial"/>
          <w:color w:val="222222"/>
          <w:sz w:val="22"/>
          <w:szCs w:val="22"/>
        </w:rPr>
        <w:t>criteria, the rule of rescue “supplements, rather than substitutes for the evidence</w:t>
      </w:r>
      <w:r w:rsidR="008A46D5">
        <w:rPr>
          <w:rFonts w:ascii="Arial" w:hAnsi="Arial" w:cs="Arial"/>
          <w:color w:val="222222"/>
          <w:sz w:val="22"/>
          <w:szCs w:val="22"/>
        </w:rPr>
        <w:noBreakHyphen/>
      </w:r>
      <w:r w:rsidR="00803DEC" w:rsidRPr="004668EF">
        <w:rPr>
          <w:rFonts w:ascii="Arial" w:hAnsi="Arial" w:cs="Arial"/>
          <w:color w:val="222222"/>
          <w:sz w:val="22"/>
          <w:szCs w:val="22"/>
        </w:rPr>
        <w:t>based consideration of comparative cost-effectiveness.</w:t>
      </w:r>
      <w:r w:rsidR="00803DEC" w:rsidRPr="004668EF">
        <w:rPr>
          <w:rFonts w:ascii="Arial" w:hAnsi="Arial" w:cs="Arial"/>
          <w:bCs/>
          <w:snapToGrid w:val="0"/>
          <w:sz w:val="22"/>
          <w:szCs w:val="22"/>
          <w:lang w:val="en-GB"/>
        </w:rPr>
        <w:t xml:space="preserve"> </w:t>
      </w:r>
    </w:p>
    <w:p w:rsidR="00424FBA" w:rsidRDefault="00424FBA" w:rsidP="00D4172B">
      <w:pPr>
        <w:ind w:left="720"/>
        <w:contextualSpacing/>
        <w:jc w:val="both"/>
        <w:rPr>
          <w:rFonts w:ascii="Arial" w:hAnsi="Arial" w:cs="Arial"/>
          <w:bCs/>
          <w:snapToGrid w:val="0"/>
          <w:sz w:val="22"/>
          <w:szCs w:val="22"/>
          <w:lang w:val="en-GB"/>
        </w:rPr>
      </w:pPr>
    </w:p>
    <w:p w:rsidR="003D6F9D" w:rsidRDefault="008776A4" w:rsidP="009552A7">
      <w:pPr>
        <w:pStyle w:val="PBACHeading1"/>
        <w:numPr>
          <w:ilvl w:val="1"/>
          <w:numId w:val="2"/>
        </w:numPr>
        <w:jc w:val="both"/>
        <w:rPr>
          <w:b w:val="0"/>
        </w:rPr>
      </w:pPr>
      <w:r>
        <w:rPr>
          <w:b w:val="0"/>
        </w:rPr>
        <w:t xml:space="preserve">The PBAC recalled that the utilisation estimates are dependent on whether neonatal screening results in an increased incidence of HT-1 and noted the re-submission presented financial estimates based on a doubling of diagnoses upon the introduction of SA screening. The PBAC agreed with the stakeholder meeting consensus that this doubling of patients was unlikely to occur in practice. The PBAC also noted that the minor </w:t>
      </w:r>
      <w:r w:rsidR="00483A93">
        <w:rPr>
          <w:b w:val="0"/>
        </w:rPr>
        <w:t>re-submission did not address the PBAC’</w:t>
      </w:r>
      <w:r>
        <w:rPr>
          <w:b w:val="0"/>
        </w:rPr>
        <w:t>s conc</w:t>
      </w:r>
      <w:r w:rsidR="004668EF">
        <w:rPr>
          <w:b w:val="0"/>
        </w:rPr>
        <w:t>ern from November 2014 that the</w:t>
      </w:r>
      <w:r>
        <w:rPr>
          <w:b w:val="0"/>
        </w:rPr>
        <w:t xml:space="preserve"> cost per patient per year was underestimated</w:t>
      </w:r>
      <w:r w:rsidR="004668EF">
        <w:rPr>
          <w:b w:val="0"/>
        </w:rPr>
        <w:t>. The PBAC maintained that</w:t>
      </w:r>
      <w:r>
        <w:rPr>
          <w:b w:val="0"/>
        </w:rPr>
        <w:t xml:space="preserve"> as it was based on the </w:t>
      </w:r>
      <w:r w:rsidRPr="008776A4">
        <w:rPr>
          <w:b w:val="0"/>
        </w:rPr>
        <w:t xml:space="preserve">current mean weight of Australian HT-1 patients (31.1 kg) </w:t>
      </w:r>
      <w:r w:rsidR="004668EF">
        <w:rPr>
          <w:b w:val="0"/>
        </w:rPr>
        <w:t>this cost may</w:t>
      </w:r>
      <w:r w:rsidRPr="008776A4">
        <w:rPr>
          <w:b w:val="0"/>
        </w:rPr>
        <w:t xml:space="preserve"> increase as an increasing proportion of the HT-1 patient population survive through to adulthood.</w:t>
      </w:r>
    </w:p>
    <w:p w:rsidR="003B0E9A" w:rsidRDefault="003B0E9A" w:rsidP="009552A7">
      <w:pPr>
        <w:pStyle w:val="ListParagraph"/>
        <w:jc w:val="both"/>
        <w:rPr>
          <w:b/>
        </w:rPr>
      </w:pPr>
    </w:p>
    <w:p w:rsidR="003B0E9A" w:rsidRPr="008776A4" w:rsidRDefault="003B0E9A" w:rsidP="009552A7">
      <w:pPr>
        <w:pStyle w:val="PBACHeading1"/>
        <w:numPr>
          <w:ilvl w:val="1"/>
          <w:numId w:val="2"/>
        </w:numPr>
        <w:jc w:val="both"/>
        <w:rPr>
          <w:b w:val="0"/>
        </w:rPr>
      </w:pPr>
      <w:r>
        <w:rPr>
          <w:b w:val="0"/>
        </w:rPr>
        <w:t xml:space="preserve">The PBAC noted that this submission is eligible for an Independent Review. </w:t>
      </w:r>
    </w:p>
    <w:p w:rsidR="003D6F9D" w:rsidRPr="006C307E" w:rsidRDefault="003D6F9D" w:rsidP="00D4172B">
      <w:pPr>
        <w:jc w:val="both"/>
        <w:rPr>
          <w:rFonts w:ascii="Arial" w:hAnsi="Arial" w:cs="Arial"/>
          <w:b/>
          <w:bCs/>
          <w:snapToGrid w:val="0"/>
          <w:sz w:val="22"/>
          <w:szCs w:val="22"/>
          <w:highlight w:val="yellow"/>
          <w:lang w:val="en-GB"/>
        </w:rPr>
      </w:pPr>
    </w:p>
    <w:p w:rsidR="003D6F9D" w:rsidRPr="00993B91" w:rsidRDefault="003D6F9D" w:rsidP="00D4172B">
      <w:pPr>
        <w:jc w:val="both"/>
        <w:rPr>
          <w:rFonts w:ascii="Arial" w:hAnsi="Arial" w:cs="Arial"/>
          <w:b/>
          <w:bCs/>
          <w:snapToGrid w:val="0"/>
          <w:sz w:val="22"/>
          <w:szCs w:val="22"/>
          <w:lang w:val="en-GB"/>
        </w:rPr>
      </w:pPr>
      <w:r w:rsidRPr="00993B91">
        <w:rPr>
          <w:rFonts w:ascii="Arial" w:hAnsi="Arial" w:cs="Arial"/>
          <w:b/>
          <w:bCs/>
          <w:snapToGrid w:val="0"/>
          <w:sz w:val="22"/>
          <w:szCs w:val="22"/>
          <w:lang w:val="en-GB"/>
        </w:rPr>
        <w:t>Outcome:</w:t>
      </w:r>
    </w:p>
    <w:p w:rsidR="003D6F9D" w:rsidRDefault="003D6F9D" w:rsidP="00D4172B">
      <w:pPr>
        <w:jc w:val="both"/>
        <w:rPr>
          <w:rFonts w:ascii="Arial" w:hAnsi="Arial" w:cs="Arial"/>
          <w:bCs/>
          <w:snapToGrid w:val="0"/>
          <w:sz w:val="22"/>
          <w:szCs w:val="22"/>
          <w:lang w:val="en-GB"/>
        </w:rPr>
      </w:pPr>
      <w:r w:rsidRPr="00993B91">
        <w:rPr>
          <w:rFonts w:ascii="Arial" w:hAnsi="Arial" w:cs="Arial"/>
          <w:bCs/>
          <w:snapToGrid w:val="0"/>
          <w:sz w:val="22"/>
          <w:szCs w:val="22"/>
          <w:lang w:val="en-GB"/>
        </w:rPr>
        <w:t xml:space="preserve">Rejected </w:t>
      </w:r>
    </w:p>
    <w:p w:rsidR="006C19BB" w:rsidRDefault="006C19BB" w:rsidP="00D4172B">
      <w:pPr>
        <w:jc w:val="both"/>
        <w:rPr>
          <w:rFonts w:ascii="Arial" w:hAnsi="Arial" w:cs="Arial"/>
          <w:bCs/>
          <w:snapToGrid w:val="0"/>
          <w:sz w:val="22"/>
          <w:szCs w:val="22"/>
          <w:lang w:val="en-GB"/>
        </w:rPr>
      </w:pPr>
    </w:p>
    <w:p w:rsidR="006C19BB" w:rsidRPr="006C19BB" w:rsidRDefault="006C19BB" w:rsidP="006C19BB">
      <w:pPr>
        <w:pStyle w:val="ListParagraph"/>
        <w:numPr>
          <w:ilvl w:val="0"/>
          <w:numId w:val="2"/>
        </w:numPr>
        <w:jc w:val="both"/>
        <w:rPr>
          <w:rFonts w:ascii="Arial" w:hAnsi="Arial" w:cs="Arial"/>
          <w:b/>
          <w:bCs/>
          <w:snapToGrid w:val="0"/>
          <w:sz w:val="22"/>
          <w:szCs w:val="22"/>
          <w:lang w:val="en-GB"/>
        </w:rPr>
      </w:pPr>
      <w:r w:rsidRPr="006C19BB">
        <w:rPr>
          <w:rFonts w:ascii="Arial" w:hAnsi="Arial" w:cs="Arial"/>
          <w:b/>
          <w:bCs/>
          <w:snapToGrid w:val="0"/>
          <w:sz w:val="22"/>
          <w:szCs w:val="22"/>
          <w:lang w:val="en-GB"/>
        </w:rPr>
        <w:t xml:space="preserve">Context of Decision </w:t>
      </w:r>
    </w:p>
    <w:p w:rsidR="006C19BB" w:rsidRPr="006C19BB" w:rsidRDefault="006C19BB" w:rsidP="006C19BB">
      <w:pPr>
        <w:pStyle w:val="ListParagraph"/>
        <w:jc w:val="both"/>
        <w:rPr>
          <w:rFonts w:ascii="Arial" w:hAnsi="Arial" w:cs="Arial"/>
          <w:bCs/>
          <w:snapToGrid w:val="0"/>
          <w:sz w:val="22"/>
          <w:szCs w:val="22"/>
          <w:lang w:val="en-GB"/>
        </w:rPr>
      </w:pPr>
    </w:p>
    <w:p w:rsidR="006C19BB" w:rsidRDefault="006C19BB" w:rsidP="00001BD7">
      <w:pPr>
        <w:ind w:left="720"/>
        <w:rPr>
          <w:rFonts w:ascii="Arial" w:hAnsi="Arial" w:cs="Arial"/>
          <w:bCs/>
          <w:snapToGrid w:val="0"/>
          <w:sz w:val="22"/>
          <w:szCs w:val="22"/>
        </w:rPr>
      </w:pPr>
      <w:r w:rsidRPr="006C19BB">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w:t>
      </w:r>
      <w:bookmarkStart w:id="2" w:name="_GoBack"/>
      <w:bookmarkEnd w:id="2"/>
      <w:r w:rsidRPr="006C19BB">
        <w:rPr>
          <w:rFonts w:ascii="Arial" w:hAnsi="Arial" w:cs="Arial"/>
          <w:bCs/>
          <w:snapToGrid w:val="0"/>
          <w:sz w:val="22"/>
          <w:szCs w:val="22"/>
        </w:rPr>
        <w:t>ecommend changing a listing does not represent a final PBAC view about the merits of the medicine. A company can resubmit to the PBAC or seek independent review of the PBAC decision.</w:t>
      </w:r>
    </w:p>
    <w:p w:rsidR="006C19BB" w:rsidRPr="006C19BB" w:rsidRDefault="006C19BB" w:rsidP="006C19BB">
      <w:pPr>
        <w:rPr>
          <w:rFonts w:ascii="Arial" w:hAnsi="Arial" w:cs="Arial"/>
          <w:bCs/>
          <w:snapToGrid w:val="0"/>
          <w:sz w:val="22"/>
          <w:szCs w:val="22"/>
        </w:rPr>
      </w:pPr>
    </w:p>
    <w:p w:rsidR="00592D69" w:rsidRDefault="006C19BB" w:rsidP="00592D69">
      <w:pPr>
        <w:pStyle w:val="ListParagraph"/>
        <w:numPr>
          <w:ilvl w:val="0"/>
          <w:numId w:val="2"/>
        </w:numPr>
        <w:jc w:val="both"/>
        <w:rPr>
          <w:rFonts w:ascii="Arial" w:hAnsi="Arial" w:cs="Arial"/>
          <w:b/>
          <w:bCs/>
          <w:snapToGrid w:val="0"/>
          <w:sz w:val="22"/>
          <w:szCs w:val="22"/>
          <w:lang w:val="en-GB"/>
        </w:rPr>
      </w:pPr>
      <w:r w:rsidRPr="006C19BB">
        <w:rPr>
          <w:rFonts w:ascii="Arial" w:hAnsi="Arial" w:cs="Arial"/>
          <w:b/>
          <w:bCs/>
          <w:snapToGrid w:val="0"/>
          <w:sz w:val="22"/>
          <w:szCs w:val="22"/>
          <w:lang w:val="en-GB"/>
        </w:rPr>
        <w:t>Sponsor</w:t>
      </w:r>
      <w:r w:rsidR="001D46AE">
        <w:rPr>
          <w:rFonts w:ascii="Arial" w:hAnsi="Arial" w:cs="Arial"/>
          <w:b/>
          <w:bCs/>
          <w:snapToGrid w:val="0"/>
          <w:sz w:val="22"/>
          <w:szCs w:val="22"/>
          <w:lang w:val="en-GB"/>
        </w:rPr>
        <w:t>’s</w:t>
      </w:r>
      <w:r w:rsidRPr="006C19BB">
        <w:rPr>
          <w:rFonts w:ascii="Arial" w:hAnsi="Arial" w:cs="Arial"/>
          <w:b/>
          <w:bCs/>
          <w:snapToGrid w:val="0"/>
          <w:sz w:val="22"/>
          <w:szCs w:val="22"/>
          <w:lang w:val="en-GB"/>
        </w:rPr>
        <w:t xml:space="preserve"> Comment </w:t>
      </w:r>
    </w:p>
    <w:p w:rsidR="00592D69" w:rsidRPr="00592D69" w:rsidRDefault="00592D69" w:rsidP="00592D69">
      <w:pPr>
        <w:pStyle w:val="ListParagraph"/>
        <w:jc w:val="both"/>
        <w:rPr>
          <w:rFonts w:ascii="Arial" w:hAnsi="Arial" w:cs="Arial"/>
          <w:b/>
          <w:bCs/>
          <w:snapToGrid w:val="0"/>
          <w:sz w:val="22"/>
          <w:szCs w:val="22"/>
          <w:lang w:val="en-GB"/>
        </w:rPr>
      </w:pPr>
    </w:p>
    <w:p w:rsidR="00003743" w:rsidRPr="00592D69" w:rsidRDefault="00EE17F9" w:rsidP="00592D69">
      <w:pPr>
        <w:pStyle w:val="ListParagraph"/>
        <w:jc w:val="both"/>
        <w:rPr>
          <w:rStyle w:val="IntenseReference"/>
          <w:rFonts w:ascii="Arial" w:hAnsi="Arial" w:cs="Arial"/>
          <w:i w:val="0"/>
          <w:smallCaps w:val="0"/>
          <w:snapToGrid w:val="0"/>
          <w:color w:val="auto"/>
          <w:spacing w:val="0"/>
          <w:sz w:val="22"/>
          <w:szCs w:val="22"/>
          <w:lang w:val="en-GB"/>
        </w:rPr>
      </w:pPr>
      <w:r w:rsidRPr="00592D69">
        <w:rPr>
          <w:rStyle w:val="IntenseReference"/>
          <w:rFonts w:ascii="Arial" w:hAnsi="Arial" w:cs="Arial"/>
          <w:b w:val="0"/>
          <w:i w:val="0"/>
          <w:smallCaps w:val="0"/>
          <w:snapToGrid w:val="0"/>
          <w:color w:val="auto"/>
          <w:spacing w:val="0"/>
          <w:sz w:val="22"/>
          <w:szCs w:val="22"/>
          <w:lang w:val="en-GB"/>
        </w:rPr>
        <w:t>A.Menarini Australia Pty Ltd is committed to partnering with the department to find a solution to allow nitisinone to be reimbursed for patients with tyrosinaemia type 1.</w:t>
      </w:r>
    </w:p>
    <w:sectPr w:rsidR="00003743" w:rsidRPr="00592D69" w:rsidSect="00DC01C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75B7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00" w:rsidRDefault="00580300" w:rsidP="00DC01C1">
      <w:r>
        <w:separator/>
      </w:r>
    </w:p>
  </w:endnote>
  <w:endnote w:type="continuationSeparator" w:id="0">
    <w:p w:rsidR="00580300" w:rsidRDefault="00580300" w:rsidP="00DC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35709" w:rsidTr="00DC01C1">
      <w:trPr>
        <w:trHeight w:val="151"/>
      </w:trPr>
      <w:tc>
        <w:tcPr>
          <w:tcW w:w="2250" w:type="pct"/>
          <w:tcBorders>
            <w:top w:val="nil"/>
            <w:left w:val="nil"/>
            <w:bottom w:val="single" w:sz="4" w:space="0" w:color="4F81BD"/>
            <w:right w:val="nil"/>
          </w:tcBorders>
        </w:tcPr>
        <w:p w:rsidR="00835709" w:rsidRPr="005A3173" w:rsidRDefault="00835709" w:rsidP="00DC01C1">
          <w:pPr>
            <w:pStyle w:val="Header"/>
            <w:spacing w:line="276" w:lineRule="auto"/>
            <w:rPr>
              <w:rFonts w:ascii="Calibri" w:eastAsia="MS Gothic" w:hAnsi="Calibri"/>
              <w:b/>
              <w:bCs/>
              <w:color w:val="4F81BD"/>
            </w:rPr>
          </w:pPr>
        </w:p>
      </w:tc>
      <w:tc>
        <w:tcPr>
          <w:tcW w:w="500" w:type="pct"/>
          <w:vMerge w:val="restart"/>
          <w:noWrap/>
          <w:vAlign w:val="center"/>
          <w:hideMark/>
        </w:tcPr>
        <w:p w:rsidR="00835709" w:rsidRPr="005A3173" w:rsidRDefault="00835709" w:rsidP="00DC01C1">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35709" w:rsidRPr="005A3173" w:rsidRDefault="00835709" w:rsidP="00DC01C1">
          <w:pPr>
            <w:pStyle w:val="Header"/>
            <w:spacing w:line="276" w:lineRule="auto"/>
            <w:rPr>
              <w:rFonts w:ascii="Calibri" w:eastAsia="MS Gothic" w:hAnsi="Calibri"/>
              <w:b/>
              <w:bCs/>
              <w:color w:val="4F81BD"/>
            </w:rPr>
          </w:pPr>
        </w:p>
      </w:tc>
    </w:tr>
    <w:tr w:rsidR="00835709" w:rsidTr="00DC01C1">
      <w:trPr>
        <w:trHeight w:val="150"/>
      </w:trPr>
      <w:tc>
        <w:tcPr>
          <w:tcW w:w="2250" w:type="pct"/>
          <w:tcBorders>
            <w:top w:val="single" w:sz="4" w:space="0" w:color="4F81BD"/>
            <w:left w:val="nil"/>
            <w:bottom w:val="nil"/>
            <w:right w:val="nil"/>
          </w:tcBorders>
        </w:tcPr>
        <w:p w:rsidR="00835709" w:rsidRPr="005A3173" w:rsidRDefault="00835709" w:rsidP="00DC01C1">
          <w:pPr>
            <w:pStyle w:val="Header"/>
            <w:spacing w:line="276" w:lineRule="auto"/>
            <w:rPr>
              <w:rFonts w:ascii="Calibri" w:eastAsia="MS Gothic" w:hAnsi="Calibri"/>
              <w:b/>
              <w:bCs/>
              <w:color w:val="4F81BD"/>
            </w:rPr>
          </w:pPr>
        </w:p>
      </w:tc>
      <w:tc>
        <w:tcPr>
          <w:tcW w:w="0" w:type="auto"/>
          <w:vMerge/>
          <w:vAlign w:val="center"/>
          <w:hideMark/>
        </w:tcPr>
        <w:p w:rsidR="00835709" w:rsidRPr="005A3173" w:rsidRDefault="00835709" w:rsidP="00DC01C1">
          <w:pPr>
            <w:rPr>
              <w:rFonts w:ascii="Calibri" w:hAnsi="Calibri"/>
              <w:color w:val="365F91"/>
              <w:sz w:val="22"/>
              <w:szCs w:val="22"/>
            </w:rPr>
          </w:pPr>
        </w:p>
      </w:tc>
      <w:tc>
        <w:tcPr>
          <w:tcW w:w="2250" w:type="pct"/>
          <w:tcBorders>
            <w:top w:val="single" w:sz="4" w:space="0" w:color="4F81BD"/>
            <w:left w:val="nil"/>
            <w:bottom w:val="nil"/>
            <w:right w:val="nil"/>
          </w:tcBorders>
        </w:tcPr>
        <w:p w:rsidR="00835709" w:rsidRPr="005A3173" w:rsidRDefault="00835709" w:rsidP="00DC01C1">
          <w:pPr>
            <w:pStyle w:val="Header"/>
            <w:spacing w:line="276" w:lineRule="auto"/>
            <w:rPr>
              <w:rFonts w:ascii="Calibri" w:eastAsia="MS Gothic" w:hAnsi="Calibri"/>
              <w:b/>
              <w:bCs/>
              <w:color w:val="4F81BD"/>
            </w:rPr>
          </w:pPr>
        </w:p>
      </w:tc>
    </w:tr>
  </w:tbl>
  <w:p w:rsidR="00835709" w:rsidRDefault="00516FD3" w:rsidP="00DC01C1">
    <w:pPr>
      <w:pStyle w:val="Footer"/>
      <w:framePr w:wrap="around" w:vAnchor="text" w:hAnchor="margin" w:xAlign="center" w:y="1"/>
      <w:rPr>
        <w:rStyle w:val="PageNumber"/>
      </w:rPr>
    </w:pPr>
    <w:r>
      <w:rPr>
        <w:rStyle w:val="PageNumber"/>
      </w:rPr>
      <w:fldChar w:fldCharType="begin"/>
    </w:r>
    <w:r w:rsidR="00835709">
      <w:rPr>
        <w:rStyle w:val="PageNumber"/>
      </w:rPr>
      <w:instrText xml:space="preserve">PAGE  </w:instrText>
    </w:r>
    <w:r>
      <w:rPr>
        <w:rStyle w:val="PageNumber"/>
      </w:rPr>
      <w:fldChar w:fldCharType="end"/>
    </w:r>
  </w:p>
  <w:p w:rsidR="00835709" w:rsidRDefault="00835709">
    <w:pPr>
      <w:pStyle w:val="Footer"/>
    </w:pPr>
  </w:p>
  <w:p w:rsidR="00835709" w:rsidRDefault="008357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09" w:rsidRDefault="00835709" w:rsidP="00DC01C1">
    <w:pPr>
      <w:pStyle w:val="Footer"/>
      <w:jc w:val="center"/>
      <w:rPr>
        <w:rFonts w:ascii="Arial" w:hAnsi="Arial" w:cs="Arial"/>
        <w:b/>
        <w:sz w:val="20"/>
        <w:szCs w:val="20"/>
      </w:rPr>
    </w:pPr>
  </w:p>
  <w:p w:rsidR="00835709" w:rsidRDefault="00516FD3" w:rsidP="003D6F9D">
    <w:pPr>
      <w:pStyle w:val="Footer"/>
      <w:jc w:val="center"/>
      <w:rPr>
        <w:rFonts w:ascii="Arial" w:hAnsi="Arial" w:cs="Arial"/>
        <w:b/>
        <w:sz w:val="20"/>
        <w:szCs w:val="20"/>
      </w:rPr>
    </w:pPr>
    <w:r w:rsidRPr="00651169">
      <w:rPr>
        <w:rFonts w:ascii="Arial" w:hAnsi="Arial" w:cs="Arial"/>
        <w:sz w:val="20"/>
        <w:szCs w:val="20"/>
      </w:rPr>
      <w:fldChar w:fldCharType="begin"/>
    </w:r>
    <w:r w:rsidR="00835709"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425ED">
      <w:rPr>
        <w:rFonts w:ascii="Arial" w:hAnsi="Arial" w:cs="Arial"/>
        <w:noProof/>
        <w:sz w:val="20"/>
        <w:szCs w:val="20"/>
      </w:rPr>
      <w:t>8</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35709" w:rsidTr="00DC01C1">
      <w:trPr>
        <w:trHeight w:val="151"/>
      </w:trPr>
      <w:tc>
        <w:tcPr>
          <w:tcW w:w="2250" w:type="pct"/>
          <w:tcBorders>
            <w:top w:val="nil"/>
            <w:left w:val="nil"/>
            <w:bottom w:val="single" w:sz="4" w:space="0" w:color="4F81BD"/>
            <w:right w:val="nil"/>
          </w:tcBorders>
        </w:tcPr>
        <w:p w:rsidR="00835709" w:rsidRPr="005A3173" w:rsidRDefault="00835709" w:rsidP="00DC01C1">
          <w:pPr>
            <w:pStyle w:val="Header"/>
            <w:spacing w:line="276" w:lineRule="auto"/>
            <w:rPr>
              <w:rFonts w:ascii="Calibri" w:eastAsia="MS Gothic" w:hAnsi="Calibri"/>
              <w:b/>
              <w:bCs/>
              <w:color w:val="4F81BD"/>
            </w:rPr>
          </w:pPr>
        </w:p>
      </w:tc>
      <w:tc>
        <w:tcPr>
          <w:tcW w:w="500" w:type="pct"/>
          <w:vMerge w:val="restart"/>
          <w:noWrap/>
          <w:vAlign w:val="center"/>
          <w:hideMark/>
        </w:tcPr>
        <w:p w:rsidR="00835709" w:rsidRPr="005A3173" w:rsidRDefault="00835709" w:rsidP="00DC01C1">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35709" w:rsidRPr="005A3173" w:rsidRDefault="00835709" w:rsidP="00DC01C1">
          <w:pPr>
            <w:pStyle w:val="Header"/>
            <w:spacing w:line="276" w:lineRule="auto"/>
            <w:rPr>
              <w:rFonts w:ascii="Calibri" w:eastAsia="MS Gothic" w:hAnsi="Calibri"/>
              <w:b/>
              <w:bCs/>
              <w:color w:val="4F81BD"/>
            </w:rPr>
          </w:pPr>
        </w:p>
      </w:tc>
    </w:tr>
    <w:tr w:rsidR="00835709" w:rsidTr="00DC01C1">
      <w:trPr>
        <w:trHeight w:val="150"/>
      </w:trPr>
      <w:tc>
        <w:tcPr>
          <w:tcW w:w="2250" w:type="pct"/>
          <w:tcBorders>
            <w:top w:val="single" w:sz="4" w:space="0" w:color="4F81BD"/>
            <w:left w:val="nil"/>
            <w:bottom w:val="nil"/>
            <w:right w:val="nil"/>
          </w:tcBorders>
        </w:tcPr>
        <w:p w:rsidR="00835709" w:rsidRPr="005A3173" w:rsidRDefault="00835709" w:rsidP="00DC01C1">
          <w:pPr>
            <w:pStyle w:val="Header"/>
            <w:spacing w:line="276" w:lineRule="auto"/>
            <w:rPr>
              <w:rFonts w:ascii="Calibri" w:eastAsia="MS Gothic" w:hAnsi="Calibri"/>
              <w:b/>
              <w:bCs/>
              <w:color w:val="4F81BD"/>
            </w:rPr>
          </w:pPr>
        </w:p>
      </w:tc>
      <w:tc>
        <w:tcPr>
          <w:tcW w:w="0" w:type="auto"/>
          <w:vMerge/>
          <w:vAlign w:val="center"/>
          <w:hideMark/>
        </w:tcPr>
        <w:p w:rsidR="00835709" w:rsidRPr="005A3173" w:rsidRDefault="00835709" w:rsidP="00DC01C1">
          <w:pPr>
            <w:rPr>
              <w:rFonts w:ascii="Calibri" w:hAnsi="Calibri"/>
              <w:color w:val="365F91"/>
              <w:sz w:val="22"/>
              <w:szCs w:val="22"/>
            </w:rPr>
          </w:pPr>
        </w:p>
      </w:tc>
      <w:tc>
        <w:tcPr>
          <w:tcW w:w="2250" w:type="pct"/>
          <w:tcBorders>
            <w:top w:val="single" w:sz="4" w:space="0" w:color="4F81BD"/>
            <w:left w:val="nil"/>
            <w:bottom w:val="nil"/>
            <w:right w:val="nil"/>
          </w:tcBorders>
        </w:tcPr>
        <w:p w:rsidR="00835709" w:rsidRPr="005A3173" w:rsidRDefault="00835709" w:rsidP="00DC01C1">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35709" w:rsidTr="00DC01C1">
      <w:trPr>
        <w:trHeight w:val="151"/>
      </w:trPr>
      <w:tc>
        <w:tcPr>
          <w:tcW w:w="2250" w:type="pct"/>
          <w:tcBorders>
            <w:top w:val="nil"/>
            <w:left w:val="nil"/>
            <w:bottom w:val="single" w:sz="4" w:space="0" w:color="4F81BD"/>
            <w:right w:val="nil"/>
          </w:tcBorders>
        </w:tcPr>
        <w:p w:rsidR="00835709" w:rsidRPr="005A3173" w:rsidRDefault="00835709" w:rsidP="00DC01C1">
          <w:pPr>
            <w:pStyle w:val="Header"/>
            <w:spacing w:line="276" w:lineRule="auto"/>
            <w:rPr>
              <w:rFonts w:ascii="Calibri" w:eastAsia="MS Gothic" w:hAnsi="Calibri"/>
              <w:b/>
              <w:bCs/>
              <w:color w:val="4F81BD"/>
            </w:rPr>
          </w:pPr>
        </w:p>
      </w:tc>
      <w:tc>
        <w:tcPr>
          <w:tcW w:w="500" w:type="pct"/>
          <w:vMerge w:val="restart"/>
          <w:noWrap/>
          <w:vAlign w:val="center"/>
          <w:hideMark/>
        </w:tcPr>
        <w:p w:rsidR="00835709" w:rsidRPr="005A3173" w:rsidRDefault="00835709" w:rsidP="00DC01C1">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35709" w:rsidRPr="005A3173" w:rsidRDefault="00835709" w:rsidP="00DC01C1">
          <w:pPr>
            <w:pStyle w:val="Header"/>
            <w:spacing w:line="276" w:lineRule="auto"/>
            <w:rPr>
              <w:rFonts w:ascii="Calibri" w:eastAsia="MS Gothic" w:hAnsi="Calibri"/>
              <w:b/>
              <w:bCs/>
              <w:color w:val="4F81BD"/>
            </w:rPr>
          </w:pPr>
        </w:p>
      </w:tc>
    </w:tr>
    <w:tr w:rsidR="00835709" w:rsidTr="00DC01C1">
      <w:trPr>
        <w:trHeight w:val="150"/>
      </w:trPr>
      <w:tc>
        <w:tcPr>
          <w:tcW w:w="2250" w:type="pct"/>
          <w:tcBorders>
            <w:top w:val="single" w:sz="4" w:space="0" w:color="4F81BD"/>
            <w:left w:val="nil"/>
            <w:bottom w:val="nil"/>
            <w:right w:val="nil"/>
          </w:tcBorders>
        </w:tcPr>
        <w:p w:rsidR="00835709" w:rsidRPr="005A3173" w:rsidRDefault="00835709" w:rsidP="00DC01C1">
          <w:pPr>
            <w:pStyle w:val="Header"/>
            <w:spacing w:line="276" w:lineRule="auto"/>
            <w:rPr>
              <w:rFonts w:ascii="Calibri" w:eastAsia="MS Gothic" w:hAnsi="Calibri"/>
              <w:b/>
              <w:bCs/>
              <w:color w:val="4F81BD"/>
            </w:rPr>
          </w:pPr>
        </w:p>
      </w:tc>
      <w:tc>
        <w:tcPr>
          <w:tcW w:w="0" w:type="auto"/>
          <w:vMerge/>
          <w:vAlign w:val="center"/>
          <w:hideMark/>
        </w:tcPr>
        <w:p w:rsidR="00835709" w:rsidRPr="005A3173" w:rsidRDefault="00835709" w:rsidP="00DC01C1">
          <w:pPr>
            <w:rPr>
              <w:rFonts w:ascii="Calibri" w:hAnsi="Calibri"/>
              <w:color w:val="365F91"/>
              <w:sz w:val="22"/>
              <w:szCs w:val="22"/>
            </w:rPr>
          </w:pPr>
        </w:p>
      </w:tc>
      <w:tc>
        <w:tcPr>
          <w:tcW w:w="2250" w:type="pct"/>
          <w:tcBorders>
            <w:top w:val="single" w:sz="4" w:space="0" w:color="4F81BD"/>
            <w:left w:val="nil"/>
            <w:bottom w:val="nil"/>
            <w:right w:val="nil"/>
          </w:tcBorders>
        </w:tcPr>
        <w:p w:rsidR="00835709" w:rsidRPr="005A3173" w:rsidRDefault="00835709" w:rsidP="00DC01C1">
          <w:pPr>
            <w:pStyle w:val="Header"/>
            <w:spacing w:line="276" w:lineRule="auto"/>
            <w:rPr>
              <w:rFonts w:ascii="Calibri" w:eastAsia="MS Gothic" w:hAnsi="Calibri"/>
              <w:b/>
              <w:bCs/>
              <w:color w:val="4F81BD"/>
            </w:rPr>
          </w:pPr>
        </w:p>
      </w:tc>
    </w:tr>
  </w:tbl>
  <w:p w:rsidR="00835709" w:rsidRPr="007C0F57" w:rsidRDefault="00835709" w:rsidP="00DC01C1">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516FD3">
      <w:rPr>
        <w:rStyle w:val="PageNumber"/>
      </w:rPr>
      <w:fldChar w:fldCharType="begin"/>
    </w:r>
    <w:r>
      <w:rPr>
        <w:rStyle w:val="PageNumber"/>
      </w:rPr>
      <w:instrText xml:space="preserve"> PAGE </w:instrText>
    </w:r>
    <w:r w:rsidR="00516FD3">
      <w:rPr>
        <w:rStyle w:val="PageNumber"/>
      </w:rPr>
      <w:fldChar w:fldCharType="separate"/>
    </w:r>
    <w:r>
      <w:rPr>
        <w:rStyle w:val="PageNumber"/>
        <w:noProof/>
      </w:rPr>
      <w:t>4</w:t>
    </w:r>
    <w:r w:rsidR="00516FD3">
      <w:rPr>
        <w:rStyle w:val="PageNumber"/>
      </w:rPr>
      <w:fldChar w:fldCharType="end"/>
    </w:r>
    <w:r w:rsidRPr="007C0F57">
      <w:rPr>
        <w:b/>
        <w:i/>
        <w:sz w:val="20"/>
        <w:szCs w:val="20"/>
      </w:rPr>
      <w:t>BAC Meeting</w:t>
    </w:r>
  </w:p>
  <w:p w:rsidR="00835709" w:rsidRPr="007C0F57" w:rsidRDefault="00835709" w:rsidP="00DC01C1">
    <w:pPr>
      <w:pStyle w:val="Footer"/>
      <w:jc w:val="center"/>
      <w:rPr>
        <w:b/>
        <w:i/>
        <w:sz w:val="20"/>
        <w:szCs w:val="20"/>
      </w:rPr>
    </w:pPr>
    <w:r w:rsidRPr="007C0F57">
      <w:rPr>
        <w:b/>
        <w:i/>
        <w:sz w:val="20"/>
        <w:szCs w:val="20"/>
      </w:rPr>
      <w:t>Commercial-in-Confidence</w:t>
    </w:r>
  </w:p>
  <w:p w:rsidR="00835709" w:rsidRDefault="008357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00" w:rsidRDefault="00580300" w:rsidP="00DC01C1">
      <w:r>
        <w:separator/>
      </w:r>
    </w:p>
  </w:footnote>
  <w:footnote w:type="continuationSeparator" w:id="0">
    <w:p w:rsidR="00580300" w:rsidRDefault="00580300" w:rsidP="00DC0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35709" w:rsidRPr="008E0D90" w:rsidTr="00DC01C1">
      <w:trPr>
        <w:trHeight w:val="151"/>
      </w:trPr>
      <w:tc>
        <w:tcPr>
          <w:tcW w:w="2389" w:type="pct"/>
          <w:tcBorders>
            <w:top w:val="nil"/>
            <w:left w:val="nil"/>
            <w:bottom w:val="single" w:sz="4" w:space="0" w:color="4F81BD"/>
            <w:right w:val="nil"/>
          </w:tcBorders>
        </w:tcPr>
        <w:p w:rsidR="00835709" w:rsidRPr="00A06225" w:rsidRDefault="00835709">
          <w:pPr>
            <w:pStyle w:val="Header"/>
            <w:spacing w:line="276" w:lineRule="auto"/>
            <w:rPr>
              <w:rFonts w:ascii="Cambria" w:eastAsia="MS Gothic" w:hAnsi="Cambria"/>
              <w:b/>
              <w:bCs/>
              <w:color w:val="4F81BD"/>
            </w:rPr>
          </w:pPr>
        </w:p>
      </w:tc>
      <w:tc>
        <w:tcPr>
          <w:tcW w:w="333" w:type="pct"/>
          <w:vMerge w:val="restart"/>
          <w:noWrap/>
          <w:vAlign w:val="center"/>
          <w:hideMark/>
        </w:tcPr>
        <w:p w:rsidR="00835709" w:rsidRPr="00A06225" w:rsidRDefault="00835709" w:rsidP="00DC01C1">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35709" w:rsidRPr="00A06225" w:rsidRDefault="00835709">
          <w:pPr>
            <w:pStyle w:val="Header"/>
            <w:spacing w:line="276" w:lineRule="auto"/>
            <w:rPr>
              <w:rFonts w:ascii="Cambria" w:eastAsia="MS Gothic" w:hAnsi="Cambria"/>
              <w:b/>
              <w:bCs/>
              <w:color w:val="4F81BD"/>
            </w:rPr>
          </w:pPr>
        </w:p>
      </w:tc>
    </w:tr>
    <w:tr w:rsidR="00835709" w:rsidRPr="008E0D90" w:rsidTr="00DC01C1">
      <w:trPr>
        <w:trHeight w:val="150"/>
      </w:trPr>
      <w:tc>
        <w:tcPr>
          <w:tcW w:w="2389" w:type="pct"/>
          <w:tcBorders>
            <w:top w:val="single" w:sz="4" w:space="0" w:color="4F81BD"/>
            <w:left w:val="nil"/>
            <w:bottom w:val="nil"/>
            <w:right w:val="nil"/>
          </w:tcBorders>
        </w:tcPr>
        <w:p w:rsidR="00835709" w:rsidRPr="00A06225" w:rsidRDefault="00835709">
          <w:pPr>
            <w:pStyle w:val="Header"/>
            <w:spacing w:line="276" w:lineRule="auto"/>
            <w:rPr>
              <w:rFonts w:ascii="Cambria" w:eastAsia="MS Gothic" w:hAnsi="Cambria"/>
              <w:b/>
              <w:bCs/>
              <w:color w:val="4F81BD"/>
            </w:rPr>
          </w:pPr>
        </w:p>
      </w:tc>
      <w:tc>
        <w:tcPr>
          <w:tcW w:w="0" w:type="auto"/>
          <w:vMerge/>
          <w:vAlign w:val="center"/>
          <w:hideMark/>
        </w:tcPr>
        <w:p w:rsidR="00835709" w:rsidRPr="00A06225" w:rsidRDefault="00835709">
          <w:pPr>
            <w:rPr>
              <w:rFonts w:ascii="Cambria" w:hAnsi="Cambria"/>
              <w:color w:val="4F81BD"/>
              <w:sz w:val="22"/>
              <w:szCs w:val="22"/>
            </w:rPr>
          </w:pPr>
        </w:p>
      </w:tc>
      <w:tc>
        <w:tcPr>
          <w:tcW w:w="2278" w:type="pct"/>
          <w:tcBorders>
            <w:top w:val="single" w:sz="4" w:space="0" w:color="4F81BD"/>
            <w:left w:val="nil"/>
            <w:bottom w:val="nil"/>
            <w:right w:val="nil"/>
          </w:tcBorders>
        </w:tcPr>
        <w:p w:rsidR="00835709" w:rsidRPr="00A06225" w:rsidRDefault="00835709">
          <w:pPr>
            <w:pStyle w:val="Header"/>
            <w:spacing w:line="276" w:lineRule="auto"/>
            <w:rPr>
              <w:rFonts w:ascii="Cambria" w:eastAsia="MS Gothic" w:hAnsi="Cambria"/>
              <w:b/>
              <w:bCs/>
              <w:color w:val="4F81BD"/>
            </w:rPr>
          </w:pPr>
        </w:p>
      </w:tc>
    </w:tr>
  </w:tbl>
  <w:p w:rsidR="00835709" w:rsidRDefault="00835709">
    <w:pPr>
      <w:pStyle w:val="Header"/>
    </w:pPr>
  </w:p>
  <w:p w:rsidR="00835709" w:rsidRDefault="008357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09" w:rsidRPr="00DF217D" w:rsidRDefault="005B5FE7" w:rsidP="003D6F9D">
    <w:pPr>
      <w:pStyle w:val="Header"/>
      <w:ind w:left="360"/>
      <w:jc w:val="center"/>
      <w:rPr>
        <w:rFonts w:ascii="Arial" w:hAnsi="Arial" w:cs="Arial"/>
        <w:i/>
        <w:color w:val="808080"/>
        <w:sz w:val="22"/>
      </w:rPr>
    </w:pPr>
    <w:r>
      <w:rPr>
        <w:rFonts w:ascii="Arial" w:hAnsi="Arial" w:cs="Arial"/>
        <w:i/>
        <w:color w:val="808080"/>
        <w:sz w:val="22"/>
      </w:rPr>
      <w:t>Public Summary Document</w:t>
    </w:r>
    <w:r w:rsidR="00693743">
      <w:rPr>
        <w:rFonts w:ascii="Arial" w:hAnsi="Arial" w:cs="Arial"/>
        <w:i/>
        <w:color w:val="808080"/>
        <w:sz w:val="22"/>
      </w:rPr>
      <w:t xml:space="preserve"> </w:t>
    </w:r>
    <w:r w:rsidR="00835709" w:rsidRPr="00DF217D">
      <w:rPr>
        <w:rFonts w:ascii="Arial" w:hAnsi="Arial" w:cs="Arial"/>
        <w:i/>
        <w:color w:val="808080"/>
        <w:sz w:val="22"/>
      </w:rPr>
      <w:t xml:space="preserve">– </w:t>
    </w:r>
    <w:r w:rsidR="00835709">
      <w:rPr>
        <w:rFonts w:ascii="Arial" w:hAnsi="Arial" w:cs="Arial"/>
        <w:i/>
        <w:color w:val="808080"/>
        <w:sz w:val="22"/>
      </w:rPr>
      <w:t xml:space="preserve">July 2015 </w:t>
    </w:r>
    <w:r w:rsidR="00835709" w:rsidRPr="00DF217D">
      <w:rPr>
        <w:rFonts w:ascii="Arial" w:hAnsi="Arial" w:cs="Arial"/>
        <w:i/>
        <w:color w:val="808080"/>
        <w:sz w:val="22"/>
      </w:rPr>
      <w:t>PBAC</w:t>
    </w:r>
    <w:r w:rsidR="00835709">
      <w:rPr>
        <w:rFonts w:ascii="Arial" w:hAnsi="Arial" w:cs="Arial"/>
        <w:i/>
        <w:color w:val="808080"/>
        <w:sz w:val="22"/>
      </w:rPr>
      <w:t xml:space="preserve"> </w:t>
    </w:r>
    <w:r w:rsidR="00835709" w:rsidRPr="00DF217D">
      <w:rPr>
        <w:rFonts w:ascii="Arial" w:hAnsi="Arial" w:cs="Arial"/>
        <w:i/>
        <w:color w:val="808080"/>
        <w:sz w:val="22"/>
      </w:rPr>
      <w:t>Meeting</w:t>
    </w:r>
  </w:p>
  <w:p w:rsidR="00835709" w:rsidRDefault="00835709" w:rsidP="00DC01C1">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00" w:rsidRDefault="00580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F97A44"/>
    <w:multiLevelType w:val="hybridMultilevel"/>
    <w:tmpl w:val="94A062E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11C9779F"/>
    <w:multiLevelType w:val="hybridMultilevel"/>
    <w:tmpl w:val="DB2E0C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41757C"/>
    <w:multiLevelType w:val="hybridMultilevel"/>
    <w:tmpl w:val="AB0EBD4A"/>
    <w:lvl w:ilvl="0" w:tplc="5BB6CE18">
      <w:start w:val="1"/>
      <w:numFmt w:val="bullet"/>
      <w:lvlText w:val="•"/>
      <w:lvlJc w:val="left"/>
      <w:pPr>
        <w:tabs>
          <w:tab w:val="num" w:pos="720"/>
        </w:tabs>
        <w:ind w:left="720" w:hanging="360"/>
      </w:pPr>
      <w:rPr>
        <w:rFonts w:ascii="Arial" w:hAnsi="Arial" w:hint="default"/>
      </w:rPr>
    </w:lvl>
    <w:lvl w:ilvl="1" w:tplc="2EC830A8" w:tentative="1">
      <w:start w:val="1"/>
      <w:numFmt w:val="bullet"/>
      <w:lvlText w:val="•"/>
      <w:lvlJc w:val="left"/>
      <w:pPr>
        <w:tabs>
          <w:tab w:val="num" w:pos="1440"/>
        </w:tabs>
        <w:ind w:left="1440" w:hanging="360"/>
      </w:pPr>
      <w:rPr>
        <w:rFonts w:ascii="Arial" w:hAnsi="Arial" w:hint="default"/>
      </w:rPr>
    </w:lvl>
    <w:lvl w:ilvl="2" w:tplc="2D986C0E">
      <w:start w:val="1"/>
      <w:numFmt w:val="bullet"/>
      <w:lvlText w:val="•"/>
      <w:lvlJc w:val="left"/>
      <w:pPr>
        <w:tabs>
          <w:tab w:val="num" w:pos="2160"/>
        </w:tabs>
        <w:ind w:left="2160" w:hanging="360"/>
      </w:pPr>
      <w:rPr>
        <w:rFonts w:ascii="Arial" w:hAnsi="Arial" w:hint="default"/>
      </w:rPr>
    </w:lvl>
    <w:lvl w:ilvl="3" w:tplc="E72C1EB4" w:tentative="1">
      <w:start w:val="1"/>
      <w:numFmt w:val="bullet"/>
      <w:lvlText w:val="•"/>
      <w:lvlJc w:val="left"/>
      <w:pPr>
        <w:tabs>
          <w:tab w:val="num" w:pos="2880"/>
        </w:tabs>
        <w:ind w:left="2880" w:hanging="360"/>
      </w:pPr>
      <w:rPr>
        <w:rFonts w:ascii="Arial" w:hAnsi="Arial" w:hint="default"/>
      </w:rPr>
    </w:lvl>
    <w:lvl w:ilvl="4" w:tplc="4238D490" w:tentative="1">
      <w:start w:val="1"/>
      <w:numFmt w:val="bullet"/>
      <w:lvlText w:val="•"/>
      <w:lvlJc w:val="left"/>
      <w:pPr>
        <w:tabs>
          <w:tab w:val="num" w:pos="3600"/>
        </w:tabs>
        <w:ind w:left="3600" w:hanging="360"/>
      </w:pPr>
      <w:rPr>
        <w:rFonts w:ascii="Arial" w:hAnsi="Arial" w:hint="default"/>
      </w:rPr>
    </w:lvl>
    <w:lvl w:ilvl="5" w:tplc="48F2EDCA" w:tentative="1">
      <w:start w:val="1"/>
      <w:numFmt w:val="bullet"/>
      <w:lvlText w:val="•"/>
      <w:lvlJc w:val="left"/>
      <w:pPr>
        <w:tabs>
          <w:tab w:val="num" w:pos="4320"/>
        </w:tabs>
        <w:ind w:left="4320" w:hanging="360"/>
      </w:pPr>
      <w:rPr>
        <w:rFonts w:ascii="Arial" w:hAnsi="Arial" w:hint="default"/>
      </w:rPr>
    </w:lvl>
    <w:lvl w:ilvl="6" w:tplc="2610B944" w:tentative="1">
      <w:start w:val="1"/>
      <w:numFmt w:val="bullet"/>
      <w:lvlText w:val="•"/>
      <w:lvlJc w:val="left"/>
      <w:pPr>
        <w:tabs>
          <w:tab w:val="num" w:pos="5040"/>
        </w:tabs>
        <w:ind w:left="5040" w:hanging="360"/>
      </w:pPr>
      <w:rPr>
        <w:rFonts w:ascii="Arial" w:hAnsi="Arial" w:hint="default"/>
      </w:rPr>
    </w:lvl>
    <w:lvl w:ilvl="7" w:tplc="DF6A613A" w:tentative="1">
      <w:start w:val="1"/>
      <w:numFmt w:val="bullet"/>
      <w:lvlText w:val="•"/>
      <w:lvlJc w:val="left"/>
      <w:pPr>
        <w:tabs>
          <w:tab w:val="num" w:pos="5760"/>
        </w:tabs>
        <w:ind w:left="5760" w:hanging="360"/>
      </w:pPr>
      <w:rPr>
        <w:rFonts w:ascii="Arial" w:hAnsi="Arial" w:hint="default"/>
      </w:rPr>
    </w:lvl>
    <w:lvl w:ilvl="8" w:tplc="56AC6B22" w:tentative="1">
      <w:start w:val="1"/>
      <w:numFmt w:val="bullet"/>
      <w:lvlText w:val="•"/>
      <w:lvlJc w:val="left"/>
      <w:pPr>
        <w:tabs>
          <w:tab w:val="num" w:pos="6480"/>
        </w:tabs>
        <w:ind w:left="6480" w:hanging="360"/>
      </w:pPr>
      <w:rPr>
        <w:rFonts w:ascii="Arial" w:hAnsi="Arial" w:hint="default"/>
      </w:rPr>
    </w:lvl>
  </w:abstractNum>
  <w:abstractNum w:abstractNumId="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nsid w:val="21DB083D"/>
    <w:multiLevelType w:val="hybridMultilevel"/>
    <w:tmpl w:val="956E284E"/>
    <w:lvl w:ilvl="0" w:tplc="B178D688">
      <w:start w:val="1"/>
      <w:numFmt w:val="bullet"/>
      <w:lvlText w:val="•"/>
      <w:lvlJc w:val="left"/>
      <w:pPr>
        <w:tabs>
          <w:tab w:val="num" w:pos="720"/>
        </w:tabs>
        <w:ind w:left="720" w:hanging="360"/>
      </w:pPr>
      <w:rPr>
        <w:rFonts w:ascii="Arial" w:hAnsi="Arial" w:hint="default"/>
      </w:rPr>
    </w:lvl>
    <w:lvl w:ilvl="1" w:tplc="A9AA8658" w:tentative="1">
      <w:start w:val="1"/>
      <w:numFmt w:val="bullet"/>
      <w:lvlText w:val="•"/>
      <w:lvlJc w:val="left"/>
      <w:pPr>
        <w:tabs>
          <w:tab w:val="num" w:pos="1440"/>
        </w:tabs>
        <w:ind w:left="1440" w:hanging="360"/>
      </w:pPr>
      <w:rPr>
        <w:rFonts w:ascii="Arial" w:hAnsi="Arial" w:hint="default"/>
      </w:rPr>
    </w:lvl>
    <w:lvl w:ilvl="2" w:tplc="583EC6F8">
      <w:start w:val="1"/>
      <w:numFmt w:val="bullet"/>
      <w:lvlText w:val="•"/>
      <w:lvlJc w:val="left"/>
      <w:pPr>
        <w:tabs>
          <w:tab w:val="num" w:pos="2160"/>
        </w:tabs>
        <w:ind w:left="2160" w:hanging="360"/>
      </w:pPr>
      <w:rPr>
        <w:rFonts w:ascii="Arial" w:hAnsi="Arial" w:hint="default"/>
      </w:rPr>
    </w:lvl>
    <w:lvl w:ilvl="3" w:tplc="A98251FC" w:tentative="1">
      <w:start w:val="1"/>
      <w:numFmt w:val="bullet"/>
      <w:lvlText w:val="•"/>
      <w:lvlJc w:val="left"/>
      <w:pPr>
        <w:tabs>
          <w:tab w:val="num" w:pos="2880"/>
        </w:tabs>
        <w:ind w:left="2880" w:hanging="360"/>
      </w:pPr>
      <w:rPr>
        <w:rFonts w:ascii="Arial" w:hAnsi="Arial" w:hint="default"/>
      </w:rPr>
    </w:lvl>
    <w:lvl w:ilvl="4" w:tplc="B07C2E58" w:tentative="1">
      <w:start w:val="1"/>
      <w:numFmt w:val="bullet"/>
      <w:lvlText w:val="•"/>
      <w:lvlJc w:val="left"/>
      <w:pPr>
        <w:tabs>
          <w:tab w:val="num" w:pos="3600"/>
        </w:tabs>
        <w:ind w:left="3600" w:hanging="360"/>
      </w:pPr>
      <w:rPr>
        <w:rFonts w:ascii="Arial" w:hAnsi="Arial" w:hint="default"/>
      </w:rPr>
    </w:lvl>
    <w:lvl w:ilvl="5" w:tplc="438E1B8C" w:tentative="1">
      <w:start w:val="1"/>
      <w:numFmt w:val="bullet"/>
      <w:lvlText w:val="•"/>
      <w:lvlJc w:val="left"/>
      <w:pPr>
        <w:tabs>
          <w:tab w:val="num" w:pos="4320"/>
        </w:tabs>
        <w:ind w:left="4320" w:hanging="360"/>
      </w:pPr>
      <w:rPr>
        <w:rFonts w:ascii="Arial" w:hAnsi="Arial" w:hint="default"/>
      </w:rPr>
    </w:lvl>
    <w:lvl w:ilvl="6" w:tplc="2384F14E" w:tentative="1">
      <w:start w:val="1"/>
      <w:numFmt w:val="bullet"/>
      <w:lvlText w:val="•"/>
      <w:lvlJc w:val="left"/>
      <w:pPr>
        <w:tabs>
          <w:tab w:val="num" w:pos="5040"/>
        </w:tabs>
        <w:ind w:left="5040" w:hanging="360"/>
      </w:pPr>
      <w:rPr>
        <w:rFonts w:ascii="Arial" w:hAnsi="Arial" w:hint="default"/>
      </w:rPr>
    </w:lvl>
    <w:lvl w:ilvl="7" w:tplc="F04E83FC" w:tentative="1">
      <w:start w:val="1"/>
      <w:numFmt w:val="bullet"/>
      <w:lvlText w:val="•"/>
      <w:lvlJc w:val="left"/>
      <w:pPr>
        <w:tabs>
          <w:tab w:val="num" w:pos="5760"/>
        </w:tabs>
        <w:ind w:left="5760" w:hanging="360"/>
      </w:pPr>
      <w:rPr>
        <w:rFonts w:ascii="Arial" w:hAnsi="Arial" w:hint="default"/>
      </w:rPr>
    </w:lvl>
    <w:lvl w:ilvl="8" w:tplc="C59A627E" w:tentative="1">
      <w:start w:val="1"/>
      <w:numFmt w:val="bullet"/>
      <w:lvlText w:val="•"/>
      <w:lvlJc w:val="left"/>
      <w:pPr>
        <w:tabs>
          <w:tab w:val="num" w:pos="6480"/>
        </w:tabs>
        <w:ind w:left="6480" w:hanging="360"/>
      </w:pPr>
      <w:rPr>
        <w:rFonts w:ascii="Arial" w:hAnsi="Arial" w:hint="default"/>
      </w:rPr>
    </w:lvl>
  </w:abstractNum>
  <w:abstractNum w:abstractNumId="7">
    <w:nsid w:val="4CB633C0"/>
    <w:multiLevelType w:val="hybridMultilevel"/>
    <w:tmpl w:val="DB2E0C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16568BC"/>
    <w:multiLevelType w:val="hybridMultilevel"/>
    <w:tmpl w:val="5E289548"/>
    <w:lvl w:ilvl="0" w:tplc="83B8BE00">
      <w:start w:val="1"/>
      <w:numFmt w:val="bullet"/>
      <w:lvlText w:val="•"/>
      <w:lvlJc w:val="left"/>
      <w:pPr>
        <w:tabs>
          <w:tab w:val="num" w:pos="720"/>
        </w:tabs>
        <w:ind w:left="720" w:hanging="360"/>
      </w:pPr>
      <w:rPr>
        <w:rFonts w:ascii="Arial" w:hAnsi="Arial" w:hint="default"/>
      </w:rPr>
    </w:lvl>
    <w:lvl w:ilvl="1" w:tplc="77CAE762" w:tentative="1">
      <w:start w:val="1"/>
      <w:numFmt w:val="bullet"/>
      <w:lvlText w:val="•"/>
      <w:lvlJc w:val="left"/>
      <w:pPr>
        <w:tabs>
          <w:tab w:val="num" w:pos="1440"/>
        </w:tabs>
        <w:ind w:left="1440" w:hanging="360"/>
      </w:pPr>
      <w:rPr>
        <w:rFonts w:ascii="Arial" w:hAnsi="Arial" w:hint="default"/>
      </w:rPr>
    </w:lvl>
    <w:lvl w:ilvl="2" w:tplc="4FF03648" w:tentative="1">
      <w:start w:val="1"/>
      <w:numFmt w:val="bullet"/>
      <w:lvlText w:val="•"/>
      <w:lvlJc w:val="left"/>
      <w:pPr>
        <w:tabs>
          <w:tab w:val="num" w:pos="2160"/>
        </w:tabs>
        <w:ind w:left="2160" w:hanging="360"/>
      </w:pPr>
      <w:rPr>
        <w:rFonts w:ascii="Arial" w:hAnsi="Arial" w:hint="default"/>
      </w:rPr>
    </w:lvl>
    <w:lvl w:ilvl="3" w:tplc="CDBC4F92" w:tentative="1">
      <w:start w:val="1"/>
      <w:numFmt w:val="bullet"/>
      <w:lvlText w:val="•"/>
      <w:lvlJc w:val="left"/>
      <w:pPr>
        <w:tabs>
          <w:tab w:val="num" w:pos="2880"/>
        </w:tabs>
        <w:ind w:left="2880" w:hanging="360"/>
      </w:pPr>
      <w:rPr>
        <w:rFonts w:ascii="Arial" w:hAnsi="Arial" w:hint="default"/>
      </w:rPr>
    </w:lvl>
    <w:lvl w:ilvl="4" w:tplc="03C03A7A" w:tentative="1">
      <w:start w:val="1"/>
      <w:numFmt w:val="bullet"/>
      <w:lvlText w:val="•"/>
      <w:lvlJc w:val="left"/>
      <w:pPr>
        <w:tabs>
          <w:tab w:val="num" w:pos="3600"/>
        </w:tabs>
        <w:ind w:left="3600" w:hanging="360"/>
      </w:pPr>
      <w:rPr>
        <w:rFonts w:ascii="Arial" w:hAnsi="Arial" w:hint="default"/>
      </w:rPr>
    </w:lvl>
    <w:lvl w:ilvl="5" w:tplc="BEFC3E56" w:tentative="1">
      <w:start w:val="1"/>
      <w:numFmt w:val="bullet"/>
      <w:lvlText w:val="•"/>
      <w:lvlJc w:val="left"/>
      <w:pPr>
        <w:tabs>
          <w:tab w:val="num" w:pos="4320"/>
        </w:tabs>
        <w:ind w:left="4320" w:hanging="360"/>
      </w:pPr>
      <w:rPr>
        <w:rFonts w:ascii="Arial" w:hAnsi="Arial" w:hint="default"/>
      </w:rPr>
    </w:lvl>
    <w:lvl w:ilvl="6" w:tplc="C494F8D0" w:tentative="1">
      <w:start w:val="1"/>
      <w:numFmt w:val="bullet"/>
      <w:lvlText w:val="•"/>
      <w:lvlJc w:val="left"/>
      <w:pPr>
        <w:tabs>
          <w:tab w:val="num" w:pos="5040"/>
        </w:tabs>
        <w:ind w:left="5040" w:hanging="360"/>
      </w:pPr>
      <w:rPr>
        <w:rFonts w:ascii="Arial" w:hAnsi="Arial" w:hint="default"/>
      </w:rPr>
    </w:lvl>
    <w:lvl w:ilvl="7" w:tplc="E0547D5A" w:tentative="1">
      <w:start w:val="1"/>
      <w:numFmt w:val="bullet"/>
      <w:lvlText w:val="•"/>
      <w:lvlJc w:val="left"/>
      <w:pPr>
        <w:tabs>
          <w:tab w:val="num" w:pos="5760"/>
        </w:tabs>
        <w:ind w:left="5760" w:hanging="360"/>
      </w:pPr>
      <w:rPr>
        <w:rFonts w:ascii="Arial" w:hAnsi="Arial" w:hint="default"/>
      </w:rPr>
    </w:lvl>
    <w:lvl w:ilvl="8" w:tplc="7B1C79BA" w:tentative="1">
      <w:start w:val="1"/>
      <w:numFmt w:val="bullet"/>
      <w:lvlText w:val="•"/>
      <w:lvlJc w:val="left"/>
      <w:pPr>
        <w:tabs>
          <w:tab w:val="num" w:pos="6480"/>
        </w:tabs>
        <w:ind w:left="6480" w:hanging="360"/>
      </w:pPr>
      <w:rPr>
        <w:rFonts w:ascii="Arial" w:hAnsi="Arial" w:hint="default"/>
      </w:rPr>
    </w:lvl>
  </w:abstractNum>
  <w:abstractNum w:abstractNumId="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741113E0"/>
    <w:multiLevelType w:val="hybridMultilevel"/>
    <w:tmpl w:val="37DA36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784D033C"/>
    <w:multiLevelType w:val="multilevel"/>
    <w:tmpl w:val="A5A41D36"/>
    <w:lvl w:ilvl="0">
      <w:start w:val="1"/>
      <w:numFmt w:val="decimal"/>
      <w:pStyle w:val="Heading2"/>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97665F1"/>
    <w:multiLevelType w:val="hybridMultilevel"/>
    <w:tmpl w:val="F42A6F30"/>
    <w:lvl w:ilvl="0" w:tplc="FE9C323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12"/>
  </w:num>
  <w:num w:numId="3">
    <w:abstractNumId w:val="0"/>
  </w:num>
  <w:num w:numId="4">
    <w:abstractNumId w:val="10"/>
  </w:num>
  <w:num w:numId="5">
    <w:abstractNumId w:val="1"/>
  </w:num>
  <w:num w:numId="6">
    <w:abstractNumId w:val="3"/>
  </w:num>
  <w:num w:numId="7">
    <w:abstractNumId w:val="7"/>
  </w:num>
  <w:num w:numId="8">
    <w:abstractNumId w:val="13"/>
  </w:num>
  <w:num w:numId="9">
    <w:abstractNumId w:val="11"/>
  </w:num>
  <w:num w:numId="10">
    <w:abstractNumId w:val="2"/>
  </w:num>
  <w:num w:numId="11">
    <w:abstractNumId w:val="9"/>
  </w:num>
  <w:num w:numId="12">
    <w:abstractNumId w:val="4"/>
  </w:num>
  <w:num w:numId="13">
    <w:abstractNumId w:val="6"/>
  </w:num>
  <w:num w:numId="14">
    <w:abstractNumId w:val="8"/>
  </w:num>
  <w:num w:numId="15">
    <w:abstractNumId w:val="12"/>
  </w:num>
  <w:num w:numId="16">
    <w:abstractNumId w:val="12"/>
  </w:num>
  <w:num w:numId="17">
    <w:abstractNumId w:val="12"/>
  </w:num>
  <w:num w:numId="18">
    <w:abstractNumId w:val="1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C1"/>
    <w:rsid w:val="00001BD7"/>
    <w:rsid w:val="00003743"/>
    <w:rsid w:val="000060A9"/>
    <w:rsid w:val="00016B77"/>
    <w:rsid w:val="000254E3"/>
    <w:rsid w:val="000327A9"/>
    <w:rsid w:val="00033087"/>
    <w:rsid w:val="00040F66"/>
    <w:rsid w:val="00041AD7"/>
    <w:rsid w:val="000620EA"/>
    <w:rsid w:val="00066C0F"/>
    <w:rsid w:val="00067456"/>
    <w:rsid w:val="00077FB9"/>
    <w:rsid w:val="000A35F9"/>
    <w:rsid w:val="000D5119"/>
    <w:rsid w:val="000E6AB5"/>
    <w:rsid w:val="000F3B12"/>
    <w:rsid w:val="0011527E"/>
    <w:rsid w:val="00131132"/>
    <w:rsid w:val="00150187"/>
    <w:rsid w:val="00163776"/>
    <w:rsid w:val="001945F2"/>
    <w:rsid w:val="001A0681"/>
    <w:rsid w:val="001B3443"/>
    <w:rsid w:val="001D354C"/>
    <w:rsid w:val="001D46AE"/>
    <w:rsid w:val="001E74FC"/>
    <w:rsid w:val="001F6D46"/>
    <w:rsid w:val="00203AEE"/>
    <w:rsid w:val="00205713"/>
    <w:rsid w:val="00222902"/>
    <w:rsid w:val="00224419"/>
    <w:rsid w:val="002303B2"/>
    <w:rsid w:val="0023624A"/>
    <w:rsid w:val="002503A3"/>
    <w:rsid w:val="00252CA2"/>
    <w:rsid w:val="00256B08"/>
    <w:rsid w:val="00284C18"/>
    <w:rsid w:val="00285EB9"/>
    <w:rsid w:val="002B38F5"/>
    <w:rsid w:val="002C6B87"/>
    <w:rsid w:val="002E4631"/>
    <w:rsid w:val="0030681D"/>
    <w:rsid w:val="0030786C"/>
    <w:rsid w:val="00337EB4"/>
    <w:rsid w:val="0034550B"/>
    <w:rsid w:val="003833B9"/>
    <w:rsid w:val="003B0E9A"/>
    <w:rsid w:val="003B4840"/>
    <w:rsid w:val="003D17F9"/>
    <w:rsid w:val="003D6F9D"/>
    <w:rsid w:val="00407A3A"/>
    <w:rsid w:val="00424FBA"/>
    <w:rsid w:val="00431413"/>
    <w:rsid w:val="0045746F"/>
    <w:rsid w:val="00461E32"/>
    <w:rsid w:val="00462373"/>
    <w:rsid w:val="004668EF"/>
    <w:rsid w:val="00483A93"/>
    <w:rsid w:val="004867E2"/>
    <w:rsid w:val="004A6B86"/>
    <w:rsid w:val="004B696A"/>
    <w:rsid w:val="004B76D6"/>
    <w:rsid w:val="004D711E"/>
    <w:rsid w:val="00513A2A"/>
    <w:rsid w:val="00516FD3"/>
    <w:rsid w:val="005217F8"/>
    <w:rsid w:val="00521EF6"/>
    <w:rsid w:val="00522049"/>
    <w:rsid w:val="00552457"/>
    <w:rsid w:val="00554C2F"/>
    <w:rsid w:val="00580300"/>
    <w:rsid w:val="005835DD"/>
    <w:rsid w:val="00592D69"/>
    <w:rsid w:val="005A274D"/>
    <w:rsid w:val="005A58ED"/>
    <w:rsid w:val="005A6333"/>
    <w:rsid w:val="005B00AA"/>
    <w:rsid w:val="005B1164"/>
    <w:rsid w:val="005B2BAC"/>
    <w:rsid w:val="005B5FE7"/>
    <w:rsid w:val="005F08DA"/>
    <w:rsid w:val="005F3C40"/>
    <w:rsid w:val="005F42BD"/>
    <w:rsid w:val="005F618F"/>
    <w:rsid w:val="00606FB6"/>
    <w:rsid w:val="00617108"/>
    <w:rsid w:val="00625549"/>
    <w:rsid w:val="0063139F"/>
    <w:rsid w:val="006425ED"/>
    <w:rsid w:val="00656C80"/>
    <w:rsid w:val="006600E5"/>
    <w:rsid w:val="00664731"/>
    <w:rsid w:val="00667CDE"/>
    <w:rsid w:val="006740C4"/>
    <w:rsid w:val="006754DD"/>
    <w:rsid w:val="00675BD8"/>
    <w:rsid w:val="006767E3"/>
    <w:rsid w:val="00677328"/>
    <w:rsid w:val="00680F10"/>
    <w:rsid w:val="00693743"/>
    <w:rsid w:val="00697C90"/>
    <w:rsid w:val="006C19BB"/>
    <w:rsid w:val="006D4E7C"/>
    <w:rsid w:val="00700119"/>
    <w:rsid w:val="00706027"/>
    <w:rsid w:val="00717986"/>
    <w:rsid w:val="00727ECA"/>
    <w:rsid w:val="007421E6"/>
    <w:rsid w:val="007608B3"/>
    <w:rsid w:val="007776DE"/>
    <w:rsid w:val="007860B0"/>
    <w:rsid w:val="007878D8"/>
    <w:rsid w:val="007950A3"/>
    <w:rsid w:val="007A512F"/>
    <w:rsid w:val="007B6E69"/>
    <w:rsid w:val="007B7AE7"/>
    <w:rsid w:val="00803DEC"/>
    <w:rsid w:val="00806CED"/>
    <w:rsid w:val="00814428"/>
    <w:rsid w:val="00821E43"/>
    <w:rsid w:val="0082378F"/>
    <w:rsid w:val="008264EB"/>
    <w:rsid w:val="00835709"/>
    <w:rsid w:val="008408E7"/>
    <w:rsid w:val="00851291"/>
    <w:rsid w:val="00853220"/>
    <w:rsid w:val="008708B4"/>
    <w:rsid w:val="008776A4"/>
    <w:rsid w:val="00883178"/>
    <w:rsid w:val="008A46D5"/>
    <w:rsid w:val="008A7410"/>
    <w:rsid w:val="008B79BD"/>
    <w:rsid w:val="008D42E9"/>
    <w:rsid w:val="008E2CF4"/>
    <w:rsid w:val="008E3E31"/>
    <w:rsid w:val="0090759B"/>
    <w:rsid w:val="00907941"/>
    <w:rsid w:val="00916783"/>
    <w:rsid w:val="0093790C"/>
    <w:rsid w:val="009552A7"/>
    <w:rsid w:val="009668C6"/>
    <w:rsid w:val="0097407C"/>
    <w:rsid w:val="009824DF"/>
    <w:rsid w:val="0098277F"/>
    <w:rsid w:val="00993B91"/>
    <w:rsid w:val="009B097B"/>
    <w:rsid w:val="009D013B"/>
    <w:rsid w:val="009E2459"/>
    <w:rsid w:val="009E3FFD"/>
    <w:rsid w:val="009F2E21"/>
    <w:rsid w:val="009F6665"/>
    <w:rsid w:val="00A00B37"/>
    <w:rsid w:val="00A4512D"/>
    <w:rsid w:val="00A613B8"/>
    <w:rsid w:val="00A705AF"/>
    <w:rsid w:val="00A747A6"/>
    <w:rsid w:val="00A824F2"/>
    <w:rsid w:val="00A83A4C"/>
    <w:rsid w:val="00A9307F"/>
    <w:rsid w:val="00AB73FD"/>
    <w:rsid w:val="00AD5431"/>
    <w:rsid w:val="00AE1D61"/>
    <w:rsid w:val="00B27833"/>
    <w:rsid w:val="00B32797"/>
    <w:rsid w:val="00B4026C"/>
    <w:rsid w:val="00B42851"/>
    <w:rsid w:val="00B44869"/>
    <w:rsid w:val="00B56CB9"/>
    <w:rsid w:val="00B633F8"/>
    <w:rsid w:val="00B95B34"/>
    <w:rsid w:val="00BA5554"/>
    <w:rsid w:val="00BA650B"/>
    <w:rsid w:val="00C15741"/>
    <w:rsid w:val="00C33739"/>
    <w:rsid w:val="00C47B7D"/>
    <w:rsid w:val="00C515AF"/>
    <w:rsid w:val="00C74532"/>
    <w:rsid w:val="00C77A50"/>
    <w:rsid w:val="00C96D2F"/>
    <w:rsid w:val="00CA7D45"/>
    <w:rsid w:val="00CB5B1A"/>
    <w:rsid w:val="00CB6C8A"/>
    <w:rsid w:val="00CC3245"/>
    <w:rsid w:val="00CD04B9"/>
    <w:rsid w:val="00CE25CE"/>
    <w:rsid w:val="00CE4173"/>
    <w:rsid w:val="00CF3225"/>
    <w:rsid w:val="00CF3451"/>
    <w:rsid w:val="00CF5066"/>
    <w:rsid w:val="00CF799B"/>
    <w:rsid w:val="00D04A51"/>
    <w:rsid w:val="00D15A57"/>
    <w:rsid w:val="00D1739C"/>
    <w:rsid w:val="00D3109B"/>
    <w:rsid w:val="00D31C45"/>
    <w:rsid w:val="00D357EF"/>
    <w:rsid w:val="00D4172B"/>
    <w:rsid w:val="00D43C27"/>
    <w:rsid w:val="00D46DB0"/>
    <w:rsid w:val="00D540EE"/>
    <w:rsid w:val="00D6030E"/>
    <w:rsid w:val="00D64906"/>
    <w:rsid w:val="00D7297F"/>
    <w:rsid w:val="00D90715"/>
    <w:rsid w:val="00DC01C1"/>
    <w:rsid w:val="00DD3E8E"/>
    <w:rsid w:val="00E01F76"/>
    <w:rsid w:val="00E05282"/>
    <w:rsid w:val="00E25F69"/>
    <w:rsid w:val="00E3252D"/>
    <w:rsid w:val="00E33FB5"/>
    <w:rsid w:val="00E42391"/>
    <w:rsid w:val="00E44D4E"/>
    <w:rsid w:val="00E50D56"/>
    <w:rsid w:val="00E5155C"/>
    <w:rsid w:val="00E52226"/>
    <w:rsid w:val="00E611F7"/>
    <w:rsid w:val="00E72428"/>
    <w:rsid w:val="00E72760"/>
    <w:rsid w:val="00EA7339"/>
    <w:rsid w:val="00EC0A4B"/>
    <w:rsid w:val="00EC38F8"/>
    <w:rsid w:val="00EE17F9"/>
    <w:rsid w:val="00F25805"/>
    <w:rsid w:val="00F637A8"/>
    <w:rsid w:val="00F6559A"/>
    <w:rsid w:val="00F67FCE"/>
    <w:rsid w:val="00F86DAB"/>
    <w:rsid w:val="00F91692"/>
    <w:rsid w:val="00FA402A"/>
    <w:rsid w:val="00FB6E70"/>
    <w:rsid w:val="00FE0023"/>
    <w:rsid w:val="00FF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C1"/>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ListParagraph"/>
    <w:next w:val="Normal"/>
    <w:qFormat/>
    <w:rsid w:val="007860B0"/>
    <w:pPr>
      <w:numPr>
        <w:numId w:val="2"/>
      </w:numPr>
      <w:jc w:val="both"/>
      <w:outlineLvl w:val="1"/>
    </w:pPr>
    <w:rPr>
      <w:rFonts w:ascii="Arial" w:hAnsi="Arial"/>
      <w:b/>
      <w:sz w:val="22"/>
      <w:szCs w:val="22"/>
    </w:rPr>
  </w:style>
  <w:style w:type="paragraph" w:styleId="Heading3">
    <w:name w:val="heading 3"/>
    <w:basedOn w:val="Normal"/>
    <w:next w:val="Normal"/>
    <w:qFormat/>
    <w:rsid w:val="007860B0"/>
    <w:pPr>
      <w:spacing w:after="200" w:line="276" w:lineRule="auto"/>
      <w:jc w:val="both"/>
      <w:outlineLvl w:val="2"/>
    </w:pPr>
    <w:rPr>
      <w:rFonts w:ascii="Arial" w:hAnsi="Arial" w:cs="Arial"/>
      <w:b/>
      <w:bCs/>
      <w:i/>
      <w:snapToGrid w:val="0"/>
      <w:sz w:val="22"/>
      <w:szCs w:val="22"/>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DC01C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DC01C1"/>
    <w:rPr>
      <w:sz w:val="24"/>
      <w:szCs w:val="24"/>
    </w:rPr>
  </w:style>
  <w:style w:type="paragraph" w:styleId="Footer">
    <w:name w:val="footer"/>
    <w:basedOn w:val="Normal"/>
    <w:link w:val="FooterChar"/>
    <w:uiPriority w:val="99"/>
    <w:rsid w:val="00DC01C1"/>
    <w:pPr>
      <w:tabs>
        <w:tab w:val="center" w:pos="4153"/>
        <w:tab w:val="right" w:pos="8306"/>
      </w:tabs>
    </w:pPr>
  </w:style>
  <w:style w:type="character" w:customStyle="1" w:styleId="FooterChar">
    <w:name w:val="Footer Char"/>
    <w:basedOn w:val="DefaultParagraphFont"/>
    <w:link w:val="Footer"/>
    <w:uiPriority w:val="99"/>
    <w:rsid w:val="00DC01C1"/>
    <w:rPr>
      <w:sz w:val="24"/>
      <w:szCs w:val="24"/>
    </w:rPr>
  </w:style>
  <w:style w:type="character" w:styleId="PageNumber">
    <w:name w:val="page number"/>
    <w:basedOn w:val="DefaultParagraphFont"/>
    <w:rsid w:val="00DC01C1"/>
  </w:style>
  <w:style w:type="paragraph" w:customStyle="1" w:styleId="MediumGrid21">
    <w:name w:val="Medium Grid 21"/>
    <w:link w:val="MediumGrid2Char"/>
    <w:qFormat/>
    <w:rsid w:val="00DC01C1"/>
    <w:rPr>
      <w:rFonts w:ascii="PMingLiU" w:eastAsia="MS Mincho" w:hAnsi="PMingLiU"/>
      <w:sz w:val="22"/>
      <w:szCs w:val="22"/>
      <w:lang w:val="en-US" w:eastAsia="en-US"/>
    </w:rPr>
  </w:style>
  <w:style w:type="character" w:customStyle="1" w:styleId="MediumGrid2Char">
    <w:name w:val="Medium Grid 2 Char"/>
    <w:link w:val="MediumGrid21"/>
    <w:rsid w:val="00DC01C1"/>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DC01C1"/>
    <w:rPr>
      <w:sz w:val="16"/>
      <w:szCs w:val="16"/>
    </w:rPr>
  </w:style>
  <w:style w:type="paragraph" w:styleId="CommentText">
    <w:name w:val="annotation text"/>
    <w:basedOn w:val="Normal"/>
    <w:link w:val="CommentTextChar"/>
    <w:rsid w:val="00DC01C1"/>
    <w:rPr>
      <w:sz w:val="20"/>
      <w:szCs w:val="20"/>
    </w:rPr>
  </w:style>
  <w:style w:type="character" w:customStyle="1" w:styleId="CommentTextChar">
    <w:name w:val="Comment Text Char"/>
    <w:basedOn w:val="DefaultParagraphFont"/>
    <w:link w:val="CommentText"/>
    <w:rsid w:val="00DC01C1"/>
  </w:style>
  <w:style w:type="paragraph" w:customStyle="1" w:styleId="tablenotes">
    <w:name w:val="table notes"/>
    <w:basedOn w:val="BodyText2"/>
    <w:qFormat/>
    <w:rsid w:val="00DC01C1"/>
    <w:pPr>
      <w:widowControl w:val="0"/>
      <w:spacing w:after="0" w:line="240" w:lineRule="auto"/>
      <w:jc w:val="both"/>
    </w:pPr>
    <w:rPr>
      <w:rFonts w:ascii="Arial" w:hAnsi="Arial"/>
      <w:snapToGrid w:val="0"/>
      <w:sz w:val="20"/>
      <w:szCs w:val="20"/>
      <w:lang w:eastAsia="en-US"/>
    </w:rPr>
  </w:style>
  <w:style w:type="paragraph" w:styleId="BodyText2">
    <w:name w:val="Body Text 2"/>
    <w:basedOn w:val="Normal"/>
    <w:link w:val="BodyText2Char"/>
    <w:rsid w:val="00DC01C1"/>
    <w:pPr>
      <w:spacing w:after="120" w:line="480" w:lineRule="auto"/>
    </w:pPr>
  </w:style>
  <w:style w:type="character" w:customStyle="1" w:styleId="BodyText2Char">
    <w:name w:val="Body Text 2 Char"/>
    <w:basedOn w:val="DefaultParagraphFont"/>
    <w:link w:val="BodyText2"/>
    <w:rsid w:val="00DC01C1"/>
    <w:rPr>
      <w:sz w:val="24"/>
      <w:szCs w:val="24"/>
    </w:rPr>
  </w:style>
  <w:style w:type="paragraph" w:styleId="BalloonText">
    <w:name w:val="Balloon Text"/>
    <w:basedOn w:val="Normal"/>
    <w:link w:val="BalloonTextChar"/>
    <w:rsid w:val="00DC01C1"/>
    <w:rPr>
      <w:rFonts w:ascii="Tahoma" w:hAnsi="Tahoma" w:cs="Tahoma"/>
      <w:sz w:val="16"/>
      <w:szCs w:val="16"/>
    </w:rPr>
  </w:style>
  <w:style w:type="character" w:customStyle="1" w:styleId="BalloonTextChar">
    <w:name w:val="Balloon Text Char"/>
    <w:basedOn w:val="DefaultParagraphFont"/>
    <w:link w:val="BalloonText"/>
    <w:rsid w:val="00DC01C1"/>
    <w:rPr>
      <w:rFonts w:ascii="Tahoma" w:hAnsi="Tahoma" w:cs="Tahoma"/>
      <w:sz w:val="16"/>
      <w:szCs w:val="16"/>
    </w:rPr>
  </w:style>
  <w:style w:type="paragraph" w:styleId="CommentSubject">
    <w:name w:val="annotation subject"/>
    <w:basedOn w:val="CommentText"/>
    <w:next w:val="CommentText"/>
    <w:link w:val="CommentSubjectChar"/>
    <w:rsid w:val="00EA7339"/>
    <w:rPr>
      <w:b/>
      <w:bCs/>
    </w:rPr>
  </w:style>
  <w:style w:type="character" w:customStyle="1" w:styleId="CommentSubjectChar">
    <w:name w:val="Comment Subject Char"/>
    <w:basedOn w:val="CommentTextChar"/>
    <w:link w:val="CommentSubject"/>
    <w:rsid w:val="00EA7339"/>
    <w:rPr>
      <w:b/>
      <w:bCs/>
    </w:rPr>
  </w:style>
  <w:style w:type="table" w:styleId="TableGrid">
    <w:name w:val="Table Grid"/>
    <w:basedOn w:val="TableNormal"/>
    <w:rsid w:val="00C4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E21"/>
    <w:rPr>
      <w:sz w:val="24"/>
      <w:szCs w:val="24"/>
    </w:rPr>
  </w:style>
  <w:style w:type="paragraph" w:customStyle="1" w:styleId="PBACHeading1">
    <w:name w:val="PBAC Heading 1"/>
    <w:uiPriority w:val="99"/>
    <w:qFormat/>
    <w:rsid w:val="007A512F"/>
    <w:pPr>
      <w:ind w:left="720" w:hanging="720"/>
    </w:pPr>
    <w:rPr>
      <w:rFonts w:ascii="Arial" w:hAnsi="Arial" w:cs="Arial"/>
      <w:b/>
      <w:sz w:val="22"/>
      <w:szCs w:val="22"/>
      <w:lang w:eastAsia="en-US"/>
    </w:rPr>
  </w:style>
  <w:style w:type="character" w:customStyle="1" w:styleId="ListParagraphChar">
    <w:name w:val="List Paragraph Char"/>
    <w:basedOn w:val="DefaultParagraphFont"/>
    <w:link w:val="ListParagraph"/>
    <w:uiPriority w:val="72"/>
    <w:locked/>
    <w:rsid w:val="007A51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C1"/>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ListParagraph"/>
    <w:next w:val="Normal"/>
    <w:qFormat/>
    <w:rsid w:val="007860B0"/>
    <w:pPr>
      <w:numPr>
        <w:numId w:val="2"/>
      </w:numPr>
      <w:jc w:val="both"/>
      <w:outlineLvl w:val="1"/>
    </w:pPr>
    <w:rPr>
      <w:rFonts w:ascii="Arial" w:hAnsi="Arial"/>
      <w:b/>
      <w:sz w:val="22"/>
      <w:szCs w:val="22"/>
    </w:rPr>
  </w:style>
  <w:style w:type="paragraph" w:styleId="Heading3">
    <w:name w:val="heading 3"/>
    <w:basedOn w:val="Normal"/>
    <w:next w:val="Normal"/>
    <w:qFormat/>
    <w:rsid w:val="007860B0"/>
    <w:pPr>
      <w:spacing w:after="200" w:line="276" w:lineRule="auto"/>
      <w:jc w:val="both"/>
      <w:outlineLvl w:val="2"/>
    </w:pPr>
    <w:rPr>
      <w:rFonts w:ascii="Arial" w:hAnsi="Arial" w:cs="Arial"/>
      <w:b/>
      <w:bCs/>
      <w:i/>
      <w:snapToGrid w:val="0"/>
      <w:sz w:val="22"/>
      <w:szCs w:val="22"/>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DC01C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DC01C1"/>
    <w:rPr>
      <w:sz w:val="24"/>
      <w:szCs w:val="24"/>
    </w:rPr>
  </w:style>
  <w:style w:type="paragraph" w:styleId="Footer">
    <w:name w:val="footer"/>
    <w:basedOn w:val="Normal"/>
    <w:link w:val="FooterChar"/>
    <w:uiPriority w:val="99"/>
    <w:rsid w:val="00DC01C1"/>
    <w:pPr>
      <w:tabs>
        <w:tab w:val="center" w:pos="4153"/>
        <w:tab w:val="right" w:pos="8306"/>
      </w:tabs>
    </w:pPr>
  </w:style>
  <w:style w:type="character" w:customStyle="1" w:styleId="FooterChar">
    <w:name w:val="Footer Char"/>
    <w:basedOn w:val="DefaultParagraphFont"/>
    <w:link w:val="Footer"/>
    <w:uiPriority w:val="99"/>
    <w:rsid w:val="00DC01C1"/>
    <w:rPr>
      <w:sz w:val="24"/>
      <w:szCs w:val="24"/>
    </w:rPr>
  </w:style>
  <w:style w:type="character" w:styleId="PageNumber">
    <w:name w:val="page number"/>
    <w:basedOn w:val="DefaultParagraphFont"/>
    <w:rsid w:val="00DC01C1"/>
  </w:style>
  <w:style w:type="paragraph" w:customStyle="1" w:styleId="MediumGrid21">
    <w:name w:val="Medium Grid 21"/>
    <w:link w:val="MediumGrid2Char"/>
    <w:qFormat/>
    <w:rsid w:val="00DC01C1"/>
    <w:rPr>
      <w:rFonts w:ascii="PMingLiU" w:eastAsia="MS Mincho" w:hAnsi="PMingLiU"/>
      <w:sz w:val="22"/>
      <w:szCs w:val="22"/>
      <w:lang w:val="en-US" w:eastAsia="en-US"/>
    </w:rPr>
  </w:style>
  <w:style w:type="character" w:customStyle="1" w:styleId="MediumGrid2Char">
    <w:name w:val="Medium Grid 2 Char"/>
    <w:link w:val="MediumGrid21"/>
    <w:rsid w:val="00DC01C1"/>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DC01C1"/>
    <w:rPr>
      <w:sz w:val="16"/>
      <w:szCs w:val="16"/>
    </w:rPr>
  </w:style>
  <w:style w:type="paragraph" w:styleId="CommentText">
    <w:name w:val="annotation text"/>
    <w:basedOn w:val="Normal"/>
    <w:link w:val="CommentTextChar"/>
    <w:rsid w:val="00DC01C1"/>
    <w:rPr>
      <w:sz w:val="20"/>
      <w:szCs w:val="20"/>
    </w:rPr>
  </w:style>
  <w:style w:type="character" w:customStyle="1" w:styleId="CommentTextChar">
    <w:name w:val="Comment Text Char"/>
    <w:basedOn w:val="DefaultParagraphFont"/>
    <w:link w:val="CommentText"/>
    <w:rsid w:val="00DC01C1"/>
  </w:style>
  <w:style w:type="paragraph" w:customStyle="1" w:styleId="tablenotes">
    <w:name w:val="table notes"/>
    <w:basedOn w:val="BodyText2"/>
    <w:qFormat/>
    <w:rsid w:val="00DC01C1"/>
    <w:pPr>
      <w:widowControl w:val="0"/>
      <w:spacing w:after="0" w:line="240" w:lineRule="auto"/>
      <w:jc w:val="both"/>
    </w:pPr>
    <w:rPr>
      <w:rFonts w:ascii="Arial" w:hAnsi="Arial"/>
      <w:snapToGrid w:val="0"/>
      <w:sz w:val="20"/>
      <w:szCs w:val="20"/>
      <w:lang w:eastAsia="en-US"/>
    </w:rPr>
  </w:style>
  <w:style w:type="paragraph" w:styleId="BodyText2">
    <w:name w:val="Body Text 2"/>
    <w:basedOn w:val="Normal"/>
    <w:link w:val="BodyText2Char"/>
    <w:rsid w:val="00DC01C1"/>
    <w:pPr>
      <w:spacing w:after="120" w:line="480" w:lineRule="auto"/>
    </w:pPr>
  </w:style>
  <w:style w:type="character" w:customStyle="1" w:styleId="BodyText2Char">
    <w:name w:val="Body Text 2 Char"/>
    <w:basedOn w:val="DefaultParagraphFont"/>
    <w:link w:val="BodyText2"/>
    <w:rsid w:val="00DC01C1"/>
    <w:rPr>
      <w:sz w:val="24"/>
      <w:szCs w:val="24"/>
    </w:rPr>
  </w:style>
  <w:style w:type="paragraph" w:styleId="BalloonText">
    <w:name w:val="Balloon Text"/>
    <w:basedOn w:val="Normal"/>
    <w:link w:val="BalloonTextChar"/>
    <w:rsid w:val="00DC01C1"/>
    <w:rPr>
      <w:rFonts w:ascii="Tahoma" w:hAnsi="Tahoma" w:cs="Tahoma"/>
      <w:sz w:val="16"/>
      <w:szCs w:val="16"/>
    </w:rPr>
  </w:style>
  <w:style w:type="character" w:customStyle="1" w:styleId="BalloonTextChar">
    <w:name w:val="Balloon Text Char"/>
    <w:basedOn w:val="DefaultParagraphFont"/>
    <w:link w:val="BalloonText"/>
    <w:rsid w:val="00DC01C1"/>
    <w:rPr>
      <w:rFonts w:ascii="Tahoma" w:hAnsi="Tahoma" w:cs="Tahoma"/>
      <w:sz w:val="16"/>
      <w:szCs w:val="16"/>
    </w:rPr>
  </w:style>
  <w:style w:type="paragraph" w:styleId="CommentSubject">
    <w:name w:val="annotation subject"/>
    <w:basedOn w:val="CommentText"/>
    <w:next w:val="CommentText"/>
    <w:link w:val="CommentSubjectChar"/>
    <w:rsid w:val="00EA7339"/>
    <w:rPr>
      <w:b/>
      <w:bCs/>
    </w:rPr>
  </w:style>
  <w:style w:type="character" w:customStyle="1" w:styleId="CommentSubjectChar">
    <w:name w:val="Comment Subject Char"/>
    <w:basedOn w:val="CommentTextChar"/>
    <w:link w:val="CommentSubject"/>
    <w:rsid w:val="00EA7339"/>
    <w:rPr>
      <w:b/>
      <w:bCs/>
    </w:rPr>
  </w:style>
  <w:style w:type="table" w:styleId="TableGrid">
    <w:name w:val="Table Grid"/>
    <w:basedOn w:val="TableNormal"/>
    <w:rsid w:val="00C4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E21"/>
    <w:rPr>
      <w:sz w:val="24"/>
      <w:szCs w:val="24"/>
    </w:rPr>
  </w:style>
  <w:style w:type="paragraph" w:customStyle="1" w:styleId="PBACHeading1">
    <w:name w:val="PBAC Heading 1"/>
    <w:uiPriority w:val="99"/>
    <w:qFormat/>
    <w:rsid w:val="007A512F"/>
    <w:pPr>
      <w:ind w:left="720" w:hanging="720"/>
    </w:pPr>
    <w:rPr>
      <w:rFonts w:ascii="Arial" w:hAnsi="Arial" w:cs="Arial"/>
      <w:b/>
      <w:sz w:val="22"/>
      <w:szCs w:val="22"/>
      <w:lang w:eastAsia="en-US"/>
    </w:rPr>
  </w:style>
  <w:style w:type="character" w:customStyle="1" w:styleId="ListParagraphChar">
    <w:name w:val="List Paragraph Char"/>
    <w:basedOn w:val="DefaultParagraphFont"/>
    <w:link w:val="ListParagraph"/>
    <w:uiPriority w:val="72"/>
    <w:locked/>
    <w:rsid w:val="007A51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9611">
      <w:bodyDiv w:val="1"/>
      <w:marLeft w:val="0"/>
      <w:marRight w:val="0"/>
      <w:marTop w:val="0"/>
      <w:marBottom w:val="0"/>
      <w:divBdr>
        <w:top w:val="none" w:sz="0" w:space="0" w:color="auto"/>
        <w:left w:val="none" w:sz="0" w:space="0" w:color="auto"/>
        <w:bottom w:val="none" w:sz="0" w:space="0" w:color="auto"/>
        <w:right w:val="none" w:sz="0" w:space="0" w:color="auto"/>
      </w:divBdr>
      <w:divsChild>
        <w:div w:id="115219942">
          <w:marLeft w:val="1800"/>
          <w:marRight w:val="0"/>
          <w:marTop w:val="106"/>
          <w:marBottom w:val="0"/>
          <w:divBdr>
            <w:top w:val="none" w:sz="0" w:space="0" w:color="auto"/>
            <w:left w:val="none" w:sz="0" w:space="0" w:color="auto"/>
            <w:bottom w:val="none" w:sz="0" w:space="0" w:color="auto"/>
            <w:right w:val="none" w:sz="0" w:space="0" w:color="auto"/>
          </w:divBdr>
        </w:div>
      </w:divsChild>
    </w:div>
    <w:div w:id="335889429">
      <w:bodyDiv w:val="1"/>
      <w:marLeft w:val="0"/>
      <w:marRight w:val="0"/>
      <w:marTop w:val="0"/>
      <w:marBottom w:val="0"/>
      <w:divBdr>
        <w:top w:val="none" w:sz="0" w:space="0" w:color="auto"/>
        <w:left w:val="none" w:sz="0" w:space="0" w:color="auto"/>
        <w:bottom w:val="none" w:sz="0" w:space="0" w:color="auto"/>
        <w:right w:val="none" w:sz="0" w:space="0" w:color="auto"/>
      </w:divBdr>
      <w:divsChild>
        <w:div w:id="716589895">
          <w:marLeft w:val="1800"/>
          <w:marRight w:val="0"/>
          <w:marTop w:val="106"/>
          <w:marBottom w:val="0"/>
          <w:divBdr>
            <w:top w:val="none" w:sz="0" w:space="0" w:color="auto"/>
            <w:left w:val="none" w:sz="0" w:space="0" w:color="auto"/>
            <w:bottom w:val="none" w:sz="0" w:space="0" w:color="auto"/>
            <w:right w:val="none" w:sz="0" w:space="0" w:color="auto"/>
          </w:divBdr>
        </w:div>
      </w:divsChild>
    </w:div>
    <w:div w:id="507211412">
      <w:bodyDiv w:val="1"/>
      <w:marLeft w:val="0"/>
      <w:marRight w:val="0"/>
      <w:marTop w:val="0"/>
      <w:marBottom w:val="0"/>
      <w:divBdr>
        <w:top w:val="none" w:sz="0" w:space="0" w:color="auto"/>
        <w:left w:val="none" w:sz="0" w:space="0" w:color="auto"/>
        <w:bottom w:val="none" w:sz="0" w:space="0" w:color="auto"/>
        <w:right w:val="none" w:sz="0" w:space="0" w:color="auto"/>
      </w:divBdr>
    </w:div>
    <w:div w:id="941717608">
      <w:bodyDiv w:val="1"/>
      <w:marLeft w:val="0"/>
      <w:marRight w:val="0"/>
      <w:marTop w:val="0"/>
      <w:marBottom w:val="0"/>
      <w:divBdr>
        <w:top w:val="none" w:sz="0" w:space="0" w:color="auto"/>
        <w:left w:val="none" w:sz="0" w:space="0" w:color="auto"/>
        <w:bottom w:val="none" w:sz="0" w:space="0" w:color="auto"/>
        <w:right w:val="none" w:sz="0" w:space="0" w:color="auto"/>
      </w:divBdr>
    </w:div>
    <w:div w:id="1667318136">
      <w:bodyDiv w:val="1"/>
      <w:marLeft w:val="0"/>
      <w:marRight w:val="0"/>
      <w:marTop w:val="0"/>
      <w:marBottom w:val="0"/>
      <w:divBdr>
        <w:top w:val="none" w:sz="0" w:space="0" w:color="auto"/>
        <w:left w:val="none" w:sz="0" w:space="0" w:color="auto"/>
        <w:bottom w:val="none" w:sz="0" w:space="0" w:color="auto"/>
        <w:right w:val="none" w:sz="0" w:space="0" w:color="auto"/>
      </w:divBdr>
      <w:divsChild>
        <w:div w:id="1678072282">
          <w:marLeft w:val="547"/>
          <w:marRight w:val="0"/>
          <w:marTop w:val="144"/>
          <w:marBottom w:val="0"/>
          <w:divBdr>
            <w:top w:val="none" w:sz="0" w:space="0" w:color="auto"/>
            <w:left w:val="none" w:sz="0" w:space="0" w:color="auto"/>
            <w:bottom w:val="none" w:sz="0" w:space="0" w:color="auto"/>
            <w:right w:val="none" w:sz="0" w:space="0" w:color="auto"/>
          </w:divBdr>
        </w:div>
        <w:div w:id="40961620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3840-3C66-4F1E-9FCD-557C23A0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2924</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2015-10-16T02:04:00Z</dcterms:created>
  <dcterms:modified xsi:type="dcterms:W3CDTF">2015-10-22T20:53:00Z</dcterms:modified>
</cp:coreProperties>
</file>