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47" w:rsidRPr="001F7D3C" w:rsidRDefault="00551247" w:rsidP="004A25EB">
      <w:pPr>
        <w:jc w:val="both"/>
        <w:rPr>
          <w:rFonts w:ascii="Arial" w:hAnsi="Arial" w:cs="Arial"/>
          <w:sz w:val="22"/>
          <w:szCs w:val="22"/>
        </w:rPr>
      </w:pPr>
    </w:p>
    <w:p w:rsidR="00C27B58" w:rsidRPr="001F7D3C" w:rsidRDefault="00C16487" w:rsidP="007C0F57">
      <w:pPr>
        <w:ind w:left="720" w:hanging="720"/>
        <w:rPr>
          <w:rFonts w:ascii="Arial" w:hAnsi="Arial"/>
          <w:b/>
          <w:sz w:val="28"/>
          <w:szCs w:val="28"/>
        </w:rPr>
      </w:pPr>
      <w:r w:rsidRPr="001F7D3C">
        <w:rPr>
          <w:rFonts w:ascii="Arial" w:hAnsi="Arial"/>
          <w:b/>
          <w:sz w:val="28"/>
          <w:szCs w:val="28"/>
        </w:rPr>
        <w:t>7.06</w:t>
      </w:r>
      <w:r w:rsidR="007C0F57" w:rsidRPr="001F7D3C">
        <w:rPr>
          <w:rFonts w:ascii="Arial" w:hAnsi="Arial"/>
          <w:b/>
          <w:sz w:val="28"/>
          <w:szCs w:val="28"/>
        </w:rPr>
        <w:tab/>
      </w:r>
      <w:r w:rsidR="009659B8" w:rsidRPr="001F7D3C">
        <w:rPr>
          <w:rFonts w:ascii="Arial" w:hAnsi="Arial"/>
          <w:b/>
          <w:sz w:val="28"/>
          <w:szCs w:val="28"/>
        </w:rPr>
        <w:t>MULTI-COMPONENT MENINGOCOCCAL GROUP B VACCINE</w:t>
      </w:r>
    </w:p>
    <w:p w:rsidR="00C27B58" w:rsidRPr="001F7D3C" w:rsidRDefault="009659B8" w:rsidP="00C27B58">
      <w:pPr>
        <w:ind w:left="720"/>
        <w:rPr>
          <w:rFonts w:ascii="Arial" w:hAnsi="Arial"/>
          <w:b/>
          <w:sz w:val="28"/>
          <w:szCs w:val="28"/>
        </w:rPr>
      </w:pPr>
      <w:r w:rsidRPr="001F7D3C">
        <w:rPr>
          <w:rFonts w:ascii="Arial" w:hAnsi="Arial"/>
          <w:b/>
          <w:sz w:val="28"/>
          <w:szCs w:val="28"/>
        </w:rPr>
        <w:t>Injection,</w:t>
      </w:r>
      <w:r w:rsidR="0004240E" w:rsidRPr="001F7D3C">
        <w:rPr>
          <w:rFonts w:ascii="Arial" w:hAnsi="Arial"/>
          <w:b/>
          <w:sz w:val="28"/>
          <w:szCs w:val="28"/>
        </w:rPr>
        <w:t xml:space="preserve"> </w:t>
      </w:r>
      <w:r w:rsidRPr="001F7D3C">
        <w:rPr>
          <w:rFonts w:ascii="Arial" w:hAnsi="Arial"/>
          <w:b/>
          <w:sz w:val="28"/>
          <w:szCs w:val="28"/>
        </w:rPr>
        <w:t>0.5mL</w:t>
      </w:r>
      <w:r w:rsidR="0004240E" w:rsidRPr="001F7D3C">
        <w:rPr>
          <w:rFonts w:ascii="Arial" w:hAnsi="Arial"/>
          <w:b/>
          <w:sz w:val="28"/>
          <w:szCs w:val="28"/>
        </w:rPr>
        <w:t>,</w:t>
      </w:r>
    </w:p>
    <w:p w:rsidR="00D3280C" w:rsidRPr="001F7D3C" w:rsidRDefault="009659B8" w:rsidP="00C27B58">
      <w:pPr>
        <w:ind w:left="720"/>
        <w:rPr>
          <w:rFonts w:ascii="Arial" w:hAnsi="Arial"/>
          <w:b/>
          <w:sz w:val="28"/>
          <w:szCs w:val="28"/>
        </w:rPr>
      </w:pPr>
      <w:r w:rsidRPr="001F7D3C">
        <w:rPr>
          <w:rFonts w:ascii="Arial" w:hAnsi="Arial"/>
          <w:b/>
          <w:sz w:val="28"/>
          <w:szCs w:val="28"/>
        </w:rPr>
        <w:t>Bexsero</w:t>
      </w:r>
      <w:r w:rsidR="0004240E" w:rsidRPr="001F7D3C">
        <w:rPr>
          <w:rFonts w:ascii="Arial" w:hAnsi="Arial"/>
          <w:b/>
          <w:sz w:val="28"/>
          <w:szCs w:val="28"/>
          <w:vertAlign w:val="superscript"/>
        </w:rPr>
        <w:t>®</w:t>
      </w:r>
      <w:r w:rsidR="00EF44A0" w:rsidRPr="001F7D3C">
        <w:rPr>
          <w:rFonts w:ascii="Arial" w:hAnsi="Arial"/>
          <w:b/>
          <w:sz w:val="28"/>
          <w:szCs w:val="28"/>
        </w:rPr>
        <w:t xml:space="preserve">, </w:t>
      </w:r>
      <w:r w:rsidRPr="001F7D3C">
        <w:rPr>
          <w:rFonts w:ascii="Arial" w:hAnsi="Arial"/>
          <w:b/>
          <w:sz w:val="28"/>
          <w:szCs w:val="28"/>
        </w:rPr>
        <w:t>Novartis Vaccines Diagnostics Pty Ltd</w:t>
      </w:r>
    </w:p>
    <w:p w:rsidR="00C27B58" w:rsidRPr="001F7D3C" w:rsidRDefault="00C27B58" w:rsidP="00C27B58">
      <w:pPr>
        <w:pStyle w:val="NoSpacing"/>
      </w:pPr>
    </w:p>
    <w:p w:rsidR="00CE10C4" w:rsidRPr="001F7D3C" w:rsidRDefault="00CE10C4" w:rsidP="00AA4458">
      <w:pPr>
        <w:pStyle w:val="ListParagraph"/>
        <w:numPr>
          <w:ilvl w:val="0"/>
          <w:numId w:val="2"/>
        </w:numPr>
        <w:jc w:val="both"/>
        <w:rPr>
          <w:rFonts w:ascii="Arial" w:hAnsi="Arial"/>
          <w:b/>
          <w:sz w:val="22"/>
          <w:szCs w:val="22"/>
        </w:rPr>
      </w:pPr>
      <w:r w:rsidRPr="001F7D3C">
        <w:rPr>
          <w:rFonts w:ascii="Arial" w:hAnsi="Arial"/>
          <w:b/>
          <w:sz w:val="22"/>
          <w:szCs w:val="22"/>
        </w:rPr>
        <w:t xml:space="preserve">Purpose of </w:t>
      </w:r>
      <w:r w:rsidR="0004240E" w:rsidRPr="001F7D3C">
        <w:rPr>
          <w:rFonts w:ascii="Arial" w:hAnsi="Arial"/>
          <w:b/>
          <w:sz w:val="22"/>
          <w:szCs w:val="22"/>
        </w:rPr>
        <w:t>Application</w:t>
      </w:r>
    </w:p>
    <w:p w:rsidR="00BD3B36" w:rsidRPr="001F7D3C" w:rsidRDefault="00BD3B36" w:rsidP="00BD3B36">
      <w:pPr>
        <w:jc w:val="both"/>
        <w:rPr>
          <w:rFonts w:ascii="Arial" w:hAnsi="Arial"/>
          <w:sz w:val="22"/>
          <w:szCs w:val="22"/>
        </w:rPr>
      </w:pPr>
    </w:p>
    <w:p w:rsidR="00F9629A" w:rsidRPr="001F7D3C" w:rsidRDefault="00EF44A0" w:rsidP="00E10F31">
      <w:pPr>
        <w:pStyle w:val="ListParagraph"/>
        <w:numPr>
          <w:ilvl w:val="1"/>
          <w:numId w:val="2"/>
        </w:numPr>
        <w:jc w:val="both"/>
        <w:rPr>
          <w:rFonts w:ascii="Arial" w:hAnsi="Arial" w:cs="Arial"/>
          <w:sz w:val="22"/>
          <w:szCs w:val="22"/>
        </w:rPr>
      </w:pPr>
      <w:r w:rsidRPr="001F7D3C">
        <w:rPr>
          <w:rFonts w:ascii="Arial" w:hAnsi="Arial" w:cs="Arial"/>
          <w:sz w:val="22"/>
          <w:szCs w:val="22"/>
        </w:rPr>
        <w:t xml:space="preserve">The minor </w:t>
      </w:r>
      <w:r w:rsidR="00C95FD1" w:rsidRPr="001F7D3C">
        <w:rPr>
          <w:rFonts w:ascii="Arial" w:hAnsi="Arial" w:cs="Arial"/>
          <w:sz w:val="22"/>
          <w:szCs w:val="22"/>
        </w:rPr>
        <w:t>re-</w:t>
      </w:r>
      <w:r w:rsidRPr="001F7D3C">
        <w:rPr>
          <w:rFonts w:ascii="Arial" w:hAnsi="Arial" w:cs="Arial"/>
          <w:sz w:val="22"/>
          <w:szCs w:val="22"/>
        </w:rPr>
        <w:t xml:space="preserve">submission </w:t>
      </w:r>
      <w:r w:rsidR="00615183" w:rsidRPr="001F7D3C">
        <w:rPr>
          <w:rFonts w:ascii="Arial" w:hAnsi="Arial" w:cs="Arial"/>
          <w:sz w:val="22"/>
          <w:szCs w:val="22"/>
        </w:rPr>
        <w:t xml:space="preserve">sought </w:t>
      </w:r>
      <w:r w:rsidR="00E10F31" w:rsidRPr="001F7D3C">
        <w:rPr>
          <w:rFonts w:ascii="Arial" w:hAnsi="Arial" w:cs="Arial"/>
          <w:sz w:val="22"/>
          <w:szCs w:val="22"/>
        </w:rPr>
        <w:t xml:space="preserve">listing on the National Immunisation Program (NIP) for </w:t>
      </w:r>
      <w:r w:rsidR="00C95FD1" w:rsidRPr="001F7D3C">
        <w:rPr>
          <w:rFonts w:ascii="Arial" w:hAnsi="Arial" w:cs="Arial"/>
          <w:sz w:val="22"/>
          <w:szCs w:val="22"/>
        </w:rPr>
        <w:t xml:space="preserve">a four </w:t>
      </w:r>
      <w:r w:rsidR="00C93976" w:rsidRPr="001F7D3C">
        <w:rPr>
          <w:rFonts w:ascii="Arial" w:hAnsi="Arial" w:cs="Arial"/>
          <w:sz w:val="22"/>
          <w:szCs w:val="22"/>
        </w:rPr>
        <w:t xml:space="preserve">component meningococcal group B (recombinant, adsorbed) vaccine (4CMenB) </w:t>
      </w:r>
      <w:r w:rsidR="00C95FD1" w:rsidRPr="001F7D3C">
        <w:rPr>
          <w:rFonts w:ascii="Arial" w:hAnsi="Arial" w:cs="Arial"/>
          <w:sz w:val="22"/>
          <w:szCs w:val="22"/>
        </w:rPr>
        <w:t xml:space="preserve">for </w:t>
      </w:r>
      <w:r w:rsidR="00E10F31" w:rsidRPr="001F7D3C">
        <w:rPr>
          <w:rFonts w:ascii="Arial" w:hAnsi="Arial" w:cs="Arial"/>
          <w:sz w:val="22"/>
          <w:szCs w:val="22"/>
        </w:rPr>
        <w:t xml:space="preserve">the </w:t>
      </w:r>
      <w:r w:rsidR="00C95FD1" w:rsidRPr="001F7D3C">
        <w:rPr>
          <w:rFonts w:ascii="Arial" w:hAnsi="Arial" w:cs="Arial"/>
          <w:sz w:val="22"/>
          <w:szCs w:val="22"/>
        </w:rPr>
        <w:t>prevention of meningococcal B disease in infants and adolescents</w:t>
      </w:r>
      <w:r w:rsidR="00C93976" w:rsidRPr="001F7D3C">
        <w:rPr>
          <w:rFonts w:ascii="Arial" w:hAnsi="Arial" w:cs="Arial"/>
          <w:sz w:val="22"/>
          <w:szCs w:val="22"/>
        </w:rPr>
        <w:t>.</w:t>
      </w:r>
    </w:p>
    <w:p w:rsidR="00EF44A0" w:rsidRPr="001F7D3C" w:rsidRDefault="00EF44A0" w:rsidP="00C27B58">
      <w:pPr>
        <w:pStyle w:val="NoSpacing"/>
        <w:rPr>
          <w:rFonts w:cs="Arial"/>
        </w:rPr>
      </w:pPr>
    </w:p>
    <w:p w:rsidR="00BD3B36" w:rsidRPr="001F7D3C" w:rsidRDefault="00BD3B36" w:rsidP="00C27B58">
      <w:pPr>
        <w:pStyle w:val="NoSpacing"/>
        <w:rPr>
          <w:rFonts w:cs="Arial"/>
        </w:rPr>
      </w:pPr>
    </w:p>
    <w:p w:rsidR="00614159" w:rsidRPr="001F7D3C" w:rsidRDefault="006A12A5" w:rsidP="00AA4458">
      <w:pPr>
        <w:pStyle w:val="ListParagraph"/>
        <w:numPr>
          <w:ilvl w:val="0"/>
          <w:numId w:val="2"/>
        </w:numPr>
        <w:jc w:val="both"/>
        <w:rPr>
          <w:rFonts w:ascii="Arial" w:hAnsi="Arial"/>
          <w:b/>
          <w:sz w:val="22"/>
          <w:szCs w:val="22"/>
        </w:rPr>
      </w:pPr>
      <w:r w:rsidRPr="001F7D3C">
        <w:rPr>
          <w:rFonts w:ascii="Arial" w:hAnsi="Arial"/>
          <w:b/>
          <w:sz w:val="22"/>
          <w:szCs w:val="22"/>
        </w:rPr>
        <w:t>Requested listing</w:t>
      </w:r>
    </w:p>
    <w:p w:rsidR="00945F34" w:rsidRPr="001F7D3C" w:rsidRDefault="00945F34" w:rsidP="00945F34">
      <w:pPr>
        <w:jc w:val="both"/>
        <w:rPr>
          <w:rFonts w:ascii="Arial" w:hAnsi="Arial"/>
          <w:sz w:val="22"/>
          <w:szCs w:val="22"/>
        </w:rPr>
      </w:pPr>
    </w:p>
    <w:p w:rsidR="00826F6D" w:rsidRPr="001F7D3C" w:rsidRDefault="00EF44A0" w:rsidP="00E10F31">
      <w:pPr>
        <w:pStyle w:val="ListParagraph"/>
        <w:numPr>
          <w:ilvl w:val="1"/>
          <w:numId w:val="2"/>
        </w:numPr>
        <w:jc w:val="both"/>
        <w:rPr>
          <w:rFonts w:ascii="Arial" w:hAnsi="Arial"/>
          <w:sz w:val="22"/>
          <w:szCs w:val="22"/>
        </w:rPr>
      </w:pPr>
      <w:r w:rsidRPr="001F7D3C">
        <w:rPr>
          <w:rFonts w:ascii="Arial" w:hAnsi="Arial"/>
          <w:sz w:val="22"/>
          <w:szCs w:val="22"/>
        </w:rPr>
        <w:t>The</w:t>
      </w:r>
      <w:r w:rsidR="00994D45" w:rsidRPr="001F7D3C">
        <w:rPr>
          <w:rFonts w:ascii="Arial" w:hAnsi="Arial"/>
          <w:sz w:val="22"/>
          <w:szCs w:val="22"/>
        </w:rPr>
        <w:t xml:space="preserve"> minor</w:t>
      </w:r>
      <w:r w:rsidRPr="001F7D3C">
        <w:rPr>
          <w:rFonts w:ascii="Arial" w:hAnsi="Arial"/>
          <w:sz w:val="22"/>
          <w:szCs w:val="22"/>
        </w:rPr>
        <w:t xml:space="preserve"> </w:t>
      </w:r>
      <w:r w:rsidR="00C95FD1" w:rsidRPr="001F7D3C">
        <w:rPr>
          <w:rFonts w:ascii="Arial" w:hAnsi="Arial"/>
          <w:sz w:val="22"/>
          <w:szCs w:val="22"/>
        </w:rPr>
        <w:t>re-</w:t>
      </w:r>
      <w:r w:rsidRPr="001F7D3C">
        <w:rPr>
          <w:rFonts w:ascii="Arial" w:hAnsi="Arial"/>
          <w:sz w:val="22"/>
          <w:szCs w:val="22"/>
        </w:rPr>
        <w:t xml:space="preserve">submission </w:t>
      </w:r>
      <w:r w:rsidR="00615183" w:rsidRPr="001F7D3C">
        <w:rPr>
          <w:rFonts w:ascii="Arial" w:hAnsi="Arial"/>
          <w:sz w:val="22"/>
          <w:szCs w:val="22"/>
        </w:rPr>
        <w:t xml:space="preserve">sought </w:t>
      </w:r>
      <w:r w:rsidR="00E10F31" w:rsidRPr="001F7D3C">
        <w:rPr>
          <w:rFonts w:ascii="Arial" w:hAnsi="Arial"/>
          <w:sz w:val="22"/>
          <w:szCs w:val="22"/>
        </w:rPr>
        <w:t xml:space="preserve">the following new listing </w:t>
      </w:r>
      <w:r w:rsidR="00B42215" w:rsidRPr="001F7D3C">
        <w:rPr>
          <w:rFonts w:ascii="Arial" w:hAnsi="Arial"/>
          <w:sz w:val="22"/>
          <w:szCs w:val="22"/>
        </w:rPr>
        <w:t>on the NIP</w:t>
      </w:r>
      <w:r w:rsidR="00826F6D" w:rsidRPr="001F7D3C">
        <w:rPr>
          <w:rFonts w:ascii="Arial" w:hAnsi="Arial"/>
          <w:sz w:val="22"/>
          <w:szCs w:val="22"/>
        </w:rPr>
        <w:t>:</w:t>
      </w:r>
    </w:p>
    <w:p w:rsidR="00826F6D" w:rsidRPr="001F7D3C" w:rsidRDefault="00826F6D" w:rsidP="00C27B58">
      <w:pPr>
        <w:pStyle w:val="NoSpacing"/>
      </w:pPr>
    </w:p>
    <w:tbl>
      <w:tblPr>
        <w:tblW w:w="8363" w:type="dxa"/>
        <w:tblInd w:w="817" w:type="dxa"/>
        <w:tblLayout w:type="fixed"/>
        <w:tblLook w:val="0000" w:firstRow="0" w:lastRow="0" w:firstColumn="0" w:lastColumn="0" w:noHBand="0" w:noVBand="0"/>
      </w:tblPr>
      <w:tblGrid>
        <w:gridCol w:w="3119"/>
        <w:gridCol w:w="567"/>
        <w:gridCol w:w="708"/>
        <w:gridCol w:w="1418"/>
        <w:gridCol w:w="992"/>
        <w:gridCol w:w="1559"/>
      </w:tblGrid>
      <w:tr w:rsidR="00826F6D" w:rsidRPr="001F7D3C" w:rsidTr="00643C6A">
        <w:trPr>
          <w:cantSplit/>
          <w:trHeight w:val="471"/>
        </w:trPr>
        <w:tc>
          <w:tcPr>
            <w:tcW w:w="3119" w:type="dxa"/>
            <w:tcBorders>
              <w:bottom w:val="single" w:sz="4" w:space="0" w:color="auto"/>
            </w:tcBorders>
          </w:tcPr>
          <w:p w:rsidR="00826F6D" w:rsidRPr="001F7D3C" w:rsidRDefault="00826F6D" w:rsidP="00C27B58">
            <w:pPr>
              <w:keepNext/>
              <w:ind w:left="-108"/>
              <w:jc w:val="both"/>
              <w:rPr>
                <w:rFonts w:ascii="Arial Narrow" w:hAnsi="Arial Narrow" w:cs="Arial"/>
                <w:b/>
                <w:sz w:val="20"/>
                <w:szCs w:val="20"/>
              </w:rPr>
            </w:pPr>
            <w:r w:rsidRPr="001F7D3C">
              <w:rPr>
                <w:rFonts w:ascii="Arial Narrow" w:hAnsi="Arial Narrow" w:cs="Arial"/>
                <w:b/>
                <w:sz w:val="20"/>
                <w:szCs w:val="20"/>
              </w:rPr>
              <w:t>Name, Restriction,</w:t>
            </w:r>
          </w:p>
          <w:p w:rsidR="00826F6D" w:rsidRPr="001F7D3C" w:rsidRDefault="00826F6D" w:rsidP="00C27B58">
            <w:pPr>
              <w:keepNext/>
              <w:ind w:left="-108"/>
              <w:jc w:val="both"/>
              <w:rPr>
                <w:rFonts w:ascii="Arial Narrow" w:hAnsi="Arial Narrow" w:cs="Arial"/>
                <w:b/>
                <w:sz w:val="20"/>
                <w:szCs w:val="20"/>
              </w:rPr>
            </w:pPr>
            <w:r w:rsidRPr="001F7D3C">
              <w:rPr>
                <w:rFonts w:ascii="Arial Narrow" w:hAnsi="Arial Narrow" w:cs="Arial"/>
                <w:b/>
                <w:sz w:val="20"/>
                <w:szCs w:val="20"/>
              </w:rPr>
              <w:t>Manner of administration and form</w:t>
            </w:r>
          </w:p>
        </w:tc>
        <w:tc>
          <w:tcPr>
            <w:tcW w:w="567" w:type="dxa"/>
            <w:tcBorders>
              <w:bottom w:val="single" w:sz="4" w:space="0" w:color="auto"/>
            </w:tcBorders>
          </w:tcPr>
          <w:p w:rsidR="00826F6D" w:rsidRPr="001F7D3C" w:rsidRDefault="00826F6D" w:rsidP="00C27B58">
            <w:pPr>
              <w:keepNext/>
              <w:ind w:left="-108"/>
              <w:jc w:val="both"/>
              <w:rPr>
                <w:rFonts w:ascii="Arial Narrow" w:hAnsi="Arial Narrow" w:cs="Arial"/>
                <w:b/>
                <w:sz w:val="20"/>
                <w:szCs w:val="20"/>
              </w:rPr>
            </w:pPr>
            <w:r w:rsidRPr="001F7D3C">
              <w:rPr>
                <w:rFonts w:ascii="Arial Narrow" w:hAnsi="Arial Narrow" w:cs="Arial"/>
                <w:b/>
                <w:sz w:val="20"/>
                <w:szCs w:val="20"/>
              </w:rPr>
              <w:t>Max.</w:t>
            </w:r>
          </w:p>
          <w:p w:rsidR="00826F6D" w:rsidRPr="001F7D3C" w:rsidRDefault="00826F6D" w:rsidP="00C27B58">
            <w:pPr>
              <w:keepNext/>
              <w:ind w:left="-108"/>
              <w:jc w:val="both"/>
              <w:rPr>
                <w:rFonts w:ascii="Arial Narrow" w:hAnsi="Arial Narrow" w:cs="Arial"/>
                <w:b/>
                <w:sz w:val="20"/>
                <w:szCs w:val="20"/>
              </w:rPr>
            </w:pPr>
            <w:r w:rsidRPr="001F7D3C">
              <w:rPr>
                <w:rFonts w:ascii="Arial Narrow" w:hAnsi="Arial Narrow" w:cs="Arial"/>
                <w:b/>
                <w:sz w:val="20"/>
                <w:szCs w:val="20"/>
              </w:rPr>
              <w:t>Qty</w:t>
            </w:r>
          </w:p>
        </w:tc>
        <w:tc>
          <w:tcPr>
            <w:tcW w:w="708" w:type="dxa"/>
            <w:tcBorders>
              <w:bottom w:val="single" w:sz="4" w:space="0" w:color="auto"/>
            </w:tcBorders>
          </w:tcPr>
          <w:p w:rsidR="00826F6D" w:rsidRPr="001F7D3C" w:rsidRDefault="00826F6D" w:rsidP="00C27B58">
            <w:pPr>
              <w:keepNext/>
              <w:ind w:left="-108"/>
              <w:jc w:val="both"/>
              <w:rPr>
                <w:rFonts w:ascii="Arial Narrow" w:hAnsi="Arial Narrow" w:cs="Arial"/>
                <w:b/>
                <w:sz w:val="20"/>
                <w:szCs w:val="20"/>
              </w:rPr>
            </w:pPr>
            <w:r w:rsidRPr="001F7D3C">
              <w:rPr>
                <w:rFonts w:ascii="Arial Narrow" w:hAnsi="Arial Narrow" w:cs="Arial"/>
                <w:b/>
                <w:sz w:val="20"/>
                <w:szCs w:val="20"/>
              </w:rPr>
              <w:t>№.of</w:t>
            </w:r>
          </w:p>
          <w:p w:rsidR="00826F6D" w:rsidRPr="001F7D3C" w:rsidRDefault="00826F6D" w:rsidP="00C27B58">
            <w:pPr>
              <w:keepNext/>
              <w:ind w:left="-108"/>
              <w:jc w:val="both"/>
              <w:rPr>
                <w:rFonts w:ascii="Arial Narrow" w:hAnsi="Arial Narrow" w:cs="Arial"/>
                <w:b/>
                <w:sz w:val="20"/>
                <w:szCs w:val="20"/>
              </w:rPr>
            </w:pPr>
            <w:r w:rsidRPr="001F7D3C">
              <w:rPr>
                <w:rFonts w:ascii="Arial Narrow" w:hAnsi="Arial Narrow" w:cs="Arial"/>
                <w:b/>
                <w:sz w:val="20"/>
                <w:szCs w:val="20"/>
              </w:rPr>
              <w:t>Rpts</w:t>
            </w:r>
          </w:p>
        </w:tc>
        <w:tc>
          <w:tcPr>
            <w:tcW w:w="1418" w:type="dxa"/>
            <w:tcBorders>
              <w:bottom w:val="single" w:sz="4" w:space="0" w:color="auto"/>
            </w:tcBorders>
          </w:tcPr>
          <w:p w:rsidR="00826F6D" w:rsidRPr="001F7D3C" w:rsidRDefault="00826F6D" w:rsidP="00C27B58">
            <w:pPr>
              <w:keepNext/>
              <w:ind w:left="-108"/>
              <w:jc w:val="both"/>
              <w:rPr>
                <w:rFonts w:ascii="Arial Narrow" w:hAnsi="Arial Narrow" w:cs="Arial"/>
                <w:b/>
                <w:sz w:val="20"/>
                <w:szCs w:val="20"/>
              </w:rPr>
            </w:pPr>
            <w:r w:rsidRPr="001F7D3C">
              <w:rPr>
                <w:rFonts w:ascii="Arial Narrow" w:hAnsi="Arial Narrow" w:cs="Arial"/>
                <w:b/>
                <w:sz w:val="20"/>
                <w:szCs w:val="20"/>
              </w:rPr>
              <w:t>Dispensed Price for Max. Qty</w:t>
            </w:r>
          </w:p>
        </w:tc>
        <w:tc>
          <w:tcPr>
            <w:tcW w:w="2551" w:type="dxa"/>
            <w:gridSpan w:val="2"/>
            <w:tcBorders>
              <w:bottom w:val="single" w:sz="4" w:space="0" w:color="auto"/>
            </w:tcBorders>
          </w:tcPr>
          <w:p w:rsidR="00826F6D" w:rsidRPr="001F7D3C" w:rsidRDefault="00826F6D" w:rsidP="00C27B58">
            <w:pPr>
              <w:keepNext/>
              <w:jc w:val="both"/>
              <w:rPr>
                <w:rFonts w:ascii="Arial Narrow" w:hAnsi="Arial Narrow" w:cs="Arial"/>
                <w:b/>
                <w:sz w:val="20"/>
                <w:szCs w:val="20"/>
                <w:lang w:val="fr-FR"/>
              </w:rPr>
            </w:pPr>
            <w:r w:rsidRPr="001F7D3C">
              <w:rPr>
                <w:rFonts w:ascii="Arial Narrow" w:hAnsi="Arial Narrow" w:cs="Arial"/>
                <w:b/>
                <w:sz w:val="20"/>
                <w:szCs w:val="20"/>
              </w:rPr>
              <w:t>Proprietary Name and Manufacturer</w:t>
            </w:r>
          </w:p>
        </w:tc>
      </w:tr>
      <w:tr w:rsidR="00826F6D" w:rsidRPr="001F7D3C" w:rsidTr="00643C6A">
        <w:trPr>
          <w:cantSplit/>
          <w:trHeight w:val="577"/>
        </w:trPr>
        <w:tc>
          <w:tcPr>
            <w:tcW w:w="3119" w:type="dxa"/>
          </w:tcPr>
          <w:p w:rsidR="00643C6A" w:rsidRDefault="00643C6A" w:rsidP="00C27B58">
            <w:pPr>
              <w:keepNext/>
              <w:ind w:left="-108"/>
              <w:jc w:val="both"/>
              <w:rPr>
                <w:rFonts w:ascii="Arial Narrow" w:hAnsi="Arial Narrow" w:cs="Arial"/>
                <w:smallCaps/>
                <w:sz w:val="20"/>
                <w:szCs w:val="20"/>
              </w:rPr>
            </w:pPr>
          </w:p>
          <w:p w:rsidR="00826F6D" w:rsidRPr="001F7D3C" w:rsidRDefault="00C93976" w:rsidP="00C27B58">
            <w:pPr>
              <w:keepNext/>
              <w:ind w:left="-108"/>
              <w:jc w:val="both"/>
              <w:rPr>
                <w:rFonts w:ascii="Arial Narrow" w:hAnsi="Arial Narrow" w:cs="Arial"/>
                <w:sz w:val="20"/>
                <w:szCs w:val="20"/>
              </w:rPr>
            </w:pPr>
            <w:r w:rsidRPr="001F7D3C">
              <w:rPr>
                <w:rFonts w:ascii="Arial Narrow" w:hAnsi="Arial Narrow" w:cs="Arial"/>
                <w:smallCaps/>
                <w:sz w:val="20"/>
                <w:szCs w:val="20"/>
              </w:rPr>
              <w:t>Meningococcal group B (Neisseria meningitidis) vaccine</w:t>
            </w:r>
          </w:p>
          <w:p w:rsidR="00826F6D" w:rsidRPr="001F7D3C" w:rsidRDefault="00C93976" w:rsidP="00C27B58">
            <w:pPr>
              <w:keepNext/>
              <w:ind w:left="-108"/>
              <w:jc w:val="both"/>
              <w:rPr>
                <w:rFonts w:ascii="Arial Narrow" w:hAnsi="Arial Narrow" w:cs="Arial"/>
                <w:sz w:val="20"/>
                <w:szCs w:val="20"/>
              </w:rPr>
            </w:pPr>
            <w:r w:rsidRPr="001F7D3C">
              <w:rPr>
                <w:rFonts w:ascii="Arial Narrow" w:hAnsi="Arial Narrow" w:cs="Arial"/>
                <w:sz w:val="20"/>
                <w:szCs w:val="20"/>
              </w:rPr>
              <w:t>1 x 0.5 mL syringe</w:t>
            </w:r>
          </w:p>
        </w:tc>
        <w:tc>
          <w:tcPr>
            <w:tcW w:w="567" w:type="dxa"/>
          </w:tcPr>
          <w:p w:rsidR="00826F6D" w:rsidRPr="001F7D3C" w:rsidRDefault="00826F6D" w:rsidP="00C27B58">
            <w:pPr>
              <w:keepNext/>
              <w:ind w:left="-108"/>
              <w:jc w:val="both"/>
              <w:rPr>
                <w:rFonts w:ascii="Arial Narrow" w:hAnsi="Arial Narrow" w:cs="Arial"/>
                <w:sz w:val="20"/>
                <w:szCs w:val="20"/>
              </w:rPr>
            </w:pPr>
          </w:p>
          <w:p w:rsidR="00826F6D" w:rsidRPr="001F7D3C" w:rsidRDefault="00C93976" w:rsidP="00C27B58">
            <w:pPr>
              <w:keepNext/>
              <w:ind w:left="-108"/>
              <w:jc w:val="both"/>
              <w:rPr>
                <w:rFonts w:ascii="Arial Narrow" w:hAnsi="Arial Narrow" w:cs="Arial"/>
                <w:sz w:val="20"/>
                <w:szCs w:val="20"/>
              </w:rPr>
            </w:pPr>
            <w:r w:rsidRPr="001F7D3C">
              <w:rPr>
                <w:rFonts w:ascii="Arial Narrow" w:hAnsi="Arial Narrow" w:cs="Arial"/>
                <w:sz w:val="20"/>
                <w:szCs w:val="20"/>
              </w:rPr>
              <w:t>1</w:t>
            </w:r>
          </w:p>
        </w:tc>
        <w:tc>
          <w:tcPr>
            <w:tcW w:w="708" w:type="dxa"/>
          </w:tcPr>
          <w:p w:rsidR="00826F6D" w:rsidRPr="004B4B5F" w:rsidRDefault="00826F6D" w:rsidP="00C27B58">
            <w:pPr>
              <w:keepNext/>
              <w:ind w:left="-108"/>
              <w:jc w:val="both"/>
              <w:rPr>
                <w:rFonts w:ascii="Arial Narrow" w:hAnsi="Arial Narrow" w:cs="Arial"/>
                <w:sz w:val="20"/>
                <w:szCs w:val="20"/>
              </w:rPr>
            </w:pPr>
          </w:p>
          <w:p w:rsidR="00826F6D" w:rsidRPr="004B4B5F" w:rsidRDefault="00C93976" w:rsidP="00C27B58">
            <w:pPr>
              <w:keepNext/>
              <w:ind w:left="-108"/>
              <w:jc w:val="both"/>
              <w:rPr>
                <w:rFonts w:ascii="Arial Narrow" w:hAnsi="Arial Narrow" w:cs="Arial"/>
                <w:sz w:val="20"/>
                <w:szCs w:val="20"/>
              </w:rPr>
            </w:pPr>
            <w:r w:rsidRPr="004B4B5F">
              <w:rPr>
                <w:rFonts w:ascii="Arial Narrow" w:hAnsi="Arial Narrow" w:cs="Arial"/>
                <w:sz w:val="20"/>
                <w:szCs w:val="20"/>
              </w:rPr>
              <w:t>0</w:t>
            </w:r>
          </w:p>
        </w:tc>
        <w:tc>
          <w:tcPr>
            <w:tcW w:w="1418" w:type="dxa"/>
          </w:tcPr>
          <w:p w:rsidR="00826F6D" w:rsidRPr="004B4B5F" w:rsidRDefault="00826F6D" w:rsidP="00C27B58">
            <w:pPr>
              <w:keepNext/>
              <w:ind w:left="-108"/>
              <w:jc w:val="both"/>
              <w:rPr>
                <w:rFonts w:ascii="Arial Narrow" w:hAnsi="Arial Narrow" w:cs="Arial"/>
                <w:sz w:val="20"/>
                <w:szCs w:val="20"/>
              </w:rPr>
            </w:pPr>
          </w:p>
          <w:p w:rsidR="00826F6D" w:rsidRPr="004B4B5F" w:rsidRDefault="00826F6D" w:rsidP="00C93976">
            <w:pPr>
              <w:keepNext/>
              <w:ind w:left="-108"/>
              <w:jc w:val="both"/>
              <w:rPr>
                <w:rFonts w:ascii="Arial Narrow" w:hAnsi="Arial Narrow" w:cs="Arial"/>
                <w:sz w:val="20"/>
                <w:szCs w:val="20"/>
              </w:rPr>
            </w:pPr>
            <w:r w:rsidRPr="000C33F2">
              <w:rPr>
                <w:rFonts w:ascii="Arial Narrow" w:hAnsi="Arial Narrow" w:cs="Arial"/>
                <w:sz w:val="20"/>
                <w:szCs w:val="20"/>
              </w:rPr>
              <w:t>$</w:t>
            </w:r>
            <w:r w:rsidR="00676FE1">
              <w:rPr>
                <w:rFonts w:ascii="Arial Narrow" w:hAnsi="Arial Narrow" w:cs="Arial"/>
                <w:noProof/>
                <w:color w:val="000000"/>
                <w:sz w:val="20"/>
                <w:szCs w:val="20"/>
                <w:highlight w:val="black"/>
              </w:rPr>
              <w:t>'''''''''''''</w:t>
            </w:r>
          </w:p>
        </w:tc>
        <w:tc>
          <w:tcPr>
            <w:tcW w:w="992" w:type="dxa"/>
          </w:tcPr>
          <w:p w:rsidR="00C27B58" w:rsidRPr="001F7D3C" w:rsidRDefault="00C27B58" w:rsidP="00C27B58">
            <w:pPr>
              <w:keepNext/>
              <w:jc w:val="both"/>
              <w:rPr>
                <w:rFonts w:ascii="Arial Narrow" w:hAnsi="Arial Narrow" w:cs="Arial"/>
                <w:sz w:val="20"/>
                <w:szCs w:val="20"/>
              </w:rPr>
            </w:pPr>
          </w:p>
          <w:p w:rsidR="00826F6D" w:rsidRPr="001F7D3C" w:rsidRDefault="00C93976" w:rsidP="00C27B58">
            <w:pPr>
              <w:keepNext/>
              <w:jc w:val="both"/>
              <w:rPr>
                <w:rFonts w:ascii="Arial Narrow" w:hAnsi="Arial Narrow" w:cs="Arial"/>
                <w:sz w:val="20"/>
                <w:szCs w:val="20"/>
              </w:rPr>
            </w:pPr>
            <w:r w:rsidRPr="001F7D3C">
              <w:rPr>
                <w:rFonts w:ascii="Arial Narrow" w:hAnsi="Arial Narrow" w:cs="Arial"/>
                <w:sz w:val="20"/>
                <w:szCs w:val="20"/>
              </w:rPr>
              <w:t>Bexsero</w:t>
            </w:r>
          </w:p>
        </w:tc>
        <w:tc>
          <w:tcPr>
            <w:tcW w:w="1559" w:type="dxa"/>
          </w:tcPr>
          <w:p w:rsidR="00C27B58" w:rsidRPr="001F7D3C" w:rsidRDefault="00C27B58" w:rsidP="00C27B58">
            <w:pPr>
              <w:keepNext/>
              <w:jc w:val="both"/>
              <w:rPr>
                <w:rFonts w:ascii="Arial Narrow" w:hAnsi="Arial Narrow" w:cs="Arial"/>
                <w:sz w:val="20"/>
                <w:szCs w:val="20"/>
              </w:rPr>
            </w:pPr>
          </w:p>
          <w:p w:rsidR="00826F6D" w:rsidRPr="001F7D3C" w:rsidRDefault="00C93976" w:rsidP="00C27B58">
            <w:pPr>
              <w:keepNext/>
              <w:jc w:val="both"/>
              <w:rPr>
                <w:rFonts w:ascii="Arial Narrow" w:hAnsi="Arial Narrow" w:cs="Arial"/>
                <w:sz w:val="20"/>
                <w:szCs w:val="20"/>
              </w:rPr>
            </w:pPr>
            <w:r w:rsidRPr="001F7D3C">
              <w:rPr>
                <w:rFonts w:ascii="Arial Narrow" w:hAnsi="Arial Narrow" w:cs="Arial"/>
                <w:sz w:val="20"/>
                <w:szCs w:val="20"/>
              </w:rPr>
              <w:t>Novartis Vaccines &amp; Diagnostics</w:t>
            </w:r>
          </w:p>
        </w:tc>
      </w:tr>
      <w:tr w:rsidR="00C93976" w:rsidRPr="001F7D3C" w:rsidTr="00643C6A">
        <w:trPr>
          <w:cantSplit/>
          <w:trHeight w:val="577"/>
        </w:trPr>
        <w:tc>
          <w:tcPr>
            <w:tcW w:w="3119" w:type="dxa"/>
          </w:tcPr>
          <w:p w:rsidR="00C93976" w:rsidRPr="001F7D3C" w:rsidRDefault="00C93976" w:rsidP="00C93976">
            <w:pPr>
              <w:keepNext/>
              <w:ind w:left="-108"/>
              <w:jc w:val="both"/>
              <w:rPr>
                <w:rFonts w:ascii="Arial Narrow" w:hAnsi="Arial Narrow" w:cs="Arial"/>
                <w:sz w:val="20"/>
                <w:szCs w:val="20"/>
              </w:rPr>
            </w:pPr>
            <w:r w:rsidRPr="001F7D3C">
              <w:rPr>
                <w:rFonts w:ascii="Arial Narrow" w:hAnsi="Arial Narrow" w:cs="Arial"/>
                <w:smallCaps/>
                <w:sz w:val="20"/>
                <w:szCs w:val="20"/>
              </w:rPr>
              <w:t>Meningococcal group B (Neisseria meningitidis) vaccine</w:t>
            </w:r>
          </w:p>
          <w:p w:rsidR="00C93976" w:rsidRPr="001F7D3C" w:rsidRDefault="00C93976" w:rsidP="00C93976">
            <w:pPr>
              <w:keepNext/>
              <w:ind w:left="-108"/>
              <w:jc w:val="both"/>
              <w:rPr>
                <w:rFonts w:ascii="Arial Narrow" w:hAnsi="Arial Narrow" w:cs="Arial"/>
                <w:smallCaps/>
                <w:sz w:val="20"/>
                <w:szCs w:val="20"/>
              </w:rPr>
            </w:pPr>
            <w:r w:rsidRPr="001F7D3C">
              <w:rPr>
                <w:rFonts w:ascii="Arial Narrow" w:hAnsi="Arial Narrow" w:cs="Arial"/>
                <w:sz w:val="20"/>
                <w:szCs w:val="20"/>
              </w:rPr>
              <w:t>10 x 0.5 mL syringes</w:t>
            </w:r>
          </w:p>
        </w:tc>
        <w:tc>
          <w:tcPr>
            <w:tcW w:w="567" w:type="dxa"/>
          </w:tcPr>
          <w:p w:rsidR="00C93976" w:rsidRPr="001F7D3C" w:rsidRDefault="00C93976" w:rsidP="00C27B58">
            <w:pPr>
              <w:keepNext/>
              <w:ind w:left="-108"/>
              <w:jc w:val="both"/>
              <w:rPr>
                <w:rFonts w:ascii="Arial Narrow" w:hAnsi="Arial Narrow" w:cs="Arial"/>
                <w:sz w:val="20"/>
                <w:szCs w:val="20"/>
              </w:rPr>
            </w:pPr>
            <w:r w:rsidRPr="001F7D3C">
              <w:rPr>
                <w:rFonts w:ascii="Arial Narrow" w:hAnsi="Arial Narrow" w:cs="Arial"/>
                <w:sz w:val="20"/>
                <w:szCs w:val="20"/>
              </w:rPr>
              <w:t>1</w:t>
            </w:r>
          </w:p>
        </w:tc>
        <w:tc>
          <w:tcPr>
            <w:tcW w:w="708" w:type="dxa"/>
          </w:tcPr>
          <w:p w:rsidR="00C93976" w:rsidRPr="004B4B5F" w:rsidRDefault="00C93976" w:rsidP="00C27B58">
            <w:pPr>
              <w:keepNext/>
              <w:ind w:left="-108"/>
              <w:jc w:val="both"/>
              <w:rPr>
                <w:rFonts w:ascii="Arial Narrow" w:hAnsi="Arial Narrow" w:cs="Arial"/>
                <w:sz w:val="20"/>
                <w:szCs w:val="20"/>
              </w:rPr>
            </w:pPr>
            <w:r w:rsidRPr="004B4B5F">
              <w:rPr>
                <w:rFonts w:ascii="Arial Narrow" w:hAnsi="Arial Narrow" w:cs="Arial"/>
                <w:sz w:val="20"/>
                <w:szCs w:val="20"/>
              </w:rPr>
              <w:t>0</w:t>
            </w:r>
          </w:p>
        </w:tc>
        <w:tc>
          <w:tcPr>
            <w:tcW w:w="1418" w:type="dxa"/>
          </w:tcPr>
          <w:p w:rsidR="00C93976" w:rsidRPr="004B4B5F" w:rsidRDefault="00C93976" w:rsidP="00C27B58">
            <w:pPr>
              <w:keepNext/>
              <w:ind w:left="-108"/>
              <w:jc w:val="both"/>
              <w:rPr>
                <w:rFonts w:ascii="Arial Narrow" w:hAnsi="Arial Narrow" w:cs="Arial"/>
                <w:sz w:val="20"/>
                <w:szCs w:val="20"/>
              </w:rPr>
            </w:pPr>
            <w:r w:rsidRPr="000C33F2">
              <w:rPr>
                <w:rFonts w:ascii="Arial Narrow" w:hAnsi="Arial Narrow" w:cs="Arial"/>
                <w:sz w:val="20"/>
                <w:szCs w:val="20"/>
              </w:rPr>
              <w:t>$</w:t>
            </w:r>
            <w:r w:rsidR="00676FE1">
              <w:rPr>
                <w:rFonts w:ascii="Arial Narrow" w:hAnsi="Arial Narrow" w:cs="Arial"/>
                <w:noProof/>
                <w:color w:val="000000"/>
                <w:sz w:val="20"/>
                <w:szCs w:val="20"/>
                <w:highlight w:val="black"/>
              </w:rPr>
              <w:t>'''''''''''''''''</w:t>
            </w:r>
          </w:p>
        </w:tc>
        <w:tc>
          <w:tcPr>
            <w:tcW w:w="992" w:type="dxa"/>
          </w:tcPr>
          <w:p w:rsidR="00C93976" w:rsidRPr="001F7D3C" w:rsidRDefault="00C93976" w:rsidP="00C93976">
            <w:pPr>
              <w:keepNext/>
              <w:jc w:val="both"/>
              <w:rPr>
                <w:rFonts w:ascii="Arial Narrow" w:hAnsi="Arial Narrow" w:cs="Arial"/>
                <w:sz w:val="20"/>
                <w:szCs w:val="20"/>
              </w:rPr>
            </w:pPr>
            <w:r w:rsidRPr="001F7D3C">
              <w:rPr>
                <w:rFonts w:ascii="Arial Narrow" w:hAnsi="Arial Narrow" w:cs="Arial"/>
                <w:sz w:val="20"/>
                <w:szCs w:val="20"/>
              </w:rPr>
              <w:t>Bexsero</w:t>
            </w:r>
          </w:p>
        </w:tc>
        <w:tc>
          <w:tcPr>
            <w:tcW w:w="1559" w:type="dxa"/>
          </w:tcPr>
          <w:p w:rsidR="00C93976" w:rsidRPr="001F7D3C" w:rsidRDefault="00C93976" w:rsidP="00C93976">
            <w:pPr>
              <w:keepNext/>
              <w:jc w:val="both"/>
              <w:rPr>
                <w:rFonts w:ascii="Arial Narrow" w:hAnsi="Arial Narrow" w:cs="Arial"/>
                <w:sz w:val="20"/>
                <w:szCs w:val="20"/>
              </w:rPr>
            </w:pPr>
            <w:r w:rsidRPr="001F7D3C">
              <w:rPr>
                <w:rFonts w:ascii="Arial Narrow" w:hAnsi="Arial Narrow" w:cs="Arial"/>
                <w:sz w:val="20"/>
                <w:szCs w:val="20"/>
              </w:rPr>
              <w:t>Novartis Vaccines &amp; Diagnostics</w:t>
            </w:r>
          </w:p>
        </w:tc>
      </w:tr>
    </w:tbl>
    <w:p w:rsidR="00826F6D" w:rsidRPr="001F7D3C" w:rsidRDefault="00826F6D" w:rsidP="005217C1">
      <w:pPr>
        <w:jc w:val="both"/>
        <w:rPr>
          <w:rFonts w:ascii="Arial" w:hAnsi="Arial"/>
          <w:sz w:val="22"/>
          <w:szCs w:val="22"/>
        </w:rPr>
      </w:pPr>
    </w:p>
    <w:p w:rsidR="002B1AFF" w:rsidRPr="001F7D3C" w:rsidRDefault="008B2E55" w:rsidP="002B1AFF">
      <w:pPr>
        <w:pStyle w:val="ListParagraph"/>
        <w:numPr>
          <w:ilvl w:val="1"/>
          <w:numId w:val="2"/>
        </w:numPr>
        <w:jc w:val="both"/>
        <w:rPr>
          <w:rFonts w:ascii="Arial" w:hAnsi="Arial"/>
          <w:sz w:val="22"/>
          <w:szCs w:val="22"/>
        </w:rPr>
      </w:pPr>
      <w:r w:rsidRPr="001F7D3C">
        <w:rPr>
          <w:rFonts w:ascii="Arial" w:hAnsi="Arial"/>
          <w:sz w:val="22"/>
          <w:szCs w:val="22"/>
        </w:rPr>
        <w:t xml:space="preserve">The requested price </w:t>
      </w:r>
      <w:r w:rsidR="006F5DF1" w:rsidRPr="001F7D3C">
        <w:rPr>
          <w:rFonts w:ascii="Arial" w:hAnsi="Arial"/>
          <w:sz w:val="22"/>
          <w:szCs w:val="22"/>
        </w:rPr>
        <w:t>wa</w:t>
      </w:r>
      <w:r w:rsidR="00E10F31" w:rsidRPr="001F7D3C">
        <w:rPr>
          <w:rFonts w:ascii="Arial" w:hAnsi="Arial"/>
          <w:sz w:val="22"/>
          <w:szCs w:val="22"/>
        </w:rPr>
        <w:t>s</w:t>
      </w:r>
      <w:r w:rsidRPr="001F7D3C">
        <w:rPr>
          <w:rFonts w:ascii="Arial" w:hAnsi="Arial"/>
          <w:sz w:val="22"/>
          <w:szCs w:val="22"/>
        </w:rPr>
        <w:t xml:space="preserve"> lower than the previous submission ($</w:t>
      </w:r>
      <w:r w:rsidR="00C02821">
        <w:rPr>
          <w:rFonts w:ascii="Arial" w:hAnsi="Arial"/>
          <w:noProof/>
          <w:color w:val="000000"/>
          <w:sz w:val="22"/>
          <w:szCs w:val="22"/>
          <w:highlight w:val="black"/>
        </w:rPr>
        <w:t>''''''</w:t>
      </w:r>
      <w:bookmarkStart w:id="0" w:name="_GoBack"/>
      <w:bookmarkEnd w:id="0"/>
      <w:r w:rsidRPr="001F7D3C">
        <w:rPr>
          <w:rFonts w:ascii="Arial" w:hAnsi="Arial"/>
          <w:sz w:val="22"/>
          <w:szCs w:val="22"/>
        </w:rPr>
        <w:t xml:space="preserve"> per dose). </w:t>
      </w:r>
    </w:p>
    <w:p w:rsidR="00721269" w:rsidRPr="001F7D3C" w:rsidRDefault="00721269" w:rsidP="00721269">
      <w:pPr>
        <w:jc w:val="both"/>
        <w:rPr>
          <w:rFonts w:ascii="Arial" w:hAnsi="Arial"/>
          <w:sz w:val="22"/>
          <w:szCs w:val="22"/>
        </w:rPr>
      </w:pPr>
    </w:p>
    <w:p w:rsidR="002B1AFF" w:rsidRPr="001F7D3C" w:rsidRDefault="002B1AFF" w:rsidP="002B1AFF">
      <w:pPr>
        <w:pStyle w:val="ListParagraph"/>
        <w:numPr>
          <w:ilvl w:val="1"/>
          <w:numId w:val="2"/>
        </w:numPr>
        <w:jc w:val="both"/>
        <w:rPr>
          <w:rFonts w:ascii="Arial" w:hAnsi="Arial"/>
          <w:i/>
          <w:sz w:val="22"/>
          <w:szCs w:val="22"/>
        </w:rPr>
      </w:pPr>
      <w:r w:rsidRPr="004B4B5F">
        <w:rPr>
          <w:rFonts w:ascii="Arial" w:hAnsi="Arial"/>
          <w:sz w:val="22"/>
          <w:szCs w:val="22"/>
        </w:rPr>
        <w:t>The</w:t>
      </w:r>
      <w:r w:rsidR="00994D45" w:rsidRPr="004B4B5F">
        <w:rPr>
          <w:rFonts w:ascii="Arial" w:hAnsi="Arial"/>
          <w:sz w:val="22"/>
          <w:szCs w:val="22"/>
        </w:rPr>
        <w:t xml:space="preserve"> minor</w:t>
      </w:r>
      <w:r w:rsidRPr="004B4B5F">
        <w:rPr>
          <w:rFonts w:ascii="Arial" w:hAnsi="Arial"/>
          <w:sz w:val="22"/>
          <w:szCs w:val="22"/>
        </w:rPr>
        <w:t xml:space="preserve"> re-submission also </w:t>
      </w:r>
      <w:r w:rsidR="00615183" w:rsidRPr="004B4B5F">
        <w:rPr>
          <w:rFonts w:ascii="Arial" w:hAnsi="Arial"/>
          <w:sz w:val="22"/>
          <w:szCs w:val="22"/>
        </w:rPr>
        <w:t xml:space="preserve">offered </w:t>
      </w:r>
      <w:r w:rsidR="00676FE1">
        <w:rPr>
          <w:rFonts w:ascii="Arial" w:hAnsi="Arial"/>
          <w:noProof/>
          <w:color w:val="000000"/>
          <w:sz w:val="22"/>
          <w:szCs w:val="22"/>
          <w:highlight w:val="black"/>
        </w:rPr>
        <w:t>''''''''' '''''''''''''''''' ''''' '''''''''' ''''''' ''''''''''''''''''''''' ''''''''''''''''''''</w:t>
      </w:r>
      <w:r w:rsidRPr="004B4B5F">
        <w:rPr>
          <w:rFonts w:ascii="Arial" w:hAnsi="Arial"/>
          <w:sz w:val="22"/>
          <w:szCs w:val="22"/>
        </w:rPr>
        <w:t xml:space="preserve"> cohort should a vaccination program that includes both infant (with catch-up to 24 months of age) and adolescent</w:t>
      </w:r>
      <w:r w:rsidRPr="001F7D3C">
        <w:rPr>
          <w:rFonts w:ascii="Arial" w:hAnsi="Arial"/>
          <w:sz w:val="22"/>
          <w:szCs w:val="22"/>
        </w:rPr>
        <w:t xml:space="preserve"> (with catch-up to those aged 16 to 19 years) be included on the NIP. This </w:t>
      </w:r>
      <w:r w:rsidR="001B106B" w:rsidRPr="001F7D3C">
        <w:rPr>
          <w:rFonts w:ascii="Arial" w:hAnsi="Arial"/>
          <w:sz w:val="22"/>
          <w:szCs w:val="22"/>
        </w:rPr>
        <w:t>wa</w:t>
      </w:r>
      <w:r w:rsidR="00E10F31" w:rsidRPr="001F7D3C">
        <w:rPr>
          <w:rFonts w:ascii="Arial" w:hAnsi="Arial"/>
          <w:sz w:val="22"/>
          <w:szCs w:val="22"/>
        </w:rPr>
        <w:t>s</w:t>
      </w:r>
      <w:r w:rsidRPr="001F7D3C">
        <w:rPr>
          <w:rFonts w:ascii="Arial" w:hAnsi="Arial"/>
          <w:sz w:val="22"/>
          <w:szCs w:val="22"/>
        </w:rPr>
        <w:t xml:space="preserve"> unchanged from </w:t>
      </w:r>
      <w:r w:rsidR="00B42215" w:rsidRPr="001F7D3C">
        <w:rPr>
          <w:rFonts w:ascii="Arial" w:hAnsi="Arial"/>
          <w:sz w:val="22"/>
          <w:szCs w:val="22"/>
        </w:rPr>
        <w:t>that propo</w:t>
      </w:r>
      <w:r w:rsidR="00651A0F" w:rsidRPr="001F7D3C">
        <w:rPr>
          <w:rFonts w:ascii="Arial" w:hAnsi="Arial"/>
          <w:sz w:val="22"/>
          <w:szCs w:val="22"/>
        </w:rPr>
        <w:t>sed in the Pre-PBAC response in July</w:t>
      </w:r>
      <w:r w:rsidR="00BD3B36" w:rsidRPr="001F7D3C">
        <w:rPr>
          <w:rFonts w:ascii="Arial" w:hAnsi="Arial"/>
          <w:sz w:val="22"/>
          <w:szCs w:val="22"/>
        </w:rPr>
        <w:t xml:space="preserve"> </w:t>
      </w:r>
      <w:r w:rsidR="00B42215" w:rsidRPr="001F7D3C">
        <w:rPr>
          <w:rFonts w:ascii="Arial" w:hAnsi="Arial"/>
          <w:sz w:val="22"/>
          <w:szCs w:val="22"/>
        </w:rPr>
        <w:t>2014</w:t>
      </w:r>
      <w:r w:rsidRPr="001F7D3C">
        <w:rPr>
          <w:rFonts w:ascii="Arial" w:hAnsi="Arial"/>
          <w:sz w:val="22"/>
          <w:szCs w:val="22"/>
        </w:rPr>
        <w:t>.</w:t>
      </w:r>
    </w:p>
    <w:p w:rsidR="008B2E55" w:rsidRPr="001F7D3C" w:rsidRDefault="008B2E55" w:rsidP="008B2E55">
      <w:pPr>
        <w:jc w:val="both"/>
        <w:rPr>
          <w:rFonts w:ascii="Arial" w:hAnsi="Arial"/>
          <w:sz w:val="22"/>
          <w:szCs w:val="22"/>
        </w:rPr>
      </w:pPr>
    </w:p>
    <w:p w:rsidR="00932DD0" w:rsidRPr="001F7D3C" w:rsidRDefault="00932DD0" w:rsidP="00AA4458">
      <w:pPr>
        <w:pStyle w:val="ListParagraph"/>
        <w:numPr>
          <w:ilvl w:val="1"/>
          <w:numId w:val="2"/>
        </w:numPr>
        <w:jc w:val="both"/>
        <w:rPr>
          <w:rFonts w:ascii="Arial" w:hAnsi="Arial"/>
          <w:sz w:val="22"/>
          <w:szCs w:val="22"/>
        </w:rPr>
      </w:pPr>
      <w:r w:rsidRPr="001F7D3C">
        <w:rPr>
          <w:rFonts w:ascii="Arial" w:hAnsi="Arial"/>
          <w:sz w:val="22"/>
          <w:szCs w:val="22"/>
        </w:rPr>
        <w:t xml:space="preserve">The </w:t>
      </w:r>
      <w:r w:rsidR="00994D45" w:rsidRPr="001F7D3C">
        <w:rPr>
          <w:rFonts w:ascii="Arial" w:hAnsi="Arial"/>
          <w:sz w:val="22"/>
          <w:szCs w:val="22"/>
        </w:rPr>
        <w:t xml:space="preserve">minor </w:t>
      </w:r>
      <w:r w:rsidR="00C95FD1" w:rsidRPr="001F7D3C">
        <w:rPr>
          <w:rFonts w:ascii="Arial" w:hAnsi="Arial"/>
          <w:sz w:val="22"/>
          <w:szCs w:val="22"/>
        </w:rPr>
        <w:t>re-</w:t>
      </w:r>
      <w:r w:rsidRPr="001F7D3C">
        <w:rPr>
          <w:rFonts w:ascii="Arial" w:hAnsi="Arial"/>
          <w:sz w:val="22"/>
          <w:szCs w:val="22"/>
        </w:rPr>
        <w:t xml:space="preserve">submission </w:t>
      </w:r>
      <w:r w:rsidR="00615183" w:rsidRPr="001F7D3C">
        <w:rPr>
          <w:rFonts w:ascii="Arial" w:hAnsi="Arial"/>
          <w:sz w:val="22"/>
          <w:szCs w:val="22"/>
        </w:rPr>
        <w:t xml:space="preserve">stated </w:t>
      </w:r>
      <w:r w:rsidRPr="001F7D3C">
        <w:rPr>
          <w:rFonts w:ascii="Arial" w:hAnsi="Arial"/>
          <w:sz w:val="22"/>
          <w:szCs w:val="22"/>
        </w:rPr>
        <w:t xml:space="preserve">the following is the preferred vaccination </w:t>
      </w:r>
      <w:r w:rsidR="00C95FD1" w:rsidRPr="001F7D3C">
        <w:rPr>
          <w:rFonts w:ascii="Arial" w:hAnsi="Arial"/>
          <w:sz w:val="22"/>
          <w:szCs w:val="22"/>
        </w:rPr>
        <w:t>schedule</w:t>
      </w:r>
      <w:r w:rsidR="00651A0F" w:rsidRPr="001F7D3C">
        <w:rPr>
          <w:rFonts w:ascii="Arial" w:hAnsi="Arial"/>
          <w:sz w:val="22"/>
          <w:szCs w:val="22"/>
        </w:rPr>
        <w:t xml:space="preserve">. </w:t>
      </w:r>
      <w:r w:rsidR="008B2E55" w:rsidRPr="001F7D3C">
        <w:rPr>
          <w:rFonts w:ascii="Arial" w:hAnsi="Arial"/>
          <w:sz w:val="22"/>
          <w:szCs w:val="22"/>
        </w:rPr>
        <w:t xml:space="preserve">This </w:t>
      </w:r>
      <w:r w:rsidR="001B106B" w:rsidRPr="001F7D3C">
        <w:rPr>
          <w:rFonts w:ascii="Arial" w:hAnsi="Arial"/>
          <w:sz w:val="22"/>
          <w:szCs w:val="22"/>
        </w:rPr>
        <w:t>wa</w:t>
      </w:r>
      <w:r w:rsidR="00E10F31" w:rsidRPr="001F7D3C">
        <w:rPr>
          <w:rFonts w:ascii="Arial" w:hAnsi="Arial"/>
          <w:sz w:val="22"/>
          <w:szCs w:val="22"/>
        </w:rPr>
        <w:t>s</w:t>
      </w:r>
      <w:r w:rsidR="008B2E55" w:rsidRPr="001F7D3C">
        <w:rPr>
          <w:rFonts w:ascii="Arial" w:hAnsi="Arial"/>
          <w:sz w:val="22"/>
          <w:szCs w:val="22"/>
        </w:rPr>
        <w:t xml:space="preserve"> unchanged from the previous submission.</w:t>
      </w:r>
    </w:p>
    <w:p w:rsidR="00932DD0" w:rsidRPr="001F7D3C" w:rsidRDefault="00932DD0" w:rsidP="00932DD0">
      <w:pPr>
        <w:jc w:val="both"/>
        <w:rPr>
          <w:rFonts w:ascii="Arial" w:hAnsi="Arial"/>
          <w:sz w:val="22"/>
          <w:szCs w:val="22"/>
        </w:rPr>
      </w:pPr>
    </w:p>
    <w:p w:rsidR="00932DD0" w:rsidRPr="001F7D3C" w:rsidRDefault="00932DD0" w:rsidP="00EE0E81">
      <w:pPr>
        <w:pStyle w:val="NoSpacing"/>
        <w:keepNext/>
        <w:ind w:left="709"/>
        <w:rPr>
          <w:rFonts w:ascii="Arial Narrow" w:hAnsi="Arial Narrow"/>
          <w:b/>
          <w:sz w:val="20"/>
        </w:rPr>
      </w:pPr>
      <w:bookmarkStart w:id="1" w:name="_Ref290648684"/>
      <w:bookmarkStart w:id="2" w:name="_Ref290648679"/>
      <w:r w:rsidRPr="001F7D3C">
        <w:rPr>
          <w:rFonts w:ascii="Arial Narrow" w:hAnsi="Arial Narrow"/>
          <w:b/>
          <w:sz w:val="20"/>
        </w:rPr>
        <w:lastRenderedPageBreak/>
        <w:t xml:space="preserve">Table </w:t>
      </w:r>
      <w:bookmarkEnd w:id="1"/>
      <w:r w:rsidRPr="001F7D3C">
        <w:rPr>
          <w:rFonts w:ascii="Arial Narrow" w:hAnsi="Arial Narrow"/>
          <w:b/>
          <w:sz w:val="20"/>
        </w:rPr>
        <w:t>1: Proposed Australian NIP dosage schedule by age for 4CMenB vaccine for the preferred vaccination program</w:t>
      </w:r>
      <w:bookmarkEnd w:id="2"/>
      <w:r w:rsidR="00B42215" w:rsidRPr="001F7D3C">
        <w:rPr>
          <w:rFonts w:ascii="Arial Narrow" w:hAnsi="Arial Narrow"/>
          <w:b/>
          <w:sz w:val="20"/>
        </w:rPr>
        <w:t xml:space="preserve"> (Program #5)</w:t>
      </w:r>
    </w:p>
    <w:tbl>
      <w:tblPr>
        <w:tblW w:w="4633" w:type="pct"/>
        <w:tblInd w:w="766" w:type="dxa"/>
        <w:tblCellMar>
          <w:left w:w="57" w:type="dxa"/>
          <w:right w:w="57" w:type="dxa"/>
        </w:tblCellMar>
        <w:tblLook w:val="0000" w:firstRow="0" w:lastRow="0" w:firstColumn="0" w:lastColumn="0" w:noHBand="0" w:noVBand="0"/>
      </w:tblPr>
      <w:tblGrid>
        <w:gridCol w:w="2978"/>
        <w:gridCol w:w="716"/>
        <w:gridCol w:w="2493"/>
        <w:gridCol w:w="2282"/>
      </w:tblGrid>
      <w:tr w:rsidR="00932DD0" w:rsidRPr="001F7D3C" w:rsidTr="00932DD0">
        <w:trPr>
          <w:trHeight w:val="73"/>
          <w:tblHeader/>
        </w:trPr>
        <w:tc>
          <w:tcPr>
            <w:tcW w:w="17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DD0" w:rsidRPr="001F7D3C" w:rsidRDefault="00932DD0" w:rsidP="00EE0E81">
            <w:pPr>
              <w:pStyle w:val="NoSpacing"/>
              <w:keepNext/>
              <w:jc w:val="center"/>
              <w:rPr>
                <w:rFonts w:ascii="Arial Narrow" w:hAnsi="Arial Narrow"/>
                <w:b/>
                <w:sz w:val="20"/>
              </w:rPr>
            </w:pPr>
            <w:r w:rsidRPr="001F7D3C">
              <w:rPr>
                <w:rFonts w:ascii="Arial Narrow" w:hAnsi="Arial Narrow"/>
                <w:b/>
                <w:sz w:val="20"/>
              </w:rPr>
              <w:t>Target Age/age-group</w:t>
            </w:r>
          </w:p>
          <w:p w:rsidR="00932DD0" w:rsidRPr="001F7D3C" w:rsidRDefault="00932DD0" w:rsidP="00EE0E81">
            <w:pPr>
              <w:pStyle w:val="NoSpacing"/>
              <w:keepNext/>
              <w:jc w:val="center"/>
              <w:rPr>
                <w:rFonts w:ascii="Arial Narrow" w:hAnsi="Arial Narrow"/>
                <w:b/>
                <w:sz w:val="20"/>
              </w:rPr>
            </w:pPr>
            <w:r w:rsidRPr="001F7D3C">
              <w:rPr>
                <w:rFonts w:ascii="Arial Narrow" w:hAnsi="Arial Narrow"/>
                <w:b/>
                <w:sz w:val="20"/>
              </w:rPr>
              <w:t>(at first dose)</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DD0" w:rsidRPr="001F7D3C" w:rsidRDefault="00932DD0" w:rsidP="00EE0E81">
            <w:pPr>
              <w:pStyle w:val="NoSpacing"/>
              <w:keepNext/>
              <w:jc w:val="center"/>
              <w:rPr>
                <w:rFonts w:ascii="Arial Narrow" w:hAnsi="Arial Narrow"/>
                <w:b/>
                <w:sz w:val="20"/>
              </w:rPr>
            </w:pPr>
            <w:r w:rsidRPr="001F7D3C">
              <w:rPr>
                <w:rFonts w:ascii="Arial Narrow" w:hAnsi="Arial Narrow"/>
                <w:b/>
                <w:sz w:val="20"/>
              </w:rPr>
              <w:t>No. of primary doses</w:t>
            </w:r>
          </w:p>
        </w:tc>
        <w:tc>
          <w:tcPr>
            <w:tcW w:w="1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DD0" w:rsidRPr="001F7D3C" w:rsidRDefault="00932DD0" w:rsidP="00EE0E81">
            <w:pPr>
              <w:pStyle w:val="NoSpacing"/>
              <w:keepNext/>
              <w:jc w:val="center"/>
              <w:rPr>
                <w:rFonts w:ascii="Arial Narrow" w:hAnsi="Arial Narrow"/>
                <w:b/>
                <w:sz w:val="20"/>
              </w:rPr>
            </w:pPr>
            <w:r w:rsidRPr="001F7D3C">
              <w:rPr>
                <w:rFonts w:ascii="Arial Narrow" w:hAnsi="Arial Narrow"/>
                <w:b/>
                <w:sz w:val="20"/>
              </w:rPr>
              <w:t>Schedule proposed</w:t>
            </w:r>
          </w:p>
        </w:tc>
        <w:tc>
          <w:tcPr>
            <w:tcW w:w="1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DD0" w:rsidRPr="001F7D3C" w:rsidRDefault="00932DD0" w:rsidP="00EE0E81">
            <w:pPr>
              <w:pStyle w:val="NoSpacing"/>
              <w:keepNext/>
              <w:jc w:val="center"/>
              <w:rPr>
                <w:rFonts w:ascii="Arial Narrow" w:hAnsi="Arial Narrow"/>
                <w:b/>
                <w:sz w:val="20"/>
              </w:rPr>
            </w:pPr>
            <w:r w:rsidRPr="001F7D3C">
              <w:rPr>
                <w:rFonts w:ascii="Arial Narrow" w:hAnsi="Arial Narrow"/>
                <w:b/>
                <w:sz w:val="20"/>
              </w:rPr>
              <w:t>Booster dose requirement (age)</w:t>
            </w:r>
          </w:p>
        </w:tc>
      </w:tr>
      <w:tr w:rsidR="00932DD0" w:rsidRPr="001F7D3C" w:rsidTr="00932DD0">
        <w:trPr>
          <w:trHeight w:val="141"/>
        </w:trPr>
        <w:tc>
          <w:tcPr>
            <w:tcW w:w="5000" w:type="pct"/>
            <w:gridSpan w:val="4"/>
            <w:tcBorders>
              <w:top w:val="single" w:sz="4" w:space="0" w:color="000000"/>
              <w:left w:val="single" w:sz="4" w:space="0" w:color="000000"/>
              <w:bottom w:val="single" w:sz="4" w:space="0" w:color="000000"/>
              <w:right w:val="single" w:sz="4" w:space="0" w:color="000000"/>
            </w:tcBorders>
          </w:tcPr>
          <w:p w:rsidR="00932DD0" w:rsidRPr="001F7D3C" w:rsidRDefault="00932DD0" w:rsidP="00EE0E81">
            <w:pPr>
              <w:pStyle w:val="NoSpacing"/>
              <w:keepNext/>
              <w:rPr>
                <w:rFonts w:ascii="Arial Narrow" w:hAnsi="Arial Narrow"/>
                <w:b/>
                <w:sz w:val="20"/>
              </w:rPr>
            </w:pPr>
            <w:r w:rsidRPr="001F7D3C">
              <w:rPr>
                <w:rFonts w:ascii="Arial Narrow" w:hAnsi="Arial Narrow"/>
                <w:b/>
                <w:sz w:val="20"/>
              </w:rPr>
              <w:t>A) Routine vaccination program</w:t>
            </w:r>
          </w:p>
        </w:tc>
      </w:tr>
      <w:tr w:rsidR="00932DD0" w:rsidRPr="001F7D3C" w:rsidTr="00932DD0">
        <w:trPr>
          <w:trHeight w:val="30"/>
        </w:trPr>
        <w:tc>
          <w:tcPr>
            <w:tcW w:w="175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A1) Infants aged 2 months</w:t>
            </w:r>
          </w:p>
        </w:tc>
        <w:tc>
          <w:tcPr>
            <w:tcW w:w="423"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3</w:t>
            </w:r>
          </w:p>
        </w:tc>
        <w:tc>
          <w:tcPr>
            <w:tcW w:w="1472"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At age 2,4,6 months</w:t>
            </w:r>
          </w:p>
        </w:tc>
        <w:tc>
          <w:tcPr>
            <w:tcW w:w="134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12 months; (15 years*)</w:t>
            </w:r>
          </w:p>
        </w:tc>
      </w:tr>
      <w:tr w:rsidR="00932DD0" w:rsidRPr="001F7D3C" w:rsidTr="00932DD0">
        <w:trPr>
          <w:trHeight w:val="64"/>
        </w:trPr>
        <w:tc>
          <w:tcPr>
            <w:tcW w:w="175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A2) Adolescents aged 15 years</w:t>
            </w:r>
          </w:p>
        </w:tc>
        <w:tc>
          <w:tcPr>
            <w:tcW w:w="423"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2</w:t>
            </w:r>
          </w:p>
        </w:tc>
        <w:tc>
          <w:tcPr>
            <w:tcW w:w="1472"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 1 months apart</w:t>
            </w:r>
          </w:p>
        </w:tc>
        <w:tc>
          <w:tcPr>
            <w:tcW w:w="134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Not determined</w:t>
            </w:r>
          </w:p>
        </w:tc>
      </w:tr>
      <w:tr w:rsidR="00932DD0" w:rsidRPr="001F7D3C" w:rsidTr="00932DD0">
        <w:trPr>
          <w:trHeight w:val="64"/>
        </w:trPr>
        <w:tc>
          <w:tcPr>
            <w:tcW w:w="5000" w:type="pct"/>
            <w:gridSpan w:val="4"/>
            <w:tcBorders>
              <w:top w:val="single" w:sz="4" w:space="0" w:color="000000"/>
              <w:left w:val="single" w:sz="4" w:space="0" w:color="000000"/>
              <w:bottom w:val="single" w:sz="4" w:space="0" w:color="000000"/>
              <w:right w:val="single" w:sz="4" w:space="0" w:color="000000"/>
            </w:tcBorders>
          </w:tcPr>
          <w:p w:rsidR="00932DD0" w:rsidRPr="001F7D3C" w:rsidRDefault="00932DD0" w:rsidP="00EE0E81">
            <w:pPr>
              <w:pStyle w:val="NoSpacing"/>
              <w:keepNext/>
              <w:rPr>
                <w:rFonts w:ascii="Arial Narrow" w:hAnsi="Arial Narrow"/>
                <w:b/>
                <w:sz w:val="20"/>
              </w:rPr>
            </w:pPr>
            <w:r w:rsidRPr="001F7D3C">
              <w:rPr>
                <w:rFonts w:ascii="Arial Narrow" w:hAnsi="Arial Narrow"/>
                <w:b/>
                <w:sz w:val="20"/>
              </w:rPr>
              <w:t>B) Catch-up vaccination program</w:t>
            </w:r>
          </w:p>
        </w:tc>
      </w:tr>
      <w:tr w:rsidR="00932DD0" w:rsidRPr="001F7D3C" w:rsidTr="00932DD0">
        <w:trPr>
          <w:trHeight w:val="70"/>
        </w:trPr>
        <w:tc>
          <w:tcPr>
            <w:tcW w:w="175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B1) Infants &gt;2–5 months</w:t>
            </w:r>
          </w:p>
        </w:tc>
        <w:tc>
          <w:tcPr>
            <w:tcW w:w="423"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3</w:t>
            </w:r>
          </w:p>
        </w:tc>
        <w:tc>
          <w:tcPr>
            <w:tcW w:w="1472"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1-2 months apart (may include age 4,6 months)</w:t>
            </w:r>
          </w:p>
        </w:tc>
        <w:tc>
          <w:tcPr>
            <w:tcW w:w="134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12 months; (15 years*)</w:t>
            </w:r>
          </w:p>
        </w:tc>
      </w:tr>
      <w:tr w:rsidR="00932DD0" w:rsidRPr="001F7D3C" w:rsidTr="00932DD0">
        <w:trPr>
          <w:trHeight w:val="64"/>
        </w:trPr>
        <w:tc>
          <w:tcPr>
            <w:tcW w:w="175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B2) Infants 6–8 months</w:t>
            </w:r>
          </w:p>
        </w:tc>
        <w:tc>
          <w:tcPr>
            <w:tcW w:w="423"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2</w:t>
            </w:r>
          </w:p>
        </w:tc>
        <w:tc>
          <w:tcPr>
            <w:tcW w:w="1472"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 2 months apart (may include age 6,12 months)</w:t>
            </w:r>
          </w:p>
        </w:tc>
        <w:tc>
          <w:tcPr>
            <w:tcW w:w="134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12 or 18 months; (15 years*)</w:t>
            </w:r>
          </w:p>
        </w:tc>
      </w:tr>
      <w:tr w:rsidR="00932DD0" w:rsidRPr="001F7D3C" w:rsidTr="00932DD0">
        <w:trPr>
          <w:trHeight w:val="70"/>
        </w:trPr>
        <w:tc>
          <w:tcPr>
            <w:tcW w:w="175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B3) Infants 9–11 months</w:t>
            </w:r>
          </w:p>
        </w:tc>
        <w:tc>
          <w:tcPr>
            <w:tcW w:w="423"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2</w:t>
            </w:r>
          </w:p>
        </w:tc>
        <w:tc>
          <w:tcPr>
            <w:tcW w:w="1472"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 2 months apart (may include age 12 months)</w:t>
            </w:r>
          </w:p>
        </w:tc>
        <w:tc>
          <w:tcPr>
            <w:tcW w:w="134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18 months; (15 years*)</w:t>
            </w:r>
          </w:p>
        </w:tc>
      </w:tr>
      <w:tr w:rsidR="00932DD0" w:rsidRPr="001F7D3C" w:rsidTr="00932DD0">
        <w:trPr>
          <w:trHeight w:val="70"/>
        </w:trPr>
        <w:tc>
          <w:tcPr>
            <w:tcW w:w="175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B4) Toddlers 12–below 24 months</w:t>
            </w:r>
          </w:p>
        </w:tc>
        <w:tc>
          <w:tcPr>
            <w:tcW w:w="423"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2</w:t>
            </w:r>
          </w:p>
        </w:tc>
        <w:tc>
          <w:tcPr>
            <w:tcW w:w="1472"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 2 months apart (may include age 12,18 months)</w:t>
            </w:r>
          </w:p>
        </w:tc>
        <w:tc>
          <w:tcPr>
            <w:tcW w:w="134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Not determined; (15 years*)</w:t>
            </w:r>
          </w:p>
        </w:tc>
      </w:tr>
      <w:tr w:rsidR="00932DD0" w:rsidRPr="001F7D3C" w:rsidTr="00932DD0">
        <w:trPr>
          <w:trHeight w:val="64"/>
        </w:trPr>
        <w:tc>
          <w:tcPr>
            <w:tcW w:w="175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B5) Adolescents aged 16–19 years</w:t>
            </w:r>
          </w:p>
        </w:tc>
        <w:tc>
          <w:tcPr>
            <w:tcW w:w="423"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2</w:t>
            </w:r>
          </w:p>
        </w:tc>
        <w:tc>
          <w:tcPr>
            <w:tcW w:w="1472"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 1 months apart</w:t>
            </w:r>
          </w:p>
        </w:tc>
        <w:tc>
          <w:tcPr>
            <w:tcW w:w="1348"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EE0E81">
            <w:pPr>
              <w:pStyle w:val="NoSpacing"/>
              <w:keepNext/>
              <w:rPr>
                <w:rFonts w:ascii="Arial Narrow" w:hAnsi="Arial Narrow"/>
                <w:sz w:val="20"/>
              </w:rPr>
            </w:pPr>
            <w:r w:rsidRPr="001F7D3C">
              <w:rPr>
                <w:rFonts w:ascii="Arial Narrow" w:hAnsi="Arial Narrow"/>
                <w:sz w:val="20"/>
              </w:rPr>
              <w:t>Not determined</w:t>
            </w:r>
          </w:p>
        </w:tc>
      </w:tr>
    </w:tbl>
    <w:p w:rsidR="00932DD0" w:rsidRPr="001F7D3C" w:rsidRDefault="00932DD0" w:rsidP="00EE0E81">
      <w:pPr>
        <w:pStyle w:val="tablenotes"/>
        <w:keepNext/>
        <w:ind w:left="709"/>
        <w:rPr>
          <w:rFonts w:ascii="Arial Narrow" w:hAnsi="Arial Narrow"/>
          <w:sz w:val="18"/>
          <w:szCs w:val="18"/>
        </w:rPr>
      </w:pPr>
      <w:r w:rsidRPr="001F7D3C">
        <w:rPr>
          <w:rFonts w:ascii="Arial Narrow" w:hAnsi="Arial Narrow"/>
          <w:sz w:val="18"/>
          <w:szCs w:val="18"/>
        </w:rPr>
        <w:t>* provision of a booster dose (2 shots) is proposed for those who were vaccinated in childhood reaching the adolescent age at which the routine adolescent program targets.</w:t>
      </w:r>
    </w:p>
    <w:p w:rsidR="00932DD0" w:rsidRPr="001F7D3C" w:rsidRDefault="00932DD0" w:rsidP="00932DD0">
      <w:pPr>
        <w:pStyle w:val="tablenotes"/>
        <w:ind w:left="709"/>
        <w:rPr>
          <w:rFonts w:ascii="Arial Narrow" w:hAnsi="Arial Narrow"/>
          <w:sz w:val="18"/>
          <w:szCs w:val="18"/>
        </w:rPr>
      </w:pPr>
      <w:r w:rsidRPr="001F7D3C">
        <w:rPr>
          <w:rFonts w:ascii="Arial Narrow" w:hAnsi="Arial Narrow"/>
          <w:sz w:val="18"/>
          <w:szCs w:val="18"/>
        </w:rPr>
        <w:t>Source: Table 1.1, p2 of the minor submission</w:t>
      </w:r>
    </w:p>
    <w:p w:rsidR="00932DD0" w:rsidRPr="001F7D3C" w:rsidRDefault="00932DD0" w:rsidP="00932DD0">
      <w:pPr>
        <w:jc w:val="both"/>
        <w:rPr>
          <w:rFonts w:ascii="Arial" w:hAnsi="Arial"/>
          <w:sz w:val="22"/>
          <w:szCs w:val="22"/>
        </w:rPr>
      </w:pPr>
    </w:p>
    <w:p w:rsidR="00932DD0" w:rsidRPr="001F7D3C" w:rsidRDefault="00932DD0" w:rsidP="00AA4458">
      <w:pPr>
        <w:pStyle w:val="ListParagraph"/>
        <w:numPr>
          <w:ilvl w:val="1"/>
          <w:numId w:val="2"/>
        </w:numPr>
        <w:jc w:val="both"/>
        <w:rPr>
          <w:rFonts w:ascii="Arial" w:hAnsi="Arial"/>
          <w:sz w:val="22"/>
          <w:szCs w:val="22"/>
        </w:rPr>
      </w:pPr>
      <w:r w:rsidRPr="001F7D3C">
        <w:rPr>
          <w:rFonts w:ascii="Arial" w:hAnsi="Arial"/>
          <w:sz w:val="22"/>
          <w:szCs w:val="22"/>
        </w:rPr>
        <w:t>The</w:t>
      </w:r>
      <w:r w:rsidR="00994D45" w:rsidRPr="001F7D3C">
        <w:rPr>
          <w:rFonts w:ascii="Arial" w:hAnsi="Arial"/>
          <w:sz w:val="22"/>
          <w:szCs w:val="22"/>
        </w:rPr>
        <w:t xml:space="preserve"> minor</w:t>
      </w:r>
      <w:r w:rsidRPr="001F7D3C">
        <w:rPr>
          <w:rFonts w:ascii="Arial" w:hAnsi="Arial"/>
          <w:sz w:val="22"/>
          <w:szCs w:val="22"/>
        </w:rPr>
        <w:t xml:space="preserve"> </w:t>
      </w:r>
      <w:r w:rsidR="00C95FD1" w:rsidRPr="001F7D3C">
        <w:rPr>
          <w:rFonts w:ascii="Arial" w:hAnsi="Arial"/>
          <w:sz w:val="22"/>
          <w:szCs w:val="22"/>
        </w:rPr>
        <w:t>re-</w:t>
      </w:r>
      <w:r w:rsidRPr="001F7D3C">
        <w:rPr>
          <w:rFonts w:ascii="Arial" w:hAnsi="Arial"/>
          <w:sz w:val="22"/>
          <w:szCs w:val="22"/>
        </w:rPr>
        <w:t xml:space="preserve">submission </w:t>
      </w:r>
      <w:r w:rsidR="00615183" w:rsidRPr="001F7D3C">
        <w:rPr>
          <w:rFonts w:ascii="Arial" w:hAnsi="Arial"/>
          <w:sz w:val="22"/>
          <w:szCs w:val="22"/>
        </w:rPr>
        <w:t xml:space="preserve">presented </w:t>
      </w:r>
      <w:r w:rsidRPr="001F7D3C">
        <w:rPr>
          <w:rFonts w:ascii="Arial" w:hAnsi="Arial"/>
          <w:sz w:val="22"/>
          <w:szCs w:val="22"/>
        </w:rPr>
        <w:t xml:space="preserve">the following alternative vaccination </w:t>
      </w:r>
      <w:r w:rsidR="00C95FD1" w:rsidRPr="001F7D3C">
        <w:rPr>
          <w:rFonts w:ascii="Arial" w:hAnsi="Arial"/>
          <w:sz w:val="22"/>
          <w:szCs w:val="22"/>
        </w:rPr>
        <w:t>schedules</w:t>
      </w:r>
      <w:r w:rsidRPr="001F7D3C">
        <w:rPr>
          <w:rFonts w:ascii="Arial" w:hAnsi="Arial"/>
          <w:sz w:val="22"/>
          <w:szCs w:val="22"/>
        </w:rPr>
        <w:t xml:space="preserve"> </w:t>
      </w:r>
      <w:r w:rsidR="00C95FD1" w:rsidRPr="001F7D3C">
        <w:rPr>
          <w:rFonts w:ascii="Arial" w:hAnsi="Arial"/>
          <w:sz w:val="22"/>
          <w:szCs w:val="22"/>
        </w:rPr>
        <w:t>to also</w:t>
      </w:r>
      <w:r w:rsidR="00651A0F" w:rsidRPr="001F7D3C">
        <w:rPr>
          <w:rFonts w:ascii="Arial" w:hAnsi="Arial"/>
          <w:sz w:val="22"/>
          <w:szCs w:val="22"/>
        </w:rPr>
        <w:t xml:space="preserve"> be considered</w:t>
      </w:r>
      <w:r w:rsidRPr="001F7D3C">
        <w:rPr>
          <w:rFonts w:ascii="Arial" w:hAnsi="Arial"/>
          <w:sz w:val="22"/>
          <w:szCs w:val="22"/>
        </w:rPr>
        <w:t>:</w:t>
      </w:r>
    </w:p>
    <w:p w:rsidR="00932DD0" w:rsidRPr="001F7D3C" w:rsidRDefault="00932DD0" w:rsidP="00826F6D">
      <w:pPr>
        <w:jc w:val="both"/>
        <w:rPr>
          <w:rFonts w:ascii="Arial" w:hAnsi="Arial"/>
          <w:sz w:val="22"/>
          <w:szCs w:val="22"/>
        </w:rPr>
      </w:pPr>
    </w:p>
    <w:p w:rsidR="00932DD0" w:rsidRPr="001F7D3C" w:rsidRDefault="00932DD0" w:rsidP="00932DD0">
      <w:pPr>
        <w:pStyle w:val="NoSpacing"/>
        <w:ind w:left="709"/>
        <w:rPr>
          <w:rFonts w:ascii="Arial Narrow" w:hAnsi="Arial Narrow"/>
          <w:b/>
          <w:sz w:val="20"/>
        </w:rPr>
      </w:pPr>
      <w:bookmarkStart w:id="3" w:name="_Ref417389033"/>
      <w:r w:rsidRPr="001F7D3C">
        <w:rPr>
          <w:rFonts w:ascii="Arial Narrow" w:hAnsi="Arial Narrow"/>
          <w:b/>
          <w:sz w:val="20"/>
        </w:rPr>
        <w:t xml:space="preserve">Table </w:t>
      </w:r>
      <w:bookmarkEnd w:id="3"/>
      <w:r w:rsidRPr="001F7D3C">
        <w:rPr>
          <w:rFonts w:ascii="Arial Narrow" w:hAnsi="Arial Narrow"/>
          <w:b/>
          <w:sz w:val="20"/>
        </w:rPr>
        <w:t xml:space="preserve">2: Proposed alternative vaccination programs (VP) for inclusion onto the Australian NIP schedule </w:t>
      </w:r>
    </w:p>
    <w:tbl>
      <w:tblPr>
        <w:tblW w:w="4652" w:type="pct"/>
        <w:tblInd w:w="766" w:type="dxa"/>
        <w:tblCellMar>
          <w:left w:w="57" w:type="dxa"/>
          <w:right w:w="57" w:type="dxa"/>
        </w:tblCellMar>
        <w:tblLook w:val="0000" w:firstRow="0" w:lastRow="0" w:firstColumn="0" w:lastColumn="0" w:noHBand="0" w:noVBand="0"/>
      </w:tblPr>
      <w:tblGrid>
        <w:gridCol w:w="3119"/>
        <w:gridCol w:w="3094"/>
        <w:gridCol w:w="2291"/>
      </w:tblGrid>
      <w:tr w:rsidR="00932DD0" w:rsidRPr="001F7D3C" w:rsidTr="00932DD0">
        <w:trPr>
          <w:trHeight w:val="73"/>
        </w:trPr>
        <w:tc>
          <w:tcPr>
            <w:tcW w:w="18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DD0" w:rsidRPr="001F7D3C" w:rsidRDefault="00932DD0" w:rsidP="00932DD0">
            <w:pPr>
              <w:pStyle w:val="NoSpacing"/>
              <w:jc w:val="center"/>
              <w:rPr>
                <w:rFonts w:ascii="Arial Narrow" w:hAnsi="Arial Narrow"/>
                <w:b/>
                <w:sz w:val="20"/>
              </w:rPr>
            </w:pPr>
            <w:r w:rsidRPr="001F7D3C">
              <w:rPr>
                <w:rFonts w:ascii="Arial Narrow" w:hAnsi="Arial Narrow"/>
                <w:b/>
                <w:sz w:val="20"/>
              </w:rPr>
              <w:t>Alternative Vaccination Programs</w:t>
            </w:r>
          </w:p>
        </w:tc>
        <w:tc>
          <w:tcPr>
            <w:tcW w:w="18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DD0" w:rsidRPr="001F7D3C" w:rsidRDefault="00932DD0" w:rsidP="00932DD0">
            <w:pPr>
              <w:pStyle w:val="NoSpacing"/>
              <w:jc w:val="center"/>
              <w:rPr>
                <w:rFonts w:ascii="Arial Narrow" w:hAnsi="Arial Narrow"/>
                <w:b/>
                <w:sz w:val="20"/>
              </w:rPr>
            </w:pPr>
            <w:r w:rsidRPr="001F7D3C">
              <w:rPr>
                <w:rFonts w:ascii="Arial Narrow" w:hAnsi="Arial Narrow"/>
                <w:b/>
                <w:sz w:val="20"/>
              </w:rPr>
              <w:t>Target Age/age-group (at first dose)</w:t>
            </w:r>
          </w:p>
          <w:p w:rsidR="00932DD0" w:rsidRPr="001F7D3C" w:rsidRDefault="00932DD0" w:rsidP="00932DD0">
            <w:pPr>
              <w:pStyle w:val="NoSpacing"/>
              <w:jc w:val="center"/>
              <w:rPr>
                <w:rFonts w:ascii="Arial Narrow" w:hAnsi="Arial Narrow"/>
                <w:b/>
                <w:sz w:val="20"/>
              </w:rPr>
            </w:pPr>
            <w:r w:rsidRPr="001F7D3C">
              <w:rPr>
                <w:rFonts w:ascii="Arial Narrow" w:hAnsi="Arial Narrow"/>
                <w:b/>
                <w:sz w:val="20"/>
              </w:rPr>
              <w:t>Vaccination program</w:t>
            </w:r>
          </w:p>
        </w:tc>
        <w:tc>
          <w:tcPr>
            <w:tcW w:w="1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DD0" w:rsidRPr="001F7D3C" w:rsidRDefault="00932DD0" w:rsidP="00932DD0">
            <w:pPr>
              <w:pStyle w:val="NoSpacing"/>
              <w:jc w:val="center"/>
              <w:rPr>
                <w:rFonts w:ascii="Arial Narrow" w:hAnsi="Arial Narrow"/>
                <w:b/>
                <w:sz w:val="20"/>
              </w:rPr>
            </w:pPr>
            <w:r w:rsidRPr="001F7D3C">
              <w:rPr>
                <w:rFonts w:ascii="Arial Narrow" w:hAnsi="Arial Narrow"/>
                <w:b/>
                <w:sz w:val="20"/>
              </w:rPr>
              <w:t>Booster dose requirement (age)</w:t>
            </w:r>
          </w:p>
        </w:tc>
      </w:tr>
      <w:tr w:rsidR="00932DD0" w:rsidRPr="001F7D3C" w:rsidTr="00932DD0">
        <w:trPr>
          <w:trHeight w:val="30"/>
        </w:trPr>
        <w:tc>
          <w:tcPr>
            <w:tcW w:w="1834"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B42215" w:rsidP="00932DD0">
            <w:pPr>
              <w:pStyle w:val="NoSpacing"/>
              <w:jc w:val="left"/>
              <w:rPr>
                <w:rFonts w:ascii="Arial Narrow" w:hAnsi="Arial Narrow"/>
                <w:sz w:val="20"/>
              </w:rPr>
            </w:pPr>
            <w:r w:rsidRPr="001F7D3C">
              <w:rPr>
                <w:rFonts w:ascii="Arial Narrow" w:hAnsi="Arial Narrow"/>
                <w:sz w:val="20"/>
              </w:rPr>
              <w:t>#</w:t>
            </w:r>
            <w:r w:rsidR="00932DD0" w:rsidRPr="001F7D3C">
              <w:rPr>
                <w:rFonts w:ascii="Arial Narrow" w:hAnsi="Arial Narrow"/>
                <w:sz w:val="20"/>
              </w:rPr>
              <w:t>1. Infant only</w:t>
            </w:r>
          </w:p>
        </w:tc>
        <w:tc>
          <w:tcPr>
            <w:tcW w:w="1819"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932DD0">
            <w:pPr>
              <w:pStyle w:val="NoSpacing"/>
              <w:jc w:val="left"/>
              <w:rPr>
                <w:rFonts w:ascii="Arial Narrow" w:hAnsi="Arial Narrow"/>
                <w:sz w:val="20"/>
              </w:rPr>
            </w:pPr>
            <w:r w:rsidRPr="001F7D3C">
              <w:rPr>
                <w:rFonts w:ascii="Arial Narrow" w:hAnsi="Arial Narrow"/>
                <w:sz w:val="20"/>
              </w:rPr>
              <w:t>A1) Infants aged 2 months</w:t>
            </w:r>
          </w:p>
        </w:tc>
        <w:tc>
          <w:tcPr>
            <w:tcW w:w="1347"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932DD0">
            <w:pPr>
              <w:pStyle w:val="NoSpacing"/>
              <w:jc w:val="left"/>
              <w:rPr>
                <w:rFonts w:ascii="Arial Narrow" w:hAnsi="Arial Narrow"/>
                <w:sz w:val="20"/>
              </w:rPr>
            </w:pPr>
            <w:r w:rsidRPr="001F7D3C">
              <w:rPr>
                <w:rFonts w:ascii="Arial Narrow" w:hAnsi="Arial Narrow"/>
                <w:sz w:val="20"/>
              </w:rPr>
              <w:t>12 months; (15 years*)</w:t>
            </w:r>
          </w:p>
        </w:tc>
      </w:tr>
      <w:tr w:rsidR="00932DD0" w:rsidRPr="001F7D3C" w:rsidTr="00932DD0">
        <w:trPr>
          <w:trHeight w:val="64"/>
        </w:trPr>
        <w:tc>
          <w:tcPr>
            <w:tcW w:w="1834"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B42215" w:rsidP="00932DD0">
            <w:pPr>
              <w:pStyle w:val="NoSpacing"/>
              <w:jc w:val="left"/>
              <w:rPr>
                <w:rFonts w:ascii="Arial Narrow" w:hAnsi="Arial Narrow"/>
                <w:sz w:val="20"/>
              </w:rPr>
            </w:pPr>
            <w:r w:rsidRPr="001F7D3C">
              <w:rPr>
                <w:rFonts w:ascii="Arial Narrow" w:hAnsi="Arial Narrow"/>
                <w:sz w:val="20"/>
              </w:rPr>
              <w:t>#</w:t>
            </w:r>
            <w:r w:rsidR="00932DD0" w:rsidRPr="001F7D3C">
              <w:rPr>
                <w:rFonts w:ascii="Arial Narrow" w:hAnsi="Arial Narrow"/>
                <w:sz w:val="20"/>
              </w:rPr>
              <w:t>2. Infant + toddler catch-up</w:t>
            </w:r>
          </w:p>
        </w:tc>
        <w:tc>
          <w:tcPr>
            <w:tcW w:w="1819"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932DD0">
            <w:pPr>
              <w:pStyle w:val="NoSpacing"/>
              <w:jc w:val="left"/>
              <w:rPr>
                <w:rFonts w:ascii="Arial Narrow" w:hAnsi="Arial Narrow"/>
                <w:sz w:val="20"/>
              </w:rPr>
            </w:pPr>
            <w:r w:rsidRPr="001F7D3C">
              <w:rPr>
                <w:rFonts w:ascii="Arial Narrow" w:hAnsi="Arial Narrow"/>
                <w:sz w:val="20"/>
              </w:rPr>
              <w:t>A1) Infants aged 2 months</w:t>
            </w:r>
          </w:p>
          <w:p w:rsidR="00932DD0" w:rsidRPr="001F7D3C" w:rsidRDefault="00932DD0" w:rsidP="00932DD0">
            <w:pPr>
              <w:pStyle w:val="NoSpacing"/>
              <w:jc w:val="left"/>
              <w:rPr>
                <w:rFonts w:ascii="Arial Narrow" w:hAnsi="Arial Narrow"/>
                <w:sz w:val="20"/>
              </w:rPr>
            </w:pPr>
            <w:r w:rsidRPr="001F7D3C">
              <w:rPr>
                <w:rFonts w:ascii="Arial Narrow" w:hAnsi="Arial Narrow"/>
                <w:sz w:val="20"/>
              </w:rPr>
              <w:t>B1) Infants &gt;2–5 months</w:t>
            </w:r>
          </w:p>
          <w:p w:rsidR="00932DD0" w:rsidRPr="001F7D3C" w:rsidRDefault="00932DD0" w:rsidP="00932DD0">
            <w:pPr>
              <w:pStyle w:val="NoSpacing"/>
              <w:jc w:val="left"/>
              <w:rPr>
                <w:rFonts w:ascii="Arial Narrow" w:hAnsi="Arial Narrow"/>
                <w:sz w:val="20"/>
              </w:rPr>
            </w:pPr>
            <w:r w:rsidRPr="001F7D3C">
              <w:rPr>
                <w:rFonts w:ascii="Arial Narrow" w:hAnsi="Arial Narrow"/>
                <w:sz w:val="20"/>
              </w:rPr>
              <w:t>B2) Infants 6–8 months</w:t>
            </w:r>
          </w:p>
          <w:p w:rsidR="00932DD0" w:rsidRPr="001F7D3C" w:rsidRDefault="00932DD0" w:rsidP="00932DD0">
            <w:pPr>
              <w:pStyle w:val="NoSpacing"/>
              <w:jc w:val="left"/>
              <w:rPr>
                <w:rFonts w:ascii="Arial Narrow" w:hAnsi="Arial Narrow"/>
                <w:sz w:val="20"/>
              </w:rPr>
            </w:pPr>
            <w:r w:rsidRPr="001F7D3C">
              <w:rPr>
                <w:rFonts w:ascii="Arial Narrow" w:hAnsi="Arial Narrow"/>
                <w:sz w:val="20"/>
              </w:rPr>
              <w:t>B3) Infants 9–11 months</w:t>
            </w:r>
          </w:p>
          <w:p w:rsidR="00932DD0" w:rsidRPr="001F7D3C" w:rsidRDefault="00932DD0" w:rsidP="00932DD0">
            <w:pPr>
              <w:pStyle w:val="NoSpacing"/>
              <w:jc w:val="left"/>
              <w:rPr>
                <w:rFonts w:ascii="Arial Narrow" w:hAnsi="Arial Narrow"/>
                <w:sz w:val="20"/>
              </w:rPr>
            </w:pPr>
            <w:r w:rsidRPr="001F7D3C">
              <w:rPr>
                <w:rFonts w:ascii="Arial Narrow" w:hAnsi="Arial Narrow"/>
                <w:sz w:val="20"/>
              </w:rPr>
              <w:t>B4) Toddlers 12–below 24 months</w:t>
            </w:r>
          </w:p>
        </w:tc>
        <w:tc>
          <w:tcPr>
            <w:tcW w:w="1347"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932DD0">
            <w:pPr>
              <w:pStyle w:val="NoSpacing"/>
              <w:jc w:val="left"/>
              <w:rPr>
                <w:rFonts w:ascii="Arial Narrow" w:hAnsi="Arial Narrow"/>
                <w:sz w:val="20"/>
              </w:rPr>
            </w:pPr>
            <w:r w:rsidRPr="001F7D3C">
              <w:rPr>
                <w:rFonts w:ascii="Arial Narrow" w:hAnsi="Arial Narrow"/>
                <w:sz w:val="20"/>
              </w:rPr>
              <w:t>12 months; (15 years*)</w:t>
            </w:r>
          </w:p>
          <w:p w:rsidR="00932DD0" w:rsidRPr="001F7D3C" w:rsidRDefault="00932DD0" w:rsidP="00932DD0">
            <w:pPr>
              <w:pStyle w:val="NoSpacing"/>
              <w:jc w:val="left"/>
              <w:rPr>
                <w:rFonts w:ascii="Arial Narrow" w:hAnsi="Arial Narrow"/>
                <w:sz w:val="20"/>
              </w:rPr>
            </w:pPr>
            <w:r w:rsidRPr="001F7D3C">
              <w:rPr>
                <w:rFonts w:ascii="Arial Narrow" w:hAnsi="Arial Narrow"/>
                <w:sz w:val="20"/>
              </w:rPr>
              <w:t>12 months; (15 years*)</w:t>
            </w:r>
          </w:p>
          <w:p w:rsidR="00932DD0" w:rsidRPr="001F7D3C" w:rsidRDefault="00932DD0" w:rsidP="00932DD0">
            <w:pPr>
              <w:pStyle w:val="NoSpacing"/>
              <w:jc w:val="left"/>
              <w:rPr>
                <w:rFonts w:ascii="Arial Narrow" w:hAnsi="Arial Narrow"/>
                <w:sz w:val="20"/>
              </w:rPr>
            </w:pPr>
            <w:r w:rsidRPr="001F7D3C">
              <w:rPr>
                <w:rFonts w:ascii="Arial Narrow" w:hAnsi="Arial Narrow"/>
                <w:sz w:val="20"/>
              </w:rPr>
              <w:t>12 or 18 months; (15 years*)</w:t>
            </w:r>
          </w:p>
          <w:p w:rsidR="00932DD0" w:rsidRPr="001F7D3C" w:rsidRDefault="00932DD0" w:rsidP="00932DD0">
            <w:pPr>
              <w:pStyle w:val="NoSpacing"/>
              <w:jc w:val="left"/>
              <w:rPr>
                <w:rFonts w:ascii="Arial Narrow" w:hAnsi="Arial Narrow"/>
                <w:sz w:val="20"/>
              </w:rPr>
            </w:pPr>
            <w:r w:rsidRPr="001F7D3C">
              <w:rPr>
                <w:rFonts w:ascii="Arial Narrow" w:hAnsi="Arial Narrow"/>
                <w:sz w:val="20"/>
              </w:rPr>
              <w:t>18 months; (15 years*)</w:t>
            </w:r>
          </w:p>
          <w:p w:rsidR="00932DD0" w:rsidRPr="001F7D3C" w:rsidRDefault="00932DD0" w:rsidP="00932DD0">
            <w:pPr>
              <w:pStyle w:val="NoSpacing"/>
              <w:jc w:val="left"/>
              <w:rPr>
                <w:rFonts w:ascii="Arial Narrow" w:hAnsi="Arial Narrow"/>
                <w:sz w:val="20"/>
              </w:rPr>
            </w:pPr>
            <w:r w:rsidRPr="001F7D3C">
              <w:rPr>
                <w:rFonts w:ascii="Arial Narrow" w:hAnsi="Arial Narrow"/>
                <w:sz w:val="20"/>
              </w:rPr>
              <w:t>Not determined; (15 years*)</w:t>
            </w:r>
          </w:p>
        </w:tc>
      </w:tr>
      <w:tr w:rsidR="00932DD0" w:rsidRPr="001F7D3C" w:rsidTr="00932DD0">
        <w:trPr>
          <w:trHeight w:val="64"/>
        </w:trPr>
        <w:tc>
          <w:tcPr>
            <w:tcW w:w="1834"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B42215" w:rsidP="00932DD0">
            <w:pPr>
              <w:pStyle w:val="NoSpacing"/>
              <w:jc w:val="left"/>
              <w:rPr>
                <w:rFonts w:ascii="Arial Narrow" w:hAnsi="Arial Narrow"/>
                <w:sz w:val="20"/>
              </w:rPr>
            </w:pPr>
            <w:r w:rsidRPr="001F7D3C">
              <w:rPr>
                <w:rFonts w:ascii="Arial Narrow" w:hAnsi="Arial Narrow"/>
                <w:sz w:val="20"/>
              </w:rPr>
              <w:t>#</w:t>
            </w:r>
            <w:r w:rsidR="00932DD0" w:rsidRPr="001F7D3C">
              <w:rPr>
                <w:rFonts w:ascii="Arial Narrow" w:hAnsi="Arial Narrow"/>
                <w:sz w:val="20"/>
              </w:rPr>
              <w:t>3. Adolescent only</w:t>
            </w:r>
          </w:p>
        </w:tc>
        <w:tc>
          <w:tcPr>
            <w:tcW w:w="1819"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932DD0">
            <w:pPr>
              <w:pStyle w:val="NoSpacing"/>
              <w:jc w:val="left"/>
              <w:rPr>
                <w:rFonts w:ascii="Arial Narrow" w:hAnsi="Arial Narrow"/>
                <w:sz w:val="20"/>
              </w:rPr>
            </w:pPr>
            <w:r w:rsidRPr="001F7D3C">
              <w:rPr>
                <w:rFonts w:ascii="Arial Narrow" w:hAnsi="Arial Narrow"/>
                <w:sz w:val="20"/>
              </w:rPr>
              <w:t>A2) Adolescents aged 15 years</w:t>
            </w:r>
          </w:p>
        </w:tc>
        <w:tc>
          <w:tcPr>
            <w:tcW w:w="1347"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932DD0">
            <w:pPr>
              <w:pStyle w:val="NoSpacing"/>
              <w:jc w:val="left"/>
              <w:rPr>
                <w:rFonts w:ascii="Arial Narrow" w:hAnsi="Arial Narrow"/>
                <w:sz w:val="20"/>
              </w:rPr>
            </w:pPr>
            <w:r w:rsidRPr="001F7D3C">
              <w:rPr>
                <w:rFonts w:ascii="Arial Narrow" w:hAnsi="Arial Narrow"/>
                <w:sz w:val="20"/>
              </w:rPr>
              <w:t>Not determined</w:t>
            </w:r>
          </w:p>
        </w:tc>
      </w:tr>
      <w:tr w:rsidR="00932DD0" w:rsidRPr="001F7D3C" w:rsidTr="00932DD0">
        <w:trPr>
          <w:trHeight w:val="30"/>
        </w:trPr>
        <w:tc>
          <w:tcPr>
            <w:tcW w:w="1834"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B42215" w:rsidP="00932DD0">
            <w:pPr>
              <w:pStyle w:val="NoSpacing"/>
              <w:jc w:val="left"/>
              <w:rPr>
                <w:rFonts w:ascii="Arial Narrow" w:hAnsi="Arial Narrow"/>
                <w:sz w:val="20"/>
              </w:rPr>
            </w:pPr>
            <w:r w:rsidRPr="001F7D3C">
              <w:rPr>
                <w:rFonts w:ascii="Arial Narrow" w:hAnsi="Arial Narrow"/>
                <w:sz w:val="20"/>
              </w:rPr>
              <w:t>#</w:t>
            </w:r>
            <w:r w:rsidR="00932DD0" w:rsidRPr="001F7D3C">
              <w:rPr>
                <w:rFonts w:ascii="Arial Narrow" w:hAnsi="Arial Narrow"/>
                <w:sz w:val="20"/>
              </w:rPr>
              <w:t xml:space="preserve">4. </w:t>
            </w:r>
            <w:r w:rsidR="00932DD0" w:rsidRPr="001F7D3C">
              <w:rPr>
                <w:rFonts w:ascii="Arial Narrow" w:hAnsi="Arial Narrow" w:hint="eastAsia"/>
                <w:sz w:val="20"/>
              </w:rPr>
              <w:t xml:space="preserve">Alternate to preferred schedule: </w:t>
            </w:r>
            <w:r w:rsidR="00932DD0" w:rsidRPr="001F7D3C">
              <w:rPr>
                <w:rFonts w:ascii="Arial Narrow" w:hAnsi="Arial Narrow"/>
                <w:sz w:val="20"/>
              </w:rPr>
              <w:t>Adolescent + catch-up</w:t>
            </w:r>
          </w:p>
        </w:tc>
        <w:tc>
          <w:tcPr>
            <w:tcW w:w="1819"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932DD0">
            <w:pPr>
              <w:pStyle w:val="NoSpacing"/>
              <w:jc w:val="left"/>
              <w:rPr>
                <w:rFonts w:ascii="Arial Narrow" w:hAnsi="Arial Narrow"/>
                <w:sz w:val="20"/>
              </w:rPr>
            </w:pPr>
            <w:r w:rsidRPr="001F7D3C">
              <w:rPr>
                <w:rFonts w:ascii="Arial Narrow" w:hAnsi="Arial Narrow"/>
                <w:sz w:val="20"/>
              </w:rPr>
              <w:t>A2) Adolescents aged 15 years</w:t>
            </w:r>
          </w:p>
          <w:p w:rsidR="00932DD0" w:rsidRPr="001F7D3C" w:rsidRDefault="00932DD0" w:rsidP="00932DD0">
            <w:pPr>
              <w:pStyle w:val="NoSpacing"/>
              <w:jc w:val="left"/>
              <w:rPr>
                <w:rFonts w:ascii="Arial Narrow" w:hAnsi="Arial Narrow"/>
                <w:sz w:val="20"/>
              </w:rPr>
            </w:pPr>
            <w:r w:rsidRPr="001F7D3C">
              <w:rPr>
                <w:rFonts w:ascii="Arial Narrow" w:hAnsi="Arial Narrow"/>
                <w:sz w:val="20"/>
              </w:rPr>
              <w:t>B5) Adolescents aged 16–19 years</w:t>
            </w:r>
          </w:p>
        </w:tc>
        <w:tc>
          <w:tcPr>
            <w:tcW w:w="1347" w:type="pct"/>
            <w:tcBorders>
              <w:top w:val="single" w:sz="4" w:space="0" w:color="000000"/>
              <w:left w:val="single" w:sz="4" w:space="0" w:color="000000"/>
              <w:bottom w:val="single" w:sz="4" w:space="0" w:color="000000"/>
              <w:right w:val="single" w:sz="4" w:space="0" w:color="000000"/>
            </w:tcBorders>
            <w:vAlign w:val="center"/>
          </w:tcPr>
          <w:p w:rsidR="00932DD0" w:rsidRPr="001F7D3C" w:rsidRDefault="00932DD0" w:rsidP="00932DD0">
            <w:pPr>
              <w:pStyle w:val="NoSpacing"/>
              <w:jc w:val="left"/>
              <w:rPr>
                <w:rFonts w:ascii="Arial Narrow" w:hAnsi="Arial Narrow"/>
                <w:sz w:val="20"/>
              </w:rPr>
            </w:pPr>
            <w:r w:rsidRPr="001F7D3C">
              <w:rPr>
                <w:rFonts w:ascii="Arial Narrow" w:hAnsi="Arial Narrow"/>
                <w:sz w:val="20"/>
              </w:rPr>
              <w:t>Not determined</w:t>
            </w:r>
          </w:p>
        </w:tc>
      </w:tr>
    </w:tbl>
    <w:p w:rsidR="00932DD0" w:rsidRPr="001F7D3C" w:rsidRDefault="00932DD0" w:rsidP="00932DD0">
      <w:pPr>
        <w:pStyle w:val="tablenotes"/>
        <w:ind w:left="709"/>
        <w:rPr>
          <w:rFonts w:ascii="Arial Narrow" w:hAnsi="Arial Narrow"/>
          <w:sz w:val="18"/>
          <w:szCs w:val="18"/>
        </w:rPr>
      </w:pPr>
      <w:r w:rsidRPr="001F7D3C">
        <w:rPr>
          <w:rFonts w:ascii="Arial Narrow" w:hAnsi="Arial Narrow"/>
          <w:sz w:val="18"/>
          <w:szCs w:val="18"/>
        </w:rPr>
        <w:t>* provision of a booster dose (2 shots) is proposed for those who were vaccinated in childhood reaching the adolescent age at which the routine adolescent program targets.</w:t>
      </w:r>
    </w:p>
    <w:p w:rsidR="00932DD0" w:rsidRPr="001F7D3C" w:rsidRDefault="00932DD0" w:rsidP="00932DD0">
      <w:pPr>
        <w:pStyle w:val="tablenotes"/>
        <w:ind w:left="709"/>
        <w:rPr>
          <w:rFonts w:ascii="Arial Narrow" w:hAnsi="Arial Narrow"/>
          <w:sz w:val="18"/>
          <w:szCs w:val="18"/>
        </w:rPr>
      </w:pPr>
      <w:r w:rsidRPr="001F7D3C">
        <w:rPr>
          <w:rFonts w:ascii="Arial Narrow" w:hAnsi="Arial Narrow"/>
          <w:sz w:val="18"/>
          <w:szCs w:val="18"/>
        </w:rPr>
        <w:t>Source: Table 1.2, p3 of the minor submission</w:t>
      </w:r>
    </w:p>
    <w:p w:rsidR="00932DD0" w:rsidRPr="001F7D3C" w:rsidRDefault="00932DD0" w:rsidP="005217C1">
      <w:pPr>
        <w:jc w:val="both"/>
        <w:rPr>
          <w:rFonts w:ascii="Arial" w:hAnsi="Arial"/>
          <w:sz w:val="22"/>
          <w:szCs w:val="22"/>
        </w:rPr>
      </w:pPr>
    </w:p>
    <w:p w:rsidR="00BE58AD" w:rsidRPr="001F7D3C" w:rsidRDefault="00362C1B" w:rsidP="004D4703">
      <w:pPr>
        <w:pStyle w:val="ListParagraph"/>
        <w:numPr>
          <w:ilvl w:val="1"/>
          <w:numId w:val="2"/>
        </w:numPr>
        <w:jc w:val="both"/>
        <w:rPr>
          <w:rFonts w:ascii="Arial" w:hAnsi="Arial"/>
          <w:sz w:val="22"/>
          <w:szCs w:val="22"/>
        </w:rPr>
      </w:pPr>
      <w:r w:rsidRPr="001F7D3C">
        <w:rPr>
          <w:rFonts w:ascii="Arial" w:hAnsi="Arial"/>
          <w:sz w:val="22"/>
          <w:szCs w:val="22"/>
        </w:rPr>
        <w:t>Alternate v</w:t>
      </w:r>
      <w:r w:rsidR="00652F72" w:rsidRPr="001F7D3C">
        <w:rPr>
          <w:rFonts w:ascii="Arial" w:hAnsi="Arial"/>
          <w:sz w:val="22"/>
          <w:szCs w:val="22"/>
        </w:rPr>
        <w:t xml:space="preserve">accination program #1 </w:t>
      </w:r>
      <w:r w:rsidR="00BE58AD" w:rsidRPr="001F7D3C">
        <w:rPr>
          <w:rFonts w:ascii="Arial" w:hAnsi="Arial"/>
          <w:sz w:val="22"/>
          <w:szCs w:val="22"/>
        </w:rPr>
        <w:t>and #2 are</w:t>
      </w:r>
      <w:r w:rsidR="00652F72" w:rsidRPr="001F7D3C">
        <w:rPr>
          <w:rFonts w:ascii="Arial" w:hAnsi="Arial"/>
          <w:sz w:val="22"/>
          <w:szCs w:val="22"/>
        </w:rPr>
        <w:t xml:space="preserve"> the closest program</w:t>
      </w:r>
      <w:r w:rsidR="00BE58AD" w:rsidRPr="001F7D3C">
        <w:rPr>
          <w:rFonts w:ascii="Arial" w:hAnsi="Arial"/>
          <w:sz w:val="22"/>
          <w:szCs w:val="22"/>
        </w:rPr>
        <w:t>s</w:t>
      </w:r>
      <w:r w:rsidR="00652F72" w:rsidRPr="001F7D3C">
        <w:rPr>
          <w:rFonts w:ascii="Arial" w:hAnsi="Arial"/>
          <w:sz w:val="22"/>
          <w:szCs w:val="22"/>
        </w:rPr>
        <w:t xml:space="preserve"> to the schedule recommended in the UK of two </w:t>
      </w:r>
      <w:r w:rsidR="004D4703" w:rsidRPr="001F7D3C">
        <w:rPr>
          <w:rFonts w:ascii="Arial" w:hAnsi="Arial"/>
          <w:sz w:val="22"/>
          <w:szCs w:val="22"/>
        </w:rPr>
        <w:t xml:space="preserve">primary doses </w:t>
      </w:r>
      <w:r w:rsidR="00BE58AD" w:rsidRPr="001F7D3C">
        <w:rPr>
          <w:rFonts w:ascii="Arial" w:hAnsi="Arial"/>
          <w:sz w:val="22"/>
          <w:szCs w:val="22"/>
        </w:rPr>
        <w:t xml:space="preserve">at 2 and 4 months of age </w:t>
      </w:r>
      <w:r w:rsidR="004D4703" w:rsidRPr="001F7D3C">
        <w:rPr>
          <w:rFonts w:ascii="Arial" w:hAnsi="Arial"/>
          <w:sz w:val="22"/>
          <w:szCs w:val="22"/>
        </w:rPr>
        <w:t>and one booster dose at 12 months of age</w:t>
      </w:r>
      <w:r w:rsidR="00BE58AD" w:rsidRPr="001F7D3C">
        <w:rPr>
          <w:rFonts w:ascii="Arial" w:hAnsi="Arial"/>
          <w:sz w:val="22"/>
          <w:szCs w:val="22"/>
        </w:rPr>
        <w:t xml:space="preserve"> (it </w:t>
      </w:r>
      <w:r w:rsidR="006F5DF1" w:rsidRPr="001F7D3C">
        <w:rPr>
          <w:rFonts w:ascii="Arial" w:hAnsi="Arial"/>
          <w:sz w:val="22"/>
          <w:szCs w:val="22"/>
        </w:rPr>
        <w:t>wa</w:t>
      </w:r>
      <w:r w:rsidR="00BE58AD" w:rsidRPr="001F7D3C">
        <w:rPr>
          <w:rFonts w:ascii="Arial" w:hAnsi="Arial"/>
          <w:sz w:val="22"/>
          <w:szCs w:val="22"/>
        </w:rPr>
        <w:t>s unknown whether a catch-up program w</w:t>
      </w:r>
      <w:r w:rsidR="006F5DF1" w:rsidRPr="001F7D3C">
        <w:rPr>
          <w:rFonts w:ascii="Arial" w:hAnsi="Arial"/>
          <w:sz w:val="22"/>
          <w:szCs w:val="22"/>
        </w:rPr>
        <w:t>ould</w:t>
      </w:r>
      <w:r w:rsidR="00BE58AD" w:rsidRPr="001F7D3C">
        <w:rPr>
          <w:rFonts w:ascii="Arial" w:hAnsi="Arial"/>
          <w:sz w:val="22"/>
          <w:szCs w:val="22"/>
        </w:rPr>
        <w:t xml:space="preserve"> also be implemented)</w:t>
      </w:r>
      <w:r w:rsidR="004D4703" w:rsidRPr="001F7D3C">
        <w:rPr>
          <w:rFonts w:ascii="Arial" w:hAnsi="Arial"/>
          <w:sz w:val="22"/>
          <w:szCs w:val="22"/>
        </w:rPr>
        <w:t>.</w:t>
      </w:r>
    </w:p>
    <w:p w:rsidR="00BE58AD" w:rsidRPr="001F7D3C" w:rsidRDefault="00BE58AD" w:rsidP="00BE58AD">
      <w:pPr>
        <w:jc w:val="both"/>
        <w:rPr>
          <w:rFonts w:ascii="Arial" w:hAnsi="Arial"/>
          <w:sz w:val="22"/>
          <w:szCs w:val="22"/>
        </w:rPr>
      </w:pPr>
    </w:p>
    <w:p w:rsidR="00A53934" w:rsidRPr="001F7D3C" w:rsidRDefault="001A7A02" w:rsidP="004B06EA">
      <w:pPr>
        <w:pStyle w:val="ListParagraph"/>
        <w:numPr>
          <w:ilvl w:val="1"/>
          <w:numId w:val="2"/>
        </w:numPr>
        <w:jc w:val="both"/>
        <w:rPr>
          <w:rFonts w:ascii="Arial" w:hAnsi="Arial"/>
          <w:sz w:val="22"/>
          <w:szCs w:val="22"/>
        </w:rPr>
      </w:pPr>
      <w:r w:rsidRPr="001F7D3C">
        <w:rPr>
          <w:rFonts w:ascii="Arial" w:hAnsi="Arial"/>
          <w:sz w:val="22"/>
          <w:szCs w:val="22"/>
        </w:rPr>
        <w:t xml:space="preserve">The </w:t>
      </w:r>
      <w:r w:rsidR="004D4703" w:rsidRPr="001F7D3C">
        <w:rPr>
          <w:rFonts w:ascii="Arial" w:hAnsi="Arial"/>
          <w:sz w:val="22"/>
          <w:szCs w:val="22"/>
        </w:rPr>
        <w:t xml:space="preserve">ATAGI </w:t>
      </w:r>
      <w:r w:rsidRPr="001F7D3C">
        <w:rPr>
          <w:rFonts w:ascii="Arial" w:hAnsi="Arial"/>
          <w:sz w:val="22"/>
          <w:szCs w:val="22"/>
        </w:rPr>
        <w:t xml:space="preserve">post-submission advice provided at the November 2013 PBAC meeting </w:t>
      </w:r>
      <w:r w:rsidR="004D4703" w:rsidRPr="001F7D3C">
        <w:rPr>
          <w:rFonts w:ascii="Arial" w:hAnsi="Arial"/>
          <w:sz w:val="22"/>
          <w:szCs w:val="22"/>
        </w:rPr>
        <w:t xml:space="preserve">stated </w:t>
      </w:r>
      <w:r w:rsidR="00A53934" w:rsidRPr="001F7D3C">
        <w:rPr>
          <w:rFonts w:ascii="Arial" w:hAnsi="Arial"/>
          <w:sz w:val="22"/>
          <w:szCs w:val="22"/>
        </w:rPr>
        <w:t>that:</w:t>
      </w:r>
    </w:p>
    <w:p w:rsidR="00A53934" w:rsidRPr="001F7D3C" w:rsidRDefault="00A53934" w:rsidP="004B06EA">
      <w:pPr>
        <w:pStyle w:val="ListParagraph"/>
        <w:numPr>
          <w:ilvl w:val="0"/>
          <w:numId w:val="18"/>
        </w:numPr>
        <w:ind w:left="1134"/>
        <w:jc w:val="both"/>
        <w:rPr>
          <w:rFonts w:ascii="Arial" w:hAnsi="Arial"/>
          <w:sz w:val="22"/>
          <w:szCs w:val="22"/>
        </w:rPr>
      </w:pPr>
      <w:r w:rsidRPr="001F7D3C">
        <w:rPr>
          <w:rFonts w:ascii="Arial" w:hAnsi="Arial"/>
          <w:sz w:val="22"/>
          <w:szCs w:val="22"/>
        </w:rPr>
        <w:t>The first priority of a 4CMenB program should be directed towards an ongoing primary program for infants</w:t>
      </w:r>
      <w:r w:rsidR="004B06EA" w:rsidRPr="001F7D3C">
        <w:rPr>
          <w:rFonts w:ascii="Arial" w:hAnsi="Arial"/>
          <w:sz w:val="22"/>
          <w:szCs w:val="22"/>
        </w:rPr>
        <w:t>.</w:t>
      </w:r>
    </w:p>
    <w:p w:rsidR="00A53934" w:rsidRPr="001F7D3C" w:rsidRDefault="00A53934" w:rsidP="004B06EA">
      <w:pPr>
        <w:pStyle w:val="ListParagraph"/>
        <w:numPr>
          <w:ilvl w:val="0"/>
          <w:numId w:val="18"/>
        </w:numPr>
        <w:ind w:left="1134"/>
        <w:jc w:val="both"/>
        <w:rPr>
          <w:rFonts w:ascii="Arial" w:hAnsi="Arial"/>
          <w:sz w:val="22"/>
          <w:szCs w:val="22"/>
        </w:rPr>
      </w:pPr>
      <w:r w:rsidRPr="001F7D3C">
        <w:rPr>
          <w:rFonts w:ascii="Arial" w:hAnsi="Arial"/>
          <w:sz w:val="22"/>
          <w:szCs w:val="22"/>
        </w:rPr>
        <w:t>The most preferable scenario would be one that includes the ongoing routine program components for infants as well as adolescents. This program is expected to provide direct protective benefit for those in the age groups of highest disease incidence.</w:t>
      </w:r>
    </w:p>
    <w:p w:rsidR="00A53934" w:rsidRPr="001F7D3C" w:rsidRDefault="00A53934" w:rsidP="004B06EA">
      <w:pPr>
        <w:pStyle w:val="ListParagraph"/>
        <w:numPr>
          <w:ilvl w:val="0"/>
          <w:numId w:val="18"/>
        </w:numPr>
        <w:ind w:left="1134"/>
        <w:jc w:val="both"/>
        <w:rPr>
          <w:rFonts w:ascii="Arial" w:hAnsi="Arial"/>
          <w:sz w:val="22"/>
          <w:szCs w:val="22"/>
        </w:rPr>
      </w:pPr>
      <w:r w:rsidRPr="001F7D3C">
        <w:rPr>
          <w:rFonts w:ascii="Arial" w:hAnsi="Arial"/>
          <w:sz w:val="22"/>
          <w:szCs w:val="22"/>
        </w:rPr>
        <w:lastRenderedPageBreak/>
        <w:t>Programs involving the vaccination of infants only, would not cover the secondary peak incidence age group.</w:t>
      </w:r>
    </w:p>
    <w:p w:rsidR="00A53934" w:rsidRPr="001F7D3C" w:rsidRDefault="00A53934" w:rsidP="004B06EA">
      <w:pPr>
        <w:pStyle w:val="ListParagraph"/>
        <w:numPr>
          <w:ilvl w:val="0"/>
          <w:numId w:val="18"/>
        </w:numPr>
        <w:ind w:left="1134"/>
        <w:jc w:val="both"/>
        <w:rPr>
          <w:rFonts w:ascii="Arial" w:hAnsi="Arial"/>
          <w:sz w:val="22"/>
          <w:szCs w:val="22"/>
        </w:rPr>
      </w:pPr>
      <w:r w:rsidRPr="001F7D3C">
        <w:rPr>
          <w:rFonts w:ascii="Arial" w:hAnsi="Arial"/>
          <w:sz w:val="22"/>
          <w:szCs w:val="22"/>
        </w:rPr>
        <w:t>Programs involving the vaccination of adolescents only would not cover infants where the highest disease burden lies.</w:t>
      </w:r>
    </w:p>
    <w:p w:rsidR="00A53934" w:rsidRPr="001F7D3C" w:rsidRDefault="00A53934" w:rsidP="004B06EA">
      <w:pPr>
        <w:pStyle w:val="ListParagraph"/>
        <w:numPr>
          <w:ilvl w:val="0"/>
          <w:numId w:val="18"/>
        </w:numPr>
        <w:ind w:left="1134"/>
        <w:jc w:val="both"/>
        <w:rPr>
          <w:rFonts w:ascii="Arial" w:hAnsi="Arial"/>
          <w:sz w:val="22"/>
          <w:szCs w:val="22"/>
        </w:rPr>
      </w:pPr>
      <w:r w:rsidRPr="001F7D3C">
        <w:rPr>
          <w:rFonts w:ascii="Arial" w:hAnsi="Arial"/>
          <w:sz w:val="22"/>
          <w:szCs w:val="22"/>
        </w:rPr>
        <w:t>Occurrence of severe adverse events or high frequency of significant adverse events in infants may alter the assessment of preferences of these program model scenarios, and post-implementation surveillance of adverse events following 4CMenB would be essential.</w:t>
      </w:r>
    </w:p>
    <w:p w:rsidR="00652F72" w:rsidRPr="001F7D3C" w:rsidRDefault="00652F72" w:rsidP="005217C1">
      <w:pPr>
        <w:jc w:val="both"/>
        <w:rPr>
          <w:rFonts w:ascii="Arial" w:hAnsi="Arial"/>
          <w:sz w:val="22"/>
          <w:szCs w:val="22"/>
        </w:rPr>
      </w:pPr>
    </w:p>
    <w:p w:rsidR="0077044F" w:rsidRPr="001F7D3C" w:rsidRDefault="001E3D2A" w:rsidP="001E3D2A">
      <w:pPr>
        <w:pStyle w:val="ListParagraph"/>
        <w:numPr>
          <w:ilvl w:val="1"/>
          <w:numId w:val="2"/>
        </w:numPr>
        <w:jc w:val="both"/>
        <w:rPr>
          <w:rFonts w:ascii="Arial" w:hAnsi="Arial" w:cs="Arial"/>
          <w:sz w:val="22"/>
          <w:szCs w:val="22"/>
        </w:rPr>
      </w:pPr>
      <w:r w:rsidRPr="001F7D3C">
        <w:rPr>
          <w:rFonts w:ascii="Arial" w:hAnsi="Arial" w:cs="Arial"/>
          <w:sz w:val="22"/>
          <w:szCs w:val="22"/>
        </w:rPr>
        <w:t xml:space="preserve">An </w:t>
      </w:r>
      <w:r w:rsidR="0077044F" w:rsidRPr="001F7D3C">
        <w:rPr>
          <w:rFonts w:ascii="Arial" w:hAnsi="Arial" w:cs="Arial"/>
          <w:sz w:val="22"/>
          <w:szCs w:val="22"/>
        </w:rPr>
        <w:t xml:space="preserve">Australian School Vaccination Register </w:t>
      </w:r>
      <w:r w:rsidRPr="001F7D3C">
        <w:rPr>
          <w:rFonts w:ascii="Arial" w:hAnsi="Arial" w:cs="Arial"/>
          <w:sz w:val="22"/>
          <w:szCs w:val="22"/>
        </w:rPr>
        <w:t xml:space="preserve">has been announced and </w:t>
      </w:r>
      <w:r w:rsidR="0077044F" w:rsidRPr="001F7D3C">
        <w:rPr>
          <w:rFonts w:ascii="Arial" w:hAnsi="Arial" w:cs="Arial"/>
          <w:sz w:val="22"/>
          <w:szCs w:val="22"/>
        </w:rPr>
        <w:t xml:space="preserve">will be operational in the 2017 school year. Expanding the existing National </w:t>
      </w:r>
      <w:r w:rsidRPr="001F7D3C">
        <w:rPr>
          <w:rFonts w:ascii="Arial" w:hAnsi="Arial" w:cs="Arial"/>
          <w:sz w:val="22"/>
          <w:szCs w:val="22"/>
        </w:rPr>
        <w:t>Human papillomavirus</w:t>
      </w:r>
      <w:r w:rsidR="0077044F" w:rsidRPr="001F7D3C">
        <w:rPr>
          <w:rFonts w:ascii="Arial" w:hAnsi="Arial" w:cs="Arial"/>
          <w:sz w:val="22"/>
          <w:szCs w:val="22"/>
        </w:rPr>
        <w:t xml:space="preserve"> Vaccine Register to become an ‘Australian School Vaccination Register’ </w:t>
      </w:r>
      <w:r w:rsidR="003F47CB" w:rsidRPr="001F7D3C">
        <w:rPr>
          <w:rFonts w:ascii="Arial" w:hAnsi="Arial" w:cs="Arial"/>
          <w:sz w:val="22"/>
          <w:szCs w:val="22"/>
        </w:rPr>
        <w:t>to</w:t>
      </w:r>
      <w:r w:rsidR="0077044F" w:rsidRPr="001F7D3C">
        <w:rPr>
          <w:rFonts w:ascii="Arial" w:hAnsi="Arial" w:cs="Arial"/>
          <w:sz w:val="22"/>
          <w:szCs w:val="22"/>
        </w:rPr>
        <w:t xml:space="preserve"> allow capture of all adolescent vaccines given through school-based programs.</w:t>
      </w:r>
      <w:r w:rsidRPr="001F7D3C">
        <w:rPr>
          <w:rFonts w:ascii="Arial" w:hAnsi="Arial" w:cs="Arial"/>
          <w:sz w:val="22"/>
          <w:szCs w:val="22"/>
        </w:rPr>
        <w:t xml:space="preserve"> </w:t>
      </w:r>
      <w:r w:rsidR="00981E6B" w:rsidRPr="001F7D3C">
        <w:rPr>
          <w:rFonts w:ascii="Arial" w:hAnsi="Arial" w:cs="Arial"/>
          <w:sz w:val="22"/>
          <w:szCs w:val="22"/>
        </w:rPr>
        <w:t>Some</w:t>
      </w:r>
      <w:r w:rsidRPr="001F7D3C">
        <w:rPr>
          <w:rFonts w:ascii="Arial" w:hAnsi="Arial" w:cs="Arial"/>
          <w:sz w:val="22"/>
          <w:szCs w:val="22"/>
        </w:rPr>
        <w:t xml:space="preserve"> individuals in the proposed adolescent catch-up for </w:t>
      </w:r>
      <w:r w:rsidR="006877A7" w:rsidRPr="001F7D3C">
        <w:rPr>
          <w:rFonts w:ascii="Arial" w:hAnsi="Arial"/>
          <w:sz w:val="22"/>
          <w:szCs w:val="22"/>
        </w:rPr>
        <w:t>4CMenB</w:t>
      </w:r>
      <w:r w:rsidRPr="001F7D3C">
        <w:rPr>
          <w:rFonts w:ascii="Arial" w:hAnsi="Arial" w:cs="Arial"/>
          <w:sz w:val="22"/>
          <w:szCs w:val="22"/>
        </w:rPr>
        <w:t xml:space="preserve"> vaccine cohort may be </w:t>
      </w:r>
      <w:r w:rsidR="003F47CB" w:rsidRPr="001F7D3C">
        <w:rPr>
          <w:rFonts w:ascii="Arial" w:hAnsi="Arial" w:cs="Arial"/>
          <w:sz w:val="22"/>
          <w:szCs w:val="22"/>
        </w:rPr>
        <w:t>older</w:t>
      </w:r>
      <w:r w:rsidRPr="001F7D3C">
        <w:rPr>
          <w:rFonts w:ascii="Arial" w:hAnsi="Arial" w:cs="Arial"/>
          <w:sz w:val="22"/>
          <w:szCs w:val="22"/>
        </w:rPr>
        <w:t xml:space="preserve"> than school age</w:t>
      </w:r>
      <w:r w:rsidR="00981E6B" w:rsidRPr="001F7D3C">
        <w:rPr>
          <w:rFonts w:ascii="Arial" w:hAnsi="Arial" w:cs="Arial"/>
          <w:sz w:val="22"/>
          <w:szCs w:val="22"/>
        </w:rPr>
        <w:t xml:space="preserve"> and their vaccinations would likely not be entered into this Register.</w:t>
      </w:r>
    </w:p>
    <w:p w:rsidR="00BB7EC3" w:rsidRPr="001F7D3C" w:rsidRDefault="00BB7EC3" w:rsidP="00882085">
      <w:pPr>
        <w:jc w:val="both"/>
        <w:rPr>
          <w:rFonts w:ascii="Arial" w:hAnsi="Arial"/>
          <w:sz w:val="22"/>
          <w:szCs w:val="22"/>
        </w:rPr>
      </w:pPr>
    </w:p>
    <w:p w:rsidR="00655D64" w:rsidRPr="001F7D3C" w:rsidRDefault="00655D64" w:rsidP="00655D64">
      <w:pPr>
        <w:ind w:firstLine="720"/>
        <w:jc w:val="both"/>
        <w:rPr>
          <w:rFonts w:ascii="Arial" w:hAnsi="Arial" w:cs="Arial"/>
          <w:i/>
          <w:sz w:val="22"/>
          <w:szCs w:val="22"/>
        </w:rPr>
      </w:pPr>
      <w:r w:rsidRPr="001F7D3C">
        <w:rPr>
          <w:rFonts w:ascii="Arial" w:hAnsi="Arial" w:cs="Arial"/>
          <w:i/>
          <w:sz w:val="22"/>
          <w:szCs w:val="22"/>
        </w:rPr>
        <w:t>For more detail on PBAC’s view, see section 7 “PBAC outcome”</w:t>
      </w:r>
      <w:r w:rsidR="005217C1" w:rsidRPr="001F7D3C">
        <w:rPr>
          <w:rFonts w:ascii="Arial" w:hAnsi="Arial" w:cs="Arial"/>
          <w:i/>
          <w:sz w:val="22"/>
          <w:szCs w:val="22"/>
        </w:rPr>
        <w:t>.</w:t>
      </w:r>
    </w:p>
    <w:p w:rsidR="00655D64" w:rsidRPr="001F7D3C" w:rsidRDefault="00655D64" w:rsidP="00882085">
      <w:pPr>
        <w:jc w:val="both"/>
        <w:rPr>
          <w:rFonts w:ascii="Arial" w:hAnsi="Arial"/>
          <w:sz w:val="22"/>
          <w:szCs w:val="22"/>
        </w:rPr>
      </w:pPr>
    </w:p>
    <w:p w:rsidR="001C056B" w:rsidRPr="001F7D3C" w:rsidRDefault="001C056B" w:rsidP="00882085">
      <w:pPr>
        <w:jc w:val="both"/>
        <w:rPr>
          <w:rFonts w:ascii="Arial" w:hAnsi="Arial"/>
          <w:sz w:val="22"/>
          <w:szCs w:val="22"/>
        </w:rPr>
      </w:pPr>
    </w:p>
    <w:p w:rsidR="00CE10C4" w:rsidRPr="001F7D3C" w:rsidRDefault="00CE10C4" w:rsidP="00AA4458">
      <w:pPr>
        <w:pStyle w:val="ListParagraph"/>
        <w:numPr>
          <w:ilvl w:val="0"/>
          <w:numId w:val="2"/>
        </w:numPr>
        <w:jc w:val="both"/>
        <w:rPr>
          <w:rFonts w:ascii="Arial" w:hAnsi="Arial"/>
          <w:sz w:val="22"/>
          <w:szCs w:val="22"/>
        </w:rPr>
      </w:pPr>
      <w:r w:rsidRPr="001F7D3C">
        <w:rPr>
          <w:rFonts w:ascii="Arial" w:hAnsi="Arial"/>
          <w:b/>
          <w:sz w:val="22"/>
          <w:szCs w:val="22"/>
        </w:rPr>
        <w:t>Background</w:t>
      </w:r>
    </w:p>
    <w:p w:rsidR="006A12A5" w:rsidRPr="001F7D3C" w:rsidRDefault="006A12A5" w:rsidP="00882085">
      <w:pPr>
        <w:jc w:val="both"/>
        <w:rPr>
          <w:rFonts w:ascii="Arial" w:hAnsi="Arial"/>
          <w:sz w:val="22"/>
          <w:szCs w:val="22"/>
        </w:rPr>
      </w:pPr>
    </w:p>
    <w:p w:rsidR="002B1AE6" w:rsidRPr="001F7D3C" w:rsidRDefault="002B1AFF" w:rsidP="002B1AFF">
      <w:pPr>
        <w:pStyle w:val="ListParagraph"/>
        <w:numPr>
          <w:ilvl w:val="1"/>
          <w:numId w:val="2"/>
        </w:numPr>
        <w:jc w:val="both"/>
        <w:rPr>
          <w:rFonts w:ascii="Arial" w:hAnsi="Arial"/>
          <w:i/>
          <w:sz w:val="22"/>
          <w:szCs w:val="22"/>
        </w:rPr>
      </w:pPr>
      <w:r w:rsidRPr="001F7D3C">
        <w:rPr>
          <w:rFonts w:ascii="Arial" w:hAnsi="Arial"/>
          <w:sz w:val="22"/>
          <w:szCs w:val="22"/>
        </w:rPr>
        <w:t xml:space="preserve">4CMenB was TGA registered on 14 August 2013, and is indicated for active immunisation against disease caused by </w:t>
      </w:r>
      <w:r w:rsidR="00C42545" w:rsidRPr="001F7D3C">
        <w:rPr>
          <w:rFonts w:ascii="Arial" w:hAnsi="Arial"/>
          <w:sz w:val="22"/>
          <w:szCs w:val="22"/>
        </w:rPr>
        <w:t>Neisseria</w:t>
      </w:r>
      <w:r w:rsidR="00C42545" w:rsidRPr="001F7D3C" w:rsidDel="00C42545">
        <w:rPr>
          <w:rFonts w:ascii="Arial" w:hAnsi="Arial"/>
          <w:sz w:val="22"/>
          <w:szCs w:val="22"/>
        </w:rPr>
        <w:t xml:space="preserve"> </w:t>
      </w:r>
      <w:r w:rsidRPr="001F7D3C">
        <w:rPr>
          <w:rFonts w:ascii="Arial" w:hAnsi="Arial"/>
          <w:sz w:val="22"/>
          <w:szCs w:val="22"/>
        </w:rPr>
        <w:t>meningitidis group B strains. It is indicated for vaccination of individuals from 2 months of age and older.</w:t>
      </w:r>
    </w:p>
    <w:p w:rsidR="006B0D94" w:rsidRPr="001F7D3C" w:rsidRDefault="006B0D94" w:rsidP="00882085">
      <w:pPr>
        <w:jc w:val="both"/>
        <w:rPr>
          <w:rFonts w:ascii="Arial" w:hAnsi="Arial"/>
          <w:sz w:val="22"/>
          <w:szCs w:val="22"/>
        </w:rPr>
      </w:pPr>
    </w:p>
    <w:p w:rsidR="00326E79" w:rsidRPr="001F7D3C" w:rsidRDefault="002B1AFF" w:rsidP="00AA4458">
      <w:pPr>
        <w:pStyle w:val="ListParagraph"/>
        <w:numPr>
          <w:ilvl w:val="1"/>
          <w:numId w:val="2"/>
        </w:numPr>
        <w:jc w:val="both"/>
        <w:rPr>
          <w:rFonts w:ascii="Arial" w:hAnsi="Arial"/>
          <w:sz w:val="22"/>
          <w:szCs w:val="22"/>
        </w:rPr>
      </w:pPr>
      <w:r w:rsidRPr="001F7D3C">
        <w:rPr>
          <w:rFonts w:ascii="Arial" w:hAnsi="Arial"/>
          <w:sz w:val="22"/>
          <w:szCs w:val="22"/>
        </w:rPr>
        <w:t xml:space="preserve">This </w:t>
      </w:r>
      <w:r w:rsidR="00615183" w:rsidRPr="001F7D3C">
        <w:rPr>
          <w:rFonts w:ascii="Arial" w:hAnsi="Arial"/>
          <w:sz w:val="22"/>
          <w:szCs w:val="22"/>
        </w:rPr>
        <w:t xml:space="preserve">was </w:t>
      </w:r>
      <w:r w:rsidRPr="001F7D3C">
        <w:rPr>
          <w:rFonts w:ascii="Arial" w:hAnsi="Arial"/>
          <w:sz w:val="22"/>
          <w:szCs w:val="22"/>
        </w:rPr>
        <w:t>the third consideration by the PBAC.</w:t>
      </w:r>
    </w:p>
    <w:p w:rsidR="00425975" w:rsidRPr="001F7D3C" w:rsidRDefault="00425975" w:rsidP="00425975">
      <w:pPr>
        <w:rPr>
          <w:rFonts w:ascii="Arial" w:hAnsi="Arial"/>
          <w:sz w:val="22"/>
          <w:szCs w:val="22"/>
        </w:rPr>
      </w:pPr>
    </w:p>
    <w:p w:rsidR="00425975" w:rsidRPr="001F7D3C" w:rsidRDefault="00425975" w:rsidP="00425975">
      <w:pPr>
        <w:pStyle w:val="ListParagraph"/>
        <w:numPr>
          <w:ilvl w:val="1"/>
          <w:numId w:val="2"/>
        </w:numPr>
        <w:jc w:val="both"/>
        <w:rPr>
          <w:rFonts w:ascii="Arial" w:hAnsi="Arial"/>
          <w:sz w:val="22"/>
          <w:szCs w:val="22"/>
        </w:rPr>
      </w:pPr>
      <w:r w:rsidRPr="001F7D3C">
        <w:rPr>
          <w:rFonts w:ascii="Arial" w:hAnsi="Arial"/>
          <w:sz w:val="22"/>
          <w:szCs w:val="22"/>
        </w:rPr>
        <w:t>The following table provides a summary of the key differences between the November 2013 and July 2014 submissions and this current minor re-submission, including PBAC comments on the November 2013 and July 2014 submissions.</w:t>
      </w:r>
    </w:p>
    <w:p w:rsidR="006A12A5" w:rsidRPr="001F7D3C" w:rsidRDefault="006A12A5" w:rsidP="00882085">
      <w:pPr>
        <w:jc w:val="both"/>
        <w:rPr>
          <w:rFonts w:ascii="Arial" w:hAnsi="Arial"/>
          <w:sz w:val="22"/>
          <w:szCs w:val="22"/>
        </w:rPr>
      </w:pPr>
    </w:p>
    <w:p w:rsidR="0003241F" w:rsidRPr="001F7D3C" w:rsidRDefault="0003241F" w:rsidP="00882085">
      <w:pPr>
        <w:pStyle w:val="ListParagraph"/>
        <w:jc w:val="both"/>
        <w:rPr>
          <w:rFonts w:ascii="Arial" w:hAnsi="Arial"/>
          <w:sz w:val="22"/>
          <w:szCs w:val="22"/>
        </w:rPr>
        <w:sectPr w:rsidR="0003241F" w:rsidRPr="001F7D3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pPr>
    </w:p>
    <w:p w:rsidR="0003241F" w:rsidRPr="001F7D3C" w:rsidRDefault="0003241F" w:rsidP="0031209F">
      <w:pPr>
        <w:pStyle w:val="NoSpacing"/>
        <w:rPr>
          <w:rFonts w:ascii="Arial Narrow" w:hAnsi="Arial Narrow"/>
          <w:b/>
          <w:sz w:val="20"/>
        </w:rPr>
      </w:pPr>
      <w:r w:rsidRPr="001F7D3C">
        <w:rPr>
          <w:rFonts w:ascii="Arial Narrow" w:hAnsi="Arial Narrow"/>
          <w:b/>
          <w:sz w:val="20"/>
        </w:rPr>
        <w:t xml:space="preserve">Table 3: Summary of the previous submission, what was considered at the PBAC meeting (given Pre-PBAC response) and </w:t>
      </w:r>
      <w:r w:rsidR="00994D45" w:rsidRPr="001F7D3C">
        <w:rPr>
          <w:rFonts w:ascii="Arial Narrow" w:hAnsi="Arial Narrow"/>
          <w:b/>
          <w:sz w:val="20"/>
        </w:rPr>
        <w:t>minor</w:t>
      </w:r>
      <w:r w:rsidRPr="001F7D3C">
        <w:rPr>
          <w:rFonts w:ascii="Arial Narrow" w:hAnsi="Arial Narrow"/>
          <w:b/>
          <w:sz w:val="20"/>
        </w:rPr>
        <w:t xml:space="preserve"> re-submission</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72"/>
        <w:gridCol w:w="2266"/>
        <w:gridCol w:w="2187"/>
        <w:gridCol w:w="2057"/>
        <w:gridCol w:w="3470"/>
        <w:gridCol w:w="3213"/>
      </w:tblGrid>
      <w:tr w:rsidR="00815998" w:rsidRPr="001F7D3C" w:rsidTr="005217C1">
        <w:trPr>
          <w:trHeight w:val="220"/>
          <w:tblHeader/>
        </w:trPr>
        <w:tc>
          <w:tcPr>
            <w:tcW w:w="343" w:type="pct"/>
            <w:shd w:val="clear" w:color="auto" w:fill="auto"/>
          </w:tcPr>
          <w:p w:rsidR="00B14468" w:rsidRPr="001F7D3C" w:rsidRDefault="00B14468" w:rsidP="00CC5579">
            <w:pPr>
              <w:rPr>
                <w:rFonts w:ascii="Arial Narrow" w:hAnsi="Arial Narrow"/>
                <w:sz w:val="20"/>
              </w:rPr>
            </w:pPr>
          </w:p>
        </w:tc>
        <w:tc>
          <w:tcPr>
            <w:tcW w:w="1572" w:type="pct"/>
            <w:gridSpan w:val="2"/>
            <w:shd w:val="clear" w:color="auto" w:fill="auto"/>
            <w:vAlign w:val="center"/>
          </w:tcPr>
          <w:p w:rsidR="00B14468" w:rsidRPr="001F7D3C" w:rsidRDefault="00B14468" w:rsidP="00CC5579">
            <w:pPr>
              <w:jc w:val="center"/>
              <w:rPr>
                <w:rFonts w:ascii="Arial Narrow" w:hAnsi="Arial Narrow"/>
                <w:b/>
                <w:sz w:val="20"/>
              </w:rPr>
            </w:pPr>
            <w:r w:rsidRPr="001F7D3C">
              <w:rPr>
                <w:rFonts w:ascii="Arial Narrow" w:hAnsi="Arial Narrow"/>
                <w:b/>
                <w:sz w:val="20"/>
              </w:rPr>
              <w:t>4CMenB, November 2013</w:t>
            </w:r>
          </w:p>
        </w:tc>
        <w:tc>
          <w:tcPr>
            <w:tcW w:w="1951" w:type="pct"/>
            <w:gridSpan w:val="2"/>
            <w:shd w:val="clear" w:color="auto" w:fill="auto"/>
            <w:vAlign w:val="center"/>
          </w:tcPr>
          <w:p w:rsidR="00B14468" w:rsidRPr="001F7D3C" w:rsidRDefault="00B14468" w:rsidP="0003241F">
            <w:pPr>
              <w:jc w:val="center"/>
              <w:rPr>
                <w:rFonts w:ascii="Arial Narrow" w:hAnsi="Arial Narrow"/>
                <w:b/>
                <w:sz w:val="20"/>
              </w:rPr>
            </w:pPr>
            <w:r w:rsidRPr="001F7D3C">
              <w:rPr>
                <w:rFonts w:ascii="Arial Narrow" w:hAnsi="Arial Narrow"/>
                <w:b/>
                <w:sz w:val="20"/>
              </w:rPr>
              <w:t>4CMenB, July 2014</w:t>
            </w:r>
          </w:p>
        </w:tc>
        <w:tc>
          <w:tcPr>
            <w:tcW w:w="1134" w:type="pct"/>
            <w:vMerge w:val="restart"/>
            <w:shd w:val="clear" w:color="auto" w:fill="auto"/>
            <w:vAlign w:val="center"/>
          </w:tcPr>
          <w:p w:rsidR="00B14468" w:rsidRPr="001F7D3C" w:rsidRDefault="00B14468" w:rsidP="0003241F">
            <w:pPr>
              <w:jc w:val="center"/>
              <w:rPr>
                <w:rFonts w:ascii="Arial Narrow" w:hAnsi="Arial Narrow"/>
                <w:b/>
                <w:sz w:val="20"/>
              </w:rPr>
            </w:pPr>
            <w:r w:rsidRPr="001F7D3C">
              <w:rPr>
                <w:rFonts w:ascii="Arial Narrow" w:hAnsi="Arial Narrow"/>
                <w:b/>
                <w:sz w:val="20"/>
              </w:rPr>
              <w:t xml:space="preserve">Current </w:t>
            </w:r>
            <w:r w:rsidR="00994D45" w:rsidRPr="001F7D3C">
              <w:rPr>
                <w:rFonts w:ascii="Arial Narrow" w:hAnsi="Arial Narrow"/>
                <w:b/>
                <w:sz w:val="20"/>
              </w:rPr>
              <w:t xml:space="preserve">minor </w:t>
            </w:r>
            <w:r w:rsidRPr="001F7D3C">
              <w:rPr>
                <w:rFonts w:ascii="Arial Narrow" w:hAnsi="Arial Narrow"/>
                <w:b/>
                <w:sz w:val="20"/>
              </w:rPr>
              <w:t>re-submission</w:t>
            </w:r>
          </w:p>
        </w:tc>
      </w:tr>
      <w:tr w:rsidR="00815998" w:rsidRPr="001F7D3C" w:rsidTr="005217C1">
        <w:trPr>
          <w:trHeight w:val="220"/>
          <w:tblHeader/>
        </w:trPr>
        <w:tc>
          <w:tcPr>
            <w:tcW w:w="343" w:type="pct"/>
          </w:tcPr>
          <w:p w:rsidR="00B14468" w:rsidRPr="001F7D3C" w:rsidRDefault="00B14468" w:rsidP="00CC5579">
            <w:pPr>
              <w:rPr>
                <w:rFonts w:ascii="Arial Narrow" w:hAnsi="Arial Narrow"/>
                <w:sz w:val="20"/>
              </w:rPr>
            </w:pPr>
          </w:p>
        </w:tc>
        <w:tc>
          <w:tcPr>
            <w:tcW w:w="800" w:type="pct"/>
            <w:vAlign w:val="center"/>
          </w:tcPr>
          <w:p w:rsidR="00B14468" w:rsidRPr="001F7D3C" w:rsidRDefault="00B14468" w:rsidP="00CC5579">
            <w:pPr>
              <w:jc w:val="center"/>
              <w:rPr>
                <w:rFonts w:ascii="Arial Narrow" w:hAnsi="Arial Narrow"/>
                <w:b/>
                <w:sz w:val="20"/>
              </w:rPr>
            </w:pPr>
            <w:r w:rsidRPr="001F7D3C">
              <w:rPr>
                <w:rFonts w:ascii="Arial Narrow" w:hAnsi="Arial Narrow"/>
                <w:b/>
                <w:sz w:val="20"/>
              </w:rPr>
              <w:t>Submission</w:t>
            </w:r>
          </w:p>
        </w:tc>
        <w:tc>
          <w:tcPr>
            <w:tcW w:w="772" w:type="pct"/>
          </w:tcPr>
          <w:p w:rsidR="00B14468" w:rsidRPr="001F7D3C" w:rsidRDefault="00B14468" w:rsidP="00CC5579">
            <w:pPr>
              <w:jc w:val="center"/>
              <w:rPr>
                <w:rFonts w:ascii="Arial Narrow" w:hAnsi="Arial Narrow"/>
                <w:b/>
                <w:sz w:val="20"/>
              </w:rPr>
            </w:pPr>
            <w:r w:rsidRPr="001F7D3C">
              <w:rPr>
                <w:rFonts w:ascii="Arial Narrow" w:hAnsi="Arial Narrow"/>
                <w:b/>
                <w:sz w:val="20"/>
              </w:rPr>
              <w:t>Considered at PBAC meeting</w:t>
            </w:r>
          </w:p>
        </w:tc>
        <w:tc>
          <w:tcPr>
            <w:tcW w:w="726" w:type="pct"/>
            <w:shd w:val="clear" w:color="auto" w:fill="auto"/>
            <w:vAlign w:val="center"/>
          </w:tcPr>
          <w:p w:rsidR="00B14468" w:rsidRPr="001F7D3C" w:rsidRDefault="00B14468" w:rsidP="00CC5579">
            <w:pPr>
              <w:jc w:val="center"/>
              <w:rPr>
                <w:rFonts w:ascii="Arial Narrow" w:hAnsi="Arial Narrow"/>
                <w:b/>
                <w:sz w:val="20"/>
              </w:rPr>
            </w:pPr>
            <w:r w:rsidRPr="001F7D3C">
              <w:rPr>
                <w:rFonts w:ascii="Arial Narrow" w:hAnsi="Arial Narrow"/>
                <w:b/>
                <w:sz w:val="20"/>
              </w:rPr>
              <w:t>Submission</w:t>
            </w:r>
          </w:p>
        </w:tc>
        <w:tc>
          <w:tcPr>
            <w:tcW w:w="1225" w:type="pct"/>
          </w:tcPr>
          <w:p w:rsidR="00B14468" w:rsidRPr="001F7D3C" w:rsidRDefault="00B14468" w:rsidP="00CC5579">
            <w:pPr>
              <w:jc w:val="center"/>
              <w:rPr>
                <w:rFonts w:ascii="Arial Narrow" w:hAnsi="Arial Narrow"/>
                <w:b/>
                <w:sz w:val="20"/>
              </w:rPr>
            </w:pPr>
            <w:r w:rsidRPr="001F7D3C">
              <w:rPr>
                <w:rFonts w:ascii="Arial Narrow" w:hAnsi="Arial Narrow"/>
                <w:b/>
                <w:sz w:val="20"/>
              </w:rPr>
              <w:t>Considered at PBAC meeting</w:t>
            </w:r>
          </w:p>
        </w:tc>
        <w:tc>
          <w:tcPr>
            <w:tcW w:w="1134" w:type="pct"/>
            <w:vMerge/>
          </w:tcPr>
          <w:p w:rsidR="00B14468" w:rsidRPr="001F7D3C" w:rsidRDefault="00B14468" w:rsidP="00CC5579">
            <w:pPr>
              <w:jc w:val="center"/>
              <w:rPr>
                <w:rFonts w:ascii="Arial Narrow" w:hAnsi="Arial Narrow"/>
                <w:b/>
                <w:sz w:val="20"/>
              </w:rPr>
            </w:pPr>
          </w:p>
        </w:tc>
      </w:tr>
      <w:tr w:rsidR="00815998" w:rsidRPr="001F7D3C" w:rsidTr="005217C1">
        <w:trPr>
          <w:trHeight w:val="128"/>
        </w:trPr>
        <w:tc>
          <w:tcPr>
            <w:tcW w:w="343" w:type="pct"/>
          </w:tcPr>
          <w:p w:rsidR="00B14468" w:rsidRPr="001F7D3C" w:rsidRDefault="00B14468" w:rsidP="00CC5579">
            <w:pPr>
              <w:rPr>
                <w:rFonts w:ascii="Arial Narrow" w:hAnsi="Arial Narrow"/>
                <w:sz w:val="20"/>
              </w:rPr>
            </w:pPr>
            <w:r w:rsidRPr="001F7D3C">
              <w:rPr>
                <w:rFonts w:ascii="Arial Narrow" w:hAnsi="Arial Narrow"/>
                <w:sz w:val="20"/>
              </w:rPr>
              <w:t>Requested NIP listing</w:t>
            </w:r>
          </w:p>
        </w:tc>
        <w:tc>
          <w:tcPr>
            <w:tcW w:w="1572" w:type="pct"/>
            <w:gridSpan w:val="2"/>
          </w:tcPr>
          <w:p w:rsidR="00B14468" w:rsidRPr="000C33F2" w:rsidRDefault="00B14468" w:rsidP="00425975">
            <w:pPr>
              <w:rPr>
                <w:rFonts w:ascii="Arial Narrow" w:hAnsi="Arial Narrow"/>
                <w:sz w:val="20"/>
              </w:rPr>
            </w:pPr>
            <w:r w:rsidRPr="000C33F2">
              <w:rPr>
                <w:rFonts w:ascii="Arial Narrow" w:hAnsi="Arial Narrow"/>
                <w:sz w:val="20"/>
              </w:rPr>
              <w:t>The inclusion on the NIP Schedule for prevention of meningococcal B disease in infants and adolescents.</w:t>
            </w:r>
          </w:p>
        </w:tc>
        <w:tc>
          <w:tcPr>
            <w:tcW w:w="1951" w:type="pct"/>
            <w:gridSpan w:val="2"/>
          </w:tcPr>
          <w:p w:rsidR="00B14468" w:rsidRPr="000C33F2" w:rsidRDefault="00CC5579" w:rsidP="00CC5579">
            <w:pPr>
              <w:rPr>
                <w:rFonts w:ascii="Arial Narrow" w:hAnsi="Arial Narrow"/>
                <w:sz w:val="20"/>
              </w:rPr>
            </w:pPr>
            <w:r w:rsidRPr="000C33F2">
              <w:rPr>
                <w:rFonts w:ascii="Arial Narrow" w:hAnsi="Arial Narrow"/>
                <w:color w:val="000000" w:themeColor="text1"/>
                <w:sz w:val="20"/>
              </w:rPr>
              <w:t>Unchanged</w:t>
            </w:r>
          </w:p>
        </w:tc>
        <w:tc>
          <w:tcPr>
            <w:tcW w:w="1134" w:type="pct"/>
          </w:tcPr>
          <w:p w:rsidR="00B14468" w:rsidRPr="001F7D3C" w:rsidRDefault="00CC5579" w:rsidP="00CC5579">
            <w:pPr>
              <w:rPr>
                <w:rFonts w:ascii="Arial Narrow" w:hAnsi="Arial Narrow"/>
                <w:sz w:val="20"/>
              </w:rPr>
            </w:pPr>
            <w:r w:rsidRPr="001F7D3C">
              <w:rPr>
                <w:rFonts w:ascii="Arial Narrow" w:hAnsi="Arial Narrow"/>
                <w:color w:val="000000" w:themeColor="text1"/>
                <w:sz w:val="20"/>
              </w:rPr>
              <w:t>Unchanged</w:t>
            </w:r>
          </w:p>
        </w:tc>
      </w:tr>
      <w:tr w:rsidR="00815998" w:rsidRPr="001F7D3C" w:rsidTr="005217C1">
        <w:trPr>
          <w:trHeight w:val="422"/>
        </w:trPr>
        <w:tc>
          <w:tcPr>
            <w:tcW w:w="343" w:type="pct"/>
          </w:tcPr>
          <w:p w:rsidR="00B14468" w:rsidRPr="001F7D3C" w:rsidRDefault="00B14468" w:rsidP="00CC5579">
            <w:pPr>
              <w:rPr>
                <w:rFonts w:ascii="Arial Narrow" w:hAnsi="Arial Narrow"/>
                <w:sz w:val="20"/>
              </w:rPr>
            </w:pPr>
            <w:r w:rsidRPr="001F7D3C">
              <w:rPr>
                <w:rFonts w:ascii="Arial Narrow" w:hAnsi="Arial Narrow"/>
                <w:sz w:val="20"/>
              </w:rPr>
              <w:t>Requested price</w:t>
            </w:r>
          </w:p>
        </w:tc>
        <w:tc>
          <w:tcPr>
            <w:tcW w:w="800" w:type="pct"/>
          </w:tcPr>
          <w:p w:rsidR="00B14468" w:rsidRPr="000C33F2" w:rsidRDefault="00B14468" w:rsidP="00CC5579">
            <w:pPr>
              <w:rPr>
                <w:rFonts w:ascii="Arial Narrow" w:hAnsi="Arial Narrow"/>
                <w:sz w:val="20"/>
              </w:rPr>
            </w:pPr>
            <w:r w:rsidRPr="000C33F2">
              <w:rPr>
                <w:rFonts w:ascii="Arial Narrow" w:hAnsi="Arial Narrow"/>
                <w:sz w:val="20"/>
              </w:rPr>
              <w:t>$</w:t>
            </w:r>
            <w:r w:rsidR="00676FE1">
              <w:rPr>
                <w:rFonts w:ascii="Arial Narrow" w:hAnsi="Arial Narrow"/>
                <w:noProof/>
                <w:color w:val="000000"/>
                <w:sz w:val="20"/>
                <w:highlight w:val="black"/>
              </w:rPr>
              <w:t>'''''</w:t>
            </w:r>
            <w:r w:rsidRPr="000C33F2">
              <w:rPr>
                <w:rFonts w:ascii="Arial Narrow" w:hAnsi="Arial Narrow"/>
                <w:sz w:val="20"/>
              </w:rPr>
              <w:t xml:space="preserve"> per dose, plus </w:t>
            </w:r>
            <w:r w:rsidR="00676FE1">
              <w:rPr>
                <w:rFonts w:ascii="Arial Narrow" w:hAnsi="Arial Narrow"/>
                <w:noProof/>
                <w:color w:val="000000"/>
                <w:sz w:val="20"/>
                <w:highlight w:val="black"/>
              </w:rPr>
              <w:t>''''''</w:t>
            </w:r>
            <w:r w:rsidRPr="000C33F2">
              <w:rPr>
                <w:rFonts w:ascii="Arial Narrow" w:hAnsi="Arial Narrow"/>
                <w:sz w:val="20"/>
              </w:rPr>
              <w:t>% discount in the catch-up program.</w:t>
            </w:r>
          </w:p>
        </w:tc>
        <w:tc>
          <w:tcPr>
            <w:tcW w:w="772" w:type="pct"/>
          </w:tcPr>
          <w:p w:rsidR="00B14468" w:rsidRPr="000C33F2" w:rsidRDefault="00B14468" w:rsidP="00CC5579">
            <w:pPr>
              <w:rPr>
                <w:rFonts w:ascii="Arial Narrow" w:hAnsi="Arial Narrow"/>
                <w:sz w:val="20"/>
              </w:rPr>
            </w:pPr>
            <w:r w:rsidRPr="000C33F2">
              <w:rPr>
                <w:rFonts w:ascii="Arial Narrow" w:hAnsi="Arial Narrow"/>
                <w:sz w:val="20"/>
              </w:rPr>
              <w:t>$</w:t>
            </w:r>
            <w:r w:rsidR="00676FE1">
              <w:rPr>
                <w:rFonts w:ascii="Arial Narrow" w:hAnsi="Arial Narrow"/>
                <w:noProof/>
                <w:color w:val="000000"/>
                <w:sz w:val="20"/>
                <w:highlight w:val="black"/>
              </w:rPr>
              <w:t>''''''</w:t>
            </w:r>
            <w:r w:rsidRPr="000C33F2">
              <w:rPr>
                <w:rFonts w:ascii="Arial Narrow" w:hAnsi="Arial Narrow"/>
                <w:sz w:val="20"/>
              </w:rPr>
              <w:t xml:space="preserve"> per dose.</w:t>
            </w:r>
          </w:p>
        </w:tc>
        <w:tc>
          <w:tcPr>
            <w:tcW w:w="726" w:type="pct"/>
          </w:tcPr>
          <w:p w:rsidR="00B14468" w:rsidRPr="000C33F2" w:rsidRDefault="00B14468" w:rsidP="00CC5579">
            <w:pPr>
              <w:rPr>
                <w:rFonts w:ascii="Arial Narrow" w:hAnsi="Arial Narrow"/>
                <w:sz w:val="20"/>
              </w:rPr>
            </w:pPr>
            <w:r w:rsidRPr="000C33F2">
              <w:rPr>
                <w:rFonts w:ascii="Arial Narrow" w:hAnsi="Arial Narrow"/>
                <w:sz w:val="20"/>
              </w:rPr>
              <w:t>$</w:t>
            </w:r>
            <w:r w:rsidR="00676FE1">
              <w:rPr>
                <w:rFonts w:ascii="Arial Narrow" w:hAnsi="Arial Narrow"/>
                <w:noProof/>
                <w:color w:val="000000"/>
                <w:sz w:val="20"/>
                <w:highlight w:val="black"/>
              </w:rPr>
              <w:t>'''''''</w:t>
            </w:r>
            <w:r w:rsidRPr="000C33F2">
              <w:rPr>
                <w:rFonts w:ascii="Arial Narrow" w:hAnsi="Arial Narrow"/>
                <w:sz w:val="20"/>
              </w:rPr>
              <w:t xml:space="preserve"> per dose, plus </w:t>
            </w:r>
            <w:r w:rsidR="00676FE1">
              <w:rPr>
                <w:rFonts w:ascii="Arial Narrow" w:hAnsi="Arial Narrow"/>
                <w:noProof/>
                <w:color w:val="000000"/>
                <w:sz w:val="20"/>
                <w:highlight w:val="black"/>
              </w:rPr>
              <w:t>''''''</w:t>
            </w:r>
            <w:r w:rsidRPr="000C33F2">
              <w:rPr>
                <w:rFonts w:ascii="Arial Narrow" w:hAnsi="Arial Narrow"/>
                <w:sz w:val="20"/>
              </w:rPr>
              <w:t>% discount in the catch-up program.</w:t>
            </w:r>
          </w:p>
        </w:tc>
        <w:tc>
          <w:tcPr>
            <w:tcW w:w="1225" w:type="pct"/>
          </w:tcPr>
          <w:p w:rsidR="00B14468" w:rsidRPr="009B1369" w:rsidRDefault="00B14468" w:rsidP="00DA4020">
            <w:pPr>
              <w:rPr>
                <w:rFonts w:ascii="Arial Narrow" w:hAnsi="Arial Narrow"/>
                <w:sz w:val="20"/>
              </w:rPr>
            </w:pPr>
            <w:r w:rsidRPr="009B1369">
              <w:rPr>
                <w:rFonts w:ascii="Arial Narrow" w:hAnsi="Arial Narrow"/>
                <w:sz w:val="20"/>
              </w:rPr>
              <w:t>$</w:t>
            </w:r>
            <w:r w:rsidR="00676FE1">
              <w:rPr>
                <w:rFonts w:ascii="Arial Narrow" w:hAnsi="Arial Narrow"/>
                <w:noProof/>
                <w:color w:val="000000"/>
                <w:sz w:val="20"/>
                <w:highlight w:val="black"/>
              </w:rPr>
              <w:t>''''''</w:t>
            </w:r>
            <w:r w:rsidRPr="009B1369">
              <w:rPr>
                <w:rFonts w:ascii="Arial Narrow" w:hAnsi="Arial Narrow"/>
                <w:sz w:val="20"/>
              </w:rPr>
              <w:t xml:space="preserve"> per dose, plus </w:t>
            </w:r>
            <w:r w:rsidR="00676FE1">
              <w:rPr>
                <w:rFonts w:ascii="Arial Narrow" w:hAnsi="Arial Narrow"/>
                <w:noProof/>
                <w:color w:val="000000"/>
                <w:sz w:val="20"/>
                <w:highlight w:val="black"/>
              </w:rPr>
              <w:t>''''''</w:t>
            </w:r>
            <w:r w:rsidRPr="009B1369">
              <w:rPr>
                <w:rFonts w:ascii="Arial Narrow" w:hAnsi="Arial Narrow"/>
                <w:sz w:val="20"/>
              </w:rPr>
              <w:t xml:space="preserve">% discount in the catch-up program, </w:t>
            </w:r>
            <w:r w:rsidR="00676FE1">
              <w:rPr>
                <w:rFonts w:ascii="Arial Narrow" w:hAnsi="Arial Narrow"/>
                <w:noProof/>
                <w:color w:val="000000"/>
                <w:sz w:val="20"/>
                <w:highlight w:val="black"/>
              </w:rPr>
              <w:t>''''''''''' ''''''''' ''''''''''''''''' '''' '''''''''' '''' '''''''' ''''''''''''''''''''''' '''''''''''''''''' ''''''''''''''</w:t>
            </w:r>
            <w:r w:rsidR="00DA4020" w:rsidRPr="009B1369">
              <w:rPr>
                <w:rFonts w:ascii="Arial Narrow" w:hAnsi="Arial Narrow"/>
                <w:sz w:val="20"/>
              </w:rPr>
              <w:t>.</w:t>
            </w:r>
          </w:p>
        </w:tc>
        <w:tc>
          <w:tcPr>
            <w:tcW w:w="1134" w:type="pct"/>
          </w:tcPr>
          <w:p w:rsidR="00B14468" w:rsidRPr="009B1369" w:rsidRDefault="00B14468" w:rsidP="00815998">
            <w:pPr>
              <w:rPr>
                <w:rFonts w:ascii="Arial Narrow" w:hAnsi="Arial Narrow"/>
                <w:sz w:val="20"/>
              </w:rPr>
            </w:pPr>
            <w:r w:rsidRPr="009B1369">
              <w:rPr>
                <w:rFonts w:ascii="Arial Narrow" w:hAnsi="Arial Narrow"/>
                <w:sz w:val="20"/>
              </w:rPr>
              <w:t>$</w:t>
            </w:r>
            <w:r w:rsidR="00676FE1">
              <w:rPr>
                <w:rFonts w:ascii="Arial Narrow" w:hAnsi="Arial Narrow"/>
                <w:noProof/>
                <w:color w:val="000000"/>
                <w:sz w:val="20"/>
                <w:highlight w:val="black"/>
              </w:rPr>
              <w:t>''''''</w:t>
            </w:r>
            <w:r w:rsidRPr="009B1369">
              <w:rPr>
                <w:rFonts w:ascii="Arial Narrow" w:hAnsi="Arial Narrow"/>
                <w:sz w:val="20"/>
              </w:rPr>
              <w:t xml:space="preserve"> per dose, plus </w:t>
            </w:r>
            <w:r w:rsidR="00676FE1">
              <w:rPr>
                <w:rFonts w:ascii="Arial Narrow" w:hAnsi="Arial Narrow"/>
                <w:noProof/>
                <w:color w:val="000000"/>
                <w:sz w:val="20"/>
                <w:highlight w:val="black"/>
              </w:rPr>
              <w:t>'''''''' '''''''''''''''' '''' '''''''''' ''''' '''''''' ''''''''''''''''''''''''' '''''''''''''''''''' '''''''''''''''</w:t>
            </w:r>
            <w:r w:rsidRPr="009B1369">
              <w:rPr>
                <w:rFonts w:ascii="Arial Narrow" w:hAnsi="Arial Narrow"/>
                <w:sz w:val="20"/>
              </w:rPr>
              <w:t xml:space="preserve"> should the preferred vaccination program be implemented (</w:t>
            </w:r>
            <w:r w:rsidR="00815998" w:rsidRPr="009B1369">
              <w:rPr>
                <w:rFonts w:ascii="Arial Narrow" w:hAnsi="Arial Narrow"/>
                <w:sz w:val="20"/>
              </w:rPr>
              <w:t>#5</w:t>
            </w:r>
            <w:r w:rsidR="00DA4020" w:rsidRPr="009B1369">
              <w:rPr>
                <w:rFonts w:ascii="Arial Narrow" w:hAnsi="Arial Narrow"/>
                <w:sz w:val="20"/>
              </w:rPr>
              <w:t>)</w:t>
            </w:r>
            <w:r w:rsidRPr="009B1369">
              <w:rPr>
                <w:rFonts w:ascii="Arial Narrow" w:hAnsi="Arial Narrow"/>
                <w:sz w:val="20"/>
              </w:rPr>
              <w:t>.</w:t>
            </w:r>
          </w:p>
        </w:tc>
      </w:tr>
      <w:tr w:rsidR="00815998" w:rsidRPr="001F7D3C" w:rsidTr="005217C1">
        <w:trPr>
          <w:trHeight w:val="144"/>
        </w:trPr>
        <w:tc>
          <w:tcPr>
            <w:tcW w:w="343" w:type="pct"/>
          </w:tcPr>
          <w:p w:rsidR="00B14468" w:rsidRPr="001F7D3C" w:rsidRDefault="00B14468" w:rsidP="00CC5579">
            <w:pPr>
              <w:rPr>
                <w:rFonts w:ascii="Arial Narrow" w:hAnsi="Arial Narrow"/>
                <w:sz w:val="20"/>
              </w:rPr>
            </w:pPr>
            <w:r w:rsidRPr="001F7D3C">
              <w:rPr>
                <w:rFonts w:ascii="Arial Narrow" w:hAnsi="Arial Narrow"/>
                <w:sz w:val="20"/>
              </w:rPr>
              <w:t>Main comparator</w:t>
            </w:r>
          </w:p>
        </w:tc>
        <w:tc>
          <w:tcPr>
            <w:tcW w:w="1572" w:type="pct"/>
            <w:gridSpan w:val="2"/>
          </w:tcPr>
          <w:p w:rsidR="00425975" w:rsidRPr="001F7D3C" w:rsidRDefault="00B14468" w:rsidP="00425975">
            <w:pPr>
              <w:rPr>
                <w:rFonts w:ascii="Arial Narrow" w:hAnsi="Arial Narrow"/>
                <w:color w:val="000000" w:themeColor="text1"/>
                <w:sz w:val="20"/>
              </w:rPr>
            </w:pPr>
            <w:r w:rsidRPr="001F7D3C">
              <w:rPr>
                <w:rFonts w:ascii="Arial Narrow" w:hAnsi="Arial Narrow"/>
                <w:color w:val="000000" w:themeColor="text1"/>
                <w:sz w:val="20"/>
              </w:rPr>
              <w:t>No vaccination.</w:t>
            </w:r>
          </w:p>
          <w:p w:rsidR="00425975" w:rsidRPr="001F7D3C" w:rsidRDefault="00425975" w:rsidP="00425975">
            <w:pPr>
              <w:rPr>
                <w:rFonts w:ascii="Arial Narrow" w:hAnsi="Arial Narrow"/>
                <w:color w:val="000000" w:themeColor="text1"/>
                <w:sz w:val="20"/>
              </w:rPr>
            </w:pPr>
          </w:p>
          <w:p w:rsidR="00B14468" w:rsidRPr="001F7D3C" w:rsidRDefault="00B14468" w:rsidP="00425975">
            <w:pPr>
              <w:rPr>
                <w:rFonts w:ascii="Arial Narrow" w:hAnsi="Arial Narrow"/>
                <w:color w:val="000000" w:themeColor="text1"/>
                <w:sz w:val="20"/>
              </w:rPr>
            </w:pPr>
            <w:r w:rsidRPr="001F7D3C">
              <w:rPr>
                <w:rFonts w:ascii="Arial Narrow" w:hAnsi="Arial Narrow"/>
                <w:b/>
                <w:color w:val="000000" w:themeColor="text1"/>
                <w:sz w:val="20"/>
              </w:rPr>
              <w:t>PBAC Comment:</w:t>
            </w:r>
            <w:r w:rsidRPr="001F7D3C">
              <w:rPr>
                <w:rFonts w:ascii="Arial Narrow" w:hAnsi="Arial Narrow"/>
                <w:color w:val="000000" w:themeColor="text1"/>
                <w:sz w:val="20"/>
              </w:rPr>
              <w:t xml:space="preserve"> The PBAC agreed that the nominated comparator was appropriate (item 5.2).</w:t>
            </w:r>
          </w:p>
        </w:tc>
        <w:tc>
          <w:tcPr>
            <w:tcW w:w="1951" w:type="pct"/>
            <w:gridSpan w:val="2"/>
          </w:tcPr>
          <w:p w:rsidR="00B14468" w:rsidRPr="001F7D3C" w:rsidRDefault="00CC5579" w:rsidP="00B14468">
            <w:pPr>
              <w:rPr>
                <w:rFonts w:ascii="Arial Narrow" w:hAnsi="Arial Narrow"/>
                <w:color w:val="000000" w:themeColor="text1"/>
                <w:sz w:val="20"/>
              </w:rPr>
            </w:pPr>
            <w:r w:rsidRPr="001F7D3C">
              <w:rPr>
                <w:rFonts w:ascii="Arial Narrow" w:hAnsi="Arial Narrow"/>
                <w:color w:val="000000" w:themeColor="text1"/>
                <w:sz w:val="20"/>
              </w:rPr>
              <w:t>Unchanged</w:t>
            </w:r>
          </w:p>
        </w:tc>
        <w:tc>
          <w:tcPr>
            <w:tcW w:w="1134" w:type="pct"/>
          </w:tcPr>
          <w:p w:rsidR="00B14468" w:rsidRPr="001F7D3C" w:rsidRDefault="00CC5579" w:rsidP="00CC5579">
            <w:pPr>
              <w:rPr>
                <w:rFonts w:ascii="Arial Narrow" w:hAnsi="Arial Narrow"/>
                <w:color w:val="000000" w:themeColor="text1"/>
                <w:sz w:val="20"/>
              </w:rPr>
            </w:pPr>
            <w:r w:rsidRPr="001F7D3C">
              <w:rPr>
                <w:rFonts w:ascii="Arial Narrow" w:hAnsi="Arial Narrow"/>
                <w:color w:val="000000" w:themeColor="text1"/>
                <w:sz w:val="20"/>
              </w:rPr>
              <w:t>Unchanged</w:t>
            </w:r>
          </w:p>
        </w:tc>
      </w:tr>
      <w:tr w:rsidR="00815998" w:rsidRPr="001F7D3C" w:rsidTr="005217C1">
        <w:trPr>
          <w:trHeight w:val="144"/>
        </w:trPr>
        <w:tc>
          <w:tcPr>
            <w:tcW w:w="343" w:type="pct"/>
          </w:tcPr>
          <w:p w:rsidR="00DA4020" w:rsidRPr="001F7D3C" w:rsidRDefault="00DA4020" w:rsidP="00CC5579">
            <w:pPr>
              <w:rPr>
                <w:rFonts w:ascii="Arial Narrow" w:hAnsi="Arial Narrow"/>
                <w:sz w:val="20"/>
              </w:rPr>
            </w:pPr>
            <w:r w:rsidRPr="001F7D3C">
              <w:rPr>
                <w:rFonts w:ascii="Arial Narrow" w:hAnsi="Arial Narrow"/>
                <w:sz w:val="20"/>
              </w:rPr>
              <w:t>Vaccination programs</w:t>
            </w:r>
          </w:p>
        </w:tc>
        <w:tc>
          <w:tcPr>
            <w:tcW w:w="1572" w:type="pct"/>
            <w:gridSpan w:val="2"/>
          </w:tcPr>
          <w:p w:rsidR="00DA4020" w:rsidRPr="001F7D3C" w:rsidRDefault="00B42215" w:rsidP="00DA4020">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1. Routine infant schedule (four doses at 2, 4, 6 and 12 months);</w:t>
            </w:r>
          </w:p>
          <w:p w:rsidR="00DA4020" w:rsidRPr="001F7D3C" w:rsidRDefault="00B42215" w:rsidP="00DA4020">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2. Routine adolescent schedule (two doses at 15 years);</w:t>
            </w:r>
          </w:p>
          <w:p w:rsidR="00DA4020" w:rsidRPr="001F7D3C" w:rsidRDefault="00B42215" w:rsidP="00DA4020">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3. Routine infant and adolescent schedules;</w:t>
            </w:r>
          </w:p>
          <w:p w:rsidR="00DA4020" w:rsidRPr="001F7D3C" w:rsidRDefault="00B42215" w:rsidP="00DA4020">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 xml:space="preserve">4. Routine infant and adolescent schedules with catch-up for older infants and toddlers (two to three doses); </w:t>
            </w:r>
          </w:p>
          <w:p w:rsidR="00DA4020" w:rsidRPr="001F7D3C" w:rsidRDefault="00B42215" w:rsidP="00DA4020">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5. Routine infant and adolescent schedules with catch-up for adolescents (two doses);</w:t>
            </w:r>
          </w:p>
          <w:p w:rsidR="00DA4020" w:rsidRPr="001F7D3C" w:rsidRDefault="00B42215" w:rsidP="00DA4020">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6. Routine infant and adolescent with catch-up for older infants and toddlers and adolescents.</w:t>
            </w:r>
          </w:p>
        </w:tc>
        <w:tc>
          <w:tcPr>
            <w:tcW w:w="1951" w:type="pct"/>
            <w:gridSpan w:val="2"/>
          </w:tcPr>
          <w:p w:rsidR="00DA4020" w:rsidRPr="001F7D3C" w:rsidRDefault="00B42215" w:rsidP="00B14468">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1. Routine infant and adolescent with catch-up for older infants and toddlers and adolescents.</w:t>
            </w:r>
          </w:p>
        </w:tc>
        <w:tc>
          <w:tcPr>
            <w:tcW w:w="1134" w:type="pct"/>
          </w:tcPr>
          <w:p w:rsidR="00DA4020" w:rsidRPr="001F7D3C" w:rsidRDefault="00B42215" w:rsidP="00DA4020">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1. Routine infant schedule (four doses at 2, 4, 6 and 12 months);</w:t>
            </w:r>
          </w:p>
          <w:p w:rsidR="00DA4020" w:rsidRPr="001F7D3C" w:rsidRDefault="00B42215" w:rsidP="00DA4020">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 xml:space="preserve">2. Routine infant schedule with catch-up for older infants and toddlers (two to three doses) </w:t>
            </w:r>
            <w:r w:rsidR="00DA4020" w:rsidRPr="001F7D3C">
              <w:rPr>
                <w:rFonts w:ascii="Arial Narrow" w:hAnsi="Arial Narrow"/>
                <w:b/>
                <w:color w:val="000000" w:themeColor="text1"/>
                <w:sz w:val="20"/>
              </w:rPr>
              <w:t>(new)</w:t>
            </w:r>
            <w:r w:rsidR="005217C1" w:rsidRPr="001F7D3C">
              <w:rPr>
                <w:rFonts w:ascii="Arial Narrow" w:hAnsi="Arial Narrow"/>
                <w:color w:val="000000" w:themeColor="text1"/>
                <w:sz w:val="20"/>
              </w:rPr>
              <w:t>;</w:t>
            </w:r>
          </w:p>
          <w:p w:rsidR="00DA4020" w:rsidRPr="001F7D3C" w:rsidRDefault="00B42215" w:rsidP="00DA4020">
            <w:pPr>
              <w:rPr>
                <w:rFonts w:ascii="Arial Narrow" w:hAnsi="Arial Narrow"/>
                <w:color w:val="000000" w:themeColor="text1"/>
                <w:sz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3. Routine adolescent schedule (two doses at 15 years);</w:t>
            </w:r>
          </w:p>
          <w:p w:rsidR="00DA4020" w:rsidRPr="001F7D3C" w:rsidRDefault="00B42215" w:rsidP="00DA4020">
            <w:pPr>
              <w:rPr>
                <w:rFonts w:ascii="Arial Narrow" w:hAnsi="Arial Narrow" w:cs="Arial"/>
                <w:bCs/>
                <w:sz w:val="20"/>
                <w:szCs w:val="20"/>
              </w:rPr>
            </w:pPr>
            <w:r w:rsidRPr="001F7D3C">
              <w:rPr>
                <w:rFonts w:ascii="Arial Narrow" w:hAnsi="Arial Narrow"/>
                <w:color w:val="000000" w:themeColor="text1"/>
                <w:sz w:val="20"/>
              </w:rPr>
              <w:t>#</w:t>
            </w:r>
            <w:r w:rsidR="00DA4020" w:rsidRPr="001F7D3C">
              <w:rPr>
                <w:rFonts w:ascii="Arial Narrow" w:hAnsi="Arial Narrow"/>
                <w:color w:val="000000" w:themeColor="text1"/>
                <w:sz w:val="20"/>
              </w:rPr>
              <w:t xml:space="preserve">4. Routine adolescent with catch-up for adolescents </w:t>
            </w:r>
            <w:r w:rsidR="00DA4020" w:rsidRPr="001F7D3C">
              <w:rPr>
                <w:rFonts w:ascii="Arial Narrow" w:hAnsi="Arial Narrow"/>
                <w:b/>
                <w:color w:val="000000" w:themeColor="text1"/>
                <w:sz w:val="20"/>
              </w:rPr>
              <w:t>(new)</w:t>
            </w:r>
            <w:r w:rsidR="00DA4020" w:rsidRPr="001F7D3C">
              <w:rPr>
                <w:rFonts w:ascii="Arial Narrow" w:hAnsi="Arial Narrow"/>
                <w:color w:val="000000" w:themeColor="text1"/>
                <w:sz w:val="20"/>
              </w:rPr>
              <w:t>;</w:t>
            </w:r>
          </w:p>
          <w:p w:rsidR="00DA4020" w:rsidRPr="001F7D3C" w:rsidRDefault="00B42215" w:rsidP="00DA4020">
            <w:pPr>
              <w:rPr>
                <w:rFonts w:ascii="Arial Narrow" w:hAnsi="Arial Narrow"/>
                <w:color w:val="000000" w:themeColor="text1"/>
                <w:sz w:val="20"/>
              </w:rPr>
            </w:pPr>
            <w:r w:rsidRPr="001F7D3C">
              <w:rPr>
                <w:rFonts w:ascii="Arial Narrow" w:hAnsi="Arial Narrow" w:cs="Arial"/>
                <w:bCs/>
                <w:sz w:val="20"/>
                <w:szCs w:val="20"/>
              </w:rPr>
              <w:t>#</w:t>
            </w:r>
            <w:r w:rsidR="00DA4020" w:rsidRPr="001F7D3C">
              <w:rPr>
                <w:rFonts w:ascii="Arial Narrow" w:hAnsi="Arial Narrow" w:cs="Arial"/>
                <w:bCs/>
                <w:sz w:val="20"/>
                <w:szCs w:val="20"/>
              </w:rPr>
              <w:t xml:space="preserve">5. </w:t>
            </w:r>
            <w:r w:rsidR="00DA4020" w:rsidRPr="001F7D3C">
              <w:rPr>
                <w:rFonts w:ascii="Arial Narrow" w:hAnsi="Arial Narrow"/>
                <w:color w:val="000000" w:themeColor="text1"/>
                <w:sz w:val="20"/>
              </w:rPr>
              <w:t>Routine infant and adolescent with catch-up for older infants and toddlers and adolescents.</w:t>
            </w:r>
          </w:p>
        </w:tc>
      </w:tr>
      <w:tr w:rsidR="00815998" w:rsidRPr="001F7D3C" w:rsidTr="005217C1">
        <w:trPr>
          <w:trHeight w:val="64"/>
        </w:trPr>
        <w:tc>
          <w:tcPr>
            <w:tcW w:w="343" w:type="pct"/>
          </w:tcPr>
          <w:p w:rsidR="00B14468" w:rsidRPr="001F7D3C" w:rsidRDefault="00B14468" w:rsidP="00CC5579">
            <w:pPr>
              <w:rPr>
                <w:rFonts w:ascii="Arial Narrow" w:hAnsi="Arial Narrow"/>
                <w:sz w:val="20"/>
              </w:rPr>
            </w:pPr>
            <w:r w:rsidRPr="001F7D3C">
              <w:rPr>
                <w:rFonts w:ascii="Arial Narrow" w:hAnsi="Arial Narrow"/>
                <w:sz w:val="20"/>
              </w:rPr>
              <w:t>Clinical evidence</w:t>
            </w:r>
          </w:p>
        </w:tc>
        <w:tc>
          <w:tcPr>
            <w:tcW w:w="1572" w:type="pct"/>
            <w:gridSpan w:val="2"/>
          </w:tcPr>
          <w:p w:rsidR="00B14468" w:rsidRPr="001F7D3C" w:rsidRDefault="00B14468" w:rsidP="00CC5579">
            <w:pPr>
              <w:rPr>
                <w:rFonts w:ascii="Arial Narrow" w:hAnsi="Arial Narrow"/>
                <w:color w:val="000000" w:themeColor="text1"/>
                <w:sz w:val="20"/>
              </w:rPr>
            </w:pPr>
            <w:r w:rsidRPr="001F7D3C">
              <w:rPr>
                <w:rFonts w:ascii="Arial Narrow" w:hAnsi="Arial Narrow"/>
                <w:color w:val="000000" w:themeColor="text1"/>
                <w:sz w:val="20"/>
              </w:rPr>
              <w:t>Clinical evidence presented:</w:t>
            </w:r>
          </w:p>
          <w:p w:rsidR="00B14468" w:rsidRPr="001F7D3C" w:rsidRDefault="00B14468" w:rsidP="005217C1">
            <w:pPr>
              <w:pStyle w:val="Default"/>
              <w:numPr>
                <w:ilvl w:val="0"/>
                <w:numId w:val="9"/>
              </w:numPr>
              <w:ind w:left="357" w:hanging="357"/>
              <w:rPr>
                <w:rFonts w:ascii="Arial Narrow" w:hAnsi="Arial Narrow"/>
                <w:color w:val="000000" w:themeColor="text1"/>
                <w:sz w:val="20"/>
                <w:szCs w:val="20"/>
                <w:lang w:val="en-AU"/>
              </w:rPr>
            </w:pPr>
            <w:r w:rsidRPr="001F7D3C">
              <w:rPr>
                <w:rFonts w:ascii="Arial Narrow" w:hAnsi="Arial Narrow"/>
                <w:color w:val="000000" w:themeColor="text1"/>
                <w:sz w:val="20"/>
                <w:szCs w:val="20"/>
                <w:lang w:val="en-AU"/>
              </w:rPr>
              <w:t>Two RCTs comparing 4CMenB to placebo (Studies V72P12 and V72P13), in infants aged 2 months at entry, receiving 3 doses (primary vaccination). A meta-analysis of these studies. Three extension studies: Study V72P12 had one extension phase (E1) and Study V72P13 had two extension phases (E1 and E2). Evidence from Studies V72P12E1 and V72P13E1 were presented in support of a booster dose at 12 months.</w:t>
            </w:r>
          </w:p>
          <w:p w:rsidR="00B14468" w:rsidRPr="001F7D3C" w:rsidRDefault="00B14468" w:rsidP="005217C1">
            <w:pPr>
              <w:pStyle w:val="Default"/>
              <w:numPr>
                <w:ilvl w:val="0"/>
                <w:numId w:val="9"/>
              </w:numPr>
              <w:ind w:left="357" w:hanging="357"/>
              <w:rPr>
                <w:rFonts w:ascii="Arial Narrow" w:hAnsi="Arial Narrow"/>
                <w:color w:val="000000" w:themeColor="text1"/>
                <w:sz w:val="20"/>
                <w:szCs w:val="20"/>
                <w:lang w:val="en-AU"/>
              </w:rPr>
            </w:pPr>
            <w:r w:rsidRPr="001F7D3C">
              <w:rPr>
                <w:rFonts w:ascii="Arial Narrow" w:hAnsi="Arial Narrow"/>
                <w:color w:val="000000" w:themeColor="text1"/>
                <w:sz w:val="20"/>
                <w:szCs w:val="20"/>
                <w:lang w:val="en-AU"/>
              </w:rPr>
              <w:t>One RCT comparing 4CMenB to placebo (Study V72P10), in adolescents 11 to 17 years. One extension study, V72P10E1, to demonstrate persistence of effect.</w:t>
            </w:r>
          </w:p>
          <w:p w:rsidR="00B14468" w:rsidRPr="001F7D3C" w:rsidRDefault="00B14468" w:rsidP="005217C1">
            <w:pPr>
              <w:pStyle w:val="Default"/>
              <w:numPr>
                <w:ilvl w:val="0"/>
                <w:numId w:val="9"/>
              </w:numPr>
              <w:ind w:left="357" w:hanging="357"/>
              <w:rPr>
                <w:rFonts w:ascii="Arial Narrow" w:hAnsi="Arial Narrow"/>
                <w:color w:val="000000" w:themeColor="text1"/>
                <w:sz w:val="20"/>
              </w:rPr>
            </w:pPr>
            <w:r w:rsidRPr="001F7D3C">
              <w:rPr>
                <w:rFonts w:ascii="Arial Narrow" w:hAnsi="Arial Narrow"/>
                <w:color w:val="000000" w:themeColor="text1"/>
                <w:sz w:val="20"/>
                <w:szCs w:val="20"/>
                <w:lang w:val="en-AU"/>
              </w:rPr>
              <w:t>One RCT that assessed the effect of 4CMenB (2 doses) on the reduction in meningococcal B nasopharyngeal carriage in university students aged 18-24 years in the UK (Study V72_29).</w:t>
            </w:r>
          </w:p>
        </w:tc>
        <w:tc>
          <w:tcPr>
            <w:tcW w:w="1951" w:type="pct"/>
            <w:gridSpan w:val="2"/>
          </w:tcPr>
          <w:p w:rsidR="00B14468" w:rsidRPr="001F7D3C" w:rsidRDefault="00CC5579" w:rsidP="00CC5579">
            <w:pPr>
              <w:rPr>
                <w:rFonts w:ascii="Arial Narrow" w:hAnsi="Arial Narrow"/>
                <w:color w:val="000000" w:themeColor="text1"/>
                <w:sz w:val="20"/>
              </w:rPr>
            </w:pPr>
            <w:r w:rsidRPr="001F7D3C">
              <w:rPr>
                <w:rFonts w:ascii="Arial Narrow" w:hAnsi="Arial Narrow"/>
                <w:color w:val="000000" w:themeColor="text1"/>
                <w:sz w:val="20"/>
              </w:rPr>
              <w:t xml:space="preserve">Unchanged. </w:t>
            </w:r>
            <w:r w:rsidR="00B14468" w:rsidRPr="001F7D3C">
              <w:rPr>
                <w:rFonts w:ascii="Arial Narrow" w:hAnsi="Arial Narrow"/>
                <w:color w:val="000000" w:themeColor="text1"/>
                <w:sz w:val="20"/>
              </w:rPr>
              <w:t>Updated literature review, but identified no new studies. Additional data on:</w:t>
            </w:r>
          </w:p>
          <w:p w:rsidR="00B14468" w:rsidRPr="001F7D3C" w:rsidRDefault="00B14468" w:rsidP="005217C1">
            <w:pPr>
              <w:pStyle w:val="Default"/>
              <w:numPr>
                <w:ilvl w:val="0"/>
                <w:numId w:val="9"/>
              </w:numPr>
              <w:ind w:left="357" w:hanging="357"/>
              <w:rPr>
                <w:rFonts w:ascii="Arial Narrow" w:hAnsi="Arial Narrow"/>
                <w:color w:val="000000" w:themeColor="text1"/>
                <w:sz w:val="20"/>
                <w:szCs w:val="20"/>
                <w:lang w:val="en-AU"/>
              </w:rPr>
            </w:pPr>
            <w:r w:rsidRPr="001F7D3C">
              <w:rPr>
                <w:rFonts w:ascii="Arial Narrow" w:hAnsi="Arial Narrow"/>
                <w:color w:val="000000" w:themeColor="text1"/>
                <w:sz w:val="20"/>
                <w:szCs w:val="20"/>
                <w:lang w:val="en-AU"/>
              </w:rPr>
              <w:t>Concomitant use of 4CMenB with rotavirus vaccine, based on subgroup analysis of studies V72P12 and V72P13.</w:t>
            </w:r>
          </w:p>
          <w:p w:rsidR="00B14468" w:rsidRPr="001F7D3C" w:rsidRDefault="00B14468" w:rsidP="005217C1">
            <w:pPr>
              <w:pStyle w:val="Default"/>
              <w:numPr>
                <w:ilvl w:val="0"/>
                <w:numId w:val="9"/>
              </w:numPr>
              <w:ind w:left="357" w:hanging="357"/>
              <w:rPr>
                <w:rFonts w:ascii="Arial Narrow" w:hAnsi="Arial Narrow"/>
                <w:color w:val="000000" w:themeColor="text1"/>
                <w:sz w:val="20"/>
                <w:szCs w:val="20"/>
                <w:lang w:val="en-AU"/>
              </w:rPr>
            </w:pPr>
            <w:r w:rsidRPr="001F7D3C">
              <w:rPr>
                <w:rFonts w:ascii="Arial Narrow" w:hAnsi="Arial Narrow"/>
                <w:color w:val="000000" w:themeColor="text1"/>
                <w:sz w:val="20"/>
                <w:szCs w:val="20"/>
                <w:lang w:val="en-AU"/>
              </w:rPr>
              <w:t>Safety data from CDC report on use of 4CMenB among young adults to address two University-based Meningococcal B disease outbreaks in the US.</w:t>
            </w:r>
          </w:p>
          <w:p w:rsidR="00B14468" w:rsidRPr="001F7D3C" w:rsidRDefault="00B14468" w:rsidP="00CC5579">
            <w:pPr>
              <w:rPr>
                <w:rFonts w:ascii="Arial Narrow" w:hAnsi="Arial Narrow"/>
                <w:color w:val="000000" w:themeColor="text1"/>
                <w:sz w:val="20"/>
              </w:rPr>
            </w:pPr>
            <w:r w:rsidRPr="001F7D3C">
              <w:rPr>
                <w:rFonts w:ascii="Arial Narrow" w:hAnsi="Arial Narrow"/>
                <w:color w:val="000000" w:themeColor="text1"/>
                <w:sz w:val="20"/>
                <w:szCs w:val="20"/>
              </w:rPr>
              <w:t>Updated Safety Risk Management Plan.</w:t>
            </w:r>
          </w:p>
        </w:tc>
        <w:tc>
          <w:tcPr>
            <w:tcW w:w="1134" w:type="pct"/>
          </w:tcPr>
          <w:p w:rsidR="00B14468" w:rsidRPr="001F7D3C" w:rsidRDefault="00CC5579" w:rsidP="00CC5579">
            <w:pPr>
              <w:rPr>
                <w:rFonts w:ascii="Arial Narrow" w:hAnsi="Arial Narrow"/>
                <w:color w:val="000000" w:themeColor="text1"/>
                <w:sz w:val="20"/>
                <w:szCs w:val="20"/>
              </w:rPr>
            </w:pPr>
            <w:r w:rsidRPr="001F7D3C">
              <w:rPr>
                <w:rFonts w:ascii="Arial Narrow" w:hAnsi="Arial Narrow"/>
                <w:color w:val="000000" w:themeColor="text1"/>
                <w:sz w:val="20"/>
              </w:rPr>
              <w:t>Unchanged</w:t>
            </w:r>
            <w:r w:rsidR="00DA4020" w:rsidRPr="001F7D3C">
              <w:rPr>
                <w:rFonts w:ascii="Arial Narrow" w:hAnsi="Arial Narrow"/>
                <w:color w:val="000000" w:themeColor="text1"/>
                <w:sz w:val="20"/>
              </w:rPr>
              <w:t xml:space="preserve">. Updated literature review, but identified no new studies. Additional </w:t>
            </w:r>
            <w:r w:rsidRPr="001F7D3C">
              <w:rPr>
                <w:rFonts w:ascii="Arial Narrow" w:hAnsi="Arial Narrow"/>
                <w:color w:val="000000" w:themeColor="text1"/>
                <w:sz w:val="20"/>
              </w:rPr>
              <w:t xml:space="preserve">safety </w:t>
            </w:r>
            <w:r w:rsidR="00DA4020" w:rsidRPr="001F7D3C">
              <w:rPr>
                <w:rFonts w:ascii="Arial Narrow" w:hAnsi="Arial Narrow"/>
                <w:color w:val="000000" w:themeColor="text1"/>
                <w:sz w:val="20"/>
              </w:rPr>
              <w:t xml:space="preserve">data </w:t>
            </w:r>
            <w:r w:rsidRPr="001F7D3C">
              <w:rPr>
                <w:rFonts w:ascii="Arial Narrow" w:hAnsi="Arial Narrow"/>
                <w:color w:val="000000" w:themeColor="text1"/>
                <w:sz w:val="20"/>
              </w:rPr>
              <w:t>presented</w:t>
            </w:r>
            <w:r w:rsidR="0086087A" w:rsidRPr="001F7D3C">
              <w:rPr>
                <w:rFonts w:ascii="Arial Narrow" w:hAnsi="Arial Narrow"/>
                <w:color w:val="000000" w:themeColor="text1"/>
                <w:sz w:val="20"/>
                <w:szCs w:val="20"/>
              </w:rPr>
              <w:t>:</w:t>
            </w:r>
          </w:p>
          <w:p w:rsidR="0086087A" w:rsidRPr="001F7D3C" w:rsidRDefault="0086087A" w:rsidP="005217C1">
            <w:pPr>
              <w:pStyle w:val="Default"/>
              <w:numPr>
                <w:ilvl w:val="0"/>
                <w:numId w:val="9"/>
              </w:numPr>
              <w:ind w:left="357" w:hanging="357"/>
              <w:rPr>
                <w:rFonts w:ascii="Arial Narrow" w:hAnsi="Arial Narrow"/>
                <w:color w:val="000000" w:themeColor="text1"/>
                <w:sz w:val="20"/>
                <w:szCs w:val="20"/>
                <w:lang w:val="en-AU"/>
              </w:rPr>
            </w:pPr>
            <w:r w:rsidRPr="001F7D3C">
              <w:rPr>
                <w:rFonts w:ascii="Arial Narrow" w:hAnsi="Arial Narrow"/>
                <w:color w:val="000000" w:themeColor="text1"/>
                <w:sz w:val="20"/>
                <w:szCs w:val="20"/>
                <w:lang w:val="en-AU"/>
              </w:rPr>
              <w:t>summary of routine pharmacovigilance (PV) data from spontaneous reporting within Australia,</w:t>
            </w:r>
          </w:p>
          <w:p w:rsidR="0086087A" w:rsidRPr="001F7D3C" w:rsidRDefault="0086087A" w:rsidP="005217C1">
            <w:pPr>
              <w:pStyle w:val="Default"/>
              <w:numPr>
                <w:ilvl w:val="0"/>
                <w:numId w:val="9"/>
              </w:numPr>
              <w:ind w:left="357" w:hanging="357"/>
              <w:rPr>
                <w:rFonts w:ascii="Arial Narrow" w:hAnsi="Arial Narrow"/>
                <w:color w:val="000000" w:themeColor="text1"/>
                <w:sz w:val="20"/>
                <w:szCs w:val="20"/>
                <w:lang w:val="en-AU"/>
              </w:rPr>
            </w:pPr>
            <w:r w:rsidRPr="001F7D3C">
              <w:rPr>
                <w:rFonts w:ascii="Arial Narrow" w:hAnsi="Arial Narrow"/>
                <w:color w:val="000000" w:themeColor="text1"/>
                <w:sz w:val="20"/>
                <w:szCs w:val="20"/>
                <w:lang w:val="en-AU"/>
              </w:rPr>
              <w:t>Periodic Safety Update Report (PSUR4) covering the period 14th July 2014- 13 Jan 2015;</w:t>
            </w:r>
          </w:p>
          <w:p w:rsidR="0086087A" w:rsidRPr="001F7D3C" w:rsidRDefault="0086087A" w:rsidP="005217C1">
            <w:pPr>
              <w:pStyle w:val="Default"/>
              <w:numPr>
                <w:ilvl w:val="0"/>
                <w:numId w:val="9"/>
              </w:numPr>
              <w:ind w:left="357" w:hanging="357"/>
              <w:rPr>
                <w:rFonts w:ascii="Arial Narrow" w:hAnsi="Arial Narrow"/>
                <w:color w:val="000000" w:themeColor="text1"/>
                <w:sz w:val="20"/>
                <w:szCs w:val="20"/>
                <w:lang w:val="en-AU"/>
              </w:rPr>
            </w:pPr>
            <w:r w:rsidRPr="001F7D3C">
              <w:rPr>
                <w:rFonts w:ascii="Arial Narrow" w:hAnsi="Arial Narrow"/>
                <w:color w:val="000000" w:themeColor="text1"/>
                <w:sz w:val="20"/>
                <w:szCs w:val="20"/>
                <w:lang w:val="en-AU"/>
              </w:rPr>
              <w:t>preliminary surveillance report of the vaccination campaign with Bexsero in Saguenay Lac Saint Jean, Quebec, Canada ;</w:t>
            </w:r>
          </w:p>
          <w:p w:rsidR="0086087A" w:rsidRPr="001F7D3C" w:rsidRDefault="0086087A" w:rsidP="005217C1">
            <w:pPr>
              <w:pStyle w:val="Default"/>
              <w:numPr>
                <w:ilvl w:val="0"/>
                <w:numId w:val="9"/>
              </w:numPr>
              <w:ind w:left="357" w:hanging="357"/>
              <w:rPr>
                <w:rFonts w:ascii="Arial Narrow" w:hAnsi="Arial Narrow"/>
                <w:color w:val="000000" w:themeColor="text1"/>
                <w:sz w:val="20"/>
                <w:szCs w:val="20"/>
                <w:lang w:val="en-AU"/>
              </w:rPr>
            </w:pPr>
            <w:r w:rsidRPr="001F7D3C">
              <w:rPr>
                <w:rFonts w:ascii="Arial Narrow" w:hAnsi="Arial Narrow"/>
                <w:color w:val="000000" w:themeColor="text1"/>
                <w:sz w:val="20"/>
                <w:szCs w:val="20"/>
                <w:lang w:val="en-AU"/>
              </w:rPr>
              <w:t>safety data from use of Bexsero in outbreaks at Princeton University and the University of California at Santa Barbara (UCSB) in 2014;</w:t>
            </w:r>
          </w:p>
          <w:p w:rsidR="0086087A" w:rsidRPr="001F7D3C" w:rsidRDefault="0086087A" w:rsidP="005217C1">
            <w:pPr>
              <w:pStyle w:val="Default"/>
              <w:numPr>
                <w:ilvl w:val="0"/>
                <w:numId w:val="9"/>
              </w:numPr>
              <w:ind w:left="357" w:hanging="357"/>
              <w:rPr>
                <w:rFonts w:ascii="Arial Narrow" w:hAnsi="Arial Narrow"/>
                <w:color w:val="000000" w:themeColor="text1"/>
                <w:sz w:val="20"/>
                <w:szCs w:val="20"/>
                <w:lang w:val="en-AU"/>
              </w:rPr>
            </w:pPr>
            <w:r w:rsidRPr="001F7D3C">
              <w:rPr>
                <w:rFonts w:ascii="Arial Narrow" w:hAnsi="Arial Narrow"/>
                <w:color w:val="000000" w:themeColor="text1"/>
                <w:sz w:val="20"/>
                <w:szCs w:val="20"/>
                <w:lang w:val="en-AU"/>
              </w:rPr>
              <w:t>EU Risk Management Plan (RMP) version 5, 11th April 2014; and</w:t>
            </w:r>
          </w:p>
          <w:p w:rsidR="0086087A" w:rsidRPr="001F7D3C" w:rsidRDefault="0086087A" w:rsidP="005217C1">
            <w:pPr>
              <w:pStyle w:val="Default"/>
              <w:numPr>
                <w:ilvl w:val="0"/>
                <w:numId w:val="9"/>
              </w:numPr>
              <w:ind w:left="357" w:hanging="357"/>
              <w:rPr>
                <w:rFonts w:ascii="Arial Narrow" w:hAnsi="Arial Narrow"/>
                <w:color w:val="000000" w:themeColor="text1"/>
                <w:sz w:val="20"/>
              </w:rPr>
            </w:pPr>
            <w:r w:rsidRPr="001F7D3C">
              <w:rPr>
                <w:rFonts w:ascii="Arial Narrow" w:hAnsi="Arial Narrow"/>
                <w:color w:val="000000" w:themeColor="text1"/>
                <w:sz w:val="20"/>
                <w:szCs w:val="20"/>
                <w:lang w:val="en-AU"/>
              </w:rPr>
              <w:t>Australian Specific Annex to the RMP, 27th June 2014.</w:t>
            </w:r>
          </w:p>
        </w:tc>
      </w:tr>
      <w:tr w:rsidR="00815998" w:rsidRPr="001F7D3C" w:rsidTr="005217C1">
        <w:trPr>
          <w:trHeight w:val="860"/>
        </w:trPr>
        <w:tc>
          <w:tcPr>
            <w:tcW w:w="343" w:type="pct"/>
          </w:tcPr>
          <w:p w:rsidR="00B14468" w:rsidRPr="001F7D3C" w:rsidRDefault="00B14468" w:rsidP="00CC5579">
            <w:pPr>
              <w:rPr>
                <w:rFonts w:ascii="Arial Narrow" w:hAnsi="Arial Narrow"/>
                <w:sz w:val="20"/>
              </w:rPr>
            </w:pPr>
            <w:r w:rsidRPr="001F7D3C">
              <w:rPr>
                <w:rFonts w:ascii="Arial Narrow" w:hAnsi="Arial Narrow"/>
                <w:sz w:val="20"/>
              </w:rPr>
              <w:t>Clinical claim</w:t>
            </w:r>
          </w:p>
        </w:tc>
        <w:tc>
          <w:tcPr>
            <w:tcW w:w="1572" w:type="pct"/>
            <w:gridSpan w:val="2"/>
          </w:tcPr>
          <w:p w:rsidR="00425975" w:rsidRPr="001F7D3C" w:rsidRDefault="00B14468" w:rsidP="00CC5579">
            <w:pPr>
              <w:rPr>
                <w:rFonts w:ascii="Arial Narrow" w:hAnsi="Arial Narrow"/>
                <w:color w:val="000000" w:themeColor="text1"/>
                <w:sz w:val="20"/>
              </w:rPr>
            </w:pPr>
            <w:r w:rsidRPr="001F7D3C">
              <w:rPr>
                <w:rFonts w:ascii="Arial Narrow" w:hAnsi="Arial Narrow"/>
                <w:color w:val="000000" w:themeColor="text1"/>
                <w:sz w:val="20"/>
              </w:rPr>
              <w:t>The submission described 4CMenB as superior to non-vaccination in terms of comparative effectiveness, with an acceptable tolerability profile in infants and adolescents.</w:t>
            </w:r>
          </w:p>
          <w:p w:rsidR="00425975" w:rsidRPr="001F7D3C" w:rsidRDefault="00425975" w:rsidP="00CC5579">
            <w:pPr>
              <w:rPr>
                <w:rFonts w:ascii="Arial Narrow" w:hAnsi="Arial Narrow"/>
                <w:color w:val="000000" w:themeColor="text1"/>
                <w:sz w:val="20"/>
              </w:rPr>
            </w:pPr>
          </w:p>
          <w:p w:rsidR="00B14468" w:rsidRPr="001F7D3C" w:rsidRDefault="00B14468" w:rsidP="00CC5579">
            <w:pPr>
              <w:rPr>
                <w:rFonts w:ascii="Arial Narrow" w:hAnsi="Arial Narrow"/>
                <w:color w:val="000000" w:themeColor="text1"/>
                <w:sz w:val="20"/>
              </w:rPr>
            </w:pPr>
            <w:r w:rsidRPr="001F7D3C">
              <w:rPr>
                <w:rFonts w:ascii="Arial Narrow" w:hAnsi="Arial Narrow"/>
                <w:b/>
                <w:color w:val="000000" w:themeColor="text1"/>
                <w:sz w:val="20"/>
              </w:rPr>
              <w:t>PBAC Comment:</w:t>
            </w:r>
            <w:r w:rsidRPr="001F7D3C">
              <w:rPr>
                <w:rFonts w:ascii="Arial Narrow" w:hAnsi="Arial Narrow"/>
                <w:color w:val="000000" w:themeColor="text1"/>
                <w:sz w:val="20"/>
              </w:rPr>
              <w:t xml:space="preserve"> There was a limited demonstration of and multiple uncertainties in relation to the clinical effectiveness of the vaccine against the disease when delivered in a vaccination program (item 7.2).</w:t>
            </w:r>
          </w:p>
        </w:tc>
        <w:tc>
          <w:tcPr>
            <w:tcW w:w="1951" w:type="pct"/>
            <w:gridSpan w:val="2"/>
          </w:tcPr>
          <w:p w:rsidR="00425975" w:rsidRPr="001F7D3C" w:rsidRDefault="00B57253" w:rsidP="00EB4208">
            <w:pPr>
              <w:rPr>
                <w:rFonts w:ascii="Arial Narrow" w:hAnsi="Arial Narrow"/>
                <w:color w:val="000000" w:themeColor="text1"/>
                <w:sz w:val="20"/>
              </w:rPr>
            </w:pPr>
            <w:r w:rsidRPr="001F7D3C">
              <w:rPr>
                <w:rFonts w:ascii="Arial Narrow" w:hAnsi="Arial Narrow"/>
                <w:color w:val="000000" w:themeColor="text1"/>
                <w:sz w:val="20"/>
              </w:rPr>
              <w:t>Unchanged.</w:t>
            </w:r>
          </w:p>
          <w:p w:rsidR="00425975" w:rsidRPr="001F7D3C" w:rsidRDefault="00425975" w:rsidP="00EB4208">
            <w:pPr>
              <w:rPr>
                <w:rFonts w:ascii="Arial Narrow" w:hAnsi="Arial Narrow"/>
                <w:color w:val="000000" w:themeColor="text1"/>
                <w:sz w:val="20"/>
              </w:rPr>
            </w:pPr>
          </w:p>
          <w:p w:rsidR="00425975" w:rsidRPr="001F7D3C" w:rsidRDefault="00CC5579" w:rsidP="00EB4208">
            <w:pPr>
              <w:rPr>
                <w:rFonts w:ascii="Arial Narrow" w:hAnsi="Arial Narrow"/>
                <w:color w:val="000000" w:themeColor="text1"/>
                <w:sz w:val="20"/>
              </w:rPr>
            </w:pPr>
            <w:r w:rsidRPr="001F7D3C">
              <w:rPr>
                <w:rFonts w:ascii="Arial Narrow" w:hAnsi="Arial Narrow"/>
                <w:b/>
                <w:color w:val="000000" w:themeColor="text1"/>
                <w:sz w:val="20"/>
              </w:rPr>
              <w:t>PBAC Comment:</w:t>
            </w:r>
            <w:r w:rsidR="00EB4208" w:rsidRPr="001F7D3C">
              <w:rPr>
                <w:rFonts w:ascii="Arial Narrow" w:hAnsi="Arial Narrow"/>
                <w:b/>
                <w:color w:val="000000" w:themeColor="text1"/>
                <w:sz w:val="20"/>
              </w:rPr>
              <w:t xml:space="preserve"> </w:t>
            </w:r>
            <w:r w:rsidR="00425975" w:rsidRPr="001F7D3C">
              <w:rPr>
                <w:rFonts w:ascii="Arial Narrow" w:hAnsi="Arial Narrow"/>
                <w:color w:val="000000" w:themeColor="text1"/>
                <w:sz w:val="20"/>
              </w:rPr>
              <w:t>…</w:t>
            </w:r>
            <w:r w:rsidR="00EB4208" w:rsidRPr="001F7D3C">
              <w:rPr>
                <w:rFonts w:ascii="Arial Narrow" w:hAnsi="Arial Narrow"/>
                <w:color w:val="000000" w:themeColor="text1"/>
                <w:sz w:val="20"/>
              </w:rPr>
              <w:t xml:space="preserve"> the clinical claim was highly uncertain because of the likely short persistence of the antibody response, uncertainty about the correlation between antibody responses and protection, the unknown effect on carriage of the bacteria, the overall uncertain long-term protective efficacy against infection and disease, and the unknown influence of projected herd immunity effects on overall disease burden (item 7.6).</w:t>
            </w:r>
          </w:p>
          <w:p w:rsidR="00425975" w:rsidRPr="001F7D3C" w:rsidRDefault="00425975" w:rsidP="00EB4208">
            <w:pPr>
              <w:rPr>
                <w:rFonts w:ascii="Arial Narrow" w:hAnsi="Arial Narrow"/>
                <w:color w:val="000000" w:themeColor="text1"/>
                <w:sz w:val="20"/>
              </w:rPr>
            </w:pPr>
          </w:p>
          <w:p w:rsidR="00B14468" w:rsidRPr="001F7D3C" w:rsidRDefault="00425975" w:rsidP="00425975">
            <w:pPr>
              <w:rPr>
                <w:rFonts w:ascii="Arial Narrow" w:hAnsi="Arial Narrow"/>
                <w:color w:val="000000" w:themeColor="text1"/>
                <w:sz w:val="20"/>
              </w:rPr>
            </w:pPr>
            <w:r w:rsidRPr="001F7D3C">
              <w:rPr>
                <w:rFonts w:ascii="Arial Narrow" w:hAnsi="Arial Narrow"/>
                <w:color w:val="000000" w:themeColor="text1"/>
                <w:sz w:val="20"/>
              </w:rPr>
              <w:t>…</w:t>
            </w:r>
            <w:r w:rsidR="00EB4208" w:rsidRPr="001F7D3C">
              <w:rPr>
                <w:rFonts w:ascii="Arial Narrow" w:hAnsi="Arial Narrow"/>
                <w:color w:val="000000" w:themeColor="text1"/>
                <w:sz w:val="20"/>
              </w:rPr>
              <w:t xml:space="preserve"> the rates of fever in infant participants of the trials receiving the vaccine would indicate that prophylactic paracetamol would be appropriate so that the local transient reactogenicity of 4CMenB would not be different to routine vaccination. However, the PBAC also noted that the impact of, and compliance with, this recommendation is unknown, and that a wider loss of confidence in the National Immunisation Program may arise from concerns about increased rates of fever and convulsions. In the absence of effective prophylaxis, the relatively high frequency of adverse events reported in the trials compared to the relatively low frequency of modelled benefits would suggest a less favourable balance of benefits and harms. From the table summarising the modelled benefits and harms observed in the trials, for every extra death averted over five years, there would be about 100 (272,224/2,500) febrile seizures, and for every case of IMD averted, there would be about 4 (10,532/2,500) febrile seizures. As suggested by ESC, the PBAC also noted that safety in adolescents appears acceptable</w:t>
            </w:r>
            <w:r w:rsidR="0043293F" w:rsidRPr="001F7D3C">
              <w:rPr>
                <w:rFonts w:ascii="Arial Narrow" w:hAnsi="Arial Narrow"/>
                <w:color w:val="000000" w:themeColor="text1"/>
                <w:sz w:val="20"/>
              </w:rPr>
              <w:t xml:space="preserve"> (item</w:t>
            </w:r>
            <w:r w:rsidRPr="001F7D3C">
              <w:rPr>
                <w:rFonts w:ascii="Arial Narrow" w:hAnsi="Arial Narrow"/>
                <w:color w:val="000000" w:themeColor="text1"/>
                <w:sz w:val="20"/>
              </w:rPr>
              <w:t> </w:t>
            </w:r>
            <w:r w:rsidR="0043293F" w:rsidRPr="001F7D3C">
              <w:rPr>
                <w:rFonts w:ascii="Arial Narrow" w:hAnsi="Arial Narrow"/>
                <w:color w:val="000000" w:themeColor="text1"/>
                <w:sz w:val="20"/>
              </w:rPr>
              <w:t>7.7)</w:t>
            </w:r>
            <w:r w:rsidR="00EB4208" w:rsidRPr="001F7D3C">
              <w:rPr>
                <w:rFonts w:ascii="Arial Narrow" w:hAnsi="Arial Narrow"/>
                <w:color w:val="000000" w:themeColor="text1"/>
                <w:sz w:val="20"/>
              </w:rPr>
              <w:t>.</w:t>
            </w:r>
          </w:p>
        </w:tc>
        <w:tc>
          <w:tcPr>
            <w:tcW w:w="1134" w:type="pct"/>
          </w:tcPr>
          <w:p w:rsidR="00B14468" w:rsidRPr="001F7D3C" w:rsidRDefault="00CC5579" w:rsidP="00CC5579">
            <w:pPr>
              <w:rPr>
                <w:rFonts w:ascii="Arial Narrow" w:hAnsi="Arial Narrow"/>
                <w:color w:val="000000" w:themeColor="text1"/>
                <w:sz w:val="20"/>
              </w:rPr>
            </w:pPr>
            <w:r w:rsidRPr="001F7D3C">
              <w:rPr>
                <w:rFonts w:ascii="Arial Narrow" w:hAnsi="Arial Narrow"/>
                <w:color w:val="000000" w:themeColor="text1"/>
                <w:sz w:val="20"/>
              </w:rPr>
              <w:t>Unchanged.</w:t>
            </w:r>
          </w:p>
        </w:tc>
      </w:tr>
      <w:tr w:rsidR="00815998" w:rsidRPr="001F7D3C" w:rsidTr="005217C1">
        <w:trPr>
          <w:trHeight w:val="64"/>
        </w:trPr>
        <w:tc>
          <w:tcPr>
            <w:tcW w:w="343" w:type="pct"/>
            <w:vMerge w:val="restart"/>
          </w:tcPr>
          <w:p w:rsidR="00B14468" w:rsidRPr="001F7D3C" w:rsidRDefault="00B14468" w:rsidP="00CC5579">
            <w:pPr>
              <w:rPr>
                <w:rFonts w:ascii="Arial Narrow" w:hAnsi="Arial Narrow"/>
                <w:sz w:val="20"/>
              </w:rPr>
            </w:pPr>
            <w:r w:rsidRPr="001F7D3C">
              <w:rPr>
                <w:rFonts w:ascii="Arial Narrow" w:hAnsi="Arial Narrow"/>
                <w:sz w:val="20"/>
              </w:rPr>
              <w:t>Economic evaluation</w:t>
            </w:r>
          </w:p>
        </w:tc>
        <w:tc>
          <w:tcPr>
            <w:tcW w:w="800" w:type="pct"/>
          </w:tcPr>
          <w:p w:rsidR="00B14468" w:rsidRPr="001F7D3C" w:rsidRDefault="00B14468" w:rsidP="00EE0E81">
            <w:pPr>
              <w:rPr>
                <w:rFonts w:ascii="Arial Narrow" w:hAnsi="Arial Narrow"/>
                <w:sz w:val="20"/>
              </w:rPr>
            </w:pPr>
            <w:r w:rsidRPr="001F7D3C">
              <w:rPr>
                <w:rFonts w:ascii="Arial Narrow" w:hAnsi="Arial Narrow"/>
                <w:color w:val="000000" w:themeColor="text1"/>
                <w:sz w:val="20"/>
              </w:rPr>
              <w:t>Cost-utility model with an ICER of $</w:t>
            </w:r>
            <w:r w:rsidR="00EE0E81">
              <w:rPr>
                <w:rFonts w:ascii="Arial Narrow" w:hAnsi="Arial Narrow"/>
                <w:color w:val="000000" w:themeColor="text1"/>
                <w:sz w:val="20"/>
              </w:rPr>
              <w:t>15,000</w:t>
            </w:r>
            <w:r w:rsidR="003D5EFE">
              <w:rPr>
                <w:rFonts w:ascii="Arial Narrow" w:hAnsi="Arial Narrow"/>
                <w:color w:val="000000" w:themeColor="text1"/>
                <w:sz w:val="20"/>
              </w:rPr>
              <w:t>/QALY</w:t>
            </w:r>
            <w:r w:rsidR="00EE0E81">
              <w:rPr>
                <w:rFonts w:ascii="Arial Narrow" w:hAnsi="Arial Narrow"/>
                <w:color w:val="000000" w:themeColor="text1"/>
                <w:sz w:val="20"/>
              </w:rPr>
              <w:t xml:space="preserve"> - $45,000</w:t>
            </w:r>
            <w:r w:rsidRPr="001F7D3C">
              <w:rPr>
                <w:rFonts w:ascii="Arial Narrow" w:hAnsi="Arial Narrow"/>
                <w:color w:val="000000" w:themeColor="text1"/>
                <w:sz w:val="20"/>
              </w:rPr>
              <w:t xml:space="preserve">/QALY for </w:t>
            </w:r>
            <w:r w:rsidR="00EB4208" w:rsidRPr="001F7D3C">
              <w:rPr>
                <w:rFonts w:ascii="Arial Narrow" w:hAnsi="Arial Narrow"/>
                <w:color w:val="000000" w:themeColor="text1"/>
                <w:sz w:val="20"/>
              </w:rPr>
              <w:t>Program #6</w:t>
            </w:r>
            <w:r w:rsidRPr="001F7D3C">
              <w:rPr>
                <w:rFonts w:ascii="Arial Narrow" w:hAnsi="Arial Narrow"/>
                <w:color w:val="000000" w:themeColor="text1"/>
                <w:sz w:val="20"/>
              </w:rPr>
              <w:t xml:space="preserve"> versus no vaccination.</w:t>
            </w:r>
          </w:p>
        </w:tc>
        <w:tc>
          <w:tcPr>
            <w:tcW w:w="772" w:type="pct"/>
          </w:tcPr>
          <w:p w:rsidR="00425975" w:rsidRPr="001F7D3C" w:rsidRDefault="00B14468" w:rsidP="00EB4208">
            <w:pPr>
              <w:rPr>
                <w:rFonts w:ascii="Arial Narrow" w:hAnsi="Arial Narrow"/>
                <w:color w:val="000000" w:themeColor="text1"/>
                <w:sz w:val="20"/>
              </w:rPr>
            </w:pPr>
            <w:r w:rsidRPr="001F7D3C">
              <w:rPr>
                <w:rFonts w:ascii="Arial Narrow" w:hAnsi="Arial Narrow"/>
                <w:sz w:val="20"/>
              </w:rPr>
              <w:t>Cost-utility model with an ICER of $</w:t>
            </w:r>
            <w:r w:rsidR="00EE0E81">
              <w:rPr>
                <w:rFonts w:ascii="Arial Narrow" w:hAnsi="Arial Narrow"/>
                <w:sz w:val="20"/>
              </w:rPr>
              <w:t>45,000</w:t>
            </w:r>
            <w:r w:rsidR="003D5EFE">
              <w:rPr>
                <w:rFonts w:ascii="Arial Narrow" w:hAnsi="Arial Narrow"/>
                <w:sz w:val="20"/>
              </w:rPr>
              <w:t>/QALY</w:t>
            </w:r>
            <w:r w:rsidR="00EE0E81">
              <w:rPr>
                <w:rFonts w:ascii="Arial Narrow" w:hAnsi="Arial Narrow"/>
                <w:sz w:val="20"/>
              </w:rPr>
              <w:t xml:space="preserve"> - $75,000</w:t>
            </w:r>
            <w:r w:rsidRPr="001F7D3C">
              <w:rPr>
                <w:rFonts w:ascii="Arial Narrow" w:hAnsi="Arial Narrow"/>
                <w:sz w:val="20"/>
              </w:rPr>
              <w:t xml:space="preserve">/QALY </w:t>
            </w:r>
            <w:r w:rsidRPr="001F7D3C">
              <w:rPr>
                <w:rFonts w:ascii="Arial Narrow" w:hAnsi="Arial Narrow"/>
                <w:color w:val="000000" w:themeColor="text1"/>
                <w:sz w:val="20"/>
              </w:rPr>
              <w:t xml:space="preserve">for </w:t>
            </w:r>
            <w:r w:rsidR="00EB4208" w:rsidRPr="001F7D3C">
              <w:rPr>
                <w:rFonts w:ascii="Arial Narrow" w:hAnsi="Arial Narrow"/>
                <w:color w:val="000000" w:themeColor="text1"/>
                <w:sz w:val="20"/>
              </w:rPr>
              <w:t xml:space="preserve">Program #6 </w:t>
            </w:r>
            <w:r w:rsidRPr="001F7D3C">
              <w:rPr>
                <w:rFonts w:ascii="Arial Narrow" w:hAnsi="Arial Narrow"/>
                <w:color w:val="000000" w:themeColor="text1"/>
                <w:sz w:val="20"/>
              </w:rPr>
              <w:t>versus no vaccination.</w:t>
            </w:r>
          </w:p>
          <w:p w:rsidR="00425975" w:rsidRPr="001F7D3C" w:rsidRDefault="00425975" w:rsidP="00EB4208">
            <w:pPr>
              <w:rPr>
                <w:rFonts w:ascii="Arial Narrow" w:hAnsi="Arial Narrow"/>
                <w:color w:val="000000" w:themeColor="text1"/>
                <w:sz w:val="20"/>
              </w:rPr>
            </w:pPr>
          </w:p>
          <w:p w:rsidR="00B14468" w:rsidRPr="001F7D3C" w:rsidRDefault="00B14468" w:rsidP="00EB4208">
            <w:pPr>
              <w:rPr>
                <w:rFonts w:ascii="Arial Narrow" w:hAnsi="Arial Narrow"/>
                <w:sz w:val="20"/>
              </w:rPr>
            </w:pPr>
            <w:r w:rsidRPr="001F7D3C">
              <w:rPr>
                <w:rFonts w:ascii="Arial Narrow" w:hAnsi="Arial Narrow"/>
                <w:b/>
                <w:sz w:val="20"/>
              </w:rPr>
              <w:t>PBAC Comment:</w:t>
            </w:r>
            <w:r w:rsidRPr="001F7D3C">
              <w:rPr>
                <w:rFonts w:ascii="Arial Narrow" w:hAnsi="Arial Narrow"/>
                <w:sz w:val="20"/>
              </w:rPr>
              <w:t xml:space="preserve"> The PBAC preferred model had an </w:t>
            </w:r>
            <w:r w:rsidRPr="004B4B5F">
              <w:rPr>
                <w:rFonts w:ascii="Arial Narrow" w:hAnsi="Arial Narrow"/>
                <w:sz w:val="20"/>
              </w:rPr>
              <w:t>ICER of $</w:t>
            </w:r>
            <w:r w:rsidR="00676FE1">
              <w:rPr>
                <w:rFonts w:ascii="Arial Narrow" w:hAnsi="Arial Narrow"/>
                <w:noProof/>
                <w:color w:val="000000"/>
                <w:sz w:val="20"/>
                <w:highlight w:val="black"/>
              </w:rPr>
              <w:t>''''''''''''''''''''</w:t>
            </w:r>
            <w:r w:rsidRPr="001F7D3C">
              <w:rPr>
                <w:rFonts w:ascii="Arial Narrow" w:hAnsi="Arial Narrow"/>
                <w:sz w:val="20"/>
              </w:rPr>
              <w:t>/QALY (item 6.37).</w:t>
            </w:r>
          </w:p>
        </w:tc>
        <w:tc>
          <w:tcPr>
            <w:tcW w:w="1951" w:type="pct"/>
            <w:gridSpan w:val="2"/>
          </w:tcPr>
          <w:p w:rsidR="00425975" w:rsidRPr="001F7D3C" w:rsidRDefault="00B14468" w:rsidP="00EB4208">
            <w:pPr>
              <w:rPr>
                <w:rFonts w:ascii="Arial Narrow" w:hAnsi="Arial Narrow"/>
                <w:sz w:val="20"/>
              </w:rPr>
            </w:pPr>
            <w:r w:rsidRPr="001F7D3C">
              <w:rPr>
                <w:rFonts w:ascii="Arial Narrow" w:hAnsi="Arial Narrow"/>
                <w:sz w:val="20"/>
              </w:rPr>
              <w:t xml:space="preserve">Cost-utility model with an ICER of </w:t>
            </w:r>
            <w:r w:rsidR="00EE0E81">
              <w:rPr>
                <w:rFonts w:ascii="Arial Narrow" w:hAnsi="Arial Narrow"/>
                <w:sz w:val="20"/>
              </w:rPr>
              <w:t xml:space="preserve">more than </w:t>
            </w:r>
            <w:r w:rsidRPr="001F7D3C">
              <w:rPr>
                <w:rFonts w:ascii="Arial Narrow" w:hAnsi="Arial Narrow"/>
                <w:sz w:val="20"/>
              </w:rPr>
              <w:t>$</w:t>
            </w:r>
            <w:r w:rsidR="00EE0E81">
              <w:rPr>
                <w:rFonts w:ascii="Arial Narrow" w:hAnsi="Arial Narrow"/>
                <w:sz w:val="20"/>
              </w:rPr>
              <w:t xml:space="preserve">200,000 </w:t>
            </w:r>
            <w:r w:rsidRPr="001F7D3C">
              <w:rPr>
                <w:rFonts w:ascii="Arial Narrow" w:hAnsi="Arial Narrow"/>
                <w:sz w:val="20"/>
              </w:rPr>
              <w:t>in the base case.</w:t>
            </w:r>
          </w:p>
          <w:p w:rsidR="00425975" w:rsidRPr="001F7D3C" w:rsidRDefault="00425975" w:rsidP="00EB4208">
            <w:pPr>
              <w:rPr>
                <w:rFonts w:ascii="Arial Narrow" w:hAnsi="Arial Narrow"/>
                <w:sz w:val="20"/>
              </w:rPr>
            </w:pPr>
          </w:p>
          <w:p w:rsidR="00B14468" w:rsidRPr="001F7D3C" w:rsidRDefault="00CC5579" w:rsidP="005217C1">
            <w:pPr>
              <w:rPr>
                <w:rFonts w:ascii="Arial Narrow" w:hAnsi="Arial Narrow"/>
                <w:sz w:val="20"/>
              </w:rPr>
            </w:pPr>
            <w:r w:rsidRPr="001F7D3C">
              <w:rPr>
                <w:rFonts w:ascii="Arial Narrow" w:hAnsi="Arial Narrow"/>
                <w:b/>
                <w:color w:val="000000" w:themeColor="text1"/>
                <w:sz w:val="20"/>
              </w:rPr>
              <w:t>PBAC Comment:</w:t>
            </w:r>
            <w:r w:rsidR="00EB4208" w:rsidRPr="001F7D3C">
              <w:rPr>
                <w:rFonts w:ascii="Arial Narrow" w:hAnsi="Arial Narrow"/>
                <w:color w:val="000000" w:themeColor="text1"/>
                <w:sz w:val="20"/>
              </w:rPr>
              <w:t xml:space="preserve"> … was unacceptably high and was based on uncertain and optimistic assumptions about the extent and duration of effect and herd immunity, noting particularly the ESC and ATAGI doubts about the vaccine’s effectiveness against NHBA</w:t>
            </w:r>
            <w:r w:rsidR="004D4969" w:rsidRPr="001F7D3C">
              <w:rPr>
                <w:rFonts w:ascii="Arial Narrow" w:hAnsi="Arial Narrow"/>
                <w:color w:val="000000" w:themeColor="text1"/>
                <w:sz w:val="20"/>
              </w:rPr>
              <w:t xml:space="preserve"> (one of 4 antigens in the vaccine).</w:t>
            </w:r>
          </w:p>
        </w:tc>
        <w:tc>
          <w:tcPr>
            <w:tcW w:w="1134" w:type="pct"/>
          </w:tcPr>
          <w:p w:rsidR="00EB4208" w:rsidRPr="001F7D3C" w:rsidRDefault="00CC5579" w:rsidP="00CC5579">
            <w:pPr>
              <w:rPr>
                <w:rFonts w:ascii="Arial Narrow" w:hAnsi="Arial Narrow"/>
                <w:sz w:val="20"/>
              </w:rPr>
            </w:pPr>
            <w:r w:rsidRPr="001F7D3C">
              <w:rPr>
                <w:rFonts w:ascii="Arial Narrow" w:hAnsi="Arial Narrow"/>
                <w:sz w:val="20"/>
              </w:rPr>
              <w:t>Cost-utility model with an ICER of</w:t>
            </w:r>
            <w:r w:rsidR="00EB4208" w:rsidRPr="001F7D3C">
              <w:rPr>
                <w:rFonts w:ascii="Arial Narrow" w:hAnsi="Arial Narrow"/>
                <w:sz w:val="20"/>
              </w:rPr>
              <w:t>:</w:t>
            </w:r>
          </w:p>
          <w:p w:rsidR="00EB4208" w:rsidRPr="001F7D3C" w:rsidRDefault="00EB4208" w:rsidP="00CC5579">
            <w:pPr>
              <w:rPr>
                <w:rFonts w:ascii="Arial Narrow" w:hAnsi="Arial Narrow"/>
                <w:sz w:val="20"/>
              </w:rPr>
            </w:pPr>
            <w:r w:rsidRPr="001F7D3C">
              <w:rPr>
                <w:rFonts w:ascii="Arial Narrow" w:hAnsi="Arial Narrow"/>
                <w:sz w:val="20"/>
              </w:rPr>
              <w:t xml:space="preserve">Program #5 versus no vaccination: </w:t>
            </w:r>
            <w:r w:rsidR="008F4041">
              <w:rPr>
                <w:rFonts w:ascii="Arial Narrow" w:hAnsi="Arial Narrow"/>
                <w:sz w:val="20"/>
              </w:rPr>
              <w:t>$105,000</w:t>
            </w:r>
            <w:r w:rsidRPr="001F7D3C">
              <w:rPr>
                <w:rFonts w:ascii="Arial Narrow" w:hAnsi="Arial Narrow"/>
                <w:sz w:val="20"/>
              </w:rPr>
              <w:t>/QALY</w:t>
            </w:r>
            <w:r w:rsidR="00CC389D" w:rsidRPr="001F7D3C">
              <w:rPr>
                <w:rFonts w:ascii="Arial Narrow" w:hAnsi="Arial Narrow"/>
                <w:sz w:val="20"/>
              </w:rPr>
              <w:t xml:space="preserve"> </w:t>
            </w:r>
            <w:r w:rsidR="008F4041">
              <w:rPr>
                <w:rFonts w:ascii="Arial Narrow" w:hAnsi="Arial Narrow"/>
                <w:sz w:val="20"/>
              </w:rPr>
              <w:t>- $200,000/QALY</w:t>
            </w:r>
            <w:r w:rsidR="00CC389D" w:rsidRPr="001F7D3C">
              <w:rPr>
                <w:rFonts w:ascii="Arial Narrow" w:hAnsi="Arial Narrow"/>
                <w:sz w:val="20"/>
              </w:rPr>
              <w:t>(</w:t>
            </w:r>
            <w:r w:rsidR="00833BAA" w:rsidRPr="001F7D3C">
              <w:rPr>
                <w:rFonts w:ascii="Arial Narrow" w:hAnsi="Arial Narrow"/>
                <w:sz w:val="20"/>
              </w:rPr>
              <w:t>preferred program</w:t>
            </w:r>
            <w:r w:rsidR="00CC389D" w:rsidRPr="001F7D3C">
              <w:rPr>
                <w:rFonts w:ascii="Arial Narrow" w:hAnsi="Arial Narrow"/>
                <w:sz w:val="20"/>
              </w:rPr>
              <w:t>)</w:t>
            </w:r>
          </w:p>
          <w:p w:rsidR="00CC389D" w:rsidRPr="001F7D3C" w:rsidRDefault="00CC389D" w:rsidP="00815998">
            <w:pPr>
              <w:rPr>
                <w:rFonts w:ascii="Arial Narrow" w:hAnsi="Arial Narrow"/>
                <w:color w:val="000000"/>
                <w:sz w:val="20"/>
                <w:szCs w:val="20"/>
              </w:rPr>
            </w:pPr>
            <w:r w:rsidRPr="001F7D3C">
              <w:rPr>
                <w:rFonts w:ascii="Arial Narrow" w:hAnsi="Arial Narrow"/>
                <w:sz w:val="20"/>
              </w:rPr>
              <w:t xml:space="preserve">Program #4 versus no vaccination: </w:t>
            </w:r>
            <w:r w:rsidR="008F4041">
              <w:rPr>
                <w:rFonts w:ascii="Arial Narrow" w:hAnsi="Arial Narrow"/>
                <w:color w:val="000000"/>
                <w:sz w:val="20"/>
                <w:szCs w:val="20"/>
              </w:rPr>
              <w:t>$45,000</w:t>
            </w:r>
            <w:r w:rsidRPr="001F7D3C">
              <w:rPr>
                <w:rFonts w:ascii="Arial Narrow" w:hAnsi="Arial Narrow"/>
                <w:color w:val="000000"/>
                <w:sz w:val="20"/>
                <w:szCs w:val="20"/>
              </w:rPr>
              <w:t>/QALY</w:t>
            </w:r>
            <w:r w:rsidR="008F4041">
              <w:rPr>
                <w:rFonts w:ascii="Arial Narrow" w:hAnsi="Arial Narrow"/>
                <w:color w:val="000000"/>
                <w:sz w:val="20"/>
                <w:szCs w:val="20"/>
              </w:rPr>
              <w:t xml:space="preserve"> - $75,000/QALY</w:t>
            </w:r>
            <w:r w:rsidRPr="001F7D3C">
              <w:rPr>
                <w:rFonts w:ascii="Arial Narrow" w:hAnsi="Arial Narrow"/>
                <w:color w:val="000000"/>
                <w:sz w:val="20"/>
                <w:szCs w:val="20"/>
              </w:rPr>
              <w:t xml:space="preserve"> (</w:t>
            </w:r>
            <w:r w:rsidR="005217C1" w:rsidRPr="001F7D3C">
              <w:rPr>
                <w:rFonts w:ascii="Arial Narrow" w:hAnsi="Arial Narrow"/>
                <w:color w:val="000000"/>
                <w:sz w:val="20"/>
                <w:szCs w:val="20"/>
              </w:rPr>
              <w:t>a</w:t>
            </w:r>
            <w:r w:rsidRPr="001F7D3C">
              <w:rPr>
                <w:rFonts w:ascii="Arial Narrow" w:hAnsi="Arial Narrow" w:hint="eastAsia"/>
                <w:sz w:val="20"/>
              </w:rPr>
              <w:t xml:space="preserve">lternate to preferred </w:t>
            </w:r>
            <w:r w:rsidR="00833BAA" w:rsidRPr="001F7D3C">
              <w:rPr>
                <w:rFonts w:ascii="Arial Narrow" w:hAnsi="Arial Narrow"/>
                <w:sz w:val="20"/>
              </w:rPr>
              <w:t>program</w:t>
            </w:r>
            <w:r w:rsidRPr="001F7D3C">
              <w:rPr>
                <w:rFonts w:ascii="Arial Narrow" w:hAnsi="Arial Narrow"/>
                <w:sz w:val="20"/>
              </w:rPr>
              <w:t>)</w:t>
            </w:r>
          </w:p>
          <w:p w:rsidR="00B14468" w:rsidRPr="001F7D3C" w:rsidRDefault="00EB4208" w:rsidP="008F4041">
            <w:pPr>
              <w:rPr>
                <w:rFonts w:ascii="Arial Narrow" w:hAnsi="Arial Narrow"/>
                <w:sz w:val="20"/>
              </w:rPr>
            </w:pPr>
            <w:r w:rsidRPr="001F7D3C">
              <w:rPr>
                <w:rFonts w:ascii="Arial Narrow" w:hAnsi="Arial Narrow"/>
                <w:sz w:val="20"/>
              </w:rPr>
              <w:t xml:space="preserve">Program #3 versus no vaccination: </w:t>
            </w:r>
            <w:r w:rsidR="008F4041" w:rsidRPr="008F4041">
              <w:rPr>
                <w:rFonts w:ascii="Arial Narrow" w:hAnsi="Arial Narrow"/>
                <w:sz w:val="20"/>
              </w:rPr>
              <w:t>$45,000/QALY - $75,000/QALY</w:t>
            </w:r>
            <w:r w:rsidR="00CC389D" w:rsidRPr="001F7D3C">
              <w:rPr>
                <w:rFonts w:ascii="Arial Narrow" w:hAnsi="Arial Narrow"/>
                <w:sz w:val="20"/>
              </w:rPr>
              <w:t xml:space="preserve"> (lowest </w:t>
            </w:r>
            <w:r w:rsidR="00833BAA" w:rsidRPr="001F7D3C">
              <w:rPr>
                <w:rFonts w:ascii="Arial Narrow" w:hAnsi="Arial Narrow"/>
                <w:sz w:val="20"/>
              </w:rPr>
              <w:t>ICER of the five programs</w:t>
            </w:r>
            <w:r w:rsidR="00CC389D" w:rsidRPr="001F7D3C">
              <w:rPr>
                <w:rFonts w:ascii="Arial Narrow" w:hAnsi="Arial Narrow"/>
                <w:sz w:val="20"/>
              </w:rPr>
              <w:t>)</w:t>
            </w:r>
          </w:p>
        </w:tc>
      </w:tr>
      <w:tr w:rsidR="00815998" w:rsidRPr="001F7D3C" w:rsidTr="005217C1">
        <w:trPr>
          <w:trHeight w:val="64"/>
        </w:trPr>
        <w:tc>
          <w:tcPr>
            <w:tcW w:w="343" w:type="pct"/>
            <w:vMerge/>
          </w:tcPr>
          <w:p w:rsidR="00B14468" w:rsidRPr="001F7D3C" w:rsidRDefault="00B14468" w:rsidP="00CC5579">
            <w:pPr>
              <w:rPr>
                <w:rFonts w:ascii="Arial Narrow" w:hAnsi="Arial Narrow"/>
                <w:sz w:val="20"/>
              </w:rPr>
            </w:pPr>
          </w:p>
        </w:tc>
        <w:tc>
          <w:tcPr>
            <w:tcW w:w="800" w:type="pct"/>
          </w:tcPr>
          <w:p w:rsidR="00B14468" w:rsidRPr="001F7D3C" w:rsidRDefault="00CC5579" w:rsidP="00815998">
            <w:pPr>
              <w:rPr>
                <w:rFonts w:ascii="Arial Narrow" w:hAnsi="Arial Narrow"/>
                <w:color w:val="000000" w:themeColor="text1"/>
                <w:sz w:val="20"/>
              </w:rPr>
            </w:pPr>
            <w:r w:rsidRPr="001F7D3C">
              <w:rPr>
                <w:rFonts w:ascii="Arial Narrow" w:hAnsi="Arial Narrow"/>
                <w:color w:val="000000" w:themeColor="text1"/>
                <w:sz w:val="20"/>
              </w:rPr>
              <w:t>B</w:t>
            </w:r>
            <w:r w:rsidR="00B14468" w:rsidRPr="001F7D3C">
              <w:rPr>
                <w:rFonts w:ascii="Arial Narrow" w:hAnsi="Arial Narrow"/>
                <w:color w:val="000000" w:themeColor="text1"/>
                <w:sz w:val="20"/>
              </w:rPr>
              <w:t xml:space="preserve">ase case was based on a dynamic transmission model, which took hSBA outcomes extrapolated for 100 years (from up to 32 months in the trials) and applied utility weights from several published studies, differential annual discount rates of 5% p.a. for costs and 1.5% p.a. for health outcomes, a 50% for vaccine impact on carriage acquisition (herd immunity response), and </w:t>
            </w:r>
            <w:r w:rsidR="00B14468" w:rsidRPr="004B4B5F">
              <w:rPr>
                <w:rFonts w:ascii="Arial Narrow" w:hAnsi="Arial Narrow"/>
                <w:color w:val="000000" w:themeColor="text1"/>
                <w:sz w:val="20"/>
              </w:rPr>
              <w:t>$</w:t>
            </w:r>
            <w:r w:rsidR="00676FE1">
              <w:rPr>
                <w:rFonts w:ascii="Arial Narrow" w:hAnsi="Arial Narrow"/>
                <w:noProof/>
                <w:color w:val="000000"/>
                <w:sz w:val="20"/>
                <w:highlight w:val="black"/>
              </w:rPr>
              <w:t>''''''</w:t>
            </w:r>
            <w:r w:rsidR="00B14468" w:rsidRPr="006A3482">
              <w:rPr>
                <w:rFonts w:ascii="Arial Narrow" w:hAnsi="Arial Narrow"/>
                <w:color w:val="000000" w:themeColor="text1"/>
                <w:sz w:val="20"/>
              </w:rPr>
              <w:t>/</w:t>
            </w:r>
            <w:r w:rsidR="00B14468" w:rsidRPr="001F7D3C">
              <w:rPr>
                <w:rFonts w:ascii="Arial Narrow" w:hAnsi="Arial Narrow"/>
                <w:color w:val="000000" w:themeColor="text1"/>
                <w:sz w:val="20"/>
              </w:rPr>
              <w:t>dose.</w:t>
            </w:r>
            <w:r w:rsidR="00815998" w:rsidRPr="001F7D3C">
              <w:rPr>
                <w:rFonts w:ascii="Arial Narrow" w:hAnsi="Arial Narrow"/>
                <w:color w:val="000000" w:themeColor="text1"/>
                <w:sz w:val="20"/>
              </w:rPr>
              <w:t xml:space="preserve"> Six vaccination schedules were </w:t>
            </w:r>
            <w:r w:rsidR="00815998" w:rsidRPr="001F7D3C">
              <w:rPr>
                <w:rFonts w:ascii="Arial Narrow" w:hAnsi="Arial Narrow"/>
                <w:sz w:val="20"/>
              </w:rPr>
              <w:t>presented.</w:t>
            </w:r>
          </w:p>
        </w:tc>
        <w:tc>
          <w:tcPr>
            <w:tcW w:w="772" w:type="pct"/>
          </w:tcPr>
          <w:p w:rsidR="00425975" w:rsidRPr="001F7D3C" w:rsidRDefault="00B14468" w:rsidP="00CC5579">
            <w:pPr>
              <w:rPr>
                <w:rFonts w:ascii="Arial Narrow" w:hAnsi="Arial Narrow"/>
                <w:b/>
                <w:sz w:val="20"/>
              </w:rPr>
            </w:pPr>
            <w:r w:rsidRPr="001F7D3C">
              <w:rPr>
                <w:rFonts w:ascii="Arial Narrow" w:hAnsi="Arial Narrow"/>
                <w:sz w:val="20"/>
              </w:rPr>
              <w:t xml:space="preserve">A revised base case was presented, with </w:t>
            </w:r>
            <w:r w:rsidRPr="001F7D3C">
              <w:rPr>
                <w:rFonts w:ascii="Arial Narrow" w:hAnsi="Arial Narrow"/>
                <w:color w:val="000000" w:themeColor="text1"/>
                <w:sz w:val="20"/>
              </w:rPr>
              <w:t>differential annual discount rates of 5% p.a. for costs and 1.5% p.a. for health outcomes, a 12.6% for vaccine impact on carriage acquisition (herd immunity response), and $</w:t>
            </w:r>
            <w:r w:rsidR="00676FE1">
              <w:rPr>
                <w:rFonts w:ascii="Arial Narrow" w:hAnsi="Arial Narrow"/>
                <w:noProof/>
                <w:color w:val="000000"/>
                <w:sz w:val="20"/>
                <w:highlight w:val="black"/>
              </w:rPr>
              <w:t>'''''</w:t>
            </w:r>
            <w:r w:rsidRPr="001F7D3C">
              <w:rPr>
                <w:rFonts w:ascii="Arial Narrow" w:hAnsi="Arial Narrow"/>
                <w:color w:val="000000" w:themeColor="text1"/>
                <w:sz w:val="20"/>
              </w:rPr>
              <w:t>/dose.</w:t>
            </w:r>
          </w:p>
          <w:p w:rsidR="00425975" w:rsidRPr="001F7D3C" w:rsidRDefault="00425975" w:rsidP="00CC5579">
            <w:pPr>
              <w:rPr>
                <w:rFonts w:ascii="Arial Narrow" w:hAnsi="Arial Narrow"/>
                <w:b/>
                <w:sz w:val="20"/>
              </w:rPr>
            </w:pPr>
          </w:p>
          <w:p w:rsidR="00B14468" w:rsidRPr="001F7D3C" w:rsidRDefault="00B14468" w:rsidP="00CC5579">
            <w:pPr>
              <w:rPr>
                <w:rFonts w:ascii="Arial Narrow" w:hAnsi="Arial Narrow"/>
                <w:sz w:val="20"/>
              </w:rPr>
            </w:pPr>
            <w:r w:rsidRPr="001F7D3C">
              <w:rPr>
                <w:rFonts w:ascii="Arial Narrow" w:hAnsi="Arial Narrow"/>
                <w:b/>
                <w:sz w:val="20"/>
              </w:rPr>
              <w:t xml:space="preserve">PBAC Comment: </w:t>
            </w:r>
            <w:r w:rsidRPr="001F7D3C">
              <w:rPr>
                <w:rFonts w:ascii="Arial Narrow" w:hAnsi="Arial Narrow"/>
                <w:color w:val="000000" w:themeColor="text1"/>
                <w:sz w:val="20"/>
              </w:rPr>
              <w:t xml:space="preserve">The PBAC preferred model was based on the above but with non-differential annual discount rates of 5% for costs and health outcomes </w:t>
            </w:r>
            <w:r w:rsidRPr="001F7D3C">
              <w:rPr>
                <w:rFonts w:ascii="Arial Narrow" w:hAnsi="Arial Narrow"/>
                <w:sz w:val="20"/>
              </w:rPr>
              <w:t>(item 6.37).</w:t>
            </w:r>
          </w:p>
        </w:tc>
        <w:tc>
          <w:tcPr>
            <w:tcW w:w="1951" w:type="pct"/>
            <w:gridSpan w:val="2"/>
          </w:tcPr>
          <w:p w:rsidR="00833BAA" w:rsidRPr="001F7D3C" w:rsidRDefault="00B14468" w:rsidP="00833BAA">
            <w:pPr>
              <w:rPr>
                <w:rFonts w:ascii="Arial Narrow" w:hAnsi="Arial Narrow"/>
                <w:color w:val="000000" w:themeColor="text1"/>
                <w:sz w:val="20"/>
              </w:rPr>
            </w:pPr>
            <w:r w:rsidRPr="001F7D3C">
              <w:rPr>
                <w:rFonts w:ascii="Arial Narrow" w:hAnsi="Arial Narrow"/>
                <w:sz w:val="20"/>
              </w:rPr>
              <w:t>A revised base case was presented, with non-</w:t>
            </w:r>
            <w:r w:rsidRPr="001F7D3C">
              <w:rPr>
                <w:rFonts w:ascii="Arial Narrow" w:hAnsi="Arial Narrow"/>
                <w:color w:val="000000" w:themeColor="text1"/>
                <w:sz w:val="20"/>
              </w:rPr>
              <w:t>differential annual discount rates of 5% p.a. for costs and health outcomes</w:t>
            </w:r>
            <w:r w:rsidR="00833BAA" w:rsidRPr="001F7D3C">
              <w:rPr>
                <w:rFonts w:ascii="Arial Narrow" w:hAnsi="Arial Narrow"/>
                <w:color w:val="000000" w:themeColor="text1"/>
                <w:sz w:val="20"/>
              </w:rPr>
              <w:t>. S</w:t>
            </w:r>
            <w:r w:rsidRPr="001F7D3C">
              <w:rPr>
                <w:rFonts w:ascii="Arial Narrow" w:hAnsi="Arial Narrow"/>
                <w:color w:val="000000" w:themeColor="text1"/>
                <w:sz w:val="20"/>
              </w:rPr>
              <w:t>ensitivity analysis</w:t>
            </w:r>
            <w:r w:rsidR="00833BAA" w:rsidRPr="001F7D3C">
              <w:rPr>
                <w:rFonts w:ascii="Arial Narrow" w:hAnsi="Arial Narrow"/>
                <w:color w:val="000000" w:themeColor="text1"/>
                <w:sz w:val="20"/>
              </w:rPr>
              <w:t xml:space="preserve"> on discount rates was also conducted for the following scenarios: 1) differential annual discount rates of 5% p.a. for costs and 1.5% p.a. for health outcomes; 2) stepped annual discount rates of 5% p.a. for costs and health outcomes in years 1 to 20, and 1.5% p.a. for costs and health outcomes thereafter; and 3) stepped and differential annual discount rates of 5% p.a. for costs and health outcomes in years 1 to 20, and 5% for costs and 1.5% p.a. for health outcomes thereafter</w:t>
            </w:r>
            <w:r w:rsidRPr="001F7D3C">
              <w:rPr>
                <w:rFonts w:ascii="Arial Narrow" w:hAnsi="Arial Narrow"/>
                <w:color w:val="000000" w:themeColor="text1"/>
                <w:sz w:val="20"/>
              </w:rPr>
              <w:t>.</w:t>
            </w:r>
          </w:p>
          <w:p w:rsidR="00833BAA" w:rsidRPr="001F7D3C" w:rsidRDefault="00833BAA" w:rsidP="00833BAA">
            <w:pPr>
              <w:rPr>
                <w:rFonts w:ascii="Arial Narrow" w:hAnsi="Arial Narrow"/>
                <w:color w:val="000000" w:themeColor="text1"/>
                <w:sz w:val="20"/>
              </w:rPr>
            </w:pPr>
          </w:p>
          <w:p w:rsidR="00425975" w:rsidRPr="001F7D3C" w:rsidRDefault="00B14468" w:rsidP="00833BAA">
            <w:pPr>
              <w:rPr>
                <w:rFonts w:ascii="Arial Narrow" w:hAnsi="Arial Narrow"/>
                <w:sz w:val="20"/>
              </w:rPr>
            </w:pPr>
            <w:r w:rsidRPr="001F7D3C">
              <w:rPr>
                <w:rFonts w:ascii="Arial Narrow" w:hAnsi="Arial Narrow"/>
                <w:color w:val="000000" w:themeColor="text1"/>
                <w:sz w:val="20"/>
              </w:rPr>
              <w:t xml:space="preserve"> Additionally </w:t>
            </w:r>
            <w:r w:rsidRPr="001F7D3C">
              <w:rPr>
                <w:rFonts w:ascii="Arial Narrow" w:hAnsi="Arial Narrow"/>
                <w:sz w:val="20"/>
              </w:rPr>
              <w:t>vaccine coverage</w:t>
            </w:r>
            <w:r w:rsidR="00CC5579" w:rsidRPr="001F7D3C">
              <w:rPr>
                <w:rFonts w:ascii="Arial Narrow" w:hAnsi="Arial Narrow"/>
                <w:sz w:val="20"/>
              </w:rPr>
              <w:t xml:space="preserve"> (7</w:t>
            </w:r>
            <w:r w:rsidR="00171BA0" w:rsidRPr="001F7D3C">
              <w:rPr>
                <w:rFonts w:ascii="Arial Narrow" w:hAnsi="Arial Narrow"/>
                <w:sz w:val="20"/>
              </w:rPr>
              <w:t>5.9</w:t>
            </w:r>
            <w:r w:rsidR="00CC5579" w:rsidRPr="001F7D3C">
              <w:rPr>
                <w:rFonts w:ascii="Arial Narrow" w:hAnsi="Arial Narrow"/>
                <w:sz w:val="20"/>
              </w:rPr>
              <w:t>%)</w:t>
            </w:r>
            <w:r w:rsidRPr="001F7D3C">
              <w:rPr>
                <w:rFonts w:ascii="Arial Narrow" w:hAnsi="Arial Narrow"/>
                <w:sz w:val="20"/>
              </w:rPr>
              <w:t>, projected births, deaths, and life expectancy were updated, and costs inflated using the CPI.</w:t>
            </w:r>
            <w:r w:rsidR="00CC5579" w:rsidRPr="001F7D3C">
              <w:rPr>
                <w:rFonts w:ascii="Arial Narrow" w:hAnsi="Arial Narrow"/>
                <w:sz w:val="20"/>
              </w:rPr>
              <w:t xml:space="preserve"> </w:t>
            </w:r>
            <w:r w:rsidR="00CC5579" w:rsidRPr="001F7D3C">
              <w:rPr>
                <w:rFonts w:ascii="Arial Narrow" w:hAnsi="Arial Narrow"/>
                <w:color w:val="000000" w:themeColor="text1"/>
                <w:sz w:val="20"/>
              </w:rPr>
              <w:t>O</w:t>
            </w:r>
            <w:r w:rsidRPr="001F7D3C">
              <w:rPr>
                <w:rFonts w:ascii="Arial Narrow" w:hAnsi="Arial Narrow"/>
                <w:sz w:val="20"/>
              </w:rPr>
              <w:t xml:space="preserve">nly one scenario </w:t>
            </w:r>
            <w:r w:rsidR="00CC5579" w:rsidRPr="001F7D3C">
              <w:rPr>
                <w:rFonts w:ascii="Arial Narrow" w:hAnsi="Arial Narrow"/>
                <w:sz w:val="20"/>
              </w:rPr>
              <w:t>was presented</w:t>
            </w:r>
            <w:r w:rsidR="00BE58AD" w:rsidRPr="001F7D3C">
              <w:rPr>
                <w:rFonts w:ascii="Arial Narrow" w:hAnsi="Arial Narrow"/>
                <w:sz w:val="20"/>
              </w:rPr>
              <w:t xml:space="preserve">. The submission also clarified how </w:t>
            </w:r>
            <w:r w:rsidRPr="001F7D3C">
              <w:rPr>
                <w:rFonts w:ascii="Arial Narrow" w:hAnsi="Arial Narrow"/>
                <w:sz w:val="20"/>
              </w:rPr>
              <w:t>vaccine efficacy and persistence</w:t>
            </w:r>
            <w:r w:rsidR="00BE58AD" w:rsidRPr="001F7D3C">
              <w:rPr>
                <w:rFonts w:ascii="Arial Narrow" w:hAnsi="Arial Narrow"/>
                <w:sz w:val="20"/>
              </w:rPr>
              <w:t xml:space="preserve"> was calculated</w:t>
            </w:r>
            <w:r w:rsidRPr="001F7D3C">
              <w:rPr>
                <w:rFonts w:ascii="Arial Narrow" w:hAnsi="Arial Narrow"/>
                <w:sz w:val="20"/>
              </w:rPr>
              <w:t>.</w:t>
            </w:r>
          </w:p>
          <w:p w:rsidR="00425975" w:rsidRPr="001F7D3C" w:rsidRDefault="00425975" w:rsidP="00171BA0">
            <w:pPr>
              <w:rPr>
                <w:rFonts w:ascii="Arial Narrow" w:hAnsi="Arial Narrow"/>
                <w:sz w:val="20"/>
              </w:rPr>
            </w:pPr>
          </w:p>
          <w:p w:rsidR="00B14468" w:rsidRPr="001F7D3C" w:rsidRDefault="00CC5579" w:rsidP="00171BA0">
            <w:pPr>
              <w:rPr>
                <w:rFonts w:ascii="Arial Narrow" w:hAnsi="Arial Narrow"/>
                <w:sz w:val="20"/>
              </w:rPr>
            </w:pPr>
            <w:r w:rsidRPr="001F7D3C">
              <w:rPr>
                <w:rFonts w:ascii="Arial Narrow" w:hAnsi="Arial Narrow"/>
                <w:b/>
                <w:color w:val="000000" w:themeColor="text1"/>
                <w:sz w:val="20"/>
              </w:rPr>
              <w:t>PBAC Comment:</w:t>
            </w:r>
            <w:r w:rsidR="00EB4208" w:rsidRPr="001F7D3C">
              <w:rPr>
                <w:rFonts w:ascii="Arial Narrow" w:hAnsi="Arial Narrow"/>
                <w:b/>
                <w:color w:val="000000" w:themeColor="text1"/>
                <w:sz w:val="20"/>
              </w:rPr>
              <w:t xml:space="preserve"> </w:t>
            </w:r>
            <w:r w:rsidR="00EB4208" w:rsidRPr="001F7D3C">
              <w:rPr>
                <w:rFonts w:ascii="Arial Narrow" w:hAnsi="Arial Narrow"/>
                <w:sz w:val="20"/>
              </w:rPr>
              <w:t>The PBAC reaffirmed its preference for applying a discount rate of 5% per annum for both costs and outcomes (item 7.9)</w:t>
            </w:r>
          </w:p>
        </w:tc>
        <w:tc>
          <w:tcPr>
            <w:tcW w:w="1134" w:type="pct"/>
          </w:tcPr>
          <w:p w:rsidR="00B14468" w:rsidRPr="001F7D3C" w:rsidRDefault="00CC5579" w:rsidP="00D73093">
            <w:pPr>
              <w:rPr>
                <w:rFonts w:ascii="Arial Narrow" w:hAnsi="Arial Narrow"/>
                <w:sz w:val="20"/>
              </w:rPr>
            </w:pPr>
            <w:r w:rsidRPr="001F7D3C">
              <w:rPr>
                <w:rFonts w:ascii="Arial Narrow" w:hAnsi="Arial Narrow"/>
                <w:sz w:val="20"/>
              </w:rPr>
              <w:t>A revised base case was presented, with non-</w:t>
            </w:r>
            <w:r w:rsidRPr="001F7D3C">
              <w:rPr>
                <w:rFonts w:ascii="Arial Narrow" w:hAnsi="Arial Narrow"/>
                <w:color w:val="000000" w:themeColor="text1"/>
                <w:sz w:val="20"/>
              </w:rPr>
              <w:t xml:space="preserve">differential annual discount rates of 5% p.a. for costs and health outcomes in years 1 to 30, </w:t>
            </w:r>
            <w:r w:rsidR="00D73093" w:rsidRPr="001F7D3C">
              <w:rPr>
                <w:rFonts w:ascii="Arial Narrow" w:hAnsi="Arial Narrow"/>
                <w:color w:val="000000" w:themeColor="text1"/>
                <w:sz w:val="20"/>
              </w:rPr>
              <w:t>stepped to</w:t>
            </w:r>
            <w:r w:rsidRPr="001F7D3C">
              <w:rPr>
                <w:rFonts w:ascii="Arial Narrow" w:hAnsi="Arial Narrow"/>
                <w:color w:val="000000" w:themeColor="text1"/>
                <w:sz w:val="20"/>
              </w:rPr>
              <w:t xml:space="preserve"> 1.5% p.a. for costs and health outcomes in years 31-100, vaccine coverage of 75%, and $</w:t>
            </w:r>
            <w:r w:rsidR="00676FE1">
              <w:rPr>
                <w:rFonts w:ascii="Arial Narrow" w:hAnsi="Arial Narrow"/>
                <w:noProof/>
                <w:color w:val="000000"/>
                <w:sz w:val="20"/>
                <w:highlight w:val="black"/>
              </w:rPr>
              <w:t xml:space="preserve">'''''' </w:t>
            </w:r>
            <w:r w:rsidRPr="001F7D3C">
              <w:rPr>
                <w:rFonts w:ascii="Arial Narrow" w:hAnsi="Arial Narrow"/>
                <w:color w:val="000000" w:themeColor="text1"/>
                <w:sz w:val="20"/>
              </w:rPr>
              <w:t>per dose</w:t>
            </w:r>
            <w:r w:rsidRPr="001F7D3C">
              <w:rPr>
                <w:rFonts w:ascii="Arial Narrow" w:hAnsi="Arial Narrow"/>
                <w:sz w:val="20"/>
              </w:rPr>
              <w:t xml:space="preserve">. </w:t>
            </w:r>
            <w:r w:rsidR="00815998" w:rsidRPr="001F7D3C">
              <w:rPr>
                <w:rFonts w:ascii="Arial Narrow" w:hAnsi="Arial Narrow"/>
                <w:color w:val="000000" w:themeColor="text1"/>
                <w:sz w:val="20"/>
              </w:rPr>
              <w:t xml:space="preserve">Five vaccination schedules were </w:t>
            </w:r>
            <w:r w:rsidRPr="001F7D3C">
              <w:rPr>
                <w:rFonts w:ascii="Arial Narrow" w:hAnsi="Arial Narrow"/>
                <w:sz w:val="20"/>
              </w:rPr>
              <w:t>presented.</w:t>
            </w:r>
          </w:p>
        </w:tc>
      </w:tr>
      <w:tr w:rsidR="00815998" w:rsidRPr="001F7D3C" w:rsidTr="005217C1">
        <w:trPr>
          <w:trHeight w:val="64"/>
        </w:trPr>
        <w:tc>
          <w:tcPr>
            <w:tcW w:w="343" w:type="pct"/>
          </w:tcPr>
          <w:p w:rsidR="00B14468" w:rsidRPr="001F7D3C" w:rsidRDefault="00B14468" w:rsidP="00CC5579">
            <w:pPr>
              <w:rPr>
                <w:rFonts w:ascii="Arial Narrow" w:hAnsi="Arial Narrow"/>
                <w:sz w:val="20"/>
              </w:rPr>
            </w:pPr>
            <w:r w:rsidRPr="001F7D3C">
              <w:rPr>
                <w:rFonts w:ascii="Arial Narrow" w:hAnsi="Arial Narrow"/>
                <w:sz w:val="20"/>
              </w:rPr>
              <w:t>Number of patients</w:t>
            </w:r>
          </w:p>
        </w:tc>
        <w:tc>
          <w:tcPr>
            <w:tcW w:w="1572" w:type="pct"/>
            <w:gridSpan w:val="2"/>
          </w:tcPr>
          <w:p w:rsidR="00B14468" w:rsidRPr="001F7D3C" w:rsidRDefault="00422CAD" w:rsidP="00425975">
            <w:pPr>
              <w:rPr>
                <w:rFonts w:ascii="Arial Narrow" w:hAnsi="Arial Narrow"/>
                <w:sz w:val="20"/>
              </w:rPr>
            </w:pPr>
            <w:r>
              <w:rPr>
                <w:rFonts w:ascii="Arial Narrow" w:hAnsi="Arial Narrow"/>
                <w:sz w:val="20"/>
              </w:rPr>
              <w:t>Over 200,000</w:t>
            </w:r>
            <w:r w:rsidR="00B14468" w:rsidRPr="001F7D3C">
              <w:rPr>
                <w:rFonts w:ascii="Arial Narrow" w:hAnsi="Arial Narrow"/>
                <w:sz w:val="20"/>
              </w:rPr>
              <w:t xml:space="preserve"> over 5 years.</w:t>
            </w:r>
          </w:p>
        </w:tc>
        <w:tc>
          <w:tcPr>
            <w:tcW w:w="1951" w:type="pct"/>
            <w:gridSpan w:val="2"/>
          </w:tcPr>
          <w:p w:rsidR="00B14468" w:rsidRPr="001F7D3C" w:rsidRDefault="00422CAD" w:rsidP="004D6F3D">
            <w:pPr>
              <w:rPr>
                <w:rFonts w:ascii="Arial Narrow" w:hAnsi="Arial Narrow"/>
                <w:sz w:val="20"/>
              </w:rPr>
            </w:pPr>
            <w:r>
              <w:rPr>
                <w:rFonts w:ascii="Arial Narrow" w:hAnsi="Arial Narrow"/>
                <w:sz w:val="20"/>
              </w:rPr>
              <w:t>Over 200,000</w:t>
            </w:r>
            <w:r w:rsidR="004D6F3D">
              <w:rPr>
                <w:rFonts w:ascii="Arial Narrow" w:hAnsi="Arial Narrow"/>
                <w:sz w:val="20"/>
              </w:rPr>
              <w:t xml:space="preserve"> </w:t>
            </w:r>
            <w:r w:rsidR="00B14468" w:rsidRPr="001F7D3C">
              <w:rPr>
                <w:rFonts w:ascii="Arial Narrow" w:hAnsi="Arial Narrow"/>
                <w:sz w:val="20"/>
              </w:rPr>
              <w:t>over 5 years.</w:t>
            </w:r>
          </w:p>
        </w:tc>
        <w:tc>
          <w:tcPr>
            <w:tcW w:w="1134" w:type="pct"/>
          </w:tcPr>
          <w:p w:rsidR="00B14468" w:rsidRPr="001F7D3C" w:rsidRDefault="00CC5579" w:rsidP="00CC5579">
            <w:pPr>
              <w:rPr>
                <w:rFonts w:ascii="Arial Narrow" w:hAnsi="Arial Narrow"/>
                <w:sz w:val="20"/>
              </w:rPr>
            </w:pPr>
            <w:r w:rsidRPr="001F7D3C">
              <w:rPr>
                <w:rFonts w:ascii="Arial Narrow" w:hAnsi="Arial Narrow"/>
                <w:color w:val="000000" w:themeColor="text1"/>
                <w:sz w:val="20"/>
              </w:rPr>
              <w:t>Unchanged</w:t>
            </w:r>
            <w:r w:rsidR="00CC389D" w:rsidRPr="001F7D3C">
              <w:rPr>
                <w:rFonts w:ascii="Arial Narrow" w:hAnsi="Arial Narrow"/>
                <w:color w:val="000000" w:themeColor="text1"/>
                <w:sz w:val="20"/>
              </w:rPr>
              <w:t xml:space="preserve"> for Program #5.</w:t>
            </w:r>
          </w:p>
        </w:tc>
      </w:tr>
      <w:tr w:rsidR="00815998" w:rsidRPr="001F7D3C" w:rsidTr="005217C1">
        <w:trPr>
          <w:trHeight w:val="522"/>
        </w:trPr>
        <w:tc>
          <w:tcPr>
            <w:tcW w:w="343" w:type="pct"/>
          </w:tcPr>
          <w:p w:rsidR="00B14468" w:rsidRPr="001F7D3C" w:rsidRDefault="00B14468" w:rsidP="00CC5579">
            <w:pPr>
              <w:rPr>
                <w:rFonts w:ascii="Arial Narrow" w:hAnsi="Arial Narrow"/>
                <w:sz w:val="20"/>
              </w:rPr>
            </w:pPr>
            <w:r w:rsidRPr="001F7D3C">
              <w:rPr>
                <w:rFonts w:ascii="Arial Narrow" w:hAnsi="Arial Narrow"/>
                <w:sz w:val="20"/>
              </w:rPr>
              <w:t>Estimated cost to the NIP</w:t>
            </w:r>
          </w:p>
        </w:tc>
        <w:tc>
          <w:tcPr>
            <w:tcW w:w="800" w:type="pct"/>
          </w:tcPr>
          <w:p w:rsidR="00B14468" w:rsidRPr="001F7D3C" w:rsidRDefault="00422CAD" w:rsidP="00422CAD">
            <w:pPr>
              <w:rPr>
                <w:rFonts w:ascii="Arial Narrow" w:hAnsi="Arial Narrow"/>
                <w:sz w:val="20"/>
              </w:rPr>
            </w:pPr>
            <w:r>
              <w:rPr>
                <w:rFonts w:ascii="Arial Narrow" w:hAnsi="Arial Narrow"/>
                <w:sz w:val="20"/>
              </w:rPr>
              <w:t xml:space="preserve">More than $100 million </w:t>
            </w:r>
            <w:r w:rsidR="00B14468" w:rsidRPr="001F7D3C">
              <w:rPr>
                <w:rFonts w:ascii="Arial Narrow" w:hAnsi="Arial Narrow"/>
                <w:color w:val="000000" w:themeColor="text1"/>
                <w:sz w:val="20"/>
              </w:rPr>
              <w:t>over the first 5 years of listing</w:t>
            </w:r>
            <w:r w:rsidR="00815998" w:rsidRPr="001F7D3C">
              <w:rPr>
                <w:rFonts w:ascii="Arial Narrow" w:hAnsi="Arial Narrow"/>
                <w:sz w:val="20"/>
              </w:rPr>
              <w:t>.</w:t>
            </w:r>
          </w:p>
        </w:tc>
        <w:tc>
          <w:tcPr>
            <w:tcW w:w="772" w:type="pct"/>
          </w:tcPr>
          <w:p w:rsidR="00B14468" w:rsidRPr="001F7D3C" w:rsidRDefault="00422CAD" w:rsidP="00425975">
            <w:pPr>
              <w:rPr>
                <w:rFonts w:ascii="Arial Narrow" w:hAnsi="Arial Narrow"/>
                <w:sz w:val="20"/>
              </w:rPr>
            </w:pPr>
            <w:r>
              <w:rPr>
                <w:rFonts w:ascii="Arial Narrow" w:hAnsi="Arial Narrow"/>
                <w:sz w:val="20"/>
              </w:rPr>
              <w:t>More than $100 million</w:t>
            </w:r>
            <w:r w:rsidRPr="001F7D3C" w:rsidDel="00422CAD">
              <w:rPr>
                <w:rFonts w:ascii="Arial Narrow" w:hAnsi="Arial Narrow"/>
                <w:sz w:val="20"/>
              </w:rPr>
              <w:t xml:space="preserve"> </w:t>
            </w:r>
            <w:r w:rsidR="00B14468" w:rsidRPr="001F7D3C">
              <w:rPr>
                <w:rFonts w:ascii="Arial Narrow" w:hAnsi="Arial Narrow"/>
                <w:color w:val="000000" w:themeColor="text1"/>
                <w:sz w:val="20"/>
              </w:rPr>
              <w:t>over the first 5 years of listing</w:t>
            </w:r>
          </w:p>
        </w:tc>
        <w:tc>
          <w:tcPr>
            <w:tcW w:w="1951" w:type="pct"/>
            <w:gridSpan w:val="2"/>
          </w:tcPr>
          <w:p w:rsidR="00B14468" w:rsidRPr="001F7D3C" w:rsidRDefault="00422CAD" w:rsidP="00425975">
            <w:pPr>
              <w:rPr>
                <w:rFonts w:ascii="Arial Narrow" w:hAnsi="Arial Narrow"/>
                <w:sz w:val="20"/>
              </w:rPr>
            </w:pPr>
            <w:r>
              <w:rPr>
                <w:rFonts w:ascii="Arial Narrow" w:hAnsi="Arial Narrow"/>
                <w:sz w:val="20"/>
              </w:rPr>
              <w:t>More than $100 million</w:t>
            </w:r>
            <w:r w:rsidR="00B14468" w:rsidRPr="001F7D3C">
              <w:rPr>
                <w:sz w:val="20"/>
                <w:lang w:eastAsia="zh-CN"/>
              </w:rPr>
              <w:t xml:space="preserve"> </w:t>
            </w:r>
            <w:r w:rsidR="00B14468" w:rsidRPr="001F7D3C">
              <w:rPr>
                <w:rFonts w:ascii="Arial Narrow" w:hAnsi="Arial Narrow"/>
                <w:sz w:val="20"/>
              </w:rPr>
              <w:t>over the first 5 years of listing.</w:t>
            </w:r>
          </w:p>
        </w:tc>
        <w:tc>
          <w:tcPr>
            <w:tcW w:w="1134" w:type="pct"/>
          </w:tcPr>
          <w:p w:rsidR="0031209F" w:rsidRPr="00A82592" w:rsidRDefault="0031209F" w:rsidP="0031209F">
            <w:pPr>
              <w:rPr>
                <w:rFonts w:ascii="Arial Narrow" w:hAnsi="Arial Narrow"/>
                <w:sz w:val="20"/>
              </w:rPr>
            </w:pPr>
            <w:r w:rsidRPr="001F7D3C">
              <w:rPr>
                <w:rFonts w:ascii="Arial Narrow" w:hAnsi="Arial Narrow"/>
                <w:sz w:val="20"/>
              </w:rPr>
              <w:t xml:space="preserve">Program </w:t>
            </w:r>
            <w:r w:rsidRPr="00422CAD">
              <w:rPr>
                <w:rFonts w:ascii="Arial Narrow" w:hAnsi="Arial Narrow"/>
                <w:sz w:val="20"/>
              </w:rPr>
              <w:t xml:space="preserve">#5: </w:t>
            </w:r>
            <w:r w:rsidR="00422CAD" w:rsidRPr="00422CAD">
              <w:rPr>
                <w:rFonts w:ascii="Arial Narrow" w:hAnsi="Arial Narrow"/>
                <w:sz w:val="20"/>
              </w:rPr>
              <w:t xml:space="preserve">More than </w:t>
            </w:r>
            <w:r w:rsidRPr="00422CAD">
              <w:rPr>
                <w:rFonts w:ascii="Arial Narrow" w:hAnsi="Arial Narrow"/>
                <w:sz w:val="20"/>
              </w:rPr>
              <w:t>$</w:t>
            </w:r>
            <w:r w:rsidR="00422CAD" w:rsidRPr="00422CAD">
              <w:rPr>
                <w:rFonts w:ascii="Arial Narrow" w:hAnsi="Arial Narrow"/>
                <w:sz w:val="20"/>
              </w:rPr>
              <w:t>100 million</w:t>
            </w:r>
            <w:r w:rsidRPr="00A82592">
              <w:rPr>
                <w:rFonts w:ascii="Arial Narrow" w:hAnsi="Arial Narrow"/>
                <w:sz w:val="20"/>
              </w:rPr>
              <w:t xml:space="preserve"> over the first 5 years of listing.</w:t>
            </w:r>
          </w:p>
          <w:p w:rsidR="00B14468" w:rsidRPr="001F7D3C" w:rsidRDefault="0031209F" w:rsidP="00422CAD">
            <w:pPr>
              <w:rPr>
                <w:rFonts w:ascii="Arial Narrow" w:hAnsi="Arial Narrow"/>
                <w:sz w:val="20"/>
              </w:rPr>
            </w:pPr>
            <w:r w:rsidRPr="00E7178C">
              <w:rPr>
                <w:rFonts w:ascii="Arial Narrow" w:hAnsi="Arial Narrow"/>
                <w:sz w:val="20"/>
              </w:rPr>
              <w:t xml:space="preserve">Program #4: </w:t>
            </w:r>
            <w:r w:rsidR="0097770A">
              <w:rPr>
                <w:rFonts w:ascii="Arial Narrow" w:hAnsi="Arial Narrow"/>
                <w:sz w:val="20"/>
              </w:rPr>
              <w:t>More than $</w:t>
            </w:r>
            <w:r w:rsidR="00422CAD" w:rsidRPr="00422CAD">
              <w:rPr>
                <w:rFonts w:ascii="Arial Narrow" w:hAnsi="Arial Narrow"/>
                <w:sz w:val="20"/>
              </w:rPr>
              <w:t>100 million</w:t>
            </w:r>
            <w:r w:rsidRPr="00A82592">
              <w:rPr>
                <w:rFonts w:ascii="Arial Narrow" w:hAnsi="Arial Narrow"/>
                <w:sz w:val="20"/>
              </w:rPr>
              <w:t xml:space="preserve"> over t</w:t>
            </w:r>
            <w:r w:rsidRPr="001F7D3C">
              <w:rPr>
                <w:rFonts w:ascii="Arial Narrow" w:hAnsi="Arial Narrow"/>
                <w:sz w:val="20"/>
              </w:rPr>
              <w:t>he first 5 years of listing</w:t>
            </w:r>
            <w:r w:rsidR="005217C1" w:rsidRPr="001F7D3C">
              <w:rPr>
                <w:rFonts w:ascii="Arial Narrow" w:hAnsi="Arial Narrow"/>
                <w:sz w:val="20"/>
              </w:rPr>
              <w:t>.</w:t>
            </w:r>
          </w:p>
        </w:tc>
      </w:tr>
      <w:tr w:rsidR="00815998" w:rsidRPr="001F7D3C" w:rsidTr="004D6F3D">
        <w:trPr>
          <w:trHeight w:val="1080"/>
        </w:trPr>
        <w:tc>
          <w:tcPr>
            <w:tcW w:w="343" w:type="pct"/>
          </w:tcPr>
          <w:p w:rsidR="00B14468" w:rsidRPr="001F7D3C" w:rsidRDefault="00B14468" w:rsidP="00CC5579">
            <w:pPr>
              <w:rPr>
                <w:rFonts w:ascii="Arial Narrow" w:hAnsi="Arial Narrow"/>
                <w:sz w:val="20"/>
              </w:rPr>
            </w:pPr>
            <w:r w:rsidRPr="001F7D3C">
              <w:rPr>
                <w:rFonts w:ascii="Arial Narrow" w:hAnsi="Arial Narrow"/>
                <w:sz w:val="20"/>
              </w:rPr>
              <w:t>Risk-share scheme</w:t>
            </w:r>
          </w:p>
        </w:tc>
        <w:tc>
          <w:tcPr>
            <w:tcW w:w="800" w:type="pct"/>
          </w:tcPr>
          <w:p w:rsidR="00B14468" w:rsidRPr="006A3482" w:rsidRDefault="00B14468" w:rsidP="00CC5579">
            <w:pPr>
              <w:rPr>
                <w:rFonts w:ascii="Arial Narrow" w:hAnsi="Arial Narrow"/>
                <w:sz w:val="20"/>
              </w:rPr>
            </w:pPr>
            <w:r w:rsidRPr="004B4B5F">
              <w:rPr>
                <w:rFonts w:ascii="Arial Narrow" w:hAnsi="Arial Narrow"/>
                <w:sz w:val="20"/>
              </w:rPr>
              <w:t xml:space="preserve">A </w:t>
            </w:r>
            <w:r w:rsidR="00676FE1">
              <w:rPr>
                <w:rFonts w:ascii="Arial Narrow" w:hAnsi="Arial Narrow"/>
                <w:noProof/>
                <w:color w:val="000000"/>
                <w:sz w:val="20"/>
                <w:highlight w:val="black"/>
              </w:rPr>
              <w:t>'''''</w:t>
            </w:r>
            <w:r w:rsidRPr="006A3482">
              <w:rPr>
                <w:rFonts w:ascii="Arial Narrow" w:hAnsi="Arial Narrow"/>
                <w:sz w:val="20"/>
              </w:rPr>
              <w:t>% price reduction for 4CMenB under the catch-up programs for children and adolescents. Plus c</w:t>
            </w:r>
            <w:r w:rsidRPr="006A3482">
              <w:rPr>
                <w:rFonts w:ascii="Arial Narrow" w:hAnsi="Arial Narrow"/>
                <w:color w:val="000000" w:themeColor="text1"/>
                <w:sz w:val="20"/>
              </w:rPr>
              <w:t xml:space="preserve">ontinuation of MATS analysis. </w:t>
            </w:r>
          </w:p>
        </w:tc>
        <w:tc>
          <w:tcPr>
            <w:tcW w:w="772" w:type="pct"/>
          </w:tcPr>
          <w:p w:rsidR="00B14468" w:rsidRPr="006A3482" w:rsidRDefault="00B14468" w:rsidP="00CC5579">
            <w:pPr>
              <w:rPr>
                <w:rFonts w:ascii="Arial Narrow" w:hAnsi="Arial Narrow"/>
                <w:sz w:val="20"/>
              </w:rPr>
            </w:pPr>
            <w:r w:rsidRPr="006A3482">
              <w:rPr>
                <w:rFonts w:ascii="Arial Narrow" w:hAnsi="Arial Narrow"/>
                <w:sz w:val="20"/>
              </w:rPr>
              <w:t xml:space="preserve">A </w:t>
            </w:r>
            <w:r w:rsidR="00676FE1">
              <w:rPr>
                <w:rFonts w:ascii="Arial Narrow" w:hAnsi="Arial Narrow"/>
                <w:noProof/>
                <w:color w:val="000000"/>
                <w:sz w:val="20"/>
                <w:highlight w:val="black"/>
              </w:rPr>
              <w:t>'''''</w:t>
            </w:r>
            <w:r w:rsidRPr="006A3482">
              <w:rPr>
                <w:rFonts w:ascii="Arial Narrow" w:hAnsi="Arial Narrow"/>
                <w:sz w:val="20"/>
              </w:rPr>
              <w:t>% price reduction for 4CMenB under the catch-up programs for children and adolescents. Plus conducting the following studies:</w:t>
            </w:r>
          </w:p>
          <w:p w:rsidR="00B14468" w:rsidRPr="006A3482" w:rsidRDefault="00B14468" w:rsidP="0003241F">
            <w:pPr>
              <w:pStyle w:val="Default"/>
              <w:numPr>
                <w:ilvl w:val="0"/>
                <w:numId w:val="9"/>
              </w:numPr>
              <w:ind w:left="357" w:hanging="357"/>
              <w:jc w:val="both"/>
              <w:rPr>
                <w:rFonts w:ascii="Arial Narrow" w:hAnsi="Arial Narrow"/>
                <w:color w:val="000000" w:themeColor="text1"/>
                <w:sz w:val="20"/>
                <w:szCs w:val="20"/>
                <w:lang w:val="en-AU"/>
              </w:rPr>
            </w:pPr>
            <w:r w:rsidRPr="006A3482">
              <w:rPr>
                <w:rFonts w:ascii="Arial Narrow" w:hAnsi="Arial Narrow"/>
                <w:color w:val="000000" w:themeColor="text1"/>
                <w:sz w:val="20"/>
                <w:szCs w:val="20"/>
                <w:lang w:val="en-AU"/>
              </w:rPr>
              <w:t>Continuation of MATS analysis.</w:t>
            </w:r>
          </w:p>
          <w:p w:rsidR="00B14468" w:rsidRPr="006A3482" w:rsidRDefault="00B14468" w:rsidP="0003241F">
            <w:pPr>
              <w:pStyle w:val="Default"/>
              <w:numPr>
                <w:ilvl w:val="0"/>
                <w:numId w:val="9"/>
              </w:numPr>
              <w:ind w:left="357" w:hanging="357"/>
              <w:jc w:val="both"/>
              <w:rPr>
                <w:rFonts w:ascii="Arial Narrow" w:hAnsi="Arial Narrow"/>
                <w:color w:val="000000" w:themeColor="text1"/>
                <w:sz w:val="20"/>
                <w:szCs w:val="20"/>
                <w:lang w:val="en-AU"/>
              </w:rPr>
            </w:pPr>
            <w:r w:rsidRPr="006A3482">
              <w:rPr>
                <w:rFonts w:ascii="Arial Narrow" w:hAnsi="Arial Narrow"/>
                <w:color w:val="000000" w:themeColor="text1"/>
                <w:sz w:val="20"/>
                <w:szCs w:val="20"/>
                <w:lang w:val="en-AU"/>
              </w:rPr>
              <w:t>Vaccine registry that enables identification of vaccinated cohorts for ‘</w:t>
            </w:r>
            <w:r w:rsidR="00676FE1">
              <w:rPr>
                <w:rFonts w:ascii="Arial Narrow" w:hAnsi="Arial Narrow"/>
                <w:noProof/>
                <w:sz w:val="20"/>
                <w:szCs w:val="20"/>
                <w:highlight w:val="black"/>
                <w:lang w:val="en-AU"/>
              </w:rPr>
              <w:t>''''''''' ''''' '''''''''''''''' '''''''''''''''''' ''''''''''''' '''''' '''''''' ''' ''''' ''''''''</w:t>
            </w:r>
            <w:r w:rsidRPr="004D6F3D">
              <w:rPr>
                <w:rFonts w:ascii="Arial Narrow" w:hAnsi="Arial Narrow"/>
                <w:color w:val="000000" w:themeColor="text1"/>
                <w:sz w:val="20"/>
                <w:szCs w:val="20"/>
                <w:lang w:val="en-AU"/>
              </w:rPr>
              <w:t>,</w:t>
            </w:r>
            <w:r w:rsidRPr="006A3482">
              <w:rPr>
                <w:rFonts w:ascii="Arial Narrow" w:hAnsi="Arial Narrow"/>
                <w:color w:val="000000" w:themeColor="text1"/>
                <w:sz w:val="20"/>
                <w:szCs w:val="20"/>
                <w:lang w:val="en-AU"/>
              </w:rPr>
              <w:t xml:space="preserve"> if necessary.</w:t>
            </w:r>
          </w:p>
          <w:p w:rsidR="00B14468" w:rsidRPr="006A3482" w:rsidRDefault="00B14468" w:rsidP="0003241F">
            <w:pPr>
              <w:pStyle w:val="Default"/>
              <w:numPr>
                <w:ilvl w:val="0"/>
                <w:numId w:val="9"/>
              </w:numPr>
              <w:ind w:left="357" w:hanging="357"/>
              <w:jc w:val="both"/>
              <w:rPr>
                <w:rFonts w:ascii="Arial Narrow" w:hAnsi="Arial Narrow"/>
                <w:color w:val="000000" w:themeColor="text1"/>
                <w:sz w:val="20"/>
                <w:szCs w:val="20"/>
                <w:lang w:val="en-AU"/>
              </w:rPr>
            </w:pPr>
            <w:r w:rsidRPr="006A3482">
              <w:rPr>
                <w:rFonts w:ascii="Arial Narrow" w:hAnsi="Arial Narrow"/>
                <w:color w:val="000000" w:themeColor="text1"/>
                <w:sz w:val="20"/>
                <w:szCs w:val="20"/>
                <w:lang w:val="en-AU"/>
              </w:rPr>
              <w:t>Carriage study at baseline and post NIP.</w:t>
            </w:r>
          </w:p>
          <w:p w:rsidR="00B14468" w:rsidRPr="006A3482" w:rsidRDefault="00B14468" w:rsidP="0003241F">
            <w:pPr>
              <w:pStyle w:val="Default"/>
              <w:numPr>
                <w:ilvl w:val="0"/>
                <w:numId w:val="9"/>
              </w:numPr>
              <w:ind w:left="357" w:hanging="357"/>
              <w:jc w:val="both"/>
              <w:rPr>
                <w:rFonts w:ascii="Arial Narrow" w:hAnsi="Arial Narrow"/>
                <w:color w:val="000000" w:themeColor="text1"/>
                <w:sz w:val="20"/>
                <w:szCs w:val="20"/>
                <w:lang w:val="en-AU"/>
              </w:rPr>
            </w:pPr>
            <w:r w:rsidRPr="006A3482">
              <w:rPr>
                <w:rFonts w:ascii="Arial Narrow" w:hAnsi="Arial Narrow"/>
                <w:color w:val="000000" w:themeColor="text1"/>
                <w:sz w:val="20"/>
                <w:szCs w:val="20"/>
                <w:lang w:val="en-AU"/>
              </w:rPr>
              <w:t>Independent research of discounting regarding future health benefits in certain circumstances.</w:t>
            </w:r>
          </w:p>
          <w:p w:rsidR="00B14468" w:rsidRPr="006A3482" w:rsidRDefault="00B14468" w:rsidP="00CC5579">
            <w:pPr>
              <w:rPr>
                <w:rFonts w:ascii="Arial Narrow" w:hAnsi="Arial Narrow"/>
                <w:color w:val="000000" w:themeColor="text1"/>
                <w:sz w:val="20"/>
              </w:rPr>
            </w:pPr>
            <w:r w:rsidRPr="006A3482">
              <w:rPr>
                <w:rFonts w:ascii="Arial Narrow" w:hAnsi="Arial Narrow"/>
                <w:color w:val="000000" w:themeColor="text1"/>
                <w:sz w:val="20"/>
              </w:rPr>
              <w:t>Plus suggested that either that regular updates of the results of the observational study V72_38OB (using screening methods) be provided to ATAGI, or a similar study be conducted in Australia.</w:t>
            </w:r>
          </w:p>
        </w:tc>
        <w:tc>
          <w:tcPr>
            <w:tcW w:w="1951" w:type="pct"/>
            <w:gridSpan w:val="2"/>
            <w:shd w:val="clear" w:color="auto" w:fill="auto"/>
          </w:tcPr>
          <w:p w:rsidR="00B14468" w:rsidRPr="004D6F3D" w:rsidRDefault="00B14468" w:rsidP="00CC5579">
            <w:pPr>
              <w:rPr>
                <w:rFonts w:ascii="Arial Narrow" w:hAnsi="Arial Narrow"/>
                <w:color w:val="000000" w:themeColor="text1"/>
                <w:sz w:val="20"/>
              </w:rPr>
            </w:pPr>
            <w:r w:rsidRPr="004D6F3D">
              <w:rPr>
                <w:rFonts w:ascii="Arial Narrow" w:hAnsi="Arial Narrow"/>
                <w:color w:val="000000" w:themeColor="text1"/>
                <w:sz w:val="20"/>
              </w:rPr>
              <w:t xml:space="preserve">A </w:t>
            </w:r>
            <w:r w:rsidR="00676FE1">
              <w:rPr>
                <w:rFonts w:ascii="Arial Narrow" w:hAnsi="Arial Narrow"/>
                <w:noProof/>
                <w:color w:val="000000"/>
                <w:sz w:val="20"/>
                <w:highlight w:val="black"/>
              </w:rPr>
              <w:t>'''''''</w:t>
            </w:r>
            <w:r w:rsidRPr="004D6F3D">
              <w:rPr>
                <w:rFonts w:ascii="Arial Narrow" w:hAnsi="Arial Narrow"/>
                <w:color w:val="000000" w:themeColor="text1"/>
                <w:sz w:val="20"/>
              </w:rPr>
              <w:t xml:space="preserve">% price reduction for 4CMenB under the catch-up programs for children and adolescents. Plus a more detailed MES is proposed, including </w:t>
            </w:r>
            <w:r w:rsidRPr="004D6F3D">
              <w:rPr>
                <w:rFonts w:ascii="Arial Narrow" w:hAnsi="Arial Narrow"/>
                <w:sz w:val="20"/>
              </w:rPr>
              <w:t>conducting the following studies</w:t>
            </w:r>
            <w:r w:rsidRPr="004D6F3D">
              <w:rPr>
                <w:rFonts w:ascii="Arial Narrow" w:hAnsi="Arial Narrow"/>
                <w:color w:val="000000" w:themeColor="text1"/>
                <w:sz w:val="20"/>
              </w:rPr>
              <w:t>:</w:t>
            </w:r>
          </w:p>
          <w:p w:rsidR="00B14468" w:rsidRPr="004D6F3D" w:rsidRDefault="00B14468" w:rsidP="0003241F">
            <w:pPr>
              <w:pStyle w:val="Default"/>
              <w:numPr>
                <w:ilvl w:val="0"/>
                <w:numId w:val="9"/>
              </w:numPr>
              <w:ind w:left="357" w:hanging="357"/>
              <w:jc w:val="both"/>
              <w:rPr>
                <w:rFonts w:ascii="Arial Narrow" w:hAnsi="Arial Narrow"/>
                <w:color w:val="000000" w:themeColor="text1"/>
                <w:sz w:val="20"/>
                <w:szCs w:val="20"/>
                <w:lang w:val="en-AU"/>
              </w:rPr>
            </w:pPr>
            <w:r w:rsidRPr="004D6F3D">
              <w:rPr>
                <w:rFonts w:ascii="Arial Narrow" w:hAnsi="Arial Narrow"/>
                <w:color w:val="000000" w:themeColor="text1"/>
                <w:sz w:val="20"/>
                <w:szCs w:val="20"/>
                <w:lang w:val="en-AU"/>
              </w:rPr>
              <w:t>An observational study of the incidence of IMD at baseline and post NIP (including establishing a vaccine registry and continuation of MATS analysis).</w:t>
            </w:r>
          </w:p>
          <w:p w:rsidR="00B14468" w:rsidRPr="004D6F3D" w:rsidRDefault="00B14468" w:rsidP="0003241F">
            <w:pPr>
              <w:pStyle w:val="Default"/>
              <w:numPr>
                <w:ilvl w:val="0"/>
                <w:numId w:val="9"/>
              </w:numPr>
              <w:ind w:left="357" w:hanging="357"/>
              <w:jc w:val="both"/>
              <w:rPr>
                <w:rFonts w:ascii="Arial Narrow" w:hAnsi="Arial Narrow"/>
                <w:color w:val="000000" w:themeColor="text1"/>
                <w:sz w:val="20"/>
                <w:szCs w:val="20"/>
                <w:lang w:val="en-AU"/>
              </w:rPr>
            </w:pPr>
            <w:r w:rsidRPr="004D6F3D">
              <w:rPr>
                <w:rFonts w:ascii="Arial Narrow" w:hAnsi="Arial Narrow"/>
                <w:color w:val="000000" w:themeColor="text1"/>
                <w:sz w:val="20"/>
                <w:szCs w:val="20"/>
                <w:lang w:val="en-AU"/>
              </w:rPr>
              <w:t>An analytic study to assess vaccine effectiveness in terms of IMD using case-control methods.</w:t>
            </w:r>
          </w:p>
          <w:p w:rsidR="00B14468" w:rsidRPr="004D6F3D" w:rsidRDefault="00B14468" w:rsidP="0003241F">
            <w:pPr>
              <w:pStyle w:val="Default"/>
              <w:numPr>
                <w:ilvl w:val="0"/>
                <w:numId w:val="9"/>
              </w:numPr>
              <w:ind w:left="357" w:hanging="357"/>
              <w:jc w:val="both"/>
              <w:rPr>
                <w:rFonts w:ascii="Arial Narrow" w:hAnsi="Arial Narrow"/>
                <w:color w:val="000000" w:themeColor="text1"/>
                <w:sz w:val="20"/>
                <w:szCs w:val="20"/>
                <w:lang w:val="en-AU"/>
              </w:rPr>
            </w:pPr>
            <w:r w:rsidRPr="004D6F3D">
              <w:rPr>
                <w:rFonts w:ascii="Arial Narrow" w:hAnsi="Arial Narrow"/>
                <w:color w:val="000000" w:themeColor="text1"/>
                <w:sz w:val="20"/>
                <w:szCs w:val="20"/>
                <w:lang w:val="en-AU"/>
              </w:rPr>
              <w:t>An observational study of nasopharyngeal carriage in adolescents at baseline and post NIP</w:t>
            </w:r>
          </w:p>
          <w:p w:rsidR="00B14468" w:rsidRPr="004D6F3D" w:rsidRDefault="00B14468" w:rsidP="0003241F">
            <w:pPr>
              <w:pStyle w:val="Default"/>
              <w:numPr>
                <w:ilvl w:val="0"/>
                <w:numId w:val="9"/>
              </w:numPr>
              <w:ind w:left="357" w:hanging="357"/>
              <w:jc w:val="both"/>
              <w:rPr>
                <w:rFonts w:ascii="Arial Narrow" w:hAnsi="Arial Narrow"/>
                <w:color w:val="000000" w:themeColor="text1"/>
                <w:sz w:val="20"/>
                <w:szCs w:val="20"/>
                <w:lang w:val="en-AU"/>
              </w:rPr>
            </w:pPr>
            <w:r w:rsidRPr="004D6F3D">
              <w:rPr>
                <w:rFonts w:ascii="Arial Narrow" w:hAnsi="Arial Narrow"/>
                <w:color w:val="000000" w:themeColor="text1"/>
                <w:sz w:val="20"/>
                <w:szCs w:val="20"/>
                <w:lang w:val="en-AU"/>
              </w:rPr>
              <w:t>Safety study using regular passive, enhanced and active pharmacovigilance.</w:t>
            </w:r>
          </w:p>
          <w:p w:rsidR="00B14468" w:rsidRPr="004D6F3D" w:rsidRDefault="00676FE1" w:rsidP="00CC5579">
            <w:pPr>
              <w:rPr>
                <w:rFonts w:ascii="Arial Narrow" w:hAnsi="Arial Narrow"/>
                <w:color w:val="000000" w:themeColor="text1"/>
                <w:sz w:val="20"/>
              </w:rPr>
            </w:pPr>
            <w:r>
              <w:rPr>
                <w:rFonts w:ascii="Arial Narrow" w:hAnsi="Arial Narrow"/>
                <w:noProof/>
                <w:color w:val="000000"/>
                <w:sz w:val="20"/>
                <w:highlight w:val="black"/>
              </w:rPr>
              <w:t>'''' '''''''''' ''''' '''''''''''''''' ''''''''''''''''''' '''''''''' '''''' ''''''''' ''' ''''' ''''''''</w:t>
            </w:r>
            <w:r w:rsidR="00B14468" w:rsidRPr="004D6F3D">
              <w:rPr>
                <w:rFonts w:ascii="Arial Narrow" w:hAnsi="Arial Narrow"/>
                <w:color w:val="000000" w:themeColor="text1"/>
                <w:sz w:val="20"/>
              </w:rPr>
              <w:t>, if necessary.</w:t>
            </w:r>
          </w:p>
          <w:p w:rsidR="00425975" w:rsidRPr="004D6F3D" w:rsidRDefault="00425975" w:rsidP="00CC5579">
            <w:pPr>
              <w:rPr>
                <w:rFonts w:ascii="Arial Narrow" w:hAnsi="Arial Narrow"/>
                <w:color w:val="000000" w:themeColor="text1"/>
                <w:sz w:val="20"/>
              </w:rPr>
            </w:pPr>
          </w:p>
          <w:p w:rsidR="00425975" w:rsidRPr="004D6F3D" w:rsidRDefault="00EB4208" w:rsidP="00425975">
            <w:pPr>
              <w:rPr>
                <w:rFonts w:ascii="Arial Narrow" w:hAnsi="Arial Narrow"/>
                <w:b/>
                <w:color w:val="000000" w:themeColor="text1"/>
                <w:sz w:val="20"/>
              </w:rPr>
            </w:pPr>
            <w:r w:rsidRPr="004D6F3D">
              <w:rPr>
                <w:rFonts w:ascii="Arial Narrow" w:hAnsi="Arial Narrow"/>
                <w:b/>
                <w:color w:val="000000" w:themeColor="text1"/>
                <w:sz w:val="20"/>
              </w:rPr>
              <w:t>PBAC Comment</w:t>
            </w:r>
            <w:r w:rsidR="00425975" w:rsidRPr="004D6F3D">
              <w:rPr>
                <w:rFonts w:ascii="Arial Narrow" w:hAnsi="Arial Narrow"/>
                <w:b/>
                <w:color w:val="000000" w:themeColor="text1"/>
                <w:sz w:val="20"/>
              </w:rPr>
              <w:t>s</w:t>
            </w:r>
            <w:r w:rsidRPr="004D6F3D">
              <w:rPr>
                <w:rFonts w:ascii="Arial Narrow" w:hAnsi="Arial Narrow"/>
                <w:b/>
                <w:color w:val="000000" w:themeColor="text1"/>
                <w:sz w:val="20"/>
              </w:rPr>
              <w:t>:</w:t>
            </w:r>
          </w:p>
          <w:p w:rsidR="00425975" w:rsidRPr="004D6F3D" w:rsidRDefault="00EB4208" w:rsidP="00425975">
            <w:pPr>
              <w:rPr>
                <w:rFonts w:ascii="Arial Narrow" w:hAnsi="Arial Narrow"/>
                <w:color w:val="000000" w:themeColor="text1"/>
                <w:sz w:val="20"/>
              </w:rPr>
            </w:pPr>
            <w:r w:rsidRPr="004D6F3D">
              <w:rPr>
                <w:rFonts w:ascii="Arial Narrow" w:hAnsi="Arial Narrow"/>
                <w:color w:val="000000" w:themeColor="text1"/>
                <w:sz w:val="20"/>
              </w:rPr>
              <w:t>The PBAC considered that the proposed MES would reduce uncertainty, especially in the context of internationally compatible studies. However, the PBAC noted the methodological reservations expressed by ATAGI and the ESC, particularly that the intermediate protective status of partially immunised participants was not adequately considered in the design of the proposed observational studies. Further, the PBAC acknowledged that if twelve to eighteen months would be needed to extend the vaccination register as required for the MES studies, this would have consequences for the timing of implementing both an NIP listing and the studies. The PBAC concluded by anticipating that, even with highly favourable outcomes reported by all the studies, the reduction in the modelled ICER would be insufficient to address concerns regarding acceptable cost-effectiveness at the current requested price. Overall, the PBAC considered that, although important, the proposed MES was a secondary issue that only warranted further consideration if a price commensurate with an acceptable ICER is proposed to enable a recommendation to list on the NIP in the first place (item 7.11).</w:t>
            </w:r>
          </w:p>
          <w:p w:rsidR="00425975" w:rsidRPr="004D6F3D" w:rsidRDefault="00425975" w:rsidP="00425975">
            <w:pPr>
              <w:rPr>
                <w:rFonts w:ascii="Arial Narrow" w:hAnsi="Arial Narrow"/>
                <w:color w:val="000000" w:themeColor="text1"/>
                <w:sz w:val="20"/>
              </w:rPr>
            </w:pPr>
          </w:p>
          <w:p w:rsidR="00EB4208" w:rsidRPr="004D6F3D" w:rsidRDefault="00EB4208" w:rsidP="00425975">
            <w:pPr>
              <w:rPr>
                <w:rFonts w:ascii="Arial Narrow" w:hAnsi="Arial Narrow"/>
                <w:color w:val="000000" w:themeColor="text1"/>
                <w:sz w:val="20"/>
              </w:rPr>
            </w:pPr>
            <w:r w:rsidRPr="004D6F3D">
              <w:rPr>
                <w:rFonts w:ascii="Arial Narrow" w:hAnsi="Arial Narrow"/>
                <w:color w:val="000000" w:themeColor="text1"/>
                <w:sz w:val="20"/>
              </w:rPr>
              <w:t>The PBAC noted the post submission advice from ATAGI and the current lack of unanimous support from states and territories regarding potential implementation of a managed entry scheme for 4CMenB. If expected clinical benefits were not realised and/or the rate of fever-associated side-effects was significant, such that removal of the vaccine from the NIP had to be contemplated, there would be great difficulty associated with such a disinvestment, which may flow on to undermine public confidence in the NIP in general (item 7.12).</w:t>
            </w:r>
          </w:p>
        </w:tc>
        <w:tc>
          <w:tcPr>
            <w:tcW w:w="1134" w:type="pct"/>
            <w:shd w:val="clear" w:color="auto" w:fill="auto"/>
          </w:tcPr>
          <w:p w:rsidR="00BE58AD" w:rsidRPr="004D6F3D" w:rsidRDefault="00676FE1" w:rsidP="00CC5579">
            <w:pPr>
              <w:rPr>
                <w:rFonts w:ascii="Arial Narrow" w:hAnsi="Arial Narrow"/>
                <w:color w:val="000000" w:themeColor="text1"/>
                <w:sz w:val="20"/>
              </w:rPr>
            </w:pPr>
            <w:r>
              <w:rPr>
                <w:rFonts w:ascii="Arial Narrow" w:hAnsi="Arial Narrow"/>
                <w:noProof/>
                <w:color w:val="000000"/>
                <w:sz w:val="20"/>
                <w:highlight w:val="black"/>
              </w:rPr>
              <w:t>'''''''''' '''''''''''''''''' ''''' '''''''' '''' ''''''' ''''''''''''''''''''''''' '''''''''''''''''''''' '''''''''''''''</w:t>
            </w:r>
            <w:r w:rsidR="00BE58AD" w:rsidRPr="004D6F3D">
              <w:rPr>
                <w:rFonts w:ascii="Arial Narrow" w:hAnsi="Arial Narrow"/>
                <w:color w:val="000000" w:themeColor="text1"/>
                <w:sz w:val="20"/>
              </w:rPr>
              <w:t xml:space="preserve"> should the preferred vaccination program be implemented (#5) (the </w:t>
            </w:r>
            <w:r>
              <w:rPr>
                <w:rFonts w:ascii="Arial Narrow" w:hAnsi="Arial Narrow"/>
                <w:noProof/>
                <w:color w:val="000000"/>
                <w:sz w:val="20"/>
                <w:highlight w:val="black"/>
              </w:rPr>
              <w:t>'''''</w:t>
            </w:r>
            <w:r w:rsidR="00BE58AD" w:rsidRPr="004D6F3D">
              <w:rPr>
                <w:rFonts w:ascii="Arial Narrow" w:hAnsi="Arial Narrow"/>
                <w:color w:val="000000" w:themeColor="text1"/>
                <w:sz w:val="20"/>
              </w:rPr>
              <w:t>% price reduction for 4CMenB under the catch-up programs for children and adolescents is no longer proposed).</w:t>
            </w:r>
          </w:p>
          <w:p w:rsidR="00BE58AD" w:rsidRPr="004D6F3D" w:rsidRDefault="00BE58AD" w:rsidP="00CC5579">
            <w:pPr>
              <w:rPr>
                <w:rFonts w:ascii="Arial Narrow" w:hAnsi="Arial Narrow"/>
                <w:color w:val="000000" w:themeColor="text1"/>
                <w:sz w:val="20"/>
              </w:rPr>
            </w:pPr>
          </w:p>
          <w:p w:rsidR="00B14468" w:rsidRPr="004D6F3D" w:rsidRDefault="00BE58AD" w:rsidP="005217C1">
            <w:pPr>
              <w:rPr>
                <w:rFonts w:ascii="Arial Narrow" w:hAnsi="Arial Narrow"/>
                <w:color w:val="000000" w:themeColor="text1"/>
                <w:sz w:val="20"/>
              </w:rPr>
            </w:pPr>
            <w:r w:rsidRPr="004D6F3D">
              <w:rPr>
                <w:rFonts w:ascii="Arial Narrow" w:hAnsi="Arial Narrow"/>
                <w:color w:val="000000" w:themeColor="text1"/>
                <w:sz w:val="20"/>
              </w:rPr>
              <w:t>No longer proposes a formal MES, but re-confirms that it will conduct the studies as was previously proposed under the MES proposed in the previous major submission.</w:t>
            </w:r>
          </w:p>
        </w:tc>
      </w:tr>
      <w:tr w:rsidR="00815998" w:rsidRPr="001F7D3C" w:rsidTr="005217C1">
        <w:trPr>
          <w:trHeight w:val="64"/>
        </w:trPr>
        <w:tc>
          <w:tcPr>
            <w:tcW w:w="343" w:type="pct"/>
          </w:tcPr>
          <w:p w:rsidR="00B14468" w:rsidRPr="001F7D3C" w:rsidRDefault="00B14468" w:rsidP="00CC5579">
            <w:pPr>
              <w:rPr>
                <w:rFonts w:ascii="Arial Narrow" w:hAnsi="Arial Narrow"/>
                <w:sz w:val="20"/>
              </w:rPr>
            </w:pPr>
            <w:r w:rsidRPr="001F7D3C">
              <w:rPr>
                <w:rFonts w:ascii="Arial Narrow" w:hAnsi="Arial Narrow"/>
                <w:sz w:val="20"/>
              </w:rPr>
              <w:br w:type="page"/>
              <w:t>PBAC decision</w:t>
            </w:r>
          </w:p>
        </w:tc>
        <w:tc>
          <w:tcPr>
            <w:tcW w:w="1572" w:type="pct"/>
            <w:gridSpan w:val="2"/>
          </w:tcPr>
          <w:p w:rsidR="00B14468" w:rsidRPr="001F7D3C" w:rsidRDefault="00B14468" w:rsidP="00CC5579">
            <w:pPr>
              <w:rPr>
                <w:rFonts w:ascii="Arial Narrow" w:hAnsi="Arial Narrow"/>
                <w:color w:val="000000" w:themeColor="text1"/>
                <w:sz w:val="20"/>
              </w:rPr>
            </w:pPr>
            <w:r w:rsidRPr="001F7D3C">
              <w:rPr>
                <w:rFonts w:ascii="Arial Narrow" w:hAnsi="Arial Narrow"/>
                <w:b/>
                <w:color w:val="000000" w:themeColor="text1"/>
                <w:sz w:val="20"/>
              </w:rPr>
              <w:t>Reject</w:t>
            </w:r>
            <w:r w:rsidRPr="001F7D3C">
              <w:rPr>
                <w:rFonts w:ascii="Arial Narrow" w:hAnsi="Arial Narrow"/>
                <w:color w:val="000000" w:themeColor="text1"/>
                <w:sz w:val="20"/>
              </w:rPr>
              <w:t>. There was a limited demonstration of and multiple uncertainties in relation to the clinical effectiveness of the vaccine against the disease when delivered in a vaccination program. In addition, the PBAC concluded that the ICER was unacceptability high and was based on uncertain assumptions about extent and duration of effect and herd immunity (item 7.1 and 7.2).</w:t>
            </w:r>
          </w:p>
        </w:tc>
        <w:tc>
          <w:tcPr>
            <w:tcW w:w="1951" w:type="pct"/>
            <w:gridSpan w:val="2"/>
          </w:tcPr>
          <w:p w:rsidR="00B14468" w:rsidRPr="001F7D3C" w:rsidRDefault="00B14468" w:rsidP="00B14468">
            <w:pPr>
              <w:rPr>
                <w:rFonts w:ascii="Arial Narrow" w:hAnsi="Arial Narrow"/>
                <w:b/>
                <w:color w:val="000000" w:themeColor="text1"/>
                <w:sz w:val="20"/>
              </w:rPr>
            </w:pPr>
            <w:r w:rsidRPr="001F7D3C">
              <w:rPr>
                <w:rFonts w:ascii="Arial Narrow" w:hAnsi="Arial Narrow"/>
                <w:b/>
                <w:color w:val="000000" w:themeColor="text1"/>
                <w:sz w:val="20"/>
              </w:rPr>
              <w:t xml:space="preserve">Reject. </w:t>
            </w:r>
            <w:r w:rsidRPr="001F7D3C">
              <w:rPr>
                <w:rFonts w:ascii="Arial Narrow" w:hAnsi="Arial Narrow"/>
                <w:color w:val="000000" w:themeColor="text1"/>
                <w:sz w:val="20"/>
              </w:rPr>
              <w:t>There was a limited demonstration of, and multiple uncertainties in relation to, the clinical effectiveness of the vaccine against the disease when delivered in a vaccination program, as well as an unacceptably high and uncertain ICER, including when based on optimistic assumptions about the extent and duration of effect and herd immunity (item 7.1 and 7.2).</w:t>
            </w:r>
          </w:p>
        </w:tc>
        <w:tc>
          <w:tcPr>
            <w:tcW w:w="1134" w:type="pct"/>
          </w:tcPr>
          <w:p w:rsidR="00B14468" w:rsidRPr="001F7D3C" w:rsidRDefault="00B14468" w:rsidP="00CC5579">
            <w:pPr>
              <w:rPr>
                <w:rFonts w:ascii="Arial Narrow" w:hAnsi="Arial Narrow"/>
                <w:color w:val="000000" w:themeColor="text1"/>
                <w:sz w:val="20"/>
              </w:rPr>
            </w:pPr>
            <w:r w:rsidRPr="001F7D3C">
              <w:rPr>
                <w:rFonts w:ascii="Arial Narrow" w:hAnsi="Arial Narrow"/>
                <w:color w:val="000000" w:themeColor="text1"/>
                <w:sz w:val="20"/>
              </w:rPr>
              <w:t>-</w:t>
            </w:r>
          </w:p>
        </w:tc>
      </w:tr>
    </w:tbl>
    <w:p w:rsidR="0003241F" w:rsidRPr="001F7D3C" w:rsidRDefault="0003241F" w:rsidP="0003241F">
      <w:pPr>
        <w:pStyle w:val="TableFooter"/>
        <w:rPr>
          <w:szCs w:val="18"/>
        </w:rPr>
      </w:pPr>
      <w:r w:rsidRPr="001F7D3C">
        <w:rPr>
          <w:szCs w:val="18"/>
        </w:rPr>
        <w:t xml:space="preserve">CPI = consumer price index; hSBA= human Serum Bactericidal Assay; ICER = incremental cost-effectiveness ratio; IMD= invasive meningococcal B disease; MATS= Meningococcal Antigen Typing System; </w:t>
      </w:r>
      <w:r w:rsidR="00BE58AD" w:rsidRPr="001F7D3C">
        <w:rPr>
          <w:szCs w:val="18"/>
        </w:rPr>
        <w:t xml:space="preserve">MES = Managed Entry Scheme; </w:t>
      </w:r>
      <w:r w:rsidRPr="001F7D3C">
        <w:rPr>
          <w:szCs w:val="18"/>
        </w:rPr>
        <w:t>QALY = quality adjusted life year. Source: Novartis Vaccines</w:t>
      </w:r>
      <w:r w:rsidR="006F5DF1" w:rsidRPr="001F7D3C">
        <w:rPr>
          <w:szCs w:val="18"/>
        </w:rPr>
        <w:t xml:space="preserve"> &amp; Diagnostics (2013) Pre-PBAC r</w:t>
      </w:r>
      <w:r w:rsidRPr="001F7D3C">
        <w:rPr>
          <w:szCs w:val="18"/>
        </w:rPr>
        <w:t xml:space="preserve">esponse for multicomponent meningococcal group B vaccine-Bexsero®, item 5.10, PBAC (2013) PBAC </w:t>
      </w:r>
      <w:r w:rsidR="00422CAD">
        <w:rPr>
          <w:szCs w:val="18"/>
        </w:rPr>
        <w:t xml:space="preserve">Public Summary Document (PSD) </w:t>
      </w:r>
      <w:r w:rsidRPr="001F7D3C">
        <w:rPr>
          <w:szCs w:val="18"/>
        </w:rPr>
        <w:t>November 2013</w:t>
      </w:r>
      <w:r w:rsidR="00B14468" w:rsidRPr="001F7D3C">
        <w:rPr>
          <w:szCs w:val="18"/>
        </w:rPr>
        <w:t xml:space="preserve">, PBAC (2014) PBAC </w:t>
      </w:r>
      <w:r w:rsidR="00422CAD">
        <w:rPr>
          <w:szCs w:val="18"/>
        </w:rPr>
        <w:t xml:space="preserve">PSD </w:t>
      </w:r>
      <w:r w:rsidR="00B14468" w:rsidRPr="001F7D3C">
        <w:rPr>
          <w:szCs w:val="18"/>
        </w:rPr>
        <w:t>July 2014</w:t>
      </w:r>
      <w:r w:rsidRPr="001F7D3C">
        <w:rPr>
          <w:szCs w:val="18"/>
        </w:rPr>
        <w:t xml:space="preserve"> and compiled during the evaluation.</w:t>
      </w:r>
    </w:p>
    <w:p w:rsidR="0003241F" w:rsidRPr="001F7D3C" w:rsidRDefault="0003241F" w:rsidP="00882085">
      <w:pPr>
        <w:jc w:val="both"/>
        <w:rPr>
          <w:rFonts w:ascii="Arial" w:hAnsi="Arial"/>
          <w:b/>
          <w:sz w:val="22"/>
          <w:szCs w:val="22"/>
        </w:rPr>
      </w:pPr>
    </w:p>
    <w:p w:rsidR="0003241F" w:rsidRPr="001F7D3C" w:rsidRDefault="0003241F" w:rsidP="00882085">
      <w:pPr>
        <w:jc w:val="both"/>
        <w:rPr>
          <w:rFonts w:ascii="Arial" w:hAnsi="Arial"/>
          <w:b/>
          <w:sz w:val="22"/>
          <w:szCs w:val="22"/>
        </w:rPr>
        <w:sectPr w:rsidR="0003241F" w:rsidRPr="001F7D3C" w:rsidSect="00CF2EB1">
          <w:pgSz w:w="16838" w:h="11906" w:orient="landscape" w:code="9"/>
          <w:pgMar w:top="1440" w:right="1440" w:bottom="1440" w:left="1440" w:header="1440" w:footer="1440" w:gutter="0"/>
          <w:cols w:space="708"/>
          <w:docGrid w:linePitch="360"/>
        </w:sectPr>
      </w:pPr>
    </w:p>
    <w:p w:rsidR="00CE10C4" w:rsidRPr="001F7D3C" w:rsidRDefault="00CE10C4" w:rsidP="00AA4458">
      <w:pPr>
        <w:pStyle w:val="ListParagraph"/>
        <w:numPr>
          <w:ilvl w:val="0"/>
          <w:numId w:val="2"/>
        </w:numPr>
        <w:jc w:val="both"/>
        <w:rPr>
          <w:rFonts w:ascii="Arial" w:hAnsi="Arial"/>
          <w:b/>
          <w:sz w:val="22"/>
          <w:szCs w:val="22"/>
        </w:rPr>
      </w:pPr>
      <w:r w:rsidRPr="001F7D3C">
        <w:rPr>
          <w:rFonts w:ascii="Arial" w:hAnsi="Arial"/>
          <w:b/>
          <w:sz w:val="22"/>
          <w:szCs w:val="22"/>
        </w:rPr>
        <w:t>Clinical place for the proposed ther</w:t>
      </w:r>
      <w:r w:rsidR="006A12A5" w:rsidRPr="001F7D3C">
        <w:rPr>
          <w:rFonts w:ascii="Arial" w:hAnsi="Arial"/>
          <w:b/>
          <w:sz w:val="22"/>
          <w:szCs w:val="22"/>
        </w:rPr>
        <w:t>apy</w:t>
      </w:r>
    </w:p>
    <w:p w:rsidR="00CE10C4" w:rsidRPr="001F7D3C" w:rsidRDefault="00CE10C4" w:rsidP="00882085">
      <w:pPr>
        <w:jc w:val="both"/>
        <w:rPr>
          <w:rFonts w:ascii="Arial" w:hAnsi="Arial"/>
          <w:sz w:val="22"/>
          <w:szCs w:val="22"/>
        </w:rPr>
      </w:pPr>
    </w:p>
    <w:p w:rsidR="006A12A5" w:rsidRPr="001F7D3C" w:rsidRDefault="0003241F" w:rsidP="0003241F">
      <w:pPr>
        <w:pStyle w:val="ListParagraph"/>
        <w:numPr>
          <w:ilvl w:val="1"/>
          <w:numId w:val="2"/>
        </w:numPr>
        <w:jc w:val="both"/>
        <w:rPr>
          <w:rFonts w:ascii="Arial" w:hAnsi="Arial"/>
          <w:sz w:val="22"/>
          <w:szCs w:val="22"/>
        </w:rPr>
      </w:pPr>
      <w:r w:rsidRPr="001F7D3C">
        <w:rPr>
          <w:rFonts w:ascii="Arial" w:hAnsi="Arial"/>
          <w:sz w:val="22"/>
          <w:szCs w:val="22"/>
        </w:rPr>
        <w:t>Invasive meningococcal B disease (IMD) is a rare disease caused by the bacterium Neisseria meningitidis. There were 184 cases (0.82 per 100,000) and approximately 11 deaths in 2011, around five of the deaths were in those aged less than five years old. Incidence is bimodal, with 20% of confirmed cases aged less than one year old, 22% aged one to four years old, and the next peak i</w:t>
      </w:r>
      <w:r w:rsidR="00422CAD">
        <w:rPr>
          <w:rFonts w:ascii="Arial" w:hAnsi="Arial"/>
          <w:sz w:val="22"/>
          <w:szCs w:val="22"/>
        </w:rPr>
        <w:t>n later teens, with 17% aged 15</w:t>
      </w:r>
      <w:r w:rsidR="00422CAD">
        <w:rPr>
          <w:rFonts w:ascii="Arial" w:hAnsi="Arial"/>
          <w:sz w:val="22"/>
          <w:szCs w:val="22"/>
        </w:rPr>
        <w:noBreakHyphen/>
      </w:r>
      <w:r w:rsidRPr="001F7D3C">
        <w:rPr>
          <w:rFonts w:ascii="Arial" w:hAnsi="Arial"/>
          <w:sz w:val="22"/>
          <w:szCs w:val="22"/>
        </w:rPr>
        <w:t>19 years old and 9% aged 20 to 24 years old between 1991 and 2011. IMD can also cause meningitis and sepsis, leading to long-term sequelae including: limb amputation, hearing loss, seizures, renal insufficiency, significant neurological deficits and skin scarring. In contrast to the incidence of IMD, asymptomatic carriage of meningococci (all serotypes) is common: from 4.5% in infants to a peak of 23.7% in 19-year olds (Christensen 2010).</w:t>
      </w:r>
    </w:p>
    <w:p w:rsidR="008A1956" w:rsidRPr="001F7D3C" w:rsidRDefault="008A1956" w:rsidP="00882085">
      <w:pPr>
        <w:pStyle w:val="Header"/>
        <w:tabs>
          <w:tab w:val="clear" w:pos="4153"/>
          <w:tab w:val="clear" w:pos="8306"/>
        </w:tabs>
        <w:jc w:val="both"/>
        <w:rPr>
          <w:rFonts w:ascii="Arial" w:hAnsi="Arial"/>
          <w:sz w:val="22"/>
          <w:szCs w:val="22"/>
        </w:rPr>
      </w:pPr>
    </w:p>
    <w:p w:rsidR="009A437D" w:rsidRPr="001F7D3C" w:rsidRDefault="009A437D" w:rsidP="00882085">
      <w:pPr>
        <w:pStyle w:val="Header"/>
        <w:tabs>
          <w:tab w:val="clear" w:pos="4153"/>
          <w:tab w:val="clear" w:pos="8306"/>
        </w:tabs>
        <w:jc w:val="both"/>
        <w:rPr>
          <w:rFonts w:ascii="Arial" w:hAnsi="Arial"/>
          <w:sz w:val="22"/>
          <w:szCs w:val="22"/>
        </w:rPr>
      </w:pPr>
    </w:p>
    <w:p w:rsidR="005A3173" w:rsidRPr="001F7D3C" w:rsidRDefault="005A3173" w:rsidP="00AA4458">
      <w:pPr>
        <w:pStyle w:val="Header"/>
        <w:numPr>
          <w:ilvl w:val="0"/>
          <w:numId w:val="2"/>
        </w:numPr>
        <w:tabs>
          <w:tab w:val="clear" w:pos="4153"/>
          <w:tab w:val="clear" w:pos="8306"/>
        </w:tabs>
        <w:jc w:val="both"/>
        <w:rPr>
          <w:rFonts w:ascii="Arial" w:hAnsi="Arial"/>
          <w:b/>
          <w:sz w:val="22"/>
          <w:szCs w:val="22"/>
        </w:rPr>
      </w:pPr>
      <w:r w:rsidRPr="001F7D3C">
        <w:rPr>
          <w:rFonts w:ascii="Arial" w:hAnsi="Arial"/>
          <w:b/>
          <w:sz w:val="22"/>
          <w:szCs w:val="22"/>
        </w:rPr>
        <w:t>Comparator</w:t>
      </w:r>
    </w:p>
    <w:p w:rsidR="005A3173" w:rsidRPr="001F7D3C" w:rsidRDefault="005A3173" w:rsidP="00882085">
      <w:pPr>
        <w:pStyle w:val="Header"/>
        <w:tabs>
          <w:tab w:val="clear" w:pos="4153"/>
          <w:tab w:val="clear" w:pos="8306"/>
        </w:tabs>
        <w:jc w:val="both"/>
        <w:rPr>
          <w:rFonts w:ascii="Arial" w:hAnsi="Arial"/>
          <w:b/>
          <w:sz w:val="22"/>
          <w:szCs w:val="22"/>
        </w:rPr>
      </w:pPr>
    </w:p>
    <w:p w:rsidR="00476245" w:rsidRPr="001F7D3C" w:rsidRDefault="00476245" w:rsidP="00476245">
      <w:pPr>
        <w:pStyle w:val="ListParagraph"/>
        <w:numPr>
          <w:ilvl w:val="1"/>
          <w:numId w:val="2"/>
        </w:numPr>
        <w:jc w:val="both"/>
        <w:rPr>
          <w:rFonts w:ascii="Arial" w:hAnsi="Arial"/>
          <w:sz w:val="22"/>
          <w:szCs w:val="22"/>
        </w:rPr>
      </w:pPr>
      <w:r w:rsidRPr="001F7D3C">
        <w:rPr>
          <w:rFonts w:ascii="Arial" w:hAnsi="Arial"/>
          <w:sz w:val="22"/>
          <w:szCs w:val="22"/>
        </w:rPr>
        <w:t xml:space="preserve">The previous major submission considered by the PBAC in </w:t>
      </w:r>
      <w:r w:rsidR="0003241F" w:rsidRPr="001F7D3C">
        <w:rPr>
          <w:rFonts w:ascii="Arial" w:hAnsi="Arial"/>
          <w:sz w:val="22"/>
          <w:szCs w:val="22"/>
        </w:rPr>
        <w:t>July 2014</w:t>
      </w:r>
      <w:r w:rsidRPr="001F7D3C">
        <w:rPr>
          <w:rFonts w:ascii="Arial" w:hAnsi="Arial"/>
          <w:sz w:val="22"/>
          <w:szCs w:val="22"/>
        </w:rPr>
        <w:t xml:space="preserve"> nominated </w:t>
      </w:r>
      <w:r w:rsidR="0003241F" w:rsidRPr="001F7D3C">
        <w:rPr>
          <w:rFonts w:ascii="Arial" w:hAnsi="Arial"/>
          <w:sz w:val="22"/>
          <w:szCs w:val="22"/>
        </w:rPr>
        <w:t>no vaccination</w:t>
      </w:r>
      <w:r w:rsidRPr="001F7D3C">
        <w:rPr>
          <w:rFonts w:ascii="Arial" w:hAnsi="Arial"/>
          <w:sz w:val="22"/>
          <w:szCs w:val="22"/>
        </w:rPr>
        <w:t xml:space="preserve">. This </w:t>
      </w:r>
      <w:r w:rsidR="006F5DF1" w:rsidRPr="001F7D3C">
        <w:rPr>
          <w:rFonts w:ascii="Arial" w:hAnsi="Arial"/>
          <w:sz w:val="22"/>
          <w:szCs w:val="22"/>
        </w:rPr>
        <w:t>wa</w:t>
      </w:r>
      <w:r w:rsidRPr="001F7D3C">
        <w:rPr>
          <w:rFonts w:ascii="Arial" w:hAnsi="Arial"/>
          <w:sz w:val="22"/>
          <w:szCs w:val="22"/>
        </w:rPr>
        <w:t>s unchanged</w:t>
      </w:r>
      <w:r w:rsidR="006F5DF1" w:rsidRPr="001F7D3C">
        <w:rPr>
          <w:rFonts w:ascii="Arial" w:hAnsi="Arial"/>
          <w:sz w:val="22"/>
          <w:szCs w:val="22"/>
        </w:rPr>
        <w:t xml:space="preserve"> in the minor re-submission</w:t>
      </w:r>
      <w:r w:rsidR="00425975" w:rsidRPr="001F7D3C">
        <w:rPr>
          <w:rFonts w:ascii="Arial" w:hAnsi="Arial"/>
          <w:sz w:val="22"/>
          <w:szCs w:val="22"/>
        </w:rPr>
        <w:t>.</w:t>
      </w:r>
    </w:p>
    <w:p w:rsidR="00425975" w:rsidRPr="001F7D3C" w:rsidRDefault="00425975" w:rsidP="00425975">
      <w:pPr>
        <w:jc w:val="both"/>
        <w:rPr>
          <w:rFonts w:ascii="Arial" w:hAnsi="Arial"/>
          <w:sz w:val="22"/>
          <w:szCs w:val="22"/>
        </w:rPr>
      </w:pPr>
    </w:p>
    <w:p w:rsidR="00425975" w:rsidRPr="001F7D3C" w:rsidRDefault="00425975" w:rsidP="00425975">
      <w:pPr>
        <w:pStyle w:val="ListParagraph"/>
        <w:numPr>
          <w:ilvl w:val="1"/>
          <w:numId w:val="2"/>
        </w:numPr>
        <w:jc w:val="both"/>
        <w:rPr>
          <w:rFonts w:ascii="Arial" w:hAnsi="Arial"/>
          <w:sz w:val="22"/>
          <w:szCs w:val="22"/>
        </w:rPr>
      </w:pPr>
      <w:r w:rsidRPr="001F7D3C">
        <w:rPr>
          <w:rFonts w:ascii="Arial" w:hAnsi="Arial"/>
          <w:sz w:val="22"/>
          <w:szCs w:val="22"/>
        </w:rPr>
        <w:t xml:space="preserve">In November 2013 the PBAC agreed that the nominated comparator was appropriate (item 5.2, PBAC </w:t>
      </w:r>
      <w:r w:rsidR="00422CAD">
        <w:rPr>
          <w:rFonts w:ascii="Arial" w:hAnsi="Arial"/>
          <w:sz w:val="22"/>
          <w:szCs w:val="22"/>
        </w:rPr>
        <w:t>PSD</w:t>
      </w:r>
      <w:r w:rsidRPr="001F7D3C">
        <w:rPr>
          <w:rFonts w:ascii="Arial" w:hAnsi="Arial"/>
          <w:sz w:val="22"/>
          <w:szCs w:val="22"/>
        </w:rPr>
        <w:t>, November 2013).</w:t>
      </w:r>
    </w:p>
    <w:p w:rsidR="008A1956" w:rsidRPr="001F7D3C" w:rsidRDefault="008A1956" w:rsidP="00476245">
      <w:pPr>
        <w:jc w:val="both"/>
        <w:rPr>
          <w:rFonts w:ascii="Arial" w:hAnsi="Arial"/>
          <w:sz w:val="22"/>
          <w:szCs w:val="22"/>
        </w:rPr>
      </w:pPr>
    </w:p>
    <w:p w:rsidR="00655D64" w:rsidRPr="001F7D3C" w:rsidRDefault="00655D64" w:rsidP="00655D64">
      <w:pPr>
        <w:ind w:firstLine="720"/>
        <w:jc w:val="both"/>
        <w:rPr>
          <w:rFonts w:ascii="Arial" w:hAnsi="Arial" w:cs="Arial"/>
          <w:i/>
          <w:sz w:val="22"/>
          <w:szCs w:val="22"/>
        </w:rPr>
      </w:pPr>
      <w:r w:rsidRPr="001F7D3C">
        <w:rPr>
          <w:rFonts w:ascii="Arial" w:hAnsi="Arial" w:cs="Arial"/>
          <w:i/>
          <w:sz w:val="22"/>
          <w:szCs w:val="22"/>
        </w:rPr>
        <w:t>For more detail on PBAC’s view, see section 7 “PBAC outcome”</w:t>
      </w:r>
    </w:p>
    <w:p w:rsidR="00655D64" w:rsidRPr="001F7D3C" w:rsidRDefault="00655D64" w:rsidP="00476245">
      <w:pPr>
        <w:jc w:val="both"/>
        <w:rPr>
          <w:rFonts w:ascii="Arial" w:hAnsi="Arial"/>
          <w:sz w:val="22"/>
          <w:szCs w:val="22"/>
        </w:rPr>
      </w:pPr>
    </w:p>
    <w:p w:rsidR="009A437D" w:rsidRPr="001F7D3C" w:rsidRDefault="009A437D" w:rsidP="00476245">
      <w:pPr>
        <w:jc w:val="both"/>
        <w:rPr>
          <w:rFonts w:ascii="Arial" w:hAnsi="Arial"/>
          <w:sz w:val="22"/>
          <w:szCs w:val="22"/>
        </w:rPr>
      </w:pPr>
    </w:p>
    <w:p w:rsidR="000B558D" w:rsidRPr="001F7D3C" w:rsidRDefault="008D7A41" w:rsidP="00AA4458">
      <w:pPr>
        <w:pStyle w:val="Header"/>
        <w:numPr>
          <w:ilvl w:val="0"/>
          <w:numId w:val="2"/>
        </w:numPr>
        <w:tabs>
          <w:tab w:val="clear" w:pos="4153"/>
          <w:tab w:val="clear" w:pos="8306"/>
        </w:tabs>
        <w:jc w:val="both"/>
        <w:rPr>
          <w:rFonts w:ascii="Arial" w:hAnsi="Arial"/>
          <w:b/>
          <w:sz w:val="22"/>
          <w:szCs w:val="22"/>
        </w:rPr>
      </w:pPr>
      <w:r w:rsidRPr="001F7D3C">
        <w:rPr>
          <w:rFonts w:ascii="Arial" w:hAnsi="Arial"/>
          <w:b/>
          <w:sz w:val="22"/>
          <w:szCs w:val="22"/>
        </w:rPr>
        <w:t>C</w:t>
      </w:r>
      <w:r w:rsidR="00D84934" w:rsidRPr="001F7D3C">
        <w:rPr>
          <w:rFonts w:ascii="Arial" w:hAnsi="Arial"/>
          <w:b/>
          <w:sz w:val="22"/>
          <w:szCs w:val="22"/>
        </w:rPr>
        <w:t>onsideration of the evidence</w:t>
      </w:r>
    </w:p>
    <w:p w:rsidR="00D61BED" w:rsidRPr="001F7D3C" w:rsidRDefault="00D61BED" w:rsidP="00D61BED">
      <w:pPr>
        <w:jc w:val="both"/>
        <w:rPr>
          <w:rFonts w:ascii="Arial" w:hAnsi="Arial"/>
          <w:sz w:val="22"/>
          <w:szCs w:val="22"/>
        </w:rPr>
      </w:pPr>
    </w:p>
    <w:p w:rsidR="00D61BED" w:rsidRPr="001F7D3C" w:rsidRDefault="00D61BED" w:rsidP="00D61BED">
      <w:pPr>
        <w:jc w:val="both"/>
        <w:rPr>
          <w:rFonts w:ascii="Arial" w:hAnsi="Arial"/>
          <w:b/>
          <w:i/>
          <w:sz w:val="22"/>
          <w:szCs w:val="22"/>
        </w:rPr>
      </w:pPr>
      <w:r w:rsidRPr="001F7D3C">
        <w:rPr>
          <w:rFonts w:ascii="Arial" w:hAnsi="Arial"/>
          <w:b/>
          <w:i/>
          <w:sz w:val="22"/>
          <w:szCs w:val="22"/>
        </w:rPr>
        <w:t>Sponsor hearing</w:t>
      </w:r>
    </w:p>
    <w:p w:rsidR="00D61BED" w:rsidRPr="001F7D3C" w:rsidRDefault="00D61BED" w:rsidP="00D61BED">
      <w:pPr>
        <w:jc w:val="both"/>
        <w:rPr>
          <w:rFonts w:ascii="Arial" w:hAnsi="Arial"/>
          <w:sz w:val="22"/>
          <w:szCs w:val="22"/>
        </w:rPr>
      </w:pPr>
    </w:p>
    <w:p w:rsidR="00D61BED" w:rsidRPr="001F7D3C" w:rsidRDefault="00D61BED" w:rsidP="00D61BED">
      <w:pPr>
        <w:widowControl w:val="0"/>
        <w:numPr>
          <w:ilvl w:val="1"/>
          <w:numId w:val="2"/>
        </w:numPr>
        <w:contextualSpacing/>
        <w:jc w:val="both"/>
        <w:rPr>
          <w:rFonts w:ascii="Arial" w:hAnsi="Arial" w:cs="Arial"/>
          <w:bCs/>
          <w:snapToGrid w:val="0"/>
          <w:sz w:val="22"/>
          <w:szCs w:val="22"/>
        </w:rPr>
      </w:pPr>
      <w:r w:rsidRPr="001F7D3C">
        <w:rPr>
          <w:rFonts w:ascii="Arial" w:hAnsi="Arial" w:cs="Arial"/>
          <w:bCs/>
          <w:snapToGrid w:val="0"/>
          <w:sz w:val="22"/>
          <w:szCs w:val="22"/>
        </w:rPr>
        <w:t>There was no hearing for this item as it was a minor submission.</w:t>
      </w:r>
    </w:p>
    <w:p w:rsidR="00D25376" w:rsidRPr="001F7D3C" w:rsidRDefault="00D25376" w:rsidP="00D25376">
      <w:pPr>
        <w:jc w:val="both"/>
        <w:rPr>
          <w:rFonts w:ascii="Arial" w:hAnsi="Arial" w:cs="Arial"/>
          <w:bCs/>
          <w:snapToGrid w:val="0"/>
          <w:sz w:val="22"/>
          <w:szCs w:val="22"/>
        </w:rPr>
      </w:pPr>
    </w:p>
    <w:p w:rsidR="00502A78" w:rsidRPr="001F7D3C" w:rsidRDefault="00502A78" w:rsidP="00502A78">
      <w:pPr>
        <w:jc w:val="both"/>
        <w:rPr>
          <w:rFonts w:ascii="Arial" w:hAnsi="Arial"/>
          <w:b/>
          <w:i/>
          <w:sz w:val="22"/>
          <w:szCs w:val="22"/>
        </w:rPr>
      </w:pPr>
      <w:r w:rsidRPr="001F7D3C">
        <w:rPr>
          <w:rFonts w:ascii="Arial" w:hAnsi="Arial"/>
          <w:b/>
          <w:i/>
          <w:sz w:val="22"/>
          <w:szCs w:val="22"/>
        </w:rPr>
        <w:t>Consumer comments</w:t>
      </w:r>
    </w:p>
    <w:p w:rsidR="00502A78" w:rsidRPr="001F7D3C" w:rsidRDefault="00502A78" w:rsidP="00502A78">
      <w:pPr>
        <w:jc w:val="both"/>
        <w:rPr>
          <w:rFonts w:ascii="Arial" w:hAnsi="Arial"/>
          <w:sz w:val="22"/>
          <w:szCs w:val="22"/>
        </w:rPr>
      </w:pPr>
    </w:p>
    <w:p w:rsidR="00502A78" w:rsidRPr="001F7D3C" w:rsidRDefault="00502A78" w:rsidP="00502A78">
      <w:pPr>
        <w:widowControl w:val="0"/>
        <w:numPr>
          <w:ilvl w:val="1"/>
          <w:numId w:val="2"/>
        </w:numPr>
        <w:contextualSpacing/>
        <w:jc w:val="both"/>
        <w:rPr>
          <w:rFonts w:ascii="Arial" w:hAnsi="Arial" w:cs="Arial"/>
          <w:bCs/>
          <w:snapToGrid w:val="0"/>
          <w:sz w:val="22"/>
          <w:szCs w:val="22"/>
        </w:rPr>
      </w:pPr>
      <w:r w:rsidRPr="001F7D3C">
        <w:rPr>
          <w:rFonts w:ascii="Arial" w:hAnsi="Arial" w:cs="Arial"/>
          <w:bCs/>
          <w:snapToGrid w:val="0"/>
          <w:sz w:val="22"/>
          <w:szCs w:val="22"/>
        </w:rPr>
        <w:t>The PBAC noted and welcomed the input from individuals (14) via the Consumer Comments facility on the PBS website.  The majority of comments supported listing of the vaccine due to perceived benefits of community protection, and potential to save lives and eradicate disease, although there was one comment that claimed that the significant financial costs, rarity of disease and absence of evidence demonstrating safety</w:t>
      </w:r>
      <w:r w:rsidR="00867252" w:rsidRPr="001F7D3C">
        <w:rPr>
          <w:rFonts w:ascii="Arial" w:hAnsi="Arial" w:cs="Arial"/>
          <w:bCs/>
          <w:snapToGrid w:val="0"/>
          <w:sz w:val="22"/>
          <w:szCs w:val="22"/>
        </w:rPr>
        <w:t xml:space="preserve"> did not support</w:t>
      </w:r>
      <w:r w:rsidR="005217C1" w:rsidRPr="001F7D3C">
        <w:rPr>
          <w:rFonts w:ascii="Arial" w:hAnsi="Arial" w:cs="Arial"/>
          <w:bCs/>
          <w:snapToGrid w:val="0"/>
          <w:sz w:val="22"/>
          <w:szCs w:val="22"/>
        </w:rPr>
        <w:t xml:space="preserve"> listing of the vaccine.</w:t>
      </w:r>
    </w:p>
    <w:p w:rsidR="00D25376" w:rsidRPr="001F7D3C" w:rsidRDefault="00D25376" w:rsidP="00D25376">
      <w:pPr>
        <w:contextualSpacing/>
        <w:jc w:val="both"/>
        <w:rPr>
          <w:rFonts w:ascii="Arial" w:hAnsi="Arial" w:cs="Arial"/>
          <w:bCs/>
          <w:snapToGrid w:val="0"/>
          <w:sz w:val="22"/>
          <w:szCs w:val="22"/>
        </w:rPr>
      </w:pPr>
    </w:p>
    <w:p w:rsidR="00D84934" w:rsidRPr="001F7D3C" w:rsidRDefault="00D84934" w:rsidP="00D84934">
      <w:pPr>
        <w:jc w:val="both"/>
        <w:rPr>
          <w:rFonts w:ascii="Arial" w:hAnsi="Arial"/>
          <w:b/>
          <w:i/>
          <w:sz w:val="22"/>
          <w:szCs w:val="22"/>
        </w:rPr>
      </w:pPr>
      <w:r w:rsidRPr="001F7D3C">
        <w:rPr>
          <w:rFonts w:ascii="Arial" w:hAnsi="Arial"/>
          <w:b/>
          <w:i/>
          <w:sz w:val="22"/>
          <w:szCs w:val="22"/>
        </w:rPr>
        <w:t>Clinical trials</w:t>
      </w:r>
    </w:p>
    <w:p w:rsidR="00D84934" w:rsidRPr="001F7D3C" w:rsidRDefault="00D84934" w:rsidP="00F9629A">
      <w:pPr>
        <w:jc w:val="both"/>
        <w:rPr>
          <w:rFonts w:ascii="Arial" w:hAnsi="Arial"/>
          <w:sz w:val="22"/>
          <w:szCs w:val="22"/>
        </w:rPr>
      </w:pPr>
    </w:p>
    <w:p w:rsidR="0076420C" w:rsidRPr="001F7D3C" w:rsidRDefault="005A708D" w:rsidP="00AA4458">
      <w:pPr>
        <w:pStyle w:val="ListParagraph"/>
        <w:numPr>
          <w:ilvl w:val="1"/>
          <w:numId w:val="2"/>
        </w:numPr>
        <w:jc w:val="both"/>
        <w:rPr>
          <w:rFonts w:ascii="Arial" w:hAnsi="Arial"/>
          <w:sz w:val="22"/>
          <w:szCs w:val="22"/>
        </w:rPr>
      </w:pPr>
      <w:r w:rsidRPr="001F7D3C">
        <w:rPr>
          <w:rFonts w:ascii="Arial" w:hAnsi="Arial"/>
          <w:sz w:val="22"/>
          <w:szCs w:val="22"/>
        </w:rPr>
        <w:t xml:space="preserve">As a minor submission, no </w:t>
      </w:r>
      <w:r w:rsidR="0076420C" w:rsidRPr="001F7D3C">
        <w:rPr>
          <w:rFonts w:ascii="Arial" w:hAnsi="Arial"/>
          <w:sz w:val="22"/>
          <w:szCs w:val="22"/>
        </w:rPr>
        <w:t xml:space="preserve">new clinical trials </w:t>
      </w:r>
      <w:r w:rsidR="00615183" w:rsidRPr="001F7D3C">
        <w:rPr>
          <w:rFonts w:ascii="Arial" w:hAnsi="Arial"/>
          <w:sz w:val="22"/>
          <w:szCs w:val="22"/>
        </w:rPr>
        <w:t xml:space="preserve">were </w:t>
      </w:r>
      <w:r w:rsidR="0076420C" w:rsidRPr="001F7D3C">
        <w:rPr>
          <w:rFonts w:ascii="Arial" w:hAnsi="Arial"/>
          <w:sz w:val="22"/>
          <w:szCs w:val="22"/>
        </w:rPr>
        <w:t>presented in the</w:t>
      </w:r>
      <w:r w:rsidR="00994D45" w:rsidRPr="001F7D3C">
        <w:rPr>
          <w:rFonts w:ascii="Arial" w:hAnsi="Arial"/>
          <w:sz w:val="22"/>
          <w:szCs w:val="22"/>
        </w:rPr>
        <w:t xml:space="preserve"> minor</w:t>
      </w:r>
      <w:r w:rsidR="0076420C" w:rsidRPr="001F7D3C">
        <w:rPr>
          <w:rFonts w:ascii="Arial" w:hAnsi="Arial"/>
          <w:sz w:val="22"/>
          <w:szCs w:val="22"/>
        </w:rPr>
        <w:t xml:space="preserve"> re-submission.</w:t>
      </w:r>
    </w:p>
    <w:p w:rsidR="00BB7EC3" w:rsidRPr="001F7D3C" w:rsidRDefault="00BB7EC3" w:rsidP="009B0F67">
      <w:pPr>
        <w:jc w:val="both"/>
        <w:rPr>
          <w:rFonts w:ascii="Arial" w:hAnsi="Arial"/>
          <w:sz w:val="22"/>
          <w:szCs w:val="22"/>
        </w:rPr>
      </w:pPr>
    </w:p>
    <w:p w:rsidR="005A3173" w:rsidRPr="001F7D3C" w:rsidRDefault="005A3173" w:rsidP="00882085">
      <w:pPr>
        <w:jc w:val="both"/>
        <w:rPr>
          <w:rFonts w:ascii="Arial" w:hAnsi="Arial"/>
          <w:b/>
          <w:i/>
          <w:sz w:val="22"/>
          <w:szCs w:val="22"/>
        </w:rPr>
      </w:pPr>
      <w:r w:rsidRPr="001F7D3C">
        <w:rPr>
          <w:rFonts w:ascii="Arial" w:hAnsi="Arial"/>
          <w:b/>
          <w:i/>
          <w:sz w:val="22"/>
          <w:szCs w:val="22"/>
        </w:rPr>
        <w:t>Comparative effectiveness</w:t>
      </w:r>
    </w:p>
    <w:p w:rsidR="005A3173" w:rsidRPr="001F7D3C" w:rsidRDefault="005A3173" w:rsidP="00882085">
      <w:pPr>
        <w:jc w:val="both"/>
        <w:rPr>
          <w:rFonts w:ascii="Arial" w:hAnsi="Arial"/>
          <w:sz w:val="22"/>
          <w:szCs w:val="22"/>
        </w:rPr>
      </w:pPr>
    </w:p>
    <w:p w:rsidR="00986209" w:rsidRPr="001F7D3C" w:rsidRDefault="00986209" w:rsidP="00986209">
      <w:pPr>
        <w:pStyle w:val="ListParagraph"/>
        <w:numPr>
          <w:ilvl w:val="1"/>
          <w:numId w:val="2"/>
        </w:numPr>
        <w:ind w:left="709"/>
        <w:jc w:val="both"/>
        <w:rPr>
          <w:rFonts w:ascii="Arial" w:hAnsi="Arial"/>
          <w:sz w:val="22"/>
          <w:szCs w:val="22"/>
        </w:rPr>
      </w:pPr>
      <w:r w:rsidRPr="001F7D3C">
        <w:rPr>
          <w:rFonts w:ascii="Arial" w:hAnsi="Arial"/>
          <w:sz w:val="22"/>
          <w:szCs w:val="22"/>
        </w:rPr>
        <w:t>In July 2014 the PBAC reaffirmed its November 2013 conclusion that the vaccine is effective in inducing antibodies against the component antigens of 4CMenB. However, in the context of a population-based intervention against IMD, the Committee considered the clinical claim was highly uncertain because of the likely short persistence of the antibody response, uncertainty about the correlation between antibody responses and protection, the unknown effect on carriage of the bacteria, the overall uncertain long-term protective efficacy against infection and disease, and the unknown influence of projected herd immunity ef</w:t>
      </w:r>
      <w:r w:rsidR="00721269" w:rsidRPr="001F7D3C">
        <w:rPr>
          <w:rFonts w:ascii="Arial" w:hAnsi="Arial"/>
          <w:sz w:val="22"/>
          <w:szCs w:val="22"/>
        </w:rPr>
        <w:t xml:space="preserve">fects on overall disease burden. </w:t>
      </w:r>
    </w:p>
    <w:p w:rsidR="00986209" w:rsidRPr="001F7D3C" w:rsidRDefault="00986209" w:rsidP="005217C1">
      <w:pPr>
        <w:ind w:left="-11"/>
        <w:jc w:val="both"/>
        <w:rPr>
          <w:rFonts w:ascii="Arial" w:hAnsi="Arial"/>
          <w:sz w:val="22"/>
          <w:szCs w:val="22"/>
        </w:rPr>
      </w:pPr>
    </w:p>
    <w:p w:rsidR="009B0F67" w:rsidRPr="001F7D3C" w:rsidRDefault="009B0F67" w:rsidP="005A708D">
      <w:pPr>
        <w:pStyle w:val="ListParagraph"/>
        <w:numPr>
          <w:ilvl w:val="1"/>
          <w:numId w:val="2"/>
        </w:numPr>
        <w:jc w:val="both"/>
        <w:rPr>
          <w:rFonts w:ascii="Arial" w:hAnsi="Arial"/>
          <w:sz w:val="22"/>
          <w:szCs w:val="22"/>
        </w:rPr>
      </w:pPr>
      <w:r w:rsidRPr="001F7D3C">
        <w:rPr>
          <w:rFonts w:ascii="Arial" w:hAnsi="Arial"/>
          <w:sz w:val="22"/>
          <w:szCs w:val="22"/>
        </w:rPr>
        <w:t>The trial results remain</w:t>
      </w:r>
      <w:r w:rsidR="006F5DF1" w:rsidRPr="001F7D3C">
        <w:rPr>
          <w:rFonts w:ascii="Arial" w:hAnsi="Arial"/>
          <w:sz w:val="22"/>
          <w:szCs w:val="22"/>
        </w:rPr>
        <w:t>ed</w:t>
      </w:r>
      <w:r w:rsidRPr="001F7D3C">
        <w:rPr>
          <w:rFonts w:ascii="Arial" w:hAnsi="Arial"/>
          <w:sz w:val="22"/>
          <w:szCs w:val="22"/>
        </w:rPr>
        <w:t xml:space="preserve"> unchanged from the previous major submission considered in </w:t>
      </w:r>
      <w:r w:rsidR="005A708D" w:rsidRPr="001F7D3C">
        <w:rPr>
          <w:rFonts w:ascii="Arial" w:hAnsi="Arial"/>
          <w:sz w:val="22"/>
          <w:szCs w:val="22"/>
        </w:rPr>
        <w:t>July</w:t>
      </w:r>
      <w:r w:rsidRPr="001F7D3C">
        <w:rPr>
          <w:rFonts w:ascii="Arial" w:hAnsi="Arial"/>
          <w:sz w:val="22"/>
          <w:szCs w:val="22"/>
        </w:rPr>
        <w:t xml:space="preserve"> 20</w:t>
      </w:r>
      <w:r w:rsidR="005A708D" w:rsidRPr="001F7D3C">
        <w:rPr>
          <w:rFonts w:ascii="Arial" w:hAnsi="Arial"/>
          <w:sz w:val="22"/>
          <w:szCs w:val="22"/>
        </w:rPr>
        <w:t>14</w:t>
      </w:r>
      <w:r w:rsidRPr="001F7D3C">
        <w:rPr>
          <w:rFonts w:ascii="Arial" w:hAnsi="Arial"/>
          <w:sz w:val="22"/>
          <w:szCs w:val="22"/>
        </w:rPr>
        <w:t>.</w:t>
      </w:r>
    </w:p>
    <w:p w:rsidR="0073775F" w:rsidRPr="001F7D3C" w:rsidRDefault="0073775F" w:rsidP="0073775F">
      <w:pPr>
        <w:rPr>
          <w:rFonts w:ascii="Arial" w:hAnsi="Arial"/>
          <w:sz w:val="22"/>
          <w:szCs w:val="22"/>
        </w:rPr>
      </w:pPr>
    </w:p>
    <w:p w:rsidR="0073775F" w:rsidRPr="001F7D3C" w:rsidRDefault="0073775F" w:rsidP="005A708D">
      <w:pPr>
        <w:pStyle w:val="ListParagraph"/>
        <w:numPr>
          <w:ilvl w:val="1"/>
          <w:numId w:val="2"/>
        </w:numPr>
        <w:jc w:val="both"/>
        <w:rPr>
          <w:rFonts w:ascii="Arial" w:hAnsi="Arial"/>
          <w:sz w:val="22"/>
          <w:szCs w:val="22"/>
        </w:rPr>
      </w:pPr>
      <w:r w:rsidRPr="001F7D3C">
        <w:rPr>
          <w:rFonts w:ascii="Arial" w:hAnsi="Arial"/>
          <w:sz w:val="22"/>
          <w:szCs w:val="22"/>
        </w:rPr>
        <w:t xml:space="preserve">The </w:t>
      </w:r>
      <w:r w:rsidR="006F5DF1" w:rsidRPr="001F7D3C">
        <w:rPr>
          <w:rFonts w:ascii="Arial" w:hAnsi="Arial"/>
          <w:sz w:val="22"/>
          <w:szCs w:val="22"/>
        </w:rPr>
        <w:t>P</w:t>
      </w:r>
      <w:r w:rsidRPr="001F7D3C">
        <w:rPr>
          <w:rFonts w:ascii="Arial" w:hAnsi="Arial"/>
          <w:sz w:val="22"/>
          <w:szCs w:val="22"/>
        </w:rPr>
        <w:t xml:space="preserve">re-PBAC </w:t>
      </w:r>
      <w:r w:rsidR="006F5DF1" w:rsidRPr="001F7D3C">
        <w:rPr>
          <w:rFonts w:ascii="Arial" w:hAnsi="Arial"/>
          <w:sz w:val="22"/>
          <w:szCs w:val="22"/>
        </w:rPr>
        <w:t xml:space="preserve">response </w:t>
      </w:r>
      <w:r w:rsidRPr="001F7D3C">
        <w:rPr>
          <w:rFonts w:ascii="Arial" w:hAnsi="Arial"/>
          <w:sz w:val="22"/>
          <w:szCs w:val="22"/>
        </w:rPr>
        <w:t xml:space="preserve">provided </w:t>
      </w:r>
      <w:r w:rsidR="00386707" w:rsidRPr="001F7D3C">
        <w:rPr>
          <w:rFonts w:ascii="Arial" w:hAnsi="Arial"/>
          <w:sz w:val="22"/>
          <w:szCs w:val="22"/>
        </w:rPr>
        <w:t xml:space="preserve">observations comparing cases of serogroup B </w:t>
      </w:r>
      <w:r w:rsidR="00A35D9D" w:rsidRPr="001F7D3C">
        <w:rPr>
          <w:rFonts w:ascii="Arial" w:hAnsi="Arial"/>
          <w:sz w:val="22"/>
          <w:szCs w:val="22"/>
        </w:rPr>
        <w:t>meningococcal</w:t>
      </w:r>
      <w:r w:rsidR="00386707" w:rsidRPr="001F7D3C">
        <w:rPr>
          <w:rFonts w:ascii="Arial" w:hAnsi="Arial"/>
          <w:sz w:val="22"/>
          <w:szCs w:val="22"/>
        </w:rPr>
        <w:t xml:space="preserve"> disease notified in the Saguenay Lac Saint Jean region of Queb</w:t>
      </w:r>
      <w:r w:rsidR="005217C1" w:rsidRPr="001F7D3C">
        <w:rPr>
          <w:rFonts w:ascii="Arial" w:hAnsi="Arial"/>
          <w:sz w:val="22"/>
          <w:szCs w:val="22"/>
        </w:rPr>
        <w:t>ec to the rest of the province.</w:t>
      </w:r>
    </w:p>
    <w:p w:rsidR="00986209" w:rsidRPr="001F7D3C" w:rsidRDefault="00986209" w:rsidP="00882085">
      <w:pPr>
        <w:jc w:val="both"/>
        <w:rPr>
          <w:rFonts w:ascii="Arial" w:hAnsi="Arial"/>
          <w:sz w:val="22"/>
          <w:szCs w:val="22"/>
        </w:rPr>
      </w:pPr>
    </w:p>
    <w:p w:rsidR="005A3173" w:rsidRPr="001F7D3C" w:rsidRDefault="005A3173" w:rsidP="00882085">
      <w:pPr>
        <w:jc w:val="both"/>
        <w:rPr>
          <w:rFonts w:ascii="Arial" w:hAnsi="Arial"/>
          <w:b/>
          <w:i/>
          <w:sz w:val="22"/>
          <w:szCs w:val="22"/>
        </w:rPr>
      </w:pPr>
      <w:r w:rsidRPr="001F7D3C">
        <w:rPr>
          <w:rFonts w:ascii="Arial" w:hAnsi="Arial"/>
          <w:b/>
          <w:i/>
          <w:sz w:val="22"/>
          <w:szCs w:val="22"/>
        </w:rPr>
        <w:t>Comparative harms</w:t>
      </w:r>
    </w:p>
    <w:p w:rsidR="005A3173" w:rsidRPr="001F7D3C" w:rsidRDefault="005A3173" w:rsidP="00882085">
      <w:pPr>
        <w:ind w:left="720" w:hanging="720"/>
        <w:jc w:val="both"/>
        <w:rPr>
          <w:rFonts w:ascii="Arial" w:hAnsi="Arial"/>
          <w:sz w:val="22"/>
          <w:szCs w:val="22"/>
        </w:rPr>
      </w:pPr>
    </w:p>
    <w:p w:rsidR="00986209" w:rsidRPr="001F7D3C" w:rsidRDefault="00986209" w:rsidP="00986209">
      <w:pPr>
        <w:pStyle w:val="ListParagraph"/>
        <w:numPr>
          <w:ilvl w:val="1"/>
          <w:numId w:val="2"/>
        </w:numPr>
        <w:ind w:left="709"/>
        <w:jc w:val="both"/>
        <w:rPr>
          <w:rFonts w:ascii="Arial" w:hAnsi="Arial"/>
          <w:sz w:val="22"/>
          <w:szCs w:val="22"/>
        </w:rPr>
      </w:pPr>
      <w:r w:rsidRPr="001F7D3C">
        <w:rPr>
          <w:rFonts w:ascii="Arial" w:hAnsi="Arial"/>
          <w:sz w:val="22"/>
          <w:szCs w:val="22"/>
        </w:rPr>
        <w:t xml:space="preserve">In July 2014 the PBAC reaffirmed its November 2013 conclusion that the rates of fever in infant participants of the trials receiving the vaccine would indicate that prophylactic paracetamol would be appropriate so that the local transient reactogenicity of 4CMenB would not be different to routine vaccination. However, the PBAC also noted that the impact of, and compliance with, this recommendation is unknown, and that a wider loss of confidence in the National Immunisation Program may arise from concerns about increased rates of fever and convulsions. In the absence of effective prophylaxis, the relatively high frequency of adverse events reported in the trials compared to the relatively low frequency of modelled benefits would suggest a less favourable balance of benefits and harms. From the table summarising the modelled benefits and harms observed in the trials, for every extra death averted over five years, there would be about 100 (272,224/2,500) febrile seizures, and for every case of IMD averted, there would be about 4 (10,532/2,500) febrile seizures. As suggested by </w:t>
      </w:r>
      <w:r w:rsidR="001C056B" w:rsidRPr="001F7D3C">
        <w:rPr>
          <w:rFonts w:ascii="Arial" w:hAnsi="Arial"/>
          <w:sz w:val="22"/>
          <w:szCs w:val="22"/>
        </w:rPr>
        <w:t xml:space="preserve">the </w:t>
      </w:r>
      <w:r w:rsidRPr="001F7D3C">
        <w:rPr>
          <w:rFonts w:ascii="Arial" w:hAnsi="Arial"/>
          <w:sz w:val="22"/>
          <w:szCs w:val="22"/>
        </w:rPr>
        <w:t xml:space="preserve">ESC, the PBAC also noted that safety in adolescents appears acceptable (item 7.7, PBAC </w:t>
      </w:r>
      <w:r w:rsidR="00422CAD">
        <w:rPr>
          <w:rFonts w:ascii="Arial" w:hAnsi="Arial"/>
          <w:sz w:val="22"/>
          <w:szCs w:val="22"/>
        </w:rPr>
        <w:t>PSD</w:t>
      </w:r>
      <w:r w:rsidRPr="001F7D3C">
        <w:rPr>
          <w:rFonts w:ascii="Arial" w:hAnsi="Arial"/>
          <w:sz w:val="22"/>
          <w:szCs w:val="22"/>
        </w:rPr>
        <w:t>, July 2014).</w:t>
      </w:r>
    </w:p>
    <w:p w:rsidR="00986209" w:rsidRPr="001F7D3C" w:rsidRDefault="00986209" w:rsidP="00882085">
      <w:pPr>
        <w:ind w:left="720" w:hanging="720"/>
        <w:jc w:val="both"/>
        <w:rPr>
          <w:rFonts w:ascii="Arial" w:hAnsi="Arial"/>
          <w:sz w:val="22"/>
          <w:szCs w:val="22"/>
        </w:rPr>
      </w:pPr>
    </w:p>
    <w:p w:rsidR="000B558D" w:rsidRPr="001F7D3C" w:rsidRDefault="005A708D" w:rsidP="00AA4458">
      <w:pPr>
        <w:pStyle w:val="ListParagraph"/>
        <w:numPr>
          <w:ilvl w:val="1"/>
          <w:numId w:val="2"/>
        </w:numPr>
        <w:jc w:val="both"/>
        <w:rPr>
          <w:rFonts w:ascii="Arial" w:hAnsi="Arial"/>
          <w:sz w:val="22"/>
          <w:szCs w:val="22"/>
        </w:rPr>
      </w:pPr>
      <w:r w:rsidRPr="001F7D3C">
        <w:rPr>
          <w:rFonts w:ascii="Arial" w:hAnsi="Arial"/>
          <w:sz w:val="22"/>
          <w:szCs w:val="22"/>
        </w:rPr>
        <w:t xml:space="preserve">The estimates of comparative harms were unchanged from the previous submission. The </w:t>
      </w:r>
      <w:r w:rsidR="00994D45" w:rsidRPr="001F7D3C">
        <w:rPr>
          <w:rFonts w:ascii="Arial" w:hAnsi="Arial"/>
          <w:sz w:val="22"/>
          <w:szCs w:val="22"/>
        </w:rPr>
        <w:t xml:space="preserve">minor </w:t>
      </w:r>
      <w:r w:rsidRPr="001F7D3C">
        <w:rPr>
          <w:rFonts w:ascii="Arial" w:hAnsi="Arial"/>
          <w:sz w:val="22"/>
          <w:szCs w:val="22"/>
        </w:rPr>
        <w:t>re-submission also present</w:t>
      </w:r>
      <w:r w:rsidR="006F5DF1" w:rsidRPr="001F7D3C">
        <w:rPr>
          <w:rFonts w:ascii="Arial" w:hAnsi="Arial"/>
          <w:sz w:val="22"/>
          <w:szCs w:val="22"/>
        </w:rPr>
        <w:t>ed</w:t>
      </w:r>
      <w:r w:rsidRPr="001F7D3C">
        <w:rPr>
          <w:rFonts w:ascii="Arial" w:hAnsi="Arial"/>
          <w:sz w:val="22"/>
          <w:szCs w:val="22"/>
        </w:rPr>
        <w:t xml:space="preserve"> </w:t>
      </w:r>
      <w:r w:rsidR="00247294" w:rsidRPr="001F7D3C">
        <w:rPr>
          <w:rFonts w:ascii="Arial" w:hAnsi="Arial"/>
          <w:sz w:val="22"/>
          <w:szCs w:val="22"/>
        </w:rPr>
        <w:t xml:space="preserve">additional </w:t>
      </w:r>
      <w:r w:rsidRPr="001F7D3C">
        <w:rPr>
          <w:rFonts w:ascii="Arial" w:hAnsi="Arial"/>
          <w:sz w:val="22"/>
          <w:szCs w:val="22"/>
        </w:rPr>
        <w:t>safety data</w:t>
      </w:r>
      <w:r w:rsidR="00247294" w:rsidRPr="001F7D3C">
        <w:rPr>
          <w:rFonts w:ascii="Arial" w:hAnsi="Arial"/>
          <w:sz w:val="22"/>
          <w:szCs w:val="22"/>
        </w:rPr>
        <w:t>:</w:t>
      </w:r>
    </w:p>
    <w:p w:rsidR="00247294" w:rsidRPr="001F7D3C" w:rsidRDefault="00247294" w:rsidP="00247294">
      <w:pPr>
        <w:pStyle w:val="ListParagraph"/>
        <w:numPr>
          <w:ilvl w:val="0"/>
          <w:numId w:val="11"/>
        </w:numPr>
        <w:ind w:left="1134"/>
        <w:jc w:val="both"/>
        <w:rPr>
          <w:rFonts w:ascii="Arial" w:hAnsi="Arial"/>
          <w:sz w:val="22"/>
          <w:szCs w:val="22"/>
        </w:rPr>
      </w:pPr>
      <w:r w:rsidRPr="001F7D3C">
        <w:rPr>
          <w:rFonts w:ascii="Arial" w:hAnsi="Arial"/>
          <w:sz w:val="22"/>
          <w:szCs w:val="22"/>
        </w:rPr>
        <w:t>summary of routine pharmacovigilance (PV) data from spontan</w:t>
      </w:r>
      <w:r w:rsidR="005217C1" w:rsidRPr="001F7D3C">
        <w:rPr>
          <w:rFonts w:ascii="Arial" w:hAnsi="Arial"/>
          <w:sz w:val="22"/>
          <w:szCs w:val="22"/>
        </w:rPr>
        <w:t>eous reporting within Australia;</w:t>
      </w:r>
    </w:p>
    <w:p w:rsidR="00247294" w:rsidRPr="001F7D3C" w:rsidRDefault="00247294" w:rsidP="00247294">
      <w:pPr>
        <w:pStyle w:val="ListParagraph"/>
        <w:numPr>
          <w:ilvl w:val="0"/>
          <w:numId w:val="11"/>
        </w:numPr>
        <w:ind w:left="1134"/>
        <w:jc w:val="both"/>
        <w:rPr>
          <w:rFonts w:ascii="Arial" w:hAnsi="Arial"/>
          <w:sz w:val="22"/>
          <w:szCs w:val="22"/>
        </w:rPr>
      </w:pPr>
      <w:r w:rsidRPr="001F7D3C">
        <w:rPr>
          <w:rFonts w:ascii="Arial" w:hAnsi="Arial"/>
          <w:sz w:val="22"/>
          <w:szCs w:val="22"/>
        </w:rPr>
        <w:t>Periodic Safety Update Report (PSUR4) covering the period 14th July 2014- 13 Jan 2015;</w:t>
      </w:r>
    </w:p>
    <w:p w:rsidR="00247294" w:rsidRPr="001F7D3C" w:rsidRDefault="00247294" w:rsidP="00247294">
      <w:pPr>
        <w:pStyle w:val="ListParagraph"/>
        <w:numPr>
          <w:ilvl w:val="0"/>
          <w:numId w:val="11"/>
        </w:numPr>
        <w:ind w:left="1134"/>
        <w:jc w:val="both"/>
        <w:rPr>
          <w:rFonts w:ascii="Arial" w:hAnsi="Arial"/>
          <w:sz w:val="22"/>
          <w:szCs w:val="22"/>
        </w:rPr>
      </w:pPr>
      <w:r w:rsidRPr="001F7D3C">
        <w:rPr>
          <w:rFonts w:ascii="Arial" w:hAnsi="Arial"/>
          <w:sz w:val="22"/>
          <w:szCs w:val="22"/>
        </w:rPr>
        <w:t>preliminary surveillance report of the vaccination campaign with Bexsero in Saguenay Lac Saint Jean, Quebec, Canada</w:t>
      </w:r>
      <w:r w:rsidRPr="001F7D3C">
        <w:rPr>
          <w:rStyle w:val="FootnoteReference"/>
          <w:rFonts w:ascii="Arial" w:hAnsi="Arial"/>
          <w:sz w:val="22"/>
          <w:szCs w:val="22"/>
        </w:rPr>
        <w:footnoteReference w:id="1"/>
      </w:r>
      <w:r w:rsidRPr="001F7D3C">
        <w:rPr>
          <w:rFonts w:ascii="Arial" w:hAnsi="Arial"/>
          <w:sz w:val="22"/>
          <w:szCs w:val="22"/>
        </w:rPr>
        <w:t>;</w:t>
      </w:r>
    </w:p>
    <w:p w:rsidR="00247294" w:rsidRPr="001F7D3C" w:rsidRDefault="00247294" w:rsidP="00247294">
      <w:pPr>
        <w:pStyle w:val="ListParagraph"/>
        <w:numPr>
          <w:ilvl w:val="0"/>
          <w:numId w:val="11"/>
        </w:numPr>
        <w:ind w:left="1134"/>
        <w:jc w:val="both"/>
        <w:rPr>
          <w:rFonts w:ascii="Arial" w:hAnsi="Arial"/>
          <w:sz w:val="22"/>
          <w:szCs w:val="22"/>
        </w:rPr>
      </w:pPr>
      <w:r w:rsidRPr="001F7D3C">
        <w:rPr>
          <w:rFonts w:ascii="Arial" w:hAnsi="Arial"/>
          <w:sz w:val="22"/>
          <w:szCs w:val="22"/>
        </w:rPr>
        <w:t>safety data from use of Bexsero in outbreaks at Princeton University and the University of California at Santa Barbara (UCSB) in 2014;</w:t>
      </w:r>
    </w:p>
    <w:p w:rsidR="00247294" w:rsidRPr="001F7D3C" w:rsidRDefault="00247294" w:rsidP="00247294">
      <w:pPr>
        <w:pStyle w:val="ListParagraph"/>
        <w:numPr>
          <w:ilvl w:val="0"/>
          <w:numId w:val="11"/>
        </w:numPr>
        <w:ind w:left="1134"/>
        <w:jc w:val="both"/>
        <w:rPr>
          <w:rFonts w:ascii="Arial" w:hAnsi="Arial"/>
          <w:sz w:val="22"/>
          <w:szCs w:val="22"/>
        </w:rPr>
      </w:pPr>
      <w:r w:rsidRPr="001F7D3C">
        <w:rPr>
          <w:rFonts w:ascii="Arial" w:hAnsi="Arial"/>
          <w:sz w:val="22"/>
          <w:szCs w:val="22"/>
        </w:rPr>
        <w:t>EU Risk Management Plan (RMP) version 5, 11th April 2014; and</w:t>
      </w:r>
    </w:p>
    <w:p w:rsidR="00247294" w:rsidRPr="001F7D3C" w:rsidRDefault="00247294" w:rsidP="00247294">
      <w:pPr>
        <w:pStyle w:val="ListParagraph"/>
        <w:numPr>
          <w:ilvl w:val="0"/>
          <w:numId w:val="11"/>
        </w:numPr>
        <w:ind w:left="1134"/>
        <w:jc w:val="both"/>
        <w:rPr>
          <w:rFonts w:ascii="Arial" w:hAnsi="Arial"/>
          <w:sz w:val="22"/>
          <w:szCs w:val="22"/>
        </w:rPr>
      </w:pPr>
      <w:r w:rsidRPr="001F7D3C">
        <w:rPr>
          <w:rFonts w:ascii="Arial" w:hAnsi="Arial"/>
          <w:sz w:val="22"/>
          <w:szCs w:val="22"/>
        </w:rPr>
        <w:t>Australian Specific Annex to the RMP, 27th June 2014.</w:t>
      </w:r>
    </w:p>
    <w:p w:rsidR="005A708D" w:rsidRPr="001F7D3C" w:rsidRDefault="005A708D" w:rsidP="00B6773F">
      <w:pPr>
        <w:jc w:val="both"/>
        <w:rPr>
          <w:rFonts w:ascii="Arial" w:hAnsi="Arial"/>
          <w:sz w:val="22"/>
          <w:szCs w:val="22"/>
        </w:rPr>
      </w:pPr>
    </w:p>
    <w:p w:rsidR="00D67146" w:rsidRPr="001F7D3C" w:rsidRDefault="00F47518" w:rsidP="00D67146">
      <w:pPr>
        <w:pStyle w:val="ListParagraph"/>
        <w:numPr>
          <w:ilvl w:val="1"/>
          <w:numId w:val="2"/>
        </w:numPr>
        <w:jc w:val="both"/>
        <w:rPr>
          <w:rFonts w:ascii="Arial" w:hAnsi="Arial"/>
          <w:sz w:val="22"/>
          <w:szCs w:val="22"/>
        </w:rPr>
      </w:pPr>
      <w:r w:rsidRPr="001F7D3C">
        <w:rPr>
          <w:rFonts w:ascii="Arial" w:hAnsi="Arial"/>
          <w:sz w:val="22"/>
          <w:szCs w:val="22"/>
        </w:rPr>
        <w:t>According to the routine pharmacovigilance (PV) data from spontaneous reporting of adverse events within Australia</w:t>
      </w:r>
      <w:r w:rsidR="00D67146" w:rsidRPr="001F7D3C">
        <w:rPr>
          <w:rFonts w:ascii="Arial" w:hAnsi="Arial"/>
          <w:sz w:val="22"/>
          <w:szCs w:val="22"/>
        </w:rPr>
        <w:t>:</w:t>
      </w:r>
    </w:p>
    <w:p w:rsidR="00D67146" w:rsidRPr="001F7D3C" w:rsidRDefault="00D67146" w:rsidP="00D67146">
      <w:pPr>
        <w:pStyle w:val="ListParagraph"/>
        <w:numPr>
          <w:ilvl w:val="0"/>
          <w:numId w:val="11"/>
        </w:numPr>
        <w:ind w:left="1134"/>
        <w:jc w:val="both"/>
        <w:rPr>
          <w:rFonts w:ascii="Arial" w:hAnsi="Arial"/>
          <w:sz w:val="22"/>
          <w:szCs w:val="22"/>
        </w:rPr>
      </w:pPr>
      <w:r w:rsidRPr="001F7D3C">
        <w:rPr>
          <w:rFonts w:ascii="Arial" w:hAnsi="Arial"/>
          <w:sz w:val="22"/>
          <w:szCs w:val="22"/>
        </w:rPr>
        <w:t>since launch 40,651 doses of Bexsero were distributed to general practice surgeries or pharmacies in Australia; and</w:t>
      </w:r>
    </w:p>
    <w:p w:rsidR="00986209" w:rsidRPr="001F7D3C" w:rsidRDefault="00D67146" w:rsidP="00D67146">
      <w:pPr>
        <w:pStyle w:val="ListParagraph"/>
        <w:numPr>
          <w:ilvl w:val="0"/>
          <w:numId w:val="11"/>
        </w:numPr>
        <w:ind w:left="1134"/>
        <w:jc w:val="both"/>
        <w:rPr>
          <w:rFonts w:ascii="Arial" w:hAnsi="Arial"/>
          <w:sz w:val="22"/>
          <w:szCs w:val="22"/>
        </w:rPr>
      </w:pPr>
      <w:r w:rsidRPr="001F7D3C">
        <w:rPr>
          <w:rFonts w:ascii="Arial" w:hAnsi="Arial"/>
          <w:sz w:val="22"/>
          <w:szCs w:val="22"/>
        </w:rPr>
        <w:t>t</w:t>
      </w:r>
      <w:r w:rsidR="00F47518" w:rsidRPr="001F7D3C">
        <w:rPr>
          <w:rFonts w:ascii="Arial" w:hAnsi="Arial"/>
          <w:sz w:val="22"/>
          <w:szCs w:val="22"/>
        </w:rPr>
        <w:t>here were three cases requiring hospitalisation – all case hospitalisations were due to fever (ages of reported cases: 6mths, 10mths, &lt;2 years).</w:t>
      </w:r>
    </w:p>
    <w:p w:rsidR="00F47518" w:rsidRPr="001F7D3C" w:rsidRDefault="00F47518" w:rsidP="00986209">
      <w:pPr>
        <w:pStyle w:val="ListParagraph"/>
        <w:jc w:val="both"/>
        <w:rPr>
          <w:rFonts w:ascii="Arial" w:hAnsi="Arial"/>
          <w:sz w:val="22"/>
          <w:szCs w:val="22"/>
        </w:rPr>
      </w:pPr>
      <w:r w:rsidRPr="001F7D3C">
        <w:rPr>
          <w:rFonts w:ascii="Arial" w:hAnsi="Arial"/>
          <w:sz w:val="22"/>
          <w:szCs w:val="22"/>
        </w:rPr>
        <w:t>The number of infants vaccinated was not reported</w:t>
      </w:r>
      <w:r w:rsidR="00D67146" w:rsidRPr="001F7D3C">
        <w:rPr>
          <w:rFonts w:ascii="Arial" w:hAnsi="Arial"/>
          <w:sz w:val="22"/>
          <w:szCs w:val="22"/>
        </w:rPr>
        <w:t xml:space="preserve"> to </w:t>
      </w:r>
      <w:r w:rsidR="00E81FB5" w:rsidRPr="001F7D3C">
        <w:rPr>
          <w:rFonts w:ascii="Arial" w:hAnsi="Arial"/>
          <w:sz w:val="22"/>
          <w:szCs w:val="22"/>
        </w:rPr>
        <w:t xml:space="preserve">allow </w:t>
      </w:r>
      <w:r w:rsidR="00D67146" w:rsidRPr="001F7D3C">
        <w:rPr>
          <w:rFonts w:ascii="Arial" w:hAnsi="Arial"/>
          <w:sz w:val="22"/>
          <w:szCs w:val="22"/>
        </w:rPr>
        <w:t>estimat</w:t>
      </w:r>
      <w:r w:rsidR="00E81FB5" w:rsidRPr="001F7D3C">
        <w:rPr>
          <w:rFonts w:ascii="Arial" w:hAnsi="Arial"/>
          <w:sz w:val="22"/>
          <w:szCs w:val="22"/>
        </w:rPr>
        <w:t>ion of</w:t>
      </w:r>
      <w:r w:rsidR="00D67146" w:rsidRPr="001F7D3C">
        <w:rPr>
          <w:rFonts w:ascii="Arial" w:hAnsi="Arial"/>
          <w:sz w:val="22"/>
          <w:szCs w:val="22"/>
        </w:rPr>
        <w:t xml:space="preserve"> the </w:t>
      </w:r>
      <w:r w:rsidR="00986209" w:rsidRPr="001F7D3C">
        <w:rPr>
          <w:rFonts w:ascii="Arial" w:hAnsi="Arial"/>
          <w:sz w:val="22"/>
          <w:szCs w:val="22"/>
        </w:rPr>
        <w:t>rate</w:t>
      </w:r>
      <w:r w:rsidR="00D67146" w:rsidRPr="001F7D3C">
        <w:rPr>
          <w:rFonts w:ascii="Arial" w:hAnsi="Arial"/>
          <w:sz w:val="22"/>
          <w:szCs w:val="22"/>
        </w:rPr>
        <w:t xml:space="preserve"> of hospitalisations per infant vaccinated</w:t>
      </w:r>
      <w:r w:rsidRPr="001F7D3C">
        <w:rPr>
          <w:rFonts w:ascii="Arial" w:hAnsi="Arial"/>
          <w:sz w:val="22"/>
          <w:szCs w:val="22"/>
        </w:rPr>
        <w:t>.</w:t>
      </w:r>
    </w:p>
    <w:p w:rsidR="00F47518" w:rsidRPr="001F7D3C" w:rsidRDefault="00F47518" w:rsidP="005217C1">
      <w:pPr>
        <w:rPr>
          <w:rFonts w:ascii="Arial" w:hAnsi="Arial"/>
          <w:sz w:val="22"/>
          <w:szCs w:val="22"/>
        </w:rPr>
      </w:pPr>
    </w:p>
    <w:p w:rsidR="00D67146" w:rsidRPr="001F7D3C" w:rsidRDefault="00D67146" w:rsidP="00D67146">
      <w:pPr>
        <w:pStyle w:val="ListParagraph"/>
        <w:numPr>
          <w:ilvl w:val="1"/>
          <w:numId w:val="2"/>
        </w:numPr>
        <w:jc w:val="both"/>
        <w:rPr>
          <w:rFonts w:ascii="Arial" w:hAnsi="Arial"/>
          <w:sz w:val="22"/>
          <w:szCs w:val="22"/>
        </w:rPr>
      </w:pPr>
      <w:r w:rsidRPr="001F7D3C">
        <w:rPr>
          <w:rFonts w:ascii="Arial" w:hAnsi="Arial"/>
          <w:sz w:val="22"/>
          <w:szCs w:val="22"/>
        </w:rPr>
        <w:t>According to the preliminary surveillance report of a vaccination campaign in Canada:</w:t>
      </w:r>
    </w:p>
    <w:p w:rsidR="00D67146" w:rsidRPr="001F7D3C" w:rsidRDefault="00D67146" w:rsidP="00D67146">
      <w:pPr>
        <w:pStyle w:val="ListParagraph"/>
        <w:numPr>
          <w:ilvl w:val="0"/>
          <w:numId w:val="11"/>
        </w:numPr>
        <w:ind w:left="1134"/>
        <w:jc w:val="both"/>
        <w:rPr>
          <w:rFonts w:ascii="Arial" w:hAnsi="Arial"/>
          <w:sz w:val="22"/>
          <w:szCs w:val="22"/>
        </w:rPr>
      </w:pPr>
      <w:r w:rsidRPr="001F7D3C">
        <w:rPr>
          <w:rFonts w:ascii="Arial" w:hAnsi="Arial"/>
          <w:sz w:val="22"/>
          <w:szCs w:val="22"/>
        </w:rPr>
        <w:t>43,740 individuals between the ages of 2 months and 20 years received an initial dose of the 4CMenB vaccine;</w:t>
      </w:r>
    </w:p>
    <w:p w:rsidR="00F47518" w:rsidRPr="006A3482" w:rsidRDefault="00D67146" w:rsidP="00D67146">
      <w:pPr>
        <w:pStyle w:val="ListParagraph"/>
        <w:numPr>
          <w:ilvl w:val="0"/>
          <w:numId w:val="11"/>
        </w:numPr>
        <w:ind w:left="1134"/>
        <w:jc w:val="both"/>
        <w:rPr>
          <w:rFonts w:ascii="Arial" w:hAnsi="Arial"/>
          <w:sz w:val="22"/>
          <w:szCs w:val="22"/>
        </w:rPr>
      </w:pPr>
      <w:r w:rsidRPr="00FB4EE6">
        <w:rPr>
          <w:rFonts w:ascii="Arial" w:hAnsi="Arial"/>
          <w:sz w:val="22"/>
          <w:szCs w:val="22"/>
        </w:rPr>
        <w:t>93</w:t>
      </w:r>
      <w:r w:rsidRPr="006A3482">
        <w:rPr>
          <w:rFonts w:ascii="Arial" w:hAnsi="Arial"/>
          <w:sz w:val="22"/>
          <w:szCs w:val="22"/>
        </w:rPr>
        <w:t>% of children under 2 years of age received fever prophylaxis medication;</w:t>
      </w:r>
    </w:p>
    <w:p w:rsidR="00D67146" w:rsidRPr="00FB4EE6" w:rsidRDefault="00D67146" w:rsidP="00D67146">
      <w:pPr>
        <w:pStyle w:val="ListParagraph"/>
        <w:numPr>
          <w:ilvl w:val="0"/>
          <w:numId w:val="11"/>
        </w:numPr>
        <w:ind w:left="1134"/>
        <w:jc w:val="both"/>
        <w:rPr>
          <w:rFonts w:ascii="Arial" w:hAnsi="Arial"/>
          <w:sz w:val="22"/>
          <w:szCs w:val="22"/>
        </w:rPr>
      </w:pPr>
      <w:r w:rsidRPr="00FB4EE6">
        <w:rPr>
          <w:rFonts w:ascii="Arial" w:hAnsi="Arial"/>
          <w:sz w:val="22"/>
          <w:szCs w:val="22"/>
        </w:rPr>
        <w:t>one case of febrile seizure was identified in a 1-year-old child; and</w:t>
      </w:r>
    </w:p>
    <w:p w:rsidR="00D67146" w:rsidRPr="00FB4EE6" w:rsidRDefault="00D67146" w:rsidP="00D67146">
      <w:pPr>
        <w:pStyle w:val="ListParagraph"/>
        <w:numPr>
          <w:ilvl w:val="0"/>
          <w:numId w:val="11"/>
        </w:numPr>
        <w:ind w:left="1134"/>
        <w:jc w:val="both"/>
        <w:rPr>
          <w:rFonts w:ascii="Arial" w:hAnsi="Arial"/>
          <w:sz w:val="22"/>
          <w:szCs w:val="22"/>
        </w:rPr>
      </w:pPr>
      <w:r w:rsidRPr="00FB4EE6">
        <w:rPr>
          <w:rFonts w:ascii="Arial" w:hAnsi="Arial"/>
          <w:sz w:val="22"/>
          <w:szCs w:val="22"/>
        </w:rPr>
        <w:t>eight patients required hospitalization, of which 4 had a visit to the emergency room that lasted &lt;12 hours and one was hospitalized outside the observation period (for otitis that began on day 7 with hospitalization on day 10). The three other hospitalizations were attributable to respiratory problems and did not appear related to vaccination.</w:t>
      </w:r>
    </w:p>
    <w:p w:rsidR="00F47518" w:rsidRPr="001F7D3C" w:rsidRDefault="00986209" w:rsidP="00D67146">
      <w:pPr>
        <w:pStyle w:val="ListParagraph"/>
        <w:jc w:val="both"/>
        <w:rPr>
          <w:rFonts w:ascii="Arial" w:hAnsi="Arial"/>
          <w:sz w:val="22"/>
          <w:szCs w:val="22"/>
        </w:rPr>
      </w:pPr>
      <w:r w:rsidRPr="006A3482">
        <w:rPr>
          <w:rFonts w:ascii="Arial" w:hAnsi="Arial"/>
          <w:sz w:val="22"/>
          <w:szCs w:val="22"/>
        </w:rPr>
        <w:t>The number of infants vaccinated was not</w:t>
      </w:r>
      <w:r w:rsidRPr="001F7D3C">
        <w:rPr>
          <w:rFonts w:ascii="Arial" w:hAnsi="Arial"/>
          <w:sz w:val="22"/>
          <w:szCs w:val="22"/>
        </w:rPr>
        <w:t xml:space="preserve"> reported to </w:t>
      </w:r>
      <w:r w:rsidR="00E81FB5" w:rsidRPr="001F7D3C">
        <w:rPr>
          <w:rFonts w:ascii="Arial" w:hAnsi="Arial"/>
          <w:sz w:val="22"/>
          <w:szCs w:val="22"/>
        </w:rPr>
        <w:t xml:space="preserve">allow </w:t>
      </w:r>
      <w:r w:rsidRPr="001F7D3C">
        <w:rPr>
          <w:rFonts w:ascii="Arial" w:hAnsi="Arial"/>
          <w:sz w:val="22"/>
          <w:szCs w:val="22"/>
        </w:rPr>
        <w:t>estimat</w:t>
      </w:r>
      <w:r w:rsidR="00E81FB5" w:rsidRPr="001F7D3C">
        <w:rPr>
          <w:rFonts w:ascii="Arial" w:hAnsi="Arial"/>
          <w:sz w:val="22"/>
          <w:szCs w:val="22"/>
        </w:rPr>
        <w:t>ion of</w:t>
      </w:r>
      <w:r w:rsidRPr="001F7D3C">
        <w:rPr>
          <w:rFonts w:ascii="Arial" w:hAnsi="Arial"/>
          <w:sz w:val="22"/>
          <w:szCs w:val="22"/>
        </w:rPr>
        <w:t xml:space="preserve"> the rate of febrile seizures or hospitalisations per infant vaccinated.</w:t>
      </w:r>
    </w:p>
    <w:p w:rsidR="00986209" w:rsidRPr="001F7D3C" w:rsidRDefault="00986209" w:rsidP="00986209">
      <w:pPr>
        <w:rPr>
          <w:rFonts w:ascii="Arial" w:hAnsi="Arial" w:cs="Arial"/>
          <w:sz w:val="22"/>
          <w:szCs w:val="22"/>
        </w:rPr>
      </w:pPr>
    </w:p>
    <w:p w:rsidR="005A3173" w:rsidRPr="001F7D3C" w:rsidRDefault="005A3173" w:rsidP="00882085">
      <w:pPr>
        <w:jc w:val="both"/>
        <w:rPr>
          <w:rFonts w:ascii="Arial" w:hAnsi="Arial"/>
          <w:b/>
          <w:i/>
          <w:sz w:val="22"/>
          <w:szCs w:val="22"/>
        </w:rPr>
      </w:pPr>
      <w:r w:rsidRPr="001F7D3C">
        <w:rPr>
          <w:rFonts w:ascii="Arial" w:hAnsi="Arial"/>
          <w:b/>
          <w:i/>
          <w:sz w:val="22"/>
          <w:szCs w:val="22"/>
        </w:rPr>
        <w:t>Clinical claim</w:t>
      </w:r>
    </w:p>
    <w:p w:rsidR="005A3173" w:rsidRPr="001F7D3C" w:rsidRDefault="005A3173" w:rsidP="00882085">
      <w:pPr>
        <w:ind w:left="720" w:hanging="720"/>
        <w:jc w:val="both"/>
        <w:rPr>
          <w:rFonts w:ascii="Arial" w:hAnsi="Arial"/>
          <w:sz w:val="22"/>
          <w:szCs w:val="22"/>
        </w:rPr>
      </w:pPr>
    </w:p>
    <w:p w:rsidR="00BB7EC3" w:rsidRPr="001F7D3C" w:rsidRDefault="005A708D" w:rsidP="009B0F67">
      <w:pPr>
        <w:pStyle w:val="ListParagraph"/>
        <w:numPr>
          <w:ilvl w:val="1"/>
          <w:numId w:val="2"/>
        </w:numPr>
        <w:ind w:left="709"/>
        <w:jc w:val="both"/>
        <w:rPr>
          <w:rFonts w:ascii="Arial" w:hAnsi="Arial"/>
          <w:sz w:val="22"/>
          <w:szCs w:val="22"/>
        </w:rPr>
      </w:pPr>
      <w:r w:rsidRPr="001F7D3C">
        <w:rPr>
          <w:rFonts w:ascii="Arial" w:hAnsi="Arial"/>
          <w:sz w:val="22"/>
          <w:szCs w:val="22"/>
        </w:rPr>
        <w:t>The re</w:t>
      </w:r>
      <w:r w:rsidR="006F5DF1" w:rsidRPr="001F7D3C">
        <w:rPr>
          <w:rFonts w:ascii="Arial" w:hAnsi="Arial"/>
          <w:sz w:val="22"/>
          <w:szCs w:val="22"/>
        </w:rPr>
        <w:t>-</w:t>
      </w:r>
      <w:r w:rsidRPr="001F7D3C">
        <w:rPr>
          <w:rFonts w:ascii="Arial" w:hAnsi="Arial"/>
          <w:sz w:val="22"/>
          <w:szCs w:val="22"/>
        </w:rPr>
        <w:t>submission describe</w:t>
      </w:r>
      <w:r w:rsidR="006F5DF1" w:rsidRPr="001F7D3C">
        <w:rPr>
          <w:rFonts w:ascii="Arial" w:hAnsi="Arial"/>
          <w:sz w:val="22"/>
          <w:szCs w:val="22"/>
        </w:rPr>
        <w:t>d</w:t>
      </w:r>
      <w:r w:rsidRPr="001F7D3C">
        <w:rPr>
          <w:rFonts w:ascii="Arial" w:hAnsi="Arial"/>
          <w:sz w:val="22"/>
          <w:szCs w:val="22"/>
        </w:rPr>
        <w:t xml:space="preserve"> 4CMenB as superior in terms of comparative effectiveness, with an acceptable tolerability profile in infants and adolescents. This was unchanged from the previous submission.</w:t>
      </w:r>
    </w:p>
    <w:p w:rsidR="00DD08C5" w:rsidRPr="001F7D3C" w:rsidRDefault="00DD08C5" w:rsidP="005217C1">
      <w:pPr>
        <w:jc w:val="both"/>
        <w:rPr>
          <w:rFonts w:ascii="Arial" w:hAnsi="Arial"/>
          <w:sz w:val="22"/>
          <w:szCs w:val="22"/>
        </w:rPr>
      </w:pPr>
    </w:p>
    <w:p w:rsidR="00DD08C5" w:rsidRPr="001F7D3C" w:rsidRDefault="00DD08C5" w:rsidP="005217C1">
      <w:pPr>
        <w:pStyle w:val="ListParagraph"/>
        <w:numPr>
          <w:ilvl w:val="1"/>
          <w:numId w:val="2"/>
        </w:numPr>
        <w:jc w:val="both"/>
        <w:rPr>
          <w:rFonts w:ascii="Arial" w:hAnsi="Arial"/>
          <w:sz w:val="22"/>
          <w:szCs w:val="22"/>
        </w:rPr>
      </w:pPr>
      <w:r w:rsidRPr="001F7D3C">
        <w:rPr>
          <w:rFonts w:ascii="Arial" w:hAnsi="Arial"/>
          <w:sz w:val="22"/>
          <w:szCs w:val="22"/>
        </w:rPr>
        <w:t>The PBAC reaffirmed its November 2013 and July 2014 conclusion that the vaccine is effective in inducing antibodies against the component antigens of 4CMenB. However, in the context of a population-based intervention against IMD, the Committee considered the clinical claim was highly uncertain because of the likely short persistence of the antibody response</w:t>
      </w:r>
      <w:r w:rsidR="00E81FB5" w:rsidRPr="001F7D3C">
        <w:rPr>
          <w:rFonts w:ascii="Arial" w:hAnsi="Arial"/>
          <w:sz w:val="22"/>
          <w:szCs w:val="22"/>
        </w:rPr>
        <w:t xml:space="preserve"> in children</w:t>
      </w:r>
      <w:r w:rsidRPr="001F7D3C">
        <w:rPr>
          <w:rFonts w:ascii="Arial" w:hAnsi="Arial"/>
          <w:sz w:val="22"/>
          <w:szCs w:val="22"/>
        </w:rPr>
        <w:t xml:space="preserve">, uncertainty about the correlation between antibody responses and protection, the </w:t>
      </w:r>
      <w:r w:rsidR="00E81FB5" w:rsidRPr="001F7D3C">
        <w:rPr>
          <w:rFonts w:ascii="Arial" w:hAnsi="Arial"/>
          <w:sz w:val="22"/>
          <w:szCs w:val="22"/>
        </w:rPr>
        <w:t xml:space="preserve">uncertain </w:t>
      </w:r>
      <w:r w:rsidRPr="001F7D3C">
        <w:rPr>
          <w:rFonts w:ascii="Arial" w:hAnsi="Arial"/>
          <w:sz w:val="22"/>
          <w:szCs w:val="22"/>
        </w:rPr>
        <w:t>effect on carriage of the bacteria, the overall uncertain long-term protective efficacy against infection and disease, and the unknown influence of projected herd immunity effects on overall disease burden. These issues were not addressed in the re-submission, although the PBAC acknowledged the limitations of the evidence base.</w:t>
      </w:r>
    </w:p>
    <w:p w:rsidR="00F57A6D" w:rsidRPr="001F7D3C" w:rsidRDefault="00F57A6D" w:rsidP="00882085">
      <w:pPr>
        <w:ind w:left="720" w:hanging="720"/>
        <w:jc w:val="both"/>
        <w:rPr>
          <w:rFonts w:ascii="Arial" w:hAnsi="Arial"/>
          <w:sz w:val="22"/>
          <w:szCs w:val="22"/>
        </w:rPr>
      </w:pPr>
    </w:p>
    <w:p w:rsidR="005A3173" w:rsidRPr="001F7D3C" w:rsidRDefault="005A3173" w:rsidP="00D84934">
      <w:pPr>
        <w:jc w:val="both"/>
        <w:rPr>
          <w:rFonts w:ascii="Arial" w:hAnsi="Arial"/>
          <w:b/>
          <w:i/>
          <w:sz w:val="22"/>
          <w:szCs w:val="22"/>
        </w:rPr>
      </w:pPr>
      <w:r w:rsidRPr="001F7D3C">
        <w:rPr>
          <w:rFonts w:ascii="Arial" w:hAnsi="Arial"/>
          <w:b/>
          <w:i/>
          <w:sz w:val="22"/>
          <w:szCs w:val="22"/>
        </w:rPr>
        <w:t>Economic analysis</w:t>
      </w:r>
    </w:p>
    <w:p w:rsidR="005A3173" w:rsidRPr="001F7D3C" w:rsidRDefault="005A3173" w:rsidP="00D84934">
      <w:pPr>
        <w:pStyle w:val="NoSpacing"/>
      </w:pPr>
    </w:p>
    <w:p w:rsidR="007921BA" w:rsidRPr="001F7D3C" w:rsidRDefault="006F5DF1" w:rsidP="000C4C0E">
      <w:pPr>
        <w:pStyle w:val="ListParagraph"/>
        <w:numPr>
          <w:ilvl w:val="1"/>
          <w:numId w:val="2"/>
        </w:numPr>
        <w:jc w:val="both"/>
        <w:rPr>
          <w:rFonts w:ascii="Arial" w:hAnsi="Arial"/>
          <w:sz w:val="22"/>
          <w:szCs w:val="22"/>
        </w:rPr>
      </w:pPr>
      <w:r w:rsidRPr="001F7D3C">
        <w:rPr>
          <w:rFonts w:ascii="Arial" w:hAnsi="Arial"/>
          <w:sz w:val="22"/>
          <w:szCs w:val="22"/>
        </w:rPr>
        <w:t>T</w:t>
      </w:r>
      <w:r w:rsidR="009B0F67" w:rsidRPr="001F7D3C">
        <w:rPr>
          <w:rFonts w:ascii="Arial" w:hAnsi="Arial"/>
          <w:sz w:val="22"/>
          <w:szCs w:val="22"/>
        </w:rPr>
        <w:t xml:space="preserve">he previous major submission considered by PBAC in </w:t>
      </w:r>
      <w:r w:rsidR="005A708D" w:rsidRPr="001F7D3C">
        <w:rPr>
          <w:rFonts w:ascii="Arial" w:hAnsi="Arial"/>
          <w:sz w:val="22"/>
          <w:szCs w:val="22"/>
        </w:rPr>
        <w:t>July</w:t>
      </w:r>
      <w:r w:rsidR="009B0F67" w:rsidRPr="001F7D3C">
        <w:rPr>
          <w:rFonts w:ascii="Arial" w:hAnsi="Arial"/>
          <w:sz w:val="22"/>
          <w:szCs w:val="22"/>
        </w:rPr>
        <w:t xml:space="preserve"> 20</w:t>
      </w:r>
      <w:r w:rsidR="005A708D" w:rsidRPr="001F7D3C">
        <w:rPr>
          <w:rFonts w:ascii="Arial" w:hAnsi="Arial"/>
          <w:sz w:val="22"/>
          <w:szCs w:val="22"/>
        </w:rPr>
        <w:t>14</w:t>
      </w:r>
      <w:r w:rsidR="009B0F67" w:rsidRPr="001F7D3C">
        <w:rPr>
          <w:rFonts w:ascii="Arial" w:hAnsi="Arial"/>
          <w:sz w:val="22"/>
          <w:szCs w:val="22"/>
        </w:rPr>
        <w:t xml:space="preserve"> presented a cost-</w:t>
      </w:r>
      <w:r w:rsidR="005A708D" w:rsidRPr="001F7D3C">
        <w:rPr>
          <w:rFonts w:ascii="Arial" w:hAnsi="Arial"/>
          <w:sz w:val="22"/>
          <w:szCs w:val="22"/>
        </w:rPr>
        <w:t>utility analysis of Program #5 against no vaccination</w:t>
      </w:r>
      <w:r w:rsidR="007921BA" w:rsidRPr="001F7D3C">
        <w:rPr>
          <w:rFonts w:ascii="Arial" w:hAnsi="Arial"/>
          <w:sz w:val="22"/>
          <w:szCs w:val="22"/>
        </w:rPr>
        <w:t>.</w:t>
      </w:r>
      <w:r w:rsidR="000C4C0E" w:rsidRPr="001F7D3C">
        <w:rPr>
          <w:rFonts w:ascii="Arial" w:hAnsi="Arial"/>
          <w:sz w:val="22"/>
          <w:szCs w:val="22"/>
        </w:rPr>
        <w:t xml:space="preserve"> The PBAC considered the base case ICER of </w:t>
      </w:r>
      <w:r w:rsidR="008908A2">
        <w:rPr>
          <w:rFonts w:ascii="Arial" w:hAnsi="Arial"/>
          <w:sz w:val="22"/>
          <w:szCs w:val="22"/>
        </w:rPr>
        <w:t>more than $200,000</w:t>
      </w:r>
      <w:r w:rsidR="000C4C0E" w:rsidRPr="001F7D3C">
        <w:rPr>
          <w:rFonts w:ascii="Arial" w:hAnsi="Arial"/>
          <w:sz w:val="22"/>
          <w:szCs w:val="22"/>
        </w:rPr>
        <w:t xml:space="preserve">/QALY to be unacceptably high and was based on uncertain and optimistic assumptions about the extent and duration of effect and herd immunity, noting particularly the ESC and ATAGI doubts about the vaccine’s effectiveness against NHBA. The PBAC noted the sensitivity analysis based on a further highly optimistic scenario resulted in an ICER of </w:t>
      </w:r>
      <w:r w:rsidR="008908A2">
        <w:rPr>
          <w:rFonts w:ascii="Arial" w:hAnsi="Arial"/>
          <w:sz w:val="22"/>
          <w:szCs w:val="22"/>
        </w:rPr>
        <w:t>$105,000</w:t>
      </w:r>
      <w:r w:rsidR="000C4C0E" w:rsidRPr="001F7D3C">
        <w:rPr>
          <w:rFonts w:ascii="Arial" w:hAnsi="Arial"/>
          <w:sz w:val="22"/>
          <w:szCs w:val="22"/>
        </w:rPr>
        <w:t>/QALY</w:t>
      </w:r>
      <w:r w:rsidR="008908A2">
        <w:rPr>
          <w:rFonts w:ascii="Arial" w:hAnsi="Arial"/>
          <w:sz w:val="22"/>
          <w:szCs w:val="22"/>
        </w:rPr>
        <w:t xml:space="preserve"> - $200,000/QALY</w:t>
      </w:r>
      <w:r w:rsidR="000C4C0E" w:rsidRPr="001F7D3C">
        <w:rPr>
          <w:rFonts w:ascii="Arial" w:hAnsi="Arial"/>
          <w:sz w:val="22"/>
          <w:szCs w:val="22"/>
        </w:rPr>
        <w:t>, which was also unacceptably high.</w:t>
      </w:r>
    </w:p>
    <w:p w:rsidR="00425975" w:rsidRPr="001F7D3C" w:rsidRDefault="00425975" w:rsidP="00425975">
      <w:pPr>
        <w:jc w:val="both"/>
        <w:rPr>
          <w:rFonts w:ascii="Arial" w:hAnsi="Arial"/>
          <w:sz w:val="22"/>
          <w:szCs w:val="22"/>
        </w:rPr>
      </w:pPr>
    </w:p>
    <w:p w:rsidR="00B42215" w:rsidRPr="001F7D3C" w:rsidRDefault="009B0F67" w:rsidP="005A708D">
      <w:pPr>
        <w:pStyle w:val="ListParagraph"/>
        <w:numPr>
          <w:ilvl w:val="1"/>
          <w:numId w:val="2"/>
        </w:numPr>
        <w:jc w:val="both"/>
        <w:rPr>
          <w:rFonts w:ascii="Arial" w:hAnsi="Arial"/>
          <w:sz w:val="22"/>
          <w:szCs w:val="22"/>
        </w:rPr>
      </w:pPr>
      <w:r w:rsidRPr="001F7D3C">
        <w:rPr>
          <w:rFonts w:ascii="Arial" w:hAnsi="Arial"/>
          <w:sz w:val="22"/>
          <w:szCs w:val="22"/>
        </w:rPr>
        <w:t xml:space="preserve">The minor re-submission </w:t>
      </w:r>
      <w:r w:rsidR="000C4C0E" w:rsidRPr="001F7D3C">
        <w:rPr>
          <w:rFonts w:ascii="Arial" w:hAnsi="Arial"/>
          <w:sz w:val="22"/>
          <w:szCs w:val="22"/>
        </w:rPr>
        <w:t>claim</w:t>
      </w:r>
      <w:r w:rsidR="006F5DF1" w:rsidRPr="001F7D3C">
        <w:rPr>
          <w:rFonts w:ascii="Arial" w:hAnsi="Arial"/>
          <w:sz w:val="22"/>
          <w:szCs w:val="22"/>
        </w:rPr>
        <w:t>ed</w:t>
      </w:r>
      <w:r w:rsidR="000C4C0E" w:rsidRPr="001F7D3C">
        <w:rPr>
          <w:rFonts w:ascii="Arial" w:hAnsi="Arial"/>
          <w:sz w:val="22"/>
          <w:szCs w:val="22"/>
        </w:rPr>
        <w:t xml:space="preserve"> that it </w:t>
      </w:r>
      <w:r w:rsidR="00C00DA7" w:rsidRPr="001F7D3C">
        <w:rPr>
          <w:rFonts w:ascii="Arial" w:hAnsi="Arial"/>
          <w:sz w:val="22"/>
          <w:szCs w:val="22"/>
        </w:rPr>
        <w:t>re</w:t>
      </w:r>
      <w:r w:rsidR="00187991" w:rsidRPr="001F7D3C">
        <w:rPr>
          <w:rFonts w:ascii="Arial" w:hAnsi="Arial"/>
          <w:sz w:val="22"/>
          <w:szCs w:val="22"/>
        </w:rPr>
        <w:t>-specified</w:t>
      </w:r>
      <w:r w:rsidR="00C00DA7" w:rsidRPr="001F7D3C">
        <w:rPr>
          <w:rFonts w:ascii="Arial" w:hAnsi="Arial"/>
          <w:sz w:val="22"/>
          <w:szCs w:val="22"/>
        </w:rPr>
        <w:t xml:space="preserve"> the best estimate of the base case ICER</w:t>
      </w:r>
      <w:r w:rsidR="00C24548" w:rsidRPr="001F7D3C">
        <w:rPr>
          <w:rFonts w:ascii="Arial" w:hAnsi="Arial"/>
          <w:sz w:val="22"/>
          <w:szCs w:val="22"/>
        </w:rPr>
        <w:t xml:space="preserve"> (to which the five vaccination programs were applied)</w:t>
      </w:r>
      <w:r w:rsidR="00C00DA7" w:rsidRPr="001F7D3C">
        <w:rPr>
          <w:rFonts w:ascii="Arial" w:hAnsi="Arial"/>
          <w:sz w:val="22"/>
          <w:szCs w:val="22"/>
        </w:rPr>
        <w:t xml:space="preserve"> by</w:t>
      </w:r>
      <w:r w:rsidR="00B42215" w:rsidRPr="001F7D3C">
        <w:rPr>
          <w:rFonts w:ascii="Arial" w:hAnsi="Arial"/>
          <w:sz w:val="22"/>
          <w:szCs w:val="22"/>
        </w:rPr>
        <w:t>:</w:t>
      </w:r>
    </w:p>
    <w:p w:rsidR="000C4C0E" w:rsidRPr="001F7D3C" w:rsidRDefault="000C4C0E" w:rsidP="000C4C0E">
      <w:pPr>
        <w:pStyle w:val="ListParagraph"/>
        <w:numPr>
          <w:ilvl w:val="0"/>
          <w:numId w:val="10"/>
        </w:numPr>
        <w:ind w:left="1134"/>
        <w:jc w:val="both"/>
        <w:rPr>
          <w:rFonts w:ascii="Arial" w:hAnsi="Arial"/>
          <w:sz w:val="22"/>
          <w:szCs w:val="22"/>
        </w:rPr>
      </w:pPr>
      <w:r w:rsidRPr="001F7D3C">
        <w:rPr>
          <w:rFonts w:ascii="Arial" w:hAnsi="Arial"/>
          <w:sz w:val="22"/>
          <w:szCs w:val="22"/>
        </w:rPr>
        <w:t>Reducing the price to $</w:t>
      </w:r>
      <w:r w:rsidR="00676FE1">
        <w:rPr>
          <w:rFonts w:ascii="Arial" w:hAnsi="Arial"/>
          <w:noProof/>
          <w:color w:val="000000"/>
          <w:sz w:val="22"/>
          <w:szCs w:val="22"/>
          <w:highlight w:val="black"/>
        </w:rPr>
        <w:t>''''''</w:t>
      </w:r>
      <w:r w:rsidRPr="001F7D3C">
        <w:rPr>
          <w:rFonts w:ascii="Arial" w:hAnsi="Arial"/>
          <w:sz w:val="22"/>
          <w:szCs w:val="22"/>
        </w:rPr>
        <w:t xml:space="preserve"> per dose (from $</w:t>
      </w:r>
      <w:r w:rsidR="00676FE1">
        <w:rPr>
          <w:rFonts w:ascii="Arial" w:hAnsi="Arial"/>
          <w:noProof/>
          <w:color w:val="000000"/>
          <w:sz w:val="22"/>
          <w:szCs w:val="22"/>
          <w:highlight w:val="black"/>
        </w:rPr>
        <w:t>''''''</w:t>
      </w:r>
      <w:r w:rsidRPr="001F7D3C">
        <w:rPr>
          <w:rFonts w:ascii="Arial" w:hAnsi="Arial"/>
          <w:sz w:val="22"/>
          <w:szCs w:val="22"/>
        </w:rPr>
        <w:t xml:space="preserve"> per dose)</w:t>
      </w:r>
      <w:r w:rsidRPr="001F7D3C">
        <w:rPr>
          <w:rStyle w:val="FootnoteReference"/>
          <w:rFonts w:ascii="Arial" w:hAnsi="Arial"/>
          <w:sz w:val="22"/>
          <w:szCs w:val="22"/>
        </w:rPr>
        <w:footnoteReference w:id="2"/>
      </w:r>
      <w:r w:rsidRPr="001F7D3C">
        <w:rPr>
          <w:rFonts w:ascii="Arial" w:hAnsi="Arial"/>
          <w:sz w:val="22"/>
          <w:szCs w:val="22"/>
        </w:rPr>
        <w:t>;</w:t>
      </w:r>
    </w:p>
    <w:p w:rsidR="007921BA" w:rsidRPr="001F7D3C" w:rsidRDefault="007921BA" w:rsidP="007921BA">
      <w:pPr>
        <w:pStyle w:val="ListParagraph"/>
        <w:numPr>
          <w:ilvl w:val="0"/>
          <w:numId w:val="10"/>
        </w:numPr>
        <w:ind w:left="1134"/>
        <w:jc w:val="both"/>
        <w:rPr>
          <w:rFonts w:ascii="Arial" w:hAnsi="Arial"/>
          <w:sz w:val="22"/>
          <w:szCs w:val="22"/>
        </w:rPr>
      </w:pPr>
      <w:r w:rsidRPr="001F7D3C">
        <w:rPr>
          <w:rFonts w:ascii="Arial" w:hAnsi="Arial"/>
          <w:sz w:val="22"/>
          <w:szCs w:val="22"/>
        </w:rPr>
        <w:t>Applying discount rates of 5% p.a. for costs and health outcomes in years 1 to 30, and 1.5% p.a. for costs and health outcomes in years 31-100 (compared to 5% in all time periods in the previous submission)</w:t>
      </w:r>
      <w:r w:rsidR="000C4C0E" w:rsidRPr="001F7D3C">
        <w:rPr>
          <w:rFonts w:ascii="Arial" w:hAnsi="Arial"/>
          <w:sz w:val="22"/>
          <w:szCs w:val="22"/>
        </w:rPr>
        <w:t>; and</w:t>
      </w:r>
    </w:p>
    <w:p w:rsidR="007921BA" w:rsidRPr="001F7D3C" w:rsidRDefault="007921BA" w:rsidP="00C03066">
      <w:pPr>
        <w:pStyle w:val="ListParagraph"/>
        <w:numPr>
          <w:ilvl w:val="0"/>
          <w:numId w:val="10"/>
        </w:numPr>
        <w:ind w:left="1134"/>
        <w:jc w:val="both"/>
        <w:rPr>
          <w:rFonts w:ascii="Arial" w:hAnsi="Arial"/>
          <w:sz w:val="22"/>
          <w:szCs w:val="22"/>
        </w:rPr>
      </w:pPr>
      <w:r w:rsidRPr="001F7D3C">
        <w:rPr>
          <w:rFonts w:ascii="Arial" w:hAnsi="Arial"/>
          <w:sz w:val="22"/>
          <w:szCs w:val="22"/>
        </w:rPr>
        <w:t xml:space="preserve">Reducing vaccine coverage </w:t>
      </w:r>
      <w:r w:rsidR="00E547C6" w:rsidRPr="001F7D3C">
        <w:rPr>
          <w:rFonts w:ascii="Arial" w:hAnsi="Arial"/>
          <w:sz w:val="22"/>
          <w:szCs w:val="22"/>
        </w:rPr>
        <w:t xml:space="preserve">(i.e. proportion of strains covered by 4CMenB) </w:t>
      </w:r>
      <w:r w:rsidRPr="001F7D3C">
        <w:rPr>
          <w:rFonts w:ascii="Arial" w:hAnsi="Arial"/>
          <w:sz w:val="22"/>
          <w:szCs w:val="22"/>
        </w:rPr>
        <w:t>to 75% (from 7</w:t>
      </w:r>
      <w:r w:rsidR="00171BA0" w:rsidRPr="001F7D3C">
        <w:rPr>
          <w:rFonts w:ascii="Arial" w:hAnsi="Arial"/>
          <w:sz w:val="22"/>
          <w:szCs w:val="22"/>
        </w:rPr>
        <w:t>5.9</w:t>
      </w:r>
      <w:r w:rsidRPr="001F7D3C">
        <w:rPr>
          <w:rFonts w:ascii="Arial" w:hAnsi="Arial"/>
          <w:sz w:val="22"/>
          <w:szCs w:val="22"/>
        </w:rPr>
        <w:t>% in the previous submission</w:t>
      </w:r>
      <w:r w:rsidR="00C03066" w:rsidRPr="001F7D3C">
        <w:rPr>
          <w:rFonts w:ascii="Arial" w:hAnsi="Arial"/>
          <w:sz w:val="22"/>
          <w:szCs w:val="22"/>
        </w:rPr>
        <w:t>.</w:t>
      </w:r>
    </w:p>
    <w:p w:rsidR="00A30315" w:rsidRPr="001F7D3C" w:rsidRDefault="00A30315" w:rsidP="00053C82">
      <w:pPr>
        <w:jc w:val="both"/>
        <w:rPr>
          <w:rFonts w:ascii="Arial" w:hAnsi="Arial"/>
          <w:i/>
          <w:sz w:val="22"/>
          <w:szCs w:val="22"/>
        </w:rPr>
      </w:pPr>
    </w:p>
    <w:p w:rsidR="00403D1C" w:rsidRPr="001F7D3C" w:rsidRDefault="001F08FA" w:rsidP="00403D1C">
      <w:pPr>
        <w:pStyle w:val="ListParagraph"/>
        <w:numPr>
          <w:ilvl w:val="1"/>
          <w:numId w:val="2"/>
        </w:numPr>
        <w:jc w:val="both"/>
        <w:rPr>
          <w:rFonts w:ascii="Arial" w:hAnsi="Arial"/>
          <w:sz w:val="22"/>
          <w:szCs w:val="22"/>
        </w:rPr>
      </w:pPr>
      <w:r w:rsidRPr="001F7D3C">
        <w:rPr>
          <w:rFonts w:ascii="Arial" w:hAnsi="Arial"/>
          <w:sz w:val="22"/>
          <w:szCs w:val="22"/>
        </w:rPr>
        <w:t xml:space="preserve">Additionally, </w:t>
      </w:r>
      <w:r w:rsidR="003D085B" w:rsidRPr="001F7D3C">
        <w:rPr>
          <w:rFonts w:ascii="Arial" w:hAnsi="Arial"/>
          <w:sz w:val="22"/>
          <w:szCs w:val="22"/>
        </w:rPr>
        <w:t xml:space="preserve">compared to </w:t>
      </w:r>
      <w:r w:rsidR="006F5DF1" w:rsidRPr="001F7D3C">
        <w:rPr>
          <w:rFonts w:ascii="Arial" w:hAnsi="Arial"/>
          <w:sz w:val="22"/>
          <w:szCs w:val="22"/>
        </w:rPr>
        <w:t xml:space="preserve">the </w:t>
      </w:r>
      <w:r w:rsidR="0031083F" w:rsidRPr="001F7D3C">
        <w:rPr>
          <w:rFonts w:ascii="Arial" w:hAnsi="Arial"/>
          <w:sz w:val="22"/>
          <w:szCs w:val="22"/>
        </w:rPr>
        <w:t>July 2014 re-submission</w:t>
      </w:r>
      <w:r w:rsidR="003D085B" w:rsidRPr="001F7D3C">
        <w:rPr>
          <w:rFonts w:ascii="Arial" w:hAnsi="Arial"/>
          <w:sz w:val="22"/>
          <w:szCs w:val="22"/>
        </w:rPr>
        <w:t xml:space="preserve">, </w:t>
      </w:r>
      <w:r w:rsidRPr="001F7D3C">
        <w:rPr>
          <w:rFonts w:ascii="Arial" w:hAnsi="Arial"/>
          <w:sz w:val="22"/>
          <w:szCs w:val="22"/>
        </w:rPr>
        <w:t>s</w:t>
      </w:r>
      <w:r w:rsidR="0031083F" w:rsidRPr="001F7D3C">
        <w:rPr>
          <w:rFonts w:ascii="Arial" w:hAnsi="Arial"/>
          <w:sz w:val="22"/>
          <w:szCs w:val="22"/>
        </w:rPr>
        <w:t>everal spreadsheets of this re-submission’s</w:t>
      </w:r>
      <w:r w:rsidR="00403D1C" w:rsidRPr="001F7D3C">
        <w:rPr>
          <w:rFonts w:ascii="Arial" w:hAnsi="Arial"/>
          <w:sz w:val="22"/>
          <w:szCs w:val="22"/>
        </w:rPr>
        <w:t xml:space="preserve"> economic model were substantially changed</w:t>
      </w:r>
      <w:r w:rsidR="003673A2" w:rsidRPr="001F7D3C">
        <w:rPr>
          <w:rStyle w:val="FootnoteReference"/>
          <w:rFonts w:ascii="Arial" w:hAnsi="Arial"/>
          <w:sz w:val="22"/>
          <w:szCs w:val="22"/>
        </w:rPr>
        <w:footnoteReference w:id="3"/>
      </w:r>
      <w:r w:rsidR="00403D1C" w:rsidRPr="001F7D3C">
        <w:rPr>
          <w:rFonts w:ascii="Arial" w:hAnsi="Arial"/>
          <w:sz w:val="22"/>
          <w:szCs w:val="22"/>
        </w:rPr>
        <w:t xml:space="preserve"> and “initial implementation costs” for </w:t>
      </w:r>
      <w:r w:rsidR="00362C1B" w:rsidRPr="001F7D3C">
        <w:rPr>
          <w:rFonts w:ascii="Arial" w:hAnsi="Arial"/>
          <w:sz w:val="22"/>
          <w:szCs w:val="22"/>
        </w:rPr>
        <w:t xml:space="preserve">(Preferred) </w:t>
      </w:r>
      <w:r w:rsidR="00403D1C" w:rsidRPr="001F7D3C">
        <w:rPr>
          <w:rFonts w:ascii="Arial" w:hAnsi="Arial"/>
          <w:sz w:val="22"/>
          <w:szCs w:val="22"/>
        </w:rPr>
        <w:t xml:space="preserve">Program #5 was </w:t>
      </w:r>
      <w:r w:rsidR="00403D1C" w:rsidRPr="001F7D3C">
        <w:rPr>
          <w:rFonts w:ascii="Arial" w:hAnsi="Arial"/>
          <w:sz w:val="22"/>
          <w:szCs w:val="22"/>
        </w:rPr>
        <w:noBreakHyphen/>
        <w:t>$</w:t>
      </w:r>
      <w:r w:rsidR="00676FE1">
        <w:rPr>
          <w:rFonts w:ascii="Arial" w:hAnsi="Arial"/>
          <w:noProof/>
          <w:color w:val="000000"/>
          <w:sz w:val="22"/>
          <w:szCs w:val="22"/>
          <w:highlight w:val="black"/>
        </w:rPr>
        <w:t>''''''''''''''''''''''</w:t>
      </w:r>
      <w:r w:rsidR="00403D1C" w:rsidRPr="001F7D3C">
        <w:rPr>
          <w:rFonts w:ascii="Arial" w:hAnsi="Arial"/>
          <w:sz w:val="22"/>
          <w:szCs w:val="22"/>
        </w:rPr>
        <w:t>, rather than $</w:t>
      </w:r>
      <w:r w:rsidR="00676FE1">
        <w:rPr>
          <w:rFonts w:ascii="Arial" w:hAnsi="Arial"/>
          <w:noProof/>
          <w:color w:val="000000"/>
          <w:sz w:val="22"/>
          <w:szCs w:val="22"/>
          <w:highlight w:val="black"/>
        </w:rPr>
        <w:t>''''''''''''''''''''''''</w:t>
      </w:r>
      <w:r w:rsidR="00403D1C" w:rsidRPr="001F7D3C">
        <w:rPr>
          <w:rFonts w:ascii="Arial" w:hAnsi="Arial"/>
          <w:sz w:val="22"/>
          <w:szCs w:val="22"/>
        </w:rPr>
        <w:t xml:space="preserve"> in the previous model. </w:t>
      </w:r>
      <w:r w:rsidR="0031083F" w:rsidRPr="001F7D3C">
        <w:rPr>
          <w:rFonts w:ascii="Arial" w:hAnsi="Arial"/>
          <w:sz w:val="22"/>
          <w:szCs w:val="22"/>
        </w:rPr>
        <w:t xml:space="preserve">These changes to the model </w:t>
      </w:r>
      <w:r w:rsidR="006F5DF1" w:rsidRPr="001F7D3C">
        <w:rPr>
          <w:rFonts w:ascii="Arial" w:hAnsi="Arial"/>
          <w:sz w:val="22"/>
          <w:szCs w:val="22"/>
        </w:rPr>
        <w:t>were</w:t>
      </w:r>
      <w:r w:rsidR="0031083F" w:rsidRPr="001F7D3C">
        <w:rPr>
          <w:rFonts w:ascii="Arial" w:hAnsi="Arial"/>
          <w:sz w:val="22"/>
          <w:szCs w:val="22"/>
        </w:rPr>
        <w:t xml:space="preserve"> </w:t>
      </w:r>
      <w:r w:rsidR="006F5DF1" w:rsidRPr="001F7D3C">
        <w:rPr>
          <w:rFonts w:ascii="Arial" w:hAnsi="Arial"/>
          <w:sz w:val="22"/>
          <w:szCs w:val="22"/>
        </w:rPr>
        <w:t xml:space="preserve">not </w:t>
      </w:r>
      <w:r w:rsidR="0031083F" w:rsidRPr="001F7D3C">
        <w:rPr>
          <w:rFonts w:ascii="Arial" w:hAnsi="Arial"/>
          <w:sz w:val="22"/>
          <w:szCs w:val="22"/>
        </w:rPr>
        <w:t xml:space="preserve">fully evaluated. The small </w:t>
      </w:r>
      <w:r w:rsidR="00813533" w:rsidRPr="001F7D3C">
        <w:rPr>
          <w:rFonts w:ascii="Arial" w:hAnsi="Arial"/>
          <w:sz w:val="22"/>
          <w:szCs w:val="22"/>
        </w:rPr>
        <w:t>variation in the ICERs when the re-specified variables, described above, were applied to the July 2014 economic model suggest</w:t>
      </w:r>
      <w:r w:rsidR="006F5DF1" w:rsidRPr="001F7D3C">
        <w:rPr>
          <w:rFonts w:ascii="Arial" w:hAnsi="Arial"/>
          <w:sz w:val="22"/>
          <w:szCs w:val="22"/>
        </w:rPr>
        <w:t>ed</w:t>
      </w:r>
      <w:r w:rsidR="0031083F" w:rsidRPr="001F7D3C">
        <w:rPr>
          <w:rFonts w:ascii="Arial" w:hAnsi="Arial"/>
          <w:sz w:val="22"/>
          <w:szCs w:val="22"/>
        </w:rPr>
        <w:t xml:space="preserve"> that the changes to the spreadsheets</w:t>
      </w:r>
      <w:r w:rsidR="00EB2D6C" w:rsidRPr="001F7D3C">
        <w:rPr>
          <w:rFonts w:ascii="Arial" w:hAnsi="Arial"/>
          <w:sz w:val="22"/>
          <w:szCs w:val="22"/>
        </w:rPr>
        <w:t xml:space="preserve"> and</w:t>
      </w:r>
      <w:r w:rsidR="00813533" w:rsidRPr="001F7D3C">
        <w:rPr>
          <w:rFonts w:ascii="Arial" w:hAnsi="Arial"/>
          <w:sz w:val="22"/>
          <w:szCs w:val="22"/>
        </w:rPr>
        <w:t xml:space="preserve"> “initial implementation costs”</w:t>
      </w:r>
      <w:r w:rsidR="0031083F" w:rsidRPr="001F7D3C">
        <w:rPr>
          <w:rFonts w:ascii="Arial" w:hAnsi="Arial"/>
          <w:sz w:val="22"/>
          <w:szCs w:val="22"/>
        </w:rPr>
        <w:t xml:space="preserve"> in this </w:t>
      </w:r>
      <w:r w:rsidR="005726FA" w:rsidRPr="001F7D3C">
        <w:rPr>
          <w:rFonts w:ascii="Arial" w:hAnsi="Arial"/>
          <w:sz w:val="22"/>
          <w:szCs w:val="22"/>
        </w:rPr>
        <w:t>economic</w:t>
      </w:r>
      <w:r w:rsidR="0031083F" w:rsidRPr="001F7D3C">
        <w:rPr>
          <w:rFonts w:ascii="Arial" w:hAnsi="Arial"/>
          <w:sz w:val="22"/>
          <w:szCs w:val="22"/>
        </w:rPr>
        <w:t xml:space="preserve"> </w:t>
      </w:r>
      <w:r w:rsidR="00945F34" w:rsidRPr="001F7D3C">
        <w:rPr>
          <w:rFonts w:ascii="Arial" w:hAnsi="Arial"/>
          <w:sz w:val="22"/>
          <w:szCs w:val="22"/>
        </w:rPr>
        <w:t xml:space="preserve">model </w:t>
      </w:r>
      <w:r w:rsidRPr="001F7D3C">
        <w:rPr>
          <w:rFonts w:ascii="Arial" w:hAnsi="Arial"/>
          <w:sz w:val="22"/>
          <w:szCs w:val="22"/>
        </w:rPr>
        <w:t>had a minor impact on the results</w:t>
      </w:r>
      <w:r w:rsidR="00945F34" w:rsidRPr="001F7D3C">
        <w:rPr>
          <w:rFonts w:ascii="Arial" w:hAnsi="Arial"/>
          <w:sz w:val="22"/>
          <w:szCs w:val="22"/>
        </w:rPr>
        <w:t xml:space="preserve"> </w:t>
      </w:r>
      <w:r w:rsidRPr="001F7D3C">
        <w:rPr>
          <w:rFonts w:ascii="Arial" w:hAnsi="Arial"/>
          <w:sz w:val="22"/>
          <w:szCs w:val="22"/>
        </w:rPr>
        <w:t xml:space="preserve">(see Table </w:t>
      </w:r>
      <w:r w:rsidR="00CD27BF">
        <w:rPr>
          <w:rFonts w:ascii="Arial" w:hAnsi="Arial"/>
          <w:sz w:val="22"/>
          <w:szCs w:val="22"/>
        </w:rPr>
        <w:t>4</w:t>
      </w:r>
      <w:r w:rsidRPr="001F7D3C">
        <w:rPr>
          <w:rFonts w:ascii="Arial" w:hAnsi="Arial"/>
          <w:sz w:val="22"/>
          <w:szCs w:val="22"/>
        </w:rPr>
        <w:t>)</w:t>
      </w:r>
      <w:r w:rsidR="00403D1C" w:rsidRPr="001F7D3C">
        <w:rPr>
          <w:rFonts w:ascii="Arial" w:hAnsi="Arial"/>
          <w:sz w:val="22"/>
          <w:szCs w:val="22"/>
        </w:rPr>
        <w:t>.</w:t>
      </w:r>
    </w:p>
    <w:p w:rsidR="00C03066" w:rsidRPr="001F7D3C" w:rsidRDefault="00C03066" w:rsidP="00C03066">
      <w:pPr>
        <w:jc w:val="both"/>
        <w:rPr>
          <w:rFonts w:ascii="Arial" w:hAnsi="Arial"/>
          <w:sz w:val="22"/>
          <w:szCs w:val="22"/>
        </w:rPr>
      </w:pPr>
    </w:p>
    <w:p w:rsidR="00425975" w:rsidRPr="001F7D3C" w:rsidRDefault="00C03066" w:rsidP="00425975">
      <w:pPr>
        <w:pStyle w:val="ListParagraph"/>
        <w:numPr>
          <w:ilvl w:val="1"/>
          <w:numId w:val="2"/>
        </w:numPr>
        <w:jc w:val="both"/>
        <w:rPr>
          <w:rFonts w:ascii="Arial" w:hAnsi="Arial"/>
          <w:sz w:val="22"/>
          <w:szCs w:val="22"/>
        </w:rPr>
      </w:pPr>
      <w:r w:rsidRPr="001F7D3C">
        <w:rPr>
          <w:rFonts w:ascii="Arial" w:hAnsi="Arial"/>
          <w:sz w:val="22"/>
          <w:szCs w:val="22"/>
        </w:rPr>
        <w:t xml:space="preserve">In </w:t>
      </w:r>
      <w:r w:rsidR="008F2B70" w:rsidRPr="001F7D3C">
        <w:rPr>
          <w:rFonts w:ascii="Arial" w:hAnsi="Arial"/>
          <w:sz w:val="22"/>
          <w:szCs w:val="22"/>
        </w:rPr>
        <w:t xml:space="preserve">November </w:t>
      </w:r>
      <w:r w:rsidRPr="001F7D3C">
        <w:rPr>
          <w:rFonts w:ascii="Arial" w:hAnsi="Arial"/>
          <w:sz w:val="22"/>
          <w:szCs w:val="22"/>
        </w:rPr>
        <w:t>2013 the PBAC recalled that differential discounting rates were not used in the deliberation by the PBAC for recommending other vaccines for the NIP, such as for rotavirus (where immediate benefits were expected) and for HPV (where the major benefits begin to accrue approximately 20 years after immunisation) (</w:t>
      </w:r>
      <w:r w:rsidR="004E4FE4" w:rsidRPr="001F7D3C">
        <w:rPr>
          <w:rFonts w:ascii="Arial" w:hAnsi="Arial"/>
          <w:sz w:val="22"/>
          <w:szCs w:val="22"/>
        </w:rPr>
        <w:t>I</w:t>
      </w:r>
      <w:r w:rsidRPr="001F7D3C">
        <w:rPr>
          <w:rFonts w:ascii="Arial" w:hAnsi="Arial"/>
          <w:sz w:val="22"/>
          <w:szCs w:val="22"/>
        </w:rPr>
        <w:t xml:space="preserve">tem 7.15, PBAC </w:t>
      </w:r>
      <w:r w:rsidR="00422CAD">
        <w:rPr>
          <w:rFonts w:ascii="Arial" w:hAnsi="Arial"/>
          <w:sz w:val="22"/>
          <w:szCs w:val="22"/>
        </w:rPr>
        <w:t>PSD</w:t>
      </w:r>
      <w:r w:rsidRPr="001F7D3C">
        <w:rPr>
          <w:rFonts w:ascii="Arial" w:hAnsi="Arial"/>
          <w:sz w:val="22"/>
          <w:szCs w:val="22"/>
        </w:rPr>
        <w:t xml:space="preserve"> November 2013).</w:t>
      </w:r>
      <w:r w:rsidR="004E4FE4" w:rsidRPr="001F7D3C">
        <w:rPr>
          <w:rFonts w:ascii="Arial" w:hAnsi="Arial"/>
          <w:sz w:val="22"/>
          <w:szCs w:val="22"/>
        </w:rPr>
        <w:t xml:space="preserve"> In both cases a </w:t>
      </w:r>
      <w:r w:rsidR="004517B8" w:rsidRPr="001F7D3C">
        <w:rPr>
          <w:rFonts w:ascii="Arial" w:hAnsi="Arial"/>
          <w:sz w:val="22"/>
          <w:szCs w:val="22"/>
        </w:rPr>
        <w:t xml:space="preserve">constant </w:t>
      </w:r>
      <w:r w:rsidR="004E4FE4" w:rsidRPr="001F7D3C">
        <w:rPr>
          <w:rFonts w:ascii="Arial" w:hAnsi="Arial"/>
          <w:sz w:val="22"/>
          <w:szCs w:val="22"/>
        </w:rPr>
        <w:t xml:space="preserve">5% discount rate </w:t>
      </w:r>
      <w:r w:rsidR="006F5DF1" w:rsidRPr="001F7D3C">
        <w:rPr>
          <w:rFonts w:ascii="Arial" w:hAnsi="Arial"/>
          <w:sz w:val="22"/>
          <w:szCs w:val="22"/>
        </w:rPr>
        <w:t xml:space="preserve">was applied </w:t>
      </w:r>
      <w:r w:rsidR="004E4FE4" w:rsidRPr="001F7D3C">
        <w:rPr>
          <w:rFonts w:ascii="Arial" w:hAnsi="Arial"/>
          <w:sz w:val="22"/>
          <w:szCs w:val="22"/>
        </w:rPr>
        <w:t>for costs and health outcomes in all time periods.</w:t>
      </w:r>
    </w:p>
    <w:p w:rsidR="00425975" w:rsidRPr="001F7D3C" w:rsidRDefault="00425975" w:rsidP="00425975">
      <w:pPr>
        <w:jc w:val="both"/>
        <w:rPr>
          <w:rFonts w:ascii="Arial" w:hAnsi="Arial"/>
          <w:sz w:val="22"/>
          <w:szCs w:val="22"/>
        </w:rPr>
      </w:pPr>
    </w:p>
    <w:p w:rsidR="00C03066" w:rsidRPr="001F7D3C" w:rsidRDefault="00C03066" w:rsidP="00A3349C">
      <w:pPr>
        <w:pStyle w:val="ListParagraph"/>
        <w:numPr>
          <w:ilvl w:val="1"/>
          <w:numId w:val="2"/>
        </w:numPr>
        <w:jc w:val="both"/>
        <w:rPr>
          <w:rFonts w:ascii="Arial" w:hAnsi="Arial"/>
          <w:sz w:val="22"/>
          <w:szCs w:val="22"/>
        </w:rPr>
      </w:pPr>
      <w:r w:rsidRPr="001F7D3C">
        <w:rPr>
          <w:rFonts w:ascii="Arial" w:hAnsi="Arial"/>
          <w:sz w:val="22"/>
          <w:szCs w:val="22"/>
        </w:rPr>
        <w:t>In response, the minor re-submission argue</w:t>
      </w:r>
      <w:r w:rsidR="005217C1" w:rsidRPr="001F7D3C">
        <w:rPr>
          <w:rFonts w:ascii="Arial" w:hAnsi="Arial"/>
          <w:sz w:val="22"/>
          <w:szCs w:val="22"/>
        </w:rPr>
        <w:t>d</w:t>
      </w:r>
      <w:r w:rsidRPr="001F7D3C">
        <w:rPr>
          <w:rFonts w:ascii="Arial" w:hAnsi="Arial"/>
          <w:sz w:val="22"/>
          <w:szCs w:val="22"/>
        </w:rPr>
        <w:t xml:space="preserve"> that:</w:t>
      </w:r>
    </w:p>
    <w:p w:rsidR="00C03066" w:rsidRPr="001F7D3C" w:rsidRDefault="00C03066" w:rsidP="00C03066">
      <w:pPr>
        <w:pStyle w:val="ListParagraph"/>
        <w:numPr>
          <w:ilvl w:val="0"/>
          <w:numId w:val="10"/>
        </w:numPr>
        <w:ind w:left="1134"/>
        <w:jc w:val="both"/>
        <w:rPr>
          <w:rFonts w:ascii="Arial" w:hAnsi="Arial"/>
          <w:sz w:val="22"/>
          <w:szCs w:val="22"/>
        </w:rPr>
      </w:pPr>
      <w:r w:rsidRPr="001F7D3C">
        <w:rPr>
          <w:rFonts w:ascii="Arial" w:hAnsi="Arial"/>
          <w:sz w:val="22"/>
          <w:szCs w:val="22"/>
        </w:rPr>
        <w:t>The cost-effectiveness of most preventative programmes is highly sensitive to discounting because of the long time over which benefits accrue.</w:t>
      </w:r>
    </w:p>
    <w:p w:rsidR="00C03066" w:rsidRPr="001F7D3C" w:rsidRDefault="00C03066" w:rsidP="00C03066">
      <w:pPr>
        <w:pStyle w:val="ListParagraph"/>
        <w:numPr>
          <w:ilvl w:val="0"/>
          <w:numId w:val="10"/>
        </w:numPr>
        <w:ind w:left="1134"/>
        <w:jc w:val="both"/>
        <w:rPr>
          <w:rFonts w:ascii="Arial" w:hAnsi="Arial"/>
          <w:sz w:val="22"/>
          <w:szCs w:val="22"/>
        </w:rPr>
      </w:pPr>
      <w:r w:rsidRPr="001F7D3C">
        <w:rPr>
          <w:rFonts w:ascii="Arial" w:hAnsi="Arial"/>
          <w:sz w:val="22"/>
          <w:szCs w:val="22"/>
        </w:rPr>
        <w:t>The benefits of avoiding death and significant disability [due to vaccination with 4CMenB] that last far into the future are discounted significantly in the economic model.</w:t>
      </w:r>
    </w:p>
    <w:p w:rsidR="00C03066" w:rsidRPr="001F7D3C" w:rsidRDefault="00C03066" w:rsidP="00C03066">
      <w:pPr>
        <w:pStyle w:val="ListParagraph"/>
        <w:numPr>
          <w:ilvl w:val="0"/>
          <w:numId w:val="10"/>
        </w:numPr>
        <w:ind w:left="1134"/>
        <w:jc w:val="both"/>
        <w:rPr>
          <w:rFonts w:ascii="Arial" w:hAnsi="Arial"/>
          <w:sz w:val="22"/>
          <w:szCs w:val="22"/>
        </w:rPr>
      </w:pPr>
      <w:r w:rsidRPr="001F7D3C">
        <w:rPr>
          <w:rFonts w:ascii="Arial" w:hAnsi="Arial"/>
          <w:sz w:val="22"/>
          <w:szCs w:val="22"/>
        </w:rPr>
        <w:t>There were two rotavirus applications reviewed concurrently. One of these estimated the cost-effectiveness of rotavirus vaccination over a period of 5 years and consequently, discounting had limited impact on its results. The other application used a model with a 100 year time horizon which incorporated deaths due to rotavirus. With only 3 deaths due to rotavir</w:t>
      </w:r>
      <w:r w:rsidR="00422CAD">
        <w:rPr>
          <w:rFonts w:ascii="Arial" w:hAnsi="Arial"/>
          <w:sz w:val="22"/>
          <w:szCs w:val="22"/>
        </w:rPr>
        <w:t>us reported for the period 1998</w:t>
      </w:r>
      <w:r w:rsidR="00422CAD">
        <w:rPr>
          <w:rFonts w:ascii="Arial" w:hAnsi="Arial"/>
          <w:sz w:val="22"/>
          <w:szCs w:val="22"/>
        </w:rPr>
        <w:noBreakHyphen/>
      </w:r>
      <w:r w:rsidRPr="001F7D3C">
        <w:rPr>
          <w:rFonts w:ascii="Arial" w:hAnsi="Arial"/>
          <w:sz w:val="22"/>
          <w:szCs w:val="22"/>
        </w:rPr>
        <w:t>2003, this claim could be considered uncertain and as very few would be prevented, the impact of discounting was low.</w:t>
      </w:r>
    </w:p>
    <w:p w:rsidR="004E4FE4" w:rsidRPr="001F7D3C" w:rsidRDefault="00C03066" w:rsidP="00C03066">
      <w:pPr>
        <w:pStyle w:val="ListParagraph"/>
        <w:numPr>
          <w:ilvl w:val="0"/>
          <w:numId w:val="10"/>
        </w:numPr>
        <w:ind w:left="1134"/>
        <w:jc w:val="both"/>
        <w:rPr>
          <w:rFonts w:ascii="Arial" w:hAnsi="Arial"/>
          <w:sz w:val="22"/>
          <w:szCs w:val="22"/>
        </w:rPr>
      </w:pPr>
      <w:r w:rsidRPr="001F7D3C">
        <w:rPr>
          <w:rFonts w:ascii="Arial" w:hAnsi="Arial"/>
          <w:sz w:val="22"/>
          <w:szCs w:val="22"/>
        </w:rPr>
        <w:t xml:space="preserve">The benefits of HPV vaccination are impacted differently by discounting due to their epidemiology, with genital warts occurring earlier, and hence sooner after vaccination, than cervical cancer which occurs later in life. Discounting has limited impact on the value estimation of reduction in genital warts but does impact the value estimation of prevention of cervical cancer. However, the impact of HPV vaccination on cervical cancer prevention could be considered uncertain due to potential changes in cervical screening practices following </w:t>
      </w:r>
      <w:r w:rsidR="00213EC1" w:rsidRPr="001F7D3C">
        <w:rPr>
          <w:rFonts w:ascii="Arial" w:hAnsi="Arial"/>
          <w:sz w:val="22"/>
          <w:szCs w:val="22"/>
        </w:rPr>
        <w:t xml:space="preserve">vaccination. </w:t>
      </w:r>
      <w:r w:rsidRPr="001F7D3C">
        <w:rPr>
          <w:rFonts w:ascii="Arial" w:hAnsi="Arial"/>
          <w:sz w:val="22"/>
          <w:szCs w:val="22"/>
        </w:rPr>
        <w:t>If cervical screening frequency was significantly reduced in frequency following vaccination there could be potential harmful consequences (Gardasil p</w:t>
      </w:r>
      <w:r w:rsidR="004E4FE4" w:rsidRPr="001F7D3C">
        <w:rPr>
          <w:rFonts w:ascii="Arial" w:hAnsi="Arial"/>
          <w:sz w:val="22"/>
          <w:szCs w:val="22"/>
        </w:rPr>
        <w:t>ublic summary document, 2006).</w:t>
      </w:r>
    </w:p>
    <w:p w:rsidR="00C03066" w:rsidRPr="001F7D3C" w:rsidRDefault="00C03066" w:rsidP="00C03066">
      <w:pPr>
        <w:pStyle w:val="ListParagraph"/>
        <w:numPr>
          <w:ilvl w:val="0"/>
          <w:numId w:val="10"/>
        </w:numPr>
        <w:ind w:left="1134"/>
        <w:jc w:val="both"/>
        <w:rPr>
          <w:rFonts w:ascii="Arial" w:hAnsi="Arial"/>
          <w:sz w:val="22"/>
          <w:szCs w:val="22"/>
        </w:rPr>
      </w:pPr>
      <w:r w:rsidRPr="001F7D3C">
        <w:rPr>
          <w:rFonts w:ascii="Arial" w:hAnsi="Arial"/>
          <w:sz w:val="22"/>
          <w:szCs w:val="22"/>
        </w:rPr>
        <w:t xml:space="preserve">Thus, </w:t>
      </w:r>
      <w:r w:rsidR="00B872B9" w:rsidRPr="001F7D3C">
        <w:rPr>
          <w:rFonts w:ascii="Arial" w:hAnsi="Arial"/>
          <w:sz w:val="22"/>
          <w:szCs w:val="22"/>
        </w:rPr>
        <w:t>submission</w:t>
      </w:r>
      <w:r w:rsidR="004517B8" w:rsidRPr="001F7D3C">
        <w:rPr>
          <w:rFonts w:ascii="Arial" w:hAnsi="Arial"/>
          <w:sz w:val="22"/>
          <w:szCs w:val="22"/>
        </w:rPr>
        <w:t xml:space="preserve"> argued that </w:t>
      </w:r>
      <w:r w:rsidRPr="001F7D3C">
        <w:rPr>
          <w:rFonts w:ascii="Arial" w:hAnsi="Arial"/>
          <w:sz w:val="22"/>
          <w:szCs w:val="22"/>
        </w:rPr>
        <w:t>discounting applied to the HPV vaccine impacted an uncertain outcome compared to the more certain impact resulting from meningococcal B vaccination</w:t>
      </w:r>
      <w:r w:rsidR="00B872B9" w:rsidRPr="001F7D3C">
        <w:rPr>
          <w:rFonts w:ascii="Arial" w:hAnsi="Arial"/>
          <w:sz w:val="22"/>
          <w:szCs w:val="22"/>
        </w:rPr>
        <w:t xml:space="preserve">. </w:t>
      </w:r>
      <w:r w:rsidRPr="001F7D3C">
        <w:rPr>
          <w:rFonts w:ascii="Arial" w:hAnsi="Arial"/>
          <w:sz w:val="22"/>
          <w:szCs w:val="22"/>
        </w:rPr>
        <w:t xml:space="preserve"> </w:t>
      </w:r>
      <w:r w:rsidR="00B872B9" w:rsidRPr="001F7D3C">
        <w:rPr>
          <w:rFonts w:ascii="Arial" w:hAnsi="Arial"/>
          <w:sz w:val="22"/>
          <w:szCs w:val="22"/>
        </w:rPr>
        <w:t xml:space="preserve">The submission </w:t>
      </w:r>
      <w:r w:rsidR="004517B8" w:rsidRPr="001F7D3C">
        <w:rPr>
          <w:rFonts w:ascii="Arial" w:hAnsi="Arial"/>
          <w:sz w:val="22"/>
          <w:szCs w:val="22"/>
        </w:rPr>
        <w:t xml:space="preserve">therefore claimed </w:t>
      </w:r>
      <w:r w:rsidRPr="001F7D3C">
        <w:rPr>
          <w:rFonts w:ascii="Arial" w:hAnsi="Arial"/>
          <w:sz w:val="22"/>
          <w:szCs w:val="22"/>
        </w:rPr>
        <w:t>it is justifiable to apply a different discount methodology to the meningococcal B vaccination program, with 5% costs/5% outcome up to 30 years, and 1.5% costs/1.5% outcome from years 31 onwards.</w:t>
      </w:r>
    </w:p>
    <w:p w:rsidR="00425975" w:rsidRPr="001F7D3C" w:rsidRDefault="00425975" w:rsidP="00425975">
      <w:pPr>
        <w:jc w:val="both"/>
        <w:rPr>
          <w:rFonts w:ascii="Arial" w:hAnsi="Arial"/>
          <w:sz w:val="22"/>
          <w:szCs w:val="22"/>
        </w:rPr>
      </w:pPr>
    </w:p>
    <w:p w:rsidR="00A35D9D" w:rsidRPr="001F7D3C" w:rsidRDefault="00A35D9D" w:rsidP="00A35D9D">
      <w:pPr>
        <w:pStyle w:val="ListParagraph"/>
        <w:numPr>
          <w:ilvl w:val="1"/>
          <w:numId w:val="2"/>
        </w:numPr>
        <w:jc w:val="both"/>
        <w:rPr>
          <w:rFonts w:ascii="Arial" w:hAnsi="Arial"/>
          <w:sz w:val="22"/>
          <w:szCs w:val="22"/>
        </w:rPr>
      </w:pPr>
      <w:r w:rsidRPr="001F7D3C">
        <w:rPr>
          <w:rFonts w:ascii="Arial" w:hAnsi="Arial"/>
          <w:sz w:val="22"/>
          <w:szCs w:val="22"/>
        </w:rPr>
        <w:t xml:space="preserve">In the new base case presented in the submission, Program #3 resulted in the lowest ICER of </w:t>
      </w:r>
      <w:r w:rsidR="00F62354">
        <w:rPr>
          <w:rFonts w:ascii="Arial" w:hAnsi="Arial"/>
          <w:sz w:val="22"/>
          <w:szCs w:val="22"/>
        </w:rPr>
        <w:t>$45,000</w:t>
      </w:r>
      <w:r w:rsidRPr="001F7D3C">
        <w:rPr>
          <w:rFonts w:ascii="Arial" w:hAnsi="Arial"/>
          <w:sz w:val="22"/>
          <w:szCs w:val="22"/>
        </w:rPr>
        <w:t xml:space="preserve">/QALY </w:t>
      </w:r>
      <w:r w:rsidR="00F62354">
        <w:rPr>
          <w:rFonts w:ascii="Arial" w:hAnsi="Arial"/>
          <w:sz w:val="22"/>
          <w:szCs w:val="22"/>
        </w:rPr>
        <w:t xml:space="preserve">- $75,000/QALY </w:t>
      </w:r>
      <w:r w:rsidRPr="001F7D3C">
        <w:rPr>
          <w:rFonts w:ascii="Arial" w:hAnsi="Arial"/>
          <w:sz w:val="22"/>
          <w:szCs w:val="22"/>
        </w:rPr>
        <w:t xml:space="preserve">gained. The preferred vaccination program, Program #5, resulted in an ICER of </w:t>
      </w:r>
      <w:r w:rsidR="00B30029">
        <w:rPr>
          <w:rFonts w:ascii="Arial" w:hAnsi="Arial"/>
          <w:sz w:val="22"/>
          <w:szCs w:val="22"/>
        </w:rPr>
        <w:t>$105,000</w:t>
      </w:r>
      <w:r w:rsidRPr="001F7D3C">
        <w:rPr>
          <w:rFonts w:ascii="Arial" w:hAnsi="Arial"/>
          <w:sz w:val="22"/>
          <w:szCs w:val="22"/>
        </w:rPr>
        <w:t>/QALY</w:t>
      </w:r>
      <w:r w:rsidR="00B30029">
        <w:rPr>
          <w:rFonts w:ascii="Arial" w:hAnsi="Arial"/>
          <w:sz w:val="22"/>
          <w:szCs w:val="22"/>
        </w:rPr>
        <w:t xml:space="preserve"> - $200,000/QALY</w:t>
      </w:r>
      <w:r w:rsidRPr="001F7D3C">
        <w:rPr>
          <w:rFonts w:ascii="Arial" w:hAnsi="Arial"/>
          <w:sz w:val="22"/>
          <w:szCs w:val="22"/>
        </w:rPr>
        <w:t xml:space="preserve"> gained. The alternate to the preferred, Program #4 resulted in an ICER of </w:t>
      </w:r>
      <w:r w:rsidR="00B30029">
        <w:rPr>
          <w:rFonts w:ascii="Arial" w:hAnsi="Arial"/>
          <w:sz w:val="22"/>
          <w:szCs w:val="22"/>
        </w:rPr>
        <w:t>$45,000</w:t>
      </w:r>
      <w:r w:rsidRPr="001F7D3C">
        <w:rPr>
          <w:rFonts w:ascii="Arial" w:hAnsi="Arial"/>
          <w:sz w:val="22"/>
          <w:szCs w:val="22"/>
        </w:rPr>
        <w:t>/QALY</w:t>
      </w:r>
      <w:r w:rsidR="00B30029">
        <w:rPr>
          <w:rFonts w:ascii="Arial" w:hAnsi="Arial"/>
          <w:sz w:val="22"/>
          <w:szCs w:val="22"/>
        </w:rPr>
        <w:t xml:space="preserve"> - $75,000/QALY</w:t>
      </w:r>
      <w:r w:rsidRPr="001F7D3C">
        <w:rPr>
          <w:rFonts w:ascii="Arial" w:hAnsi="Arial"/>
          <w:sz w:val="22"/>
          <w:szCs w:val="22"/>
        </w:rPr>
        <w:t xml:space="preserve"> gained.</w:t>
      </w:r>
    </w:p>
    <w:p w:rsidR="00DF647D" w:rsidRPr="001F7D3C" w:rsidRDefault="00DF647D" w:rsidP="001272BA">
      <w:pPr>
        <w:jc w:val="both"/>
        <w:rPr>
          <w:rFonts w:ascii="Arial" w:hAnsi="Arial"/>
          <w:sz w:val="22"/>
          <w:szCs w:val="22"/>
        </w:rPr>
      </w:pPr>
    </w:p>
    <w:p w:rsidR="00B42215" w:rsidRPr="001F7D3C" w:rsidRDefault="00B42215" w:rsidP="004E4FE4">
      <w:pPr>
        <w:pStyle w:val="ListParagraph"/>
        <w:keepNext/>
        <w:jc w:val="both"/>
        <w:rPr>
          <w:rFonts w:ascii="Arial" w:hAnsi="Arial"/>
          <w:sz w:val="22"/>
          <w:szCs w:val="22"/>
        </w:rPr>
      </w:pPr>
      <w:r w:rsidRPr="001F7D3C">
        <w:rPr>
          <w:rStyle w:val="CommentReference"/>
          <w:rFonts w:ascii="Arial Narrow" w:hAnsi="Arial Narrow"/>
          <w:b/>
          <w:sz w:val="20"/>
          <w:szCs w:val="20"/>
        </w:rPr>
        <w:t xml:space="preserve">Table </w:t>
      </w:r>
      <w:r w:rsidR="00CD27BF">
        <w:rPr>
          <w:rStyle w:val="CommentReference"/>
          <w:rFonts w:ascii="Arial Narrow" w:hAnsi="Arial Narrow"/>
          <w:b/>
          <w:sz w:val="20"/>
          <w:szCs w:val="20"/>
        </w:rPr>
        <w:t>4</w:t>
      </w:r>
      <w:r w:rsidRPr="001F7D3C">
        <w:rPr>
          <w:rStyle w:val="CommentReference"/>
          <w:rFonts w:ascii="Arial Narrow" w:hAnsi="Arial Narrow"/>
          <w:b/>
          <w:sz w:val="20"/>
          <w:szCs w:val="20"/>
        </w:rPr>
        <w:t>: Results of economic evaluation</w:t>
      </w:r>
    </w:p>
    <w:tbl>
      <w:tblPr>
        <w:tblW w:w="464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9"/>
        <w:gridCol w:w="2126"/>
        <w:gridCol w:w="1908"/>
        <w:gridCol w:w="1274"/>
        <w:gridCol w:w="1561"/>
      </w:tblGrid>
      <w:tr w:rsidR="003673A2" w:rsidRPr="001F7D3C" w:rsidTr="003673A2">
        <w:trPr>
          <w:trHeight w:val="20"/>
          <w:tblHeader/>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B42215">
            <w:pPr>
              <w:rPr>
                <w:rFonts w:ascii="Arial Narrow" w:hAnsi="Arial Narrow"/>
                <w:color w:val="000000"/>
                <w:sz w:val="20"/>
                <w:szCs w:val="20"/>
              </w:rPr>
            </w:pPr>
            <w:r w:rsidRPr="001F7D3C">
              <w:rPr>
                <w:rFonts w:ascii="Arial Narrow" w:hAnsi="Arial Narrow"/>
                <w:color w:val="000000"/>
                <w:sz w:val="20"/>
                <w:szCs w:val="20"/>
              </w:rPr>
              <w:t> </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B42215">
            <w:pPr>
              <w:jc w:val="center"/>
              <w:rPr>
                <w:rFonts w:ascii="Arial Narrow" w:hAnsi="Arial Narrow"/>
                <w:b/>
                <w:iCs/>
                <w:color w:val="000000"/>
                <w:sz w:val="20"/>
                <w:szCs w:val="20"/>
              </w:rPr>
            </w:pPr>
            <w:r w:rsidRPr="001F7D3C">
              <w:rPr>
                <w:rFonts w:ascii="Arial Narrow" w:hAnsi="Arial Narrow"/>
                <w:b/>
                <w:iCs/>
                <w:color w:val="000000"/>
                <w:sz w:val="20"/>
                <w:szCs w:val="20"/>
              </w:rPr>
              <w:t>Incremental costs versus no vaccination, $</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B42215">
            <w:pPr>
              <w:jc w:val="center"/>
              <w:rPr>
                <w:rFonts w:ascii="Arial Narrow" w:hAnsi="Arial Narrow"/>
                <w:b/>
                <w:iCs/>
                <w:color w:val="000000"/>
                <w:sz w:val="20"/>
                <w:szCs w:val="20"/>
              </w:rPr>
            </w:pPr>
            <w:r w:rsidRPr="001F7D3C">
              <w:rPr>
                <w:rFonts w:ascii="Arial Narrow" w:hAnsi="Arial Narrow"/>
                <w:b/>
                <w:iCs/>
                <w:color w:val="000000"/>
                <w:sz w:val="20"/>
                <w:szCs w:val="20"/>
              </w:rPr>
              <w:t>Incremental outcome versus no vaccination</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E2232B">
            <w:pPr>
              <w:jc w:val="center"/>
              <w:rPr>
                <w:rFonts w:ascii="Arial Narrow" w:hAnsi="Arial Narrow"/>
                <w:b/>
                <w:iCs/>
                <w:color w:val="000000"/>
                <w:sz w:val="20"/>
                <w:szCs w:val="20"/>
              </w:rPr>
            </w:pPr>
            <w:r w:rsidRPr="001F7D3C">
              <w:rPr>
                <w:rFonts w:ascii="Arial Narrow" w:hAnsi="Arial Narrow"/>
                <w:b/>
                <w:iCs/>
                <w:color w:val="000000"/>
                <w:sz w:val="20"/>
                <w:szCs w:val="20"/>
              </w:rPr>
              <w:t>ICER versus no vaccination</w:t>
            </w:r>
          </w:p>
        </w:tc>
        <w:tc>
          <w:tcPr>
            <w:tcW w:w="926" w:type="pct"/>
            <w:tcBorders>
              <w:top w:val="single" w:sz="4" w:space="0" w:color="auto"/>
              <w:left w:val="single" w:sz="4" w:space="0" w:color="auto"/>
              <w:bottom w:val="single" w:sz="4" w:space="0" w:color="auto"/>
              <w:right w:val="single" w:sz="4" w:space="0" w:color="auto"/>
            </w:tcBorders>
          </w:tcPr>
          <w:p w:rsidR="003673A2" w:rsidRPr="001F7D3C" w:rsidRDefault="00C45926" w:rsidP="0031083F">
            <w:pPr>
              <w:jc w:val="center"/>
              <w:rPr>
                <w:rFonts w:ascii="Arial Narrow" w:hAnsi="Arial Narrow"/>
                <w:b/>
                <w:i/>
                <w:iCs/>
                <w:color w:val="000000"/>
                <w:sz w:val="20"/>
                <w:szCs w:val="20"/>
              </w:rPr>
            </w:pPr>
            <w:r w:rsidRPr="001F7D3C">
              <w:rPr>
                <w:rFonts w:ascii="Arial Narrow" w:hAnsi="Arial Narrow"/>
                <w:b/>
                <w:i/>
                <w:iCs/>
                <w:color w:val="000000"/>
                <w:sz w:val="20"/>
                <w:szCs w:val="20"/>
              </w:rPr>
              <w:t>ICER versus no vaccination u</w:t>
            </w:r>
            <w:r w:rsidR="003673A2" w:rsidRPr="001F7D3C">
              <w:rPr>
                <w:rFonts w:ascii="Arial Narrow" w:hAnsi="Arial Narrow"/>
                <w:b/>
                <w:i/>
                <w:iCs/>
                <w:color w:val="000000"/>
                <w:sz w:val="20"/>
                <w:szCs w:val="20"/>
              </w:rPr>
              <w:t xml:space="preserve">sing </w:t>
            </w:r>
            <w:r w:rsidR="0031083F" w:rsidRPr="001F7D3C">
              <w:rPr>
                <w:rFonts w:ascii="Arial Narrow" w:hAnsi="Arial Narrow"/>
                <w:b/>
                <w:i/>
                <w:iCs/>
                <w:color w:val="000000"/>
                <w:sz w:val="20"/>
                <w:szCs w:val="20"/>
              </w:rPr>
              <w:t xml:space="preserve">July 2014 </w:t>
            </w:r>
            <w:r w:rsidR="003673A2" w:rsidRPr="001F7D3C">
              <w:rPr>
                <w:rFonts w:ascii="Arial Narrow" w:hAnsi="Arial Narrow"/>
                <w:b/>
                <w:i/>
                <w:iCs/>
                <w:color w:val="000000"/>
                <w:sz w:val="20"/>
                <w:szCs w:val="20"/>
              </w:rPr>
              <w:t xml:space="preserve"> model</w:t>
            </w:r>
          </w:p>
        </w:tc>
      </w:tr>
      <w:tr w:rsidR="003673A2" w:rsidRPr="001F7D3C" w:rsidTr="004D6F3D">
        <w:trPr>
          <w:trHeight w:val="77"/>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b/>
                <w:iCs/>
                <w:color w:val="000000"/>
                <w:sz w:val="20"/>
                <w:szCs w:val="20"/>
              </w:rPr>
            </w:pPr>
            <w:r w:rsidRPr="001F7D3C">
              <w:rPr>
                <w:rFonts w:ascii="Arial Narrow" w:hAnsi="Arial Narrow"/>
                <w:b/>
                <w:iCs/>
                <w:color w:val="000000"/>
                <w:sz w:val="20"/>
                <w:szCs w:val="20"/>
              </w:rPr>
              <w:t>Program #1</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Cases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Deaths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Life years gained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QALYG</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C45926" w:rsidP="00B42215">
            <w:pPr>
              <w:jc w:val="center"/>
              <w:rPr>
                <w:rFonts w:ascii="Arial Narrow" w:hAnsi="Arial Narrow"/>
                <w:i/>
                <w:color w:val="000000"/>
                <w:sz w:val="20"/>
                <w:szCs w:val="20"/>
              </w:rPr>
            </w:pPr>
            <w:r w:rsidRPr="00422CAD">
              <w:rPr>
                <w:rFonts w:ascii="Arial Narrow" w:hAnsi="Arial Narrow"/>
                <w:i/>
                <w:color w:val="000000"/>
                <w:sz w:val="20"/>
                <w:szCs w:val="20"/>
              </w:rPr>
              <w:t>$</w:t>
            </w:r>
            <w:r w:rsidR="00676FE1">
              <w:rPr>
                <w:rFonts w:ascii="Arial Narrow" w:hAnsi="Arial Narrow"/>
                <w:i/>
                <w:noProof/>
                <w:color w:val="000000"/>
                <w:sz w:val="20"/>
                <w:szCs w:val="20"/>
                <w:highlight w:val="black"/>
              </w:rPr>
              <w:t>''''''''''''''''''''</w:t>
            </w: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b/>
                <w:iCs/>
                <w:color w:val="000000"/>
                <w:sz w:val="20"/>
                <w:szCs w:val="20"/>
              </w:rPr>
            </w:pPr>
            <w:r w:rsidRPr="001F7D3C">
              <w:rPr>
                <w:rFonts w:ascii="Arial Narrow" w:hAnsi="Arial Narrow"/>
                <w:b/>
                <w:iCs/>
                <w:color w:val="000000"/>
                <w:sz w:val="20"/>
                <w:szCs w:val="20"/>
              </w:rPr>
              <w:t>Program #2</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A3482" w:rsidRDefault="003673A2" w:rsidP="00B42215">
            <w:pPr>
              <w:jc w:val="center"/>
              <w:rPr>
                <w:rFonts w:ascii="Arial Narrow" w:hAnsi="Arial Narrow"/>
                <w:color w:val="000000"/>
                <w:sz w:val="20"/>
                <w:szCs w:val="20"/>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Cases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Deaths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Life years gained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QALYG</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06055F" w:rsidP="00B42215">
            <w:pPr>
              <w:jc w:val="center"/>
              <w:rPr>
                <w:rFonts w:ascii="Arial Narrow" w:hAnsi="Arial Narrow"/>
                <w:i/>
                <w:color w:val="000000"/>
                <w:sz w:val="20"/>
                <w:szCs w:val="20"/>
              </w:rPr>
            </w:pPr>
            <w:r w:rsidRPr="00422CAD">
              <w:rPr>
                <w:rFonts w:ascii="Arial Narrow" w:hAnsi="Arial Narrow"/>
                <w:i/>
                <w:color w:val="000000"/>
                <w:sz w:val="20"/>
                <w:szCs w:val="20"/>
              </w:rPr>
              <w:t>$</w:t>
            </w:r>
            <w:r w:rsidR="00676FE1">
              <w:rPr>
                <w:rFonts w:ascii="Arial Narrow" w:hAnsi="Arial Narrow"/>
                <w:i/>
                <w:noProof/>
                <w:color w:val="000000"/>
                <w:sz w:val="20"/>
                <w:szCs w:val="20"/>
                <w:highlight w:val="black"/>
              </w:rPr>
              <w:t>'''''''''''''''''''''</w:t>
            </w: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b/>
                <w:iCs/>
                <w:color w:val="000000"/>
                <w:sz w:val="20"/>
                <w:szCs w:val="20"/>
              </w:rPr>
            </w:pPr>
            <w:r w:rsidRPr="001F7D3C">
              <w:rPr>
                <w:rFonts w:ascii="Arial Narrow" w:hAnsi="Arial Narrow"/>
                <w:b/>
                <w:iCs/>
                <w:color w:val="000000"/>
                <w:sz w:val="20"/>
                <w:szCs w:val="20"/>
              </w:rPr>
              <w:t>Program #3</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A3482" w:rsidRDefault="003673A2" w:rsidP="00B42215">
            <w:pPr>
              <w:jc w:val="center"/>
              <w:rPr>
                <w:rFonts w:ascii="Arial Narrow" w:hAnsi="Arial Narrow"/>
                <w:color w:val="000000"/>
                <w:sz w:val="20"/>
                <w:szCs w:val="20"/>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Cases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Deaths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Life years gained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QALYG</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i/>
                <w:color w:val="000000"/>
                <w:sz w:val="20"/>
                <w:szCs w:val="20"/>
              </w:rPr>
            </w:pPr>
            <w:r w:rsidRPr="00422CAD">
              <w:rPr>
                <w:rFonts w:ascii="Arial Narrow" w:hAnsi="Arial Narrow"/>
                <w:i/>
                <w:color w:val="000000"/>
                <w:sz w:val="20"/>
                <w:szCs w:val="20"/>
              </w:rPr>
              <w:t>$</w:t>
            </w:r>
            <w:r w:rsidR="00676FE1">
              <w:rPr>
                <w:rFonts w:ascii="Arial Narrow" w:hAnsi="Arial Narrow"/>
                <w:i/>
                <w:noProof/>
                <w:color w:val="000000"/>
                <w:sz w:val="20"/>
                <w:szCs w:val="20"/>
                <w:highlight w:val="black"/>
              </w:rPr>
              <w:t>''''''''''''''''</w:t>
            </w: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b/>
                <w:iCs/>
                <w:color w:val="000000"/>
                <w:sz w:val="20"/>
                <w:szCs w:val="20"/>
              </w:rPr>
            </w:pPr>
            <w:r w:rsidRPr="001F7D3C">
              <w:rPr>
                <w:rFonts w:ascii="Arial Narrow" w:hAnsi="Arial Narrow"/>
                <w:b/>
                <w:iCs/>
                <w:color w:val="000000"/>
                <w:sz w:val="20"/>
                <w:szCs w:val="20"/>
              </w:rPr>
              <w:t>Program #4</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A3482" w:rsidRDefault="003673A2" w:rsidP="00B42215">
            <w:pPr>
              <w:jc w:val="center"/>
              <w:rPr>
                <w:rFonts w:ascii="Arial Narrow" w:hAnsi="Arial Narrow"/>
                <w:color w:val="000000"/>
                <w:sz w:val="20"/>
                <w:szCs w:val="20"/>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Cases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Deaths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Life years gained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QALYG</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1F08FA" w:rsidP="00B42215">
            <w:pPr>
              <w:jc w:val="center"/>
              <w:rPr>
                <w:rFonts w:ascii="Arial Narrow" w:hAnsi="Arial Narrow"/>
                <w:i/>
                <w:color w:val="000000"/>
                <w:sz w:val="20"/>
                <w:szCs w:val="20"/>
              </w:rPr>
            </w:pPr>
            <w:r w:rsidRPr="00422CAD">
              <w:rPr>
                <w:rFonts w:ascii="Arial Narrow" w:hAnsi="Arial Narrow"/>
                <w:i/>
                <w:color w:val="000000"/>
                <w:sz w:val="20"/>
                <w:szCs w:val="20"/>
              </w:rPr>
              <w:t>$</w:t>
            </w:r>
            <w:r w:rsidR="00676FE1">
              <w:rPr>
                <w:rFonts w:ascii="Arial Narrow" w:hAnsi="Arial Narrow"/>
                <w:i/>
                <w:noProof/>
                <w:color w:val="000000"/>
                <w:sz w:val="20"/>
                <w:szCs w:val="20"/>
                <w:highlight w:val="black"/>
              </w:rPr>
              <w:t>'''''''''''''''</w:t>
            </w: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b/>
                <w:iCs/>
                <w:color w:val="000000"/>
                <w:sz w:val="20"/>
                <w:szCs w:val="20"/>
              </w:rPr>
            </w:pPr>
            <w:r w:rsidRPr="001F7D3C">
              <w:rPr>
                <w:rFonts w:ascii="Arial Narrow" w:hAnsi="Arial Narrow"/>
                <w:b/>
                <w:iCs/>
                <w:color w:val="000000"/>
                <w:sz w:val="20"/>
                <w:szCs w:val="20"/>
              </w:rPr>
              <w:t>Program #5</w:t>
            </w:r>
            <w:r w:rsidR="00362C1B" w:rsidRPr="001F7D3C">
              <w:rPr>
                <w:rFonts w:ascii="Arial Narrow" w:hAnsi="Arial Narrow"/>
                <w:b/>
                <w:iCs/>
                <w:color w:val="000000"/>
                <w:sz w:val="20"/>
                <w:szCs w:val="20"/>
              </w:rPr>
              <w:t xml:space="preserve"> (preferred) </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A3482" w:rsidRDefault="003673A2" w:rsidP="00B42215">
            <w:pPr>
              <w:jc w:val="center"/>
              <w:rPr>
                <w:rFonts w:ascii="Arial Narrow" w:hAnsi="Arial Narrow"/>
                <w:color w:val="000000"/>
                <w:sz w:val="20"/>
                <w:szCs w:val="20"/>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Cases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Deaths averted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Life years gained</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3673A2" w:rsidP="00B42215">
            <w:pPr>
              <w:jc w:val="center"/>
              <w:rPr>
                <w:rFonts w:ascii="Arial Narrow" w:hAnsi="Arial Narrow"/>
                <w:color w:val="000000"/>
                <w:sz w:val="20"/>
                <w:szCs w:val="20"/>
              </w:rPr>
            </w:pPr>
          </w:p>
        </w:tc>
      </w:tr>
      <w:tr w:rsidR="003673A2" w:rsidRPr="001F7D3C" w:rsidTr="004D6F3D">
        <w:trPr>
          <w:trHeight w:val="20"/>
        </w:trPr>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1F7D3C" w:rsidRDefault="003673A2" w:rsidP="005D0BDA">
            <w:pPr>
              <w:rPr>
                <w:rFonts w:ascii="Arial Narrow" w:hAnsi="Arial Narrow"/>
                <w:color w:val="000000"/>
                <w:sz w:val="20"/>
                <w:szCs w:val="20"/>
              </w:rPr>
            </w:pPr>
            <w:r w:rsidRPr="001F7D3C">
              <w:rPr>
                <w:rFonts w:ascii="Arial Narrow" w:hAnsi="Arial Narrow"/>
                <w:color w:val="000000"/>
                <w:sz w:val="20"/>
                <w:szCs w:val="20"/>
              </w:rPr>
              <w:t>QALYG</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676FE1" w:rsidRDefault="00676FE1" w:rsidP="00B42215">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3673A2" w:rsidRPr="00422CAD" w:rsidRDefault="003673A2" w:rsidP="00B42215">
            <w:pPr>
              <w:jc w:val="center"/>
              <w:rPr>
                <w:rFonts w:ascii="Arial Narrow" w:hAnsi="Arial Narrow"/>
                <w:color w:val="000000"/>
                <w:sz w:val="20"/>
                <w:szCs w:val="20"/>
              </w:rPr>
            </w:pPr>
            <w:r w:rsidRPr="00422CAD">
              <w:rPr>
                <w:rFonts w:ascii="Arial Narrow" w:hAnsi="Arial Narrow"/>
                <w:color w:val="000000"/>
                <w:sz w:val="20"/>
                <w:szCs w:val="20"/>
              </w:rPr>
              <w:t>$</w:t>
            </w:r>
            <w:r w:rsidR="00676FE1">
              <w:rPr>
                <w:rFonts w:ascii="Arial Narrow" w:hAnsi="Arial Narrow"/>
                <w:noProof/>
                <w:color w:val="000000"/>
                <w:sz w:val="20"/>
                <w:szCs w:val="20"/>
                <w:highlight w:val="black"/>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3673A2" w:rsidRPr="00422CAD" w:rsidRDefault="00B86FDF" w:rsidP="00B86FDF">
            <w:pPr>
              <w:jc w:val="center"/>
              <w:rPr>
                <w:rFonts w:ascii="Arial Narrow" w:hAnsi="Arial Narrow"/>
                <w:i/>
                <w:color w:val="000000"/>
                <w:sz w:val="20"/>
                <w:szCs w:val="20"/>
              </w:rPr>
            </w:pPr>
            <w:r w:rsidRPr="00422CAD">
              <w:rPr>
                <w:rFonts w:ascii="Arial Narrow" w:hAnsi="Arial Narrow"/>
                <w:i/>
                <w:color w:val="000000"/>
                <w:sz w:val="20"/>
                <w:szCs w:val="20"/>
              </w:rPr>
              <w:t>$</w:t>
            </w:r>
            <w:r w:rsidR="00676FE1">
              <w:rPr>
                <w:rFonts w:ascii="Arial Narrow" w:hAnsi="Arial Narrow"/>
                <w:i/>
                <w:noProof/>
                <w:color w:val="000000"/>
                <w:sz w:val="20"/>
                <w:szCs w:val="20"/>
                <w:highlight w:val="black"/>
              </w:rPr>
              <w:t>''''''''''''''''''</w:t>
            </w:r>
          </w:p>
        </w:tc>
      </w:tr>
    </w:tbl>
    <w:p w:rsidR="00B42215" w:rsidRPr="001F7D3C" w:rsidRDefault="00B42215" w:rsidP="00B42215">
      <w:pPr>
        <w:pStyle w:val="ListParagraph"/>
        <w:jc w:val="both"/>
        <w:rPr>
          <w:rFonts w:ascii="Arial Narrow" w:hAnsi="Arial Narrow"/>
          <w:bCs/>
          <w:sz w:val="18"/>
          <w:szCs w:val="18"/>
        </w:rPr>
      </w:pPr>
      <w:r w:rsidRPr="001F7D3C">
        <w:rPr>
          <w:rFonts w:ascii="Arial Narrow" w:hAnsi="Arial Narrow"/>
          <w:bCs/>
          <w:sz w:val="18"/>
          <w:szCs w:val="18"/>
        </w:rPr>
        <w:t>ICER, incremental cost-effectiveness ratio;</w:t>
      </w:r>
      <w:r w:rsidRPr="001F7D3C">
        <w:rPr>
          <w:rFonts w:ascii="Arial Narrow" w:hAnsi="Arial Narrow"/>
          <w:bCs/>
          <w:sz w:val="18"/>
          <w:szCs w:val="18"/>
          <w:lang w:eastAsia="ja-JP"/>
        </w:rPr>
        <w:t xml:space="preserve"> </w:t>
      </w:r>
      <w:r w:rsidRPr="001F7D3C">
        <w:rPr>
          <w:rFonts w:ascii="Arial Narrow" w:hAnsi="Arial Narrow"/>
          <w:bCs/>
          <w:sz w:val="18"/>
          <w:szCs w:val="18"/>
        </w:rPr>
        <w:t>QALYG, quality adjusted life years gained</w:t>
      </w:r>
    </w:p>
    <w:p w:rsidR="00E2232B" w:rsidRPr="001F7D3C" w:rsidRDefault="00E2232B" w:rsidP="00B42215">
      <w:pPr>
        <w:pStyle w:val="ListParagraph"/>
        <w:jc w:val="both"/>
        <w:rPr>
          <w:rFonts w:ascii="Arial Narrow" w:hAnsi="Arial Narrow"/>
          <w:bCs/>
          <w:sz w:val="18"/>
          <w:szCs w:val="18"/>
        </w:rPr>
      </w:pPr>
      <w:r w:rsidRPr="001F7D3C">
        <w:rPr>
          <w:rFonts w:ascii="Arial Narrow" w:hAnsi="Arial Narrow"/>
          <w:bCs/>
          <w:sz w:val="18"/>
          <w:szCs w:val="18"/>
        </w:rPr>
        <w:t xml:space="preserve">Source: Table 9.6, p31 of the </w:t>
      </w:r>
      <w:r w:rsidR="00994D45" w:rsidRPr="001F7D3C">
        <w:rPr>
          <w:rFonts w:ascii="Arial Narrow" w:hAnsi="Arial Narrow"/>
          <w:bCs/>
          <w:sz w:val="18"/>
          <w:szCs w:val="18"/>
        </w:rPr>
        <w:t xml:space="preserve">minor </w:t>
      </w:r>
      <w:r w:rsidRPr="001F7D3C">
        <w:rPr>
          <w:rFonts w:ascii="Arial Narrow" w:hAnsi="Arial Narrow"/>
          <w:bCs/>
          <w:sz w:val="18"/>
          <w:szCs w:val="18"/>
        </w:rPr>
        <w:t>re-submission.</w:t>
      </w:r>
    </w:p>
    <w:p w:rsidR="00B42215" w:rsidRPr="001F7D3C" w:rsidRDefault="00B42215" w:rsidP="005217C1">
      <w:pPr>
        <w:jc w:val="both"/>
        <w:rPr>
          <w:rFonts w:ascii="Arial" w:hAnsi="Arial"/>
          <w:sz w:val="22"/>
          <w:szCs w:val="22"/>
        </w:rPr>
      </w:pPr>
    </w:p>
    <w:p w:rsidR="00D52DFF" w:rsidRPr="001F7D3C" w:rsidRDefault="00C83116" w:rsidP="00E547C6">
      <w:pPr>
        <w:pStyle w:val="ListParagraph"/>
        <w:numPr>
          <w:ilvl w:val="1"/>
          <w:numId w:val="2"/>
        </w:numPr>
        <w:jc w:val="both"/>
        <w:rPr>
          <w:rFonts w:ascii="Arial" w:hAnsi="Arial"/>
          <w:sz w:val="22"/>
          <w:szCs w:val="22"/>
        </w:rPr>
      </w:pPr>
      <w:r w:rsidRPr="001F7D3C">
        <w:rPr>
          <w:rFonts w:ascii="Arial" w:hAnsi="Arial"/>
          <w:sz w:val="22"/>
          <w:szCs w:val="22"/>
        </w:rPr>
        <w:t>The</w:t>
      </w:r>
      <w:r w:rsidR="00994D45" w:rsidRPr="001F7D3C">
        <w:rPr>
          <w:rFonts w:ascii="Arial" w:hAnsi="Arial"/>
          <w:sz w:val="22"/>
          <w:szCs w:val="22"/>
        </w:rPr>
        <w:t xml:space="preserve"> minor</w:t>
      </w:r>
      <w:r w:rsidRPr="001F7D3C">
        <w:rPr>
          <w:rFonts w:ascii="Arial" w:hAnsi="Arial"/>
          <w:sz w:val="22"/>
          <w:szCs w:val="22"/>
        </w:rPr>
        <w:t xml:space="preserve"> re-submissi</w:t>
      </w:r>
      <w:r w:rsidR="006F5DF1" w:rsidRPr="001F7D3C">
        <w:rPr>
          <w:rFonts w:ascii="Arial" w:hAnsi="Arial"/>
          <w:sz w:val="22"/>
          <w:szCs w:val="22"/>
        </w:rPr>
        <w:t>on presented sensitivity analyse</w:t>
      </w:r>
      <w:r w:rsidRPr="001F7D3C">
        <w:rPr>
          <w:rFonts w:ascii="Arial" w:hAnsi="Arial"/>
          <w:sz w:val="22"/>
          <w:szCs w:val="22"/>
        </w:rPr>
        <w:t>s of the results to the discount rate and assumed herd effect</w:t>
      </w:r>
      <w:r w:rsidR="00E547C6" w:rsidRPr="001F7D3C">
        <w:rPr>
          <w:rFonts w:ascii="Arial" w:hAnsi="Arial"/>
          <w:sz w:val="22"/>
          <w:szCs w:val="22"/>
        </w:rPr>
        <w:t xml:space="preserve"> (i.e. vaccine impact on nasopharyngeal carriage of meningococci)</w:t>
      </w:r>
      <w:r w:rsidRPr="001F7D3C">
        <w:rPr>
          <w:rFonts w:ascii="Arial" w:hAnsi="Arial"/>
          <w:sz w:val="22"/>
          <w:szCs w:val="22"/>
        </w:rPr>
        <w:t>.</w:t>
      </w:r>
    </w:p>
    <w:p w:rsidR="00C83116" w:rsidRPr="001F7D3C" w:rsidRDefault="00C83116" w:rsidP="00C83116">
      <w:pPr>
        <w:rPr>
          <w:rFonts w:ascii="Arial" w:hAnsi="Arial"/>
          <w:sz w:val="22"/>
          <w:szCs w:val="22"/>
        </w:rPr>
      </w:pPr>
    </w:p>
    <w:p w:rsidR="00C83116" w:rsidRPr="001F7D3C" w:rsidRDefault="00C83116" w:rsidP="00E547C6">
      <w:pPr>
        <w:pStyle w:val="ListParagraph"/>
        <w:keepNext/>
        <w:jc w:val="both"/>
        <w:rPr>
          <w:rStyle w:val="CommentReference"/>
          <w:rFonts w:ascii="Arial Narrow" w:hAnsi="Arial Narrow"/>
          <w:b/>
          <w:sz w:val="20"/>
          <w:szCs w:val="20"/>
        </w:rPr>
      </w:pPr>
      <w:bookmarkStart w:id="4" w:name="_Ref417472803"/>
      <w:r w:rsidRPr="001F7D3C">
        <w:rPr>
          <w:rStyle w:val="CommentReference"/>
          <w:rFonts w:ascii="Arial Narrow" w:hAnsi="Arial Narrow"/>
          <w:b/>
          <w:sz w:val="20"/>
          <w:szCs w:val="20"/>
        </w:rPr>
        <w:t xml:space="preserve">Table </w:t>
      </w:r>
      <w:bookmarkEnd w:id="4"/>
      <w:r w:rsidR="00CD27BF">
        <w:rPr>
          <w:rStyle w:val="CommentReference"/>
          <w:rFonts w:ascii="Arial Narrow" w:hAnsi="Arial Narrow"/>
          <w:b/>
          <w:sz w:val="20"/>
          <w:szCs w:val="20"/>
        </w:rPr>
        <w:t>5</w:t>
      </w:r>
      <w:r w:rsidR="006F5DF1" w:rsidRPr="001F7D3C">
        <w:rPr>
          <w:rStyle w:val="CommentReference"/>
          <w:rFonts w:ascii="Arial Narrow" w:hAnsi="Arial Narrow"/>
          <w:b/>
          <w:sz w:val="20"/>
          <w:szCs w:val="20"/>
        </w:rPr>
        <w:t>: Sensitivity analyse</w:t>
      </w:r>
      <w:r w:rsidRPr="001F7D3C">
        <w:rPr>
          <w:rStyle w:val="CommentReference"/>
          <w:rFonts w:ascii="Arial Narrow" w:hAnsi="Arial Narrow"/>
          <w:b/>
          <w:sz w:val="20"/>
          <w:szCs w:val="20"/>
        </w:rPr>
        <w:t>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392"/>
        <w:gridCol w:w="3971"/>
      </w:tblGrid>
      <w:tr w:rsidR="00C83116" w:rsidRPr="001F7D3C" w:rsidTr="004501AC">
        <w:trPr>
          <w:trHeight w:val="20"/>
          <w:tblHeader/>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E547C6">
            <w:pPr>
              <w:keepNext/>
              <w:jc w:val="center"/>
              <w:rPr>
                <w:rFonts w:ascii="Arial Narrow" w:hAnsi="Arial Narrow"/>
                <w:b/>
                <w:iCs/>
                <w:color w:val="000000"/>
                <w:sz w:val="20"/>
                <w:szCs w:val="20"/>
              </w:rPr>
            </w:pP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E547C6">
            <w:pPr>
              <w:keepNext/>
              <w:jc w:val="center"/>
              <w:rPr>
                <w:rFonts w:ascii="Arial Narrow" w:hAnsi="Arial Narrow"/>
                <w:b/>
                <w:iCs/>
                <w:color w:val="000000"/>
                <w:sz w:val="20"/>
                <w:szCs w:val="20"/>
              </w:rPr>
            </w:pPr>
            <w:r w:rsidRPr="001F7D3C">
              <w:rPr>
                <w:rFonts w:ascii="Arial Narrow" w:hAnsi="Arial Narrow"/>
                <w:b/>
                <w:iCs/>
                <w:color w:val="000000"/>
                <w:sz w:val="20"/>
                <w:szCs w:val="20"/>
              </w:rPr>
              <w:t>ICER</w:t>
            </w:r>
            <w:r w:rsidR="00E2232B" w:rsidRPr="001F7D3C">
              <w:rPr>
                <w:rFonts w:ascii="Arial Narrow" w:hAnsi="Arial Narrow"/>
                <w:b/>
                <w:iCs/>
                <w:color w:val="000000"/>
                <w:sz w:val="20"/>
                <w:szCs w:val="20"/>
              </w:rPr>
              <w:t xml:space="preserve"> versus no vaccination</w:t>
            </w:r>
            <w:r w:rsidRPr="001F7D3C">
              <w:rPr>
                <w:rFonts w:ascii="Arial Narrow" w:hAnsi="Arial Narrow"/>
                <w:b/>
                <w:iCs/>
                <w:color w:val="000000"/>
                <w:sz w:val="20"/>
                <w:szCs w:val="20"/>
              </w:rPr>
              <w:t xml:space="preserve"> (Cost per QALYG)</w:t>
            </w:r>
          </w:p>
        </w:tc>
      </w:tr>
      <w:tr w:rsidR="00C83116" w:rsidRPr="001F7D3C" w:rsidTr="00E2232B">
        <w:trPr>
          <w:trHeight w:val="77"/>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b/>
                <w:iCs/>
                <w:color w:val="000000"/>
                <w:sz w:val="20"/>
                <w:szCs w:val="20"/>
              </w:rPr>
            </w:pPr>
            <w:r w:rsidRPr="001F7D3C">
              <w:rPr>
                <w:rFonts w:ascii="Arial Narrow" w:hAnsi="Arial Narrow"/>
                <w:b/>
                <w:iCs/>
                <w:color w:val="000000"/>
                <w:sz w:val="20"/>
                <w:szCs w:val="20"/>
              </w:rPr>
              <w:t>Discounting (</w:t>
            </w:r>
            <w:r w:rsidR="00E2232B" w:rsidRPr="001F7D3C">
              <w:rPr>
                <w:rFonts w:ascii="Arial Narrow" w:hAnsi="Arial Narrow"/>
                <w:b/>
                <w:iCs/>
                <w:color w:val="000000"/>
                <w:sz w:val="20"/>
                <w:szCs w:val="20"/>
              </w:rPr>
              <w:t xml:space="preserve">0%/0% - </w:t>
            </w:r>
            <w:r w:rsidRPr="001F7D3C">
              <w:rPr>
                <w:rFonts w:ascii="Arial Narrow" w:hAnsi="Arial Narrow"/>
                <w:b/>
                <w:iCs/>
                <w:color w:val="000000"/>
                <w:sz w:val="20"/>
                <w:szCs w:val="20"/>
              </w:rPr>
              <w:t>5%/5%costs/outcomes)</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b/>
                <w:iCs/>
                <w:color w:val="000000"/>
                <w:sz w:val="20"/>
                <w:szCs w:val="20"/>
              </w:rPr>
            </w:pP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1</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2</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3</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4</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5</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502446" w:rsidP="00C83116">
            <w:pPr>
              <w:rPr>
                <w:rFonts w:ascii="Arial Narrow" w:hAnsi="Arial Narrow"/>
                <w:b/>
                <w:iCs/>
                <w:color w:val="000000"/>
                <w:sz w:val="20"/>
                <w:szCs w:val="20"/>
              </w:rPr>
            </w:pPr>
            <w:r w:rsidRPr="001F7D3C">
              <w:rPr>
                <w:rFonts w:ascii="Arial Narrow" w:hAnsi="Arial Narrow"/>
                <w:b/>
                <w:iCs/>
                <w:color w:val="000000"/>
                <w:sz w:val="20"/>
                <w:szCs w:val="20"/>
              </w:rPr>
              <w:t>Herd Effect</w:t>
            </w:r>
            <w:r w:rsidR="00E547C6" w:rsidRPr="001F7D3C">
              <w:rPr>
                <w:rFonts w:ascii="Arial Narrow" w:hAnsi="Arial Narrow"/>
                <w:b/>
                <w:iCs/>
                <w:color w:val="000000"/>
                <w:sz w:val="20"/>
                <w:szCs w:val="20"/>
              </w:rPr>
              <w:t xml:space="preserve"> </w:t>
            </w:r>
            <w:r w:rsidR="00E547C6" w:rsidRPr="001F7D3C">
              <w:rPr>
                <w:rFonts w:ascii="Arial Narrow" w:hAnsi="Arial Narrow"/>
                <w:b/>
                <w:iCs/>
                <w:color w:val="000000"/>
                <w:sz w:val="20"/>
                <w:szCs w:val="20"/>
                <w:vertAlign w:val="superscript"/>
              </w:rPr>
              <w:t>a</w:t>
            </w:r>
            <w:r w:rsidRPr="001F7D3C">
              <w:rPr>
                <w:rFonts w:ascii="Arial Narrow" w:hAnsi="Arial Narrow"/>
                <w:b/>
                <w:iCs/>
                <w:color w:val="000000"/>
                <w:sz w:val="20"/>
                <w:szCs w:val="20"/>
              </w:rPr>
              <w:t xml:space="preserve"> (0 - </w:t>
            </w:r>
            <w:r w:rsidR="00C83116" w:rsidRPr="001F7D3C">
              <w:rPr>
                <w:rFonts w:ascii="Arial Narrow" w:hAnsi="Arial Narrow"/>
                <w:b/>
                <w:iCs/>
                <w:color w:val="000000"/>
                <w:sz w:val="20"/>
                <w:szCs w:val="20"/>
              </w:rPr>
              <w:t>67% herd)</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b/>
                <w:iCs/>
                <w:color w:val="000000"/>
                <w:sz w:val="20"/>
                <w:szCs w:val="20"/>
              </w:rPr>
            </w:pP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1</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2</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3</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4</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C83116" w:rsidRPr="001F7D3C" w:rsidTr="00E2232B">
        <w:trPr>
          <w:trHeight w:val="20"/>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1F7D3C" w:rsidRDefault="00C83116" w:rsidP="00C83116">
            <w:pPr>
              <w:rPr>
                <w:rFonts w:ascii="Arial Narrow" w:hAnsi="Arial Narrow"/>
                <w:iCs/>
                <w:color w:val="000000"/>
                <w:sz w:val="20"/>
                <w:szCs w:val="20"/>
              </w:rPr>
            </w:pPr>
            <w:r w:rsidRPr="001F7D3C">
              <w:rPr>
                <w:rFonts w:ascii="Arial Narrow" w:hAnsi="Arial Narrow"/>
                <w:iCs/>
                <w:color w:val="000000"/>
                <w:sz w:val="20"/>
                <w:szCs w:val="20"/>
              </w:rPr>
              <w:t>Program 5</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C83116" w:rsidRPr="00A82592" w:rsidRDefault="00C83116" w:rsidP="00E2232B">
            <w:pPr>
              <w:jc w:val="center"/>
              <w:rPr>
                <w:rFonts w:ascii="Arial Narrow" w:hAnsi="Arial Narrow"/>
                <w:iCs/>
                <w:color w:val="000000"/>
                <w:sz w:val="20"/>
                <w:szCs w:val="20"/>
              </w:rPr>
            </w:pP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r w:rsidRPr="00A82592">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bl>
    <w:p w:rsidR="00E547C6" w:rsidRPr="001F7D3C" w:rsidRDefault="00E547C6" w:rsidP="00C83116">
      <w:pPr>
        <w:pStyle w:val="ListParagraph"/>
        <w:jc w:val="both"/>
        <w:rPr>
          <w:rFonts w:ascii="Arial Narrow" w:hAnsi="Arial Narrow"/>
          <w:bCs/>
          <w:sz w:val="18"/>
          <w:szCs w:val="18"/>
        </w:rPr>
      </w:pPr>
      <w:r w:rsidRPr="001F7D3C">
        <w:rPr>
          <w:rFonts w:ascii="Arial Narrow" w:hAnsi="Arial Narrow"/>
          <w:bCs/>
          <w:sz w:val="18"/>
          <w:szCs w:val="18"/>
        </w:rPr>
        <w:t>a vaccine impact on nasopharyngeal carriage of meningococci</w:t>
      </w:r>
    </w:p>
    <w:p w:rsidR="00C83116" w:rsidRPr="001F7D3C" w:rsidRDefault="00C83116" w:rsidP="00C83116">
      <w:pPr>
        <w:pStyle w:val="ListParagraph"/>
        <w:jc w:val="both"/>
        <w:rPr>
          <w:rFonts w:ascii="Arial Narrow" w:hAnsi="Arial Narrow"/>
          <w:bCs/>
          <w:sz w:val="18"/>
          <w:szCs w:val="18"/>
        </w:rPr>
      </w:pPr>
      <w:r w:rsidRPr="001F7D3C">
        <w:rPr>
          <w:rFonts w:ascii="Arial Narrow" w:hAnsi="Arial Narrow"/>
          <w:bCs/>
          <w:sz w:val="18"/>
          <w:szCs w:val="18"/>
        </w:rPr>
        <w:t>ICER, incremental cost-effectiveness ratio; QALYG, quality adjusted life years gained</w:t>
      </w:r>
    </w:p>
    <w:p w:rsidR="00E2232B" w:rsidRPr="001F7D3C" w:rsidRDefault="00E2232B" w:rsidP="00E2232B">
      <w:pPr>
        <w:pStyle w:val="ListParagraph"/>
        <w:jc w:val="both"/>
        <w:rPr>
          <w:rFonts w:ascii="Arial Narrow" w:hAnsi="Arial Narrow"/>
          <w:bCs/>
          <w:sz w:val="18"/>
          <w:szCs w:val="18"/>
        </w:rPr>
      </w:pPr>
      <w:r w:rsidRPr="001F7D3C">
        <w:rPr>
          <w:rFonts w:ascii="Arial Narrow" w:hAnsi="Arial Narrow"/>
          <w:bCs/>
          <w:sz w:val="18"/>
          <w:szCs w:val="18"/>
        </w:rPr>
        <w:t xml:space="preserve">Source: Table 9.7, p32 of the </w:t>
      </w:r>
      <w:r w:rsidR="00994D45" w:rsidRPr="001F7D3C">
        <w:rPr>
          <w:rFonts w:ascii="Arial Narrow" w:hAnsi="Arial Narrow"/>
          <w:bCs/>
          <w:sz w:val="18"/>
          <w:szCs w:val="18"/>
        </w:rPr>
        <w:t xml:space="preserve">minor </w:t>
      </w:r>
      <w:r w:rsidRPr="001F7D3C">
        <w:rPr>
          <w:rFonts w:ascii="Arial Narrow" w:hAnsi="Arial Narrow"/>
          <w:bCs/>
          <w:sz w:val="18"/>
          <w:szCs w:val="18"/>
        </w:rPr>
        <w:t>re-submission.</w:t>
      </w:r>
    </w:p>
    <w:p w:rsidR="00D52DFF" w:rsidRPr="001F7D3C" w:rsidRDefault="00D52DFF" w:rsidP="005217C1">
      <w:pPr>
        <w:jc w:val="both"/>
        <w:rPr>
          <w:rFonts w:ascii="Arial" w:hAnsi="Arial" w:cs="Arial"/>
          <w:bCs/>
          <w:sz w:val="22"/>
          <w:szCs w:val="22"/>
        </w:rPr>
      </w:pPr>
    </w:p>
    <w:p w:rsidR="002A479A" w:rsidRPr="001F7D3C" w:rsidRDefault="003E6882" w:rsidP="002A479A">
      <w:pPr>
        <w:pStyle w:val="ListParagraph"/>
        <w:numPr>
          <w:ilvl w:val="1"/>
          <w:numId w:val="2"/>
        </w:numPr>
        <w:jc w:val="both"/>
        <w:rPr>
          <w:rFonts w:ascii="Arial" w:hAnsi="Arial"/>
          <w:sz w:val="22"/>
          <w:szCs w:val="22"/>
        </w:rPr>
      </w:pPr>
      <w:r w:rsidRPr="001F7D3C">
        <w:rPr>
          <w:rFonts w:ascii="Arial" w:hAnsi="Arial"/>
          <w:sz w:val="22"/>
          <w:szCs w:val="22"/>
        </w:rPr>
        <w:t xml:space="preserve">The model assumed that a herd </w:t>
      </w:r>
      <w:r w:rsidRPr="004D6F3D">
        <w:rPr>
          <w:rFonts w:ascii="Arial" w:hAnsi="Arial"/>
          <w:sz w:val="22"/>
          <w:szCs w:val="22"/>
        </w:rPr>
        <w:t xml:space="preserve">effect of </w:t>
      </w:r>
      <w:r w:rsidR="00676FE1">
        <w:rPr>
          <w:rFonts w:ascii="Arial" w:hAnsi="Arial"/>
          <w:noProof/>
          <w:color w:val="000000"/>
          <w:sz w:val="22"/>
          <w:szCs w:val="22"/>
          <w:highlight w:val="black"/>
        </w:rPr>
        <w:t>''''''</w:t>
      </w:r>
      <w:r w:rsidRPr="004D6F3D">
        <w:rPr>
          <w:rFonts w:ascii="Arial" w:hAnsi="Arial"/>
          <w:sz w:val="22"/>
          <w:szCs w:val="22"/>
        </w:rPr>
        <w:t>.</w:t>
      </w:r>
      <w:r w:rsidR="00676FE1">
        <w:rPr>
          <w:rFonts w:ascii="Arial" w:hAnsi="Arial"/>
          <w:noProof/>
          <w:color w:val="000000"/>
          <w:sz w:val="22"/>
          <w:szCs w:val="22"/>
          <w:highlight w:val="black"/>
        </w:rPr>
        <w:t>'''</w:t>
      </w:r>
      <w:r w:rsidRPr="004D6F3D">
        <w:rPr>
          <w:rFonts w:ascii="Arial" w:hAnsi="Arial"/>
          <w:sz w:val="22"/>
          <w:szCs w:val="22"/>
        </w:rPr>
        <w:t>%</w:t>
      </w:r>
      <w:r w:rsidR="00213EC1" w:rsidRPr="004D6F3D">
        <w:rPr>
          <w:rFonts w:ascii="Arial" w:hAnsi="Arial"/>
          <w:sz w:val="22"/>
          <w:szCs w:val="22"/>
        </w:rPr>
        <w:t>, based</w:t>
      </w:r>
      <w:r w:rsidR="00213EC1" w:rsidRPr="001F7D3C">
        <w:rPr>
          <w:rFonts w:ascii="Arial" w:hAnsi="Arial"/>
          <w:sz w:val="22"/>
          <w:szCs w:val="22"/>
        </w:rPr>
        <w:t xml:space="preserve"> on Study V72_29</w:t>
      </w:r>
      <w:r w:rsidR="007F5829" w:rsidRPr="001F7D3C">
        <w:rPr>
          <w:rFonts w:ascii="Arial" w:hAnsi="Arial"/>
          <w:sz w:val="22"/>
          <w:szCs w:val="22"/>
        </w:rPr>
        <w:t xml:space="preserve">. </w:t>
      </w:r>
      <w:r w:rsidR="00942BF6" w:rsidRPr="001F7D3C">
        <w:rPr>
          <w:rFonts w:ascii="Arial" w:hAnsi="Arial"/>
          <w:sz w:val="22"/>
          <w:szCs w:val="22"/>
        </w:rPr>
        <w:t xml:space="preserve">The reason for choosing the upper limit </w:t>
      </w:r>
      <w:r w:rsidR="00942BF6" w:rsidRPr="00632E23">
        <w:rPr>
          <w:rFonts w:ascii="Arial" w:hAnsi="Arial"/>
          <w:sz w:val="22"/>
          <w:szCs w:val="22"/>
        </w:rPr>
        <w:t xml:space="preserve">of </w:t>
      </w:r>
      <w:r w:rsidR="00676FE1">
        <w:rPr>
          <w:rFonts w:ascii="Arial" w:hAnsi="Arial"/>
          <w:noProof/>
          <w:color w:val="000000"/>
          <w:sz w:val="22"/>
          <w:szCs w:val="22"/>
          <w:highlight w:val="black"/>
        </w:rPr>
        <w:t>''''''</w:t>
      </w:r>
      <w:r w:rsidR="00942BF6" w:rsidRPr="00632E23">
        <w:rPr>
          <w:rFonts w:ascii="Arial" w:hAnsi="Arial"/>
          <w:sz w:val="22"/>
          <w:szCs w:val="22"/>
        </w:rPr>
        <w:t>%</w:t>
      </w:r>
      <w:r w:rsidR="00942BF6" w:rsidRPr="001F7D3C">
        <w:rPr>
          <w:rFonts w:ascii="Arial" w:hAnsi="Arial"/>
          <w:sz w:val="22"/>
          <w:szCs w:val="22"/>
        </w:rPr>
        <w:t xml:space="preserve"> herd immunity in the </w:t>
      </w:r>
      <w:r w:rsidR="009563B2" w:rsidRPr="001F7D3C">
        <w:rPr>
          <w:rFonts w:ascii="Arial" w:hAnsi="Arial"/>
          <w:sz w:val="22"/>
          <w:szCs w:val="22"/>
        </w:rPr>
        <w:t>sensitivity analysis was not provided in the re-submission. This value is similar to the value of 66%,the reduction in nasopharyngeal carriage of meningococcal C across the UK at one year post the introduction of vaccination (</w:t>
      </w:r>
      <w:r w:rsidR="00A3034F" w:rsidRPr="001F7D3C">
        <w:rPr>
          <w:rFonts w:ascii="Arial" w:hAnsi="Arial"/>
          <w:sz w:val="22"/>
          <w:szCs w:val="22"/>
        </w:rPr>
        <w:t>Maiden &amp; Stuart (2002)</w:t>
      </w:r>
      <w:r w:rsidR="009563B2" w:rsidRPr="001F7D3C">
        <w:rPr>
          <w:rFonts w:ascii="Arial" w:hAnsi="Arial"/>
          <w:sz w:val="22"/>
          <w:szCs w:val="22"/>
        </w:rPr>
        <w:t xml:space="preserve">), which was replied upon for deriving the herd immunity applied in the economic model in the original November 2013 submission. </w:t>
      </w:r>
      <w:r w:rsidR="00A3034F" w:rsidRPr="001F7D3C">
        <w:rPr>
          <w:rFonts w:ascii="Arial" w:hAnsi="Arial"/>
          <w:sz w:val="22"/>
          <w:szCs w:val="22"/>
        </w:rPr>
        <w:t xml:space="preserve">The </w:t>
      </w:r>
      <w:r w:rsidRPr="001F7D3C">
        <w:rPr>
          <w:rFonts w:ascii="Arial" w:hAnsi="Arial"/>
          <w:sz w:val="22"/>
          <w:szCs w:val="22"/>
        </w:rPr>
        <w:t xml:space="preserve">ATAGI and </w:t>
      </w:r>
      <w:r w:rsidR="00A3034F" w:rsidRPr="001F7D3C">
        <w:rPr>
          <w:rFonts w:ascii="Arial" w:hAnsi="Arial"/>
          <w:sz w:val="22"/>
          <w:szCs w:val="22"/>
        </w:rPr>
        <w:t xml:space="preserve">the </w:t>
      </w:r>
      <w:r w:rsidRPr="001F7D3C">
        <w:rPr>
          <w:rFonts w:ascii="Arial" w:hAnsi="Arial"/>
          <w:sz w:val="22"/>
          <w:szCs w:val="22"/>
        </w:rPr>
        <w:t>PBAC</w:t>
      </w:r>
      <w:r w:rsidR="00A3034F" w:rsidRPr="001F7D3C">
        <w:rPr>
          <w:rFonts w:ascii="Arial" w:hAnsi="Arial"/>
          <w:sz w:val="22"/>
          <w:szCs w:val="22"/>
        </w:rPr>
        <w:t xml:space="preserve"> considered that it was inappropriate to extrapolate data regarding meningococcal C conjugate vaccines to 4CMenB</w:t>
      </w:r>
      <w:r w:rsidR="00F52CB4" w:rsidRPr="001F7D3C">
        <w:rPr>
          <w:rFonts w:ascii="Arial" w:hAnsi="Arial"/>
          <w:sz w:val="22"/>
          <w:szCs w:val="22"/>
        </w:rPr>
        <w:t>.</w:t>
      </w:r>
      <w:r w:rsidR="00F52CB4" w:rsidRPr="001F7D3C" w:rsidDel="00F52CB4">
        <w:rPr>
          <w:rFonts w:ascii="Arial" w:hAnsi="Arial"/>
          <w:sz w:val="22"/>
          <w:szCs w:val="22"/>
        </w:rPr>
        <w:t xml:space="preserve"> </w:t>
      </w:r>
      <w:r w:rsidR="00B352F6" w:rsidRPr="001F7D3C">
        <w:rPr>
          <w:rFonts w:ascii="Arial" w:hAnsi="Arial"/>
          <w:sz w:val="22"/>
          <w:szCs w:val="22"/>
        </w:rPr>
        <w:t xml:space="preserve">Sensitivity analysis in the July 2014 re-submission included a highly optimistic scenario. In this highly optimistic scenario, the </w:t>
      </w:r>
      <w:r w:rsidR="00B933D3" w:rsidRPr="001F7D3C">
        <w:rPr>
          <w:rFonts w:ascii="Arial" w:hAnsi="Arial"/>
          <w:sz w:val="22"/>
          <w:szCs w:val="22"/>
        </w:rPr>
        <w:t xml:space="preserve">assumption for </w:t>
      </w:r>
      <w:r w:rsidR="00B352F6" w:rsidRPr="001F7D3C">
        <w:rPr>
          <w:rFonts w:ascii="Arial" w:hAnsi="Arial"/>
          <w:sz w:val="22"/>
          <w:szCs w:val="22"/>
        </w:rPr>
        <w:t>herd immunity was 50%</w:t>
      </w:r>
      <w:r w:rsidR="005217C1" w:rsidRPr="001F7D3C">
        <w:rPr>
          <w:rFonts w:ascii="Arial" w:hAnsi="Arial"/>
          <w:sz w:val="22"/>
          <w:szCs w:val="22"/>
        </w:rPr>
        <w:t>.</w:t>
      </w:r>
    </w:p>
    <w:p w:rsidR="003E6882" w:rsidRPr="001F7D3C" w:rsidRDefault="003E6882" w:rsidP="002A479A">
      <w:pPr>
        <w:jc w:val="both"/>
        <w:rPr>
          <w:rFonts w:ascii="Arial" w:hAnsi="Arial"/>
          <w:sz w:val="22"/>
          <w:szCs w:val="22"/>
        </w:rPr>
      </w:pPr>
    </w:p>
    <w:p w:rsidR="00D52DFF" w:rsidRPr="001F7D3C" w:rsidRDefault="00D52DFF" w:rsidP="00D52DFF">
      <w:pPr>
        <w:pStyle w:val="ListParagraph"/>
        <w:numPr>
          <w:ilvl w:val="1"/>
          <w:numId w:val="2"/>
        </w:numPr>
        <w:jc w:val="both"/>
        <w:rPr>
          <w:rFonts w:ascii="Arial" w:hAnsi="Arial"/>
          <w:sz w:val="22"/>
          <w:szCs w:val="22"/>
        </w:rPr>
      </w:pPr>
      <w:r w:rsidRPr="001F7D3C">
        <w:rPr>
          <w:rFonts w:ascii="Arial" w:hAnsi="Arial"/>
          <w:sz w:val="22"/>
          <w:szCs w:val="22"/>
        </w:rPr>
        <w:t xml:space="preserve">The ICER of Program #3 increased to </w:t>
      </w:r>
      <w:r w:rsidR="00051E66">
        <w:rPr>
          <w:rFonts w:ascii="Arial" w:hAnsi="Arial"/>
          <w:sz w:val="22"/>
          <w:szCs w:val="22"/>
        </w:rPr>
        <w:t>$105,000</w:t>
      </w:r>
      <w:r w:rsidRPr="001F7D3C">
        <w:rPr>
          <w:rFonts w:ascii="Arial" w:hAnsi="Arial"/>
          <w:sz w:val="22"/>
          <w:szCs w:val="22"/>
        </w:rPr>
        <w:t>/QALY</w:t>
      </w:r>
      <w:r w:rsidR="00051E66">
        <w:rPr>
          <w:rFonts w:ascii="Arial" w:hAnsi="Arial"/>
          <w:sz w:val="22"/>
          <w:szCs w:val="22"/>
        </w:rPr>
        <w:t xml:space="preserve"> - $200,000/QALY</w:t>
      </w:r>
      <w:r w:rsidR="00DF647D" w:rsidRPr="001F7D3C">
        <w:rPr>
          <w:rFonts w:ascii="Arial" w:hAnsi="Arial"/>
          <w:sz w:val="22"/>
          <w:szCs w:val="22"/>
        </w:rPr>
        <w:t xml:space="preserve"> and the ICER of Program #5 increased to </w:t>
      </w:r>
      <w:r w:rsidR="00051E66">
        <w:rPr>
          <w:rFonts w:ascii="Arial" w:hAnsi="Arial"/>
          <w:sz w:val="22"/>
          <w:szCs w:val="22"/>
        </w:rPr>
        <w:t>more than $200,000</w:t>
      </w:r>
      <w:r w:rsidR="00DF647D" w:rsidRPr="001F7D3C">
        <w:rPr>
          <w:rFonts w:ascii="Arial" w:hAnsi="Arial"/>
          <w:sz w:val="22"/>
          <w:szCs w:val="22"/>
        </w:rPr>
        <w:t>/QALY</w:t>
      </w:r>
      <w:r w:rsidRPr="001F7D3C">
        <w:rPr>
          <w:rFonts w:ascii="Arial" w:hAnsi="Arial"/>
          <w:sz w:val="22"/>
          <w:szCs w:val="22"/>
        </w:rPr>
        <w:t xml:space="preserve"> gained when a discount rate of 5% per annum for both costs and outcomes were applied in all time periods.</w:t>
      </w:r>
    </w:p>
    <w:p w:rsidR="00B273D5" w:rsidRPr="001F7D3C" w:rsidRDefault="00B273D5" w:rsidP="00E155B0">
      <w:pPr>
        <w:rPr>
          <w:rFonts w:ascii="Arial" w:hAnsi="Arial"/>
          <w:sz w:val="22"/>
          <w:szCs w:val="22"/>
        </w:rPr>
      </w:pPr>
    </w:p>
    <w:p w:rsidR="00AA2AAB" w:rsidRPr="001F7D3C" w:rsidRDefault="001316D6" w:rsidP="00C8534E">
      <w:pPr>
        <w:pStyle w:val="ListParagraph"/>
        <w:numPr>
          <w:ilvl w:val="1"/>
          <w:numId w:val="2"/>
        </w:numPr>
        <w:jc w:val="both"/>
        <w:rPr>
          <w:rFonts w:ascii="Arial" w:hAnsi="Arial"/>
          <w:sz w:val="22"/>
          <w:szCs w:val="22"/>
        </w:rPr>
      </w:pPr>
      <w:r w:rsidRPr="001F7D3C">
        <w:rPr>
          <w:rFonts w:ascii="Arial" w:hAnsi="Arial"/>
          <w:sz w:val="22"/>
          <w:szCs w:val="22"/>
        </w:rPr>
        <w:t>The PBAC reaffirmed the Committee’s preference for a discount rate of 5% per annum for both costs and outcomes</w:t>
      </w:r>
      <w:r w:rsidR="00416B02" w:rsidRPr="001F7D3C">
        <w:rPr>
          <w:rFonts w:ascii="Arial" w:hAnsi="Arial"/>
          <w:sz w:val="22"/>
          <w:szCs w:val="22"/>
        </w:rPr>
        <w:t xml:space="preserve"> applied over the time horizon of the model</w:t>
      </w:r>
      <w:r w:rsidRPr="001F7D3C">
        <w:rPr>
          <w:rFonts w:ascii="Arial" w:hAnsi="Arial"/>
          <w:sz w:val="22"/>
          <w:szCs w:val="22"/>
        </w:rPr>
        <w:t xml:space="preserve">. </w:t>
      </w:r>
      <w:r w:rsidR="006F5DF1" w:rsidRPr="001F7D3C">
        <w:rPr>
          <w:rFonts w:ascii="Arial" w:hAnsi="Arial"/>
          <w:sz w:val="22"/>
          <w:szCs w:val="22"/>
        </w:rPr>
        <w:t>The PBAC considered:</w:t>
      </w:r>
    </w:p>
    <w:p w:rsidR="00AA2AAB" w:rsidRPr="001F7D3C" w:rsidRDefault="00AA2AAB" w:rsidP="00D73093">
      <w:pPr>
        <w:pStyle w:val="ListParagraph"/>
        <w:numPr>
          <w:ilvl w:val="0"/>
          <w:numId w:val="25"/>
        </w:numPr>
        <w:jc w:val="both"/>
        <w:rPr>
          <w:rFonts w:ascii="Arial" w:hAnsi="Arial"/>
          <w:sz w:val="22"/>
          <w:szCs w:val="22"/>
        </w:rPr>
      </w:pPr>
      <w:r w:rsidRPr="001F7D3C">
        <w:rPr>
          <w:rFonts w:ascii="Arial" w:hAnsi="Arial"/>
          <w:sz w:val="22"/>
          <w:szCs w:val="22"/>
        </w:rPr>
        <w:t>there is no intrinsic reason to treat the costs and health benefits of this intervention differently from any other intervention. The benefit of preventing meningococcal</w:t>
      </w:r>
      <w:r w:rsidR="001B688E" w:rsidRPr="001F7D3C">
        <w:rPr>
          <w:rFonts w:ascii="Arial" w:hAnsi="Arial"/>
          <w:sz w:val="22"/>
          <w:szCs w:val="22"/>
        </w:rPr>
        <w:t xml:space="preserve"> infection</w:t>
      </w:r>
      <w:r w:rsidRPr="001F7D3C">
        <w:rPr>
          <w:rFonts w:ascii="Arial" w:hAnsi="Arial"/>
          <w:sz w:val="22"/>
          <w:szCs w:val="22"/>
        </w:rPr>
        <w:t xml:space="preserve"> is saving lives and preventing future morbidity/mortality for </w:t>
      </w:r>
      <w:r w:rsidR="00416B02" w:rsidRPr="001F7D3C">
        <w:rPr>
          <w:rFonts w:ascii="Arial" w:hAnsi="Arial"/>
          <w:sz w:val="22"/>
          <w:szCs w:val="22"/>
        </w:rPr>
        <w:t>individuals</w:t>
      </w:r>
      <w:r w:rsidRPr="001F7D3C">
        <w:rPr>
          <w:rFonts w:ascii="Arial" w:hAnsi="Arial"/>
          <w:sz w:val="22"/>
          <w:szCs w:val="22"/>
        </w:rPr>
        <w:t xml:space="preserve"> vaccina</w:t>
      </w:r>
      <w:r w:rsidR="006F5DF1" w:rsidRPr="001F7D3C">
        <w:rPr>
          <w:rFonts w:ascii="Arial" w:hAnsi="Arial"/>
          <w:sz w:val="22"/>
          <w:szCs w:val="22"/>
        </w:rPr>
        <w:t xml:space="preserve">ted now (and into the future). </w:t>
      </w:r>
      <w:r w:rsidRPr="001F7D3C">
        <w:rPr>
          <w:rFonts w:ascii="Arial" w:hAnsi="Arial"/>
          <w:sz w:val="22"/>
          <w:szCs w:val="22"/>
        </w:rPr>
        <w:t xml:space="preserve">This is </w:t>
      </w:r>
      <w:r w:rsidR="00A01768" w:rsidRPr="001F7D3C">
        <w:rPr>
          <w:rFonts w:ascii="Arial" w:hAnsi="Arial"/>
          <w:sz w:val="22"/>
          <w:szCs w:val="22"/>
        </w:rPr>
        <w:t>comparable to the</w:t>
      </w:r>
      <w:r w:rsidRPr="001F7D3C">
        <w:rPr>
          <w:rFonts w:ascii="Arial" w:hAnsi="Arial"/>
          <w:sz w:val="22"/>
          <w:szCs w:val="22"/>
        </w:rPr>
        <w:t xml:space="preserve"> benefit of preventing morbidity and mortality for </w:t>
      </w:r>
      <w:r w:rsidR="00A01768" w:rsidRPr="001F7D3C">
        <w:rPr>
          <w:rFonts w:ascii="Arial" w:hAnsi="Arial"/>
          <w:sz w:val="22"/>
          <w:szCs w:val="22"/>
        </w:rPr>
        <w:t xml:space="preserve">other </w:t>
      </w:r>
      <w:r w:rsidRPr="001F7D3C">
        <w:rPr>
          <w:rFonts w:ascii="Arial" w:hAnsi="Arial"/>
          <w:sz w:val="22"/>
          <w:szCs w:val="22"/>
        </w:rPr>
        <w:t>population preventative interventions including lipid-lowering</w:t>
      </w:r>
      <w:r w:rsidR="00D73093" w:rsidRPr="001F7D3C">
        <w:rPr>
          <w:rFonts w:ascii="Arial" w:hAnsi="Arial"/>
          <w:sz w:val="22"/>
          <w:szCs w:val="22"/>
        </w:rPr>
        <w:t xml:space="preserve"> and</w:t>
      </w:r>
      <w:r w:rsidRPr="001F7D3C">
        <w:rPr>
          <w:rFonts w:ascii="Arial" w:hAnsi="Arial"/>
          <w:sz w:val="22"/>
          <w:szCs w:val="22"/>
        </w:rPr>
        <w:t xml:space="preserve"> anti-hypertensive drugs and other vaccines</w:t>
      </w:r>
      <w:r w:rsidR="001B688E" w:rsidRPr="001F7D3C">
        <w:rPr>
          <w:rFonts w:ascii="Arial" w:hAnsi="Arial"/>
          <w:sz w:val="22"/>
          <w:szCs w:val="22"/>
        </w:rPr>
        <w:t>.</w:t>
      </w:r>
    </w:p>
    <w:p w:rsidR="00AA2AAB" w:rsidRPr="001F7D3C" w:rsidRDefault="00C8534E" w:rsidP="00D73093">
      <w:pPr>
        <w:pStyle w:val="ListParagraph"/>
        <w:numPr>
          <w:ilvl w:val="0"/>
          <w:numId w:val="25"/>
        </w:numPr>
        <w:jc w:val="both"/>
        <w:rPr>
          <w:rFonts w:ascii="Arial" w:hAnsi="Arial"/>
          <w:sz w:val="22"/>
          <w:szCs w:val="22"/>
        </w:rPr>
      </w:pPr>
      <w:r w:rsidRPr="001F7D3C">
        <w:rPr>
          <w:rFonts w:ascii="Arial" w:hAnsi="Arial"/>
          <w:sz w:val="22"/>
          <w:szCs w:val="22"/>
        </w:rPr>
        <w:t>that the arguments presented in the submission with respect to rotavirus and HPV vaccination do not negate the rationale for applying a consistent rate of time preference to costs and outcomes and across the time horizon, given that the opportunity cost of investing in this program is forgone inve</w:t>
      </w:r>
      <w:r w:rsidR="006F5DF1" w:rsidRPr="001F7D3C">
        <w:rPr>
          <w:rFonts w:ascii="Arial" w:hAnsi="Arial"/>
          <w:sz w:val="22"/>
          <w:szCs w:val="22"/>
        </w:rPr>
        <w:t>stment in other health programs</w:t>
      </w:r>
    </w:p>
    <w:p w:rsidR="005328B3" w:rsidRPr="001F7D3C" w:rsidRDefault="00AA2AAB" w:rsidP="00D73093">
      <w:pPr>
        <w:pStyle w:val="ListParagraph"/>
        <w:numPr>
          <w:ilvl w:val="0"/>
          <w:numId w:val="25"/>
        </w:numPr>
        <w:jc w:val="both"/>
        <w:rPr>
          <w:rFonts w:ascii="Arial" w:hAnsi="Arial"/>
          <w:sz w:val="22"/>
          <w:szCs w:val="22"/>
        </w:rPr>
      </w:pPr>
      <w:r w:rsidRPr="001F7D3C">
        <w:rPr>
          <w:rFonts w:ascii="Arial" w:hAnsi="Arial"/>
          <w:sz w:val="22"/>
          <w:szCs w:val="22"/>
        </w:rPr>
        <w:t>that the phrase ‘the more certain impact resulting from meningococcal B vacc</w:t>
      </w:r>
      <w:r w:rsidR="00D73093" w:rsidRPr="001F7D3C">
        <w:rPr>
          <w:rFonts w:ascii="Arial" w:hAnsi="Arial"/>
          <w:sz w:val="22"/>
          <w:szCs w:val="22"/>
        </w:rPr>
        <w:t xml:space="preserve">ination’ in </w:t>
      </w:r>
      <w:r w:rsidR="00416B02" w:rsidRPr="001F7D3C">
        <w:rPr>
          <w:rFonts w:ascii="Arial" w:hAnsi="Arial"/>
          <w:sz w:val="22"/>
          <w:szCs w:val="22"/>
        </w:rPr>
        <w:t>justifying</w:t>
      </w:r>
      <w:r w:rsidRPr="001F7D3C">
        <w:rPr>
          <w:rFonts w:ascii="Arial" w:hAnsi="Arial"/>
          <w:sz w:val="22"/>
          <w:szCs w:val="22"/>
        </w:rPr>
        <w:t xml:space="preserve"> the application of </w:t>
      </w:r>
      <w:r w:rsidR="00C8534E" w:rsidRPr="001F7D3C">
        <w:rPr>
          <w:rFonts w:ascii="Arial" w:hAnsi="Arial"/>
          <w:sz w:val="22"/>
          <w:szCs w:val="22"/>
        </w:rPr>
        <w:t xml:space="preserve">a </w:t>
      </w:r>
      <w:r w:rsidR="005328B3" w:rsidRPr="001F7D3C">
        <w:rPr>
          <w:rFonts w:ascii="Arial" w:hAnsi="Arial"/>
          <w:sz w:val="22"/>
          <w:szCs w:val="22"/>
        </w:rPr>
        <w:t xml:space="preserve">stepped discounting </w:t>
      </w:r>
      <w:r w:rsidR="00C8534E" w:rsidRPr="001F7D3C">
        <w:rPr>
          <w:rFonts w:ascii="Arial" w:hAnsi="Arial"/>
          <w:sz w:val="22"/>
          <w:szCs w:val="22"/>
        </w:rPr>
        <w:t>metho</w:t>
      </w:r>
      <w:r w:rsidRPr="001F7D3C">
        <w:rPr>
          <w:rFonts w:ascii="Arial" w:hAnsi="Arial"/>
          <w:sz w:val="22"/>
          <w:szCs w:val="22"/>
        </w:rPr>
        <w:t>d differed from the view of the PBAC in July 2014, where the Committee considered that the clinical claim was highly uncertain</w:t>
      </w:r>
      <w:r w:rsidR="00357D58" w:rsidRPr="001F7D3C">
        <w:rPr>
          <w:rFonts w:ascii="Arial" w:hAnsi="Arial"/>
          <w:sz w:val="22"/>
          <w:szCs w:val="22"/>
        </w:rPr>
        <w:t>.</w:t>
      </w:r>
    </w:p>
    <w:p w:rsidR="005328B3" w:rsidRPr="001F7D3C" w:rsidRDefault="005328B3" w:rsidP="00D73093">
      <w:pPr>
        <w:jc w:val="both"/>
        <w:rPr>
          <w:rFonts w:ascii="Arial" w:hAnsi="Arial"/>
          <w:sz w:val="22"/>
          <w:szCs w:val="22"/>
        </w:rPr>
      </w:pPr>
    </w:p>
    <w:p w:rsidR="008B6E48" w:rsidRPr="001F7D3C" w:rsidRDefault="008B6E48" w:rsidP="00416B02">
      <w:pPr>
        <w:pStyle w:val="ListParagraph"/>
        <w:numPr>
          <w:ilvl w:val="1"/>
          <w:numId w:val="2"/>
        </w:numPr>
        <w:jc w:val="both"/>
        <w:rPr>
          <w:rFonts w:ascii="Arial" w:hAnsi="Arial"/>
          <w:sz w:val="22"/>
          <w:szCs w:val="22"/>
        </w:rPr>
      </w:pPr>
      <w:r w:rsidRPr="001F7D3C">
        <w:rPr>
          <w:rFonts w:ascii="Arial" w:hAnsi="Arial"/>
          <w:sz w:val="22"/>
          <w:szCs w:val="22"/>
        </w:rPr>
        <w:t xml:space="preserve">The PBAC noted in this submission that a consequence of the methodology </w:t>
      </w:r>
      <w:r w:rsidR="00AF1773" w:rsidRPr="001F7D3C">
        <w:rPr>
          <w:rFonts w:ascii="Arial" w:hAnsi="Arial"/>
          <w:sz w:val="22"/>
          <w:szCs w:val="22"/>
        </w:rPr>
        <w:t xml:space="preserve">used to apply </w:t>
      </w:r>
      <w:r w:rsidRPr="001F7D3C">
        <w:rPr>
          <w:rFonts w:ascii="Arial" w:hAnsi="Arial"/>
          <w:sz w:val="22"/>
          <w:szCs w:val="22"/>
        </w:rPr>
        <w:t>stepped discounting was that the value of benefits and cost</w:t>
      </w:r>
      <w:r w:rsidR="00A01768" w:rsidRPr="001F7D3C">
        <w:rPr>
          <w:rFonts w:ascii="Arial" w:hAnsi="Arial"/>
          <w:sz w:val="22"/>
          <w:szCs w:val="22"/>
        </w:rPr>
        <w:t>s in year 31</w:t>
      </w:r>
      <w:r w:rsidRPr="001F7D3C">
        <w:rPr>
          <w:rFonts w:ascii="Arial" w:hAnsi="Arial"/>
          <w:sz w:val="22"/>
          <w:szCs w:val="22"/>
        </w:rPr>
        <w:t xml:space="preserve"> </w:t>
      </w:r>
      <w:r w:rsidR="00A01768" w:rsidRPr="001F7D3C">
        <w:rPr>
          <w:rFonts w:ascii="Arial" w:hAnsi="Arial"/>
          <w:sz w:val="22"/>
          <w:szCs w:val="22"/>
        </w:rPr>
        <w:t xml:space="preserve">and beyond </w:t>
      </w:r>
      <w:r w:rsidRPr="001F7D3C">
        <w:rPr>
          <w:rFonts w:ascii="Arial" w:hAnsi="Arial"/>
          <w:sz w:val="22"/>
          <w:szCs w:val="22"/>
        </w:rPr>
        <w:t xml:space="preserve">implausibly </w:t>
      </w:r>
      <w:r w:rsidR="00AF1773" w:rsidRPr="001F7D3C">
        <w:rPr>
          <w:rFonts w:ascii="Arial" w:hAnsi="Arial"/>
          <w:sz w:val="22"/>
          <w:szCs w:val="22"/>
        </w:rPr>
        <w:t xml:space="preserve">increased </w:t>
      </w:r>
      <w:r w:rsidRPr="001F7D3C">
        <w:rPr>
          <w:rFonts w:ascii="Arial" w:hAnsi="Arial"/>
          <w:sz w:val="22"/>
          <w:szCs w:val="22"/>
        </w:rPr>
        <w:t xml:space="preserve">to a higher value </w:t>
      </w:r>
      <w:r w:rsidR="00A01768" w:rsidRPr="001F7D3C">
        <w:rPr>
          <w:rFonts w:ascii="Arial" w:hAnsi="Arial"/>
          <w:sz w:val="22"/>
          <w:szCs w:val="22"/>
        </w:rPr>
        <w:t xml:space="preserve">than in year 30, because of the way </w:t>
      </w:r>
      <w:r w:rsidRPr="001F7D3C">
        <w:rPr>
          <w:rFonts w:ascii="Arial" w:hAnsi="Arial"/>
          <w:sz w:val="22"/>
          <w:szCs w:val="22"/>
        </w:rPr>
        <w:t>the lower rate was applied</w:t>
      </w:r>
      <w:r w:rsidR="00336306" w:rsidRPr="001F7D3C">
        <w:rPr>
          <w:rFonts w:ascii="Arial" w:hAnsi="Arial"/>
          <w:sz w:val="22"/>
          <w:szCs w:val="22"/>
        </w:rPr>
        <w:t xml:space="preserve"> in the model.</w:t>
      </w:r>
      <w:r w:rsidR="00C8534E" w:rsidRPr="001F7D3C">
        <w:rPr>
          <w:rFonts w:ascii="Arial" w:hAnsi="Arial"/>
          <w:sz w:val="22"/>
          <w:szCs w:val="22"/>
        </w:rPr>
        <w:t xml:space="preserve"> This favours the vaccine in the model. </w:t>
      </w:r>
      <w:r w:rsidR="00AF1773" w:rsidRPr="001F7D3C">
        <w:rPr>
          <w:rFonts w:ascii="Arial" w:hAnsi="Arial"/>
          <w:sz w:val="22"/>
          <w:szCs w:val="22"/>
        </w:rPr>
        <w:t>The PBAC considered if a method of stepped discounting w</w:t>
      </w:r>
      <w:r w:rsidR="000C14B7" w:rsidRPr="001F7D3C">
        <w:rPr>
          <w:rFonts w:ascii="Arial" w:hAnsi="Arial"/>
          <w:sz w:val="22"/>
          <w:szCs w:val="22"/>
        </w:rPr>
        <w:t>as</w:t>
      </w:r>
      <w:r w:rsidR="00AF1773" w:rsidRPr="001F7D3C">
        <w:rPr>
          <w:rFonts w:ascii="Arial" w:hAnsi="Arial"/>
          <w:sz w:val="22"/>
          <w:szCs w:val="22"/>
        </w:rPr>
        <w:t xml:space="preserve"> applied to a model, that upon application of the lower discounting rate, the reduction of the cost and benefits should commence from the last value when the 5% rate was applied.</w:t>
      </w:r>
    </w:p>
    <w:p w:rsidR="00416B02" w:rsidRPr="001F7D3C" w:rsidRDefault="00416B02" w:rsidP="00416B02">
      <w:pPr>
        <w:jc w:val="both"/>
        <w:rPr>
          <w:rFonts w:ascii="Arial" w:hAnsi="Arial"/>
          <w:sz w:val="22"/>
          <w:szCs w:val="22"/>
        </w:rPr>
      </w:pPr>
    </w:p>
    <w:p w:rsidR="005967ED" w:rsidRPr="001F7D3C" w:rsidRDefault="00416B02" w:rsidP="005967ED">
      <w:pPr>
        <w:pStyle w:val="ListParagraph"/>
        <w:numPr>
          <w:ilvl w:val="1"/>
          <w:numId w:val="2"/>
        </w:numPr>
        <w:jc w:val="both"/>
        <w:rPr>
          <w:rFonts w:ascii="Arial" w:hAnsi="Arial"/>
          <w:sz w:val="22"/>
          <w:szCs w:val="22"/>
        </w:rPr>
      </w:pPr>
      <w:r w:rsidRPr="001F7D3C">
        <w:rPr>
          <w:rFonts w:ascii="Arial" w:hAnsi="Arial"/>
          <w:sz w:val="22"/>
          <w:szCs w:val="22"/>
        </w:rPr>
        <w:t>The PBAC noted that the submission had not address</w:t>
      </w:r>
      <w:r w:rsidR="005B0B0C" w:rsidRPr="001F7D3C">
        <w:rPr>
          <w:rFonts w:ascii="Arial" w:hAnsi="Arial"/>
          <w:sz w:val="22"/>
          <w:szCs w:val="22"/>
        </w:rPr>
        <w:t>ed</w:t>
      </w:r>
      <w:r w:rsidRPr="001F7D3C">
        <w:rPr>
          <w:rFonts w:ascii="Arial" w:hAnsi="Arial"/>
          <w:sz w:val="22"/>
          <w:szCs w:val="22"/>
        </w:rPr>
        <w:t xml:space="preserve"> the previous concerns of the PBAC in regards to the model, namely </w:t>
      </w:r>
      <w:r w:rsidR="005967ED" w:rsidRPr="001F7D3C">
        <w:rPr>
          <w:rFonts w:ascii="Arial" w:hAnsi="Arial"/>
          <w:sz w:val="22"/>
          <w:szCs w:val="22"/>
        </w:rPr>
        <w:t xml:space="preserve">uncertain and optimistic assumptions about the extent and duration of effect and herd immunity. </w:t>
      </w:r>
      <w:r w:rsidR="00B273D5" w:rsidRPr="001F7D3C">
        <w:rPr>
          <w:rFonts w:ascii="Arial" w:hAnsi="Arial"/>
          <w:sz w:val="22"/>
          <w:szCs w:val="22"/>
        </w:rPr>
        <w:t>The PBAC considered that none of the program options were cost-effective as presented in the submission.</w:t>
      </w:r>
    </w:p>
    <w:p w:rsidR="005967ED" w:rsidRPr="001F7D3C" w:rsidRDefault="005967ED" w:rsidP="005967ED">
      <w:pPr>
        <w:rPr>
          <w:rFonts w:ascii="Arial" w:hAnsi="Arial"/>
          <w:sz w:val="22"/>
          <w:szCs w:val="22"/>
        </w:rPr>
      </w:pPr>
    </w:p>
    <w:p w:rsidR="00C83116" w:rsidRPr="001F7D3C" w:rsidRDefault="005C6F0C" w:rsidP="005C6F0C">
      <w:pPr>
        <w:pStyle w:val="ListParagraph"/>
        <w:numPr>
          <w:ilvl w:val="1"/>
          <w:numId w:val="2"/>
        </w:numPr>
        <w:jc w:val="both"/>
        <w:rPr>
          <w:rFonts w:ascii="Arial" w:hAnsi="Arial"/>
          <w:sz w:val="22"/>
          <w:szCs w:val="22"/>
        </w:rPr>
      </w:pPr>
      <w:r w:rsidRPr="001F7D3C">
        <w:rPr>
          <w:rFonts w:ascii="Arial" w:hAnsi="Arial"/>
          <w:sz w:val="22"/>
          <w:szCs w:val="22"/>
        </w:rPr>
        <w:t>In reaffirming the preferred constant discount rate of 5% for both costs and outcomes, the PBAC recalled at the July 2014 meeting that the Committee considered that before NIP listing could be reconsidered, there would have to be a proposal for a price that produces an acceptable ICER as a basis for a PBAC recommendation to list. At the July 2014 meeting, the PBAC agreed with the ESC that a reduction in price of the vaccine to align the ICER at no greater than the previous submission (</w:t>
      </w:r>
      <w:r w:rsidR="00643C6A" w:rsidRPr="00632E23">
        <w:rPr>
          <w:rFonts w:ascii="Arial" w:hAnsi="Arial"/>
          <w:sz w:val="22"/>
          <w:szCs w:val="22"/>
        </w:rPr>
        <w:t>i.e.</w:t>
      </w:r>
      <w:r w:rsidRPr="00632E23">
        <w:rPr>
          <w:rFonts w:ascii="Arial" w:hAnsi="Arial"/>
          <w:sz w:val="22"/>
          <w:szCs w:val="22"/>
        </w:rPr>
        <w:t xml:space="preserve"> $</w:t>
      </w:r>
      <w:r w:rsidR="00676FE1">
        <w:rPr>
          <w:rFonts w:ascii="Arial" w:hAnsi="Arial"/>
          <w:noProof/>
          <w:color w:val="000000"/>
          <w:sz w:val="22"/>
          <w:szCs w:val="22"/>
          <w:highlight w:val="black"/>
        </w:rPr>
        <w:t>'''''''''''''''</w:t>
      </w:r>
      <w:r w:rsidRPr="00632E23">
        <w:rPr>
          <w:rFonts w:ascii="Arial" w:hAnsi="Arial"/>
          <w:sz w:val="22"/>
          <w:szCs w:val="22"/>
        </w:rPr>
        <w:t>/QALY</w:t>
      </w:r>
      <w:r w:rsidRPr="001F7D3C">
        <w:rPr>
          <w:rFonts w:ascii="Arial" w:hAnsi="Arial"/>
          <w:sz w:val="22"/>
          <w:szCs w:val="22"/>
        </w:rPr>
        <w:t>) was likely to be the only available option for further PBAC consideration.</w:t>
      </w:r>
    </w:p>
    <w:p w:rsidR="005C6F0C" w:rsidRPr="001F7D3C" w:rsidRDefault="005C6F0C" w:rsidP="00C83116">
      <w:pPr>
        <w:rPr>
          <w:rFonts w:ascii="Arial" w:hAnsi="Arial"/>
          <w:sz w:val="22"/>
          <w:szCs w:val="22"/>
        </w:rPr>
      </w:pPr>
    </w:p>
    <w:p w:rsidR="00A55FEE" w:rsidRPr="001F7D3C" w:rsidRDefault="00A55FEE" w:rsidP="00F6572E">
      <w:pPr>
        <w:pStyle w:val="ListParagraph"/>
        <w:numPr>
          <w:ilvl w:val="1"/>
          <w:numId w:val="2"/>
        </w:numPr>
        <w:jc w:val="both"/>
        <w:rPr>
          <w:rFonts w:ascii="Arial" w:hAnsi="Arial"/>
          <w:sz w:val="22"/>
          <w:szCs w:val="22"/>
        </w:rPr>
      </w:pPr>
      <w:r w:rsidRPr="001F7D3C">
        <w:rPr>
          <w:rFonts w:ascii="Arial" w:hAnsi="Arial"/>
          <w:b/>
          <w:i/>
          <w:sz w:val="22"/>
          <w:szCs w:val="22"/>
        </w:rPr>
        <w:t>Drug cost/patient/course:</w:t>
      </w:r>
      <w:r w:rsidRPr="001F7D3C">
        <w:rPr>
          <w:rFonts w:ascii="Arial" w:hAnsi="Arial"/>
          <w:sz w:val="22"/>
          <w:szCs w:val="22"/>
        </w:rPr>
        <w:t xml:space="preserve"> $</w:t>
      </w:r>
      <w:r w:rsidR="00676FE1">
        <w:rPr>
          <w:rFonts w:ascii="Arial" w:hAnsi="Arial"/>
          <w:noProof/>
          <w:color w:val="000000"/>
          <w:sz w:val="22"/>
          <w:szCs w:val="22"/>
          <w:highlight w:val="black"/>
        </w:rPr>
        <w:t>'''''''</w:t>
      </w:r>
      <w:r w:rsidR="0086087A" w:rsidRPr="001F7D3C">
        <w:rPr>
          <w:rFonts w:ascii="Arial" w:hAnsi="Arial"/>
          <w:sz w:val="22"/>
          <w:szCs w:val="22"/>
        </w:rPr>
        <w:t xml:space="preserve"> per dose for routine vaccination. The number of vaccinations received depends on the age of the individual</w:t>
      </w:r>
      <w:r w:rsidRPr="001F7D3C">
        <w:rPr>
          <w:rFonts w:ascii="Arial" w:hAnsi="Arial"/>
          <w:sz w:val="22"/>
          <w:szCs w:val="22"/>
        </w:rPr>
        <w:t>.</w:t>
      </w:r>
      <w:r w:rsidR="00EA662A" w:rsidRPr="001F7D3C">
        <w:rPr>
          <w:rFonts w:ascii="Arial" w:hAnsi="Arial"/>
          <w:sz w:val="22"/>
          <w:szCs w:val="22"/>
        </w:rPr>
        <w:t xml:space="preserve"> If</w:t>
      </w:r>
      <w:r w:rsidR="008F2B70" w:rsidRPr="001F7D3C">
        <w:rPr>
          <w:rFonts w:ascii="Arial" w:hAnsi="Arial"/>
          <w:sz w:val="22"/>
          <w:szCs w:val="22"/>
        </w:rPr>
        <w:t xml:space="preserve"> Program #5</w:t>
      </w:r>
      <w:r w:rsidR="00EA662A" w:rsidRPr="001F7D3C">
        <w:rPr>
          <w:rFonts w:ascii="Arial" w:hAnsi="Arial"/>
          <w:sz w:val="22"/>
          <w:szCs w:val="22"/>
        </w:rPr>
        <w:t xml:space="preserve"> </w:t>
      </w:r>
      <w:r w:rsidR="008F2B70" w:rsidRPr="001F7D3C">
        <w:rPr>
          <w:rFonts w:ascii="Arial" w:hAnsi="Arial"/>
          <w:sz w:val="22"/>
          <w:szCs w:val="22"/>
        </w:rPr>
        <w:t xml:space="preserve">is </w:t>
      </w:r>
      <w:r w:rsidR="00EA662A" w:rsidRPr="001F7D3C">
        <w:rPr>
          <w:rFonts w:ascii="Arial" w:hAnsi="Arial"/>
          <w:sz w:val="22"/>
          <w:szCs w:val="22"/>
        </w:rPr>
        <w:t xml:space="preserve">listed on the NIP, a child born after listing would receive </w:t>
      </w:r>
      <w:r w:rsidR="008F2B70" w:rsidRPr="001F7D3C">
        <w:rPr>
          <w:rFonts w:ascii="Arial" w:hAnsi="Arial"/>
          <w:sz w:val="22"/>
          <w:szCs w:val="22"/>
        </w:rPr>
        <w:t xml:space="preserve">six </w:t>
      </w:r>
      <w:r w:rsidR="00EA662A" w:rsidRPr="001F7D3C">
        <w:rPr>
          <w:rFonts w:ascii="Arial" w:hAnsi="Arial"/>
          <w:sz w:val="22"/>
          <w:szCs w:val="22"/>
        </w:rPr>
        <w:t xml:space="preserve">doses in total, </w:t>
      </w:r>
      <w:r w:rsidR="008F2B70" w:rsidRPr="001F7D3C">
        <w:rPr>
          <w:rFonts w:ascii="Arial" w:hAnsi="Arial"/>
          <w:sz w:val="22"/>
          <w:szCs w:val="22"/>
        </w:rPr>
        <w:t xml:space="preserve">four </w:t>
      </w:r>
      <w:r w:rsidR="00EA662A" w:rsidRPr="001F7D3C">
        <w:rPr>
          <w:rFonts w:ascii="Arial" w:hAnsi="Arial"/>
          <w:sz w:val="22"/>
          <w:szCs w:val="22"/>
        </w:rPr>
        <w:t xml:space="preserve">doses in infancy and </w:t>
      </w:r>
      <w:r w:rsidR="008F2B70" w:rsidRPr="001F7D3C">
        <w:rPr>
          <w:rFonts w:ascii="Arial" w:hAnsi="Arial"/>
          <w:sz w:val="22"/>
          <w:szCs w:val="22"/>
        </w:rPr>
        <w:t xml:space="preserve">two </w:t>
      </w:r>
      <w:r w:rsidR="00EA662A" w:rsidRPr="001F7D3C">
        <w:rPr>
          <w:rFonts w:ascii="Arial" w:hAnsi="Arial"/>
          <w:sz w:val="22"/>
          <w:szCs w:val="22"/>
        </w:rPr>
        <w:t>dose</w:t>
      </w:r>
      <w:r w:rsidR="008F2B70" w:rsidRPr="001F7D3C">
        <w:rPr>
          <w:rFonts w:ascii="Arial" w:hAnsi="Arial"/>
          <w:sz w:val="22"/>
          <w:szCs w:val="22"/>
        </w:rPr>
        <w:t>s</w:t>
      </w:r>
      <w:r w:rsidR="00EA662A" w:rsidRPr="001F7D3C">
        <w:rPr>
          <w:rFonts w:ascii="Arial" w:hAnsi="Arial"/>
          <w:sz w:val="22"/>
          <w:szCs w:val="22"/>
        </w:rPr>
        <w:t xml:space="preserve"> in adolescen</w:t>
      </w:r>
      <w:r w:rsidR="008F2B70" w:rsidRPr="001F7D3C">
        <w:rPr>
          <w:rFonts w:ascii="Arial" w:hAnsi="Arial"/>
          <w:sz w:val="22"/>
          <w:szCs w:val="22"/>
        </w:rPr>
        <w:t>ce</w:t>
      </w:r>
      <w:r w:rsidR="00EA662A" w:rsidRPr="001F7D3C">
        <w:rPr>
          <w:rFonts w:ascii="Arial" w:hAnsi="Arial"/>
          <w:sz w:val="22"/>
          <w:szCs w:val="22"/>
        </w:rPr>
        <w:t>.</w:t>
      </w:r>
    </w:p>
    <w:p w:rsidR="00A55FEE" w:rsidRPr="001F7D3C" w:rsidRDefault="00A55FEE" w:rsidP="00A55FEE">
      <w:pPr>
        <w:ind w:left="720" w:hanging="720"/>
        <w:jc w:val="both"/>
        <w:rPr>
          <w:rFonts w:ascii="Arial" w:hAnsi="Arial"/>
          <w:sz w:val="22"/>
          <w:szCs w:val="22"/>
        </w:rPr>
      </w:pPr>
    </w:p>
    <w:p w:rsidR="005A3173" w:rsidRPr="001F7D3C" w:rsidRDefault="005A3173" w:rsidP="00882085">
      <w:pPr>
        <w:ind w:left="720" w:hanging="720"/>
        <w:jc w:val="both"/>
        <w:rPr>
          <w:rFonts w:ascii="Arial" w:hAnsi="Arial"/>
          <w:b/>
          <w:i/>
          <w:sz w:val="22"/>
          <w:szCs w:val="22"/>
        </w:rPr>
      </w:pPr>
      <w:r w:rsidRPr="001F7D3C">
        <w:rPr>
          <w:rFonts w:ascii="Arial" w:hAnsi="Arial"/>
          <w:b/>
          <w:i/>
          <w:sz w:val="22"/>
          <w:szCs w:val="22"/>
        </w:rPr>
        <w:t>Estimated PBS usage &amp; financial implications</w:t>
      </w:r>
    </w:p>
    <w:p w:rsidR="005A3173" w:rsidRPr="001F7D3C" w:rsidRDefault="005A3173" w:rsidP="00882085">
      <w:pPr>
        <w:ind w:left="720" w:hanging="720"/>
        <w:jc w:val="both"/>
        <w:rPr>
          <w:rFonts w:ascii="Arial" w:hAnsi="Arial"/>
          <w:sz w:val="22"/>
          <w:szCs w:val="22"/>
        </w:rPr>
      </w:pPr>
    </w:p>
    <w:p w:rsidR="00D978D9" w:rsidRPr="001F7D3C" w:rsidRDefault="00C00DA7" w:rsidP="00187991">
      <w:pPr>
        <w:pStyle w:val="ListParagraph"/>
        <w:numPr>
          <w:ilvl w:val="1"/>
          <w:numId w:val="2"/>
        </w:numPr>
        <w:jc w:val="both"/>
        <w:rPr>
          <w:rFonts w:ascii="Arial" w:hAnsi="Arial"/>
          <w:sz w:val="22"/>
          <w:szCs w:val="22"/>
        </w:rPr>
      </w:pPr>
      <w:r w:rsidRPr="001F7D3C">
        <w:rPr>
          <w:rFonts w:ascii="Arial" w:hAnsi="Arial"/>
          <w:sz w:val="22"/>
          <w:szCs w:val="22"/>
        </w:rPr>
        <w:t>The</w:t>
      </w:r>
      <w:r w:rsidR="00994D45" w:rsidRPr="001F7D3C">
        <w:rPr>
          <w:rFonts w:ascii="Arial" w:hAnsi="Arial"/>
          <w:sz w:val="22"/>
          <w:szCs w:val="22"/>
        </w:rPr>
        <w:t xml:space="preserve"> minor</w:t>
      </w:r>
      <w:r w:rsidRPr="001F7D3C">
        <w:rPr>
          <w:rFonts w:ascii="Arial" w:hAnsi="Arial"/>
          <w:sz w:val="22"/>
          <w:szCs w:val="22"/>
        </w:rPr>
        <w:t xml:space="preserve"> </w:t>
      </w:r>
      <w:r w:rsidR="00CF02B7" w:rsidRPr="001F7D3C">
        <w:rPr>
          <w:rFonts w:ascii="Arial" w:hAnsi="Arial"/>
          <w:sz w:val="22"/>
          <w:szCs w:val="22"/>
        </w:rPr>
        <w:t>re-</w:t>
      </w:r>
      <w:r w:rsidRPr="001F7D3C">
        <w:rPr>
          <w:rFonts w:ascii="Arial" w:hAnsi="Arial"/>
          <w:sz w:val="22"/>
          <w:szCs w:val="22"/>
        </w:rPr>
        <w:t xml:space="preserve">submission </w:t>
      </w:r>
      <w:r w:rsidR="00615183" w:rsidRPr="001F7D3C">
        <w:rPr>
          <w:rFonts w:ascii="Arial" w:hAnsi="Arial"/>
          <w:sz w:val="22"/>
          <w:szCs w:val="22"/>
        </w:rPr>
        <w:t>estimate</w:t>
      </w:r>
      <w:r w:rsidR="00615183" w:rsidRPr="00026208">
        <w:rPr>
          <w:rFonts w:ascii="Arial" w:hAnsi="Arial"/>
          <w:sz w:val="22"/>
          <w:szCs w:val="22"/>
        </w:rPr>
        <w:t xml:space="preserve">d </w:t>
      </w:r>
      <w:r w:rsidRPr="00026208">
        <w:rPr>
          <w:rFonts w:ascii="Arial" w:hAnsi="Arial"/>
          <w:sz w:val="22"/>
          <w:szCs w:val="22"/>
        </w:rPr>
        <w:t xml:space="preserve">a net cost to the </w:t>
      </w:r>
      <w:r w:rsidR="0086087A" w:rsidRPr="00026208">
        <w:rPr>
          <w:rFonts w:ascii="Arial" w:hAnsi="Arial"/>
          <w:sz w:val="22"/>
          <w:szCs w:val="22"/>
        </w:rPr>
        <w:t>NIP</w:t>
      </w:r>
      <w:r w:rsidRPr="00026208">
        <w:rPr>
          <w:rFonts w:ascii="Arial" w:hAnsi="Arial"/>
          <w:sz w:val="22"/>
          <w:szCs w:val="22"/>
        </w:rPr>
        <w:t xml:space="preserve"> of $</w:t>
      </w:r>
      <w:r w:rsidR="00026208">
        <w:rPr>
          <w:rFonts w:ascii="Arial" w:hAnsi="Arial"/>
          <w:sz w:val="22"/>
          <w:szCs w:val="22"/>
        </w:rPr>
        <w:t xml:space="preserve">30 – $60 million </w:t>
      </w:r>
      <w:r w:rsidR="00A5076D" w:rsidRPr="00026208">
        <w:rPr>
          <w:rFonts w:ascii="Arial" w:hAnsi="Arial"/>
          <w:sz w:val="22"/>
          <w:szCs w:val="22"/>
        </w:rPr>
        <w:t xml:space="preserve">and a net cost to Government of </w:t>
      </w:r>
      <w:r w:rsidR="000E31B5" w:rsidRPr="00026208">
        <w:rPr>
          <w:rFonts w:ascii="Arial" w:hAnsi="Arial"/>
          <w:sz w:val="22"/>
          <w:szCs w:val="22"/>
        </w:rPr>
        <w:t>$</w:t>
      </w:r>
      <w:r w:rsidR="00026208">
        <w:rPr>
          <w:rFonts w:ascii="Arial" w:hAnsi="Arial"/>
          <w:sz w:val="22"/>
          <w:szCs w:val="22"/>
        </w:rPr>
        <w:t>60 – $100 million</w:t>
      </w:r>
      <w:r w:rsidR="00026208" w:rsidRPr="00026208">
        <w:rPr>
          <w:rFonts w:ascii="Arial" w:hAnsi="Arial"/>
          <w:sz w:val="22"/>
          <w:szCs w:val="22"/>
        </w:rPr>
        <w:t xml:space="preserve"> </w:t>
      </w:r>
      <w:r w:rsidRPr="00026208">
        <w:rPr>
          <w:rFonts w:ascii="Arial" w:hAnsi="Arial"/>
          <w:sz w:val="22"/>
          <w:szCs w:val="22"/>
        </w:rPr>
        <w:t xml:space="preserve">in Year 5 of listing, with a total </w:t>
      </w:r>
      <w:r w:rsidR="00D978D9" w:rsidRPr="00026208">
        <w:rPr>
          <w:rFonts w:ascii="Arial" w:hAnsi="Arial"/>
          <w:sz w:val="22"/>
          <w:szCs w:val="22"/>
        </w:rPr>
        <w:t xml:space="preserve">net </w:t>
      </w:r>
      <w:r w:rsidRPr="00026208">
        <w:rPr>
          <w:rFonts w:ascii="Arial" w:hAnsi="Arial"/>
          <w:sz w:val="22"/>
          <w:szCs w:val="22"/>
        </w:rPr>
        <w:t xml:space="preserve">cost to the </w:t>
      </w:r>
      <w:r w:rsidR="0086087A" w:rsidRPr="00026208">
        <w:rPr>
          <w:rFonts w:ascii="Arial" w:hAnsi="Arial"/>
          <w:sz w:val="22"/>
          <w:szCs w:val="22"/>
        </w:rPr>
        <w:t>NIP</w:t>
      </w:r>
      <w:r w:rsidRPr="00026208">
        <w:rPr>
          <w:rFonts w:ascii="Arial" w:hAnsi="Arial"/>
          <w:sz w:val="22"/>
          <w:szCs w:val="22"/>
        </w:rPr>
        <w:t xml:space="preserve"> of </w:t>
      </w:r>
      <w:r w:rsidR="00026208">
        <w:rPr>
          <w:rFonts w:ascii="Arial" w:hAnsi="Arial"/>
          <w:sz w:val="22"/>
          <w:szCs w:val="22"/>
        </w:rPr>
        <w:t xml:space="preserve">more than </w:t>
      </w:r>
      <w:r w:rsidRPr="00026208">
        <w:rPr>
          <w:rFonts w:ascii="Arial" w:hAnsi="Arial"/>
          <w:sz w:val="22"/>
          <w:szCs w:val="22"/>
        </w:rPr>
        <w:t>$</w:t>
      </w:r>
      <w:r w:rsidR="00026208">
        <w:rPr>
          <w:rFonts w:ascii="Arial" w:hAnsi="Arial"/>
          <w:sz w:val="22"/>
          <w:szCs w:val="22"/>
        </w:rPr>
        <w:t xml:space="preserve">100 million </w:t>
      </w:r>
      <w:r w:rsidRPr="00026208">
        <w:rPr>
          <w:rFonts w:ascii="Arial" w:hAnsi="Arial"/>
          <w:sz w:val="22"/>
          <w:szCs w:val="22"/>
        </w:rPr>
        <w:t>over the first 5 years of listing</w:t>
      </w:r>
      <w:r w:rsidR="00D978D9" w:rsidRPr="00026208">
        <w:rPr>
          <w:rFonts w:ascii="Arial" w:hAnsi="Arial"/>
          <w:sz w:val="22"/>
          <w:szCs w:val="22"/>
        </w:rPr>
        <w:t xml:space="preserve"> for Program #5</w:t>
      </w:r>
      <w:r w:rsidR="00187991" w:rsidRPr="00026208">
        <w:rPr>
          <w:rFonts w:ascii="Arial" w:hAnsi="Arial"/>
          <w:sz w:val="22"/>
          <w:szCs w:val="22"/>
        </w:rPr>
        <w:t xml:space="preserve"> </w:t>
      </w:r>
      <w:r w:rsidR="00187991" w:rsidRPr="004D6F3D">
        <w:rPr>
          <w:rFonts w:ascii="Arial" w:hAnsi="Arial"/>
          <w:sz w:val="22"/>
          <w:szCs w:val="22"/>
        </w:rPr>
        <w:t>(</w:t>
      </w:r>
      <w:r w:rsidR="00676FE1">
        <w:rPr>
          <w:rFonts w:ascii="Arial" w:hAnsi="Arial"/>
          <w:noProof/>
          <w:color w:val="000000"/>
          <w:sz w:val="22"/>
          <w:szCs w:val="22"/>
          <w:highlight w:val="black"/>
        </w:rPr>
        <w:t>''''''''''''''''''' ''''''''''''''''''''' ''''''' ''''''''''''''''''' ''''''''' '''' '''''''''' '''' '''''''' ''''''''''''''''''''''' ''''''''''''''''''''' '''''''''''''</w:t>
      </w:r>
      <w:r w:rsidR="00187991" w:rsidRPr="004D6F3D">
        <w:rPr>
          <w:rFonts w:ascii="Arial" w:hAnsi="Arial"/>
          <w:sz w:val="22"/>
          <w:szCs w:val="22"/>
        </w:rPr>
        <w:t>)</w:t>
      </w:r>
      <w:r w:rsidRPr="004D6F3D">
        <w:rPr>
          <w:rFonts w:ascii="Arial" w:hAnsi="Arial"/>
          <w:sz w:val="22"/>
          <w:szCs w:val="22"/>
        </w:rPr>
        <w:t>.</w:t>
      </w:r>
      <w:r w:rsidR="00D978D9" w:rsidRPr="00026208">
        <w:rPr>
          <w:rFonts w:ascii="Arial" w:hAnsi="Arial"/>
          <w:sz w:val="22"/>
          <w:szCs w:val="22"/>
        </w:rPr>
        <w:t xml:space="preserve"> This is summarised in the table below as well as the expected number of individuals vaccinat</w:t>
      </w:r>
      <w:r w:rsidR="00D978D9" w:rsidRPr="001F7D3C">
        <w:rPr>
          <w:rFonts w:ascii="Arial" w:hAnsi="Arial"/>
          <w:sz w:val="22"/>
          <w:szCs w:val="22"/>
        </w:rPr>
        <w:t>ed.</w:t>
      </w:r>
    </w:p>
    <w:p w:rsidR="00425975" w:rsidRPr="001F7D3C" w:rsidRDefault="00425975" w:rsidP="00425975">
      <w:pPr>
        <w:jc w:val="both"/>
        <w:rPr>
          <w:rFonts w:ascii="Arial" w:hAnsi="Arial"/>
          <w:sz w:val="22"/>
          <w:szCs w:val="22"/>
        </w:rPr>
      </w:pPr>
    </w:p>
    <w:p w:rsidR="00C00DA7" w:rsidRPr="001F7D3C" w:rsidRDefault="00D978D9" w:rsidP="00C00DA7">
      <w:pPr>
        <w:pStyle w:val="ListParagraph"/>
        <w:numPr>
          <w:ilvl w:val="1"/>
          <w:numId w:val="2"/>
        </w:numPr>
        <w:ind w:left="709"/>
        <w:jc w:val="both"/>
        <w:rPr>
          <w:rFonts w:ascii="Arial" w:hAnsi="Arial"/>
          <w:sz w:val="22"/>
          <w:szCs w:val="22"/>
        </w:rPr>
      </w:pPr>
      <w:r w:rsidRPr="001F7D3C">
        <w:rPr>
          <w:rFonts w:ascii="Arial" w:hAnsi="Arial"/>
          <w:sz w:val="22"/>
          <w:szCs w:val="22"/>
        </w:rPr>
        <w:t>The minor re-submission als</w:t>
      </w:r>
      <w:r w:rsidRPr="00026208">
        <w:rPr>
          <w:rFonts w:ascii="Arial" w:hAnsi="Arial"/>
          <w:sz w:val="22"/>
          <w:szCs w:val="22"/>
        </w:rPr>
        <w:t xml:space="preserve">o </w:t>
      </w:r>
      <w:r w:rsidR="00615183" w:rsidRPr="00026208">
        <w:rPr>
          <w:rFonts w:ascii="Arial" w:hAnsi="Arial"/>
          <w:sz w:val="22"/>
          <w:szCs w:val="22"/>
        </w:rPr>
        <w:t xml:space="preserve">estimated </w:t>
      </w:r>
      <w:r w:rsidRPr="00026208">
        <w:rPr>
          <w:rFonts w:ascii="Arial" w:hAnsi="Arial"/>
          <w:sz w:val="22"/>
          <w:szCs w:val="22"/>
        </w:rPr>
        <w:t>a net cost to the NIP of $</w:t>
      </w:r>
      <w:r w:rsidR="00026208" w:rsidRPr="00026208">
        <w:rPr>
          <w:rFonts w:ascii="Arial" w:hAnsi="Arial"/>
          <w:sz w:val="22"/>
          <w:szCs w:val="22"/>
        </w:rPr>
        <w:t xml:space="preserve">10 - $20 million </w:t>
      </w:r>
      <w:r w:rsidR="000E31B5" w:rsidRPr="00026208">
        <w:rPr>
          <w:rFonts w:ascii="Arial" w:hAnsi="Arial"/>
          <w:sz w:val="22"/>
          <w:szCs w:val="22"/>
        </w:rPr>
        <w:t xml:space="preserve">and a net cost to Government of </w:t>
      </w:r>
      <w:r w:rsidR="00EE60AD" w:rsidRPr="00E7178C">
        <w:rPr>
          <w:rFonts w:ascii="Arial" w:hAnsi="Arial"/>
          <w:sz w:val="22"/>
          <w:szCs w:val="22"/>
        </w:rPr>
        <w:t>$</w:t>
      </w:r>
      <w:r w:rsidR="00026208" w:rsidRPr="00026208">
        <w:rPr>
          <w:rFonts w:ascii="Arial" w:hAnsi="Arial"/>
          <w:sz w:val="22"/>
          <w:szCs w:val="22"/>
        </w:rPr>
        <w:t xml:space="preserve">10 – 20 </w:t>
      </w:r>
      <w:r w:rsidR="00026208" w:rsidRPr="00E7178C">
        <w:rPr>
          <w:rFonts w:ascii="Arial" w:hAnsi="Arial"/>
          <w:sz w:val="22"/>
          <w:szCs w:val="22"/>
        </w:rPr>
        <w:t>million</w:t>
      </w:r>
      <w:r w:rsidR="0097770A">
        <w:rPr>
          <w:rFonts w:ascii="Arial" w:hAnsi="Arial"/>
          <w:sz w:val="22"/>
          <w:szCs w:val="22"/>
        </w:rPr>
        <w:t xml:space="preserve"> in Year 5 of listing, with a total net cost to the NIP of more than $</w:t>
      </w:r>
      <w:r w:rsidR="00026208" w:rsidRPr="00026208">
        <w:rPr>
          <w:rFonts w:ascii="Arial" w:hAnsi="Arial"/>
          <w:sz w:val="22"/>
          <w:szCs w:val="22"/>
        </w:rPr>
        <w:t xml:space="preserve">100 million </w:t>
      </w:r>
      <w:r w:rsidRPr="00026208">
        <w:rPr>
          <w:rFonts w:ascii="Arial" w:hAnsi="Arial"/>
          <w:sz w:val="22"/>
          <w:szCs w:val="22"/>
        </w:rPr>
        <w:t>over the first 5 yea</w:t>
      </w:r>
      <w:r w:rsidRPr="001F7D3C">
        <w:rPr>
          <w:rFonts w:ascii="Arial" w:hAnsi="Arial"/>
          <w:sz w:val="22"/>
          <w:szCs w:val="22"/>
        </w:rPr>
        <w:t xml:space="preserve">rs of listing for </w:t>
      </w:r>
      <w:r w:rsidR="008842A9" w:rsidRPr="001F7D3C">
        <w:rPr>
          <w:rFonts w:ascii="Arial" w:hAnsi="Arial"/>
          <w:sz w:val="22"/>
          <w:szCs w:val="22"/>
        </w:rPr>
        <w:t xml:space="preserve">the adolescent </w:t>
      </w:r>
      <w:r w:rsidR="008842A9" w:rsidRPr="004D6F3D">
        <w:rPr>
          <w:rFonts w:ascii="Arial" w:hAnsi="Arial"/>
          <w:sz w:val="22"/>
          <w:szCs w:val="22"/>
        </w:rPr>
        <w:t>only</w:t>
      </w:r>
      <w:r w:rsidR="00B24C72" w:rsidRPr="004D6F3D">
        <w:rPr>
          <w:rFonts w:ascii="Arial" w:hAnsi="Arial"/>
          <w:sz w:val="22"/>
          <w:szCs w:val="22"/>
        </w:rPr>
        <w:t xml:space="preserve"> (with catch up)</w:t>
      </w:r>
      <w:r w:rsidR="008842A9" w:rsidRPr="004D6F3D">
        <w:rPr>
          <w:rFonts w:ascii="Arial" w:hAnsi="Arial"/>
          <w:sz w:val="22"/>
          <w:szCs w:val="22"/>
        </w:rPr>
        <w:t xml:space="preserve"> </w:t>
      </w:r>
      <w:r w:rsidRPr="004D6F3D">
        <w:rPr>
          <w:rFonts w:ascii="Arial" w:hAnsi="Arial"/>
          <w:sz w:val="22"/>
          <w:szCs w:val="22"/>
        </w:rPr>
        <w:t>Program #4</w:t>
      </w:r>
      <w:r w:rsidR="0055497C" w:rsidRPr="004D6F3D">
        <w:rPr>
          <w:rFonts w:ascii="Arial" w:hAnsi="Arial"/>
          <w:sz w:val="22"/>
          <w:szCs w:val="22"/>
        </w:rPr>
        <w:t xml:space="preserve"> (</w:t>
      </w:r>
      <w:r w:rsidR="00676FE1">
        <w:rPr>
          <w:rFonts w:ascii="Arial" w:hAnsi="Arial"/>
          <w:noProof/>
          <w:color w:val="000000"/>
          <w:sz w:val="22"/>
          <w:szCs w:val="22"/>
          <w:highlight w:val="black"/>
        </w:rPr>
        <w:t>'''''' ''''''''' '''''''''''''''''' ''''''''''''''' ''''''' ''''''''''''''''''' ''''' ''''''' '''''''''''''''''''''' '''''''''''''''''''</w:t>
      </w:r>
      <w:r w:rsidRPr="004D6F3D">
        <w:rPr>
          <w:rFonts w:ascii="Arial" w:hAnsi="Arial"/>
          <w:sz w:val="22"/>
          <w:szCs w:val="22"/>
        </w:rPr>
        <w:t xml:space="preserve"> This is summarised in the table below as well as the expected number of individuals</w:t>
      </w:r>
      <w:r w:rsidRPr="001F7D3C">
        <w:rPr>
          <w:rFonts w:ascii="Arial" w:hAnsi="Arial"/>
          <w:sz w:val="22"/>
          <w:szCs w:val="22"/>
        </w:rPr>
        <w:t xml:space="preserve"> vaccinated.</w:t>
      </w:r>
    </w:p>
    <w:p w:rsidR="00425975" w:rsidRPr="001F7D3C" w:rsidRDefault="00425975" w:rsidP="00425975">
      <w:pPr>
        <w:jc w:val="both"/>
        <w:rPr>
          <w:rFonts w:ascii="Arial" w:hAnsi="Arial"/>
          <w:sz w:val="22"/>
          <w:szCs w:val="22"/>
        </w:rPr>
      </w:pPr>
    </w:p>
    <w:p w:rsidR="00D978D9" w:rsidRPr="001F7D3C" w:rsidRDefault="00D978D9" w:rsidP="00C00DA7">
      <w:pPr>
        <w:pStyle w:val="ListParagraph"/>
        <w:numPr>
          <w:ilvl w:val="1"/>
          <w:numId w:val="2"/>
        </w:numPr>
        <w:ind w:left="709"/>
        <w:jc w:val="both"/>
        <w:rPr>
          <w:rFonts w:ascii="Arial" w:hAnsi="Arial"/>
          <w:sz w:val="22"/>
          <w:szCs w:val="22"/>
        </w:rPr>
      </w:pPr>
      <w:r w:rsidRPr="001F7D3C">
        <w:rPr>
          <w:rFonts w:ascii="Arial" w:hAnsi="Arial"/>
          <w:sz w:val="22"/>
          <w:szCs w:val="22"/>
        </w:rPr>
        <w:t>The minor re-submission did not estimate the net cost to the NIP for Program #3.</w:t>
      </w:r>
    </w:p>
    <w:p w:rsidR="00051E66" w:rsidRDefault="00051E66">
      <w:pPr>
        <w:rPr>
          <w:rFonts w:ascii="Arial" w:hAnsi="Arial"/>
          <w:sz w:val="22"/>
          <w:szCs w:val="22"/>
        </w:rPr>
      </w:pPr>
      <w:r>
        <w:rPr>
          <w:rFonts w:ascii="Arial" w:hAnsi="Arial"/>
          <w:sz w:val="22"/>
          <w:szCs w:val="22"/>
        </w:rPr>
        <w:br w:type="page"/>
      </w:r>
    </w:p>
    <w:p w:rsidR="00CF02B7" w:rsidRPr="001F7D3C" w:rsidRDefault="00CF02B7" w:rsidP="00CF02B7">
      <w:pPr>
        <w:jc w:val="both"/>
        <w:rPr>
          <w:rFonts w:ascii="Arial" w:hAnsi="Arial"/>
          <w:sz w:val="22"/>
          <w:szCs w:val="22"/>
        </w:rPr>
      </w:pPr>
    </w:p>
    <w:p w:rsidR="008D0F85" w:rsidRPr="001F7D3C" w:rsidRDefault="00CD27BF" w:rsidP="008D0F85">
      <w:pPr>
        <w:pStyle w:val="ListParagraph"/>
        <w:jc w:val="both"/>
        <w:rPr>
          <w:rStyle w:val="CommentReference"/>
          <w:rFonts w:ascii="Arial Narrow" w:hAnsi="Arial Narrow"/>
          <w:b/>
          <w:sz w:val="20"/>
          <w:szCs w:val="20"/>
        </w:rPr>
      </w:pPr>
      <w:r>
        <w:rPr>
          <w:rStyle w:val="CommentReference"/>
          <w:rFonts w:ascii="Arial Narrow" w:hAnsi="Arial Narrow"/>
          <w:b/>
          <w:sz w:val="20"/>
          <w:szCs w:val="20"/>
        </w:rPr>
        <w:t>Table 6</w:t>
      </w:r>
      <w:r w:rsidR="008D0F85" w:rsidRPr="001F7D3C">
        <w:rPr>
          <w:rStyle w:val="CommentReference"/>
          <w:rFonts w:ascii="Arial Narrow" w:hAnsi="Arial Narrow"/>
          <w:b/>
          <w:sz w:val="20"/>
          <w:szCs w:val="20"/>
        </w:rPr>
        <w:t>: Net cost of drug to the Australian Government (one year catch up)</w:t>
      </w:r>
    </w:p>
    <w:tbl>
      <w:tblPr>
        <w:tblW w:w="83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7"/>
        <w:gridCol w:w="1123"/>
        <w:gridCol w:w="1060"/>
        <w:gridCol w:w="1028"/>
        <w:gridCol w:w="1060"/>
        <w:gridCol w:w="1060"/>
      </w:tblGrid>
      <w:tr w:rsidR="008D0F85" w:rsidRPr="001F7D3C" w:rsidTr="00425975">
        <w:trPr>
          <w:trHeight w:val="20"/>
          <w:tblHeader/>
        </w:trPr>
        <w:tc>
          <w:tcPr>
            <w:tcW w:w="3402" w:type="dxa"/>
            <w:shd w:val="clear" w:color="auto" w:fill="auto"/>
          </w:tcPr>
          <w:p w:rsidR="008D0F85" w:rsidRPr="001F7D3C" w:rsidRDefault="008D0F85" w:rsidP="008D0F85">
            <w:pPr>
              <w:jc w:val="center"/>
              <w:rPr>
                <w:rFonts w:ascii="Arial Narrow" w:hAnsi="Arial Narrow"/>
                <w:b/>
                <w:iCs/>
                <w:color w:val="000000"/>
                <w:sz w:val="20"/>
                <w:szCs w:val="20"/>
              </w:rPr>
            </w:pPr>
            <w:r w:rsidRPr="001F7D3C">
              <w:rPr>
                <w:rFonts w:ascii="Arial Narrow" w:hAnsi="Arial Narrow"/>
                <w:b/>
                <w:iCs/>
                <w:color w:val="000000"/>
                <w:sz w:val="20"/>
                <w:szCs w:val="20"/>
              </w:rPr>
              <w:t xml:space="preserve">Total cost </w:t>
            </w:r>
          </w:p>
        </w:tc>
        <w:tc>
          <w:tcPr>
            <w:tcW w:w="0" w:type="auto"/>
            <w:shd w:val="clear" w:color="auto" w:fill="auto"/>
            <w:noWrap/>
          </w:tcPr>
          <w:p w:rsidR="008D0F85" w:rsidRPr="001F7D3C" w:rsidRDefault="008D0F85" w:rsidP="008D0F85">
            <w:pPr>
              <w:jc w:val="center"/>
              <w:rPr>
                <w:rFonts w:ascii="Arial Narrow" w:hAnsi="Arial Narrow"/>
                <w:b/>
                <w:iCs/>
                <w:color w:val="000000"/>
                <w:sz w:val="20"/>
                <w:szCs w:val="20"/>
              </w:rPr>
            </w:pPr>
            <w:r w:rsidRPr="001F7D3C">
              <w:rPr>
                <w:rFonts w:ascii="Arial Narrow" w:hAnsi="Arial Narrow"/>
                <w:b/>
                <w:iCs/>
                <w:color w:val="000000"/>
                <w:sz w:val="20"/>
                <w:szCs w:val="20"/>
              </w:rPr>
              <w:t>Year 1</w:t>
            </w:r>
          </w:p>
        </w:tc>
        <w:tc>
          <w:tcPr>
            <w:tcW w:w="0" w:type="auto"/>
            <w:shd w:val="clear" w:color="auto" w:fill="auto"/>
            <w:noWrap/>
          </w:tcPr>
          <w:p w:rsidR="008D0F85" w:rsidRPr="001F7D3C" w:rsidRDefault="008D0F85" w:rsidP="008D0F85">
            <w:pPr>
              <w:jc w:val="center"/>
              <w:rPr>
                <w:rFonts w:ascii="Arial Narrow" w:hAnsi="Arial Narrow"/>
                <w:b/>
                <w:iCs/>
                <w:color w:val="000000"/>
                <w:sz w:val="20"/>
                <w:szCs w:val="20"/>
              </w:rPr>
            </w:pPr>
            <w:r w:rsidRPr="001F7D3C">
              <w:rPr>
                <w:rFonts w:ascii="Arial Narrow" w:hAnsi="Arial Narrow"/>
                <w:b/>
                <w:iCs/>
                <w:color w:val="000000"/>
                <w:sz w:val="20"/>
                <w:szCs w:val="20"/>
              </w:rPr>
              <w:t>Year 2</w:t>
            </w:r>
          </w:p>
        </w:tc>
        <w:tc>
          <w:tcPr>
            <w:tcW w:w="0" w:type="auto"/>
            <w:shd w:val="clear" w:color="auto" w:fill="auto"/>
            <w:noWrap/>
          </w:tcPr>
          <w:p w:rsidR="008D0F85" w:rsidRPr="001F7D3C" w:rsidRDefault="008D0F85" w:rsidP="008D0F85">
            <w:pPr>
              <w:jc w:val="center"/>
              <w:rPr>
                <w:rFonts w:ascii="Arial Narrow" w:hAnsi="Arial Narrow"/>
                <w:b/>
                <w:iCs/>
                <w:color w:val="000000"/>
                <w:sz w:val="20"/>
                <w:szCs w:val="20"/>
              </w:rPr>
            </w:pPr>
            <w:r w:rsidRPr="001F7D3C">
              <w:rPr>
                <w:rFonts w:ascii="Arial Narrow" w:hAnsi="Arial Narrow"/>
                <w:b/>
                <w:iCs/>
                <w:color w:val="000000"/>
                <w:sz w:val="20"/>
                <w:szCs w:val="20"/>
              </w:rPr>
              <w:t>Year 3</w:t>
            </w:r>
          </w:p>
        </w:tc>
        <w:tc>
          <w:tcPr>
            <w:tcW w:w="0" w:type="auto"/>
            <w:shd w:val="clear" w:color="auto" w:fill="auto"/>
            <w:noWrap/>
          </w:tcPr>
          <w:p w:rsidR="008D0F85" w:rsidRPr="001F7D3C" w:rsidRDefault="008D0F85" w:rsidP="008D0F85">
            <w:pPr>
              <w:jc w:val="center"/>
              <w:rPr>
                <w:rFonts w:ascii="Arial Narrow" w:hAnsi="Arial Narrow"/>
                <w:b/>
                <w:iCs/>
                <w:color w:val="000000"/>
                <w:sz w:val="20"/>
                <w:szCs w:val="20"/>
              </w:rPr>
            </w:pPr>
            <w:r w:rsidRPr="001F7D3C">
              <w:rPr>
                <w:rFonts w:ascii="Arial Narrow" w:hAnsi="Arial Narrow"/>
                <w:b/>
                <w:iCs/>
                <w:color w:val="000000"/>
                <w:sz w:val="20"/>
                <w:szCs w:val="20"/>
              </w:rPr>
              <w:t>Year 4</w:t>
            </w:r>
          </w:p>
        </w:tc>
        <w:tc>
          <w:tcPr>
            <w:tcW w:w="0" w:type="auto"/>
            <w:shd w:val="clear" w:color="auto" w:fill="auto"/>
            <w:noWrap/>
          </w:tcPr>
          <w:p w:rsidR="008D0F85" w:rsidRPr="001F7D3C" w:rsidRDefault="008D0F85" w:rsidP="008D0F85">
            <w:pPr>
              <w:jc w:val="center"/>
              <w:rPr>
                <w:rFonts w:ascii="Arial Narrow" w:hAnsi="Arial Narrow"/>
                <w:b/>
                <w:iCs/>
                <w:color w:val="000000"/>
                <w:sz w:val="20"/>
                <w:szCs w:val="20"/>
              </w:rPr>
            </w:pPr>
            <w:r w:rsidRPr="001F7D3C">
              <w:rPr>
                <w:rFonts w:ascii="Arial Narrow" w:hAnsi="Arial Narrow"/>
                <w:b/>
                <w:iCs/>
                <w:color w:val="000000"/>
                <w:sz w:val="20"/>
                <w:szCs w:val="20"/>
              </w:rPr>
              <w:t>Year 5</w:t>
            </w:r>
          </w:p>
        </w:tc>
      </w:tr>
      <w:tr w:rsidR="008D0F85" w:rsidRPr="001F7D3C" w:rsidTr="008D0F85">
        <w:trPr>
          <w:trHeight w:val="20"/>
        </w:trPr>
        <w:tc>
          <w:tcPr>
            <w:tcW w:w="8338" w:type="dxa"/>
            <w:gridSpan w:val="6"/>
            <w:shd w:val="clear" w:color="auto" w:fill="auto"/>
            <w:vAlign w:val="center"/>
          </w:tcPr>
          <w:p w:rsidR="008D0F85" w:rsidRPr="001F7D3C" w:rsidRDefault="008D0F85" w:rsidP="008D0F85">
            <w:pPr>
              <w:rPr>
                <w:rFonts w:ascii="Arial Narrow" w:hAnsi="Arial Narrow"/>
                <w:b/>
                <w:iCs/>
                <w:color w:val="000000"/>
                <w:sz w:val="20"/>
                <w:szCs w:val="20"/>
              </w:rPr>
            </w:pPr>
            <w:r w:rsidRPr="001F7D3C">
              <w:rPr>
                <w:rFonts w:ascii="Arial Narrow" w:hAnsi="Arial Narrow"/>
                <w:b/>
                <w:iCs/>
                <w:color w:val="000000"/>
                <w:sz w:val="20"/>
                <w:szCs w:val="20"/>
              </w:rPr>
              <w:t xml:space="preserve">Program </w:t>
            </w:r>
            <w:r w:rsidR="00D978D9" w:rsidRPr="001F7D3C">
              <w:rPr>
                <w:rFonts w:ascii="Arial Narrow" w:hAnsi="Arial Narrow"/>
                <w:b/>
                <w:iCs/>
                <w:color w:val="000000"/>
                <w:sz w:val="20"/>
                <w:szCs w:val="20"/>
              </w:rPr>
              <w:t>#</w:t>
            </w:r>
            <w:r w:rsidRPr="001F7D3C">
              <w:rPr>
                <w:rFonts w:ascii="Arial Narrow" w:hAnsi="Arial Narrow"/>
                <w:b/>
                <w:iCs/>
                <w:color w:val="000000"/>
                <w:sz w:val="20"/>
                <w:szCs w:val="20"/>
              </w:rPr>
              <w:t xml:space="preserve">5 (preferred) </w:t>
            </w:r>
            <w:r w:rsidRPr="001F7D3C">
              <w:rPr>
                <w:rFonts w:ascii="Arial Narrow" w:hAnsi="Arial Narrow"/>
                <w:b/>
                <w:iCs/>
                <w:color w:val="000000"/>
                <w:sz w:val="20"/>
                <w:szCs w:val="20"/>
                <w:vertAlign w:val="superscript"/>
              </w:rPr>
              <w:t>a,b</w:t>
            </w:r>
          </w:p>
        </w:tc>
      </w:tr>
      <w:tr w:rsidR="00D978D9" w:rsidRPr="001F7D3C" w:rsidTr="00347AB1">
        <w:trPr>
          <w:trHeight w:val="20"/>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Individuals likely to be vaccinated</w:t>
            </w:r>
          </w:p>
        </w:tc>
        <w:tc>
          <w:tcPr>
            <w:tcW w:w="0" w:type="auto"/>
            <w:shd w:val="clear" w:color="auto" w:fill="auto"/>
            <w:noWrap/>
            <w:vAlign w:val="bottom"/>
          </w:tcPr>
          <w:p w:rsidR="00D978D9" w:rsidRPr="00676FE1" w:rsidRDefault="00676FE1" w:rsidP="00D978D9">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bottom"/>
          </w:tcPr>
          <w:p w:rsidR="00D978D9" w:rsidRPr="00676FE1" w:rsidRDefault="00676FE1" w:rsidP="00D978D9">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bottom"/>
          </w:tcPr>
          <w:p w:rsidR="00D978D9" w:rsidRPr="00676FE1" w:rsidRDefault="00676FE1" w:rsidP="00D978D9">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bottom"/>
          </w:tcPr>
          <w:p w:rsidR="00D978D9" w:rsidRPr="00676FE1" w:rsidRDefault="00676FE1" w:rsidP="00D978D9">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bottom"/>
          </w:tcPr>
          <w:p w:rsidR="00D978D9" w:rsidRPr="00676FE1" w:rsidRDefault="00676FE1" w:rsidP="00D978D9">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r>
      <w:tr w:rsidR="00D978D9" w:rsidRPr="001F7D3C" w:rsidTr="00347AB1">
        <w:trPr>
          <w:trHeight w:val="20"/>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Total vaccinations</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r>
      <w:tr w:rsidR="00D978D9" w:rsidRPr="001F7D3C" w:rsidTr="008D0F85">
        <w:trPr>
          <w:trHeight w:val="20"/>
        </w:trPr>
        <w:tc>
          <w:tcPr>
            <w:tcW w:w="3402" w:type="dxa"/>
            <w:shd w:val="clear" w:color="auto" w:fill="auto"/>
          </w:tcPr>
          <w:p w:rsidR="00D978D9" w:rsidRPr="001F7D3C" w:rsidRDefault="00D978D9" w:rsidP="00347AB1">
            <w:pPr>
              <w:rPr>
                <w:rFonts w:ascii="Arial Narrow" w:hAnsi="Arial Narrow"/>
                <w:iCs/>
                <w:color w:val="000000"/>
                <w:sz w:val="20"/>
                <w:szCs w:val="20"/>
              </w:rPr>
            </w:pPr>
            <w:r w:rsidRPr="001F7D3C">
              <w:rPr>
                <w:rFonts w:ascii="Arial Narrow" w:hAnsi="Arial Narrow"/>
                <w:iCs/>
                <w:color w:val="000000"/>
                <w:sz w:val="20"/>
                <w:szCs w:val="20"/>
              </w:rPr>
              <w:t>Total cost of vaccination (dispensed/supplied</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D978D9" w:rsidRPr="001F7D3C" w:rsidTr="008D0F85">
        <w:trPr>
          <w:trHeight w:val="20"/>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 xml:space="preserve">Total net cost </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D978D9" w:rsidRPr="001F7D3C" w:rsidTr="008D0F85">
        <w:trPr>
          <w:trHeight w:val="20"/>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Implementation in schools</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D978D9" w:rsidRPr="001F7D3C" w:rsidTr="008D0F85">
        <w:trPr>
          <w:trHeight w:val="20"/>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Additional general practitioner visitation</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$0</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$0</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$0</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$0</w:t>
            </w:r>
          </w:p>
        </w:tc>
      </w:tr>
      <w:tr w:rsidR="00D978D9" w:rsidRPr="001F7D3C" w:rsidTr="008D0F85">
        <w:trPr>
          <w:trHeight w:val="20"/>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Overall net cost to Government Health Budget of listing drug</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D978D9" w:rsidRPr="001F7D3C" w:rsidTr="008D0F85">
        <w:trPr>
          <w:trHeight w:val="20"/>
        </w:trPr>
        <w:tc>
          <w:tcPr>
            <w:tcW w:w="8338" w:type="dxa"/>
            <w:gridSpan w:val="6"/>
            <w:shd w:val="clear" w:color="auto" w:fill="auto"/>
            <w:vAlign w:val="center"/>
          </w:tcPr>
          <w:p w:rsidR="00D978D9" w:rsidRPr="00026208" w:rsidRDefault="00D978D9" w:rsidP="008D0F85">
            <w:pPr>
              <w:rPr>
                <w:rFonts w:ascii="Arial Narrow" w:hAnsi="Arial Narrow"/>
                <w:b/>
                <w:iCs/>
                <w:color w:val="000000"/>
                <w:sz w:val="20"/>
                <w:szCs w:val="20"/>
              </w:rPr>
            </w:pPr>
            <w:r w:rsidRPr="00026208">
              <w:rPr>
                <w:rFonts w:ascii="Arial Narrow" w:hAnsi="Arial Narrow"/>
                <w:b/>
                <w:iCs/>
                <w:color w:val="000000"/>
                <w:sz w:val="20"/>
                <w:szCs w:val="20"/>
              </w:rPr>
              <w:t xml:space="preserve">Program #4 (alternate) </w:t>
            </w:r>
            <w:r w:rsidRPr="00026208">
              <w:rPr>
                <w:rFonts w:ascii="Arial Narrow" w:hAnsi="Arial Narrow"/>
                <w:b/>
                <w:iCs/>
                <w:color w:val="000000"/>
                <w:sz w:val="20"/>
                <w:szCs w:val="20"/>
                <w:vertAlign w:val="superscript"/>
              </w:rPr>
              <w:t>b</w:t>
            </w:r>
          </w:p>
        </w:tc>
      </w:tr>
      <w:tr w:rsidR="00D978D9" w:rsidRPr="001F7D3C" w:rsidTr="00347AB1">
        <w:trPr>
          <w:trHeight w:val="20"/>
        </w:trPr>
        <w:tc>
          <w:tcPr>
            <w:tcW w:w="3402" w:type="dxa"/>
            <w:shd w:val="clear" w:color="auto" w:fill="auto"/>
            <w:vAlign w:val="bottom"/>
          </w:tcPr>
          <w:p w:rsidR="00D978D9" w:rsidRPr="001F7D3C" w:rsidRDefault="00D978D9" w:rsidP="00347AB1">
            <w:pPr>
              <w:rPr>
                <w:rFonts w:ascii="Arial Narrow" w:hAnsi="Arial Narrow"/>
                <w:iCs/>
                <w:color w:val="000000"/>
                <w:sz w:val="20"/>
                <w:szCs w:val="20"/>
              </w:rPr>
            </w:pPr>
            <w:r w:rsidRPr="001F7D3C">
              <w:rPr>
                <w:rFonts w:ascii="Arial Narrow" w:hAnsi="Arial Narrow"/>
                <w:iCs/>
                <w:color w:val="000000"/>
                <w:sz w:val="20"/>
                <w:szCs w:val="20"/>
              </w:rPr>
              <w:t>Individuals likely to be vaccinated</w:t>
            </w:r>
          </w:p>
        </w:tc>
        <w:tc>
          <w:tcPr>
            <w:tcW w:w="0" w:type="auto"/>
            <w:shd w:val="clear" w:color="auto" w:fill="auto"/>
            <w:noWrap/>
            <w:vAlign w:val="bottom"/>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bottom"/>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bottom"/>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bottom"/>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bottom"/>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r>
      <w:tr w:rsidR="00D978D9" w:rsidRPr="001F7D3C" w:rsidTr="00347AB1">
        <w:trPr>
          <w:trHeight w:val="20"/>
        </w:trPr>
        <w:tc>
          <w:tcPr>
            <w:tcW w:w="3402" w:type="dxa"/>
            <w:shd w:val="clear" w:color="auto" w:fill="auto"/>
            <w:vAlign w:val="bottom"/>
          </w:tcPr>
          <w:p w:rsidR="00D978D9" w:rsidRPr="001F7D3C" w:rsidRDefault="00D978D9" w:rsidP="00347AB1">
            <w:pPr>
              <w:rPr>
                <w:rFonts w:ascii="Arial Narrow" w:hAnsi="Arial Narrow"/>
                <w:iCs/>
                <w:color w:val="000000"/>
                <w:sz w:val="20"/>
                <w:szCs w:val="20"/>
              </w:rPr>
            </w:pPr>
            <w:r w:rsidRPr="001F7D3C">
              <w:rPr>
                <w:rFonts w:ascii="Arial Narrow" w:hAnsi="Arial Narrow"/>
                <w:iCs/>
                <w:color w:val="000000"/>
                <w:sz w:val="20"/>
                <w:szCs w:val="20"/>
              </w:rPr>
              <w:t>Total vaccinations</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c>
          <w:tcPr>
            <w:tcW w:w="0" w:type="auto"/>
            <w:shd w:val="clear" w:color="auto" w:fill="auto"/>
            <w:noWrap/>
            <w:vAlign w:val="center"/>
          </w:tcPr>
          <w:p w:rsidR="00D978D9" w:rsidRPr="00676FE1" w:rsidRDefault="00676FE1">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tc>
      </w:tr>
      <w:tr w:rsidR="00D978D9" w:rsidRPr="001F7D3C" w:rsidTr="008D0F85">
        <w:trPr>
          <w:trHeight w:val="20"/>
        </w:trPr>
        <w:tc>
          <w:tcPr>
            <w:tcW w:w="3402" w:type="dxa"/>
            <w:shd w:val="clear" w:color="auto" w:fill="auto"/>
            <w:vAlign w:val="bottom"/>
          </w:tcPr>
          <w:p w:rsidR="00D978D9" w:rsidRPr="001F7D3C" w:rsidRDefault="00D978D9" w:rsidP="00347AB1">
            <w:pPr>
              <w:rPr>
                <w:rFonts w:ascii="Arial Narrow" w:hAnsi="Arial Narrow"/>
                <w:iCs/>
                <w:color w:val="000000"/>
                <w:sz w:val="20"/>
                <w:szCs w:val="20"/>
              </w:rPr>
            </w:pPr>
            <w:r w:rsidRPr="001F7D3C">
              <w:rPr>
                <w:rFonts w:ascii="Arial Narrow" w:hAnsi="Arial Narrow"/>
                <w:iCs/>
                <w:color w:val="000000"/>
                <w:sz w:val="20"/>
                <w:szCs w:val="20"/>
              </w:rPr>
              <w:t>Total cost of vaccination (dispensed/supplied)</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347AB1">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D978D9" w:rsidRPr="001F7D3C" w:rsidTr="008D0F85">
        <w:trPr>
          <w:trHeight w:val="20"/>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 xml:space="preserve">Total net cost </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D978D9" w:rsidRPr="001F7D3C" w:rsidTr="008D0F85">
        <w:trPr>
          <w:trHeight w:val="20"/>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Implementation in schools</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r w:rsidR="00D978D9" w:rsidRPr="001F7D3C" w:rsidTr="008D0F85">
        <w:trPr>
          <w:trHeight w:val="20"/>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Additional general practitioner visitation</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$0</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$0</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$0</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$0</w:t>
            </w:r>
          </w:p>
        </w:tc>
      </w:tr>
      <w:tr w:rsidR="00D978D9" w:rsidRPr="001F7D3C" w:rsidTr="008D0F85">
        <w:trPr>
          <w:trHeight w:val="363"/>
        </w:trPr>
        <w:tc>
          <w:tcPr>
            <w:tcW w:w="3402" w:type="dxa"/>
            <w:shd w:val="clear" w:color="auto" w:fill="auto"/>
          </w:tcPr>
          <w:p w:rsidR="00D978D9" w:rsidRPr="001F7D3C" w:rsidRDefault="00D978D9" w:rsidP="008D0F85">
            <w:pPr>
              <w:rPr>
                <w:rFonts w:ascii="Arial Narrow" w:hAnsi="Arial Narrow"/>
                <w:iCs/>
                <w:color w:val="000000"/>
                <w:sz w:val="20"/>
                <w:szCs w:val="20"/>
              </w:rPr>
            </w:pPr>
            <w:r w:rsidRPr="001F7D3C">
              <w:rPr>
                <w:rFonts w:ascii="Arial Narrow" w:hAnsi="Arial Narrow"/>
                <w:iCs/>
                <w:color w:val="000000"/>
                <w:sz w:val="20"/>
                <w:szCs w:val="20"/>
              </w:rPr>
              <w:t>Overall net cost to Government Health Budget of listing drug</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c>
          <w:tcPr>
            <w:tcW w:w="0" w:type="auto"/>
            <w:shd w:val="clear" w:color="auto" w:fill="auto"/>
            <w:noWrap/>
            <w:vAlign w:val="center"/>
          </w:tcPr>
          <w:p w:rsidR="00D978D9" w:rsidRPr="00026208" w:rsidRDefault="00D978D9" w:rsidP="008D0F85">
            <w:pPr>
              <w:jc w:val="center"/>
              <w:rPr>
                <w:rFonts w:ascii="Arial Narrow" w:hAnsi="Arial Narrow"/>
                <w:iCs/>
                <w:color w:val="000000"/>
                <w:sz w:val="20"/>
                <w:szCs w:val="20"/>
              </w:rPr>
            </w:pPr>
            <w:r w:rsidRPr="00026208">
              <w:rPr>
                <w:rFonts w:ascii="Arial Narrow" w:hAnsi="Arial Narrow"/>
                <w:iCs/>
                <w:color w:val="000000"/>
                <w:sz w:val="20"/>
                <w:szCs w:val="20"/>
              </w:rPr>
              <w:t>$</w:t>
            </w:r>
            <w:r w:rsidR="00676FE1">
              <w:rPr>
                <w:rFonts w:ascii="Arial Narrow" w:hAnsi="Arial Narrow"/>
                <w:iCs/>
                <w:noProof/>
                <w:color w:val="000000"/>
                <w:sz w:val="20"/>
                <w:szCs w:val="20"/>
                <w:highlight w:val="black"/>
              </w:rPr>
              <w:t>''''''''''''''''''''''''</w:t>
            </w:r>
          </w:p>
        </w:tc>
      </w:tr>
    </w:tbl>
    <w:p w:rsidR="008D0F85" w:rsidRPr="001F7D3C" w:rsidRDefault="008D0F85" w:rsidP="008D0F85">
      <w:pPr>
        <w:pStyle w:val="ListParagraph"/>
        <w:jc w:val="both"/>
        <w:rPr>
          <w:rFonts w:ascii="Arial Narrow" w:hAnsi="Arial Narrow"/>
          <w:bCs/>
          <w:sz w:val="18"/>
          <w:szCs w:val="18"/>
        </w:rPr>
      </w:pPr>
      <w:r w:rsidRPr="001F7D3C">
        <w:rPr>
          <w:rFonts w:ascii="Arial Narrow" w:hAnsi="Arial Narrow"/>
          <w:bCs/>
          <w:sz w:val="18"/>
          <w:szCs w:val="18"/>
        </w:rPr>
        <w:t>Notes:</w:t>
      </w:r>
      <w:r w:rsidRPr="001F7D3C">
        <w:rPr>
          <w:rFonts w:ascii="Arial Narrow" w:hAnsi="Arial Narrow"/>
          <w:bCs/>
          <w:sz w:val="18"/>
          <w:szCs w:val="18"/>
        </w:rPr>
        <w:tab/>
      </w:r>
      <w:r w:rsidRPr="004D6F3D">
        <w:rPr>
          <w:rFonts w:ascii="Arial Narrow" w:hAnsi="Arial Narrow"/>
          <w:bCs/>
          <w:sz w:val="18"/>
          <w:szCs w:val="18"/>
        </w:rPr>
        <w:t xml:space="preserve">a Assumes </w:t>
      </w:r>
      <w:r w:rsidR="00676FE1">
        <w:rPr>
          <w:rFonts w:ascii="Arial Narrow" w:hAnsi="Arial Narrow"/>
          <w:bCs/>
          <w:noProof/>
          <w:color w:val="000000"/>
          <w:sz w:val="18"/>
          <w:szCs w:val="18"/>
          <w:highlight w:val="black"/>
        </w:rPr>
        <w:t>'''''''''' '''' '''''''''''''''''''''''''' ''''''''''''''''''''' ''''' '''''''''</w:t>
      </w:r>
    </w:p>
    <w:p w:rsidR="008D0F85" w:rsidRPr="001F7D3C" w:rsidRDefault="008D0F85" w:rsidP="008D0F85">
      <w:pPr>
        <w:pStyle w:val="ListParagraph"/>
        <w:jc w:val="both"/>
        <w:rPr>
          <w:rFonts w:ascii="Arial Narrow" w:hAnsi="Arial Narrow"/>
          <w:bCs/>
          <w:sz w:val="18"/>
          <w:szCs w:val="18"/>
        </w:rPr>
      </w:pPr>
      <w:r w:rsidRPr="001F7D3C">
        <w:rPr>
          <w:rFonts w:ascii="Arial Narrow" w:hAnsi="Arial Narrow"/>
          <w:bCs/>
          <w:sz w:val="18"/>
          <w:szCs w:val="18"/>
        </w:rPr>
        <w:tab/>
        <w:t>b catch-up occurs over one year.</w:t>
      </w:r>
    </w:p>
    <w:p w:rsidR="008D0F85" w:rsidRPr="001F7D3C" w:rsidRDefault="008D0F85" w:rsidP="00187991">
      <w:pPr>
        <w:pStyle w:val="ListParagraph"/>
        <w:jc w:val="both"/>
        <w:rPr>
          <w:rFonts w:ascii="Arial Narrow" w:hAnsi="Arial Narrow"/>
          <w:bCs/>
          <w:sz w:val="18"/>
          <w:szCs w:val="18"/>
        </w:rPr>
      </w:pPr>
      <w:r w:rsidRPr="001F7D3C">
        <w:rPr>
          <w:rFonts w:ascii="Arial Narrow" w:hAnsi="Arial Narrow"/>
          <w:bCs/>
          <w:sz w:val="18"/>
          <w:szCs w:val="18"/>
        </w:rPr>
        <w:t>Source:</w:t>
      </w:r>
      <w:r w:rsidRPr="001F7D3C">
        <w:rPr>
          <w:rFonts w:ascii="Arial Narrow" w:hAnsi="Arial Narrow"/>
          <w:bCs/>
          <w:sz w:val="18"/>
          <w:szCs w:val="18"/>
        </w:rPr>
        <w:tab/>
        <w:t>Table 10.3 and Table 10.4, p36-7 of the minor re-submission</w:t>
      </w:r>
      <w:r w:rsidR="00D978D9" w:rsidRPr="001F7D3C">
        <w:rPr>
          <w:rFonts w:ascii="Arial Narrow" w:hAnsi="Arial Narrow"/>
          <w:bCs/>
          <w:sz w:val="18"/>
          <w:szCs w:val="18"/>
        </w:rPr>
        <w:t xml:space="preserve"> and Attach 5 – Budget Impact Model.xls, Sheet “Epidemiology and Patient Numbers”</w:t>
      </w:r>
      <w:r w:rsidRPr="001F7D3C">
        <w:rPr>
          <w:rFonts w:ascii="Arial Narrow" w:hAnsi="Arial Narrow"/>
          <w:bCs/>
          <w:sz w:val="18"/>
          <w:szCs w:val="18"/>
        </w:rPr>
        <w:t>.</w:t>
      </w:r>
    </w:p>
    <w:p w:rsidR="00026208" w:rsidRDefault="00026208" w:rsidP="00C178EE">
      <w:pPr>
        <w:ind w:left="709"/>
        <w:jc w:val="both"/>
        <w:rPr>
          <w:rFonts w:ascii="Arial" w:hAnsi="Arial"/>
          <w:i/>
          <w:sz w:val="22"/>
          <w:szCs w:val="22"/>
        </w:rPr>
      </w:pPr>
    </w:p>
    <w:p w:rsidR="00CF02B7" w:rsidRDefault="00C178EE" w:rsidP="00C178EE">
      <w:pPr>
        <w:ind w:left="709"/>
        <w:jc w:val="both"/>
        <w:rPr>
          <w:rFonts w:ascii="Arial" w:hAnsi="Arial"/>
          <w:sz w:val="22"/>
          <w:szCs w:val="22"/>
        </w:rPr>
      </w:pPr>
      <w:r w:rsidRPr="00C178EE">
        <w:rPr>
          <w:rFonts w:ascii="Arial" w:hAnsi="Arial"/>
          <w:i/>
          <w:sz w:val="22"/>
          <w:szCs w:val="22"/>
        </w:rPr>
        <w:t xml:space="preserve">The redacted table above shows that the estimated use and financial implications of 4CMenB to the health budget for the prevention of </w:t>
      </w:r>
      <w:r w:rsidRPr="004D6F3D">
        <w:rPr>
          <w:rFonts w:ascii="Arial" w:hAnsi="Arial"/>
          <w:i/>
          <w:sz w:val="22"/>
          <w:szCs w:val="22"/>
        </w:rPr>
        <w:t>meningococcal B disease in infants and adolescents</w:t>
      </w:r>
      <w:r w:rsidR="00A611BB" w:rsidRPr="004D6F3D">
        <w:rPr>
          <w:rFonts w:ascii="Arial" w:hAnsi="Arial"/>
          <w:i/>
          <w:sz w:val="22"/>
          <w:szCs w:val="22"/>
        </w:rPr>
        <w:t>.</w:t>
      </w:r>
      <w:r w:rsidRPr="004D6F3D">
        <w:rPr>
          <w:rFonts w:ascii="Arial" w:hAnsi="Arial"/>
          <w:i/>
          <w:sz w:val="22"/>
          <w:szCs w:val="22"/>
        </w:rPr>
        <w:t xml:space="preserve"> </w:t>
      </w:r>
      <w:r w:rsidR="00A611BB" w:rsidRPr="004D6F3D">
        <w:rPr>
          <w:rFonts w:ascii="Arial" w:hAnsi="Arial"/>
          <w:i/>
          <w:sz w:val="22"/>
          <w:szCs w:val="22"/>
        </w:rPr>
        <w:t>F</w:t>
      </w:r>
      <w:r w:rsidR="004D6F3D">
        <w:rPr>
          <w:rFonts w:ascii="Arial" w:hAnsi="Arial"/>
          <w:i/>
          <w:sz w:val="22"/>
          <w:szCs w:val="22"/>
        </w:rPr>
        <w:t>or Program #5 and Program #4</w:t>
      </w:r>
      <w:r w:rsidR="00A611BB" w:rsidRPr="004D6F3D">
        <w:rPr>
          <w:rFonts w:ascii="Arial" w:hAnsi="Arial"/>
          <w:i/>
          <w:sz w:val="22"/>
          <w:szCs w:val="22"/>
        </w:rPr>
        <w:t xml:space="preserve"> the estimated </w:t>
      </w:r>
      <w:r w:rsidR="00026208" w:rsidRPr="004D6F3D">
        <w:rPr>
          <w:rFonts w:ascii="Arial" w:hAnsi="Arial"/>
          <w:i/>
          <w:sz w:val="22"/>
          <w:szCs w:val="22"/>
        </w:rPr>
        <w:t xml:space="preserve">number of vaccinations </w:t>
      </w:r>
      <w:r w:rsidRPr="004D6F3D">
        <w:rPr>
          <w:rFonts w:ascii="Arial" w:hAnsi="Arial"/>
          <w:i/>
          <w:sz w:val="22"/>
          <w:szCs w:val="22"/>
        </w:rPr>
        <w:t>is over 200,000 per year</w:t>
      </w:r>
      <w:r w:rsidR="00A22805" w:rsidRPr="004D6F3D">
        <w:rPr>
          <w:rFonts w:ascii="Arial" w:hAnsi="Arial"/>
          <w:i/>
          <w:sz w:val="22"/>
          <w:szCs w:val="22"/>
        </w:rPr>
        <w:t xml:space="preserve">. The overall net cost is </w:t>
      </w:r>
      <w:r w:rsidRPr="00C178EE">
        <w:rPr>
          <w:rFonts w:ascii="Arial" w:hAnsi="Arial"/>
          <w:i/>
          <w:sz w:val="22"/>
          <w:szCs w:val="22"/>
        </w:rPr>
        <w:t>more than $100</w:t>
      </w:r>
      <w:r w:rsidR="00026208">
        <w:rPr>
          <w:rFonts w:ascii="Arial" w:hAnsi="Arial"/>
          <w:i/>
          <w:sz w:val="22"/>
          <w:szCs w:val="22"/>
        </w:rPr>
        <w:t> </w:t>
      </w:r>
      <w:r w:rsidRPr="00C178EE">
        <w:rPr>
          <w:rFonts w:ascii="Arial" w:hAnsi="Arial"/>
          <w:i/>
          <w:sz w:val="22"/>
          <w:szCs w:val="22"/>
        </w:rPr>
        <w:t xml:space="preserve">million </w:t>
      </w:r>
      <w:r>
        <w:rPr>
          <w:rFonts w:ascii="Arial" w:hAnsi="Arial"/>
          <w:i/>
          <w:sz w:val="22"/>
          <w:szCs w:val="22"/>
        </w:rPr>
        <w:t>in the first year for Program #5 a</w:t>
      </w:r>
      <w:r w:rsidR="00A22805">
        <w:rPr>
          <w:rFonts w:ascii="Arial" w:hAnsi="Arial"/>
          <w:i/>
          <w:sz w:val="22"/>
          <w:szCs w:val="22"/>
        </w:rPr>
        <w:t xml:space="preserve">nd $60 - $100 million </w:t>
      </w:r>
      <w:r w:rsidR="00A278CD">
        <w:rPr>
          <w:rFonts w:ascii="Arial" w:hAnsi="Arial"/>
          <w:i/>
          <w:sz w:val="22"/>
          <w:szCs w:val="22"/>
        </w:rPr>
        <w:t xml:space="preserve">for the rest of the </w:t>
      </w:r>
      <w:r w:rsidR="00A278CD" w:rsidRPr="00A22805">
        <w:rPr>
          <w:rFonts w:ascii="Arial" w:hAnsi="Arial"/>
          <w:i/>
          <w:sz w:val="22"/>
          <w:szCs w:val="22"/>
        </w:rPr>
        <w:t>first five years of listing</w:t>
      </w:r>
      <w:r w:rsidRPr="00C178EE">
        <w:rPr>
          <w:rFonts w:ascii="Arial" w:hAnsi="Arial"/>
          <w:i/>
          <w:sz w:val="22"/>
          <w:szCs w:val="22"/>
        </w:rPr>
        <w:t>.</w:t>
      </w:r>
      <w:r w:rsidR="00A22805">
        <w:rPr>
          <w:rFonts w:ascii="Arial" w:hAnsi="Arial"/>
          <w:i/>
          <w:sz w:val="22"/>
          <w:szCs w:val="22"/>
        </w:rPr>
        <w:t xml:space="preserve"> </w:t>
      </w:r>
      <w:r w:rsidR="00A22805" w:rsidRPr="00A22805">
        <w:rPr>
          <w:rFonts w:ascii="Arial" w:hAnsi="Arial"/>
          <w:i/>
          <w:sz w:val="22"/>
          <w:szCs w:val="22"/>
        </w:rPr>
        <w:t xml:space="preserve">The overall net cost is </w:t>
      </w:r>
      <w:r w:rsidR="00A22805">
        <w:rPr>
          <w:rFonts w:ascii="Arial" w:hAnsi="Arial"/>
          <w:i/>
          <w:sz w:val="22"/>
          <w:szCs w:val="22"/>
        </w:rPr>
        <w:t xml:space="preserve">$60 - $100 million </w:t>
      </w:r>
      <w:r w:rsidR="00A22805" w:rsidRPr="00A22805">
        <w:rPr>
          <w:rFonts w:ascii="Arial" w:hAnsi="Arial"/>
          <w:i/>
          <w:sz w:val="22"/>
          <w:szCs w:val="22"/>
        </w:rPr>
        <w:t>in the first year for Program #</w:t>
      </w:r>
      <w:r w:rsidR="00A22805">
        <w:rPr>
          <w:rFonts w:ascii="Arial" w:hAnsi="Arial"/>
          <w:i/>
          <w:sz w:val="22"/>
          <w:szCs w:val="22"/>
        </w:rPr>
        <w:t>4</w:t>
      </w:r>
      <w:r w:rsidR="00A22805" w:rsidRPr="00A22805">
        <w:rPr>
          <w:rFonts w:ascii="Arial" w:hAnsi="Arial"/>
          <w:i/>
          <w:sz w:val="22"/>
          <w:szCs w:val="22"/>
        </w:rPr>
        <w:t xml:space="preserve"> and $</w:t>
      </w:r>
      <w:r w:rsidR="00A22805">
        <w:rPr>
          <w:rFonts w:ascii="Arial" w:hAnsi="Arial"/>
          <w:i/>
          <w:sz w:val="22"/>
          <w:szCs w:val="22"/>
        </w:rPr>
        <w:t>1</w:t>
      </w:r>
      <w:r w:rsidR="00A22805" w:rsidRPr="00A22805">
        <w:rPr>
          <w:rFonts w:ascii="Arial" w:hAnsi="Arial"/>
          <w:i/>
          <w:sz w:val="22"/>
          <w:szCs w:val="22"/>
        </w:rPr>
        <w:t>0 - $</w:t>
      </w:r>
      <w:r w:rsidR="00A22805">
        <w:rPr>
          <w:rFonts w:ascii="Arial" w:hAnsi="Arial"/>
          <w:i/>
          <w:sz w:val="22"/>
          <w:szCs w:val="22"/>
        </w:rPr>
        <w:t>2</w:t>
      </w:r>
      <w:r w:rsidR="00A22805" w:rsidRPr="00A22805">
        <w:rPr>
          <w:rFonts w:ascii="Arial" w:hAnsi="Arial"/>
          <w:i/>
          <w:sz w:val="22"/>
          <w:szCs w:val="22"/>
        </w:rPr>
        <w:t xml:space="preserve">0 million </w:t>
      </w:r>
      <w:r w:rsidR="00A22805">
        <w:rPr>
          <w:rFonts w:ascii="Arial" w:hAnsi="Arial"/>
          <w:i/>
          <w:sz w:val="22"/>
          <w:szCs w:val="22"/>
        </w:rPr>
        <w:t xml:space="preserve">for the rest of the </w:t>
      </w:r>
      <w:r w:rsidR="00A22805" w:rsidRPr="00A22805">
        <w:rPr>
          <w:rFonts w:ascii="Arial" w:hAnsi="Arial"/>
          <w:i/>
          <w:sz w:val="22"/>
          <w:szCs w:val="22"/>
        </w:rPr>
        <w:t>first five years of listing.</w:t>
      </w:r>
    </w:p>
    <w:p w:rsidR="00C178EE" w:rsidRPr="001F7D3C" w:rsidRDefault="00C178EE" w:rsidP="00CF02B7">
      <w:pPr>
        <w:jc w:val="both"/>
        <w:rPr>
          <w:rFonts w:ascii="Arial" w:hAnsi="Arial"/>
          <w:sz w:val="22"/>
          <w:szCs w:val="22"/>
        </w:rPr>
      </w:pPr>
    </w:p>
    <w:p w:rsidR="00CF02B7" w:rsidRPr="001F7D3C" w:rsidRDefault="00CF02B7" w:rsidP="00C00DA7">
      <w:pPr>
        <w:pStyle w:val="ListParagraph"/>
        <w:numPr>
          <w:ilvl w:val="1"/>
          <w:numId w:val="2"/>
        </w:numPr>
        <w:ind w:left="709"/>
        <w:jc w:val="both"/>
        <w:rPr>
          <w:rFonts w:ascii="Arial" w:hAnsi="Arial"/>
          <w:sz w:val="22"/>
          <w:szCs w:val="22"/>
        </w:rPr>
      </w:pPr>
      <w:r w:rsidRPr="001F7D3C">
        <w:rPr>
          <w:rFonts w:ascii="Arial" w:hAnsi="Arial"/>
          <w:sz w:val="22"/>
          <w:szCs w:val="22"/>
        </w:rPr>
        <w:t xml:space="preserve">The </w:t>
      </w:r>
      <w:r w:rsidR="00994D45" w:rsidRPr="001F7D3C">
        <w:rPr>
          <w:rFonts w:ascii="Arial" w:hAnsi="Arial"/>
          <w:sz w:val="22"/>
          <w:szCs w:val="22"/>
        </w:rPr>
        <w:t>minor</w:t>
      </w:r>
      <w:r w:rsidR="00A02727" w:rsidRPr="001F7D3C">
        <w:rPr>
          <w:rFonts w:ascii="Arial" w:hAnsi="Arial"/>
          <w:sz w:val="22"/>
          <w:szCs w:val="22"/>
        </w:rPr>
        <w:t xml:space="preserve"> </w:t>
      </w:r>
      <w:r w:rsidRPr="001F7D3C">
        <w:rPr>
          <w:rFonts w:ascii="Arial" w:hAnsi="Arial"/>
          <w:sz w:val="22"/>
          <w:szCs w:val="22"/>
        </w:rPr>
        <w:t xml:space="preserve">re-submission </w:t>
      </w:r>
      <w:r w:rsidR="0055497C" w:rsidRPr="001F7D3C">
        <w:rPr>
          <w:rFonts w:ascii="Arial" w:hAnsi="Arial"/>
          <w:sz w:val="22"/>
          <w:szCs w:val="22"/>
        </w:rPr>
        <w:t xml:space="preserve">no longer </w:t>
      </w:r>
      <w:r w:rsidR="00615183" w:rsidRPr="001F7D3C">
        <w:rPr>
          <w:rFonts w:ascii="Arial" w:hAnsi="Arial"/>
          <w:sz w:val="22"/>
          <w:szCs w:val="22"/>
        </w:rPr>
        <w:t xml:space="preserve">proposed </w:t>
      </w:r>
      <w:r w:rsidR="0055497C" w:rsidRPr="001F7D3C">
        <w:rPr>
          <w:rFonts w:ascii="Arial" w:hAnsi="Arial"/>
          <w:sz w:val="22"/>
          <w:szCs w:val="22"/>
        </w:rPr>
        <w:t xml:space="preserve">a formal Managed Entry Scheme, but </w:t>
      </w:r>
      <w:r w:rsidRPr="001F7D3C">
        <w:rPr>
          <w:rFonts w:ascii="Arial" w:hAnsi="Arial"/>
          <w:sz w:val="22"/>
          <w:szCs w:val="22"/>
        </w:rPr>
        <w:t>re-</w:t>
      </w:r>
      <w:r w:rsidR="00A02727" w:rsidRPr="001F7D3C">
        <w:rPr>
          <w:rFonts w:ascii="Arial" w:hAnsi="Arial"/>
          <w:sz w:val="22"/>
          <w:szCs w:val="22"/>
        </w:rPr>
        <w:t>confirm</w:t>
      </w:r>
      <w:r w:rsidR="00024B63" w:rsidRPr="001F7D3C">
        <w:rPr>
          <w:rFonts w:ascii="Arial" w:hAnsi="Arial"/>
          <w:sz w:val="22"/>
          <w:szCs w:val="22"/>
        </w:rPr>
        <w:t>ed</w:t>
      </w:r>
      <w:r w:rsidR="00A02727" w:rsidRPr="001F7D3C">
        <w:rPr>
          <w:rFonts w:ascii="Arial" w:hAnsi="Arial"/>
          <w:sz w:val="22"/>
          <w:szCs w:val="22"/>
        </w:rPr>
        <w:t xml:space="preserve"> that </w:t>
      </w:r>
      <w:r w:rsidR="00024B63" w:rsidRPr="001F7D3C">
        <w:rPr>
          <w:rFonts w:ascii="Arial" w:hAnsi="Arial"/>
          <w:sz w:val="22"/>
          <w:szCs w:val="22"/>
        </w:rPr>
        <w:t>that the sponsor would</w:t>
      </w:r>
      <w:r w:rsidR="00A02727" w:rsidRPr="001F7D3C">
        <w:rPr>
          <w:rFonts w:ascii="Arial" w:hAnsi="Arial"/>
          <w:sz w:val="22"/>
          <w:szCs w:val="22"/>
        </w:rPr>
        <w:t xml:space="preserve"> conduct the studies as </w:t>
      </w:r>
      <w:r w:rsidR="0055497C" w:rsidRPr="001F7D3C">
        <w:rPr>
          <w:rFonts w:ascii="Arial" w:hAnsi="Arial"/>
          <w:sz w:val="22"/>
          <w:szCs w:val="22"/>
        </w:rPr>
        <w:t xml:space="preserve">was </w:t>
      </w:r>
      <w:r w:rsidR="00A02727" w:rsidRPr="001F7D3C">
        <w:rPr>
          <w:rFonts w:ascii="Arial" w:hAnsi="Arial"/>
          <w:sz w:val="22"/>
          <w:szCs w:val="22"/>
        </w:rPr>
        <w:t xml:space="preserve">previously proposed under </w:t>
      </w:r>
      <w:r w:rsidR="0055497C" w:rsidRPr="001F7D3C">
        <w:rPr>
          <w:rFonts w:ascii="Arial" w:hAnsi="Arial"/>
          <w:sz w:val="22"/>
          <w:szCs w:val="22"/>
        </w:rPr>
        <w:t xml:space="preserve">the </w:t>
      </w:r>
      <w:r w:rsidR="00D978D9" w:rsidRPr="001F7D3C">
        <w:rPr>
          <w:rFonts w:ascii="Arial" w:hAnsi="Arial"/>
          <w:sz w:val="22"/>
          <w:szCs w:val="22"/>
        </w:rPr>
        <w:t>M</w:t>
      </w:r>
      <w:r w:rsidR="00A02727" w:rsidRPr="001F7D3C">
        <w:rPr>
          <w:rFonts w:ascii="Arial" w:hAnsi="Arial"/>
          <w:sz w:val="22"/>
          <w:szCs w:val="22"/>
        </w:rPr>
        <w:t xml:space="preserve">anaged </w:t>
      </w:r>
      <w:r w:rsidR="00D978D9" w:rsidRPr="001F7D3C">
        <w:rPr>
          <w:rFonts w:ascii="Arial" w:hAnsi="Arial"/>
          <w:sz w:val="22"/>
          <w:szCs w:val="22"/>
        </w:rPr>
        <w:t>E</w:t>
      </w:r>
      <w:r w:rsidR="00A02727" w:rsidRPr="001F7D3C">
        <w:rPr>
          <w:rFonts w:ascii="Arial" w:hAnsi="Arial"/>
          <w:sz w:val="22"/>
          <w:szCs w:val="22"/>
        </w:rPr>
        <w:t xml:space="preserve">ntry </w:t>
      </w:r>
      <w:r w:rsidR="00D978D9" w:rsidRPr="001F7D3C">
        <w:rPr>
          <w:rFonts w:ascii="Arial" w:hAnsi="Arial"/>
          <w:sz w:val="22"/>
          <w:szCs w:val="22"/>
        </w:rPr>
        <w:t>S</w:t>
      </w:r>
      <w:r w:rsidR="00A02727" w:rsidRPr="001F7D3C">
        <w:rPr>
          <w:rFonts w:ascii="Arial" w:hAnsi="Arial"/>
          <w:sz w:val="22"/>
          <w:szCs w:val="22"/>
        </w:rPr>
        <w:t>cheme</w:t>
      </w:r>
      <w:r w:rsidR="0055497C" w:rsidRPr="001F7D3C">
        <w:rPr>
          <w:rFonts w:ascii="Arial" w:hAnsi="Arial"/>
          <w:sz w:val="22"/>
          <w:szCs w:val="22"/>
        </w:rPr>
        <w:t xml:space="preserve"> proposed</w:t>
      </w:r>
      <w:r w:rsidR="00A02727" w:rsidRPr="001F7D3C">
        <w:rPr>
          <w:rFonts w:ascii="Arial" w:hAnsi="Arial"/>
          <w:sz w:val="22"/>
          <w:szCs w:val="22"/>
        </w:rPr>
        <w:t xml:space="preserve"> in the previous major submission.</w:t>
      </w:r>
      <w:r w:rsidR="00D978D9" w:rsidRPr="001F7D3C">
        <w:rPr>
          <w:rFonts w:ascii="Arial" w:hAnsi="Arial"/>
          <w:sz w:val="22"/>
          <w:szCs w:val="22"/>
        </w:rPr>
        <w:t xml:space="preserve"> </w:t>
      </w:r>
      <w:r w:rsidR="00A02727" w:rsidRPr="001F7D3C">
        <w:rPr>
          <w:rFonts w:ascii="Arial" w:hAnsi="Arial"/>
          <w:sz w:val="22"/>
          <w:szCs w:val="22"/>
        </w:rPr>
        <w:t>In particular, the following studies w</w:t>
      </w:r>
      <w:r w:rsidR="00024B63" w:rsidRPr="001F7D3C">
        <w:rPr>
          <w:rFonts w:ascii="Arial" w:hAnsi="Arial"/>
          <w:sz w:val="22"/>
          <w:szCs w:val="22"/>
        </w:rPr>
        <w:t>ould</w:t>
      </w:r>
      <w:r w:rsidR="00A02727" w:rsidRPr="001F7D3C">
        <w:rPr>
          <w:rFonts w:ascii="Arial" w:hAnsi="Arial"/>
          <w:sz w:val="22"/>
          <w:szCs w:val="22"/>
        </w:rPr>
        <w:t xml:space="preserve"> be conducted:</w:t>
      </w:r>
    </w:p>
    <w:p w:rsidR="00A02727" w:rsidRPr="001F7D3C" w:rsidRDefault="00A02727" w:rsidP="00A02727">
      <w:pPr>
        <w:pStyle w:val="ListParagraph"/>
        <w:numPr>
          <w:ilvl w:val="0"/>
          <w:numId w:val="10"/>
        </w:numPr>
        <w:ind w:left="1134"/>
        <w:jc w:val="both"/>
        <w:rPr>
          <w:rFonts w:ascii="Arial" w:hAnsi="Arial"/>
          <w:sz w:val="22"/>
          <w:szCs w:val="22"/>
        </w:rPr>
      </w:pPr>
      <w:r w:rsidRPr="001F7D3C">
        <w:rPr>
          <w:rFonts w:ascii="Arial" w:hAnsi="Arial"/>
          <w:sz w:val="22"/>
          <w:szCs w:val="22"/>
        </w:rPr>
        <w:t>A population wide observational study of the change in the incidence of IMD from a pre-vaccination period to a post-vaccination period, including continuation of MATS analysis (observational study protocol V72_53OB).</w:t>
      </w:r>
    </w:p>
    <w:p w:rsidR="00A02727" w:rsidRPr="001F7D3C" w:rsidRDefault="00A02727" w:rsidP="00A02727">
      <w:pPr>
        <w:pStyle w:val="ListParagraph"/>
        <w:numPr>
          <w:ilvl w:val="0"/>
          <w:numId w:val="10"/>
        </w:numPr>
        <w:ind w:left="1134"/>
        <w:jc w:val="both"/>
        <w:rPr>
          <w:rFonts w:ascii="Arial" w:hAnsi="Arial"/>
          <w:sz w:val="22"/>
          <w:szCs w:val="22"/>
        </w:rPr>
      </w:pPr>
      <w:r w:rsidRPr="001F7D3C">
        <w:rPr>
          <w:rFonts w:ascii="Arial" w:hAnsi="Arial"/>
          <w:sz w:val="22"/>
          <w:szCs w:val="22"/>
        </w:rPr>
        <w:t>A vaccine effectiveness analytic study of 4CMenB in preventing IMD, including establishing a vaccine registry (observational study protocol V72_53OB).</w:t>
      </w:r>
      <w:r w:rsidR="00371929" w:rsidRPr="001F7D3C">
        <w:rPr>
          <w:rFonts w:ascii="Arial" w:hAnsi="Arial" w:cs="Arial"/>
          <w:sz w:val="22"/>
          <w:szCs w:val="22"/>
        </w:rPr>
        <w:t xml:space="preserve"> </w:t>
      </w:r>
      <w:r w:rsidR="0003260D" w:rsidRPr="001F7D3C">
        <w:rPr>
          <w:rFonts w:ascii="Arial" w:hAnsi="Arial" w:cs="Arial"/>
          <w:sz w:val="22"/>
          <w:szCs w:val="22"/>
        </w:rPr>
        <w:t>T</w:t>
      </w:r>
      <w:r w:rsidR="00371929" w:rsidRPr="001F7D3C">
        <w:rPr>
          <w:rFonts w:ascii="Arial" w:hAnsi="Arial" w:cs="Arial"/>
          <w:sz w:val="22"/>
          <w:szCs w:val="22"/>
        </w:rPr>
        <w:t xml:space="preserve">he </w:t>
      </w:r>
      <w:r w:rsidR="0003260D" w:rsidRPr="001F7D3C">
        <w:rPr>
          <w:rFonts w:ascii="Arial" w:hAnsi="Arial" w:cs="Arial"/>
          <w:sz w:val="22"/>
          <w:szCs w:val="22"/>
        </w:rPr>
        <w:t xml:space="preserve">impact of the </w:t>
      </w:r>
      <w:r w:rsidR="00371929" w:rsidRPr="001F7D3C">
        <w:rPr>
          <w:rFonts w:ascii="Arial" w:hAnsi="Arial" w:cs="Arial"/>
          <w:sz w:val="22"/>
          <w:szCs w:val="22"/>
        </w:rPr>
        <w:t xml:space="preserve">recently announced Australian School Vaccination </w:t>
      </w:r>
      <w:r w:rsidR="0003260D" w:rsidRPr="001F7D3C">
        <w:rPr>
          <w:rFonts w:ascii="Arial" w:hAnsi="Arial" w:cs="Arial"/>
          <w:sz w:val="22"/>
          <w:szCs w:val="22"/>
        </w:rPr>
        <w:t xml:space="preserve">Register (to be </w:t>
      </w:r>
      <w:r w:rsidR="00371929" w:rsidRPr="001F7D3C">
        <w:rPr>
          <w:rFonts w:ascii="Arial" w:hAnsi="Arial" w:cs="Arial"/>
          <w:sz w:val="22"/>
          <w:szCs w:val="22"/>
        </w:rPr>
        <w:t>operational in the 2017 school year</w:t>
      </w:r>
      <w:r w:rsidR="0003260D" w:rsidRPr="001F7D3C">
        <w:rPr>
          <w:rFonts w:ascii="Arial" w:hAnsi="Arial" w:cs="Arial"/>
          <w:sz w:val="22"/>
          <w:szCs w:val="22"/>
        </w:rPr>
        <w:t>) on this proposed study is unknown.</w:t>
      </w:r>
    </w:p>
    <w:p w:rsidR="00A02727" w:rsidRPr="001F7D3C" w:rsidRDefault="00A02727" w:rsidP="00A02727">
      <w:pPr>
        <w:pStyle w:val="ListParagraph"/>
        <w:numPr>
          <w:ilvl w:val="0"/>
          <w:numId w:val="10"/>
        </w:numPr>
        <w:ind w:left="1134"/>
        <w:jc w:val="both"/>
        <w:rPr>
          <w:rFonts w:ascii="Arial" w:hAnsi="Arial"/>
          <w:sz w:val="22"/>
          <w:szCs w:val="22"/>
        </w:rPr>
      </w:pPr>
      <w:r w:rsidRPr="001F7D3C">
        <w:rPr>
          <w:rFonts w:ascii="Arial" w:hAnsi="Arial"/>
          <w:sz w:val="22"/>
          <w:szCs w:val="22"/>
        </w:rPr>
        <w:t>A nasopharyngeal carriage survey of carriage of Neisseria meningitidis before and after the introduction of 4CMenB into the NIP (observational study protocol V72_73OB).</w:t>
      </w:r>
    </w:p>
    <w:p w:rsidR="00A02727" w:rsidRPr="001F7D3C" w:rsidRDefault="00A02727" w:rsidP="00A02727">
      <w:pPr>
        <w:pStyle w:val="ListParagraph"/>
        <w:numPr>
          <w:ilvl w:val="0"/>
          <w:numId w:val="10"/>
        </w:numPr>
        <w:ind w:left="1134"/>
        <w:jc w:val="both"/>
        <w:rPr>
          <w:rFonts w:ascii="Arial" w:hAnsi="Arial"/>
          <w:sz w:val="22"/>
          <w:szCs w:val="22"/>
        </w:rPr>
      </w:pPr>
      <w:r w:rsidRPr="001F7D3C">
        <w:rPr>
          <w:rFonts w:ascii="Arial" w:hAnsi="Arial"/>
          <w:sz w:val="22"/>
          <w:szCs w:val="22"/>
        </w:rPr>
        <w:t>A safety surveillance study, consisting of regular passive, enhanced and active pharmacovigilance.</w:t>
      </w:r>
    </w:p>
    <w:p w:rsidR="00425975" w:rsidRPr="001F7D3C" w:rsidRDefault="00425975" w:rsidP="00425975">
      <w:pPr>
        <w:jc w:val="both"/>
        <w:rPr>
          <w:rFonts w:ascii="Arial" w:hAnsi="Arial"/>
          <w:sz w:val="22"/>
          <w:szCs w:val="22"/>
        </w:rPr>
      </w:pPr>
    </w:p>
    <w:p w:rsidR="00A02727" w:rsidRPr="001F7D3C" w:rsidRDefault="00A02727" w:rsidP="00024B63">
      <w:pPr>
        <w:pStyle w:val="ListParagraph"/>
        <w:numPr>
          <w:ilvl w:val="1"/>
          <w:numId w:val="2"/>
        </w:numPr>
        <w:ind w:left="709"/>
        <w:jc w:val="both"/>
        <w:rPr>
          <w:rFonts w:ascii="Arial" w:hAnsi="Arial"/>
          <w:sz w:val="22"/>
          <w:szCs w:val="22"/>
        </w:rPr>
      </w:pPr>
      <w:r w:rsidRPr="001F7D3C">
        <w:rPr>
          <w:rFonts w:ascii="Arial" w:hAnsi="Arial"/>
          <w:sz w:val="22"/>
          <w:szCs w:val="22"/>
        </w:rPr>
        <w:t xml:space="preserve">The minor re-submission </w:t>
      </w:r>
      <w:r w:rsidR="00D978D9" w:rsidRPr="001F7D3C">
        <w:rPr>
          <w:rFonts w:ascii="Arial" w:hAnsi="Arial"/>
          <w:sz w:val="22"/>
          <w:szCs w:val="22"/>
        </w:rPr>
        <w:t>re-</w:t>
      </w:r>
      <w:r w:rsidR="00615183" w:rsidRPr="001F7D3C">
        <w:rPr>
          <w:rFonts w:ascii="Arial" w:hAnsi="Arial"/>
          <w:sz w:val="22"/>
          <w:szCs w:val="22"/>
        </w:rPr>
        <w:t xml:space="preserve">confirmed </w:t>
      </w:r>
      <w:r w:rsidR="00024B63" w:rsidRPr="001F7D3C">
        <w:rPr>
          <w:rFonts w:ascii="Arial" w:hAnsi="Arial"/>
          <w:sz w:val="22"/>
          <w:szCs w:val="22"/>
        </w:rPr>
        <w:t>the sponsor’</w:t>
      </w:r>
      <w:r w:rsidRPr="001F7D3C">
        <w:rPr>
          <w:rFonts w:ascii="Arial" w:hAnsi="Arial"/>
          <w:sz w:val="22"/>
          <w:szCs w:val="22"/>
        </w:rPr>
        <w:t>s financial commitments to these studies.</w:t>
      </w:r>
    </w:p>
    <w:p w:rsidR="00A02727" w:rsidRPr="001F7D3C" w:rsidRDefault="00A02727" w:rsidP="005B0B0C">
      <w:pPr>
        <w:ind w:left="-11"/>
        <w:jc w:val="both"/>
        <w:rPr>
          <w:rFonts w:ascii="Arial" w:hAnsi="Arial"/>
          <w:sz w:val="22"/>
          <w:szCs w:val="22"/>
        </w:rPr>
      </w:pPr>
    </w:p>
    <w:p w:rsidR="00A02727" w:rsidRPr="001F7D3C" w:rsidRDefault="00A02727" w:rsidP="004501AC">
      <w:pPr>
        <w:pStyle w:val="ListParagraph"/>
        <w:keepNext/>
        <w:jc w:val="both"/>
        <w:rPr>
          <w:rFonts w:ascii="Arial" w:hAnsi="Arial"/>
          <w:sz w:val="22"/>
          <w:szCs w:val="22"/>
        </w:rPr>
      </w:pPr>
      <w:r w:rsidRPr="001F7D3C">
        <w:rPr>
          <w:rStyle w:val="CommentReference"/>
          <w:rFonts w:ascii="Arial Narrow" w:hAnsi="Arial Narrow"/>
          <w:b/>
          <w:sz w:val="20"/>
          <w:szCs w:val="20"/>
        </w:rPr>
        <w:t>Figure 1: Financial commitments for studies</w:t>
      </w:r>
    </w:p>
    <w:p w:rsidR="00A02727" w:rsidRDefault="00A02727" w:rsidP="00A02727">
      <w:pPr>
        <w:ind w:left="709"/>
        <w:rPr>
          <w:rFonts w:ascii="Arial" w:hAnsi="Arial"/>
          <w:noProof/>
          <w:sz w:val="22"/>
          <w:szCs w:val="22"/>
        </w:rPr>
      </w:pPr>
    </w:p>
    <w:p w:rsidR="004D6F3D" w:rsidRPr="004D6F3D" w:rsidRDefault="004D6F3D" w:rsidP="00A02727">
      <w:pPr>
        <w:ind w:left="709"/>
        <w:rPr>
          <w:rFonts w:ascii="Arial" w:hAnsi="Arial"/>
          <w:i/>
          <w:sz w:val="22"/>
          <w:szCs w:val="22"/>
        </w:rPr>
      </w:pPr>
      <w:r>
        <w:rPr>
          <w:rFonts w:ascii="Arial" w:hAnsi="Arial"/>
          <w:noProof/>
          <w:sz w:val="22"/>
          <w:szCs w:val="22"/>
        </w:rPr>
        <w:t xml:space="preserve">[THIS FIGURE HAS </w:t>
      </w:r>
      <w:r w:rsidRPr="004D6F3D">
        <w:rPr>
          <w:rFonts w:ascii="Arial" w:hAnsi="Arial"/>
          <w:noProof/>
          <w:sz w:val="22"/>
          <w:szCs w:val="22"/>
        </w:rPr>
        <w:t>BEEN REDACTED]</w:t>
      </w:r>
    </w:p>
    <w:p w:rsidR="00BB7EC3" w:rsidRPr="001F7D3C" w:rsidRDefault="00BB7EC3" w:rsidP="00C00DA7">
      <w:pPr>
        <w:jc w:val="both"/>
        <w:rPr>
          <w:rFonts w:ascii="Arial" w:hAnsi="Arial"/>
          <w:sz w:val="22"/>
          <w:szCs w:val="22"/>
        </w:rPr>
      </w:pPr>
    </w:p>
    <w:p w:rsidR="00F83C74" w:rsidRPr="001F7D3C" w:rsidRDefault="00D978D9" w:rsidP="00F83C74">
      <w:pPr>
        <w:pStyle w:val="ListParagraph"/>
        <w:numPr>
          <w:ilvl w:val="1"/>
          <w:numId w:val="2"/>
        </w:numPr>
        <w:ind w:left="709"/>
        <w:jc w:val="both"/>
        <w:rPr>
          <w:rFonts w:ascii="Arial" w:hAnsi="Arial"/>
          <w:sz w:val="22"/>
          <w:szCs w:val="22"/>
        </w:rPr>
      </w:pPr>
      <w:r w:rsidRPr="001F7D3C">
        <w:rPr>
          <w:rFonts w:ascii="Arial" w:hAnsi="Arial"/>
          <w:sz w:val="22"/>
          <w:szCs w:val="22"/>
        </w:rPr>
        <w:t>In July 2014 t</w:t>
      </w:r>
      <w:r w:rsidR="00F83C74" w:rsidRPr="001F7D3C">
        <w:rPr>
          <w:rFonts w:ascii="Arial" w:hAnsi="Arial"/>
          <w:sz w:val="22"/>
          <w:szCs w:val="22"/>
        </w:rPr>
        <w:t xml:space="preserve">he PBAC considered that the proposed MES would reduce uncertainty, especially in the context of internationally compatible studies. However, the PBAC noted the methodological reservations expressed by ATAGI and the ESC, particularly that the intermediate protective status of partially immunised participants was not adequately considered in the design of the proposed observational studies. Further, the PBAC acknowledged that if twelve to eighteen months would be needed to extend the vaccination register as required for the MES studies, this would have consequences for the timing of implementing both an NIP listing and the studies. The PBAC concluded by anticipating that, even with highly favourable outcomes reported by all the studies, the reduction in the modelled ICER would be insufficient to address concerns regarding acceptable cost-effectiveness at the current requested price (Item 7.11, PBAC </w:t>
      </w:r>
      <w:r w:rsidR="00422CAD">
        <w:rPr>
          <w:rFonts w:ascii="Arial" w:hAnsi="Arial"/>
          <w:sz w:val="22"/>
          <w:szCs w:val="22"/>
        </w:rPr>
        <w:t>PSD</w:t>
      </w:r>
      <w:r w:rsidR="00F83C74" w:rsidRPr="001F7D3C">
        <w:rPr>
          <w:rFonts w:ascii="Arial" w:hAnsi="Arial"/>
          <w:sz w:val="22"/>
          <w:szCs w:val="22"/>
        </w:rPr>
        <w:t>, July 2014</w:t>
      </w:r>
      <w:r w:rsidR="00213EC1" w:rsidRPr="001F7D3C">
        <w:rPr>
          <w:rFonts w:ascii="Arial" w:hAnsi="Arial"/>
          <w:sz w:val="22"/>
          <w:szCs w:val="22"/>
        </w:rPr>
        <w:t>).</w:t>
      </w:r>
    </w:p>
    <w:p w:rsidR="00425975" w:rsidRPr="001F7D3C" w:rsidRDefault="00425975" w:rsidP="00425975">
      <w:pPr>
        <w:jc w:val="both"/>
        <w:rPr>
          <w:rFonts w:ascii="Arial" w:hAnsi="Arial"/>
          <w:sz w:val="22"/>
          <w:szCs w:val="22"/>
        </w:rPr>
      </w:pPr>
    </w:p>
    <w:p w:rsidR="003872CF" w:rsidRPr="001F7D3C" w:rsidRDefault="00D978D9" w:rsidP="00F83C74">
      <w:pPr>
        <w:pStyle w:val="ListParagraph"/>
        <w:numPr>
          <w:ilvl w:val="1"/>
          <w:numId w:val="2"/>
        </w:numPr>
        <w:ind w:left="709"/>
        <w:jc w:val="both"/>
        <w:rPr>
          <w:rFonts w:ascii="Arial" w:hAnsi="Arial"/>
          <w:sz w:val="22"/>
          <w:szCs w:val="22"/>
        </w:rPr>
      </w:pPr>
      <w:r w:rsidRPr="001F7D3C">
        <w:rPr>
          <w:rFonts w:ascii="Arial" w:hAnsi="Arial"/>
          <w:sz w:val="22"/>
          <w:szCs w:val="22"/>
        </w:rPr>
        <w:t>In July 2014 t</w:t>
      </w:r>
      <w:r w:rsidR="00F83C74" w:rsidRPr="001F7D3C">
        <w:rPr>
          <w:rFonts w:ascii="Arial" w:hAnsi="Arial"/>
          <w:sz w:val="22"/>
          <w:szCs w:val="22"/>
        </w:rPr>
        <w:t xml:space="preserve">he PBAC also noted the post submission advice from ATAGI and the current lack of unanimous support from states and territories regarding potential implementation of a managed entry scheme for 4CMenB. If expected clinical benefits were not realised and/or the rate of fever-associated side-effects was significant, such that removal of the vaccine from the NIP had to be contemplated, there would be great difficulty associated with such a disinvestment, which may flow on to undermine public confidence in the NIP in general (Item 7.12, PBAC </w:t>
      </w:r>
      <w:r w:rsidR="00422CAD">
        <w:rPr>
          <w:rFonts w:ascii="Arial" w:hAnsi="Arial"/>
          <w:sz w:val="22"/>
          <w:szCs w:val="22"/>
        </w:rPr>
        <w:t>PSD</w:t>
      </w:r>
      <w:r w:rsidR="00F83C74" w:rsidRPr="001F7D3C">
        <w:rPr>
          <w:rFonts w:ascii="Arial" w:hAnsi="Arial"/>
          <w:sz w:val="22"/>
          <w:szCs w:val="22"/>
        </w:rPr>
        <w:t>, July 2014).</w:t>
      </w:r>
    </w:p>
    <w:p w:rsidR="00F83C74" w:rsidRPr="001F7D3C" w:rsidRDefault="00F83C74" w:rsidP="00FE7BDE">
      <w:pPr>
        <w:rPr>
          <w:rFonts w:ascii="Arial" w:hAnsi="Arial"/>
          <w:sz w:val="22"/>
          <w:szCs w:val="22"/>
        </w:rPr>
      </w:pPr>
    </w:p>
    <w:p w:rsidR="00655D64" w:rsidRPr="001F7D3C" w:rsidRDefault="00655D64" w:rsidP="00655D64">
      <w:pPr>
        <w:ind w:left="709"/>
        <w:rPr>
          <w:rFonts w:ascii="Arial" w:hAnsi="Arial" w:cs="Arial"/>
          <w:i/>
          <w:sz w:val="22"/>
          <w:szCs w:val="22"/>
        </w:rPr>
      </w:pPr>
      <w:r w:rsidRPr="001F7D3C">
        <w:rPr>
          <w:rFonts w:ascii="Arial" w:hAnsi="Arial" w:cs="Arial"/>
          <w:i/>
          <w:sz w:val="22"/>
          <w:szCs w:val="22"/>
        </w:rPr>
        <w:t>For more detail on PBAC’s view, see section 7 “PBAC outcome”</w:t>
      </w:r>
      <w:r w:rsidR="005B0B0C" w:rsidRPr="001F7D3C">
        <w:rPr>
          <w:rFonts w:ascii="Arial" w:hAnsi="Arial" w:cs="Arial"/>
          <w:i/>
          <w:sz w:val="22"/>
          <w:szCs w:val="22"/>
        </w:rPr>
        <w:t>.</w:t>
      </w:r>
    </w:p>
    <w:p w:rsidR="00655D64" w:rsidRPr="001F7D3C" w:rsidRDefault="00655D64" w:rsidP="005B0B0C">
      <w:pPr>
        <w:rPr>
          <w:rFonts w:ascii="Arial" w:hAnsi="Arial"/>
          <w:sz w:val="22"/>
          <w:szCs w:val="22"/>
        </w:rPr>
      </w:pPr>
    </w:p>
    <w:p w:rsidR="00FE7BDE" w:rsidRPr="001F7D3C" w:rsidRDefault="00FE7BDE" w:rsidP="00FE7BDE">
      <w:pPr>
        <w:rPr>
          <w:rFonts w:ascii="Arial" w:hAnsi="Arial"/>
          <w:sz w:val="22"/>
          <w:szCs w:val="22"/>
        </w:rPr>
      </w:pPr>
    </w:p>
    <w:p w:rsidR="005613A4" w:rsidRPr="001F7D3C" w:rsidRDefault="00FE7BDE" w:rsidP="00582C3C">
      <w:pPr>
        <w:keepNext/>
        <w:widowControl w:val="0"/>
        <w:numPr>
          <w:ilvl w:val="0"/>
          <w:numId w:val="2"/>
        </w:numPr>
        <w:jc w:val="both"/>
        <w:rPr>
          <w:rFonts w:ascii="Arial" w:hAnsi="Arial" w:cs="Arial"/>
          <w:b/>
          <w:bCs/>
          <w:snapToGrid w:val="0"/>
          <w:sz w:val="22"/>
          <w:szCs w:val="22"/>
        </w:rPr>
      </w:pPr>
      <w:r w:rsidRPr="001F7D3C">
        <w:rPr>
          <w:rFonts w:ascii="Arial" w:hAnsi="Arial" w:cs="Arial"/>
          <w:b/>
          <w:bCs/>
          <w:snapToGrid w:val="0"/>
          <w:sz w:val="22"/>
          <w:szCs w:val="22"/>
        </w:rPr>
        <w:t>PBAC Outcome</w:t>
      </w:r>
    </w:p>
    <w:p w:rsidR="00FE7BDE" w:rsidRPr="001F7D3C" w:rsidRDefault="00FE7BDE" w:rsidP="00582C3C">
      <w:pPr>
        <w:keepNext/>
        <w:contextualSpacing/>
        <w:jc w:val="both"/>
        <w:rPr>
          <w:rFonts w:ascii="Arial" w:hAnsi="Arial" w:cs="Arial"/>
          <w:bCs/>
          <w:snapToGrid w:val="0"/>
          <w:sz w:val="22"/>
          <w:szCs w:val="22"/>
          <w:lang w:val="en-GB"/>
        </w:rPr>
      </w:pPr>
    </w:p>
    <w:p w:rsidR="00097B7D" w:rsidRPr="001F7D3C" w:rsidRDefault="00097B7D" w:rsidP="002E002F">
      <w:pPr>
        <w:pStyle w:val="ListParagraph"/>
        <w:numPr>
          <w:ilvl w:val="1"/>
          <w:numId w:val="2"/>
        </w:numPr>
        <w:jc w:val="both"/>
        <w:rPr>
          <w:rFonts w:ascii="Arial" w:hAnsi="Arial"/>
          <w:sz w:val="22"/>
          <w:szCs w:val="22"/>
        </w:rPr>
      </w:pPr>
      <w:r w:rsidRPr="001F7D3C">
        <w:rPr>
          <w:rFonts w:ascii="Arial" w:hAnsi="Arial" w:cs="Arial"/>
          <w:bCs/>
          <w:snapToGrid w:val="0"/>
          <w:sz w:val="22"/>
          <w:szCs w:val="22"/>
          <w:lang w:val="en-GB"/>
        </w:rPr>
        <w:t xml:space="preserve">The PBAC rejected the </w:t>
      </w:r>
      <w:r w:rsidR="009A279A" w:rsidRPr="001F7D3C">
        <w:rPr>
          <w:rFonts w:ascii="Arial" w:hAnsi="Arial" w:cs="Arial"/>
          <w:bCs/>
          <w:snapToGrid w:val="0"/>
          <w:sz w:val="22"/>
          <w:szCs w:val="22"/>
          <w:lang w:val="en-GB"/>
        </w:rPr>
        <w:t>re-submission requesting listing of the 4CM</w:t>
      </w:r>
      <w:r w:rsidR="00442718" w:rsidRPr="001F7D3C">
        <w:rPr>
          <w:rFonts w:ascii="Arial" w:hAnsi="Arial" w:cs="Arial"/>
          <w:bCs/>
          <w:snapToGrid w:val="0"/>
          <w:sz w:val="22"/>
          <w:szCs w:val="22"/>
          <w:lang w:val="en-GB"/>
        </w:rPr>
        <w:t>e</w:t>
      </w:r>
      <w:r w:rsidR="009A279A" w:rsidRPr="001F7D3C">
        <w:rPr>
          <w:rFonts w:ascii="Arial" w:hAnsi="Arial" w:cs="Arial"/>
          <w:bCs/>
          <w:snapToGrid w:val="0"/>
          <w:sz w:val="22"/>
          <w:szCs w:val="22"/>
          <w:lang w:val="en-GB"/>
        </w:rPr>
        <w:t>nB vaccine on the National Immunisation Program Schedule for the prevention of meningococcal B disease in infants and adolescents</w:t>
      </w:r>
      <w:r w:rsidR="005A30F8" w:rsidRPr="001F7D3C">
        <w:rPr>
          <w:rFonts w:ascii="Arial" w:hAnsi="Arial" w:cs="Arial"/>
          <w:bCs/>
          <w:snapToGrid w:val="0"/>
          <w:sz w:val="22"/>
          <w:szCs w:val="22"/>
          <w:lang w:val="en-GB"/>
        </w:rPr>
        <w:t xml:space="preserve">. </w:t>
      </w:r>
      <w:r w:rsidR="005A30F8" w:rsidRPr="001F7D3C">
        <w:rPr>
          <w:rFonts w:ascii="Arial" w:hAnsi="Arial"/>
          <w:sz w:val="22"/>
          <w:szCs w:val="22"/>
        </w:rPr>
        <w:t xml:space="preserve">The </w:t>
      </w:r>
      <w:r w:rsidR="004032C4" w:rsidRPr="001F7D3C">
        <w:rPr>
          <w:rFonts w:ascii="Arial" w:hAnsi="Arial"/>
          <w:sz w:val="22"/>
          <w:szCs w:val="22"/>
        </w:rPr>
        <w:t xml:space="preserve">basis of the rejection was that the </w:t>
      </w:r>
      <w:r w:rsidR="005A30F8" w:rsidRPr="001F7D3C">
        <w:rPr>
          <w:rFonts w:ascii="Arial" w:hAnsi="Arial"/>
          <w:sz w:val="22"/>
          <w:szCs w:val="22"/>
        </w:rPr>
        <w:t>re</w:t>
      </w:r>
      <w:r w:rsidR="00582C3C">
        <w:rPr>
          <w:rFonts w:ascii="Arial" w:hAnsi="Arial"/>
          <w:sz w:val="22"/>
          <w:szCs w:val="22"/>
        </w:rPr>
        <w:noBreakHyphen/>
      </w:r>
      <w:r w:rsidR="005A30F8" w:rsidRPr="001F7D3C">
        <w:rPr>
          <w:rFonts w:ascii="Arial" w:hAnsi="Arial"/>
          <w:sz w:val="22"/>
          <w:szCs w:val="22"/>
        </w:rPr>
        <w:t xml:space="preserve">submission </w:t>
      </w:r>
      <w:r w:rsidR="004032C4" w:rsidRPr="001F7D3C">
        <w:rPr>
          <w:rFonts w:ascii="Arial" w:hAnsi="Arial"/>
          <w:sz w:val="22"/>
          <w:szCs w:val="22"/>
        </w:rPr>
        <w:t xml:space="preserve">did not address </w:t>
      </w:r>
      <w:r w:rsidR="005A30F8" w:rsidRPr="001F7D3C">
        <w:rPr>
          <w:rFonts w:ascii="Arial" w:hAnsi="Arial"/>
          <w:sz w:val="22"/>
          <w:szCs w:val="22"/>
        </w:rPr>
        <w:t xml:space="preserve">multiple uncertainties in relation to the clinical effectiveness of the vaccine against the disease when delivered in a vaccination program, </w:t>
      </w:r>
      <w:r w:rsidR="007605E8" w:rsidRPr="001F7D3C">
        <w:rPr>
          <w:rFonts w:ascii="Arial" w:hAnsi="Arial"/>
          <w:sz w:val="22"/>
          <w:szCs w:val="22"/>
        </w:rPr>
        <w:t>that the</w:t>
      </w:r>
      <w:r w:rsidR="004032C4" w:rsidRPr="001F7D3C">
        <w:rPr>
          <w:rFonts w:ascii="Arial" w:hAnsi="Arial"/>
          <w:sz w:val="22"/>
          <w:szCs w:val="22"/>
        </w:rPr>
        <w:t xml:space="preserve"> optimistic assumptions about the extent and duration of effect and herd immunity raised by the PBAC in previous consideration of this vaccine</w:t>
      </w:r>
      <w:r w:rsidR="007605E8" w:rsidRPr="001F7D3C">
        <w:rPr>
          <w:rFonts w:ascii="Arial" w:hAnsi="Arial"/>
          <w:sz w:val="22"/>
          <w:szCs w:val="22"/>
        </w:rPr>
        <w:t xml:space="preserve"> were not addressed</w:t>
      </w:r>
      <w:r w:rsidR="004032C4" w:rsidRPr="001F7D3C">
        <w:rPr>
          <w:rFonts w:ascii="Arial" w:hAnsi="Arial"/>
          <w:sz w:val="22"/>
          <w:szCs w:val="22"/>
        </w:rPr>
        <w:t xml:space="preserve">, </w:t>
      </w:r>
      <w:r w:rsidR="005A30F8" w:rsidRPr="001F7D3C">
        <w:rPr>
          <w:rFonts w:ascii="Arial" w:hAnsi="Arial"/>
          <w:sz w:val="22"/>
          <w:szCs w:val="22"/>
        </w:rPr>
        <w:t>a</w:t>
      </w:r>
      <w:r w:rsidR="007605E8" w:rsidRPr="001F7D3C">
        <w:rPr>
          <w:rFonts w:ascii="Arial" w:hAnsi="Arial"/>
          <w:sz w:val="22"/>
          <w:szCs w:val="22"/>
        </w:rPr>
        <w:t>nd</w:t>
      </w:r>
      <w:r w:rsidR="005A30F8" w:rsidRPr="001F7D3C">
        <w:rPr>
          <w:rFonts w:ascii="Arial" w:hAnsi="Arial"/>
          <w:sz w:val="22"/>
          <w:szCs w:val="22"/>
        </w:rPr>
        <w:t xml:space="preserve"> </w:t>
      </w:r>
      <w:r w:rsidR="007605E8" w:rsidRPr="001F7D3C">
        <w:rPr>
          <w:rFonts w:ascii="Arial" w:hAnsi="Arial"/>
          <w:sz w:val="22"/>
          <w:szCs w:val="22"/>
        </w:rPr>
        <w:t>the</w:t>
      </w:r>
      <w:r w:rsidR="005A30F8" w:rsidRPr="001F7D3C">
        <w:rPr>
          <w:rFonts w:ascii="Arial" w:hAnsi="Arial"/>
          <w:sz w:val="22"/>
          <w:szCs w:val="22"/>
        </w:rPr>
        <w:t xml:space="preserve"> unacceptably high and uncertain ICER, </w:t>
      </w:r>
      <w:r w:rsidR="004032C4" w:rsidRPr="001F7D3C">
        <w:rPr>
          <w:rFonts w:ascii="Arial" w:hAnsi="Arial"/>
          <w:sz w:val="22"/>
          <w:szCs w:val="22"/>
        </w:rPr>
        <w:t>presented in the re</w:t>
      </w:r>
      <w:r w:rsidR="00582C3C">
        <w:rPr>
          <w:rFonts w:ascii="Arial" w:hAnsi="Arial"/>
          <w:sz w:val="22"/>
          <w:szCs w:val="22"/>
        </w:rPr>
        <w:noBreakHyphen/>
      </w:r>
      <w:r w:rsidR="004032C4" w:rsidRPr="001F7D3C">
        <w:rPr>
          <w:rFonts w:ascii="Arial" w:hAnsi="Arial"/>
          <w:sz w:val="22"/>
          <w:szCs w:val="22"/>
        </w:rPr>
        <w:t>submission.</w:t>
      </w:r>
    </w:p>
    <w:p w:rsidR="002E002F" w:rsidRPr="001F7D3C" w:rsidRDefault="002E002F" w:rsidP="002E002F">
      <w:pPr>
        <w:jc w:val="both"/>
        <w:rPr>
          <w:rFonts w:ascii="Arial" w:hAnsi="Arial"/>
          <w:sz w:val="22"/>
          <w:szCs w:val="22"/>
        </w:rPr>
      </w:pPr>
    </w:p>
    <w:p w:rsidR="004032C4" w:rsidRPr="001F7D3C" w:rsidRDefault="000F43A8" w:rsidP="006272C3">
      <w:pPr>
        <w:widowControl w:val="0"/>
        <w:numPr>
          <w:ilvl w:val="1"/>
          <w:numId w:val="2"/>
        </w:numPr>
        <w:contextualSpacing/>
        <w:jc w:val="both"/>
        <w:rPr>
          <w:rFonts w:ascii="Arial" w:hAnsi="Arial" w:cs="Arial"/>
          <w:bCs/>
          <w:snapToGrid w:val="0"/>
          <w:sz w:val="22"/>
          <w:szCs w:val="22"/>
          <w:lang w:val="en-GB"/>
        </w:rPr>
      </w:pPr>
      <w:r w:rsidRPr="001F7D3C">
        <w:rPr>
          <w:rFonts w:ascii="Arial" w:hAnsi="Arial" w:cs="Arial"/>
          <w:bCs/>
          <w:snapToGrid w:val="0"/>
          <w:sz w:val="22"/>
          <w:szCs w:val="22"/>
          <w:lang w:val="en-GB"/>
        </w:rPr>
        <w:t>The PBAC noted that the proposed vaccination program of</w:t>
      </w:r>
      <w:r w:rsidR="00436AD6" w:rsidRPr="001F7D3C">
        <w:rPr>
          <w:rFonts w:ascii="Arial" w:hAnsi="Arial" w:cs="Arial"/>
          <w:bCs/>
          <w:snapToGrid w:val="0"/>
          <w:sz w:val="22"/>
          <w:szCs w:val="22"/>
          <w:lang w:val="en-GB"/>
        </w:rPr>
        <w:t xml:space="preserve"> </w:t>
      </w:r>
      <w:r w:rsidRPr="001F7D3C">
        <w:rPr>
          <w:rFonts w:ascii="Arial" w:hAnsi="Arial" w:cs="Arial"/>
          <w:bCs/>
          <w:snapToGrid w:val="0"/>
          <w:sz w:val="22"/>
          <w:szCs w:val="22"/>
          <w:lang w:val="en-GB"/>
        </w:rPr>
        <w:t xml:space="preserve">routine infant and adolescent with catch-up for older infants and toddlers and adolescents (program 5) was consistent with the November 2013 and July 2014 submissions. This </w:t>
      </w:r>
      <w:r w:rsidR="00024B63" w:rsidRPr="001F7D3C">
        <w:rPr>
          <w:rFonts w:ascii="Arial" w:hAnsi="Arial" w:cs="Arial"/>
          <w:bCs/>
          <w:snapToGrid w:val="0"/>
          <w:sz w:val="22"/>
          <w:szCs w:val="22"/>
          <w:lang w:val="en-GB"/>
        </w:rPr>
        <w:t xml:space="preserve">minor </w:t>
      </w:r>
      <w:r w:rsidR="00582C3C">
        <w:rPr>
          <w:rFonts w:ascii="Arial" w:hAnsi="Arial" w:cs="Arial"/>
          <w:bCs/>
          <w:snapToGrid w:val="0"/>
          <w:sz w:val="22"/>
          <w:szCs w:val="22"/>
          <w:lang w:val="en-GB"/>
        </w:rPr>
        <w:t>re</w:t>
      </w:r>
      <w:r w:rsidR="00582C3C">
        <w:rPr>
          <w:rFonts w:ascii="Arial" w:hAnsi="Arial" w:cs="Arial"/>
          <w:bCs/>
          <w:snapToGrid w:val="0"/>
          <w:sz w:val="22"/>
          <w:szCs w:val="22"/>
          <w:lang w:val="en-GB"/>
        </w:rPr>
        <w:noBreakHyphen/>
      </w:r>
      <w:r w:rsidRPr="001F7D3C">
        <w:rPr>
          <w:rFonts w:ascii="Arial" w:hAnsi="Arial" w:cs="Arial"/>
          <w:bCs/>
          <w:snapToGrid w:val="0"/>
          <w:sz w:val="22"/>
          <w:szCs w:val="22"/>
          <w:lang w:val="en-GB"/>
        </w:rPr>
        <w:t>submission propose</w:t>
      </w:r>
      <w:r w:rsidR="002E002F" w:rsidRPr="001F7D3C">
        <w:rPr>
          <w:rFonts w:ascii="Arial" w:hAnsi="Arial" w:cs="Arial"/>
          <w:bCs/>
          <w:snapToGrid w:val="0"/>
          <w:sz w:val="22"/>
          <w:szCs w:val="22"/>
          <w:lang w:val="en-GB"/>
        </w:rPr>
        <w:t>d</w:t>
      </w:r>
      <w:r w:rsidRPr="001F7D3C">
        <w:rPr>
          <w:rFonts w:ascii="Arial" w:hAnsi="Arial" w:cs="Arial"/>
          <w:bCs/>
          <w:snapToGrid w:val="0"/>
          <w:sz w:val="22"/>
          <w:szCs w:val="22"/>
          <w:lang w:val="en-GB"/>
        </w:rPr>
        <w:t xml:space="preserve"> four other potential programs, including routine adolescent with catch-up for adolescents</w:t>
      </w:r>
      <w:r w:rsidR="005A1BEE" w:rsidRPr="001F7D3C">
        <w:rPr>
          <w:rFonts w:ascii="Arial" w:hAnsi="Arial" w:cs="Arial"/>
          <w:bCs/>
          <w:snapToGrid w:val="0"/>
          <w:sz w:val="22"/>
          <w:szCs w:val="22"/>
          <w:lang w:val="en-GB"/>
        </w:rPr>
        <w:t xml:space="preserve">. The PBAC noted the advice from ATAGI on this item. ATAGI re-iterated that the optimal configuration of a 4CMenB program </w:t>
      </w:r>
      <w:r w:rsidR="00024B63" w:rsidRPr="001F7D3C">
        <w:rPr>
          <w:rFonts w:ascii="Arial" w:hAnsi="Arial" w:cs="Arial"/>
          <w:bCs/>
          <w:snapToGrid w:val="0"/>
          <w:sz w:val="22"/>
          <w:szCs w:val="22"/>
          <w:lang w:val="en-GB"/>
        </w:rPr>
        <w:t>sh</w:t>
      </w:r>
      <w:r w:rsidR="005A1BEE" w:rsidRPr="001F7D3C">
        <w:rPr>
          <w:rFonts w:ascii="Arial" w:hAnsi="Arial" w:cs="Arial"/>
          <w:bCs/>
          <w:snapToGrid w:val="0"/>
          <w:sz w:val="22"/>
          <w:szCs w:val="22"/>
          <w:lang w:val="en-GB"/>
        </w:rPr>
        <w:t>ould include an ongoing primary program for infants and young children in addition to adolescents.</w:t>
      </w:r>
      <w:r w:rsidR="00D76D9F" w:rsidRPr="001F7D3C">
        <w:rPr>
          <w:rFonts w:ascii="Arial" w:hAnsi="Arial" w:cs="Arial"/>
          <w:bCs/>
          <w:snapToGrid w:val="0"/>
          <w:sz w:val="22"/>
          <w:szCs w:val="22"/>
          <w:lang w:val="en-GB"/>
        </w:rPr>
        <w:t xml:space="preserve"> For an adolescent-only program, ATAGI support</w:t>
      </w:r>
      <w:r w:rsidR="00024B63" w:rsidRPr="001F7D3C">
        <w:rPr>
          <w:rFonts w:ascii="Arial" w:hAnsi="Arial" w:cs="Arial"/>
          <w:bCs/>
          <w:snapToGrid w:val="0"/>
          <w:sz w:val="22"/>
          <w:szCs w:val="22"/>
          <w:lang w:val="en-GB"/>
        </w:rPr>
        <w:t>ed</w:t>
      </w:r>
      <w:r w:rsidR="00D76D9F" w:rsidRPr="001F7D3C">
        <w:rPr>
          <w:rFonts w:ascii="Arial" w:hAnsi="Arial" w:cs="Arial"/>
          <w:bCs/>
          <w:snapToGrid w:val="0"/>
          <w:sz w:val="22"/>
          <w:szCs w:val="22"/>
          <w:lang w:val="en-GB"/>
        </w:rPr>
        <w:t xml:space="preserve"> the inclusion of a catch-up component that</w:t>
      </w:r>
      <w:r w:rsidR="002E002F" w:rsidRPr="001F7D3C">
        <w:rPr>
          <w:rFonts w:ascii="Arial" w:hAnsi="Arial" w:cs="Arial"/>
          <w:bCs/>
          <w:snapToGrid w:val="0"/>
          <w:sz w:val="22"/>
          <w:szCs w:val="22"/>
          <w:lang w:val="en-GB"/>
        </w:rPr>
        <w:t xml:space="preserve"> </w:t>
      </w:r>
      <w:r w:rsidR="00D76D9F" w:rsidRPr="001F7D3C">
        <w:rPr>
          <w:rFonts w:ascii="Arial" w:hAnsi="Arial" w:cs="Arial"/>
          <w:bCs/>
          <w:snapToGrid w:val="0"/>
          <w:sz w:val="22"/>
          <w:szCs w:val="22"/>
          <w:lang w:val="en-GB"/>
        </w:rPr>
        <w:t>incorporates older adolescents at ages above that targeted for the routine ongoing primary program (aged 16–19 years), on the basis of expected direct benefit and for equity of access to the vaccine for this age group of higher incidence, noting potential challenges in implementation.</w:t>
      </w:r>
    </w:p>
    <w:p w:rsidR="00097B7D" w:rsidRPr="001F7D3C" w:rsidRDefault="00097B7D" w:rsidP="00024B63">
      <w:pPr>
        <w:widowControl w:val="0"/>
        <w:contextualSpacing/>
        <w:jc w:val="both"/>
        <w:rPr>
          <w:rFonts w:ascii="Arial" w:hAnsi="Arial" w:cs="Arial"/>
          <w:bCs/>
          <w:snapToGrid w:val="0"/>
          <w:sz w:val="22"/>
          <w:szCs w:val="22"/>
          <w:lang w:val="en-GB"/>
        </w:rPr>
      </w:pPr>
    </w:p>
    <w:p w:rsidR="00D76D9F" w:rsidRPr="001F7D3C" w:rsidRDefault="00D76D9F" w:rsidP="00D76D9F">
      <w:pPr>
        <w:widowControl w:val="0"/>
        <w:numPr>
          <w:ilvl w:val="1"/>
          <w:numId w:val="2"/>
        </w:numPr>
        <w:contextualSpacing/>
        <w:jc w:val="both"/>
        <w:rPr>
          <w:rFonts w:ascii="Arial" w:hAnsi="Arial" w:cs="Arial"/>
          <w:bCs/>
          <w:snapToGrid w:val="0"/>
          <w:sz w:val="22"/>
          <w:szCs w:val="22"/>
          <w:lang w:val="en-GB"/>
        </w:rPr>
      </w:pPr>
      <w:r w:rsidRPr="001F7D3C">
        <w:rPr>
          <w:rFonts w:ascii="Arial" w:hAnsi="Arial" w:cs="Arial"/>
          <w:bCs/>
          <w:snapToGrid w:val="0"/>
          <w:sz w:val="22"/>
          <w:szCs w:val="22"/>
          <w:lang w:val="en-GB"/>
        </w:rPr>
        <w:t>As previously agreed, the nominated comparator of no vaccinat</w:t>
      </w:r>
      <w:r w:rsidR="00024B63" w:rsidRPr="001F7D3C">
        <w:rPr>
          <w:rFonts w:ascii="Arial" w:hAnsi="Arial" w:cs="Arial"/>
          <w:bCs/>
          <w:snapToGrid w:val="0"/>
          <w:sz w:val="22"/>
          <w:szCs w:val="22"/>
          <w:lang w:val="en-GB"/>
        </w:rPr>
        <w:t>ion was considered appropriate.</w:t>
      </w:r>
    </w:p>
    <w:p w:rsidR="005973B6" w:rsidRPr="001F7D3C" w:rsidRDefault="005973B6" w:rsidP="002E002F">
      <w:pPr>
        <w:widowControl w:val="0"/>
        <w:contextualSpacing/>
        <w:jc w:val="both"/>
        <w:rPr>
          <w:rFonts w:ascii="Arial" w:hAnsi="Arial" w:cs="Arial"/>
          <w:bCs/>
          <w:snapToGrid w:val="0"/>
          <w:sz w:val="22"/>
          <w:szCs w:val="22"/>
          <w:lang w:val="en-GB"/>
        </w:rPr>
      </w:pPr>
    </w:p>
    <w:p w:rsidR="00D76D9F" w:rsidRPr="001F7D3C" w:rsidRDefault="00D76D9F" w:rsidP="00764505">
      <w:pPr>
        <w:widowControl w:val="0"/>
        <w:numPr>
          <w:ilvl w:val="1"/>
          <w:numId w:val="2"/>
        </w:numPr>
        <w:contextualSpacing/>
        <w:jc w:val="both"/>
        <w:rPr>
          <w:rFonts w:ascii="Arial" w:hAnsi="Arial"/>
          <w:sz w:val="22"/>
          <w:szCs w:val="22"/>
        </w:rPr>
      </w:pPr>
      <w:r w:rsidRPr="001F7D3C">
        <w:rPr>
          <w:rFonts w:ascii="Arial" w:hAnsi="Arial"/>
          <w:sz w:val="22"/>
          <w:szCs w:val="22"/>
        </w:rPr>
        <w:t xml:space="preserve">The PBAC noted the additional safety data provided in the re-submission and </w:t>
      </w:r>
      <w:r w:rsidR="005973B6" w:rsidRPr="001F7D3C">
        <w:rPr>
          <w:rFonts w:ascii="Arial" w:hAnsi="Arial"/>
          <w:sz w:val="22"/>
          <w:szCs w:val="22"/>
        </w:rPr>
        <w:t xml:space="preserve">that </w:t>
      </w:r>
      <w:r w:rsidRPr="001F7D3C">
        <w:rPr>
          <w:rFonts w:ascii="Arial" w:hAnsi="Arial"/>
          <w:sz w:val="22"/>
          <w:szCs w:val="22"/>
        </w:rPr>
        <w:t xml:space="preserve">ATAGI had not identified any new safety concerns regarding the use of 4CMenB in adolescents as the vaccine is used in </w:t>
      </w:r>
      <w:r w:rsidR="00024B63" w:rsidRPr="001F7D3C">
        <w:rPr>
          <w:rFonts w:ascii="Arial" w:hAnsi="Arial"/>
          <w:sz w:val="22"/>
          <w:szCs w:val="22"/>
        </w:rPr>
        <w:t xml:space="preserve">Australia and other countries. </w:t>
      </w:r>
      <w:r w:rsidR="005973B6" w:rsidRPr="001F7D3C">
        <w:rPr>
          <w:rFonts w:ascii="Arial" w:hAnsi="Arial"/>
          <w:sz w:val="22"/>
          <w:szCs w:val="22"/>
        </w:rPr>
        <w:t>The PBAC recall</w:t>
      </w:r>
      <w:r w:rsidR="00417BFF" w:rsidRPr="001F7D3C">
        <w:rPr>
          <w:rFonts w:ascii="Arial" w:hAnsi="Arial"/>
          <w:sz w:val="22"/>
          <w:szCs w:val="22"/>
        </w:rPr>
        <w:t>ed from the July 2014 consideration</w:t>
      </w:r>
      <w:r w:rsidR="005973B6" w:rsidRPr="001F7D3C">
        <w:rPr>
          <w:rFonts w:ascii="Arial" w:hAnsi="Arial"/>
          <w:sz w:val="22"/>
          <w:szCs w:val="22"/>
        </w:rPr>
        <w:t xml:space="preserve"> that the rates of fever in infant participants of the trials receiving the vaccine would indicate that prophylactic paracetamol would be appropriate so that the local transient reactogenicity of 4CMenB would not be different to routine vaccination. However, the PBAC also noted that the impact of, and compliance with, this recommendation is unknown</w:t>
      </w:r>
      <w:r w:rsidR="00417BFF" w:rsidRPr="001F7D3C">
        <w:rPr>
          <w:rFonts w:ascii="Arial" w:hAnsi="Arial"/>
          <w:sz w:val="22"/>
          <w:szCs w:val="22"/>
        </w:rPr>
        <w:t xml:space="preserve">. </w:t>
      </w:r>
      <w:r w:rsidR="00CD719A" w:rsidRPr="001F7D3C">
        <w:rPr>
          <w:rFonts w:ascii="Arial" w:hAnsi="Arial"/>
          <w:sz w:val="22"/>
          <w:szCs w:val="22"/>
        </w:rPr>
        <w:t>For this consideration</w:t>
      </w:r>
      <w:r w:rsidR="006272C3" w:rsidRPr="001F7D3C">
        <w:rPr>
          <w:rFonts w:ascii="Arial" w:hAnsi="Arial"/>
          <w:sz w:val="22"/>
          <w:szCs w:val="22"/>
        </w:rPr>
        <w:t xml:space="preserve">, </w:t>
      </w:r>
      <w:r w:rsidR="00CD719A" w:rsidRPr="001F7D3C">
        <w:rPr>
          <w:rFonts w:ascii="Arial" w:hAnsi="Arial"/>
          <w:sz w:val="22"/>
          <w:szCs w:val="22"/>
        </w:rPr>
        <w:t xml:space="preserve">the PBAC noted the </w:t>
      </w:r>
      <w:r w:rsidR="00D16547" w:rsidRPr="001F7D3C">
        <w:rPr>
          <w:rFonts w:ascii="Arial" w:hAnsi="Arial"/>
          <w:sz w:val="22"/>
          <w:szCs w:val="22"/>
        </w:rPr>
        <w:t xml:space="preserve">data from Canada provided in the submission and in the ATAGI advice, where the use of antipyretic prophylaxis varied by vaccination age group, </w:t>
      </w:r>
      <w:r w:rsidR="00D16547" w:rsidRPr="004D6F3D">
        <w:rPr>
          <w:rFonts w:ascii="Arial" w:hAnsi="Arial"/>
          <w:sz w:val="22"/>
          <w:szCs w:val="22"/>
        </w:rPr>
        <w:t>including 51% (</w:t>
      </w:r>
      <w:r w:rsidR="00764505" w:rsidRPr="004D6F3D">
        <w:rPr>
          <w:rFonts w:ascii="Arial" w:hAnsi="Arial"/>
          <w:sz w:val="22"/>
          <w:szCs w:val="22"/>
        </w:rPr>
        <w:t>12–20 year olds</w:t>
      </w:r>
      <w:r w:rsidR="00D16547" w:rsidRPr="004D6F3D">
        <w:rPr>
          <w:rFonts w:ascii="Arial" w:hAnsi="Arial"/>
          <w:sz w:val="22"/>
          <w:szCs w:val="22"/>
        </w:rPr>
        <w:t>) to 93% (children under 2 years of age).</w:t>
      </w:r>
      <w:r w:rsidR="00D16547" w:rsidRPr="001F7D3C">
        <w:rPr>
          <w:rFonts w:ascii="Arial" w:hAnsi="Arial"/>
          <w:sz w:val="22"/>
          <w:szCs w:val="22"/>
        </w:rPr>
        <w:t xml:space="preserve"> Further, the PBAC noted the rate of febrile seizures or hospitalisations per infant vaccinated could not be estimated from the submission as </w:t>
      </w:r>
      <w:r w:rsidR="00764505" w:rsidRPr="001F7D3C">
        <w:rPr>
          <w:rFonts w:ascii="Arial" w:hAnsi="Arial"/>
          <w:sz w:val="22"/>
          <w:szCs w:val="22"/>
        </w:rPr>
        <w:t>the</w:t>
      </w:r>
      <w:r w:rsidR="00D16547" w:rsidRPr="001F7D3C">
        <w:rPr>
          <w:rFonts w:ascii="Arial" w:hAnsi="Arial"/>
          <w:sz w:val="22"/>
          <w:szCs w:val="22"/>
        </w:rPr>
        <w:t xml:space="preserve"> number of infants vaccinated was not reported with the number of febrile seizures or hospitalisations presented in the re-submission. </w:t>
      </w:r>
      <w:r w:rsidRPr="001F7D3C">
        <w:rPr>
          <w:rFonts w:ascii="Arial" w:hAnsi="Arial"/>
          <w:sz w:val="22"/>
          <w:szCs w:val="22"/>
        </w:rPr>
        <w:t>The impact or compliance with this recommendation may not be an issue for an adolescent only program, since, as previously noted by the PBAC, safety in adolescents appears acceptable.</w:t>
      </w:r>
    </w:p>
    <w:p w:rsidR="008F08D2" w:rsidRPr="001F7D3C" w:rsidRDefault="008F08D2" w:rsidP="002E002F">
      <w:pPr>
        <w:widowControl w:val="0"/>
        <w:contextualSpacing/>
        <w:jc w:val="both"/>
        <w:rPr>
          <w:rFonts w:ascii="Arial" w:hAnsi="Arial" w:cs="Arial"/>
          <w:bCs/>
          <w:snapToGrid w:val="0"/>
          <w:sz w:val="22"/>
          <w:szCs w:val="22"/>
          <w:lang w:val="en-GB"/>
        </w:rPr>
      </w:pPr>
    </w:p>
    <w:p w:rsidR="00ED76DA" w:rsidRPr="001F7D3C" w:rsidRDefault="004E6CEA" w:rsidP="00E72F90">
      <w:pPr>
        <w:widowControl w:val="0"/>
        <w:numPr>
          <w:ilvl w:val="1"/>
          <w:numId w:val="2"/>
        </w:numPr>
        <w:contextualSpacing/>
        <w:jc w:val="both"/>
        <w:rPr>
          <w:rFonts w:ascii="Arial" w:hAnsi="Arial" w:cs="Arial"/>
          <w:bCs/>
          <w:snapToGrid w:val="0"/>
          <w:sz w:val="22"/>
          <w:szCs w:val="22"/>
          <w:lang w:val="en-GB"/>
        </w:rPr>
      </w:pPr>
      <w:r w:rsidRPr="001F7D3C">
        <w:rPr>
          <w:rFonts w:ascii="Arial" w:hAnsi="Arial" w:cs="Arial"/>
          <w:bCs/>
          <w:snapToGrid w:val="0"/>
          <w:sz w:val="22"/>
          <w:szCs w:val="22"/>
          <w:lang w:val="en-GB"/>
        </w:rPr>
        <w:t>The PBAC reaffirmed its November 2013 and July 2014 conclusion that the vaccine is effective in inducing antibodies against the component antigens of 4CMenB. However, in the context of a population-based intervention against IMD, the Committee considered the clinical claim was highly uncertain because of the likely short persistence of the antibody response</w:t>
      </w:r>
      <w:r w:rsidR="004F346B" w:rsidRPr="001F7D3C">
        <w:rPr>
          <w:rFonts w:ascii="Arial" w:hAnsi="Arial" w:cs="Arial"/>
          <w:bCs/>
          <w:snapToGrid w:val="0"/>
          <w:sz w:val="22"/>
          <w:szCs w:val="22"/>
          <w:lang w:val="en-GB"/>
        </w:rPr>
        <w:t xml:space="preserve"> in children</w:t>
      </w:r>
      <w:r w:rsidRPr="001F7D3C">
        <w:rPr>
          <w:rFonts w:ascii="Arial" w:hAnsi="Arial" w:cs="Arial"/>
          <w:bCs/>
          <w:snapToGrid w:val="0"/>
          <w:sz w:val="22"/>
          <w:szCs w:val="22"/>
          <w:lang w:val="en-GB"/>
        </w:rPr>
        <w:t xml:space="preserve">, uncertainty about the correlation between antibody responses and protection, the </w:t>
      </w:r>
      <w:r w:rsidR="004F346B" w:rsidRPr="001F7D3C">
        <w:rPr>
          <w:rFonts w:ascii="Arial" w:hAnsi="Arial" w:cs="Arial"/>
          <w:bCs/>
          <w:snapToGrid w:val="0"/>
          <w:sz w:val="22"/>
          <w:szCs w:val="22"/>
          <w:lang w:val="en-GB"/>
        </w:rPr>
        <w:t xml:space="preserve">uncertain </w:t>
      </w:r>
      <w:r w:rsidRPr="001F7D3C">
        <w:rPr>
          <w:rFonts w:ascii="Arial" w:hAnsi="Arial" w:cs="Arial"/>
          <w:bCs/>
          <w:snapToGrid w:val="0"/>
          <w:sz w:val="22"/>
          <w:szCs w:val="22"/>
          <w:lang w:val="en-GB"/>
        </w:rPr>
        <w:t>effect on carriage of the bacteria, the overall uncertain long-term protective efficacy against infection and disease, and the unknown influence of projected herd immunity effects on overall disease burden.</w:t>
      </w:r>
      <w:r w:rsidR="00CA4486" w:rsidRPr="001F7D3C">
        <w:rPr>
          <w:rFonts w:ascii="Arial" w:hAnsi="Arial" w:cs="Arial"/>
          <w:bCs/>
          <w:snapToGrid w:val="0"/>
          <w:sz w:val="22"/>
          <w:szCs w:val="22"/>
          <w:lang w:val="en-GB"/>
        </w:rPr>
        <w:t xml:space="preserve"> These issues were not</w:t>
      </w:r>
      <w:r w:rsidR="00470AC6" w:rsidRPr="001F7D3C">
        <w:rPr>
          <w:rFonts w:ascii="Arial" w:hAnsi="Arial" w:cs="Arial"/>
          <w:bCs/>
          <w:snapToGrid w:val="0"/>
          <w:sz w:val="22"/>
          <w:szCs w:val="22"/>
          <w:lang w:val="en-GB"/>
        </w:rPr>
        <w:t xml:space="preserve"> addressed in the re-submission, although the PBAC acknowledged the limitations of the evidence base</w:t>
      </w:r>
      <w:r w:rsidR="00634B9F" w:rsidRPr="001F7D3C">
        <w:rPr>
          <w:rFonts w:ascii="Arial" w:hAnsi="Arial" w:cs="Arial"/>
          <w:bCs/>
          <w:snapToGrid w:val="0"/>
          <w:sz w:val="22"/>
          <w:szCs w:val="22"/>
          <w:lang w:val="en-GB"/>
        </w:rPr>
        <w:t>.</w:t>
      </w:r>
    </w:p>
    <w:p w:rsidR="00D2416D" w:rsidRPr="001F7D3C" w:rsidRDefault="00D2416D" w:rsidP="00D2416D">
      <w:pPr>
        <w:widowControl w:val="0"/>
        <w:contextualSpacing/>
        <w:jc w:val="both"/>
        <w:rPr>
          <w:rFonts w:ascii="Arial" w:hAnsi="Arial" w:cs="Arial"/>
          <w:bCs/>
          <w:snapToGrid w:val="0"/>
          <w:sz w:val="22"/>
          <w:szCs w:val="22"/>
          <w:lang w:val="en-GB"/>
        </w:rPr>
      </w:pPr>
    </w:p>
    <w:p w:rsidR="002B21BC" w:rsidRPr="001F7D3C" w:rsidRDefault="00D2416D" w:rsidP="00E72F90">
      <w:pPr>
        <w:widowControl w:val="0"/>
        <w:numPr>
          <w:ilvl w:val="1"/>
          <w:numId w:val="2"/>
        </w:numPr>
        <w:contextualSpacing/>
        <w:jc w:val="both"/>
        <w:rPr>
          <w:rFonts w:ascii="Arial" w:hAnsi="Arial" w:cs="Arial"/>
          <w:bCs/>
          <w:snapToGrid w:val="0"/>
          <w:sz w:val="22"/>
          <w:szCs w:val="22"/>
          <w:lang w:val="en-GB"/>
        </w:rPr>
      </w:pPr>
      <w:r w:rsidRPr="001F7D3C">
        <w:rPr>
          <w:rFonts w:ascii="Arial" w:hAnsi="Arial" w:cs="Arial"/>
          <w:bCs/>
          <w:snapToGrid w:val="0"/>
          <w:sz w:val="22"/>
          <w:szCs w:val="22"/>
          <w:lang w:val="en-GB"/>
        </w:rPr>
        <w:t xml:space="preserve">The PBAC </w:t>
      </w:r>
      <w:r w:rsidR="0013162C" w:rsidRPr="001F7D3C">
        <w:rPr>
          <w:rFonts w:ascii="Arial" w:hAnsi="Arial" w:cs="Arial"/>
          <w:bCs/>
          <w:snapToGrid w:val="0"/>
          <w:sz w:val="22"/>
          <w:szCs w:val="22"/>
          <w:lang w:val="en-GB"/>
        </w:rPr>
        <w:t xml:space="preserve">noted </w:t>
      </w:r>
      <w:r w:rsidRPr="001F7D3C">
        <w:rPr>
          <w:rFonts w:ascii="Arial" w:hAnsi="Arial" w:cs="Arial"/>
          <w:bCs/>
          <w:snapToGrid w:val="0"/>
          <w:sz w:val="22"/>
          <w:szCs w:val="22"/>
          <w:lang w:val="en-GB"/>
        </w:rPr>
        <w:t xml:space="preserve">that the </w:t>
      </w:r>
      <w:r w:rsidR="00396A51" w:rsidRPr="001F7D3C">
        <w:rPr>
          <w:rFonts w:ascii="Arial" w:hAnsi="Arial" w:cs="Arial"/>
          <w:bCs/>
          <w:snapToGrid w:val="0"/>
          <w:sz w:val="22"/>
          <w:szCs w:val="22"/>
          <w:lang w:val="en-GB"/>
        </w:rPr>
        <w:t xml:space="preserve">changes to the </w:t>
      </w:r>
      <w:r w:rsidRPr="001F7D3C">
        <w:rPr>
          <w:rFonts w:ascii="Arial" w:hAnsi="Arial" w:cs="Arial"/>
          <w:bCs/>
          <w:snapToGrid w:val="0"/>
          <w:sz w:val="22"/>
          <w:szCs w:val="22"/>
          <w:lang w:val="en-GB"/>
        </w:rPr>
        <w:t xml:space="preserve">economic model </w:t>
      </w:r>
      <w:r w:rsidR="00396A51" w:rsidRPr="001F7D3C">
        <w:rPr>
          <w:rFonts w:ascii="Arial" w:hAnsi="Arial" w:cs="Arial"/>
          <w:bCs/>
          <w:snapToGrid w:val="0"/>
          <w:sz w:val="22"/>
          <w:szCs w:val="22"/>
          <w:lang w:val="en-GB"/>
        </w:rPr>
        <w:t xml:space="preserve">compared to previous submissions had not been evaluated but noted that there </w:t>
      </w:r>
      <w:r w:rsidR="004F346B" w:rsidRPr="001F7D3C">
        <w:rPr>
          <w:rFonts w:ascii="Arial" w:hAnsi="Arial" w:cs="Arial"/>
          <w:bCs/>
          <w:snapToGrid w:val="0"/>
          <w:sz w:val="22"/>
          <w:szCs w:val="22"/>
          <w:lang w:val="en-GB"/>
        </w:rPr>
        <w:t xml:space="preserve">were </w:t>
      </w:r>
      <w:r w:rsidR="00396A51" w:rsidRPr="001F7D3C">
        <w:rPr>
          <w:rFonts w:ascii="Arial" w:hAnsi="Arial" w:cs="Arial"/>
          <w:bCs/>
          <w:snapToGrid w:val="0"/>
          <w:sz w:val="22"/>
          <w:szCs w:val="22"/>
          <w:lang w:val="en-GB"/>
        </w:rPr>
        <w:t>only small ICER changes in this re-submission compared to updated assumptions in the model presented in the July 2014 re-submission. The PBAC</w:t>
      </w:r>
      <w:r w:rsidR="0013162C" w:rsidRPr="001F7D3C">
        <w:rPr>
          <w:rFonts w:ascii="Arial" w:hAnsi="Arial" w:cs="Arial"/>
          <w:bCs/>
          <w:snapToGrid w:val="0"/>
          <w:sz w:val="22"/>
          <w:szCs w:val="22"/>
          <w:lang w:val="en-GB"/>
        </w:rPr>
        <w:t xml:space="preserve"> recalled that </w:t>
      </w:r>
      <w:r w:rsidR="00396A51" w:rsidRPr="001F7D3C">
        <w:rPr>
          <w:rFonts w:ascii="Arial" w:hAnsi="Arial" w:cs="Arial"/>
          <w:bCs/>
          <w:snapToGrid w:val="0"/>
          <w:sz w:val="22"/>
          <w:szCs w:val="22"/>
          <w:lang w:val="en-GB"/>
        </w:rPr>
        <w:t xml:space="preserve">the model </w:t>
      </w:r>
      <w:r w:rsidR="0013162C" w:rsidRPr="001F7D3C">
        <w:rPr>
          <w:rFonts w:ascii="Arial" w:hAnsi="Arial" w:cs="Arial"/>
          <w:bCs/>
          <w:snapToGrid w:val="0"/>
          <w:sz w:val="22"/>
          <w:szCs w:val="22"/>
          <w:lang w:val="en-GB"/>
        </w:rPr>
        <w:t xml:space="preserve">was based on uncertain and optimistic assumptions about the extent and duration of effect and herd immunity. The PBAC also noted </w:t>
      </w:r>
      <w:r w:rsidR="004E6C89" w:rsidRPr="001F7D3C">
        <w:rPr>
          <w:rFonts w:ascii="Arial" w:hAnsi="Arial"/>
          <w:sz w:val="22"/>
          <w:szCs w:val="22"/>
        </w:rPr>
        <w:t xml:space="preserve">the ICER remains highly sensitive to the discount rates applied to costs and outcomes </w:t>
      </w:r>
      <w:r w:rsidR="00E72F90" w:rsidRPr="001F7D3C">
        <w:rPr>
          <w:rFonts w:ascii="Arial" w:hAnsi="Arial" w:cs="Arial"/>
          <w:bCs/>
          <w:snapToGrid w:val="0"/>
          <w:sz w:val="22"/>
          <w:szCs w:val="22"/>
          <w:lang w:val="en-GB"/>
        </w:rPr>
        <w:t>and reaffirmed the Committee’s preference of annual discount rates of 5% p.a. for costs and health outcomes</w:t>
      </w:r>
      <w:r w:rsidR="0013162C" w:rsidRPr="001F7D3C">
        <w:rPr>
          <w:rFonts w:ascii="Arial" w:hAnsi="Arial" w:cs="Arial"/>
          <w:bCs/>
          <w:snapToGrid w:val="0"/>
          <w:sz w:val="22"/>
          <w:szCs w:val="22"/>
          <w:lang w:val="en-GB"/>
        </w:rPr>
        <w:t xml:space="preserve">. </w:t>
      </w:r>
      <w:r w:rsidR="002B21BC" w:rsidRPr="001F7D3C">
        <w:rPr>
          <w:rFonts w:ascii="Arial" w:hAnsi="Arial" w:cs="Arial"/>
          <w:bCs/>
          <w:snapToGrid w:val="0"/>
          <w:sz w:val="22"/>
          <w:szCs w:val="22"/>
          <w:lang w:val="en-GB"/>
        </w:rPr>
        <w:t xml:space="preserve">The PBAC concluded that the re-submission’s base case ICER of more than $100,000/QALY for the vaccination program of infants and adolescents was unacceptably high. The </w:t>
      </w:r>
      <w:r w:rsidR="00DE492F" w:rsidRPr="001F7D3C">
        <w:rPr>
          <w:rFonts w:ascii="Arial" w:hAnsi="Arial" w:cs="Arial"/>
          <w:bCs/>
          <w:snapToGrid w:val="0"/>
          <w:sz w:val="22"/>
          <w:szCs w:val="22"/>
          <w:lang w:val="en-GB"/>
        </w:rPr>
        <w:t xml:space="preserve">PBAC noted of the 5 proposed programs, Program 3 (adolescents only) </w:t>
      </w:r>
      <w:r w:rsidR="00E72F90" w:rsidRPr="001F7D3C">
        <w:rPr>
          <w:rFonts w:ascii="Arial" w:hAnsi="Arial" w:cs="Arial"/>
          <w:bCs/>
          <w:snapToGrid w:val="0"/>
          <w:sz w:val="22"/>
          <w:szCs w:val="22"/>
          <w:lang w:val="en-GB"/>
        </w:rPr>
        <w:t xml:space="preserve">resulted </w:t>
      </w:r>
      <w:r w:rsidR="00DE492F" w:rsidRPr="001F7D3C">
        <w:rPr>
          <w:rFonts w:ascii="Arial" w:hAnsi="Arial" w:cs="Arial"/>
          <w:bCs/>
          <w:snapToGrid w:val="0"/>
          <w:sz w:val="22"/>
          <w:szCs w:val="22"/>
          <w:lang w:val="en-GB"/>
        </w:rPr>
        <w:t>in the lowest ICER of</w:t>
      </w:r>
      <w:r w:rsidR="00342F90" w:rsidRPr="001F7D3C">
        <w:rPr>
          <w:rFonts w:ascii="Arial" w:hAnsi="Arial" w:cs="Arial"/>
          <w:bCs/>
          <w:snapToGrid w:val="0"/>
          <w:sz w:val="22"/>
          <w:szCs w:val="22"/>
          <w:lang w:val="en-GB"/>
        </w:rPr>
        <w:t xml:space="preserve"> </w:t>
      </w:r>
      <w:r w:rsidR="003B2A92">
        <w:rPr>
          <w:rFonts w:ascii="Arial" w:hAnsi="Arial" w:cs="Arial"/>
          <w:bCs/>
          <w:snapToGrid w:val="0"/>
          <w:sz w:val="22"/>
          <w:szCs w:val="22"/>
          <w:lang w:val="en-GB"/>
        </w:rPr>
        <w:t>$45,000</w:t>
      </w:r>
      <w:r w:rsidR="00342F90" w:rsidRPr="001F7D3C">
        <w:rPr>
          <w:rFonts w:ascii="Arial" w:hAnsi="Arial" w:cs="Arial"/>
          <w:bCs/>
          <w:snapToGrid w:val="0"/>
          <w:sz w:val="22"/>
          <w:szCs w:val="22"/>
          <w:lang w:val="en-GB"/>
        </w:rPr>
        <w:t>/QALY</w:t>
      </w:r>
      <w:r w:rsidR="003B2A92">
        <w:rPr>
          <w:rFonts w:ascii="Arial" w:hAnsi="Arial" w:cs="Arial"/>
          <w:bCs/>
          <w:snapToGrid w:val="0"/>
          <w:sz w:val="22"/>
          <w:szCs w:val="22"/>
          <w:lang w:val="en-GB"/>
        </w:rPr>
        <w:t xml:space="preserve"> - $75,000/QALY</w:t>
      </w:r>
      <w:r w:rsidR="00342F90" w:rsidRPr="001F7D3C">
        <w:rPr>
          <w:rFonts w:ascii="Arial" w:hAnsi="Arial" w:cs="Arial"/>
          <w:bCs/>
          <w:snapToGrid w:val="0"/>
          <w:sz w:val="22"/>
          <w:szCs w:val="22"/>
          <w:lang w:val="en-GB"/>
        </w:rPr>
        <w:t>,</w:t>
      </w:r>
      <w:r w:rsidR="00DE492F" w:rsidRPr="001F7D3C">
        <w:rPr>
          <w:rFonts w:ascii="Arial" w:hAnsi="Arial" w:cs="Arial"/>
          <w:bCs/>
          <w:snapToGrid w:val="0"/>
          <w:sz w:val="22"/>
          <w:szCs w:val="22"/>
          <w:lang w:val="en-GB"/>
        </w:rPr>
        <w:t xml:space="preserve"> but</w:t>
      </w:r>
      <w:r w:rsidR="00342F90" w:rsidRPr="001F7D3C">
        <w:rPr>
          <w:rFonts w:ascii="Arial" w:hAnsi="Arial" w:cs="Arial"/>
          <w:bCs/>
          <w:snapToGrid w:val="0"/>
          <w:sz w:val="22"/>
          <w:szCs w:val="22"/>
          <w:lang w:val="en-GB"/>
        </w:rPr>
        <w:t xml:space="preserve"> </w:t>
      </w:r>
      <w:r w:rsidR="00024B63" w:rsidRPr="001F7D3C">
        <w:rPr>
          <w:rFonts w:ascii="Arial" w:hAnsi="Arial" w:cs="Arial"/>
          <w:bCs/>
          <w:snapToGrid w:val="0"/>
          <w:sz w:val="22"/>
          <w:szCs w:val="22"/>
          <w:lang w:val="en-GB"/>
        </w:rPr>
        <w:t xml:space="preserve">even this ICER </w:t>
      </w:r>
      <w:r w:rsidR="00342F90" w:rsidRPr="001F7D3C">
        <w:rPr>
          <w:rFonts w:ascii="Arial" w:hAnsi="Arial" w:cs="Arial"/>
          <w:bCs/>
          <w:snapToGrid w:val="0"/>
          <w:sz w:val="22"/>
          <w:szCs w:val="22"/>
          <w:lang w:val="en-GB"/>
        </w:rPr>
        <w:t xml:space="preserve">was </w:t>
      </w:r>
      <w:r w:rsidR="005874C9" w:rsidRPr="001F7D3C">
        <w:rPr>
          <w:rFonts w:ascii="Arial" w:hAnsi="Arial" w:cs="Arial"/>
          <w:bCs/>
          <w:snapToGrid w:val="0"/>
          <w:sz w:val="22"/>
          <w:szCs w:val="22"/>
          <w:lang w:val="en-GB"/>
        </w:rPr>
        <w:t>not acceptable</w:t>
      </w:r>
      <w:r w:rsidR="00CC3B10" w:rsidRPr="001F7D3C">
        <w:rPr>
          <w:rFonts w:ascii="Arial" w:hAnsi="Arial" w:cs="Arial"/>
          <w:bCs/>
          <w:snapToGrid w:val="0"/>
          <w:sz w:val="22"/>
          <w:szCs w:val="22"/>
          <w:lang w:val="en-GB"/>
        </w:rPr>
        <w:t xml:space="preserve"> </w:t>
      </w:r>
      <w:r w:rsidR="00910646" w:rsidRPr="001F7D3C">
        <w:rPr>
          <w:rFonts w:ascii="Arial" w:hAnsi="Arial" w:cs="Arial"/>
          <w:bCs/>
          <w:snapToGrid w:val="0"/>
          <w:sz w:val="22"/>
          <w:szCs w:val="22"/>
          <w:lang w:val="en-GB"/>
        </w:rPr>
        <w:t xml:space="preserve">and likely underestimated </w:t>
      </w:r>
      <w:r w:rsidR="00CC3B10" w:rsidRPr="001F7D3C">
        <w:rPr>
          <w:rFonts w:ascii="Arial" w:hAnsi="Arial" w:cs="Arial"/>
          <w:bCs/>
          <w:snapToGrid w:val="0"/>
          <w:sz w:val="22"/>
          <w:szCs w:val="22"/>
          <w:lang w:val="en-GB"/>
        </w:rPr>
        <w:t xml:space="preserve">given the use of </w:t>
      </w:r>
      <w:r w:rsidR="00A01768" w:rsidRPr="001F7D3C">
        <w:rPr>
          <w:rFonts w:ascii="Arial" w:hAnsi="Arial" w:cs="Arial"/>
          <w:bCs/>
          <w:snapToGrid w:val="0"/>
          <w:sz w:val="22"/>
          <w:szCs w:val="22"/>
          <w:lang w:val="en-GB"/>
        </w:rPr>
        <w:t xml:space="preserve">stepped </w:t>
      </w:r>
      <w:r w:rsidR="00CC3B10" w:rsidRPr="001F7D3C">
        <w:rPr>
          <w:rFonts w:ascii="Arial" w:hAnsi="Arial" w:cs="Arial"/>
          <w:bCs/>
          <w:snapToGrid w:val="0"/>
          <w:sz w:val="22"/>
          <w:szCs w:val="22"/>
          <w:lang w:val="en-GB"/>
        </w:rPr>
        <w:t xml:space="preserve">discounting rates, and the apparent </w:t>
      </w:r>
      <w:r w:rsidR="000C14B7" w:rsidRPr="001F7D3C">
        <w:rPr>
          <w:rFonts w:ascii="Arial" w:hAnsi="Arial" w:cs="Arial"/>
          <w:bCs/>
          <w:snapToGrid w:val="0"/>
          <w:sz w:val="22"/>
          <w:szCs w:val="22"/>
          <w:lang w:val="en-GB"/>
        </w:rPr>
        <w:t xml:space="preserve">inconsistent </w:t>
      </w:r>
      <w:r w:rsidR="004D6AF9" w:rsidRPr="001F7D3C">
        <w:rPr>
          <w:rFonts w:ascii="Arial" w:hAnsi="Arial" w:cs="Arial"/>
          <w:bCs/>
          <w:snapToGrid w:val="0"/>
          <w:sz w:val="22"/>
          <w:szCs w:val="22"/>
          <w:lang w:val="en-GB"/>
        </w:rPr>
        <w:t xml:space="preserve">benefit and cost </w:t>
      </w:r>
      <w:r w:rsidR="000C14B7" w:rsidRPr="001F7D3C">
        <w:rPr>
          <w:rFonts w:ascii="Arial" w:hAnsi="Arial" w:cs="Arial"/>
          <w:bCs/>
          <w:snapToGrid w:val="0"/>
          <w:sz w:val="22"/>
          <w:szCs w:val="22"/>
          <w:lang w:val="en-GB"/>
        </w:rPr>
        <w:t>values</w:t>
      </w:r>
      <w:r w:rsidR="00910646" w:rsidRPr="001F7D3C">
        <w:rPr>
          <w:rFonts w:ascii="Arial" w:hAnsi="Arial" w:cs="Arial"/>
          <w:bCs/>
          <w:snapToGrid w:val="0"/>
          <w:sz w:val="22"/>
          <w:szCs w:val="22"/>
          <w:lang w:val="en-GB"/>
        </w:rPr>
        <w:t xml:space="preserve"> over time</w:t>
      </w:r>
      <w:r w:rsidR="004D6AF9" w:rsidRPr="001F7D3C">
        <w:rPr>
          <w:rFonts w:ascii="Arial" w:hAnsi="Arial" w:cs="Arial"/>
          <w:bCs/>
          <w:snapToGrid w:val="0"/>
          <w:sz w:val="22"/>
          <w:szCs w:val="22"/>
          <w:lang w:val="en-GB"/>
        </w:rPr>
        <w:t xml:space="preserve"> </w:t>
      </w:r>
      <w:r w:rsidR="000C14B7" w:rsidRPr="001F7D3C">
        <w:rPr>
          <w:rFonts w:ascii="Arial" w:hAnsi="Arial" w:cs="Arial"/>
          <w:bCs/>
          <w:snapToGrid w:val="0"/>
          <w:sz w:val="22"/>
          <w:szCs w:val="22"/>
          <w:lang w:val="en-GB"/>
        </w:rPr>
        <w:t>by the</w:t>
      </w:r>
      <w:r w:rsidR="00CC3B10" w:rsidRPr="001F7D3C">
        <w:rPr>
          <w:rFonts w:ascii="Arial" w:hAnsi="Arial" w:cs="Arial"/>
          <w:bCs/>
          <w:snapToGrid w:val="0"/>
          <w:sz w:val="22"/>
          <w:szCs w:val="22"/>
          <w:lang w:val="en-GB"/>
        </w:rPr>
        <w:t xml:space="preserve"> application of these </w:t>
      </w:r>
      <w:r w:rsidR="00A01768" w:rsidRPr="001F7D3C">
        <w:rPr>
          <w:rFonts w:ascii="Arial" w:hAnsi="Arial" w:cs="Arial"/>
          <w:bCs/>
          <w:snapToGrid w:val="0"/>
          <w:sz w:val="22"/>
          <w:szCs w:val="22"/>
          <w:lang w:val="en-GB"/>
        </w:rPr>
        <w:t xml:space="preserve">stepped </w:t>
      </w:r>
      <w:r w:rsidR="00CC3B10" w:rsidRPr="001F7D3C">
        <w:rPr>
          <w:rFonts w:ascii="Arial" w:hAnsi="Arial" w:cs="Arial"/>
          <w:bCs/>
          <w:snapToGrid w:val="0"/>
          <w:sz w:val="22"/>
          <w:szCs w:val="22"/>
          <w:lang w:val="en-GB"/>
        </w:rPr>
        <w:t>discounting rates</w:t>
      </w:r>
      <w:r w:rsidR="00024B63" w:rsidRPr="001F7D3C">
        <w:rPr>
          <w:rFonts w:ascii="Arial" w:hAnsi="Arial" w:cs="Arial"/>
          <w:bCs/>
          <w:snapToGrid w:val="0"/>
          <w:sz w:val="22"/>
          <w:szCs w:val="22"/>
          <w:lang w:val="en-GB"/>
        </w:rPr>
        <w:t>.</w:t>
      </w:r>
    </w:p>
    <w:p w:rsidR="00E72F90" w:rsidRPr="001F7D3C" w:rsidRDefault="00E72F90" w:rsidP="00E72F90">
      <w:pPr>
        <w:rPr>
          <w:rFonts w:ascii="Arial" w:hAnsi="Arial" w:cs="Arial"/>
          <w:bCs/>
          <w:snapToGrid w:val="0"/>
          <w:sz w:val="22"/>
          <w:szCs w:val="22"/>
          <w:lang w:val="en-GB"/>
        </w:rPr>
      </w:pPr>
    </w:p>
    <w:p w:rsidR="00E72F90" w:rsidRPr="001F7D3C" w:rsidRDefault="00E72F90" w:rsidP="00E72F90">
      <w:pPr>
        <w:widowControl w:val="0"/>
        <w:numPr>
          <w:ilvl w:val="1"/>
          <w:numId w:val="2"/>
        </w:numPr>
        <w:contextualSpacing/>
        <w:jc w:val="both"/>
        <w:rPr>
          <w:rFonts w:ascii="Arial" w:hAnsi="Arial" w:cs="Arial"/>
          <w:bCs/>
          <w:snapToGrid w:val="0"/>
          <w:sz w:val="22"/>
          <w:szCs w:val="22"/>
          <w:lang w:val="en-GB"/>
        </w:rPr>
      </w:pPr>
      <w:r w:rsidRPr="001F7D3C">
        <w:rPr>
          <w:rFonts w:ascii="Arial" w:hAnsi="Arial" w:cs="Arial"/>
          <w:bCs/>
          <w:snapToGrid w:val="0"/>
          <w:sz w:val="22"/>
          <w:szCs w:val="22"/>
          <w:lang w:val="en-GB"/>
        </w:rPr>
        <w:t>The PBAC noted that the ATAGI’s preferred program would include an ongoing primary program for infants and young children in addition to adol</w:t>
      </w:r>
      <w:r w:rsidR="00024B63" w:rsidRPr="001F7D3C">
        <w:rPr>
          <w:rFonts w:ascii="Arial" w:hAnsi="Arial" w:cs="Arial"/>
          <w:bCs/>
          <w:snapToGrid w:val="0"/>
          <w:sz w:val="22"/>
          <w:szCs w:val="22"/>
          <w:lang w:val="en-GB"/>
        </w:rPr>
        <w:t>escents. The ATAGI advice stated</w:t>
      </w:r>
      <w:r w:rsidRPr="001F7D3C">
        <w:rPr>
          <w:rFonts w:ascii="Arial" w:hAnsi="Arial" w:cs="Arial"/>
          <w:bCs/>
          <w:snapToGrid w:val="0"/>
          <w:sz w:val="22"/>
          <w:szCs w:val="22"/>
          <w:lang w:val="en-GB"/>
        </w:rPr>
        <w:t xml:space="preserve"> that if such a universal program is not deemed cost-effective, ATAGI would support a program that targets population group</w:t>
      </w:r>
      <w:r w:rsidR="007605E8" w:rsidRPr="001F7D3C">
        <w:rPr>
          <w:rFonts w:ascii="Arial" w:hAnsi="Arial" w:cs="Arial"/>
          <w:bCs/>
          <w:snapToGrid w:val="0"/>
          <w:sz w:val="22"/>
          <w:szCs w:val="22"/>
          <w:lang w:val="en-GB"/>
        </w:rPr>
        <w:t>s at</w:t>
      </w:r>
      <w:r w:rsidRPr="001F7D3C">
        <w:rPr>
          <w:rFonts w:ascii="Arial" w:hAnsi="Arial" w:cs="Arial"/>
          <w:bCs/>
          <w:snapToGrid w:val="0"/>
          <w:sz w:val="22"/>
          <w:szCs w:val="22"/>
          <w:lang w:val="en-GB"/>
        </w:rPr>
        <w:t xml:space="preserve"> higher risk</w:t>
      </w:r>
      <w:r w:rsidR="007605E8" w:rsidRPr="001F7D3C">
        <w:rPr>
          <w:rFonts w:ascii="Arial" w:hAnsi="Arial" w:cs="Arial"/>
          <w:bCs/>
          <w:snapToGrid w:val="0"/>
          <w:sz w:val="22"/>
          <w:szCs w:val="22"/>
          <w:lang w:val="en-GB"/>
        </w:rPr>
        <w:t xml:space="preserve"> of meningococcal B infection</w:t>
      </w:r>
      <w:r w:rsidRPr="001F7D3C">
        <w:rPr>
          <w:rFonts w:ascii="Arial" w:hAnsi="Arial" w:cs="Arial"/>
          <w:bCs/>
          <w:snapToGrid w:val="0"/>
          <w:sz w:val="22"/>
          <w:szCs w:val="22"/>
          <w:lang w:val="en-GB"/>
        </w:rPr>
        <w:t xml:space="preserve">. The PBAC noted that this advice reiterated the view of ATAGI at the time of the November 2013 submission, where it was noted </w:t>
      </w:r>
      <w:r w:rsidRPr="001F7D3C">
        <w:rPr>
          <w:rFonts w:ascii="Arial" w:hAnsi="Arial" w:cs="Arial"/>
          <w:color w:val="222222"/>
          <w:sz w:val="22"/>
          <w:szCs w:val="22"/>
        </w:rPr>
        <w:t>that there is a higher IMD burden in the Aboriginal and Torres Strait Islander population, particularly in children under 5 years of age, where confirmed cases were 3.8 times higher than their non-Indigenous counterparts for 2006-2011. The PBAC noted that this re-submission and previous submissions had not considered the clinical benefit or cost-effectiveness of ta</w:t>
      </w:r>
      <w:r w:rsidR="00024B63" w:rsidRPr="001F7D3C">
        <w:rPr>
          <w:rFonts w:ascii="Arial" w:hAnsi="Arial" w:cs="Arial"/>
          <w:color w:val="222222"/>
          <w:sz w:val="22"/>
          <w:szCs w:val="22"/>
        </w:rPr>
        <w:t>rgeting the vaccine to any high-</w:t>
      </w:r>
      <w:r w:rsidRPr="001F7D3C">
        <w:rPr>
          <w:rFonts w:ascii="Arial" w:hAnsi="Arial" w:cs="Arial"/>
          <w:color w:val="222222"/>
          <w:sz w:val="22"/>
          <w:szCs w:val="22"/>
        </w:rPr>
        <w:t>risk population.</w:t>
      </w:r>
    </w:p>
    <w:p w:rsidR="00E72F90" w:rsidRPr="001F7D3C" w:rsidRDefault="00E72F90" w:rsidP="00E72F90">
      <w:pPr>
        <w:rPr>
          <w:rFonts w:ascii="Arial" w:hAnsi="Arial" w:cs="Arial"/>
          <w:bCs/>
          <w:snapToGrid w:val="0"/>
          <w:sz w:val="22"/>
          <w:szCs w:val="22"/>
          <w:lang w:val="en-GB"/>
        </w:rPr>
      </w:pPr>
    </w:p>
    <w:p w:rsidR="003F3F11" w:rsidRPr="001F7D3C" w:rsidRDefault="00910646" w:rsidP="00910646">
      <w:pPr>
        <w:widowControl w:val="0"/>
        <w:numPr>
          <w:ilvl w:val="1"/>
          <w:numId w:val="2"/>
        </w:numPr>
        <w:contextualSpacing/>
        <w:jc w:val="both"/>
        <w:rPr>
          <w:rFonts w:ascii="Arial" w:hAnsi="Arial" w:cs="Arial"/>
          <w:bCs/>
          <w:snapToGrid w:val="0"/>
          <w:sz w:val="22"/>
          <w:szCs w:val="22"/>
          <w:lang w:val="en-GB"/>
        </w:rPr>
      </w:pPr>
      <w:r w:rsidRPr="001F7D3C">
        <w:rPr>
          <w:rFonts w:ascii="Arial" w:hAnsi="Arial" w:cs="Arial"/>
          <w:bCs/>
          <w:snapToGrid w:val="0"/>
          <w:sz w:val="22"/>
          <w:szCs w:val="22"/>
          <w:lang w:val="en-GB"/>
        </w:rPr>
        <w:t xml:space="preserve">The PBAC noted the consumer comments on this item and agreed with the ATAGI that there is a clinical need for vaccination against meningococcal B disease. The PBAC agreed with ATAGI that if a program only targeted at adolescents was </w:t>
      </w:r>
      <w:r w:rsidR="00162FFC">
        <w:rPr>
          <w:rFonts w:ascii="Arial" w:hAnsi="Arial" w:cs="Arial"/>
          <w:bCs/>
          <w:snapToGrid w:val="0"/>
          <w:sz w:val="22"/>
          <w:szCs w:val="22"/>
          <w:lang w:val="en-GB"/>
        </w:rPr>
        <w:t>considered,</w:t>
      </w:r>
      <w:r w:rsidRPr="001F7D3C">
        <w:rPr>
          <w:rFonts w:ascii="Arial" w:hAnsi="Arial" w:cs="Arial"/>
          <w:bCs/>
          <w:snapToGrid w:val="0"/>
          <w:sz w:val="22"/>
          <w:szCs w:val="22"/>
          <w:lang w:val="en-GB"/>
        </w:rPr>
        <w:t xml:space="preserve"> it should include a catch-up component that incorpor</w:t>
      </w:r>
      <w:r w:rsidR="00582C3C">
        <w:rPr>
          <w:rFonts w:ascii="Arial" w:hAnsi="Arial" w:cs="Arial"/>
          <w:bCs/>
          <w:snapToGrid w:val="0"/>
          <w:sz w:val="22"/>
          <w:szCs w:val="22"/>
          <w:lang w:val="en-GB"/>
        </w:rPr>
        <w:t>ates older adolescents (aged 16-</w:t>
      </w:r>
      <w:r w:rsidRPr="001F7D3C">
        <w:rPr>
          <w:rFonts w:ascii="Arial" w:hAnsi="Arial" w:cs="Arial"/>
          <w:bCs/>
          <w:snapToGrid w:val="0"/>
          <w:sz w:val="22"/>
          <w:szCs w:val="22"/>
          <w:lang w:val="en-GB"/>
        </w:rPr>
        <w:t>19 years).</w:t>
      </w:r>
    </w:p>
    <w:p w:rsidR="00910646" w:rsidRPr="001F7D3C" w:rsidRDefault="00910646" w:rsidP="00910646">
      <w:pPr>
        <w:widowControl w:val="0"/>
        <w:contextualSpacing/>
        <w:jc w:val="both"/>
        <w:rPr>
          <w:rFonts w:ascii="Arial" w:hAnsi="Arial" w:cs="Arial"/>
          <w:bCs/>
          <w:snapToGrid w:val="0"/>
          <w:sz w:val="22"/>
          <w:szCs w:val="22"/>
          <w:lang w:val="en-GB"/>
        </w:rPr>
      </w:pPr>
    </w:p>
    <w:p w:rsidR="003F3F11" w:rsidRPr="001F7D3C" w:rsidRDefault="003F3F11" w:rsidP="003F3F11">
      <w:pPr>
        <w:widowControl w:val="0"/>
        <w:numPr>
          <w:ilvl w:val="1"/>
          <w:numId w:val="2"/>
        </w:numPr>
        <w:contextualSpacing/>
        <w:jc w:val="both"/>
        <w:rPr>
          <w:rFonts w:ascii="Arial" w:hAnsi="Arial" w:cs="Arial"/>
          <w:bCs/>
          <w:snapToGrid w:val="0"/>
          <w:sz w:val="22"/>
          <w:szCs w:val="22"/>
          <w:lang w:val="en-GB"/>
        </w:rPr>
      </w:pPr>
      <w:r w:rsidRPr="001F7D3C">
        <w:rPr>
          <w:rFonts w:ascii="Arial" w:hAnsi="Arial" w:cs="Arial"/>
          <w:bCs/>
          <w:snapToGrid w:val="0"/>
          <w:sz w:val="22"/>
          <w:szCs w:val="22"/>
          <w:lang w:val="en-GB"/>
        </w:rPr>
        <w:t>The PBAC considered that any re-submission should be a major submission, so that the economic model c</w:t>
      </w:r>
      <w:r w:rsidR="00024B63" w:rsidRPr="001F7D3C">
        <w:rPr>
          <w:rFonts w:ascii="Arial" w:hAnsi="Arial" w:cs="Arial"/>
          <w:bCs/>
          <w:snapToGrid w:val="0"/>
          <w:sz w:val="22"/>
          <w:szCs w:val="22"/>
          <w:lang w:val="en-GB"/>
        </w:rPr>
        <w:t>ould</w:t>
      </w:r>
      <w:r w:rsidRPr="001F7D3C">
        <w:rPr>
          <w:rFonts w:ascii="Arial" w:hAnsi="Arial" w:cs="Arial"/>
          <w:bCs/>
          <w:snapToGrid w:val="0"/>
          <w:sz w:val="22"/>
          <w:szCs w:val="22"/>
          <w:lang w:val="en-GB"/>
        </w:rPr>
        <w:t xml:space="preserve"> be fully evaluated</w:t>
      </w:r>
      <w:r w:rsidR="00024B63" w:rsidRPr="001F7D3C">
        <w:rPr>
          <w:rFonts w:ascii="Arial" w:hAnsi="Arial" w:cs="Arial"/>
          <w:bCs/>
          <w:snapToGrid w:val="0"/>
          <w:sz w:val="22"/>
          <w:szCs w:val="22"/>
          <w:lang w:val="en-GB"/>
        </w:rPr>
        <w:t>.</w:t>
      </w:r>
    </w:p>
    <w:p w:rsidR="00B24C72" w:rsidRPr="001F7D3C" w:rsidRDefault="00B24C72" w:rsidP="00B24C72">
      <w:pPr>
        <w:widowControl w:val="0"/>
        <w:contextualSpacing/>
        <w:jc w:val="both"/>
        <w:rPr>
          <w:rFonts w:ascii="Arial" w:hAnsi="Arial" w:cs="Arial"/>
          <w:bCs/>
          <w:snapToGrid w:val="0"/>
          <w:sz w:val="22"/>
          <w:szCs w:val="22"/>
          <w:lang w:val="en-GB"/>
        </w:rPr>
      </w:pPr>
    </w:p>
    <w:p w:rsidR="00885F4A" w:rsidRPr="001F7D3C" w:rsidRDefault="00885F4A" w:rsidP="00885F4A">
      <w:pPr>
        <w:widowControl w:val="0"/>
        <w:numPr>
          <w:ilvl w:val="1"/>
          <w:numId w:val="2"/>
        </w:numPr>
        <w:contextualSpacing/>
        <w:jc w:val="both"/>
        <w:rPr>
          <w:rFonts w:ascii="Arial" w:hAnsi="Arial" w:cs="Arial"/>
          <w:bCs/>
          <w:snapToGrid w:val="0"/>
          <w:sz w:val="22"/>
          <w:szCs w:val="22"/>
          <w:lang w:val="en-GB"/>
        </w:rPr>
      </w:pPr>
      <w:r w:rsidRPr="001F7D3C">
        <w:rPr>
          <w:rFonts w:ascii="Arial" w:hAnsi="Arial" w:cs="Arial"/>
          <w:bCs/>
          <w:snapToGrid w:val="0"/>
          <w:sz w:val="22"/>
          <w:szCs w:val="22"/>
          <w:lang w:val="en-GB"/>
        </w:rPr>
        <w:t>The ATAGI advice outlined issues with the implem</w:t>
      </w:r>
      <w:r w:rsidR="00582C3C">
        <w:rPr>
          <w:rFonts w:ascii="Arial" w:hAnsi="Arial" w:cs="Arial"/>
          <w:bCs/>
          <w:snapToGrid w:val="0"/>
          <w:sz w:val="22"/>
          <w:szCs w:val="22"/>
          <w:lang w:val="en-GB"/>
        </w:rPr>
        <w:t>entation of a program for 15</w:t>
      </w:r>
      <w:r w:rsidR="00582C3C">
        <w:rPr>
          <w:rFonts w:ascii="Arial" w:hAnsi="Arial" w:cs="Arial"/>
          <w:bCs/>
          <w:snapToGrid w:val="0"/>
          <w:sz w:val="22"/>
          <w:szCs w:val="22"/>
          <w:lang w:val="en-GB"/>
        </w:rPr>
        <w:noBreakHyphen/>
        <w:t>19 </w:t>
      </w:r>
      <w:r w:rsidRPr="001F7D3C">
        <w:rPr>
          <w:rFonts w:ascii="Arial" w:hAnsi="Arial" w:cs="Arial"/>
          <w:bCs/>
          <w:snapToGrid w:val="0"/>
          <w:sz w:val="22"/>
          <w:szCs w:val="22"/>
          <w:lang w:val="en-GB"/>
        </w:rPr>
        <w:t>year olds, including:</w:t>
      </w:r>
    </w:p>
    <w:p w:rsidR="00885F4A" w:rsidRPr="001F7D3C" w:rsidRDefault="00885F4A" w:rsidP="003F3F11">
      <w:pPr>
        <w:pStyle w:val="ListParagraph"/>
        <w:widowControl w:val="0"/>
        <w:numPr>
          <w:ilvl w:val="0"/>
          <w:numId w:val="23"/>
        </w:numPr>
        <w:ind w:left="1418" w:hanging="709"/>
        <w:jc w:val="both"/>
        <w:rPr>
          <w:rFonts w:ascii="Arial" w:hAnsi="Arial" w:cs="Arial"/>
          <w:bCs/>
          <w:snapToGrid w:val="0"/>
          <w:sz w:val="22"/>
          <w:szCs w:val="22"/>
          <w:lang w:val="en-GB"/>
        </w:rPr>
      </w:pPr>
      <w:r w:rsidRPr="001F7D3C">
        <w:rPr>
          <w:rFonts w:ascii="Arial" w:hAnsi="Arial" w:cs="Arial"/>
          <w:bCs/>
          <w:snapToGrid w:val="0"/>
          <w:sz w:val="22"/>
          <w:szCs w:val="22"/>
          <w:lang w:val="en-GB"/>
        </w:rPr>
        <w:t>Additional service delivery resources would be required, as the proposed program would target adolescent age cohorts who are older than those currently targeted for the school-based vaccination program</w:t>
      </w:r>
    </w:p>
    <w:p w:rsidR="00885F4A" w:rsidRPr="001F7D3C" w:rsidRDefault="003F3F11" w:rsidP="003F3F11">
      <w:pPr>
        <w:pStyle w:val="ListParagraph"/>
        <w:widowControl w:val="0"/>
        <w:numPr>
          <w:ilvl w:val="0"/>
          <w:numId w:val="23"/>
        </w:numPr>
        <w:ind w:left="1418" w:hanging="709"/>
        <w:jc w:val="both"/>
        <w:rPr>
          <w:rFonts w:ascii="Arial" w:hAnsi="Arial" w:cs="Arial"/>
          <w:bCs/>
          <w:snapToGrid w:val="0"/>
          <w:sz w:val="22"/>
          <w:szCs w:val="22"/>
          <w:lang w:val="en-GB"/>
        </w:rPr>
      </w:pPr>
      <w:r w:rsidRPr="001F7D3C">
        <w:rPr>
          <w:rFonts w:ascii="Arial" w:hAnsi="Arial" w:cs="Arial"/>
          <w:bCs/>
          <w:snapToGrid w:val="0"/>
          <w:sz w:val="22"/>
          <w:szCs w:val="22"/>
          <w:lang w:val="en-GB"/>
        </w:rPr>
        <w:t>S</w:t>
      </w:r>
      <w:r w:rsidR="00885F4A" w:rsidRPr="001F7D3C">
        <w:rPr>
          <w:rFonts w:ascii="Arial" w:hAnsi="Arial" w:cs="Arial"/>
          <w:bCs/>
          <w:snapToGrid w:val="0"/>
          <w:sz w:val="22"/>
          <w:szCs w:val="22"/>
          <w:lang w:val="en-GB"/>
        </w:rPr>
        <w:t>pecial provisions need to be made to enable delivery of the vaccine doses through alternate providers especially in primary care, such as general practitioners or clinics, to adolescents who do not attend school.</w:t>
      </w:r>
    </w:p>
    <w:p w:rsidR="007605E8" w:rsidRPr="001F7D3C" w:rsidRDefault="003F3F11" w:rsidP="007605E8">
      <w:pPr>
        <w:pStyle w:val="ListParagraph"/>
        <w:widowControl w:val="0"/>
        <w:numPr>
          <w:ilvl w:val="0"/>
          <w:numId w:val="23"/>
        </w:numPr>
        <w:ind w:left="1418" w:hanging="709"/>
        <w:jc w:val="both"/>
        <w:rPr>
          <w:rFonts w:ascii="Arial" w:hAnsi="Arial" w:cs="Arial"/>
          <w:bCs/>
          <w:snapToGrid w:val="0"/>
          <w:sz w:val="22"/>
          <w:szCs w:val="22"/>
          <w:lang w:val="en-GB"/>
        </w:rPr>
      </w:pPr>
      <w:r w:rsidRPr="001F7D3C">
        <w:rPr>
          <w:rFonts w:ascii="Arial" w:hAnsi="Arial" w:cs="Arial"/>
          <w:bCs/>
          <w:snapToGrid w:val="0"/>
          <w:sz w:val="22"/>
          <w:szCs w:val="22"/>
          <w:lang w:val="en-GB"/>
        </w:rPr>
        <w:t>B</w:t>
      </w:r>
      <w:r w:rsidR="00885F4A" w:rsidRPr="001F7D3C">
        <w:rPr>
          <w:rFonts w:ascii="Arial" w:hAnsi="Arial" w:cs="Arial"/>
          <w:bCs/>
          <w:snapToGrid w:val="0"/>
          <w:sz w:val="22"/>
          <w:szCs w:val="22"/>
          <w:lang w:val="en-GB"/>
        </w:rPr>
        <w:t>ased on previous experience of vaccination programmes, there is likely to be a trend of lower vaccine uptake with increasing age/school year with regard to the cat</w:t>
      </w:r>
      <w:r w:rsidR="005D62AA" w:rsidRPr="001F7D3C">
        <w:rPr>
          <w:rFonts w:ascii="Arial" w:hAnsi="Arial" w:cs="Arial"/>
          <w:bCs/>
          <w:snapToGrid w:val="0"/>
          <w:sz w:val="22"/>
          <w:szCs w:val="22"/>
          <w:lang w:val="en-GB"/>
        </w:rPr>
        <w:t>ch-up component of the program,</w:t>
      </w:r>
    </w:p>
    <w:p w:rsidR="007605E8" w:rsidRPr="001F7D3C" w:rsidRDefault="007605E8" w:rsidP="007605E8">
      <w:pPr>
        <w:pStyle w:val="ListParagraph"/>
        <w:widowControl w:val="0"/>
        <w:numPr>
          <w:ilvl w:val="0"/>
          <w:numId w:val="23"/>
        </w:numPr>
        <w:ind w:left="1418" w:hanging="709"/>
        <w:jc w:val="both"/>
        <w:rPr>
          <w:rFonts w:ascii="Arial" w:hAnsi="Arial" w:cs="Arial"/>
          <w:bCs/>
          <w:snapToGrid w:val="0"/>
          <w:sz w:val="22"/>
          <w:szCs w:val="22"/>
          <w:lang w:val="en-GB"/>
        </w:rPr>
      </w:pPr>
      <w:r w:rsidRPr="001F7D3C">
        <w:rPr>
          <w:rFonts w:ascii="Arial" w:hAnsi="Arial" w:cs="Arial"/>
          <w:bCs/>
          <w:snapToGrid w:val="0"/>
          <w:sz w:val="22"/>
          <w:szCs w:val="22"/>
          <w:lang w:val="en-GB"/>
        </w:rPr>
        <w:t>Accurate capture of vaccine uptake data will present challenges, as adolescents may receive the vaccine through a school-based program or through a primary care provider (or a combination of the two). This could lead to data collection in different registers that will necessitate cross linkage or transfer of records. ATAGI reiterates that accurate recording of vaccine uptake is essential for implementing a 4CMenB program on the NIP.</w:t>
      </w:r>
    </w:p>
    <w:p w:rsidR="00CD27BF" w:rsidRDefault="00CD27BF" w:rsidP="007605E8">
      <w:pPr>
        <w:widowControl w:val="0"/>
        <w:ind w:left="709"/>
        <w:jc w:val="both"/>
        <w:rPr>
          <w:rFonts w:ascii="Arial" w:hAnsi="Arial" w:cs="Arial"/>
          <w:bCs/>
          <w:snapToGrid w:val="0"/>
          <w:sz w:val="22"/>
          <w:szCs w:val="22"/>
          <w:lang w:val="en-GB"/>
        </w:rPr>
      </w:pPr>
    </w:p>
    <w:p w:rsidR="00E72F90" w:rsidRPr="001F7D3C" w:rsidRDefault="00885F4A" w:rsidP="007605E8">
      <w:pPr>
        <w:widowControl w:val="0"/>
        <w:ind w:left="709"/>
        <w:jc w:val="both"/>
        <w:rPr>
          <w:rFonts w:ascii="Arial" w:hAnsi="Arial" w:cs="Arial"/>
          <w:bCs/>
          <w:snapToGrid w:val="0"/>
          <w:sz w:val="22"/>
          <w:szCs w:val="22"/>
          <w:lang w:val="en-GB"/>
        </w:rPr>
      </w:pPr>
      <w:r w:rsidRPr="001F7D3C">
        <w:rPr>
          <w:rFonts w:ascii="Arial" w:hAnsi="Arial" w:cs="Arial"/>
          <w:bCs/>
          <w:snapToGrid w:val="0"/>
          <w:sz w:val="22"/>
          <w:szCs w:val="22"/>
          <w:lang w:val="en-GB"/>
        </w:rPr>
        <w:t>The PBAC considered that these issues should be exp</w:t>
      </w:r>
      <w:r w:rsidR="00024B63" w:rsidRPr="001F7D3C">
        <w:rPr>
          <w:rFonts w:ascii="Arial" w:hAnsi="Arial" w:cs="Arial"/>
          <w:bCs/>
          <w:snapToGrid w:val="0"/>
          <w:sz w:val="22"/>
          <w:szCs w:val="22"/>
          <w:lang w:val="en-GB"/>
        </w:rPr>
        <w:t>lored in any future submission.</w:t>
      </w:r>
    </w:p>
    <w:p w:rsidR="00E72F90" w:rsidRPr="001F7D3C" w:rsidRDefault="00E72F90" w:rsidP="00E72F90">
      <w:pPr>
        <w:widowControl w:val="0"/>
        <w:contextualSpacing/>
        <w:jc w:val="both"/>
        <w:rPr>
          <w:rFonts w:ascii="Arial" w:hAnsi="Arial" w:cs="Arial"/>
          <w:bCs/>
          <w:snapToGrid w:val="0"/>
          <w:sz w:val="22"/>
          <w:szCs w:val="22"/>
          <w:lang w:val="en-GB"/>
        </w:rPr>
      </w:pPr>
    </w:p>
    <w:p w:rsidR="00FE7BDE" w:rsidRPr="001F7D3C" w:rsidRDefault="00B24C72" w:rsidP="00FE7BDE">
      <w:pPr>
        <w:widowControl w:val="0"/>
        <w:numPr>
          <w:ilvl w:val="1"/>
          <w:numId w:val="2"/>
        </w:numPr>
        <w:contextualSpacing/>
        <w:jc w:val="both"/>
        <w:rPr>
          <w:rFonts w:ascii="Arial" w:hAnsi="Arial" w:cs="Arial"/>
          <w:bCs/>
          <w:snapToGrid w:val="0"/>
          <w:sz w:val="22"/>
          <w:szCs w:val="22"/>
          <w:lang w:val="en-GB"/>
        </w:rPr>
      </w:pPr>
      <w:r w:rsidRPr="001F7D3C">
        <w:rPr>
          <w:rFonts w:ascii="Arial" w:hAnsi="Arial" w:cs="Arial"/>
          <w:bCs/>
          <w:snapToGrid w:val="0"/>
          <w:sz w:val="22"/>
          <w:szCs w:val="22"/>
          <w:lang w:val="en-GB"/>
        </w:rPr>
        <w:t xml:space="preserve">The PBAC noted the </w:t>
      </w:r>
      <w:r w:rsidR="00024B63" w:rsidRPr="001F7D3C">
        <w:rPr>
          <w:rFonts w:ascii="Arial" w:hAnsi="Arial" w:cs="Arial"/>
          <w:bCs/>
          <w:snapToGrid w:val="0"/>
          <w:sz w:val="22"/>
          <w:szCs w:val="22"/>
          <w:lang w:val="en-GB"/>
        </w:rPr>
        <w:t>minor re-</w:t>
      </w:r>
      <w:r w:rsidRPr="001F7D3C">
        <w:rPr>
          <w:rFonts w:ascii="Arial" w:hAnsi="Arial" w:cs="Arial"/>
          <w:bCs/>
          <w:snapToGrid w:val="0"/>
          <w:sz w:val="22"/>
          <w:szCs w:val="22"/>
          <w:lang w:val="en-GB"/>
        </w:rPr>
        <w:t>submi</w:t>
      </w:r>
      <w:r w:rsidR="00F90F27" w:rsidRPr="001F7D3C">
        <w:rPr>
          <w:rFonts w:ascii="Arial" w:hAnsi="Arial" w:cs="Arial"/>
          <w:bCs/>
          <w:snapToGrid w:val="0"/>
          <w:sz w:val="22"/>
          <w:szCs w:val="22"/>
          <w:lang w:val="en-GB"/>
        </w:rPr>
        <w:t>ssion re-confirmed the sponsor’s commitment to undertake post-NIP listing studies proposed in the July 2014 re-submission. The PBAC considered</w:t>
      </w:r>
      <w:r w:rsidR="00C4683C" w:rsidRPr="001F7D3C">
        <w:rPr>
          <w:rFonts w:ascii="Arial" w:hAnsi="Arial" w:cs="Arial"/>
          <w:bCs/>
          <w:snapToGrid w:val="0"/>
          <w:sz w:val="22"/>
          <w:szCs w:val="22"/>
          <w:lang w:val="en-GB"/>
        </w:rPr>
        <w:t xml:space="preserve"> </w:t>
      </w:r>
      <w:r w:rsidR="00A5628A" w:rsidRPr="001F7D3C">
        <w:rPr>
          <w:rFonts w:ascii="Arial" w:hAnsi="Arial" w:cs="Arial"/>
          <w:bCs/>
          <w:snapToGrid w:val="0"/>
          <w:sz w:val="22"/>
          <w:szCs w:val="22"/>
          <w:lang w:val="en-GB"/>
        </w:rPr>
        <w:t xml:space="preserve">that a mechanism to monitor and report on the efficacy and safety of the vaccine in Australia would provide </w:t>
      </w:r>
      <w:r w:rsidR="00F90F27" w:rsidRPr="001F7D3C">
        <w:rPr>
          <w:rFonts w:ascii="Arial" w:hAnsi="Arial" w:cs="Arial"/>
          <w:bCs/>
          <w:snapToGrid w:val="0"/>
          <w:sz w:val="22"/>
          <w:szCs w:val="22"/>
          <w:lang w:val="en-GB"/>
        </w:rPr>
        <w:t>confidence to the Committee for the li</w:t>
      </w:r>
      <w:r w:rsidR="00024B63" w:rsidRPr="001F7D3C">
        <w:rPr>
          <w:rFonts w:ascii="Arial" w:hAnsi="Arial" w:cs="Arial"/>
          <w:bCs/>
          <w:snapToGrid w:val="0"/>
          <w:sz w:val="22"/>
          <w:szCs w:val="22"/>
          <w:lang w:val="en-GB"/>
        </w:rPr>
        <w:t>sting of 4CMenB on the NIP</w:t>
      </w:r>
      <w:r w:rsidR="00A5628A" w:rsidRPr="001F7D3C">
        <w:rPr>
          <w:rFonts w:ascii="Arial" w:hAnsi="Arial" w:cs="Arial"/>
          <w:bCs/>
          <w:snapToGrid w:val="0"/>
          <w:sz w:val="22"/>
          <w:szCs w:val="22"/>
          <w:lang w:val="en-GB"/>
        </w:rPr>
        <w:t xml:space="preserve">. This </w:t>
      </w:r>
      <w:r w:rsidR="00F90F27" w:rsidRPr="001F7D3C">
        <w:rPr>
          <w:rFonts w:ascii="Arial" w:hAnsi="Arial" w:cs="Arial"/>
          <w:bCs/>
          <w:snapToGrid w:val="0"/>
          <w:sz w:val="22"/>
          <w:szCs w:val="22"/>
          <w:lang w:val="en-GB"/>
        </w:rPr>
        <w:t>would require a financial commitment</w:t>
      </w:r>
      <w:r w:rsidR="00C4683C" w:rsidRPr="001F7D3C">
        <w:rPr>
          <w:rFonts w:ascii="Arial" w:hAnsi="Arial" w:cs="Arial"/>
          <w:bCs/>
          <w:snapToGrid w:val="0"/>
          <w:sz w:val="22"/>
          <w:szCs w:val="22"/>
          <w:lang w:val="en-GB"/>
        </w:rPr>
        <w:t xml:space="preserve"> from the sponsor.</w:t>
      </w:r>
      <w:r w:rsidR="00DE4FD0" w:rsidRPr="001F7D3C">
        <w:rPr>
          <w:rFonts w:ascii="Arial" w:hAnsi="Arial" w:cs="Arial"/>
          <w:bCs/>
          <w:snapToGrid w:val="0"/>
          <w:sz w:val="22"/>
          <w:szCs w:val="22"/>
          <w:lang w:val="en-GB"/>
        </w:rPr>
        <w:t xml:space="preserve"> In acknowledging the limitations of the evidence base, the PBAC considered that listing </w:t>
      </w:r>
      <w:r w:rsidR="003F2A50" w:rsidRPr="001F7D3C">
        <w:rPr>
          <w:rFonts w:ascii="Arial" w:hAnsi="Arial" w:cs="Arial"/>
          <w:bCs/>
          <w:snapToGrid w:val="0"/>
          <w:sz w:val="22"/>
          <w:szCs w:val="22"/>
          <w:lang w:val="en-GB"/>
        </w:rPr>
        <w:t xml:space="preserve">4CMenB vaccine </w:t>
      </w:r>
      <w:r w:rsidR="00DE4FD0" w:rsidRPr="001F7D3C">
        <w:rPr>
          <w:rFonts w:ascii="Arial" w:hAnsi="Arial" w:cs="Arial"/>
          <w:bCs/>
          <w:snapToGrid w:val="0"/>
          <w:sz w:val="22"/>
          <w:szCs w:val="22"/>
          <w:lang w:val="en-GB"/>
        </w:rPr>
        <w:t xml:space="preserve">on the NIP would place considerable risk on the Commonwealth, and there should be </w:t>
      </w:r>
      <w:r w:rsidR="003F2A50" w:rsidRPr="001F7D3C">
        <w:rPr>
          <w:rFonts w:ascii="Arial" w:hAnsi="Arial" w:cs="Arial"/>
          <w:bCs/>
          <w:snapToGrid w:val="0"/>
          <w:sz w:val="22"/>
          <w:szCs w:val="22"/>
          <w:lang w:val="en-GB"/>
        </w:rPr>
        <w:t>a risk sharing agreement between the Sponsor and the Commonwealth to address these uncertainties</w:t>
      </w:r>
      <w:r w:rsidR="00DE4FD0" w:rsidRPr="001F7D3C">
        <w:rPr>
          <w:rFonts w:ascii="Arial" w:hAnsi="Arial" w:cs="Arial"/>
          <w:bCs/>
          <w:snapToGrid w:val="0"/>
          <w:sz w:val="22"/>
          <w:szCs w:val="22"/>
          <w:lang w:val="en-GB"/>
        </w:rPr>
        <w:t>.</w:t>
      </w:r>
    </w:p>
    <w:p w:rsidR="003A6639" w:rsidRPr="001F7D3C" w:rsidRDefault="003A6639" w:rsidP="005A0D93">
      <w:pPr>
        <w:widowControl w:val="0"/>
        <w:contextualSpacing/>
        <w:jc w:val="both"/>
        <w:rPr>
          <w:rFonts w:ascii="Arial" w:hAnsi="Arial" w:cs="Arial"/>
          <w:bCs/>
          <w:snapToGrid w:val="0"/>
          <w:sz w:val="22"/>
          <w:szCs w:val="22"/>
          <w:lang w:val="en-GB"/>
        </w:rPr>
      </w:pPr>
    </w:p>
    <w:p w:rsidR="00FE7BDE" w:rsidRPr="001F7D3C" w:rsidRDefault="00C4683C" w:rsidP="00624F6B">
      <w:pPr>
        <w:widowControl w:val="0"/>
        <w:numPr>
          <w:ilvl w:val="1"/>
          <w:numId w:val="2"/>
        </w:numPr>
        <w:contextualSpacing/>
        <w:jc w:val="both"/>
        <w:rPr>
          <w:rFonts w:ascii="Arial" w:hAnsi="Arial" w:cs="Arial"/>
          <w:snapToGrid w:val="0"/>
          <w:sz w:val="22"/>
          <w:szCs w:val="22"/>
          <w:lang w:val="en-GB"/>
        </w:rPr>
      </w:pPr>
      <w:r w:rsidRPr="001F7D3C">
        <w:rPr>
          <w:rFonts w:ascii="Arial" w:hAnsi="Arial" w:cs="Arial"/>
          <w:bCs/>
          <w:snapToGrid w:val="0"/>
          <w:sz w:val="22"/>
          <w:szCs w:val="22"/>
          <w:lang w:val="en-GB"/>
        </w:rPr>
        <w:t>The</w:t>
      </w:r>
      <w:r w:rsidR="00FE7BDE" w:rsidRPr="001F7D3C">
        <w:rPr>
          <w:rFonts w:ascii="Arial" w:hAnsi="Arial" w:cs="Arial"/>
          <w:bCs/>
          <w:snapToGrid w:val="0"/>
          <w:sz w:val="22"/>
          <w:szCs w:val="22"/>
          <w:lang w:val="en-GB"/>
        </w:rPr>
        <w:t xml:space="preserve"> P</w:t>
      </w:r>
      <w:r w:rsidR="00624F6B" w:rsidRPr="001F7D3C">
        <w:rPr>
          <w:rFonts w:ascii="Arial" w:hAnsi="Arial" w:cs="Arial"/>
          <w:bCs/>
          <w:snapToGrid w:val="0"/>
          <w:sz w:val="22"/>
          <w:szCs w:val="22"/>
          <w:lang w:val="en-GB"/>
        </w:rPr>
        <w:t xml:space="preserve">BAC noted that this submission </w:t>
      </w:r>
      <w:r w:rsidR="00FE7BDE" w:rsidRPr="001F7D3C">
        <w:rPr>
          <w:rFonts w:ascii="Arial" w:hAnsi="Arial" w:cs="Arial"/>
          <w:bCs/>
          <w:snapToGrid w:val="0"/>
          <w:sz w:val="22"/>
          <w:szCs w:val="22"/>
          <w:lang w:val="en-GB"/>
        </w:rPr>
        <w:t>is not eligible for an Independent Review</w:t>
      </w:r>
      <w:r w:rsidR="00624F6B" w:rsidRPr="001F7D3C">
        <w:rPr>
          <w:rFonts w:ascii="Arial" w:hAnsi="Arial" w:cs="Arial"/>
          <w:bCs/>
          <w:snapToGrid w:val="0"/>
          <w:sz w:val="22"/>
          <w:szCs w:val="22"/>
          <w:lang w:val="en-GB"/>
        </w:rPr>
        <w:t>, which is only applicable for submissions requesting PBS listing.</w:t>
      </w:r>
    </w:p>
    <w:p w:rsidR="00FE7BDE" w:rsidRPr="001F7D3C" w:rsidRDefault="00FE7BDE" w:rsidP="00FE7BDE">
      <w:pPr>
        <w:jc w:val="both"/>
        <w:rPr>
          <w:rFonts w:ascii="Arial" w:hAnsi="Arial" w:cs="Arial"/>
          <w:bCs/>
          <w:snapToGrid w:val="0"/>
          <w:sz w:val="22"/>
          <w:szCs w:val="22"/>
          <w:lang w:val="en-GB"/>
        </w:rPr>
      </w:pPr>
    </w:p>
    <w:p w:rsidR="00FE7BDE" w:rsidRPr="001F7D3C" w:rsidRDefault="00FE7BDE" w:rsidP="00FE7BDE">
      <w:pPr>
        <w:jc w:val="both"/>
        <w:rPr>
          <w:rFonts w:ascii="Arial" w:hAnsi="Arial" w:cs="Arial"/>
          <w:b/>
          <w:bCs/>
          <w:snapToGrid w:val="0"/>
          <w:sz w:val="22"/>
          <w:szCs w:val="22"/>
          <w:lang w:val="en-GB"/>
        </w:rPr>
      </w:pPr>
      <w:r w:rsidRPr="001F7D3C">
        <w:rPr>
          <w:rFonts w:ascii="Arial" w:hAnsi="Arial" w:cs="Arial"/>
          <w:b/>
          <w:bCs/>
          <w:snapToGrid w:val="0"/>
          <w:sz w:val="22"/>
          <w:szCs w:val="22"/>
          <w:lang w:val="en-GB"/>
        </w:rPr>
        <w:t>Outcome:</w:t>
      </w:r>
    </w:p>
    <w:p w:rsidR="00AA4458" w:rsidRDefault="00FE7BDE" w:rsidP="00643C6A">
      <w:pPr>
        <w:jc w:val="both"/>
        <w:rPr>
          <w:rFonts w:ascii="Arial" w:hAnsi="Arial" w:cs="Arial"/>
          <w:bCs/>
          <w:snapToGrid w:val="0"/>
          <w:sz w:val="22"/>
          <w:szCs w:val="22"/>
          <w:lang w:val="en-GB"/>
        </w:rPr>
      </w:pPr>
      <w:r w:rsidRPr="001F7D3C">
        <w:rPr>
          <w:rFonts w:ascii="Arial" w:hAnsi="Arial" w:cs="Arial"/>
          <w:bCs/>
          <w:snapToGrid w:val="0"/>
          <w:sz w:val="22"/>
          <w:szCs w:val="22"/>
          <w:lang w:val="en-GB"/>
        </w:rPr>
        <w:t>Rejected</w:t>
      </w:r>
    </w:p>
    <w:p w:rsidR="00CC29E7" w:rsidRDefault="00CC29E7" w:rsidP="00643C6A">
      <w:pPr>
        <w:jc w:val="both"/>
        <w:rPr>
          <w:rFonts w:ascii="Arial" w:hAnsi="Arial" w:cs="Arial"/>
          <w:bCs/>
          <w:snapToGrid w:val="0"/>
          <w:sz w:val="22"/>
          <w:szCs w:val="22"/>
          <w:lang w:val="en-GB"/>
        </w:rPr>
      </w:pPr>
    </w:p>
    <w:p w:rsidR="00CC29E7" w:rsidRDefault="00CC29E7" w:rsidP="00643C6A">
      <w:pPr>
        <w:jc w:val="both"/>
        <w:rPr>
          <w:rFonts w:ascii="Arial" w:hAnsi="Arial" w:cs="Arial"/>
          <w:bCs/>
          <w:snapToGrid w:val="0"/>
          <w:sz w:val="22"/>
          <w:szCs w:val="22"/>
          <w:lang w:val="en-GB"/>
        </w:rPr>
      </w:pPr>
    </w:p>
    <w:p w:rsidR="00CC29E7" w:rsidRPr="00CC29E7" w:rsidRDefault="00CC29E7" w:rsidP="00CC29E7">
      <w:pPr>
        <w:widowControl w:val="0"/>
        <w:numPr>
          <w:ilvl w:val="0"/>
          <w:numId w:val="2"/>
        </w:numPr>
        <w:jc w:val="both"/>
        <w:rPr>
          <w:rFonts w:ascii="Arial" w:hAnsi="Arial" w:cs="Arial"/>
          <w:b/>
          <w:bCs/>
          <w:snapToGrid w:val="0"/>
          <w:sz w:val="22"/>
          <w:szCs w:val="22"/>
          <w:lang w:val="en-GB" w:eastAsia="en-US"/>
        </w:rPr>
      </w:pPr>
      <w:r w:rsidRPr="00CC29E7">
        <w:rPr>
          <w:rFonts w:ascii="Arial" w:hAnsi="Arial" w:cs="Arial"/>
          <w:b/>
          <w:bCs/>
          <w:snapToGrid w:val="0"/>
          <w:sz w:val="22"/>
          <w:szCs w:val="22"/>
          <w:lang w:val="en-GB" w:eastAsia="en-US"/>
        </w:rPr>
        <w:t xml:space="preserve">Context for Decision </w:t>
      </w:r>
    </w:p>
    <w:p w:rsidR="00CC29E7" w:rsidRPr="00CC29E7" w:rsidRDefault="00CC29E7" w:rsidP="00CC29E7">
      <w:pPr>
        <w:jc w:val="both"/>
        <w:rPr>
          <w:rFonts w:ascii="Arial" w:hAnsi="Arial" w:cs="Arial"/>
          <w:bCs/>
          <w:snapToGrid w:val="0"/>
          <w:sz w:val="22"/>
          <w:szCs w:val="22"/>
          <w:lang w:eastAsia="en-US"/>
        </w:rPr>
      </w:pPr>
    </w:p>
    <w:p w:rsidR="00CC29E7" w:rsidRPr="00CC29E7" w:rsidRDefault="00CC29E7" w:rsidP="004D6F3D">
      <w:pPr>
        <w:widowControl w:val="0"/>
        <w:ind w:left="720"/>
        <w:jc w:val="both"/>
        <w:rPr>
          <w:rFonts w:ascii="Arial" w:hAnsi="Arial" w:cs="Arial"/>
          <w:bCs/>
          <w:snapToGrid w:val="0"/>
          <w:sz w:val="22"/>
          <w:szCs w:val="22"/>
          <w:lang w:eastAsia="en-US"/>
        </w:rPr>
      </w:pPr>
      <w:r w:rsidRPr="00CC29E7">
        <w:rPr>
          <w:rFonts w:ascii="Arial" w:hAnsi="Arial" w:cs="Arial"/>
          <w:bCs/>
          <w:snapToGrid w:val="0"/>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C29E7" w:rsidRPr="00CC29E7" w:rsidRDefault="00CC29E7" w:rsidP="00CC29E7">
      <w:pPr>
        <w:jc w:val="both"/>
        <w:rPr>
          <w:rFonts w:ascii="Arial" w:hAnsi="Arial" w:cs="Arial"/>
          <w:bCs/>
          <w:snapToGrid w:val="0"/>
          <w:sz w:val="22"/>
          <w:szCs w:val="22"/>
          <w:lang w:eastAsia="en-US"/>
        </w:rPr>
      </w:pPr>
    </w:p>
    <w:p w:rsidR="00CC29E7" w:rsidRPr="00CC29E7" w:rsidRDefault="00CC29E7" w:rsidP="00CC29E7">
      <w:pPr>
        <w:jc w:val="both"/>
        <w:rPr>
          <w:rFonts w:ascii="Arial" w:hAnsi="Arial" w:cs="Arial"/>
          <w:bCs/>
          <w:snapToGrid w:val="0"/>
          <w:sz w:val="22"/>
          <w:szCs w:val="22"/>
          <w:lang w:eastAsia="en-US"/>
        </w:rPr>
      </w:pPr>
    </w:p>
    <w:p w:rsidR="00CC29E7" w:rsidRPr="00CC29E7" w:rsidRDefault="00CC29E7" w:rsidP="00CC29E7">
      <w:pPr>
        <w:widowControl w:val="0"/>
        <w:numPr>
          <w:ilvl w:val="0"/>
          <w:numId w:val="2"/>
        </w:numPr>
        <w:jc w:val="both"/>
        <w:rPr>
          <w:rFonts w:ascii="Arial" w:hAnsi="Arial" w:cs="Arial"/>
          <w:b/>
          <w:bCs/>
          <w:snapToGrid w:val="0"/>
          <w:sz w:val="22"/>
          <w:szCs w:val="22"/>
          <w:lang w:val="en-GB" w:eastAsia="en-US"/>
        </w:rPr>
      </w:pPr>
      <w:r w:rsidRPr="00CC29E7">
        <w:rPr>
          <w:rFonts w:ascii="Arial" w:hAnsi="Arial" w:cs="Arial"/>
          <w:b/>
          <w:bCs/>
          <w:snapToGrid w:val="0"/>
          <w:sz w:val="22"/>
          <w:szCs w:val="22"/>
          <w:lang w:val="en-GB" w:eastAsia="en-US"/>
        </w:rPr>
        <w:t>Sponsor’s Comment</w:t>
      </w:r>
    </w:p>
    <w:p w:rsidR="004D6F3D" w:rsidRDefault="004D6F3D" w:rsidP="004D6F3D">
      <w:pPr>
        <w:rPr>
          <w:rFonts w:ascii="Arial" w:hAnsi="Arial" w:cs="Arial"/>
          <w:bCs/>
          <w:snapToGrid w:val="0"/>
          <w:sz w:val="22"/>
          <w:szCs w:val="22"/>
          <w:lang w:val="en-GB" w:eastAsia="en-US"/>
        </w:rPr>
      </w:pPr>
    </w:p>
    <w:p w:rsidR="00252CF4" w:rsidRPr="004D6F3D" w:rsidRDefault="00252CF4" w:rsidP="004D6F3D">
      <w:pPr>
        <w:ind w:left="709"/>
        <w:rPr>
          <w:rFonts w:ascii="Arial" w:hAnsi="Arial" w:cs="Arial"/>
          <w:sz w:val="22"/>
          <w:szCs w:val="22"/>
        </w:rPr>
      </w:pPr>
      <w:r w:rsidRPr="004D6F3D">
        <w:rPr>
          <w:rFonts w:ascii="Arial" w:hAnsi="Arial" w:cs="Arial"/>
          <w:sz w:val="22"/>
          <w:szCs w:val="22"/>
        </w:rPr>
        <w:t xml:space="preserve">GSK is disappointed with the PBACs decision. GSK believes that the PBAC’s evaluation criteria (including a comparatively higher discount rate in the economic evaluation) have significantly undervalued the benefits of vaccination with 4CMenB compared with another major health technology review agency which </w:t>
      </w:r>
      <w:r w:rsidR="00BE6D7C" w:rsidRPr="004D6F3D">
        <w:rPr>
          <w:rFonts w:ascii="Arial" w:hAnsi="Arial" w:cs="Arial"/>
          <w:sz w:val="22"/>
          <w:szCs w:val="22"/>
        </w:rPr>
        <w:t>has</w:t>
      </w:r>
      <w:r w:rsidRPr="004D6F3D">
        <w:rPr>
          <w:rFonts w:ascii="Arial" w:hAnsi="Arial" w:cs="Arial"/>
          <w:sz w:val="22"/>
          <w:szCs w:val="22"/>
        </w:rPr>
        <w:t xml:space="preserve"> reimburse</w:t>
      </w:r>
      <w:r w:rsidR="00BE6D7C" w:rsidRPr="004D6F3D">
        <w:rPr>
          <w:rFonts w:ascii="Arial" w:hAnsi="Arial" w:cs="Arial"/>
          <w:sz w:val="22"/>
          <w:szCs w:val="22"/>
        </w:rPr>
        <w:t>d</w:t>
      </w:r>
      <w:r w:rsidRPr="004D6F3D">
        <w:rPr>
          <w:rFonts w:ascii="Arial" w:hAnsi="Arial" w:cs="Arial"/>
          <w:sz w:val="22"/>
          <w:szCs w:val="22"/>
        </w:rPr>
        <w:t xml:space="preserve"> the vaccine from September 2015. </w:t>
      </w:r>
    </w:p>
    <w:p w:rsidR="00252CF4" w:rsidRPr="004D6F3D" w:rsidRDefault="00252CF4" w:rsidP="00BE6D7C">
      <w:pPr>
        <w:ind w:left="709"/>
        <w:rPr>
          <w:rFonts w:ascii="Arial" w:hAnsi="Arial" w:cs="Arial"/>
          <w:sz w:val="22"/>
          <w:szCs w:val="22"/>
        </w:rPr>
      </w:pPr>
    </w:p>
    <w:p w:rsidR="00252CF4" w:rsidRPr="004D6F3D" w:rsidRDefault="00252CF4" w:rsidP="00BE6D7C">
      <w:pPr>
        <w:ind w:left="709"/>
        <w:rPr>
          <w:rFonts w:ascii="Arial" w:hAnsi="Arial" w:cs="Arial"/>
          <w:sz w:val="22"/>
          <w:szCs w:val="22"/>
        </w:rPr>
      </w:pPr>
      <w:r w:rsidRPr="004D6F3D">
        <w:rPr>
          <w:rFonts w:ascii="Arial" w:hAnsi="Arial" w:cs="Arial"/>
          <w:sz w:val="22"/>
          <w:szCs w:val="22"/>
        </w:rPr>
        <w:t xml:space="preserve">GSK notes the advice from the Government’s key clinical advisors on immunisation, the Australian Technical Advisory Group on Immunisation (ATAGI): that Meningococcal B vaccine is recommended for infants and young children under two years old and adolescents aged 15-19 years. </w:t>
      </w:r>
    </w:p>
    <w:p w:rsidR="00BE6D7C" w:rsidRPr="004D6F3D" w:rsidRDefault="00BE6D7C" w:rsidP="00BE6D7C">
      <w:pPr>
        <w:ind w:left="709"/>
        <w:rPr>
          <w:rFonts w:ascii="Arial" w:hAnsi="Arial" w:cs="Arial"/>
          <w:sz w:val="22"/>
          <w:szCs w:val="22"/>
        </w:rPr>
      </w:pPr>
    </w:p>
    <w:p w:rsidR="00252CF4" w:rsidRPr="004D6F3D" w:rsidRDefault="00252CF4" w:rsidP="00BE6D7C">
      <w:pPr>
        <w:ind w:left="709"/>
        <w:rPr>
          <w:rFonts w:ascii="Arial" w:hAnsi="Arial" w:cs="Arial"/>
          <w:sz w:val="22"/>
          <w:szCs w:val="22"/>
        </w:rPr>
      </w:pPr>
      <w:r w:rsidRPr="004D6F3D">
        <w:rPr>
          <w:rFonts w:ascii="Arial" w:hAnsi="Arial" w:cs="Arial"/>
          <w:sz w:val="22"/>
          <w:szCs w:val="22"/>
        </w:rPr>
        <w:t>GSK believes that the application of the PBAC’s current HTA evaluation criteria will prohibit the adoption of a vaccine that prevents a rare and unpredictable life threatening disease, with devastating impact in children, adolescents and their families. To this end, GSK supports the PBAC Guidelines review</w:t>
      </w:r>
      <w:r w:rsidR="00BE6D7C" w:rsidRPr="004D6F3D">
        <w:rPr>
          <w:rFonts w:ascii="Arial" w:hAnsi="Arial" w:cs="Arial"/>
          <w:sz w:val="22"/>
          <w:szCs w:val="22"/>
        </w:rPr>
        <w:t>.</w:t>
      </w:r>
    </w:p>
    <w:p w:rsidR="00252CF4" w:rsidRPr="00CC29E7" w:rsidRDefault="00252CF4" w:rsidP="00CC29E7">
      <w:pPr>
        <w:ind w:left="720"/>
        <w:jc w:val="both"/>
        <w:rPr>
          <w:rFonts w:ascii="Arial" w:hAnsi="Arial" w:cs="Arial"/>
          <w:bCs/>
          <w:snapToGrid w:val="0"/>
          <w:sz w:val="22"/>
          <w:szCs w:val="22"/>
          <w:lang w:val="en-GB" w:eastAsia="en-US"/>
        </w:rPr>
      </w:pPr>
    </w:p>
    <w:p w:rsidR="00CC29E7" w:rsidRPr="00643C6A" w:rsidRDefault="00CC29E7" w:rsidP="00643C6A">
      <w:pPr>
        <w:jc w:val="both"/>
        <w:rPr>
          <w:rFonts w:ascii="Arial" w:hAnsi="Arial" w:cs="Arial"/>
          <w:bCs/>
          <w:snapToGrid w:val="0"/>
          <w:sz w:val="22"/>
          <w:szCs w:val="22"/>
          <w:lang w:val="en-GB"/>
        </w:rPr>
      </w:pPr>
    </w:p>
    <w:sectPr w:rsidR="00CC29E7" w:rsidRPr="00643C6A" w:rsidSect="00CF2EB1">
      <w:pgSz w:w="11906" w:h="16838"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F60063" w15:done="0"/>
  <w15:commentEx w15:paraId="2641C1E4" w15:done="0"/>
  <w15:commentEx w15:paraId="3FDEAF7E" w15:done="0"/>
  <w15:commentEx w15:paraId="4A280B9F" w15:done="0"/>
  <w15:commentEx w15:paraId="2FC7D59D" w15:done="0"/>
  <w15:commentEx w15:paraId="205AC2ED" w15:done="0"/>
  <w15:commentEx w15:paraId="06B87949" w15:done="0"/>
  <w15:commentEx w15:paraId="2457DFA4" w15:done="0"/>
  <w15:commentEx w15:paraId="5A3CD7F6" w15:done="0"/>
  <w15:commentEx w15:paraId="1C82200B" w15:done="0"/>
  <w15:commentEx w15:paraId="260962F6" w15:done="0"/>
  <w15:commentEx w15:paraId="54F3883B" w15:done="0"/>
  <w15:commentEx w15:paraId="33CE74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21" w:rsidRDefault="00C02821">
      <w:r>
        <w:separator/>
      </w:r>
    </w:p>
    <w:p w:rsidR="00C02821" w:rsidRDefault="00C02821"/>
  </w:endnote>
  <w:endnote w:type="continuationSeparator" w:id="0">
    <w:p w:rsidR="00C02821" w:rsidRDefault="00C02821">
      <w:r>
        <w:continuationSeparator/>
      </w:r>
    </w:p>
    <w:p w:rsidR="00C02821" w:rsidRDefault="00C02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AFF" w:usb1="C0007841" w:usb2="00000009" w:usb3="00000000" w:csb0="000001FF" w:csb1="00000000"/>
  </w:font>
  <w:font w:name="Futura Std Boo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B1369" w:rsidTr="005A3173">
      <w:trPr>
        <w:trHeight w:val="151"/>
      </w:trPr>
      <w:tc>
        <w:tcPr>
          <w:tcW w:w="2250" w:type="pct"/>
          <w:tcBorders>
            <w:top w:val="nil"/>
            <w:left w:val="nil"/>
            <w:bottom w:val="single" w:sz="4" w:space="0" w:color="4F81BD"/>
            <w:right w:val="nil"/>
          </w:tcBorders>
        </w:tcPr>
        <w:p w:rsidR="009B1369" w:rsidRPr="005A3173" w:rsidRDefault="009B136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B1369" w:rsidRPr="005A3173" w:rsidRDefault="009B13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B1369" w:rsidRPr="005A3173" w:rsidRDefault="009B1369" w:rsidP="005A3173">
          <w:pPr>
            <w:pStyle w:val="Header"/>
            <w:spacing w:line="276" w:lineRule="auto"/>
            <w:rPr>
              <w:rFonts w:ascii="Calibri" w:eastAsia="MS Gothic" w:hAnsi="Calibri"/>
              <w:b/>
              <w:bCs/>
              <w:color w:val="4F81BD"/>
            </w:rPr>
          </w:pPr>
        </w:p>
      </w:tc>
    </w:tr>
    <w:tr w:rsidR="009B1369" w:rsidTr="005A3173">
      <w:trPr>
        <w:trHeight w:val="150"/>
      </w:trPr>
      <w:tc>
        <w:tcPr>
          <w:tcW w:w="2250" w:type="pct"/>
          <w:tcBorders>
            <w:top w:val="single" w:sz="4" w:space="0" w:color="4F81BD"/>
            <w:left w:val="nil"/>
            <w:bottom w:val="nil"/>
            <w:right w:val="nil"/>
          </w:tcBorders>
        </w:tcPr>
        <w:p w:rsidR="009B1369" w:rsidRPr="005A3173" w:rsidRDefault="009B1369" w:rsidP="005A3173">
          <w:pPr>
            <w:pStyle w:val="Header"/>
            <w:spacing w:line="276" w:lineRule="auto"/>
            <w:rPr>
              <w:rFonts w:ascii="Calibri" w:eastAsia="MS Gothic" w:hAnsi="Calibri"/>
              <w:b/>
              <w:bCs/>
              <w:color w:val="4F81BD"/>
            </w:rPr>
          </w:pPr>
        </w:p>
      </w:tc>
      <w:tc>
        <w:tcPr>
          <w:tcW w:w="0" w:type="auto"/>
          <w:vMerge/>
          <w:vAlign w:val="center"/>
          <w:hideMark/>
        </w:tcPr>
        <w:p w:rsidR="009B1369" w:rsidRPr="005A3173" w:rsidRDefault="009B136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B1369" w:rsidRPr="005A3173" w:rsidRDefault="009B1369" w:rsidP="005A3173">
          <w:pPr>
            <w:pStyle w:val="Header"/>
            <w:spacing w:line="276" w:lineRule="auto"/>
            <w:rPr>
              <w:rFonts w:ascii="Calibri" w:eastAsia="MS Gothic" w:hAnsi="Calibri"/>
              <w:b/>
              <w:bCs/>
              <w:color w:val="4F81BD"/>
            </w:rPr>
          </w:pPr>
        </w:p>
      </w:tc>
    </w:tr>
  </w:tbl>
  <w:p w:rsidR="009B1369" w:rsidRDefault="009B136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1369" w:rsidRDefault="009B1369">
    <w:pPr>
      <w:pStyle w:val="Footer"/>
    </w:pPr>
  </w:p>
  <w:p w:rsidR="009B1369" w:rsidRDefault="009B13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69" w:rsidRDefault="009B1369" w:rsidP="00EF44A0">
    <w:pPr>
      <w:pStyle w:val="Footer"/>
      <w:jc w:val="center"/>
      <w:rPr>
        <w:rFonts w:ascii="Arial" w:hAnsi="Arial" w:cs="Arial"/>
        <w:sz w:val="20"/>
        <w:szCs w:val="20"/>
      </w:rPr>
    </w:pPr>
  </w:p>
  <w:p w:rsidR="009B1369" w:rsidRDefault="009B1369" w:rsidP="00EF44A0">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C02821">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B1369" w:rsidTr="005A3173">
      <w:trPr>
        <w:trHeight w:val="151"/>
      </w:trPr>
      <w:tc>
        <w:tcPr>
          <w:tcW w:w="2250" w:type="pct"/>
          <w:tcBorders>
            <w:top w:val="nil"/>
            <w:left w:val="nil"/>
            <w:bottom w:val="single" w:sz="4" w:space="0" w:color="4F81BD"/>
            <w:right w:val="nil"/>
          </w:tcBorders>
        </w:tcPr>
        <w:p w:rsidR="009B1369" w:rsidRPr="005A3173" w:rsidRDefault="009B136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B1369" w:rsidRPr="005A3173" w:rsidRDefault="009B13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B1369" w:rsidRPr="005A3173" w:rsidRDefault="009B1369" w:rsidP="005A3173">
          <w:pPr>
            <w:pStyle w:val="Header"/>
            <w:spacing w:line="276" w:lineRule="auto"/>
            <w:rPr>
              <w:rFonts w:ascii="Calibri" w:eastAsia="MS Gothic" w:hAnsi="Calibri"/>
              <w:b/>
              <w:bCs/>
              <w:color w:val="4F81BD"/>
            </w:rPr>
          </w:pPr>
        </w:p>
      </w:tc>
    </w:tr>
    <w:tr w:rsidR="009B1369" w:rsidTr="005A3173">
      <w:trPr>
        <w:trHeight w:val="150"/>
      </w:trPr>
      <w:tc>
        <w:tcPr>
          <w:tcW w:w="2250" w:type="pct"/>
          <w:tcBorders>
            <w:top w:val="single" w:sz="4" w:space="0" w:color="4F81BD"/>
            <w:left w:val="nil"/>
            <w:bottom w:val="nil"/>
            <w:right w:val="nil"/>
          </w:tcBorders>
        </w:tcPr>
        <w:p w:rsidR="009B1369" w:rsidRPr="005A3173" w:rsidRDefault="009B1369" w:rsidP="005A3173">
          <w:pPr>
            <w:pStyle w:val="Header"/>
            <w:spacing w:line="276" w:lineRule="auto"/>
            <w:rPr>
              <w:rFonts w:ascii="Calibri" w:eastAsia="MS Gothic" w:hAnsi="Calibri"/>
              <w:b/>
              <w:bCs/>
              <w:color w:val="4F81BD"/>
            </w:rPr>
          </w:pPr>
        </w:p>
      </w:tc>
      <w:tc>
        <w:tcPr>
          <w:tcW w:w="0" w:type="auto"/>
          <w:vMerge/>
          <w:vAlign w:val="center"/>
          <w:hideMark/>
        </w:tcPr>
        <w:p w:rsidR="009B1369" w:rsidRPr="005A3173" w:rsidRDefault="009B136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B1369" w:rsidRPr="005A3173" w:rsidRDefault="009B136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B1369" w:rsidTr="005A3173">
      <w:trPr>
        <w:trHeight w:val="151"/>
      </w:trPr>
      <w:tc>
        <w:tcPr>
          <w:tcW w:w="2250" w:type="pct"/>
          <w:tcBorders>
            <w:top w:val="nil"/>
            <w:left w:val="nil"/>
            <w:bottom w:val="single" w:sz="4" w:space="0" w:color="4F81BD"/>
            <w:right w:val="nil"/>
          </w:tcBorders>
        </w:tcPr>
        <w:p w:rsidR="009B1369" w:rsidRPr="005A3173" w:rsidRDefault="009B136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B1369" w:rsidRPr="005A3173" w:rsidRDefault="009B13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B1369" w:rsidRPr="005A3173" w:rsidRDefault="009B1369" w:rsidP="005A3173">
          <w:pPr>
            <w:pStyle w:val="Header"/>
            <w:spacing w:line="276" w:lineRule="auto"/>
            <w:rPr>
              <w:rFonts w:ascii="Calibri" w:eastAsia="MS Gothic" w:hAnsi="Calibri"/>
              <w:b/>
              <w:bCs/>
              <w:color w:val="4F81BD"/>
            </w:rPr>
          </w:pPr>
        </w:p>
      </w:tc>
    </w:tr>
    <w:tr w:rsidR="009B1369" w:rsidTr="005A3173">
      <w:trPr>
        <w:trHeight w:val="150"/>
      </w:trPr>
      <w:tc>
        <w:tcPr>
          <w:tcW w:w="2250" w:type="pct"/>
          <w:tcBorders>
            <w:top w:val="single" w:sz="4" w:space="0" w:color="4F81BD"/>
            <w:left w:val="nil"/>
            <w:bottom w:val="nil"/>
            <w:right w:val="nil"/>
          </w:tcBorders>
        </w:tcPr>
        <w:p w:rsidR="009B1369" w:rsidRPr="005A3173" w:rsidRDefault="009B1369" w:rsidP="005A3173">
          <w:pPr>
            <w:pStyle w:val="Header"/>
            <w:spacing w:line="276" w:lineRule="auto"/>
            <w:rPr>
              <w:rFonts w:ascii="Calibri" w:eastAsia="MS Gothic" w:hAnsi="Calibri"/>
              <w:b/>
              <w:bCs/>
              <w:color w:val="4F81BD"/>
            </w:rPr>
          </w:pPr>
        </w:p>
      </w:tc>
      <w:tc>
        <w:tcPr>
          <w:tcW w:w="0" w:type="auto"/>
          <w:vMerge/>
          <w:vAlign w:val="center"/>
          <w:hideMark/>
        </w:tcPr>
        <w:p w:rsidR="009B1369" w:rsidRPr="005A3173" w:rsidRDefault="009B136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B1369" w:rsidRPr="005A3173" w:rsidRDefault="009B1369" w:rsidP="005A3173">
          <w:pPr>
            <w:pStyle w:val="Header"/>
            <w:spacing w:line="276" w:lineRule="auto"/>
            <w:rPr>
              <w:rFonts w:ascii="Calibri" w:eastAsia="MS Gothic" w:hAnsi="Calibri"/>
              <w:b/>
              <w:bCs/>
              <w:color w:val="4F81BD"/>
            </w:rPr>
          </w:pPr>
        </w:p>
      </w:tc>
    </w:tr>
  </w:tbl>
  <w:p w:rsidR="009B1369" w:rsidRPr="007C0F57" w:rsidRDefault="009B136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B1369" w:rsidRPr="007C0F57" w:rsidRDefault="009B1369" w:rsidP="007C0F57">
    <w:pPr>
      <w:pStyle w:val="Footer"/>
      <w:jc w:val="center"/>
      <w:rPr>
        <w:b/>
        <w:i/>
        <w:sz w:val="20"/>
        <w:szCs w:val="20"/>
      </w:rPr>
    </w:pPr>
    <w:r w:rsidRPr="007C0F57">
      <w:rPr>
        <w:b/>
        <w:i/>
        <w:sz w:val="20"/>
        <w:szCs w:val="20"/>
      </w:rPr>
      <w:t>Commercial-in-Confidence</w:t>
    </w:r>
  </w:p>
  <w:p w:rsidR="009B1369" w:rsidRDefault="009B13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21" w:rsidRDefault="00C02821">
      <w:r>
        <w:separator/>
      </w:r>
    </w:p>
    <w:p w:rsidR="00C02821" w:rsidRDefault="00C02821"/>
  </w:footnote>
  <w:footnote w:type="continuationSeparator" w:id="0">
    <w:p w:rsidR="00C02821" w:rsidRDefault="00C02821">
      <w:r>
        <w:continuationSeparator/>
      </w:r>
    </w:p>
    <w:p w:rsidR="00C02821" w:rsidRDefault="00C02821"/>
  </w:footnote>
  <w:footnote w:id="1">
    <w:p w:rsidR="009B1369" w:rsidRPr="00247294" w:rsidRDefault="009B1369">
      <w:pPr>
        <w:pStyle w:val="FootnoteText"/>
        <w:rPr>
          <w:rFonts w:cs="Arial"/>
          <w:sz w:val="18"/>
          <w:szCs w:val="18"/>
          <w:lang w:val="en-US"/>
        </w:rPr>
      </w:pPr>
      <w:r w:rsidRPr="00247294">
        <w:rPr>
          <w:rStyle w:val="FootnoteReference"/>
          <w:rFonts w:cs="Arial"/>
          <w:sz w:val="18"/>
          <w:szCs w:val="18"/>
        </w:rPr>
        <w:footnoteRef/>
      </w:r>
      <w:r w:rsidRPr="00247294">
        <w:rPr>
          <w:rFonts w:cs="Arial"/>
          <w:sz w:val="18"/>
          <w:szCs w:val="18"/>
        </w:rPr>
        <w:t xml:space="preserve"> </w:t>
      </w:r>
      <w:r>
        <w:rPr>
          <w:rFonts w:cs="Arial"/>
          <w:sz w:val="18"/>
          <w:szCs w:val="18"/>
        </w:rPr>
        <w:t>A</w:t>
      </w:r>
      <w:r w:rsidRPr="00247294">
        <w:rPr>
          <w:rFonts w:cs="Arial"/>
          <w:sz w:val="18"/>
          <w:szCs w:val="18"/>
        </w:rPr>
        <w:t>s described in the</w:t>
      </w:r>
      <w:r>
        <w:rPr>
          <w:rFonts w:cs="Arial"/>
          <w:sz w:val="18"/>
          <w:szCs w:val="18"/>
        </w:rPr>
        <w:t xml:space="preserve"> </w:t>
      </w:r>
      <w:r w:rsidRPr="009B1369">
        <w:rPr>
          <w:rFonts w:cs="Arial"/>
          <w:sz w:val="18"/>
          <w:szCs w:val="18"/>
        </w:rPr>
        <w:t xml:space="preserve">FDA </w:t>
      </w:r>
      <w:r w:rsidRPr="009B1369">
        <w:rPr>
          <w:sz w:val="18"/>
          <w:szCs w:val="18"/>
        </w:rPr>
        <w:t xml:space="preserve">Pharmacovigilance Plan Review Memo, Jan 23, 2015 (see the </w:t>
      </w:r>
      <w:hyperlink r:id="rId1" w:history="1">
        <w:r w:rsidRPr="009B1369">
          <w:rPr>
            <w:rStyle w:val="Hyperlink"/>
            <w:sz w:val="18"/>
            <w:szCs w:val="18"/>
          </w:rPr>
          <w:t>FDA website</w:t>
        </w:r>
      </w:hyperlink>
      <w:r w:rsidRPr="009B1369">
        <w:rPr>
          <w:sz w:val="18"/>
          <w:szCs w:val="18"/>
        </w:rPr>
        <w:t xml:space="preserve"> for a copy of the Review Memo).</w:t>
      </w:r>
      <w:r w:rsidRPr="00247294">
        <w:rPr>
          <w:rFonts w:cs="Arial"/>
          <w:sz w:val="18"/>
          <w:szCs w:val="18"/>
        </w:rPr>
        <w:t xml:space="preserve"> </w:t>
      </w:r>
    </w:p>
  </w:footnote>
  <w:footnote w:id="2">
    <w:p w:rsidR="009B1369" w:rsidRPr="000C4C0E" w:rsidRDefault="009B1369">
      <w:pPr>
        <w:pStyle w:val="FootnoteText"/>
        <w:rPr>
          <w:lang w:val="en-US"/>
        </w:rPr>
      </w:pPr>
      <w:r>
        <w:rPr>
          <w:rStyle w:val="FootnoteReference"/>
        </w:rPr>
        <w:footnoteRef/>
      </w:r>
      <w:r>
        <w:t xml:space="preserve"> It is unclear whether the </w:t>
      </w:r>
      <w:r w:rsidRPr="000C4C0E">
        <w:t xml:space="preserve">free vaccine to half of the adolescent catch-up cohort </w:t>
      </w:r>
      <w:r>
        <w:t>was included with regards to Program #5.</w:t>
      </w:r>
    </w:p>
  </w:footnote>
  <w:footnote w:id="3">
    <w:p w:rsidR="009B1369" w:rsidRPr="001F08FA" w:rsidRDefault="009B1369">
      <w:pPr>
        <w:pStyle w:val="FootnoteText"/>
        <w:rPr>
          <w:lang w:val="en-US"/>
        </w:rPr>
      </w:pPr>
      <w:r w:rsidRPr="001F08FA">
        <w:rPr>
          <w:rStyle w:val="FootnoteReference"/>
        </w:rPr>
        <w:footnoteRef/>
      </w:r>
      <w:r w:rsidRPr="001F08FA">
        <w:t xml:space="preserve"> For example, additional columns Z:AM in sheet “Start” columns Z:AM, additional rows and check boxes in sheets “Vaccine inputs_St1” etc, additional input boxes in “Acute Care &amp; Sequelae” and additional data in sheet “Output Summary”.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B1369" w:rsidRPr="008E0D90" w:rsidTr="00A06225">
      <w:trPr>
        <w:trHeight w:val="151"/>
      </w:trPr>
      <w:tc>
        <w:tcPr>
          <w:tcW w:w="2389" w:type="pct"/>
          <w:tcBorders>
            <w:top w:val="nil"/>
            <w:left w:val="nil"/>
            <w:bottom w:val="single" w:sz="4" w:space="0" w:color="4F81BD"/>
            <w:right w:val="nil"/>
          </w:tcBorders>
        </w:tcPr>
        <w:p w:rsidR="009B1369" w:rsidRPr="00A06225" w:rsidRDefault="009B1369">
          <w:pPr>
            <w:pStyle w:val="Header"/>
            <w:spacing w:line="276" w:lineRule="auto"/>
            <w:rPr>
              <w:rFonts w:ascii="Cambria" w:eastAsia="MS Gothic" w:hAnsi="Cambria"/>
              <w:b/>
              <w:bCs/>
              <w:color w:val="4F81BD"/>
            </w:rPr>
          </w:pPr>
        </w:p>
      </w:tc>
      <w:tc>
        <w:tcPr>
          <w:tcW w:w="333" w:type="pct"/>
          <w:vMerge w:val="restart"/>
          <w:noWrap/>
          <w:vAlign w:val="center"/>
          <w:hideMark/>
        </w:tcPr>
        <w:p w:rsidR="009B1369" w:rsidRPr="00A06225" w:rsidRDefault="009B136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B1369" w:rsidRPr="00A06225" w:rsidRDefault="009B1369">
          <w:pPr>
            <w:pStyle w:val="Header"/>
            <w:spacing w:line="276" w:lineRule="auto"/>
            <w:rPr>
              <w:rFonts w:ascii="Cambria" w:eastAsia="MS Gothic" w:hAnsi="Cambria"/>
              <w:b/>
              <w:bCs/>
              <w:color w:val="4F81BD"/>
            </w:rPr>
          </w:pPr>
        </w:p>
      </w:tc>
    </w:tr>
    <w:tr w:rsidR="009B1369" w:rsidRPr="008E0D90" w:rsidTr="00A06225">
      <w:trPr>
        <w:trHeight w:val="150"/>
      </w:trPr>
      <w:tc>
        <w:tcPr>
          <w:tcW w:w="2389" w:type="pct"/>
          <w:tcBorders>
            <w:top w:val="single" w:sz="4" w:space="0" w:color="4F81BD"/>
            <w:left w:val="nil"/>
            <w:bottom w:val="nil"/>
            <w:right w:val="nil"/>
          </w:tcBorders>
        </w:tcPr>
        <w:p w:rsidR="009B1369" w:rsidRPr="00A06225" w:rsidRDefault="009B1369">
          <w:pPr>
            <w:pStyle w:val="Header"/>
            <w:spacing w:line="276" w:lineRule="auto"/>
            <w:rPr>
              <w:rFonts w:ascii="Cambria" w:eastAsia="MS Gothic" w:hAnsi="Cambria"/>
              <w:b/>
              <w:bCs/>
              <w:color w:val="4F81BD"/>
            </w:rPr>
          </w:pPr>
        </w:p>
      </w:tc>
      <w:tc>
        <w:tcPr>
          <w:tcW w:w="0" w:type="auto"/>
          <w:vMerge/>
          <w:vAlign w:val="center"/>
          <w:hideMark/>
        </w:tcPr>
        <w:p w:rsidR="009B1369" w:rsidRPr="00A06225" w:rsidRDefault="009B1369">
          <w:pPr>
            <w:rPr>
              <w:rFonts w:ascii="Cambria" w:hAnsi="Cambria"/>
              <w:color w:val="4F81BD"/>
              <w:sz w:val="22"/>
              <w:szCs w:val="22"/>
            </w:rPr>
          </w:pPr>
        </w:p>
      </w:tc>
      <w:tc>
        <w:tcPr>
          <w:tcW w:w="2278" w:type="pct"/>
          <w:tcBorders>
            <w:top w:val="single" w:sz="4" w:space="0" w:color="4F81BD"/>
            <w:left w:val="nil"/>
            <w:bottom w:val="nil"/>
            <w:right w:val="nil"/>
          </w:tcBorders>
        </w:tcPr>
        <w:p w:rsidR="009B1369" w:rsidRPr="00A06225" w:rsidRDefault="009B1369">
          <w:pPr>
            <w:pStyle w:val="Header"/>
            <w:spacing w:line="276" w:lineRule="auto"/>
            <w:rPr>
              <w:rFonts w:ascii="Cambria" w:eastAsia="MS Gothic" w:hAnsi="Cambria"/>
              <w:b/>
              <w:bCs/>
              <w:color w:val="4F81BD"/>
            </w:rPr>
          </w:pPr>
        </w:p>
      </w:tc>
    </w:tr>
  </w:tbl>
  <w:p w:rsidR="009B1369" w:rsidRDefault="009B1369">
    <w:pPr>
      <w:pStyle w:val="Header"/>
    </w:pPr>
  </w:p>
  <w:p w:rsidR="009B1369" w:rsidRDefault="009B13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69" w:rsidRPr="00DF217D" w:rsidRDefault="009B1369" w:rsidP="00D25376">
    <w:pPr>
      <w:pStyle w:val="Header"/>
      <w:ind w:left="360"/>
      <w:jc w:val="center"/>
      <w:rPr>
        <w:rFonts w:ascii="Arial" w:hAnsi="Arial" w:cs="Arial"/>
        <w:i/>
        <w:color w:val="808080"/>
        <w:sz w:val="22"/>
      </w:rPr>
    </w:pPr>
    <w:r>
      <w:rPr>
        <w:rFonts w:ascii="Arial" w:hAnsi="Arial" w:cs="Arial"/>
        <w:i/>
        <w:color w:val="808080"/>
        <w:sz w:val="22"/>
      </w:rPr>
      <w:t xml:space="preserve">Public Summary Documents </w:t>
    </w:r>
    <w:r w:rsidRPr="00DF217D">
      <w:rPr>
        <w:rFonts w:ascii="Arial" w:hAnsi="Arial" w:cs="Arial"/>
        <w:i/>
        <w:color w:val="808080"/>
        <w:sz w:val="22"/>
      </w:rPr>
      <w:t xml:space="preserve">– </w:t>
    </w:r>
    <w:r>
      <w:rPr>
        <w:rFonts w:ascii="Arial" w:hAnsi="Arial" w:cs="Arial"/>
        <w:i/>
        <w:color w:val="808080"/>
        <w:sz w:val="22"/>
      </w:rPr>
      <w:t xml:space="preserve">July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9B1369" w:rsidRDefault="009B1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03" w:rsidRDefault="00D978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550BE"/>
    <w:multiLevelType w:val="hybridMultilevel"/>
    <w:tmpl w:val="89562B92"/>
    <w:lvl w:ilvl="0" w:tplc="B008D4AC">
      <w:numFmt w:val="bullet"/>
      <w:lvlText w:val="-"/>
      <w:lvlJc w:val="left"/>
      <w:pPr>
        <w:ind w:left="720" w:hanging="360"/>
      </w:pPr>
      <w:rPr>
        <w:rFonts w:ascii="Arial" w:eastAsia="Times New Roman" w:hAnsi="Arial" w:cs="Aria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3B228D"/>
    <w:multiLevelType w:val="hybridMultilevel"/>
    <w:tmpl w:val="67E08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6">
    <w:nsid w:val="233C6E0E"/>
    <w:multiLevelType w:val="hybridMultilevel"/>
    <w:tmpl w:val="D11A93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0B67FD"/>
    <w:multiLevelType w:val="hybridMultilevel"/>
    <w:tmpl w:val="9702C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26816328"/>
    <w:multiLevelType w:val="hybridMultilevel"/>
    <w:tmpl w:val="55C0256E"/>
    <w:lvl w:ilvl="0" w:tplc="B8A62DD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2A1E0BD0"/>
    <w:multiLevelType w:val="hybridMultilevel"/>
    <w:tmpl w:val="C57E2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2C4E92"/>
    <w:multiLevelType w:val="hybridMultilevel"/>
    <w:tmpl w:val="F4864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0A035EF"/>
    <w:multiLevelType w:val="hybridMultilevel"/>
    <w:tmpl w:val="E4E49A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6895483"/>
    <w:multiLevelType w:val="hybridMultilevel"/>
    <w:tmpl w:val="B448A55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E6F6012"/>
    <w:multiLevelType w:val="hybridMultilevel"/>
    <w:tmpl w:val="A6301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F820D91"/>
    <w:multiLevelType w:val="hybridMultilevel"/>
    <w:tmpl w:val="C6261D50"/>
    <w:lvl w:ilvl="0" w:tplc="078AA4CC">
      <w:start w:val="7"/>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BB7B41"/>
    <w:multiLevelType w:val="hybridMultilevel"/>
    <w:tmpl w:val="91EEEB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60E442C"/>
    <w:multiLevelType w:val="hybridMultilevel"/>
    <w:tmpl w:val="D936818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nsid w:val="4F94221A"/>
    <w:multiLevelType w:val="multilevel"/>
    <w:tmpl w:val="EF529B6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33449C"/>
    <w:multiLevelType w:val="hybridMultilevel"/>
    <w:tmpl w:val="954AC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782AD0"/>
    <w:multiLevelType w:val="hybridMultilevel"/>
    <w:tmpl w:val="65DAE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7E2129C"/>
    <w:multiLevelType w:val="hybridMultilevel"/>
    <w:tmpl w:val="87DA32E2"/>
    <w:lvl w:ilvl="0" w:tplc="E0F258D0">
      <w:start w:val="1"/>
      <w:numFmt w:val="decimal"/>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784D033C"/>
    <w:multiLevelType w:val="multilevel"/>
    <w:tmpl w:val="3ED001E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B4D7FAE"/>
    <w:multiLevelType w:val="multilevel"/>
    <w:tmpl w:val="EF529B6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3"/>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21"/>
  </w:num>
  <w:num w:numId="9">
    <w:abstractNumId w:val="15"/>
  </w:num>
  <w:num w:numId="10">
    <w:abstractNumId w:val="14"/>
  </w:num>
  <w:num w:numId="11">
    <w:abstractNumId w:val="13"/>
  </w:num>
  <w:num w:numId="12">
    <w:abstractNumId w:val="22"/>
  </w:num>
  <w:num w:numId="13">
    <w:abstractNumId w:val="10"/>
  </w:num>
  <w:num w:numId="14">
    <w:abstractNumId w:val="18"/>
  </w:num>
  <w:num w:numId="15">
    <w:abstractNumId w:val="25"/>
  </w:num>
  <w:num w:numId="16">
    <w:abstractNumId w:val="20"/>
  </w:num>
  <w:num w:numId="17">
    <w:abstractNumId w:val="12"/>
  </w:num>
  <w:num w:numId="18">
    <w:abstractNumId w:val="16"/>
  </w:num>
  <w:num w:numId="19">
    <w:abstractNumId w:val="19"/>
  </w:num>
  <w:num w:numId="20">
    <w:abstractNumId w:val="4"/>
  </w:num>
  <w:num w:numId="21">
    <w:abstractNumId w:val="0"/>
  </w:num>
  <w:num w:numId="22">
    <w:abstractNumId w:val="7"/>
  </w:num>
  <w:num w:numId="23">
    <w:abstractNumId w:val="2"/>
  </w:num>
  <w:num w:numId="24">
    <w:abstractNumId w:val="1"/>
  </w:num>
  <w:num w:numId="25">
    <w:abstractNumId w:val="11"/>
  </w:num>
  <w:num w:numId="26">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0029"/>
    <w:rsid w:val="0002464A"/>
    <w:rsid w:val="00024B63"/>
    <w:rsid w:val="00026208"/>
    <w:rsid w:val="0003106B"/>
    <w:rsid w:val="0003241F"/>
    <w:rsid w:val="0003260D"/>
    <w:rsid w:val="000421A1"/>
    <w:rsid w:val="0004240E"/>
    <w:rsid w:val="00045E26"/>
    <w:rsid w:val="00050BDF"/>
    <w:rsid w:val="000514B5"/>
    <w:rsid w:val="00051E66"/>
    <w:rsid w:val="00053C82"/>
    <w:rsid w:val="0006055F"/>
    <w:rsid w:val="00060E64"/>
    <w:rsid w:val="000618C9"/>
    <w:rsid w:val="00066755"/>
    <w:rsid w:val="00071CAF"/>
    <w:rsid w:val="000944C5"/>
    <w:rsid w:val="000967F2"/>
    <w:rsid w:val="000969AD"/>
    <w:rsid w:val="00097B7D"/>
    <w:rsid w:val="000A6700"/>
    <w:rsid w:val="000B4FD1"/>
    <w:rsid w:val="000B558D"/>
    <w:rsid w:val="000B5B5E"/>
    <w:rsid w:val="000C14B7"/>
    <w:rsid w:val="000C33F2"/>
    <w:rsid w:val="000C4C0E"/>
    <w:rsid w:val="000C6996"/>
    <w:rsid w:val="000D23BA"/>
    <w:rsid w:val="000E31B5"/>
    <w:rsid w:val="000E681E"/>
    <w:rsid w:val="000F3299"/>
    <w:rsid w:val="000F43A8"/>
    <w:rsid w:val="000F4E6A"/>
    <w:rsid w:val="00104A26"/>
    <w:rsid w:val="001107BF"/>
    <w:rsid w:val="0012417C"/>
    <w:rsid w:val="001272BA"/>
    <w:rsid w:val="001275D3"/>
    <w:rsid w:val="0013162C"/>
    <w:rsid w:val="001316D6"/>
    <w:rsid w:val="001417E4"/>
    <w:rsid w:val="00142395"/>
    <w:rsid w:val="00142714"/>
    <w:rsid w:val="001452ED"/>
    <w:rsid w:val="00145B51"/>
    <w:rsid w:val="001475F9"/>
    <w:rsid w:val="00157370"/>
    <w:rsid w:val="0016081D"/>
    <w:rsid w:val="00162FFC"/>
    <w:rsid w:val="00164BC2"/>
    <w:rsid w:val="001713A6"/>
    <w:rsid w:val="00171BA0"/>
    <w:rsid w:val="00173A1C"/>
    <w:rsid w:val="001830CE"/>
    <w:rsid w:val="00187991"/>
    <w:rsid w:val="00196307"/>
    <w:rsid w:val="001A2F4F"/>
    <w:rsid w:val="001A7A02"/>
    <w:rsid w:val="001B017F"/>
    <w:rsid w:val="001B106B"/>
    <w:rsid w:val="001B14AF"/>
    <w:rsid w:val="001B5129"/>
    <w:rsid w:val="001B688E"/>
    <w:rsid w:val="001C056B"/>
    <w:rsid w:val="001C1195"/>
    <w:rsid w:val="001D324A"/>
    <w:rsid w:val="001D5C81"/>
    <w:rsid w:val="001E3D2A"/>
    <w:rsid w:val="001F08FA"/>
    <w:rsid w:val="001F1463"/>
    <w:rsid w:val="001F7D3C"/>
    <w:rsid w:val="00207A9B"/>
    <w:rsid w:val="00213CFB"/>
    <w:rsid w:val="00213EC1"/>
    <w:rsid w:val="00240F84"/>
    <w:rsid w:val="00244F03"/>
    <w:rsid w:val="00247294"/>
    <w:rsid w:val="00252CF4"/>
    <w:rsid w:val="00263B7C"/>
    <w:rsid w:val="00266C5F"/>
    <w:rsid w:val="00271BA1"/>
    <w:rsid w:val="00277505"/>
    <w:rsid w:val="00277D8B"/>
    <w:rsid w:val="0029458F"/>
    <w:rsid w:val="002A104C"/>
    <w:rsid w:val="002A479A"/>
    <w:rsid w:val="002A4960"/>
    <w:rsid w:val="002B123C"/>
    <w:rsid w:val="002B1AE6"/>
    <w:rsid w:val="002B1AFF"/>
    <w:rsid w:val="002B21BC"/>
    <w:rsid w:val="002B30F8"/>
    <w:rsid w:val="002C212F"/>
    <w:rsid w:val="002C2653"/>
    <w:rsid w:val="002C4703"/>
    <w:rsid w:val="002C52F9"/>
    <w:rsid w:val="002D014C"/>
    <w:rsid w:val="002D5039"/>
    <w:rsid w:val="002E002F"/>
    <w:rsid w:val="002E3153"/>
    <w:rsid w:val="002E6B07"/>
    <w:rsid w:val="002E72CA"/>
    <w:rsid w:val="002F1074"/>
    <w:rsid w:val="00300A64"/>
    <w:rsid w:val="0030388A"/>
    <w:rsid w:val="00307204"/>
    <w:rsid w:val="0031083F"/>
    <w:rsid w:val="0031209F"/>
    <w:rsid w:val="00320B5D"/>
    <w:rsid w:val="00326E79"/>
    <w:rsid w:val="00336306"/>
    <w:rsid w:val="003367EF"/>
    <w:rsid w:val="00341AE4"/>
    <w:rsid w:val="00342F90"/>
    <w:rsid w:val="00347AB1"/>
    <w:rsid w:val="00353374"/>
    <w:rsid w:val="00357D58"/>
    <w:rsid w:val="00362C1B"/>
    <w:rsid w:val="003673A2"/>
    <w:rsid w:val="00371929"/>
    <w:rsid w:val="00386707"/>
    <w:rsid w:val="003872CF"/>
    <w:rsid w:val="00396A51"/>
    <w:rsid w:val="0039782C"/>
    <w:rsid w:val="003A21DB"/>
    <w:rsid w:val="003A5B4A"/>
    <w:rsid w:val="003A6639"/>
    <w:rsid w:val="003B23C5"/>
    <w:rsid w:val="003B2A75"/>
    <w:rsid w:val="003B2A92"/>
    <w:rsid w:val="003B468A"/>
    <w:rsid w:val="003B4ECE"/>
    <w:rsid w:val="003D085B"/>
    <w:rsid w:val="003D4AC4"/>
    <w:rsid w:val="003D5AE6"/>
    <w:rsid w:val="003D5EFE"/>
    <w:rsid w:val="003D63B7"/>
    <w:rsid w:val="003E468B"/>
    <w:rsid w:val="003E6882"/>
    <w:rsid w:val="003F04FA"/>
    <w:rsid w:val="003F2A50"/>
    <w:rsid w:val="003F3EBC"/>
    <w:rsid w:val="003F3F11"/>
    <w:rsid w:val="003F47CB"/>
    <w:rsid w:val="003F5C8C"/>
    <w:rsid w:val="00402777"/>
    <w:rsid w:val="004032C4"/>
    <w:rsid w:val="00403D1C"/>
    <w:rsid w:val="00416B02"/>
    <w:rsid w:val="00417BFF"/>
    <w:rsid w:val="0042270F"/>
    <w:rsid w:val="00422CAD"/>
    <w:rsid w:val="00425975"/>
    <w:rsid w:val="00431E86"/>
    <w:rsid w:val="0043293F"/>
    <w:rsid w:val="00436AD6"/>
    <w:rsid w:val="00442718"/>
    <w:rsid w:val="004465BD"/>
    <w:rsid w:val="004500C0"/>
    <w:rsid w:val="004501AC"/>
    <w:rsid w:val="004517B8"/>
    <w:rsid w:val="00460557"/>
    <w:rsid w:val="00466ADA"/>
    <w:rsid w:val="00470AC6"/>
    <w:rsid w:val="00471D77"/>
    <w:rsid w:val="00476245"/>
    <w:rsid w:val="0048457E"/>
    <w:rsid w:val="00485940"/>
    <w:rsid w:val="004A25EB"/>
    <w:rsid w:val="004A5A85"/>
    <w:rsid w:val="004A659A"/>
    <w:rsid w:val="004B06EA"/>
    <w:rsid w:val="004B4B5F"/>
    <w:rsid w:val="004B5640"/>
    <w:rsid w:val="004C1BD7"/>
    <w:rsid w:val="004C691D"/>
    <w:rsid w:val="004D4703"/>
    <w:rsid w:val="004D4969"/>
    <w:rsid w:val="004D6AF9"/>
    <w:rsid w:val="004D6F3D"/>
    <w:rsid w:val="004E4FE4"/>
    <w:rsid w:val="004E692D"/>
    <w:rsid w:val="004E6C89"/>
    <w:rsid w:val="004E6CEA"/>
    <w:rsid w:val="004F172D"/>
    <w:rsid w:val="004F346B"/>
    <w:rsid w:val="004F7FD3"/>
    <w:rsid w:val="00501554"/>
    <w:rsid w:val="00502446"/>
    <w:rsid w:val="00502A78"/>
    <w:rsid w:val="00511327"/>
    <w:rsid w:val="00514CD7"/>
    <w:rsid w:val="005217C1"/>
    <w:rsid w:val="00523851"/>
    <w:rsid w:val="00530569"/>
    <w:rsid w:val="005319B2"/>
    <w:rsid w:val="005328B3"/>
    <w:rsid w:val="00532C74"/>
    <w:rsid w:val="00534E2E"/>
    <w:rsid w:val="00544552"/>
    <w:rsid w:val="00551247"/>
    <w:rsid w:val="0055497C"/>
    <w:rsid w:val="005560A6"/>
    <w:rsid w:val="005609E8"/>
    <w:rsid w:val="005613A4"/>
    <w:rsid w:val="005726FA"/>
    <w:rsid w:val="005732E7"/>
    <w:rsid w:val="00576B46"/>
    <w:rsid w:val="00581932"/>
    <w:rsid w:val="00582C3C"/>
    <w:rsid w:val="005874C9"/>
    <w:rsid w:val="005963BB"/>
    <w:rsid w:val="005967ED"/>
    <w:rsid w:val="00596C1F"/>
    <w:rsid w:val="005973B6"/>
    <w:rsid w:val="005A0D93"/>
    <w:rsid w:val="005A1BEE"/>
    <w:rsid w:val="005A30F8"/>
    <w:rsid w:val="005A3173"/>
    <w:rsid w:val="005A3223"/>
    <w:rsid w:val="005A3DA3"/>
    <w:rsid w:val="005A52C4"/>
    <w:rsid w:val="005A708D"/>
    <w:rsid w:val="005A7183"/>
    <w:rsid w:val="005B0B0C"/>
    <w:rsid w:val="005C6F0C"/>
    <w:rsid w:val="005D03AB"/>
    <w:rsid w:val="005D0BDA"/>
    <w:rsid w:val="005D5017"/>
    <w:rsid w:val="005D62AA"/>
    <w:rsid w:val="005E3BC1"/>
    <w:rsid w:val="005E7C24"/>
    <w:rsid w:val="00601A91"/>
    <w:rsid w:val="00602BA3"/>
    <w:rsid w:val="00612119"/>
    <w:rsid w:val="00614159"/>
    <w:rsid w:val="00615183"/>
    <w:rsid w:val="00617C00"/>
    <w:rsid w:val="00620C0A"/>
    <w:rsid w:val="00624937"/>
    <w:rsid w:val="00624F6B"/>
    <w:rsid w:val="006263BF"/>
    <w:rsid w:val="006272C3"/>
    <w:rsid w:val="0062748A"/>
    <w:rsid w:val="00630A2C"/>
    <w:rsid w:val="00632E23"/>
    <w:rsid w:val="00634B9F"/>
    <w:rsid w:val="00635E9A"/>
    <w:rsid w:val="00643C6A"/>
    <w:rsid w:val="00651169"/>
    <w:rsid w:val="00651A0F"/>
    <w:rsid w:val="00652F72"/>
    <w:rsid w:val="00653D69"/>
    <w:rsid w:val="00655D64"/>
    <w:rsid w:val="00670A76"/>
    <w:rsid w:val="006711AA"/>
    <w:rsid w:val="00672B57"/>
    <w:rsid w:val="00675622"/>
    <w:rsid w:val="00676FE1"/>
    <w:rsid w:val="006877A7"/>
    <w:rsid w:val="006906DB"/>
    <w:rsid w:val="006A12A5"/>
    <w:rsid w:val="006A3482"/>
    <w:rsid w:val="006A7A6F"/>
    <w:rsid w:val="006B0D94"/>
    <w:rsid w:val="006B1A95"/>
    <w:rsid w:val="006B485D"/>
    <w:rsid w:val="006C5C14"/>
    <w:rsid w:val="006C708E"/>
    <w:rsid w:val="006D53AA"/>
    <w:rsid w:val="006D6EC7"/>
    <w:rsid w:val="006F5125"/>
    <w:rsid w:val="006F5DF1"/>
    <w:rsid w:val="00706458"/>
    <w:rsid w:val="007174BB"/>
    <w:rsid w:val="00721269"/>
    <w:rsid w:val="007265BD"/>
    <w:rsid w:val="007269AE"/>
    <w:rsid w:val="0073775F"/>
    <w:rsid w:val="007465AA"/>
    <w:rsid w:val="00751C94"/>
    <w:rsid w:val="007605E8"/>
    <w:rsid w:val="0076420C"/>
    <w:rsid w:val="00764505"/>
    <w:rsid w:val="0077044F"/>
    <w:rsid w:val="00771C83"/>
    <w:rsid w:val="00772BA2"/>
    <w:rsid w:val="007753C2"/>
    <w:rsid w:val="007838B8"/>
    <w:rsid w:val="00786877"/>
    <w:rsid w:val="007904FD"/>
    <w:rsid w:val="007921BA"/>
    <w:rsid w:val="00792B78"/>
    <w:rsid w:val="007A5A93"/>
    <w:rsid w:val="007C0F57"/>
    <w:rsid w:val="007C40B6"/>
    <w:rsid w:val="007C729F"/>
    <w:rsid w:val="007D2A93"/>
    <w:rsid w:val="007E1D28"/>
    <w:rsid w:val="007F2641"/>
    <w:rsid w:val="007F5829"/>
    <w:rsid w:val="007F7C36"/>
    <w:rsid w:val="00802A49"/>
    <w:rsid w:val="00806796"/>
    <w:rsid w:val="00813533"/>
    <w:rsid w:val="00815998"/>
    <w:rsid w:val="00826F6D"/>
    <w:rsid w:val="00833BAA"/>
    <w:rsid w:val="00840F97"/>
    <w:rsid w:val="00846E06"/>
    <w:rsid w:val="008470C6"/>
    <w:rsid w:val="00853054"/>
    <w:rsid w:val="00856DDD"/>
    <w:rsid w:val="0086087A"/>
    <w:rsid w:val="00863E68"/>
    <w:rsid w:val="00867252"/>
    <w:rsid w:val="00880F0E"/>
    <w:rsid w:val="00882085"/>
    <w:rsid w:val="00883188"/>
    <w:rsid w:val="0088337E"/>
    <w:rsid w:val="008842A9"/>
    <w:rsid w:val="00884653"/>
    <w:rsid w:val="00885F4A"/>
    <w:rsid w:val="008908A2"/>
    <w:rsid w:val="0089189A"/>
    <w:rsid w:val="00897D58"/>
    <w:rsid w:val="008A1956"/>
    <w:rsid w:val="008A1A0E"/>
    <w:rsid w:val="008A4937"/>
    <w:rsid w:val="008B2E55"/>
    <w:rsid w:val="008B6E48"/>
    <w:rsid w:val="008B7F70"/>
    <w:rsid w:val="008C72B5"/>
    <w:rsid w:val="008D0F85"/>
    <w:rsid w:val="008D3C82"/>
    <w:rsid w:val="008D447E"/>
    <w:rsid w:val="008D7A41"/>
    <w:rsid w:val="008E06F7"/>
    <w:rsid w:val="008E3680"/>
    <w:rsid w:val="008E5870"/>
    <w:rsid w:val="008F03E4"/>
    <w:rsid w:val="008F08D2"/>
    <w:rsid w:val="008F1434"/>
    <w:rsid w:val="008F2B70"/>
    <w:rsid w:val="008F4041"/>
    <w:rsid w:val="008F7355"/>
    <w:rsid w:val="009067B7"/>
    <w:rsid w:val="00910646"/>
    <w:rsid w:val="00920E72"/>
    <w:rsid w:val="00930937"/>
    <w:rsid w:val="00930D12"/>
    <w:rsid w:val="00932DD0"/>
    <w:rsid w:val="00933E6C"/>
    <w:rsid w:val="00937865"/>
    <w:rsid w:val="00942160"/>
    <w:rsid w:val="00942BF6"/>
    <w:rsid w:val="00945F34"/>
    <w:rsid w:val="009563B2"/>
    <w:rsid w:val="009602C5"/>
    <w:rsid w:val="009606B8"/>
    <w:rsid w:val="009659B8"/>
    <w:rsid w:val="0097423A"/>
    <w:rsid w:val="00974C21"/>
    <w:rsid w:val="0097770A"/>
    <w:rsid w:val="00980F9C"/>
    <w:rsid w:val="00981E6B"/>
    <w:rsid w:val="00986209"/>
    <w:rsid w:val="00994D45"/>
    <w:rsid w:val="00994EB8"/>
    <w:rsid w:val="009A2054"/>
    <w:rsid w:val="009A279A"/>
    <w:rsid w:val="009A437D"/>
    <w:rsid w:val="009B0F67"/>
    <w:rsid w:val="009B1369"/>
    <w:rsid w:val="009C2E1B"/>
    <w:rsid w:val="009C703C"/>
    <w:rsid w:val="009D247D"/>
    <w:rsid w:val="009D3CAA"/>
    <w:rsid w:val="009F2774"/>
    <w:rsid w:val="009F4E46"/>
    <w:rsid w:val="009F5B65"/>
    <w:rsid w:val="009F5F2E"/>
    <w:rsid w:val="00A00434"/>
    <w:rsid w:val="00A01768"/>
    <w:rsid w:val="00A02727"/>
    <w:rsid w:val="00A0505A"/>
    <w:rsid w:val="00A06225"/>
    <w:rsid w:val="00A118F6"/>
    <w:rsid w:val="00A128E6"/>
    <w:rsid w:val="00A22805"/>
    <w:rsid w:val="00A278BC"/>
    <w:rsid w:val="00A278CD"/>
    <w:rsid w:val="00A30315"/>
    <w:rsid w:val="00A3034F"/>
    <w:rsid w:val="00A3349C"/>
    <w:rsid w:val="00A35D9D"/>
    <w:rsid w:val="00A37C8D"/>
    <w:rsid w:val="00A5076D"/>
    <w:rsid w:val="00A5273B"/>
    <w:rsid w:val="00A53934"/>
    <w:rsid w:val="00A53A9D"/>
    <w:rsid w:val="00A55FEE"/>
    <w:rsid w:val="00A5628A"/>
    <w:rsid w:val="00A61053"/>
    <w:rsid w:val="00A611BB"/>
    <w:rsid w:val="00A62C1A"/>
    <w:rsid w:val="00A6426D"/>
    <w:rsid w:val="00A70622"/>
    <w:rsid w:val="00A70977"/>
    <w:rsid w:val="00A81A02"/>
    <w:rsid w:val="00A82592"/>
    <w:rsid w:val="00A8390C"/>
    <w:rsid w:val="00A928BD"/>
    <w:rsid w:val="00AA2AAB"/>
    <w:rsid w:val="00AA4458"/>
    <w:rsid w:val="00AA4D1C"/>
    <w:rsid w:val="00AA77D2"/>
    <w:rsid w:val="00AB3D8B"/>
    <w:rsid w:val="00AC0AE9"/>
    <w:rsid w:val="00AC5206"/>
    <w:rsid w:val="00AD1D02"/>
    <w:rsid w:val="00AE11A5"/>
    <w:rsid w:val="00AE13E2"/>
    <w:rsid w:val="00AF1773"/>
    <w:rsid w:val="00AF68CC"/>
    <w:rsid w:val="00B11C82"/>
    <w:rsid w:val="00B12C11"/>
    <w:rsid w:val="00B14468"/>
    <w:rsid w:val="00B17821"/>
    <w:rsid w:val="00B205AA"/>
    <w:rsid w:val="00B22E84"/>
    <w:rsid w:val="00B24C72"/>
    <w:rsid w:val="00B25F75"/>
    <w:rsid w:val="00B273D5"/>
    <w:rsid w:val="00B30029"/>
    <w:rsid w:val="00B352F6"/>
    <w:rsid w:val="00B42215"/>
    <w:rsid w:val="00B42221"/>
    <w:rsid w:val="00B422EC"/>
    <w:rsid w:val="00B43E90"/>
    <w:rsid w:val="00B44CE7"/>
    <w:rsid w:val="00B54FF4"/>
    <w:rsid w:val="00B56118"/>
    <w:rsid w:val="00B57253"/>
    <w:rsid w:val="00B6773F"/>
    <w:rsid w:val="00B801BA"/>
    <w:rsid w:val="00B86FDF"/>
    <w:rsid w:val="00B872B9"/>
    <w:rsid w:val="00B93363"/>
    <w:rsid w:val="00B933D3"/>
    <w:rsid w:val="00BB09DD"/>
    <w:rsid w:val="00BB69F5"/>
    <w:rsid w:val="00BB7EC3"/>
    <w:rsid w:val="00BC4716"/>
    <w:rsid w:val="00BC4B9A"/>
    <w:rsid w:val="00BC5C57"/>
    <w:rsid w:val="00BD3B36"/>
    <w:rsid w:val="00BD784C"/>
    <w:rsid w:val="00BE58AD"/>
    <w:rsid w:val="00BE6D7C"/>
    <w:rsid w:val="00BF4CB6"/>
    <w:rsid w:val="00C00DA7"/>
    <w:rsid w:val="00C02821"/>
    <w:rsid w:val="00C03066"/>
    <w:rsid w:val="00C04819"/>
    <w:rsid w:val="00C12768"/>
    <w:rsid w:val="00C16487"/>
    <w:rsid w:val="00C178EE"/>
    <w:rsid w:val="00C24190"/>
    <w:rsid w:val="00C24548"/>
    <w:rsid w:val="00C27B58"/>
    <w:rsid w:val="00C3566C"/>
    <w:rsid w:val="00C35996"/>
    <w:rsid w:val="00C42545"/>
    <w:rsid w:val="00C45926"/>
    <w:rsid w:val="00C4642E"/>
    <w:rsid w:val="00C4683C"/>
    <w:rsid w:val="00C51C52"/>
    <w:rsid w:val="00C5342C"/>
    <w:rsid w:val="00C6256A"/>
    <w:rsid w:val="00C71BA5"/>
    <w:rsid w:val="00C75971"/>
    <w:rsid w:val="00C7768D"/>
    <w:rsid w:val="00C83116"/>
    <w:rsid w:val="00C8534E"/>
    <w:rsid w:val="00C91449"/>
    <w:rsid w:val="00C92D10"/>
    <w:rsid w:val="00C93976"/>
    <w:rsid w:val="00C95FD1"/>
    <w:rsid w:val="00CA06C5"/>
    <w:rsid w:val="00CA4486"/>
    <w:rsid w:val="00CB0681"/>
    <w:rsid w:val="00CC29E7"/>
    <w:rsid w:val="00CC389D"/>
    <w:rsid w:val="00CC3B10"/>
    <w:rsid w:val="00CC5579"/>
    <w:rsid w:val="00CC683F"/>
    <w:rsid w:val="00CD27BF"/>
    <w:rsid w:val="00CD719A"/>
    <w:rsid w:val="00CD7BA9"/>
    <w:rsid w:val="00CE10C4"/>
    <w:rsid w:val="00CE27B5"/>
    <w:rsid w:val="00CF02B7"/>
    <w:rsid w:val="00CF182F"/>
    <w:rsid w:val="00CF2EB1"/>
    <w:rsid w:val="00D0295C"/>
    <w:rsid w:val="00D0321E"/>
    <w:rsid w:val="00D1455A"/>
    <w:rsid w:val="00D16547"/>
    <w:rsid w:val="00D212BC"/>
    <w:rsid w:val="00D226CE"/>
    <w:rsid w:val="00D2416D"/>
    <w:rsid w:val="00D25376"/>
    <w:rsid w:val="00D3280C"/>
    <w:rsid w:val="00D3406A"/>
    <w:rsid w:val="00D469B2"/>
    <w:rsid w:val="00D52DFF"/>
    <w:rsid w:val="00D61BED"/>
    <w:rsid w:val="00D67146"/>
    <w:rsid w:val="00D73093"/>
    <w:rsid w:val="00D741EB"/>
    <w:rsid w:val="00D76D9F"/>
    <w:rsid w:val="00D84934"/>
    <w:rsid w:val="00D91271"/>
    <w:rsid w:val="00D97803"/>
    <w:rsid w:val="00D978D9"/>
    <w:rsid w:val="00DA2CB5"/>
    <w:rsid w:val="00DA4020"/>
    <w:rsid w:val="00DA4BAC"/>
    <w:rsid w:val="00DC473A"/>
    <w:rsid w:val="00DD08C5"/>
    <w:rsid w:val="00DE492F"/>
    <w:rsid w:val="00DE4FD0"/>
    <w:rsid w:val="00DE6D27"/>
    <w:rsid w:val="00DF217D"/>
    <w:rsid w:val="00DF26A7"/>
    <w:rsid w:val="00DF647D"/>
    <w:rsid w:val="00E00B3E"/>
    <w:rsid w:val="00E10F31"/>
    <w:rsid w:val="00E14791"/>
    <w:rsid w:val="00E155B0"/>
    <w:rsid w:val="00E164B3"/>
    <w:rsid w:val="00E16910"/>
    <w:rsid w:val="00E2232B"/>
    <w:rsid w:val="00E268E5"/>
    <w:rsid w:val="00E343B9"/>
    <w:rsid w:val="00E51C9F"/>
    <w:rsid w:val="00E547C6"/>
    <w:rsid w:val="00E552C2"/>
    <w:rsid w:val="00E65E54"/>
    <w:rsid w:val="00E7178C"/>
    <w:rsid w:val="00E72F90"/>
    <w:rsid w:val="00E80155"/>
    <w:rsid w:val="00E81FB5"/>
    <w:rsid w:val="00E848C0"/>
    <w:rsid w:val="00E91B96"/>
    <w:rsid w:val="00E941A1"/>
    <w:rsid w:val="00E95CE3"/>
    <w:rsid w:val="00EA2825"/>
    <w:rsid w:val="00EA662A"/>
    <w:rsid w:val="00EA6F6F"/>
    <w:rsid w:val="00EB2D6C"/>
    <w:rsid w:val="00EB4208"/>
    <w:rsid w:val="00EB5088"/>
    <w:rsid w:val="00EC2937"/>
    <w:rsid w:val="00ED1644"/>
    <w:rsid w:val="00ED5525"/>
    <w:rsid w:val="00ED6F2E"/>
    <w:rsid w:val="00ED76DA"/>
    <w:rsid w:val="00EE0360"/>
    <w:rsid w:val="00EE0E81"/>
    <w:rsid w:val="00EE60AD"/>
    <w:rsid w:val="00EF44A0"/>
    <w:rsid w:val="00F02371"/>
    <w:rsid w:val="00F030E1"/>
    <w:rsid w:val="00F050BD"/>
    <w:rsid w:val="00F05657"/>
    <w:rsid w:val="00F20CD0"/>
    <w:rsid w:val="00F25578"/>
    <w:rsid w:val="00F258E5"/>
    <w:rsid w:val="00F2771F"/>
    <w:rsid w:val="00F300BC"/>
    <w:rsid w:val="00F32D70"/>
    <w:rsid w:val="00F33281"/>
    <w:rsid w:val="00F3334E"/>
    <w:rsid w:val="00F47518"/>
    <w:rsid w:val="00F50EC4"/>
    <w:rsid w:val="00F52CB4"/>
    <w:rsid w:val="00F541AD"/>
    <w:rsid w:val="00F57A6D"/>
    <w:rsid w:val="00F62354"/>
    <w:rsid w:val="00F638CC"/>
    <w:rsid w:val="00F643BF"/>
    <w:rsid w:val="00F6572E"/>
    <w:rsid w:val="00F65C9C"/>
    <w:rsid w:val="00F8247A"/>
    <w:rsid w:val="00F83C74"/>
    <w:rsid w:val="00F90F27"/>
    <w:rsid w:val="00F9629A"/>
    <w:rsid w:val="00FA5883"/>
    <w:rsid w:val="00FA6055"/>
    <w:rsid w:val="00FB322F"/>
    <w:rsid w:val="00FB442F"/>
    <w:rsid w:val="00FB4A9C"/>
    <w:rsid w:val="00FB4EE6"/>
    <w:rsid w:val="00FB5A34"/>
    <w:rsid w:val="00FC1929"/>
    <w:rsid w:val="00FC5B46"/>
    <w:rsid w:val="00FC6D7E"/>
    <w:rsid w:val="00FC724D"/>
    <w:rsid w:val="00FD70E4"/>
    <w:rsid w:val="00FE7A06"/>
    <w:rsid w:val="00FE7BDE"/>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AA4458"/>
    <w:pPr>
      <w:keepNext/>
      <w:widowControl w:val="0"/>
      <w:spacing w:before="240" w:after="60"/>
      <w:jc w:val="both"/>
      <w:outlineLvl w:val="3"/>
    </w:pPr>
    <w:rPr>
      <w:rFonts w:ascii="Arial" w:hAnsi="Arial" w:cs="Arial"/>
      <w:b/>
      <w:bCs/>
      <w:i/>
      <w:snapToGrid w:val="0"/>
      <w:sz w:val="26"/>
      <w:szCs w:val="28"/>
      <w:lang w:eastAsia="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rsid w:val="00AA4458"/>
    <w:pPr>
      <w:keepNext/>
      <w:widowControl w:val="0"/>
      <w:jc w:val="center"/>
      <w:outlineLvl w:val="6"/>
    </w:pPr>
    <w:rPr>
      <w:rFonts w:ascii="Arial" w:hAnsi="Arial" w:cs="Arial"/>
      <w:b/>
      <w:snapToGrid w:val="0"/>
      <w:sz w:val="20"/>
      <w:szCs w:val="20"/>
      <w:lang w:eastAsia="en-US"/>
    </w:rPr>
  </w:style>
  <w:style w:type="paragraph" w:styleId="Heading8">
    <w:name w:val="heading 8"/>
    <w:basedOn w:val="Normal"/>
    <w:next w:val="Normal"/>
    <w:link w:val="Heading8Char"/>
    <w:rsid w:val="00AA4458"/>
    <w:pPr>
      <w:keepNext/>
      <w:widowControl w:val="0"/>
      <w:jc w:val="right"/>
      <w:outlineLvl w:val="7"/>
    </w:pPr>
    <w:rPr>
      <w:rFonts w:ascii="Arial" w:hAnsi="Arial" w:cs="Arial"/>
      <w:b/>
      <w:snapToGrid w:val="0"/>
      <w:sz w:val="22"/>
      <w:szCs w:val="20"/>
      <w:lang w:eastAsia="en-US"/>
    </w:rPr>
  </w:style>
  <w:style w:type="paragraph" w:styleId="Heading9">
    <w:name w:val="heading 9"/>
    <w:basedOn w:val="Normal"/>
    <w:next w:val="Normal"/>
    <w:link w:val="Heading9Char"/>
    <w:rsid w:val="00AA4458"/>
    <w:pPr>
      <w:keepNext/>
      <w:widowControl w:val="0"/>
      <w:jc w:val="center"/>
      <w:outlineLvl w:val="8"/>
    </w:pPr>
    <w:rPr>
      <w:rFonts w:ascii="Arial" w:hAnsi="Arial" w:cs="Arial"/>
      <w:b/>
      <w:snapToGrid w:val="0"/>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TableFooter">
    <w:name w:val="Table Footer"/>
    <w:basedOn w:val="Normal"/>
    <w:qFormat/>
    <w:rsid w:val="00932DD0"/>
    <w:pPr>
      <w:widowControl w:val="0"/>
      <w:jc w:val="both"/>
    </w:pPr>
    <w:rPr>
      <w:rFonts w:ascii="Arial Narrow" w:hAnsi="Arial Narrow" w:cs="Arial"/>
      <w:snapToGrid w:val="0"/>
      <w:sz w:val="18"/>
      <w:szCs w:val="20"/>
      <w:lang w:eastAsia="en-US"/>
    </w:rPr>
  </w:style>
  <w:style w:type="paragraph" w:customStyle="1" w:styleId="StyleCaptionIBCaptionMedicalCaptionCaptionCharMedicalCapti">
    <w:name w:val="Style CaptionIB CaptionMedical CaptionCaption CharMedical Capti..."/>
    <w:basedOn w:val="Normal"/>
    <w:rsid w:val="00932DD0"/>
    <w:pPr>
      <w:spacing w:before="120" w:after="120"/>
    </w:pPr>
    <w:rPr>
      <w:rFonts w:ascii="Calibri" w:eastAsia="SimSun" w:hAnsi="Calibri"/>
      <w:b/>
      <w:bCs/>
      <w:szCs w:val="20"/>
      <w:lang w:eastAsia="en-US"/>
    </w:rPr>
  </w:style>
  <w:style w:type="character" w:customStyle="1" w:styleId="Heading4Char">
    <w:name w:val="Heading 4 Char"/>
    <w:basedOn w:val="DefaultParagraphFont"/>
    <w:link w:val="Heading4"/>
    <w:rsid w:val="00AA4458"/>
    <w:rPr>
      <w:rFonts w:ascii="Arial" w:hAnsi="Arial" w:cs="Arial"/>
      <w:b/>
      <w:bCs/>
      <w:i/>
      <w:snapToGrid w:val="0"/>
      <w:sz w:val="26"/>
      <w:szCs w:val="28"/>
      <w:lang w:eastAsia="en-US"/>
    </w:rPr>
  </w:style>
  <w:style w:type="character" w:customStyle="1" w:styleId="Heading7Char">
    <w:name w:val="Heading 7 Char"/>
    <w:basedOn w:val="DefaultParagraphFont"/>
    <w:link w:val="Heading7"/>
    <w:rsid w:val="00AA4458"/>
    <w:rPr>
      <w:rFonts w:ascii="Arial" w:hAnsi="Arial" w:cs="Arial"/>
      <w:b/>
      <w:snapToGrid w:val="0"/>
      <w:lang w:eastAsia="en-US"/>
    </w:rPr>
  </w:style>
  <w:style w:type="character" w:customStyle="1" w:styleId="Heading8Char">
    <w:name w:val="Heading 8 Char"/>
    <w:basedOn w:val="DefaultParagraphFont"/>
    <w:link w:val="Heading8"/>
    <w:rsid w:val="00AA4458"/>
    <w:rPr>
      <w:rFonts w:ascii="Arial" w:hAnsi="Arial" w:cs="Arial"/>
      <w:b/>
      <w:snapToGrid w:val="0"/>
      <w:sz w:val="22"/>
      <w:lang w:eastAsia="en-US"/>
    </w:rPr>
  </w:style>
  <w:style w:type="character" w:customStyle="1" w:styleId="Heading9Char">
    <w:name w:val="Heading 9 Char"/>
    <w:basedOn w:val="DefaultParagraphFont"/>
    <w:link w:val="Heading9"/>
    <w:rsid w:val="00AA4458"/>
    <w:rPr>
      <w:rFonts w:ascii="Arial" w:hAnsi="Arial" w:cs="Arial"/>
      <w:b/>
      <w:snapToGrid w:val="0"/>
      <w:color w:val="000000"/>
      <w:lang w:eastAsia="en-US"/>
    </w:rPr>
  </w:style>
  <w:style w:type="paragraph" w:customStyle="1" w:styleId="TableHeader">
    <w:name w:val="Table Header"/>
    <w:basedOn w:val="Normal"/>
    <w:rsid w:val="00AA4458"/>
    <w:pPr>
      <w:widowControl w:val="0"/>
      <w:jc w:val="both"/>
    </w:pPr>
    <w:rPr>
      <w:rFonts w:ascii="Arial" w:hAnsi="Arial" w:cs="Arial"/>
      <w:b/>
      <w:snapToGrid w:val="0"/>
      <w:sz w:val="20"/>
      <w:szCs w:val="20"/>
      <w:lang w:eastAsia="en-US"/>
    </w:rPr>
  </w:style>
  <w:style w:type="character" w:customStyle="1" w:styleId="Heading2Char">
    <w:name w:val="Heading 2 Char"/>
    <w:link w:val="Heading2"/>
    <w:rsid w:val="00AA4458"/>
    <w:rPr>
      <w:sz w:val="24"/>
      <w:szCs w:val="24"/>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
    <w:basedOn w:val="Normal"/>
    <w:next w:val="Normal"/>
    <w:link w:val="CaptionChar"/>
    <w:unhideWhenUsed/>
    <w:qFormat/>
    <w:rsid w:val="00AA4458"/>
    <w:pPr>
      <w:widowControl w:val="0"/>
      <w:spacing w:after="200"/>
      <w:jc w:val="both"/>
    </w:pPr>
    <w:rPr>
      <w:rFonts w:ascii="Arial" w:hAnsi="Arial" w:cs="Arial"/>
      <w:b/>
      <w:bCs/>
      <w:snapToGrid w:val="0"/>
      <w:color w:val="4F81BD" w:themeColor="accent1"/>
      <w:sz w:val="18"/>
      <w:szCs w:val="18"/>
      <w:lang w:eastAsia="en-US"/>
    </w:rPr>
  </w:style>
  <w:style w:type="character" w:customStyle="1" w:styleId="CaptionChar">
    <w:name w:val="Caption Char"/>
    <w:aliases w:val="IB Caption Char1,Medical Caption Char1,Medical Caption Char Char1,Caption Char1 Char Char Char1,Caption Char Char Char Char Char2,Caption Char1 Char Char2,Caption Char Char Char Char Char Char1,Caption Char Char Char1"/>
    <w:link w:val="Caption"/>
    <w:rsid w:val="00AA4458"/>
    <w:rPr>
      <w:rFonts w:ascii="Arial" w:hAnsi="Arial" w:cs="Arial"/>
      <w:b/>
      <w:bCs/>
      <w:snapToGrid w:val="0"/>
      <w:color w:val="4F81BD" w:themeColor="accent1"/>
      <w:sz w:val="18"/>
      <w:szCs w:val="18"/>
      <w:lang w:eastAsia="en-US"/>
    </w:rPr>
  </w:style>
  <w:style w:type="paragraph" w:styleId="Title">
    <w:name w:val="Title"/>
    <w:basedOn w:val="Normal"/>
    <w:next w:val="Normal"/>
    <w:link w:val="TitleChar"/>
    <w:qFormat/>
    <w:rsid w:val="00AA4458"/>
    <w:pPr>
      <w:widowControl w:val="0"/>
      <w:spacing w:before="240" w:after="60"/>
      <w:jc w:val="center"/>
      <w:outlineLvl w:val="0"/>
    </w:pPr>
    <w:rPr>
      <w:rFonts w:ascii="Cambria" w:hAnsi="Cambria" w:cs="Arial"/>
      <w:b/>
      <w:bCs/>
      <w:snapToGrid w:val="0"/>
      <w:kern w:val="28"/>
      <w:sz w:val="32"/>
      <w:szCs w:val="32"/>
      <w:lang w:eastAsia="en-US"/>
    </w:rPr>
  </w:style>
  <w:style w:type="character" w:customStyle="1" w:styleId="TitleChar">
    <w:name w:val="Title Char"/>
    <w:basedOn w:val="DefaultParagraphFont"/>
    <w:link w:val="Title"/>
    <w:rsid w:val="00AA4458"/>
    <w:rPr>
      <w:rFonts w:ascii="Cambria" w:hAnsi="Cambria" w:cs="Arial"/>
      <w:b/>
      <w:bCs/>
      <w:snapToGrid w:val="0"/>
      <w:kern w:val="28"/>
      <w:sz w:val="32"/>
      <w:szCs w:val="32"/>
      <w:lang w:eastAsia="en-US"/>
    </w:rPr>
  </w:style>
  <w:style w:type="paragraph" w:styleId="BodyText">
    <w:name w:val="Body Text"/>
    <w:basedOn w:val="Normal"/>
    <w:link w:val="BodyTextChar"/>
    <w:qFormat/>
    <w:rsid w:val="00AA4458"/>
    <w:pPr>
      <w:widowControl w:val="0"/>
    </w:pPr>
    <w:rPr>
      <w:rFonts w:ascii="Arial" w:hAnsi="Arial" w:cs="Arial"/>
      <w:snapToGrid w:val="0"/>
      <w:sz w:val="22"/>
      <w:szCs w:val="20"/>
      <w:lang w:eastAsia="en-US"/>
    </w:rPr>
  </w:style>
  <w:style w:type="character" w:customStyle="1" w:styleId="BodyTextChar">
    <w:name w:val="Body Text Char"/>
    <w:basedOn w:val="DefaultParagraphFont"/>
    <w:link w:val="BodyText"/>
    <w:rsid w:val="00AA4458"/>
    <w:rPr>
      <w:rFonts w:ascii="Arial" w:hAnsi="Arial" w:cs="Arial"/>
      <w:snapToGrid w:val="0"/>
      <w:sz w:val="22"/>
      <w:lang w:eastAsia="en-US"/>
    </w:rPr>
  </w:style>
  <w:style w:type="paragraph" w:customStyle="1" w:styleId="RegularText">
    <w:name w:val="Regular Text"/>
    <w:basedOn w:val="BodyText"/>
    <w:link w:val="RegularTextChar"/>
    <w:rsid w:val="00AA4458"/>
    <w:rPr>
      <w:b/>
    </w:rPr>
  </w:style>
  <w:style w:type="character" w:customStyle="1" w:styleId="RegularTextChar">
    <w:name w:val="Regular Text Char"/>
    <w:basedOn w:val="BodyTextChar"/>
    <w:link w:val="RegularText"/>
    <w:rsid w:val="00AA4458"/>
    <w:rPr>
      <w:rFonts w:ascii="Arial" w:hAnsi="Arial" w:cs="Arial"/>
      <w:b/>
      <w:snapToGrid w:val="0"/>
      <w:sz w:val="22"/>
      <w:lang w:eastAsia="en-US"/>
    </w:rPr>
  </w:style>
  <w:style w:type="character" w:customStyle="1" w:styleId="TabletextChar">
    <w:name w:val="Table text Char"/>
    <w:link w:val="Tabletext"/>
    <w:rsid w:val="00AA4458"/>
    <w:rPr>
      <w:rFonts w:ascii="Arial" w:hAnsi="Arial"/>
      <w:lang w:eastAsia="en-US"/>
    </w:rPr>
  </w:style>
  <w:style w:type="paragraph" w:customStyle="1" w:styleId="Corpsdetextemarge">
    <w:name w:val="Corps de texte marge"/>
    <w:basedOn w:val="BodyText"/>
    <w:uiPriority w:val="99"/>
    <w:rsid w:val="00AA4458"/>
    <w:pPr>
      <w:widowControl/>
      <w:jc w:val="both"/>
    </w:pPr>
    <w:rPr>
      <w:rFonts w:ascii="Times" w:hAnsi="Times" w:cs="Times New Roman"/>
      <w:snapToGrid/>
      <w:sz w:val="24"/>
      <w:lang w:val="en-US"/>
    </w:rPr>
  </w:style>
  <w:style w:type="paragraph" w:styleId="NormalWeb">
    <w:name w:val="Normal (Web)"/>
    <w:basedOn w:val="Normal"/>
    <w:uiPriority w:val="99"/>
    <w:rsid w:val="00AA4458"/>
    <w:pPr>
      <w:spacing w:before="100" w:after="100"/>
    </w:pPr>
    <w:rPr>
      <w:szCs w:val="20"/>
      <w:lang w:val="en-GB" w:eastAsia="en-US"/>
    </w:rPr>
  </w:style>
  <w:style w:type="paragraph" w:styleId="TOC2">
    <w:name w:val="toc 2"/>
    <w:basedOn w:val="Normal"/>
    <w:next w:val="Normal"/>
    <w:autoRedefine/>
    <w:uiPriority w:val="39"/>
    <w:rsid w:val="00AA4458"/>
    <w:pPr>
      <w:widowControl w:val="0"/>
      <w:tabs>
        <w:tab w:val="left" w:pos="880"/>
        <w:tab w:val="right" w:leader="dot" w:pos="9016"/>
      </w:tabs>
      <w:spacing w:before="120"/>
      <w:ind w:left="220"/>
    </w:pPr>
    <w:rPr>
      <w:rFonts w:ascii="Arial" w:hAnsi="Arial" w:cs="Arial"/>
      <w:iCs/>
      <w:snapToGrid w:val="0"/>
      <w:sz w:val="20"/>
      <w:szCs w:val="20"/>
      <w:lang w:eastAsia="en-US"/>
    </w:rPr>
  </w:style>
  <w:style w:type="paragraph" w:styleId="TOC1">
    <w:name w:val="toc 1"/>
    <w:basedOn w:val="Normal"/>
    <w:next w:val="Normal"/>
    <w:autoRedefine/>
    <w:uiPriority w:val="39"/>
    <w:rsid w:val="00AA4458"/>
    <w:pPr>
      <w:widowControl w:val="0"/>
      <w:tabs>
        <w:tab w:val="left" w:pos="440"/>
        <w:tab w:val="right" w:leader="dot" w:pos="9016"/>
      </w:tabs>
      <w:spacing w:before="240" w:after="120"/>
    </w:pPr>
    <w:rPr>
      <w:rFonts w:ascii="Arial" w:hAnsi="Arial" w:cs="Arial"/>
      <w:bCs/>
      <w:snapToGrid w:val="0"/>
      <w:sz w:val="20"/>
      <w:szCs w:val="20"/>
      <w:lang w:eastAsia="en-US"/>
    </w:rPr>
  </w:style>
  <w:style w:type="character" w:styleId="Hyperlink">
    <w:name w:val="Hyperlink"/>
    <w:basedOn w:val="DefaultParagraphFont"/>
    <w:uiPriority w:val="99"/>
    <w:unhideWhenUsed/>
    <w:rsid w:val="00AA4458"/>
    <w:rPr>
      <w:color w:val="0000FF" w:themeColor="hyperlink"/>
      <w:u w:val="single"/>
    </w:rPr>
  </w:style>
  <w:style w:type="paragraph" w:styleId="TOCHeading">
    <w:name w:val="TOC Heading"/>
    <w:basedOn w:val="Heading1"/>
    <w:next w:val="Normal"/>
    <w:uiPriority w:val="39"/>
    <w:unhideWhenUsed/>
    <w:rsid w:val="00AA4458"/>
    <w:pPr>
      <w:keepLines/>
      <w:spacing w:before="480" w:line="276" w:lineRule="auto"/>
      <w:outlineLvl w:val="9"/>
    </w:pPr>
    <w:rPr>
      <w:rFonts w:asciiTheme="majorHAnsi" w:eastAsiaTheme="majorEastAsia" w:hAnsiTheme="majorHAnsi" w:cstheme="majorBidi"/>
      <w:bCs/>
      <w:caps/>
      <w:color w:val="365F91" w:themeColor="accent1" w:themeShade="BF"/>
      <w:sz w:val="28"/>
      <w:szCs w:val="28"/>
      <w:lang w:val="en-US" w:eastAsia="ja-JP"/>
    </w:rPr>
  </w:style>
  <w:style w:type="paragraph" w:styleId="TOC3">
    <w:name w:val="toc 3"/>
    <w:basedOn w:val="Normal"/>
    <w:next w:val="Normal"/>
    <w:autoRedefine/>
    <w:uiPriority w:val="39"/>
    <w:unhideWhenUsed/>
    <w:rsid w:val="00AA4458"/>
    <w:pPr>
      <w:widowControl w:val="0"/>
      <w:ind w:left="440"/>
    </w:pPr>
    <w:rPr>
      <w:rFonts w:asciiTheme="minorHAnsi" w:hAnsiTheme="minorHAnsi" w:cs="Arial"/>
      <w:snapToGrid w:val="0"/>
      <w:sz w:val="20"/>
      <w:szCs w:val="20"/>
      <w:lang w:eastAsia="en-US"/>
    </w:rPr>
  </w:style>
  <w:style w:type="character" w:customStyle="1" w:styleId="BalloonTextChar">
    <w:name w:val="Balloon Text Char"/>
    <w:basedOn w:val="DefaultParagraphFont"/>
    <w:link w:val="BalloonText"/>
    <w:rsid w:val="00AA4458"/>
    <w:rPr>
      <w:rFonts w:ascii="Tahoma" w:hAnsi="Tahoma" w:cs="Tahoma"/>
      <w:sz w:val="16"/>
      <w:szCs w:val="16"/>
    </w:rPr>
  </w:style>
  <w:style w:type="character" w:customStyle="1" w:styleId="BodyText3Char">
    <w:name w:val="Body Text 3 Char"/>
    <w:basedOn w:val="DefaultParagraphFont"/>
    <w:link w:val="BodyText3"/>
    <w:uiPriority w:val="99"/>
    <w:rsid w:val="00AA4458"/>
    <w:rPr>
      <w:sz w:val="16"/>
      <w:szCs w:val="16"/>
    </w:rPr>
  </w:style>
  <w:style w:type="paragraph" w:styleId="TOC4">
    <w:name w:val="toc 4"/>
    <w:basedOn w:val="Normal"/>
    <w:next w:val="Normal"/>
    <w:autoRedefine/>
    <w:rsid w:val="00AA4458"/>
    <w:pPr>
      <w:widowControl w:val="0"/>
      <w:ind w:left="660"/>
    </w:pPr>
    <w:rPr>
      <w:rFonts w:asciiTheme="minorHAnsi" w:hAnsiTheme="minorHAnsi" w:cs="Arial"/>
      <w:snapToGrid w:val="0"/>
      <w:sz w:val="20"/>
      <w:szCs w:val="20"/>
      <w:lang w:eastAsia="en-US"/>
    </w:rPr>
  </w:style>
  <w:style w:type="paragraph" w:styleId="TOC5">
    <w:name w:val="toc 5"/>
    <w:basedOn w:val="Normal"/>
    <w:next w:val="Normal"/>
    <w:autoRedefine/>
    <w:rsid w:val="00AA4458"/>
    <w:pPr>
      <w:widowControl w:val="0"/>
      <w:ind w:left="880"/>
    </w:pPr>
    <w:rPr>
      <w:rFonts w:asciiTheme="minorHAnsi" w:hAnsiTheme="minorHAnsi" w:cs="Arial"/>
      <w:snapToGrid w:val="0"/>
      <w:sz w:val="20"/>
      <w:szCs w:val="20"/>
      <w:lang w:eastAsia="en-US"/>
    </w:rPr>
  </w:style>
  <w:style w:type="paragraph" w:styleId="TOC6">
    <w:name w:val="toc 6"/>
    <w:basedOn w:val="Normal"/>
    <w:next w:val="Normal"/>
    <w:autoRedefine/>
    <w:rsid w:val="00AA4458"/>
    <w:pPr>
      <w:widowControl w:val="0"/>
      <w:ind w:left="1100"/>
    </w:pPr>
    <w:rPr>
      <w:rFonts w:asciiTheme="minorHAnsi" w:hAnsiTheme="minorHAnsi" w:cs="Arial"/>
      <w:snapToGrid w:val="0"/>
      <w:sz w:val="20"/>
      <w:szCs w:val="20"/>
      <w:lang w:eastAsia="en-US"/>
    </w:rPr>
  </w:style>
  <w:style w:type="paragraph" w:styleId="TOC7">
    <w:name w:val="toc 7"/>
    <w:basedOn w:val="Normal"/>
    <w:next w:val="Normal"/>
    <w:autoRedefine/>
    <w:rsid w:val="00AA4458"/>
    <w:pPr>
      <w:widowControl w:val="0"/>
      <w:ind w:left="1320"/>
    </w:pPr>
    <w:rPr>
      <w:rFonts w:asciiTheme="minorHAnsi" w:hAnsiTheme="minorHAnsi" w:cs="Arial"/>
      <w:snapToGrid w:val="0"/>
      <w:sz w:val="20"/>
      <w:szCs w:val="20"/>
      <w:lang w:eastAsia="en-US"/>
    </w:rPr>
  </w:style>
  <w:style w:type="paragraph" w:styleId="TOC8">
    <w:name w:val="toc 8"/>
    <w:basedOn w:val="Normal"/>
    <w:next w:val="Normal"/>
    <w:autoRedefine/>
    <w:rsid w:val="00AA4458"/>
    <w:pPr>
      <w:widowControl w:val="0"/>
      <w:ind w:left="1540"/>
    </w:pPr>
    <w:rPr>
      <w:rFonts w:asciiTheme="minorHAnsi" w:hAnsiTheme="minorHAnsi" w:cs="Arial"/>
      <w:snapToGrid w:val="0"/>
      <w:sz w:val="20"/>
      <w:szCs w:val="20"/>
      <w:lang w:eastAsia="en-US"/>
    </w:rPr>
  </w:style>
  <w:style w:type="paragraph" w:styleId="TOC9">
    <w:name w:val="toc 9"/>
    <w:basedOn w:val="Normal"/>
    <w:next w:val="Normal"/>
    <w:autoRedefine/>
    <w:rsid w:val="00AA4458"/>
    <w:pPr>
      <w:widowControl w:val="0"/>
      <w:ind w:left="1760"/>
    </w:pPr>
    <w:rPr>
      <w:rFonts w:asciiTheme="minorHAnsi" w:hAnsiTheme="minorHAnsi" w:cs="Arial"/>
      <w:snapToGrid w:val="0"/>
      <w:sz w:val="20"/>
      <w:szCs w:val="20"/>
      <w:lang w:eastAsia="en-US"/>
    </w:rPr>
  </w:style>
  <w:style w:type="paragraph" w:customStyle="1" w:styleId="TableText0">
    <w:name w:val="TableText"/>
    <w:basedOn w:val="Normal"/>
    <w:qFormat/>
    <w:rsid w:val="00AA4458"/>
    <w:pPr>
      <w:keepNext/>
      <w:spacing w:before="40" w:after="40"/>
    </w:pPr>
    <w:rPr>
      <w:rFonts w:ascii="Arial Narrow" w:hAnsi="Arial Narrow" w:cs="Arial Narrow"/>
      <w:sz w:val="20"/>
      <w:szCs w:val="20"/>
      <w:lang w:eastAsia="en-US"/>
    </w:rPr>
  </w:style>
  <w:style w:type="paragraph" w:customStyle="1" w:styleId="TableName">
    <w:name w:val="TableName"/>
    <w:basedOn w:val="Normal"/>
    <w:rsid w:val="00AA4458"/>
    <w:pPr>
      <w:keepNext/>
      <w:spacing w:before="120" w:after="120"/>
      <w:ind w:left="1800" w:hanging="1080"/>
    </w:pPr>
    <w:rPr>
      <w:rFonts w:ascii="Arial Narrow" w:hAnsi="Arial Narrow" w:cs="Arial Narrow"/>
      <w:b/>
      <w:bCs/>
      <w:sz w:val="22"/>
      <w:szCs w:val="22"/>
      <w:lang w:eastAsia="en-US"/>
    </w:rPr>
  </w:style>
  <w:style w:type="paragraph" w:customStyle="1" w:styleId="TableNotes18">
    <w:name w:val="TableNotes+18"/>
    <w:basedOn w:val="TableText0"/>
    <w:rsid w:val="00AA4458"/>
    <w:pPr>
      <w:keepNext w:val="0"/>
      <w:keepLines/>
      <w:spacing w:before="0" w:after="360"/>
      <w:ind w:left="720"/>
    </w:pPr>
    <w:rPr>
      <w:sz w:val="18"/>
      <w:szCs w:val="18"/>
    </w:rPr>
  </w:style>
  <w:style w:type="paragraph" w:customStyle="1" w:styleId="TableNotes0">
    <w:name w:val="TableNotes+0"/>
    <w:basedOn w:val="TableNotes18"/>
    <w:rsid w:val="00AA4458"/>
    <w:pPr>
      <w:keepNext/>
      <w:spacing w:after="0"/>
    </w:pPr>
  </w:style>
  <w:style w:type="paragraph" w:styleId="Revision">
    <w:name w:val="Revision"/>
    <w:hidden/>
    <w:uiPriority w:val="99"/>
    <w:rsid w:val="00AA4458"/>
    <w:rPr>
      <w:rFonts w:ascii="Arial" w:hAnsi="Arial" w:cs="Arial"/>
      <w:snapToGrid w:val="0"/>
      <w:sz w:val="22"/>
      <w:lang w:eastAsia="en-US"/>
    </w:rPr>
  </w:style>
  <w:style w:type="paragraph" w:styleId="BodyTextIndent">
    <w:name w:val="Body Text Indent"/>
    <w:basedOn w:val="Normal"/>
    <w:link w:val="BodyTextIndentChar"/>
    <w:rsid w:val="00AA4458"/>
    <w:pPr>
      <w:widowControl w:val="0"/>
      <w:spacing w:after="120"/>
      <w:ind w:left="283"/>
      <w:jc w:val="both"/>
    </w:pPr>
    <w:rPr>
      <w:rFonts w:ascii="Arial" w:hAnsi="Arial" w:cs="Arial"/>
      <w:snapToGrid w:val="0"/>
      <w:sz w:val="22"/>
      <w:szCs w:val="20"/>
      <w:lang w:eastAsia="en-US"/>
    </w:rPr>
  </w:style>
  <w:style w:type="character" w:customStyle="1" w:styleId="BodyTextIndentChar">
    <w:name w:val="Body Text Indent Char"/>
    <w:basedOn w:val="DefaultParagraphFont"/>
    <w:link w:val="BodyTextIndent"/>
    <w:rsid w:val="00AA4458"/>
    <w:rPr>
      <w:rFonts w:ascii="Arial" w:hAnsi="Arial" w:cs="Arial"/>
      <w:snapToGrid w:val="0"/>
      <w:sz w:val="22"/>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rsid w:val="00AA4458"/>
    <w:pPr>
      <w:widowControl w:val="0"/>
      <w:jc w:val="both"/>
    </w:pPr>
    <w:rPr>
      <w:rFonts w:ascii="Arial" w:hAnsi="Arial"/>
      <w:snapToGrid w:val="0"/>
      <w:sz w:val="20"/>
      <w:szCs w:val="20"/>
      <w:lang w:eastAsia="en-US"/>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AA4458"/>
    <w:rPr>
      <w:rFonts w:ascii="Arial" w:hAnsi="Arial"/>
      <w:snapToGrid w:val="0"/>
      <w:lang w:eastAsia="en-US"/>
    </w:rPr>
  </w:style>
  <w:style w:type="character" w:styleId="FootnoteReference">
    <w:name w:val="footnote reference"/>
    <w:basedOn w:val="DefaultParagraphFont"/>
    <w:rsid w:val="00AA4458"/>
    <w:rPr>
      <w:vertAlign w:val="superscript"/>
    </w:rPr>
  </w:style>
  <w:style w:type="character" w:customStyle="1" w:styleId="ListParagraphChar">
    <w:name w:val="List Paragraph Char"/>
    <w:link w:val="ListParagraph"/>
    <w:uiPriority w:val="34"/>
    <w:rsid w:val="00AA4458"/>
    <w:rPr>
      <w:sz w:val="24"/>
      <w:szCs w:val="24"/>
    </w:rPr>
  </w:style>
  <w:style w:type="paragraph" w:customStyle="1" w:styleId="Default">
    <w:name w:val="Default"/>
    <w:link w:val="DefaultChar"/>
    <w:rsid w:val="00AA4458"/>
    <w:pPr>
      <w:autoSpaceDE w:val="0"/>
      <w:autoSpaceDN w:val="0"/>
      <w:adjustRightInd w:val="0"/>
    </w:pPr>
    <w:rPr>
      <w:rFonts w:ascii="Futura Std Book" w:eastAsiaTheme="minorEastAsia" w:hAnsi="Futura Std Book" w:cs="Futura Std Book"/>
      <w:color w:val="000000"/>
      <w:sz w:val="24"/>
      <w:szCs w:val="24"/>
      <w:lang w:val="en-US" w:eastAsia="zh-TW"/>
    </w:rPr>
  </w:style>
  <w:style w:type="character" w:customStyle="1" w:styleId="DefaultChar">
    <w:name w:val="Default Char"/>
    <w:basedOn w:val="DefaultParagraphFont"/>
    <w:link w:val="Default"/>
    <w:rsid w:val="00AA4458"/>
    <w:rPr>
      <w:rFonts w:ascii="Futura Std Book" w:eastAsiaTheme="minorEastAsia" w:hAnsi="Futura Std Book" w:cs="Futura Std Book"/>
      <w:color w:val="000000"/>
      <w:sz w:val="24"/>
      <w:szCs w:val="24"/>
      <w:lang w:val="en-US" w:eastAsia="zh-TW"/>
    </w:rPr>
  </w:style>
  <w:style w:type="character" w:customStyle="1" w:styleId="StyleCalibri">
    <w:name w:val="Style Calibri"/>
    <w:basedOn w:val="DefaultParagraphFont"/>
    <w:rsid w:val="00AA4458"/>
    <w:rPr>
      <w:rFonts w:ascii="Calibri" w:hAnsi="Calibri"/>
      <w:sz w:val="24"/>
    </w:rPr>
  </w:style>
  <w:style w:type="paragraph" w:customStyle="1" w:styleId="TableNotes1">
    <w:name w:val="Table Notes"/>
    <w:basedOn w:val="Normal"/>
    <w:next w:val="Normal"/>
    <w:link w:val="TableNotesChar"/>
    <w:uiPriority w:val="99"/>
    <w:qFormat/>
    <w:rsid w:val="00AA4458"/>
    <w:pPr>
      <w:keepLines/>
      <w:tabs>
        <w:tab w:val="left" w:pos="1134"/>
      </w:tabs>
      <w:ind w:left="1138" w:hanging="1138"/>
    </w:pPr>
    <w:rPr>
      <w:rFonts w:ascii="Calibri" w:hAnsi="Calibri" w:cs="Arial Narrow"/>
      <w:sz w:val="16"/>
      <w:szCs w:val="18"/>
      <w:lang w:val="fr-FR" w:eastAsia="en-US"/>
    </w:rPr>
  </w:style>
  <w:style w:type="character" w:customStyle="1" w:styleId="TableNotesChar">
    <w:name w:val="Table Notes Char"/>
    <w:link w:val="TableNotes1"/>
    <w:uiPriority w:val="99"/>
    <w:rsid w:val="00AA4458"/>
    <w:rPr>
      <w:rFonts w:ascii="Calibri" w:hAnsi="Calibri" w:cs="Arial Narrow"/>
      <w:sz w:val="16"/>
      <w:szCs w:val="18"/>
      <w:lang w:val="fr-FR" w:eastAsia="en-US"/>
    </w:rPr>
  </w:style>
  <w:style w:type="paragraph" w:customStyle="1" w:styleId="TableTitle">
    <w:name w:val="TableTitle"/>
    <w:basedOn w:val="BodyText"/>
    <w:next w:val="BodyText"/>
    <w:link w:val="TableTitleChar"/>
    <w:rsid w:val="00AA4458"/>
    <w:pPr>
      <w:keepNext/>
      <w:widowControl/>
      <w:tabs>
        <w:tab w:val="left" w:pos="1559"/>
      </w:tabs>
      <w:spacing w:after="60"/>
      <w:ind w:left="1559" w:hanging="1559"/>
    </w:pPr>
    <w:rPr>
      <w:rFonts w:ascii="Calibri" w:hAnsi="Calibri" w:cs="Times New Roman"/>
      <w:b/>
      <w:snapToGrid/>
      <w:sz w:val="24"/>
      <w:szCs w:val="24"/>
    </w:rPr>
  </w:style>
  <w:style w:type="character" w:customStyle="1" w:styleId="TableTitleChar">
    <w:name w:val="TableTitle Char"/>
    <w:link w:val="TableTitle"/>
    <w:rsid w:val="00AA4458"/>
    <w:rPr>
      <w:rFonts w:ascii="Calibri" w:hAnsi="Calibri"/>
      <w:b/>
      <w:sz w:val="24"/>
      <w:szCs w:val="24"/>
      <w:lang w:eastAsia="en-US"/>
    </w:rPr>
  </w:style>
  <w:style w:type="paragraph" w:customStyle="1" w:styleId="Tabletitleboldcentred">
    <w:name w:val="Table title bold centred"/>
    <w:basedOn w:val="Normal"/>
    <w:uiPriority w:val="99"/>
    <w:rsid w:val="00AA4458"/>
    <w:pPr>
      <w:spacing w:before="120" w:after="120"/>
      <w:jc w:val="center"/>
    </w:pPr>
    <w:rPr>
      <w:rFonts w:ascii="Arial" w:eastAsia="SimSun" w:hAnsi="Arial"/>
      <w:b/>
      <w:bCs/>
      <w:sz w:val="20"/>
      <w:szCs w:val="20"/>
      <w:lang w:eastAsia="en-US"/>
    </w:rPr>
  </w:style>
  <w:style w:type="character" w:customStyle="1" w:styleId="CaptionChar1">
    <w:name w:val="Caption Char1"/>
    <w:aliases w:val="IB Caption Char,Medical Caption Char2,Caption Char Char1,Medical Caption Char Char,Caption Char1 Char Char Char,Caption Char Char Char Char Char1,Caption Char1 Char Char1,Caption Char Char Char Char Char Char,Caption Char Char Char"/>
    <w:basedOn w:val="DefaultParagraphFont"/>
    <w:uiPriority w:val="99"/>
    <w:rsid w:val="00AA4458"/>
    <w:rPr>
      <w:rFonts w:ascii="Calibri" w:eastAsia="SimSun" w:hAnsi="Calibri" w:cs="Times New Roman"/>
      <w:b/>
      <w:bCs/>
      <w:sz w:val="24"/>
      <w:szCs w:val="18"/>
      <w:lang w:eastAsia="zh-CN"/>
    </w:rPr>
  </w:style>
  <w:style w:type="paragraph" w:customStyle="1" w:styleId="CaptionStyle">
    <w:name w:val="Caption Style"/>
    <w:basedOn w:val="Caption"/>
    <w:next w:val="Normal"/>
    <w:link w:val="CaptionStyleChar"/>
    <w:uiPriority w:val="99"/>
    <w:rsid w:val="00AA4458"/>
    <w:pPr>
      <w:keepNext/>
      <w:widowControl/>
      <w:tabs>
        <w:tab w:val="left" w:pos="1418"/>
      </w:tabs>
      <w:spacing w:after="0"/>
      <w:ind w:left="1418" w:hanging="1418"/>
      <w:jc w:val="left"/>
    </w:pPr>
    <w:rPr>
      <w:rFonts w:eastAsia="SimSun" w:cs="Times New Roman"/>
      <w:snapToGrid/>
      <w:color w:val="auto"/>
      <w:sz w:val="20"/>
      <w:szCs w:val="20"/>
    </w:rPr>
  </w:style>
  <w:style w:type="character" w:customStyle="1" w:styleId="CaptionStyleChar">
    <w:name w:val="Caption Style Char"/>
    <w:basedOn w:val="DefaultParagraphFont"/>
    <w:link w:val="CaptionStyle"/>
    <w:uiPriority w:val="99"/>
    <w:locked/>
    <w:rsid w:val="00AA4458"/>
    <w:rPr>
      <w:rFonts w:ascii="Arial" w:eastAsia="SimSun" w:hAnsi="Arial"/>
      <w:b/>
      <w:bCs/>
      <w:lang w:eastAsia="en-US"/>
    </w:rPr>
  </w:style>
  <w:style w:type="paragraph" w:customStyle="1" w:styleId="Caption2">
    <w:name w:val="Caption2"/>
    <w:qFormat/>
    <w:rsid w:val="00AA4458"/>
    <w:pPr>
      <w:keepNext/>
    </w:pPr>
    <w:rPr>
      <w:rFonts w:ascii="Arial" w:hAnsi="Arial" w:cs="Arial"/>
      <w:b/>
      <w:bCs/>
      <w:lang w:eastAsia="en-US"/>
    </w:rPr>
  </w:style>
  <w:style w:type="paragraph" w:customStyle="1" w:styleId="TableText1">
    <w:name w:val="Table Text"/>
    <w:basedOn w:val="Normal"/>
    <w:link w:val="TableTextChar1"/>
    <w:autoRedefine/>
    <w:qFormat/>
    <w:rsid w:val="00B42215"/>
    <w:pPr>
      <w:keepNext/>
    </w:pPr>
    <w:rPr>
      <w:rFonts w:asciiTheme="minorHAnsi" w:eastAsia="SimSun" w:hAnsiTheme="minorHAnsi"/>
      <w:color w:val="000000"/>
      <w:sz w:val="20"/>
      <w:szCs w:val="22"/>
      <w:lang w:eastAsia="zh-CN"/>
    </w:rPr>
  </w:style>
  <w:style w:type="character" w:customStyle="1" w:styleId="TableTextChar1">
    <w:name w:val="Table Text Char1"/>
    <w:link w:val="TableText1"/>
    <w:rsid w:val="00B42215"/>
    <w:rPr>
      <w:rFonts w:asciiTheme="minorHAnsi" w:eastAsia="SimSun" w:hAnsiTheme="minorHAnsi"/>
      <w:color w:val="000000"/>
      <w:szCs w:val="22"/>
      <w:lang w:eastAsia="zh-CN"/>
    </w:rPr>
  </w:style>
  <w:style w:type="character" w:styleId="SubtleEmphasis">
    <w:name w:val="Subtle Emphasis"/>
    <w:aliases w:val="Table Text Heading"/>
    <w:basedOn w:val="DefaultParagraphFont"/>
    <w:uiPriority w:val="19"/>
    <w:qFormat/>
    <w:rsid w:val="00B42215"/>
    <w:rPr>
      <w:rFonts w:ascii="Calibri" w:hAnsi="Calibri"/>
      <w:b/>
      <w:i w:val="0"/>
      <w:iCs/>
      <w:color w:val="auto"/>
      <w:sz w:val="20"/>
      <w:u w:val="none"/>
    </w:rPr>
  </w:style>
  <w:style w:type="paragraph" w:customStyle="1" w:styleId="tblnote">
    <w:name w:val="tblnote"/>
    <w:basedOn w:val="Normal"/>
    <w:rsid w:val="008D0F85"/>
    <w:pPr>
      <w:spacing w:after="120" w:line="360" w:lineRule="auto"/>
      <w:ind w:left="1440" w:hanging="1440"/>
      <w:contextualSpacing/>
    </w:pPr>
    <w:rPr>
      <w:rFonts w:asciiTheme="minorHAnsi" w:eastAsia="SimSun" w:hAnsiTheme="minorHAnsi"/>
      <w:sz w:val="16"/>
      <w:szCs w:val="20"/>
      <w:lang w:eastAsia="zh-CN"/>
    </w:rPr>
  </w:style>
  <w:style w:type="paragraph" w:customStyle="1" w:styleId="PBACHeading1">
    <w:name w:val="PBAC Heading 1"/>
    <w:qFormat/>
    <w:rsid w:val="00D25376"/>
    <w:pPr>
      <w:ind w:left="720" w:hanging="720"/>
    </w:pPr>
    <w:rPr>
      <w:rFonts w:ascii="Arial" w:hAnsi="Arial" w:cs="Arial"/>
      <w:b/>
      <w:snapToGrid w:val="0"/>
      <w:sz w:val="22"/>
      <w:szCs w:val="22"/>
      <w:lang w:eastAsia="en-US"/>
    </w:rPr>
  </w:style>
  <w:style w:type="paragraph" w:styleId="ListBullet">
    <w:name w:val="List Bullet"/>
    <w:basedOn w:val="Normal"/>
    <w:autoRedefine/>
    <w:rsid w:val="004A659A"/>
    <w:rPr>
      <w:rFonts w:ascii="Arial" w:hAnsi="Arial" w:cs="Arial"/>
      <w:snapToGrid w:val="0"/>
      <w:sz w:val="20"/>
      <w:szCs w:val="20"/>
      <w:lang w:eastAsia="en-US"/>
    </w:rPr>
  </w:style>
  <w:style w:type="character" w:styleId="FollowedHyperlink">
    <w:name w:val="FollowedHyperlink"/>
    <w:basedOn w:val="DefaultParagraphFont"/>
    <w:semiHidden/>
    <w:unhideWhenUsed/>
    <w:rsid w:val="003F04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AA4458"/>
    <w:pPr>
      <w:keepNext/>
      <w:widowControl w:val="0"/>
      <w:spacing w:before="240" w:after="60"/>
      <w:jc w:val="both"/>
      <w:outlineLvl w:val="3"/>
    </w:pPr>
    <w:rPr>
      <w:rFonts w:ascii="Arial" w:hAnsi="Arial" w:cs="Arial"/>
      <w:b/>
      <w:bCs/>
      <w:i/>
      <w:snapToGrid w:val="0"/>
      <w:sz w:val="26"/>
      <w:szCs w:val="28"/>
      <w:lang w:eastAsia="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rsid w:val="00AA4458"/>
    <w:pPr>
      <w:keepNext/>
      <w:widowControl w:val="0"/>
      <w:jc w:val="center"/>
      <w:outlineLvl w:val="6"/>
    </w:pPr>
    <w:rPr>
      <w:rFonts w:ascii="Arial" w:hAnsi="Arial" w:cs="Arial"/>
      <w:b/>
      <w:snapToGrid w:val="0"/>
      <w:sz w:val="20"/>
      <w:szCs w:val="20"/>
      <w:lang w:eastAsia="en-US"/>
    </w:rPr>
  </w:style>
  <w:style w:type="paragraph" w:styleId="Heading8">
    <w:name w:val="heading 8"/>
    <w:basedOn w:val="Normal"/>
    <w:next w:val="Normal"/>
    <w:link w:val="Heading8Char"/>
    <w:rsid w:val="00AA4458"/>
    <w:pPr>
      <w:keepNext/>
      <w:widowControl w:val="0"/>
      <w:jc w:val="right"/>
      <w:outlineLvl w:val="7"/>
    </w:pPr>
    <w:rPr>
      <w:rFonts w:ascii="Arial" w:hAnsi="Arial" w:cs="Arial"/>
      <w:b/>
      <w:snapToGrid w:val="0"/>
      <w:sz w:val="22"/>
      <w:szCs w:val="20"/>
      <w:lang w:eastAsia="en-US"/>
    </w:rPr>
  </w:style>
  <w:style w:type="paragraph" w:styleId="Heading9">
    <w:name w:val="heading 9"/>
    <w:basedOn w:val="Normal"/>
    <w:next w:val="Normal"/>
    <w:link w:val="Heading9Char"/>
    <w:rsid w:val="00AA4458"/>
    <w:pPr>
      <w:keepNext/>
      <w:widowControl w:val="0"/>
      <w:jc w:val="center"/>
      <w:outlineLvl w:val="8"/>
    </w:pPr>
    <w:rPr>
      <w:rFonts w:ascii="Arial" w:hAnsi="Arial" w:cs="Arial"/>
      <w:b/>
      <w:snapToGrid w:val="0"/>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TableFooter">
    <w:name w:val="Table Footer"/>
    <w:basedOn w:val="Normal"/>
    <w:qFormat/>
    <w:rsid w:val="00932DD0"/>
    <w:pPr>
      <w:widowControl w:val="0"/>
      <w:jc w:val="both"/>
    </w:pPr>
    <w:rPr>
      <w:rFonts w:ascii="Arial Narrow" w:hAnsi="Arial Narrow" w:cs="Arial"/>
      <w:snapToGrid w:val="0"/>
      <w:sz w:val="18"/>
      <w:szCs w:val="20"/>
      <w:lang w:eastAsia="en-US"/>
    </w:rPr>
  </w:style>
  <w:style w:type="paragraph" w:customStyle="1" w:styleId="StyleCaptionIBCaptionMedicalCaptionCaptionCharMedicalCapti">
    <w:name w:val="Style CaptionIB CaptionMedical CaptionCaption CharMedical Capti..."/>
    <w:basedOn w:val="Normal"/>
    <w:rsid w:val="00932DD0"/>
    <w:pPr>
      <w:spacing w:before="120" w:after="120"/>
    </w:pPr>
    <w:rPr>
      <w:rFonts w:ascii="Calibri" w:eastAsia="SimSun" w:hAnsi="Calibri"/>
      <w:b/>
      <w:bCs/>
      <w:szCs w:val="20"/>
      <w:lang w:eastAsia="en-US"/>
    </w:rPr>
  </w:style>
  <w:style w:type="character" w:customStyle="1" w:styleId="Heading4Char">
    <w:name w:val="Heading 4 Char"/>
    <w:basedOn w:val="DefaultParagraphFont"/>
    <w:link w:val="Heading4"/>
    <w:rsid w:val="00AA4458"/>
    <w:rPr>
      <w:rFonts w:ascii="Arial" w:hAnsi="Arial" w:cs="Arial"/>
      <w:b/>
      <w:bCs/>
      <w:i/>
      <w:snapToGrid w:val="0"/>
      <w:sz w:val="26"/>
      <w:szCs w:val="28"/>
      <w:lang w:eastAsia="en-US"/>
    </w:rPr>
  </w:style>
  <w:style w:type="character" w:customStyle="1" w:styleId="Heading7Char">
    <w:name w:val="Heading 7 Char"/>
    <w:basedOn w:val="DefaultParagraphFont"/>
    <w:link w:val="Heading7"/>
    <w:rsid w:val="00AA4458"/>
    <w:rPr>
      <w:rFonts w:ascii="Arial" w:hAnsi="Arial" w:cs="Arial"/>
      <w:b/>
      <w:snapToGrid w:val="0"/>
      <w:lang w:eastAsia="en-US"/>
    </w:rPr>
  </w:style>
  <w:style w:type="character" w:customStyle="1" w:styleId="Heading8Char">
    <w:name w:val="Heading 8 Char"/>
    <w:basedOn w:val="DefaultParagraphFont"/>
    <w:link w:val="Heading8"/>
    <w:rsid w:val="00AA4458"/>
    <w:rPr>
      <w:rFonts w:ascii="Arial" w:hAnsi="Arial" w:cs="Arial"/>
      <w:b/>
      <w:snapToGrid w:val="0"/>
      <w:sz w:val="22"/>
      <w:lang w:eastAsia="en-US"/>
    </w:rPr>
  </w:style>
  <w:style w:type="character" w:customStyle="1" w:styleId="Heading9Char">
    <w:name w:val="Heading 9 Char"/>
    <w:basedOn w:val="DefaultParagraphFont"/>
    <w:link w:val="Heading9"/>
    <w:rsid w:val="00AA4458"/>
    <w:rPr>
      <w:rFonts w:ascii="Arial" w:hAnsi="Arial" w:cs="Arial"/>
      <w:b/>
      <w:snapToGrid w:val="0"/>
      <w:color w:val="000000"/>
      <w:lang w:eastAsia="en-US"/>
    </w:rPr>
  </w:style>
  <w:style w:type="paragraph" w:customStyle="1" w:styleId="TableHeader">
    <w:name w:val="Table Header"/>
    <w:basedOn w:val="Normal"/>
    <w:rsid w:val="00AA4458"/>
    <w:pPr>
      <w:widowControl w:val="0"/>
      <w:jc w:val="both"/>
    </w:pPr>
    <w:rPr>
      <w:rFonts w:ascii="Arial" w:hAnsi="Arial" w:cs="Arial"/>
      <w:b/>
      <w:snapToGrid w:val="0"/>
      <w:sz w:val="20"/>
      <w:szCs w:val="20"/>
      <w:lang w:eastAsia="en-US"/>
    </w:rPr>
  </w:style>
  <w:style w:type="character" w:customStyle="1" w:styleId="Heading2Char">
    <w:name w:val="Heading 2 Char"/>
    <w:link w:val="Heading2"/>
    <w:rsid w:val="00AA4458"/>
    <w:rPr>
      <w:sz w:val="24"/>
      <w:szCs w:val="24"/>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
    <w:basedOn w:val="Normal"/>
    <w:next w:val="Normal"/>
    <w:link w:val="CaptionChar"/>
    <w:unhideWhenUsed/>
    <w:qFormat/>
    <w:rsid w:val="00AA4458"/>
    <w:pPr>
      <w:widowControl w:val="0"/>
      <w:spacing w:after="200"/>
      <w:jc w:val="both"/>
    </w:pPr>
    <w:rPr>
      <w:rFonts w:ascii="Arial" w:hAnsi="Arial" w:cs="Arial"/>
      <w:b/>
      <w:bCs/>
      <w:snapToGrid w:val="0"/>
      <w:color w:val="4F81BD" w:themeColor="accent1"/>
      <w:sz w:val="18"/>
      <w:szCs w:val="18"/>
      <w:lang w:eastAsia="en-US"/>
    </w:rPr>
  </w:style>
  <w:style w:type="character" w:customStyle="1" w:styleId="CaptionChar">
    <w:name w:val="Caption Char"/>
    <w:aliases w:val="IB Caption Char1,Medical Caption Char1,Medical Caption Char Char1,Caption Char1 Char Char Char1,Caption Char Char Char Char Char2,Caption Char1 Char Char2,Caption Char Char Char Char Char Char1,Caption Char Char Char1"/>
    <w:link w:val="Caption"/>
    <w:rsid w:val="00AA4458"/>
    <w:rPr>
      <w:rFonts w:ascii="Arial" w:hAnsi="Arial" w:cs="Arial"/>
      <w:b/>
      <w:bCs/>
      <w:snapToGrid w:val="0"/>
      <w:color w:val="4F81BD" w:themeColor="accent1"/>
      <w:sz w:val="18"/>
      <w:szCs w:val="18"/>
      <w:lang w:eastAsia="en-US"/>
    </w:rPr>
  </w:style>
  <w:style w:type="paragraph" w:styleId="Title">
    <w:name w:val="Title"/>
    <w:basedOn w:val="Normal"/>
    <w:next w:val="Normal"/>
    <w:link w:val="TitleChar"/>
    <w:qFormat/>
    <w:rsid w:val="00AA4458"/>
    <w:pPr>
      <w:widowControl w:val="0"/>
      <w:spacing w:before="240" w:after="60"/>
      <w:jc w:val="center"/>
      <w:outlineLvl w:val="0"/>
    </w:pPr>
    <w:rPr>
      <w:rFonts w:ascii="Cambria" w:hAnsi="Cambria" w:cs="Arial"/>
      <w:b/>
      <w:bCs/>
      <w:snapToGrid w:val="0"/>
      <w:kern w:val="28"/>
      <w:sz w:val="32"/>
      <w:szCs w:val="32"/>
      <w:lang w:eastAsia="en-US"/>
    </w:rPr>
  </w:style>
  <w:style w:type="character" w:customStyle="1" w:styleId="TitleChar">
    <w:name w:val="Title Char"/>
    <w:basedOn w:val="DefaultParagraphFont"/>
    <w:link w:val="Title"/>
    <w:rsid w:val="00AA4458"/>
    <w:rPr>
      <w:rFonts w:ascii="Cambria" w:hAnsi="Cambria" w:cs="Arial"/>
      <w:b/>
      <w:bCs/>
      <w:snapToGrid w:val="0"/>
      <w:kern w:val="28"/>
      <w:sz w:val="32"/>
      <w:szCs w:val="32"/>
      <w:lang w:eastAsia="en-US"/>
    </w:rPr>
  </w:style>
  <w:style w:type="paragraph" w:styleId="BodyText">
    <w:name w:val="Body Text"/>
    <w:basedOn w:val="Normal"/>
    <w:link w:val="BodyTextChar"/>
    <w:qFormat/>
    <w:rsid w:val="00AA4458"/>
    <w:pPr>
      <w:widowControl w:val="0"/>
    </w:pPr>
    <w:rPr>
      <w:rFonts w:ascii="Arial" w:hAnsi="Arial" w:cs="Arial"/>
      <w:snapToGrid w:val="0"/>
      <w:sz w:val="22"/>
      <w:szCs w:val="20"/>
      <w:lang w:eastAsia="en-US"/>
    </w:rPr>
  </w:style>
  <w:style w:type="character" w:customStyle="1" w:styleId="BodyTextChar">
    <w:name w:val="Body Text Char"/>
    <w:basedOn w:val="DefaultParagraphFont"/>
    <w:link w:val="BodyText"/>
    <w:rsid w:val="00AA4458"/>
    <w:rPr>
      <w:rFonts w:ascii="Arial" w:hAnsi="Arial" w:cs="Arial"/>
      <w:snapToGrid w:val="0"/>
      <w:sz w:val="22"/>
      <w:lang w:eastAsia="en-US"/>
    </w:rPr>
  </w:style>
  <w:style w:type="paragraph" w:customStyle="1" w:styleId="RegularText">
    <w:name w:val="Regular Text"/>
    <w:basedOn w:val="BodyText"/>
    <w:link w:val="RegularTextChar"/>
    <w:rsid w:val="00AA4458"/>
    <w:rPr>
      <w:b/>
    </w:rPr>
  </w:style>
  <w:style w:type="character" w:customStyle="1" w:styleId="RegularTextChar">
    <w:name w:val="Regular Text Char"/>
    <w:basedOn w:val="BodyTextChar"/>
    <w:link w:val="RegularText"/>
    <w:rsid w:val="00AA4458"/>
    <w:rPr>
      <w:rFonts w:ascii="Arial" w:hAnsi="Arial" w:cs="Arial"/>
      <w:b/>
      <w:snapToGrid w:val="0"/>
      <w:sz w:val="22"/>
      <w:lang w:eastAsia="en-US"/>
    </w:rPr>
  </w:style>
  <w:style w:type="character" w:customStyle="1" w:styleId="TabletextChar">
    <w:name w:val="Table text Char"/>
    <w:link w:val="Tabletext"/>
    <w:rsid w:val="00AA4458"/>
    <w:rPr>
      <w:rFonts w:ascii="Arial" w:hAnsi="Arial"/>
      <w:lang w:eastAsia="en-US"/>
    </w:rPr>
  </w:style>
  <w:style w:type="paragraph" w:customStyle="1" w:styleId="Corpsdetextemarge">
    <w:name w:val="Corps de texte marge"/>
    <w:basedOn w:val="BodyText"/>
    <w:uiPriority w:val="99"/>
    <w:rsid w:val="00AA4458"/>
    <w:pPr>
      <w:widowControl/>
      <w:jc w:val="both"/>
    </w:pPr>
    <w:rPr>
      <w:rFonts w:ascii="Times" w:hAnsi="Times" w:cs="Times New Roman"/>
      <w:snapToGrid/>
      <w:sz w:val="24"/>
      <w:lang w:val="en-US"/>
    </w:rPr>
  </w:style>
  <w:style w:type="paragraph" w:styleId="NormalWeb">
    <w:name w:val="Normal (Web)"/>
    <w:basedOn w:val="Normal"/>
    <w:uiPriority w:val="99"/>
    <w:rsid w:val="00AA4458"/>
    <w:pPr>
      <w:spacing w:before="100" w:after="100"/>
    </w:pPr>
    <w:rPr>
      <w:szCs w:val="20"/>
      <w:lang w:val="en-GB" w:eastAsia="en-US"/>
    </w:rPr>
  </w:style>
  <w:style w:type="paragraph" w:styleId="TOC2">
    <w:name w:val="toc 2"/>
    <w:basedOn w:val="Normal"/>
    <w:next w:val="Normal"/>
    <w:autoRedefine/>
    <w:uiPriority w:val="39"/>
    <w:rsid w:val="00AA4458"/>
    <w:pPr>
      <w:widowControl w:val="0"/>
      <w:tabs>
        <w:tab w:val="left" w:pos="880"/>
        <w:tab w:val="right" w:leader="dot" w:pos="9016"/>
      </w:tabs>
      <w:spacing w:before="120"/>
      <w:ind w:left="220"/>
    </w:pPr>
    <w:rPr>
      <w:rFonts w:ascii="Arial" w:hAnsi="Arial" w:cs="Arial"/>
      <w:iCs/>
      <w:snapToGrid w:val="0"/>
      <w:sz w:val="20"/>
      <w:szCs w:val="20"/>
      <w:lang w:eastAsia="en-US"/>
    </w:rPr>
  </w:style>
  <w:style w:type="paragraph" w:styleId="TOC1">
    <w:name w:val="toc 1"/>
    <w:basedOn w:val="Normal"/>
    <w:next w:val="Normal"/>
    <w:autoRedefine/>
    <w:uiPriority w:val="39"/>
    <w:rsid w:val="00AA4458"/>
    <w:pPr>
      <w:widowControl w:val="0"/>
      <w:tabs>
        <w:tab w:val="left" w:pos="440"/>
        <w:tab w:val="right" w:leader="dot" w:pos="9016"/>
      </w:tabs>
      <w:spacing w:before="240" w:after="120"/>
    </w:pPr>
    <w:rPr>
      <w:rFonts w:ascii="Arial" w:hAnsi="Arial" w:cs="Arial"/>
      <w:bCs/>
      <w:snapToGrid w:val="0"/>
      <w:sz w:val="20"/>
      <w:szCs w:val="20"/>
      <w:lang w:eastAsia="en-US"/>
    </w:rPr>
  </w:style>
  <w:style w:type="character" w:styleId="Hyperlink">
    <w:name w:val="Hyperlink"/>
    <w:basedOn w:val="DefaultParagraphFont"/>
    <w:uiPriority w:val="99"/>
    <w:unhideWhenUsed/>
    <w:rsid w:val="00AA4458"/>
    <w:rPr>
      <w:color w:val="0000FF" w:themeColor="hyperlink"/>
      <w:u w:val="single"/>
    </w:rPr>
  </w:style>
  <w:style w:type="paragraph" w:styleId="TOCHeading">
    <w:name w:val="TOC Heading"/>
    <w:basedOn w:val="Heading1"/>
    <w:next w:val="Normal"/>
    <w:uiPriority w:val="39"/>
    <w:unhideWhenUsed/>
    <w:rsid w:val="00AA4458"/>
    <w:pPr>
      <w:keepLines/>
      <w:spacing w:before="480" w:line="276" w:lineRule="auto"/>
      <w:outlineLvl w:val="9"/>
    </w:pPr>
    <w:rPr>
      <w:rFonts w:asciiTheme="majorHAnsi" w:eastAsiaTheme="majorEastAsia" w:hAnsiTheme="majorHAnsi" w:cstheme="majorBidi"/>
      <w:bCs/>
      <w:caps/>
      <w:color w:val="365F91" w:themeColor="accent1" w:themeShade="BF"/>
      <w:sz w:val="28"/>
      <w:szCs w:val="28"/>
      <w:lang w:val="en-US" w:eastAsia="ja-JP"/>
    </w:rPr>
  </w:style>
  <w:style w:type="paragraph" w:styleId="TOC3">
    <w:name w:val="toc 3"/>
    <w:basedOn w:val="Normal"/>
    <w:next w:val="Normal"/>
    <w:autoRedefine/>
    <w:uiPriority w:val="39"/>
    <w:unhideWhenUsed/>
    <w:rsid w:val="00AA4458"/>
    <w:pPr>
      <w:widowControl w:val="0"/>
      <w:ind w:left="440"/>
    </w:pPr>
    <w:rPr>
      <w:rFonts w:asciiTheme="minorHAnsi" w:hAnsiTheme="minorHAnsi" w:cs="Arial"/>
      <w:snapToGrid w:val="0"/>
      <w:sz w:val="20"/>
      <w:szCs w:val="20"/>
      <w:lang w:eastAsia="en-US"/>
    </w:rPr>
  </w:style>
  <w:style w:type="character" w:customStyle="1" w:styleId="BalloonTextChar">
    <w:name w:val="Balloon Text Char"/>
    <w:basedOn w:val="DefaultParagraphFont"/>
    <w:link w:val="BalloonText"/>
    <w:rsid w:val="00AA4458"/>
    <w:rPr>
      <w:rFonts w:ascii="Tahoma" w:hAnsi="Tahoma" w:cs="Tahoma"/>
      <w:sz w:val="16"/>
      <w:szCs w:val="16"/>
    </w:rPr>
  </w:style>
  <w:style w:type="character" w:customStyle="1" w:styleId="BodyText3Char">
    <w:name w:val="Body Text 3 Char"/>
    <w:basedOn w:val="DefaultParagraphFont"/>
    <w:link w:val="BodyText3"/>
    <w:uiPriority w:val="99"/>
    <w:rsid w:val="00AA4458"/>
    <w:rPr>
      <w:sz w:val="16"/>
      <w:szCs w:val="16"/>
    </w:rPr>
  </w:style>
  <w:style w:type="paragraph" w:styleId="TOC4">
    <w:name w:val="toc 4"/>
    <w:basedOn w:val="Normal"/>
    <w:next w:val="Normal"/>
    <w:autoRedefine/>
    <w:rsid w:val="00AA4458"/>
    <w:pPr>
      <w:widowControl w:val="0"/>
      <w:ind w:left="660"/>
    </w:pPr>
    <w:rPr>
      <w:rFonts w:asciiTheme="minorHAnsi" w:hAnsiTheme="minorHAnsi" w:cs="Arial"/>
      <w:snapToGrid w:val="0"/>
      <w:sz w:val="20"/>
      <w:szCs w:val="20"/>
      <w:lang w:eastAsia="en-US"/>
    </w:rPr>
  </w:style>
  <w:style w:type="paragraph" w:styleId="TOC5">
    <w:name w:val="toc 5"/>
    <w:basedOn w:val="Normal"/>
    <w:next w:val="Normal"/>
    <w:autoRedefine/>
    <w:rsid w:val="00AA4458"/>
    <w:pPr>
      <w:widowControl w:val="0"/>
      <w:ind w:left="880"/>
    </w:pPr>
    <w:rPr>
      <w:rFonts w:asciiTheme="minorHAnsi" w:hAnsiTheme="minorHAnsi" w:cs="Arial"/>
      <w:snapToGrid w:val="0"/>
      <w:sz w:val="20"/>
      <w:szCs w:val="20"/>
      <w:lang w:eastAsia="en-US"/>
    </w:rPr>
  </w:style>
  <w:style w:type="paragraph" w:styleId="TOC6">
    <w:name w:val="toc 6"/>
    <w:basedOn w:val="Normal"/>
    <w:next w:val="Normal"/>
    <w:autoRedefine/>
    <w:rsid w:val="00AA4458"/>
    <w:pPr>
      <w:widowControl w:val="0"/>
      <w:ind w:left="1100"/>
    </w:pPr>
    <w:rPr>
      <w:rFonts w:asciiTheme="minorHAnsi" w:hAnsiTheme="minorHAnsi" w:cs="Arial"/>
      <w:snapToGrid w:val="0"/>
      <w:sz w:val="20"/>
      <w:szCs w:val="20"/>
      <w:lang w:eastAsia="en-US"/>
    </w:rPr>
  </w:style>
  <w:style w:type="paragraph" w:styleId="TOC7">
    <w:name w:val="toc 7"/>
    <w:basedOn w:val="Normal"/>
    <w:next w:val="Normal"/>
    <w:autoRedefine/>
    <w:rsid w:val="00AA4458"/>
    <w:pPr>
      <w:widowControl w:val="0"/>
      <w:ind w:left="1320"/>
    </w:pPr>
    <w:rPr>
      <w:rFonts w:asciiTheme="minorHAnsi" w:hAnsiTheme="minorHAnsi" w:cs="Arial"/>
      <w:snapToGrid w:val="0"/>
      <w:sz w:val="20"/>
      <w:szCs w:val="20"/>
      <w:lang w:eastAsia="en-US"/>
    </w:rPr>
  </w:style>
  <w:style w:type="paragraph" w:styleId="TOC8">
    <w:name w:val="toc 8"/>
    <w:basedOn w:val="Normal"/>
    <w:next w:val="Normal"/>
    <w:autoRedefine/>
    <w:rsid w:val="00AA4458"/>
    <w:pPr>
      <w:widowControl w:val="0"/>
      <w:ind w:left="1540"/>
    </w:pPr>
    <w:rPr>
      <w:rFonts w:asciiTheme="minorHAnsi" w:hAnsiTheme="minorHAnsi" w:cs="Arial"/>
      <w:snapToGrid w:val="0"/>
      <w:sz w:val="20"/>
      <w:szCs w:val="20"/>
      <w:lang w:eastAsia="en-US"/>
    </w:rPr>
  </w:style>
  <w:style w:type="paragraph" w:styleId="TOC9">
    <w:name w:val="toc 9"/>
    <w:basedOn w:val="Normal"/>
    <w:next w:val="Normal"/>
    <w:autoRedefine/>
    <w:rsid w:val="00AA4458"/>
    <w:pPr>
      <w:widowControl w:val="0"/>
      <w:ind w:left="1760"/>
    </w:pPr>
    <w:rPr>
      <w:rFonts w:asciiTheme="minorHAnsi" w:hAnsiTheme="minorHAnsi" w:cs="Arial"/>
      <w:snapToGrid w:val="0"/>
      <w:sz w:val="20"/>
      <w:szCs w:val="20"/>
      <w:lang w:eastAsia="en-US"/>
    </w:rPr>
  </w:style>
  <w:style w:type="paragraph" w:customStyle="1" w:styleId="TableText0">
    <w:name w:val="TableText"/>
    <w:basedOn w:val="Normal"/>
    <w:qFormat/>
    <w:rsid w:val="00AA4458"/>
    <w:pPr>
      <w:keepNext/>
      <w:spacing w:before="40" w:after="40"/>
    </w:pPr>
    <w:rPr>
      <w:rFonts w:ascii="Arial Narrow" w:hAnsi="Arial Narrow" w:cs="Arial Narrow"/>
      <w:sz w:val="20"/>
      <w:szCs w:val="20"/>
      <w:lang w:eastAsia="en-US"/>
    </w:rPr>
  </w:style>
  <w:style w:type="paragraph" w:customStyle="1" w:styleId="TableName">
    <w:name w:val="TableName"/>
    <w:basedOn w:val="Normal"/>
    <w:rsid w:val="00AA4458"/>
    <w:pPr>
      <w:keepNext/>
      <w:spacing w:before="120" w:after="120"/>
      <w:ind w:left="1800" w:hanging="1080"/>
    </w:pPr>
    <w:rPr>
      <w:rFonts w:ascii="Arial Narrow" w:hAnsi="Arial Narrow" w:cs="Arial Narrow"/>
      <w:b/>
      <w:bCs/>
      <w:sz w:val="22"/>
      <w:szCs w:val="22"/>
      <w:lang w:eastAsia="en-US"/>
    </w:rPr>
  </w:style>
  <w:style w:type="paragraph" w:customStyle="1" w:styleId="TableNotes18">
    <w:name w:val="TableNotes+18"/>
    <w:basedOn w:val="TableText0"/>
    <w:rsid w:val="00AA4458"/>
    <w:pPr>
      <w:keepNext w:val="0"/>
      <w:keepLines/>
      <w:spacing w:before="0" w:after="360"/>
      <w:ind w:left="720"/>
    </w:pPr>
    <w:rPr>
      <w:sz w:val="18"/>
      <w:szCs w:val="18"/>
    </w:rPr>
  </w:style>
  <w:style w:type="paragraph" w:customStyle="1" w:styleId="TableNotes0">
    <w:name w:val="TableNotes+0"/>
    <w:basedOn w:val="TableNotes18"/>
    <w:rsid w:val="00AA4458"/>
    <w:pPr>
      <w:keepNext/>
      <w:spacing w:after="0"/>
    </w:pPr>
  </w:style>
  <w:style w:type="paragraph" w:styleId="Revision">
    <w:name w:val="Revision"/>
    <w:hidden/>
    <w:uiPriority w:val="99"/>
    <w:rsid w:val="00AA4458"/>
    <w:rPr>
      <w:rFonts w:ascii="Arial" w:hAnsi="Arial" w:cs="Arial"/>
      <w:snapToGrid w:val="0"/>
      <w:sz w:val="22"/>
      <w:lang w:eastAsia="en-US"/>
    </w:rPr>
  </w:style>
  <w:style w:type="paragraph" w:styleId="BodyTextIndent">
    <w:name w:val="Body Text Indent"/>
    <w:basedOn w:val="Normal"/>
    <w:link w:val="BodyTextIndentChar"/>
    <w:rsid w:val="00AA4458"/>
    <w:pPr>
      <w:widowControl w:val="0"/>
      <w:spacing w:after="120"/>
      <w:ind w:left="283"/>
      <w:jc w:val="both"/>
    </w:pPr>
    <w:rPr>
      <w:rFonts w:ascii="Arial" w:hAnsi="Arial" w:cs="Arial"/>
      <w:snapToGrid w:val="0"/>
      <w:sz w:val="22"/>
      <w:szCs w:val="20"/>
      <w:lang w:eastAsia="en-US"/>
    </w:rPr>
  </w:style>
  <w:style w:type="character" w:customStyle="1" w:styleId="BodyTextIndentChar">
    <w:name w:val="Body Text Indent Char"/>
    <w:basedOn w:val="DefaultParagraphFont"/>
    <w:link w:val="BodyTextIndent"/>
    <w:rsid w:val="00AA4458"/>
    <w:rPr>
      <w:rFonts w:ascii="Arial" w:hAnsi="Arial" w:cs="Arial"/>
      <w:snapToGrid w:val="0"/>
      <w:sz w:val="22"/>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rsid w:val="00AA4458"/>
    <w:pPr>
      <w:widowControl w:val="0"/>
      <w:jc w:val="both"/>
    </w:pPr>
    <w:rPr>
      <w:rFonts w:ascii="Arial" w:hAnsi="Arial"/>
      <w:snapToGrid w:val="0"/>
      <w:sz w:val="20"/>
      <w:szCs w:val="20"/>
      <w:lang w:eastAsia="en-US"/>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AA4458"/>
    <w:rPr>
      <w:rFonts w:ascii="Arial" w:hAnsi="Arial"/>
      <w:snapToGrid w:val="0"/>
      <w:lang w:eastAsia="en-US"/>
    </w:rPr>
  </w:style>
  <w:style w:type="character" w:styleId="FootnoteReference">
    <w:name w:val="footnote reference"/>
    <w:basedOn w:val="DefaultParagraphFont"/>
    <w:rsid w:val="00AA4458"/>
    <w:rPr>
      <w:vertAlign w:val="superscript"/>
    </w:rPr>
  </w:style>
  <w:style w:type="character" w:customStyle="1" w:styleId="ListParagraphChar">
    <w:name w:val="List Paragraph Char"/>
    <w:link w:val="ListParagraph"/>
    <w:uiPriority w:val="34"/>
    <w:rsid w:val="00AA4458"/>
    <w:rPr>
      <w:sz w:val="24"/>
      <w:szCs w:val="24"/>
    </w:rPr>
  </w:style>
  <w:style w:type="paragraph" w:customStyle="1" w:styleId="Default">
    <w:name w:val="Default"/>
    <w:link w:val="DefaultChar"/>
    <w:rsid w:val="00AA4458"/>
    <w:pPr>
      <w:autoSpaceDE w:val="0"/>
      <w:autoSpaceDN w:val="0"/>
      <w:adjustRightInd w:val="0"/>
    </w:pPr>
    <w:rPr>
      <w:rFonts w:ascii="Futura Std Book" w:eastAsiaTheme="minorEastAsia" w:hAnsi="Futura Std Book" w:cs="Futura Std Book"/>
      <w:color w:val="000000"/>
      <w:sz w:val="24"/>
      <w:szCs w:val="24"/>
      <w:lang w:val="en-US" w:eastAsia="zh-TW"/>
    </w:rPr>
  </w:style>
  <w:style w:type="character" w:customStyle="1" w:styleId="DefaultChar">
    <w:name w:val="Default Char"/>
    <w:basedOn w:val="DefaultParagraphFont"/>
    <w:link w:val="Default"/>
    <w:rsid w:val="00AA4458"/>
    <w:rPr>
      <w:rFonts w:ascii="Futura Std Book" w:eastAsiaTheme="minorEastAsia" w:hAnsi="Futura Std Book" w:cs="Futura Std Book"/>
      <w:color w:val="000000"/>
      <w:sz w:val="24"/>
      <w:szCs w:val="24"/>
      <w:lang w:val="en-US" w:eastAsia="zh-TW"/>
    </w:rPr>
  </w:style>
  <w:style w:type="character" w:customStyle="1" w:styleId="StyleCalibri">
    <w:name w:val="Style Calibri"/>
    <w:basedOn w:val="DefaultParagraphFont"/>
    <w:rsid w:val="00AA4458"/>
    <w:rPr>
      <w:rFonts w:ascii="Calibri" w:hAnsi="Calibri"/>
      <w:sz w:val="24"/>
    </w:rPr>
  </w:style>
  <w:style w:type="paragraph" w:customStyle="1" w:styleId="TableNotes1">
    <w:name w:val="Table Notes"/>
    <w:basedOn w:val="Normal"/>
    <w:next w:val="Normal"/>
    <w:link w:val="TableNotesChar"/>
    <w:uiPriority w:val="99"/>
    <w:qFormat/>
    <w:rsid w:val="00AA4458"/>
    <w:pPr>
      <w:keepLines/>
      <w:tabs>
        <w:tab w:val="left" w:pos="1134"/>
      </w:tabs>
      <w:ind w:left="1138" w:hanging="1138"/>
    </w:pPr>
    <w:rPr>
      <w:rFonts w:ascii="Calibri" w:hAnsi="Calibri" w:cs="Arial Narrow"/>
      <w:sz w:val="16"/>
      <w:szCs w:val="18"/>
      <w:lang w:val="fr-FR" w:eastAsia="en-US"/>
    </w:rPr>
  </w:style>
  <w:style w:type="character" w:customStyle="1" w:styleId="TableNotesChar">
    <w:name w:val="Table Notes Char"/>
    <w:link w:val="TableNotes1"/>
    <w:uiPriority w:val="99"/>
    <w:rsid w:val="00AA4458"/>
    <w:rPr>
      <w:rFonts w:ascii="Calibri" w:hAnsi="Calibri" w:cs="Arial Narrow"/>
      <w:sz w:val="16"/>
      <w:szCs w:val="18"/>
      <w:lang w:val="fr-FR" w:eastAsia="en-US"/>
    </w:rPr>
  </w:style>
  <w:style w:type="paragraph" w:customStyle="1" w:styleId="TableTitle">
    <w:name w:val="TableTitle"/>
    <w:basedOn w:val="BodyText"/>
    <w:next w:val="BodyText"/>
    <w:link w:val="TableTitleChar"/>
    <w:rsid w:val="00AA4458"/>
    <w:pPr>
      <w:keepNext/>
      <w:widowControl/>
      <w:tabs>
        <w:tab w:val="left" w:pos="1559"/>
      </w:tabs>
      <w:spacing w:after="60"/>
      <w:ind w:left="1559" w:hanging="1559"/>
    </w:pPr>
    <w:rPr>
      <w:rFonts w:ascii="Calibri" w:hAnsi="Calibri" w:cs="Times New Roman"/>
      <w:b/>
      <w:snapToGrid/>
      <w:sz w:val="24"/>
      <w:szCs w:val="24"/>
    </w:rPr>
  </w:style>
  <w:style w:type="character" w:customStyle="1" w:styleId="TableTitleChar">
    <w:name w:val="TableTitle Char"/>
    <w:link w:val="TableTitle"/>
    <w:rsid w:val="00AA4458"/>
    <w:rPr>
      <w:rFonts w:ascii="Calibri" w:hAnsi="Calibri"/>
      <w:b/>
      <w:sz w:val="24"/>
      <w:szCs w:val="24"/>
      <w:lang w:eastAsia="en-US"/>
    </w:rPr>
  </w:style>
  <w:style w:type="paragraph" w:customStyle="1" w:styleId="Tabletitleboldcentred">
    <w:name w:val="Table title bold centred"/>
    <w:basedOn w:val="Normal"/>
    <w:uiPriority w:val="99"/>
    <w:rsid w:val="00AA4458"/>
    <w:pPr>
      <w:spacing w:before="120" w:after="120"/>
      <w:jc w:val="center"/>
    </w:pPr>
    <w:rPr>
      <w:rFonts w:ascii="Arial" w:eastAsia="SimSun" w:hAnsi="Arial"/>
      <w:b/>
      <w:bCs/>
      <w:sz w:val="20"/>
      <w:szCs w:val="20"/>
      <w:lang w:eastAsia="en-US"/>
    </w:rPr>
  </w:style>
  <w:style w:type="character" w:customStyle="1" w:styleId="CaptionChar1">
    <w:name w:val="Caption Char1"/>
    <w:aliases w:val="IB Caption Char,Medical Caption Char2,Caption Char Char1,Medical Caption Char Char,Caption Char1 Char Char Char,Caption Char Char Char Char Char1,Caption Char1 Char Char1,Caption Char Char Char Char Char Char,Caption Char Char Char"/>
    <w:basedOn w:val="DefaultParagraphFont"/>
    <w:uiPriority w:val="99"/>
    <w:rsid w:val="00AA4458"/>
    <w:rPr>
      <w:rFonts w:ascii="Calibri" w:eastAsia="SimSun" w:hAnsi="Calibri" w:cs="Times New Roman"/>
      <w:b/>
      <w:bCs/>
      <w:sz w:val="24"/>
      <w:szCs w:val="18"/>
      <w:lang w:eastAsia="zh-CN"/>
    </w:rPr>
  </w:style>
  <w:style w:type="paragraph" w:customStyle="1" w:styleId="CaptionStyle">
    <w:name w:val="Caption Style"/>
    <w:basedOn w:val="Caption"/>
    <w:next w:val="Normal"/>
    <w:link w:val="CaptionStyleChar"/>
    <w:uiPriority w:val="99"/>
    <w:rsid w:val="00AA4458"/>
    <w:pPr>
      <w:keepNext/>
      <w:widowControl/>
      <w:tabs>
        <w:tab w:val="left" w:pos="1418"/>
      </w:tabs>
      <w:spacing w:after="0"/>
      <w:ind w:left="1418" w:hanging="1418"/>
      <w:jc w:val="left"/>
    </w:pPr>
    <w:rPr>
      <w:rFonts w:eastAsia="SimSun" w:cs="Times New Roman"/>
      <w:snapToGrid/>
      <w:color w:val="auto"/>
      <w:sz w:val="20"/>
      <w:szCs w:val="20"/>
    </w:rPr>
  </w:style>
  <w:style w:type="character" w:customStyle="1" w:styleId="CaptionStyleChar">
    <w:name w:val="Caption Style Char"/>
    <w:basedOn w:val="DefaultParagraphFont"/>
    <w:link w:val="CaptionStyle"/>
    <w:uiPriority w:val="99"/>
    <w:locked/>
    <w:rsid w:val="00AA4458"/>
    <w:rPr>
      <w:rFonts w:ascii="Arial" w:eastAsia="SimSun" w:hAnsi="Arial"/>
      <w:b/>
      <w:bCs/>
      <w:lang w:eastAsia="en-US"/>
    </w:rPr>
  </w:style>
  <w:style w:type="paragraph" w:customStyle="1" w:styleId="Caption2">
    <w:name w:val="Caption2"/>
    <w:qFormat/>
    <w:rsid w:val="00AA4458"/>
    <w:pPr>
      <w:keepNext/>
    </w:pPr>
    <w:rPr>
      <w:rFonts w:ascii="Arial" w:hAnsi="Arial" w:cs="Arial"/>
      <w:b/>
      <w:bCs/>
      <w:lang w:eastAsia="en-US"/>
    </w:rPr>
  </w:style>
  <w:style w:type="paragraph" w:customStyle="1" w:styleId="TableText1">
    <w:name w:val="Table Text"/>
    <w:basedOn w:val="Normal"/>
    <w:link w:val="TableTextChar1"/>
    <w:autoRedefine/>
    <w:qFormat/>
    <w:rsid w:val="00B42215"/>
    <w:pPr>
      <w:keepNext/>
    </w:pPr>
    <w:rPr>
      <w:rFonts w:asciiTheme="minorHAnsi" w:eastAsia="SimSun" w:hAnsiTheme="minorHAnsi"/>
      <w:color w:val="000000"/>
      <w:sz w:val="20"/>
      <w:szCs w:val="22"/>
      <w:lang w:eastAsia="zh-CN"/>
    </w:rPr>
  </w:style>
  <w:style w:type="character" w:customStyle="1" w:styleId="TableTextChar1">
    <w:name w:val="Table Text Char1"/>
    <w:link w:val="TableText1"/>
    <w:rsid w:val="00B42215"/>
    <w:rPr>
      <w:rFonts w:asciiTheme="minorHAnsi" w:eastAsia="SimSun" w:hAnsiTheme="minorHAnsi"/>
      <w:color w:val="000000"/>
      <w:szCs w:val="22"/>
      <w:lang w:eastAsia="zh-CN"/>
    </w:rPr>
  </w:style>
  <w:style w:type="character" w:styleId="SubtleEmphasis">
    <w:name w:val="Subtle Emphasis"/>
    <w:aliases w:val="Table Text Heading"/>
    <w:basedOn w:val="DefaultParagraphFont"/>
    <w:uiPriority w:val="19"/>
    <w:qFormat/>
    <w:rsid w:val="00B42215"/>
    <w:rPr>
      <w:rFonts w:ascii="Calibri" w:hAnsi="Calibri"/>
      <w:b/>
      <w:i w:val="0"/>
      <w:iCs/>
      <w:color w:val="auto"/>
      <w:sz w:val="20"/>
      <w:u w:val="none"/>
    </w:rPr>
  </w:style>
  <w:style w:type="paragraph" w:customStyle="1" w:styleId="tblnote">
    <w:name w:val="tblnote"/>
    <w:basedOn w:val="Normal"/>
    <w:rsid w:val="008D0F85"/>
    <w:pPr>
      <w:spacing w:after="120" w:line="360" w:lineRule="auto"/>
      <w:ind w:left="1440" w:hanging="1440"/>
      <w:contextualSpacing/>
    </w:pPr>
    <w:rPr>
      <w:rFonts w:asciiTheme="minorHAnsi" w:eastAsia="SimSun" w:hAnsiTheme="minorHAnsi"/>
      <w:sz w:val="16"/>
      <w:szCs w:val="20"/>
      <w:lang w:eastAsia="zh-CN"/>
    </w:rPr>
  </w:style>
  <w:style w:type="paragraph" w:customStyle="1" w:styleId="PBACHeading1">
    <w:name w:val="PBAC Heading 1"/>
    <w:qFormat/>
    <w:rsid w:val="00D25376"/>
    <w:pPr>
      <w:ind w:left="720" w:hanging="720"/>
    </w:pPr>
    <w:rPr>
      <w:rFonts w:ascii="Arial" w:hAnsi="Arial" w:cs="Arial"/>
      <w:b/>
      <w:snapToGrid w:val="0"/>
      <w:sz w:val="22"/>
      <w:szCs w:val="22"/>
      <w:lang w:eastAsia="en-US"/>
    </w:rPr>
  </w:style>
  <w:style w:type="paragraph" w:styleId="ListBullet">
    <w:name w:val="List Bullet"/>
    <w:basedOn w:val="Normal"/>
    <w:autoRedefine/>
    <w:rsid w:val="004A659A"/>
    <w:rPr>
      <w:rFonts w:ascii="Arial" w:hAnsi="Arial" w:cs="Arial"/>
      <w:snapToGrid w:val="0"/>
      <w:sz w:val="20"/>
      <w:szCs w:val="20"/>
      <w:lang w:eastAsia="en-US"/>
    </w:rPr>
  </w:style>
  <w:style w:type="character" w:styleId="FollowedHyperlink">
    <w:name w:val="FollowedHyperlink"/>
    <w:basedOn w:val="DefaultParagraphFont"/>
    <w:semiHidden/>
    <w:unhideWhenUsed/>
    <w:rsid w:val="003F04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9465870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20721110">
      <w:bodyDiv w:val="1"/>
      <w:marLeft w:val="0"/>
      <w:marRight w:val="0"/>
      <w:marTop w:val="0"/>
      <w:marBottom w:val="0"/>
      <w:divBdr>
        <w:top w:val="none" w:sz="0" w:space="0" w:color="auto"/>
        <w:left w:val="none" w:sz="0" w:space="0" w:color="auto"/>
        <w:bottom w:val="none" w:sz="0" w:space="0" w:color="auto"/>
        <w:right w:val="none" w:sz="0" w:space="0" w:color="auto"/>
      </w:divBdr>
      <w:divsChild>
        <w:div w:id="235171021">
          <w:marLeft w:val="0"/>
          <w:marRight w:val="0"/>
          <w:marTop w:val="0"/>
          <w:marBottom w:val="0"/>
          <w:divBdr>
            <w:top w:val="none" w:sz="0" w:space="0" w:color="auto"/>
            <w:left w:val="none" w:sz="0" w:space="0" w:color="auto"/>
            <w:bottom w:val="none" w:sz="0" w:space="0" w:color="auto"/>
            <w:right w:val="none" w:sz="0" w:space="0" w:color="auto"/>
          </w:divBdr>
        </w:div>
        <w:div w:id="513150122">
          <w:marLeft w:val="0"/>
          <w:marRight w:val="0"/>
          <w:marTop w:val="0"/>
          <w:marBottom w:val="0"/>
          <w:divBdr>
            <w:top w:val="none" w:sz="0" w:space="0" w:color="auto"/>
            <w:left w:val="none" w:sz="0" w:space="0" w:color="auto"/>
            <w:bottom w:val="none" w:sz="0" w:space="0" w:color="auto"/>
            <w:right w:val="none" w:sz="0" w:space="0" w:color="auto"/>
          </w:divBdr>
        </w:div>
        <w:div w:id="1750734743">
          <w:marLeft w:val="0"/>
          <w:marRight w:val="0"/>
          <w:marTop w:val="0"/>
          <w:marBottom w:val="0"/>
          <w:divBdr>
            <w:top w:val="none" w:sz="0" w:space="0" w:color="auto"/>
            <w:left w:val="none" w:sz="0" w:space="0" w:color="auto"/>
            <w:bottom w:val="none" w:sz="0" w:space="0" w:color="auto"/>
            <w:right w:val="none" w:sz="0" w:space="0" w:color="auto"/>
          </w:divBdr>
        </w:div>
        <w:div w:id="387655980">
          <w:marLeft w:val="0"/>
          <w:marRight w:val="0"/>
          <w:marTop w:val="0"/>
          <w:marBottom w:val="0"/>
          <w:divBdr>
            <w:top w:val="none" w:sz="0" w:space="0" w:color="auto"/>
            <w:left w:val="none" w:sz="0" w:space="0" w:color="auto"/>
            <w:bottom w:val="none" w:sz="0" w:space="0" w:color="auto"/>
            <w:right w:val="none" w:sz="0" w:space="0" w:color="auto"/>
          </w:divBdr>
        </w:div>
        <w:div w:id="205918284">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639926214">
          <w:marLeft w:val="0"/>
          <w:marRight w:val="0"/>
          <w:marTop w:val="0"/>
          <w:marBottom w:val="0"/>
          <w:divBdr>
            <w:top w:val="none" w:sz="0" w:space="0" w:color="auto"/>
            <w:left w:val="none" w:sz="0" w:space="0" w:color="auto"/>
            <w:bottom w:val="none" w:sz="0" w:space="0" w:color="auto"/>
            <w:right w:val="none" w:sz="0" w:space="0" w:color="auto"/>
          </w:divBdr>
        </w:div>
        <w:div w:id="9727019">
          <w:marLeft w:val="0"/>
          <w:marRight w:val="0"/>
          <w:marTop w:val="0"/>
          <w:marBottom w:val="0"/>
          <w:divBdr>
            <w:top w:val="none" w:sz="0" w:space="0" w:color="auto"/>
            <w:left w:val="none" w:sz="0" w:space="0" w:color="auto"/>
            <w:bottom w:val="none" w:sz="0" w:space="0" w:color="auto"/>
            <w:right w:val="none" w:sz="0" w:space="0" w:color="auto"/>
          </w:divBdr>
        </w:div>
        <w:div w:id="1711494919">
          <w:marLeft w:val="0"/>
          <w:marRight w:val="0"/>
          <w:marTop w:val="0"/>
          <w:marBottom w:val="0"/>
          <w:divBdr>
            <w:top w:val="none" w:sz="0" w:space="0" w:color="auto"/>
            <w:left w:val="none" w:sz="0" w:space="0" w:color="auto"/>
            <w:bottom w:val="none" w:sz="0" w:space="0" w:color="auto"/>
            <w:right w:val="none" w:sz="0" w:space="0" w:color="auto"/>
          </w:divBdr>
        </w:div>
        <w:div w:id="1234851639">
          <w:marLeft w:val="0"/>
          <w:marRight w:val="0"/>
          <w:marTop w:val="0"/>
          <w:marBottom w:val="0"/>
          <w:divBdr>
            <w:top w:val="none" w:sz="0" w:space="0" w:color="auto"/>
            <w:left w:val="none" w:sz="0" w:space="0" w:color="auto"/>
            <w:bottom w:val="none" w:sz="0" w:space="0" w:color="auto"/>
            <w:right w:val="none" w:sz="0" w:space="0" w:color="auto"/>
          </w:divBdr>
        </w:div>
        <w:div w:id="2086758018">
          <w:marLeft w:val="0"/>
          <w:marRight w:val="0"/>
          <w:marTop w:val="0"/>
          <w:marBottom w:val="0"/>
          <w:divBdr>
            <w:top w:val="none" w:sz="0" w:space="0" w:color="auto"/>
            <w:left w:val="none" w:sz="0" w:space="0" w:color="auto"/>
            <w:bottom w:val="none" w:sz="0" w:space="0" w:color="auto"/>
            <w:right w:val="none" w:sz="0" w:space="0" w:color="auto"/>
          </w:divBdr>
        </w:div>
        <w:div w:id="670722120">
          <w:marLeft w:val="0"/>
          <w:marRight w:val="0"/>
          <w:marTop w:val="0"/>
          <w:marBottom w:val="0"/>
          <w:divBdr>
            <w:top w:val="none" w:sz="0" w:space="0" w:color="auto"/>
            <w:left w:val="none" w:sz="0" w:space="0" w:color="auto"/>
            <w:bottom w:val="none" w:sz="0" w:space="0" w:color="auto"/>
            <w:right w:val="none" w:sz="0" w:space="0" w:color="auto"/>
          </w:divBdr>
        </w:div>
        <w:div w:id="849952526">
          <w:marLeft w:val="0"/>
          <w:marRight w:val="0"/>
          <w:marTop w:val="0"/>
          <w:marBottom w:val="0"/>
          <w:divBdr>
            <w:top w:val="none" w:sz="0" w:space="0" w:color="auto"/>
            <w:left w:val="none" w:sz="0" w:space="0" w:color="auto"/>
            <w:bottom w:val="none" w:sz="0" w:space="0" w:color="auto"/>
            <w:right w:val="none" w:sz="0" w:space="0" w:color="auto"/>
          </w:divBdr>
        </w:div>
        <w:div w:id="475880901">
          <w:marLeft w:val="0"/>
          <w:marRight w:val="0"/>
          <w:marTop w:val="0"/>
          <w:marBottom w:val="0"/>
          <w:divBdr>
            <w:top w:val="none" w:sz="0" w:space="0" w:color="auto"/>
            <w:left w:val="none" w:sz="0" w:space="0" w:color="auto"/>
            <w:bottom w:val="none" w:sz="0" w:space="0" w:color="auto"/>
            <w:right w:val="none" w:sz="0" w:space="0" w:color="auto"/>
          </w:divBdr>
        </w:div>
        <w:div w:id="1758676457">
          <w:marLeft w:val="0"/>
          <w:marRight w:val="0"/>
          <w:marTop w:val="0"/>
          <w:marBottom w:val="0"/>
          <w:divBdr>
            <w:top w:val="none" w:sz="0" w:space="0" w:color="auto"/>
            <w:left w:val="none" w:sz="0" w:space="0" w:color="auto"/>
            <w:bottom w:val="none" w:sz="0" w:space="0" w:color="auto"/>
            <w:right w:val="none" w:sz="0" w:space="0" w:color="auto"/>
          </w:divBdr>
        </w:div>
        <w:div w:id="490947828">
          <w:marLeft w:val="0"/>
          <w:marRight w:val="0"/>
          <w:marTop w:val="0"/>
          <w:marBottom w:val="0"/>
          <w:divBdr>
            <w:top w:val="none" w:sz="0" w:space="0" w:color="auto"/>
            <w:left w:val="none" w:sz="0" w:space="0" w:color="auto"/>
            <w:bottom w:val="none" w:sz="0" w:space="0" w:color="auto"/>
            <w:right w:val="none" w:sz="0" w:space="0" w:color="auto"/>
          </w:divBdr>
        </w:div>
        <w:div w:id="1733849412">
          <w:marLeft w:val="0"/>
          <w:marRight w:val="0"/>
          <w:marTop w:val="0"/>
          <w:marBottom w:val="0"/>
          <w:divBdr>
            <w:top w:val="none" w:sz="0" w:space="0" w:color="auto"/>
            <w:left w:val="none" w:sz="0" w:space="0" w:color="auto"/>
            <w:bottom w:val="none" w:sz="0" w:space="0" w:color="auto"/>
            <w:right w:val="none" w:sz="0" w:space="0" w:color="auto"/>
          </w:divBdr>
        </w:div>
        <w:div w:id="1793086680">
          <w:marLeft w:val="0"/>
          <w:marRight w:val="0"/>
          <w:marTop w:val="0"/>
          <w:marBottom w:val="0"/>
          <w:divBdr>
            <w:top w:val="none" w:sz="0" w:space="0" w:color="auto"/>
            <w:left w:val="none" w:sz="0" w:space="0" w:color="auto"/>
            <w:bottom w:val="none" w:sz="0" w:space="0" w:color="auto"/>
            <w:right w:val="none" w:sz="0" w:space="0" w:color="auto"/>
          </w:divBdr>
        </w:div>
        <w:div w:id="27525730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50619279">
      <w:bodyDiv w:val="1"/>
      <w:marLeft w:val="0"/>
      <w:marRight w:val="0"/>
      <w:marTop w:val="0"/>
      <w:marBottom w:val="0"/>
      <w:divBdr>
        <w:top w:val="none" w:sz="0" w:space="0" w:color="auto"/>
        <w:left w:val="none" w:sz="0" w:space="0" w:color="auto"/>
        <w:bottom w:val="none" w:sz="0" w:space="0" w:color="auto"/>
        <w:right w:val="none" w:sz="0" w:space="0" w:color="auto"/>
      </w:divBdr>
      <w:divsChild>
        <w:div w:id="1259407169">
          <w:marLeft w:val="0"/>
          <w:marRight w:val="0"/>
          <w:marTop w:val="0"/>
          <w:marBottom w:val="0"/>
          <w:divBdr>
            <w:top w:val="none" w:sz="0" w:space="0" w:color="auto"/>
            <w:left w:val="none" w:sz="0" w:space="0" w:color="auto"/>
            <w:bottom w:val="none" w:sz="0" w:space="0" w:color="auto"/>
            <w:right w:val="none" w:sz="0" w:space="0" w:color="auto"/>
          </w:divBdr>
        </w:div>
        <w:div w:id="1505853038">
          <w:marLeft w:val="0"/>
          <w:marRight w:val="0"/>
          <w:marTop w:val="0"/>
          <w:marBottom w:val="0"/>
          <w:divBdr>
            <w:top w:val="none" w:sz="0" w:space="0" w:color="auto"/>
            <w:left w:val="none" w:sz="0" w:space="0" w:color="auto"/>
            <w:bottom w:val="none" w:sz="0" w:space="0" w:color="auto"/>
            <w:right w:val="none" w:sz="0" w:space="0" w:color="auto"/>
          </w:divBdr>
        </w:div>
        <w:div w:id="1670644579">
          <w:marLeft w:val="0"/>
          <w:marRight w:val="0"/>
          <w:marTop w:val="0"/>
          <w:marBottom w:val="0"/>
          <w:divBdr>
            <w:top w:val="none" w:sz="0" w:space="0" w:color="auto"/>
            <w:left w:val="none" w:sz="0" w:space="0" w:color="auto"/>
            <w:bottom w:val="none" w:sz="0" w:space="0" w:color="auto"/>
            <w:right w:val="none" w:sz="0" w:space="0" w:color="auto"/>
          </w:divBdr>
        </w:div>
        <w:div w:id="1751001576">
          <w:marLeft w:val="0"/>
          <w:marRight w:val="0"/>
          <w:marTop w:val="0"/>
          <w:marBottom w:val="0"/>
          <w:divBdr>
            <w:top w:val="none" w:sz="0" w:space="0" w:color="auto"/>
            <w:left w:val="none" w:sz="0" w:space="0" w:color="auto"/>
            <w:bottom w:val="none" w:sz="0" w:space="0" w:color="auto"/>
            <w:right w:val="none" w:sz="0" w:space="0" w:color="auto"/>
          </w:divBdr>
        </w:div>
        <w:div w:id="863596925">
          <w:marLeft w:val="0"/>
          <w:marRight w:val="0"/>
          <w:marTop w:val="0"/>
          <w:marBottom w:val="0"/>
          <w:divBdr>
            <w:top w:val="none" w:sz="0" w:space="0" w:color="auto"/>
            <w:left w:val="none" w:sz="0" w:space="0" w:color="auto"/>
            <w:bottom w:val="none" w:sz="0" w:space="0" w:color="auto"/>
            <w:right w:val="none" w:sz="0" w:space="0" w:color="auto"/>
          </w:divBdr>
        </w:div>
        <w:div w:id="60102064">
          <w:marLeft w:val="0"/>
          <w:marRight w:val="0"/>
          <w:marTop w:val="0"/>
          <w:marBottom w:val="0"/>
          <w:divBdr>
            <w:top w:val="none" w:sz="0" w:space="0" w:color="auto"/>
            <w:left w:val="none" w:sz="0" w:space="0" w:color="auto"/>
            <w:bottom w:val="none" w:sz="0" w:space="0" w:color="auto"/>
            <w:right w:val="none" w:sz="0" w:space="0" w:color="auto"/>
          </w:divBdr>
        </w:div>
        <w:div w:id="264460440">
          <w:marLeft w:val="0"/>
          <w:marRight w:val="0"/>
          <w:marTop w:val="0"/>
          <w:marBottom w:val="0"/>
          <w:divBdr>
            <w:top w:val="none" w:sz="0" w:space="0" w:color="auto"/>
            <w:left w:val="none" w:sz="0" w:space="0" w:color="auto"/>
            <w:bottom w:val="none" w:sz="0" w:space="0" w:color="auto"/>
            <w:right w:val="none" w:sz="0" w:space="0" w:color="auto"/>
          </w:divBdr>
        </w:div>
        <w:div w:id="1711802120">
          <w:marLeft w:val="0"/>
          <w:marRight w:val="0"/>
          <w:marTop w:val="0"/>
          <w:marBottom w:val="0"/>
          <w:divBdr>
            <w:top w:val="none" w:sz="0" w:space="0" w:color="auto"/>
            <w:left w:val="none" w:sz="0" w:space="0" w:color="auto"/>
            <w:bottom w:val="none" w:sz="0" w:space="0" w:color="auto"/>
            <w:right w:val="none" w:sz="0" w:space="0" w:color="auto"/>
          </w:divBdr>
        </w:div>
        <w:div w:id="1220896499">
          <w:marLeft w:val="0"/>
          <w:marRight w:val="0"/>
          <w:marTop w:val="0"/>
          <w:marBottom w:val="0"/>
          <w:divBdr>
            <w:top w:val="none" w:sz="0" w:space="0" w:color="auto"/>
            <w:left w:val="none" w:sz="0" w:space="0" w:color="auto"/>
            <w:bottom w:val="none" w:sz="0" w:space="0" w:color="auto"/>
            <w:right w:val="none" w:sz="0" w:space="0" w:color="auto"/>
          </w:divBdr>
        </w:div>
        <w:div w:id="580287468">
          <w:marLeft w:val="0"/>
          <w:marRight w:val="0"/>
          <w:marTop w:val="0"/>
          <w:marBottom w:val="0"/>
          <w:divBdr>
            <w:top w:val="none" w:sz="0" w:space="0" w:color="auto"/>
            <w:left w:val="none" w:sz="0" w:space="0" w:color="auto"/>
            <w:bottom w:val="none" w:sz="0" w:space="0" w:color="auto"/>
            <w:right w:val="none" w:sz="0" w:space="0" w:color="auto"/>
          </w:divBdr>
        </w:div>
        <w:div w:id="1113522441">
          <w:marLeft w:val="0"/>
          <w:marRight w:val="0"/>
          <w:marTop w:val="0"/>
          <w:marBottom w:val="0"/>
          <w:divBdr>
            <w:top w:val="none" w:sz="0" w:space="0" w:color="auto"/>
            <w:left w:val="none" w:sz="0" w:space="0" w:color="auto"/>
            <w:bottom w:val="none" w:sz="0" w:space="0" w:color="auto"/>
            <w:right w:val="none" w:sz="0" w:space="0" w:color="auto"/>
          </w:divBdr>
        </w:div>
        <w:div w:id="1028749911">
          <w:marLeft w:val="0"/>
          <w:marRight w:val="0"/>
          <w:marTop w:val="0"/>
          <w:marBottom w:val="0"/>
          <w:divBdr>
            <w:top w:val="none" w:sz="0" w:space="0" w:color="auto"/>
            <w:left w:val="none" w:sz="0" w:space="0" w:color="auto"/>
            <w:bottom w:val="none" w:sz="0" w:space="0" w:color="auto"/>
            <w:right w:val="none" w:sz="0" w:space="0" w:color="auto"/>
          </w:divBdr>
        </w:div>
        <w:div w:id="2126609318">
          <w:marLeft w:val="0"/>
          <w:marRight w:val="0"/>
          <w:marTop w:val="0"/>
          <w:marBottom w:val="0"/>
          <w:divBdr>
            <w:top w:val="none" w:sz="0" w:space="0" w:color="auto"/>
            <w:left w:val="none" w:sz="0" w:space="0" w:color="auto"/>
            <w:bottom w:val="none" w:sz="0" w:space="0" w:color="auto"/>
            <w:right w:val="none" w:sz="0" w:space="0" w:color="auto"/>
          </w:divBdr>
        </w:div>
        <w:div w:id="1214804585">
          <w:marLeft w:val="0"/>
          <w:marRight w:val="0"/>
          <w:marTop w:val="0"/>
          <w:marBottom w:val="0"/>
          <w:divBdr>
            <w:top w:val="none" w:sz="0" w:space="0" w:color="auto"/>
            <w:left w:val="none" w:sz="0" w:space="0" w:color="auto"/>
            <w:bottom w:val="none" w:sz="0" w:space="0" w:color="auto"/>
            <w:right w:val="none" w:sz="0" w:space="0" w:color="auto"/>
          </w:divBdr>
        </w:div>
        <w:div w:id="1499423867">
          <w:marLeft w:val="0"/>
          <w:marRight w:val="0"/>
          <w:marTop w:val="0"/>
          <w:marBottom w:val="0"/>
          <w:divBdr>
            <w:top w:val="none" w:sz="0" w:space="0" w:color="auto"/>
            <w:left w:val="none" w:sz="0" w:space="0" w:color="auto"/>
            <w:bottom w:val="none" w:sz="0" w:space="0" w:color="auto"/>
            <w:right w:val="none" w:sz="0" w:space="0" w:color="auto"/>
          </w:divBdr>
        </w:div>
        <w:div w:id="1757282875">
          <w:marLeft w:val="0"/>
          <w:marRight w:val="0"/>
          <w:marTop w:val="0"/>
          <w:marBottom w:val="0"/>
          <w:divBdr>
            <w:top w:val="none" w:sz="0" w:space="0" w:color="auto"/>
            <w:left w:val="none" w:sz="0" w:space="0" w:color="auto"/>
            <w:bottom w:val="none" w:sz="0" w:space="0" w:color="auto"/>
            <w:right w:val="none" w:sz="0" w:space="0" w:color="auto"/>
          </w:divBdr>
        </w:div>
        <w:div w:id="209850412">
          <w:marLeft w:val="0"/>
          <w:marRight w:val="0"/>
          <w:marTop w:val="0"/>
          <w:marBottom w:val="0"/>
          <w:divBdr>
            <w:top w:val="none" w:sz="0" w:space="0" w:color="auto"/>
            <w:left w:val="none" w:sz="0" w:space="0" w:color="auto"/>
            <w:bottom w:val="none" w:sz="0" w:space="0" w:color="auto"/>
            <w:right w:val="none" w:sz="0" w:space="0" w:color="auto"/>
          </w:divBdr>
        </w:div>
        <w:div w:id="1645309210">
          <w:marLeft w:val="0"/>
          <w:marRight w:val="0"/>
          <w:marTop w:val="0"/>
          <w:marBottom w:val="0"/>
          <w:divBdr>
            <w:top w:val="none" w:sz="0" w:space="0" w:color="auto"/>
            <w:left w:val="none" w:sz="0" w:space="0" w:color="auto"/>
            <w:bottom w:val="none" w:sz="0" w:space="0" w:color="auto"/>
            <w:right w:val="none" w:sz="0" w:space="0" w:color="auto"/>
          </w:divBdr>
        </w:div>
        <w:div w:id="382683908">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96171205">
      <w:bodyDiv w:val="1"/>
      <w:marLeft w:val="0"/>
      <w:marRight w:val="0"/>
      <w:marTop w:val="0"/>
      <w:marBottom w:val="0"/>
      <w:divBdr>
        <w:top w:val="none" w:sz="0" w:space="0" w:color="auto"/>
        <w:left w:val="none" w:sz="0" w:space="0" w:color="auto"/>
        <w:bottom w:val="none" w:sz="0" w:space="0" w:color="auto"/>
        <w:right w:val="none" w:sz="0" w:space="0" w:color="auto"/>
      </w:divBdr>
      <w:divsChild>
        <w:div w:id="1530684646">
          <w:marLeft w:val="0"/>
          <w:marRight w:val="0"/>
          <w:marTop w:val="240"/>
          <w:marBottom w:val="480"/>
          <w:divBdr>
            <w:top w:val="none" w:sz="0" w:space="0" w:color="auto"/>
            <w:left w:val="none" w:sz="0" w:space="0" w:color="auto"/>
            <w:bottom w:val="none" w:sz="0" w:space="0" w:color="auto"/>
            <w:right w:val="none" w:sz="0" w:space="0" w:color="auto"/>
          </w:divBdr>
          <w:divsChild>
            <w:div w:id="620503922">
              <w:marLeft w:val="0"/>
              <w:marRight w:val="0"/>
              <w:marTop w:val="0"/>
              <w:marBottom w:val="0"/>
              <w:divBdr>
                <w:top w:val="none" w:sz="0" w:space="0" w:color="auto"/>
                <w:left w:val="none" w:sz="0" w:space="0" w:color="auto"/>
                <w:bottom w:val="none" w:sz="0" w:space="0" w:color="auto"/>
                <w:right w:val="none" w:sz="0" w:space="0" w:color="auto"/>
              </w:divBdr>
              <w:divsChild>
                <w:div w:id="1503354157">
                  <w:marLeft w:val="0"/>
                  <w:marRight w:val="0"/>
                  <w:marTop w:val="0"/>
                  <w:marBottom w:val="0"/>
                  <w:divBdr>
                    <w:top w:val="none" w:sz="0" w:space="0" w:color="auto"/>
                    <w:left w:val="none" w:sz="0" w:space="0" w:color="auto"/>
                    <w:bottom w:val="none" w:sz="0" w:space="0" w:color="auto"/>
                    <w:right w:val="none" w:sz="0" w:space="0" w:color="auto"/>
                  </w:divBdr>
                  <w:divsChild>
                    <w:div w:id="5292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da.gov/downloads/BiologicsBloodVaccines/Vaccines/ApprovedProducts/UCM4347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8249</Words>
  <Characters>47873</Characters>
  <Application>Microsoft Office Word</Application>
  <DocSecurity>0</DocSecurity>
  <Lines>398</Lines>
  <Paragraphs>112</Paragraphs>
  <ScaleCrop>false</ScaleCrop>
  <LinksUpToDate>false</LinksUpToDate>
  <CharactersWithSpaces>56010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2017-12-21T05:40:00Z</dcterms:created>
  <dcterms:modified xsi:type="dcterms:W3CDTF">2017-12-21T05:41:00Z</dcterms:modified>
</cp:coreProperties>
</file>