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06" w:rsidRPr="006D1DDF" w:rsidRDefault="00CB0C06" w:rsidP="00207D00">
      <w:pPr>
        <w:pStyle w:val="Heading1"/>
        <w:rPr>
          <w:sz w:val="28"/>
          <w:lang w:val="en-GB"/>
        </w:rPr>
      </w:pPr>
      <w:bookmarkStart w:id="0" w:name="_Toc419724901"/>
      <w:r w:rsidRPr="006D1DDF">
        <w:rPr>
          <w:sz w:val="28"/>
          <w:lang w:val="en-GB"/>
        </w:rPr>
        <w:t>5.07</w:t>
      </w:r>
      <w:r w:rsidRPr="006D1DDF">
        <w:rPr>
          <w:sz w:val="28"/>
          <w:lang w:val="en-GB"/>
        </w:rPr>
        <w:tab/>
        <w:t xml:space="preserve">IBRUTINIB, </w:t>
      </w:r>
      <w:r w:rsidRPr="006D1DDF">
        <w:rPr>
          <w:caps w:val="0"/>
          <w:sz w:val="28"/>
          <w:lang w:val="en-GB"/>
        </w:rPr>
        <w:t>oral capsule</w:t>
      </w:r>
      <w:r w:rsidRPr="006D1DDF">
        <w:rPr>
          <w:sz w:val="28"/>
          <w:lang w:val="en-GB"/>
        </w:rPr>
        <w:t xml:space="preserve">, </w:t>
      </w:r>
      <w:r w:rsidRPr="006D1DDF">
        <w:rPr>
          <w:caps w:val="0"/>
          <w:sz w:val="28"/>
          <w:lang w:val="en-GB"/>
        </w:rPr>
        <w:t>140mg</w:t>
      </w:r>
      <w:r w:rsidRPr="006D1DDF">
        <w:rPr>
          <w:sz w:val="28"/>
          <w:lang w:val="en-GB"/>
        </w:rPr>
        <w:t xml:space="preserve">, </w:t>
      </w:r>
      <w:r w:rsidRPr="006D1DDF">
        <w:rPr>
          <w:caps w:val="0"/>
          <w:sz w:val="28"/>
          <w:lang w:val="en-GB"/>
        </w:rPr>
        <w:t>Imbruvica</w:t>
      </w:r>
      <w:r w:rsidRPr="006D1DDF">
        <w:rPr>
          <w:sz w:val="28"/>
          <w:vertAlign w:val="superscript"/>
          <w:lang w:val="en-GB"/>
        </w:rPr>
        <w:t>®</w:t>
      </w:r>
      <w:r w:rsidRPr="006D1DDF">
        <w:rPr>
          <w:sz w:val="28"/>
          <w:lang w:val="en-GB"/>
        </w:rPr>
        <w:t xml:space="preserve">, </w:t>
      </w:r>
      <w:r w:rsidRPr="006D1DDF">
        <w:rPr>
          <w:caps w:val="0"/>
          <w:sz w:val="28"/>
          <w:lang w:val="en-GB"/>
        </w:rPr>
        <w:t>Janssen-Cilag Pty Ltd</w:t>
      </w:r>
      <w:r w:rsidRPr="006D1DDF">
        <w:rPr>
          <w:sz w:val="28"/>
          <w:lang w:val="en-GB"/>
        </w:rPr>
        <w:t>.</w:t>
      </w:r>
      <w:bookmarkEnd w:id="0"/>
    </w:p>
    <w:p w:rsidR="00CB0C06" w:rsidRPr="006D1DDF" w:rsidRDefault="00CB0C06" w:rsidP="00207D00">
      <w:pPr>
        <w:rPr>
          <w:lang w:val="en-GB"/>
        </w:rPr>
      </w:pPr>
    </w:p>
    <w:p w:rsidR="00CB0C06" w:rsidRPr="006D1DDF" w:rsidRDefault="00CB0C06" w:rsidP="006730D0">
      <w:pPr>
        <w:pStyle w:val="PBACHeading1"/>
        <w:rPr>
          <w:lang w:val="en-GB"/>
        </w:rPr>
      </w:pPr>
      <w:bookmarkStart w:id="1" w:name="_Toc419724903"/>
      <w:r w:rsidRPr="006D1DDF">
        <w:rPr>
          <w:lang w:val="en-GB"/>
        </w:rPr>
        <w:t>Purpose of Application</w:t>
      </w:r>
      <w:bookmarkEnd w:id="1"/>
    </w:p>
    <w:p w:rsidR="00CB0C06" w:rsidRPr="006D1DDF" w:rsidRDefault="00CB0C06" w:rsidP="00B60939">
      <w:pPr>
        <w:rPr>
          <w:szCs w:val="22"/>
          <w:lang w:val="en-GB"/>
        </w:rPr>
      </w:pPr>
    </w:p>
    <w:p w:rsidR="00CB0C06" w:rsidRPr="006D1DDF" w:rsidRDefault="00CB0C06" w:rsidP="00A26E51">
      <w:pPr>
        <w:pStyle w:val="ListParagraph"/>
        <w:widowControl/>
        <w:numPr>
          <w:ilvl w:val="1"/>
          <w:numId w:val="7"/>
        </w:numPr>
        <w:rPr>
          <w:lang w:val="en-GB"/>
        </w:rPr>
      </w:pPr>
      <w:r w:rsidRPr="006D1DDF">
        <w:rPr>
          <w:lang w:val="en-GB"/>
        </w:rPr>
        <w:t xml:space="preserve">The submission requested Section 85, Authority Required listing for ibrutinib for the treatment of relapsed or refractory chronic lymphocytic leukaemia (CLL) and small lymphocytic lymphoma (SLL). </w:t>
      </w:r>
    </w:p>
    <w:p w:rsidR="00153E71" w:rsidRPr="006D1DDF" w:rsidRDefault="00153E71" w:rsidP="004B1CB4">
      <w:pPr>
        <w:rPr>
          <w:lang w:val="en-GB"/>
        </w:rPr>
      </w:pPr>
    </w:p>
    <w:p w:rsidR="00CB0C06" w:rsidRPr="006D1DDF" w:rsidRDefault="00CB0C06" w:rsidP="009C2E55">
      <w:pPr>
        <w:pStyle w:val="PBACHeading1"/>
        <w:rPr>
          <w:lang w:val="en-GB"/>
        </w:rPr>
      </w:pPr>
      <w:bookmarkStart w:id="2" w:name="_Toc419724904"/>
      <w:r w:rsidRPr="006D1DDF">
        <w:rPr>
          <w:lang w:val="en-GB"/>
        </w:rPr>
        <w:t>Requested listing</w:t>
      </w:r>
      <w:bookmarkEnd w:id="2"/>
    </w:p>
    <w:p w:rsidR="00CB0C06" w:rsidRPr="006D1DDF" w:rsidRDefault="00CB0C06" w:rsidP="004B1CB4">
      <w:pPr>
        <w:rPr>
          <w:lang w:val="en-GB"/>
        </w:rPr>
      </w:pPr>
    </w:p>
    <w:p w:rsidR="00CB0C06" w:rsidRPr="006D1DDF" w:rsidRDefault="00CB0C06" w:rsidP="00805185">
      <w:pPr>
        <w:pStyle w:val="ListParagraph"/>
        <w:widowControl/>
        <w:numPr>
          <w:ilvl w:val="1"/>
          <w:numId w:val="7"/>
        </w:numPr>
        <w:rPr>
          <w:lang w:val="en-GB"/>
        </w:rPr>
      </w:pPr>
      <w:r w:rsidRPr="006D1DDF">
        <w:rPr>
          <w:rFonts w:eastAsia="SimSun"/>
          <w:iCs/>
          <w:color w:val="000000"/>
          <w:szCs w:val="22"/>
        </w:rPr>
        <w:t>Suggestions and additions proposed by the Secretariat to the requested listing are added in italics and suggested deletions are crossed out with strikethrough.</w:t>
      </w:r>
    </w:p>
    <w:p w:rsidR="00CB0C06" w:rsidRPr="006D1DDF" w:rsidRDefault="00CB0C06" w:rsidP="00864361">
      <w:pPr>
        <w:widowControl/>
        <w:jc w:val="left"/>
        <w:rPr>
          <w:i/>
          <w:szCs w:val="22"/>
          <w:lang w:eastAsia="en-AU"/>
        </w:rPr>
      </w:pPr>
    </w:p>
    <w:tbl>
      <w:tblPr>
        <w:tblW w:w="4595" w:type="pct"/>
        <w:tblInd w:w="736" w:type="dxa"/>
        <w:tblCellMar>
          <w:left w:w="28" w:type="dxa"/>
          <w:right w:w="28" w:type="dxa"/>
        </w:tblCellMar>
        <w:tblLook w:val="0000" w:firstRow="0" w:lastRow="0" w:firstColumn="0" w:lastColumn="0" w:noHBand="0" w:noVBand="0"/>
      </w:tblPr>
      <w:tblGrid>
        <w:gridCol w:w="2241"/>
        <w:gridCol w:w="247"/>
        <w:gridCol w:w="509"/>
        <w:gridCol w:w="546"/>
        <w:gridCol w:w="1588"/>
        <w:gridCol w:w="197"/>
        <w:gridCol w:w="1356"/>
        <w:gridCol w:w="1663"/>
      </w:tblGrid>
      <w:tr w:rsidR="00CB0C06" w:rsidRPr="006D1DDF" w:rsidTr="006F6F59">
        <w:trPr>
          <w:cantSplit/>
          <w:trHeight w:val="471"/>
        </w:trPr>
        <w:tc>
          <w:tcPr>
            <w:tcW w:w="1491" w:type="pct"/>
            <w:gridSpan w:val="2"/>
            <w:tcBorders>
              <w:bottom w:val="single" w:sz="4" w:space="0" w:color="auto"/>
            </w:tcBorders>
          </w:tcPr>
          <w:p w:rsidR="00CB0C06" w:rsidRPr="00EC4A34" w:rsidRDefault="00CB0C06" w:rsidP="00056A73">
            <w:pPr>
              <w:keepNext/>
              <w:widowControl/>
              <w:rPr>
                <w:rFonts w:ascii="Arial Narrow" w:hAnsi="Arial Narrow"/>
                <w:sz w:val="20"/>
              </w:rPr>
            </w:pPr>
            <w:r w:rsidRPr="00EC4A34">
              <w:rPr>
                <w:rFonts w:ascii="Arial Narrow" w:hAnsi="Arial Narrow"/>
                <w:sz w:val="20"/>
              </w:rPr>
              <w:t>Name, Restriction,</w:t>
            </w:r>
          </w:p>
          <w:p w:rsidR="00CB0C06" w:rsidRPr="00EC4A34" w:rsidRDefault="00CB0C06" w:rsidP="00056A73">
            <w:pPr>
              <w:keepNext/>
              <w:widowControl/>
              <w:rPr>
                <w:rFonts w:ascii="Arial Narrow" w:hAnsi="Arial Narrow"/>
                <w:sz w:val="20"/>
              </w:rPr>
            </w:pPr>
            <w:r w:rsidRPr="00EC4A34">
              <w:rPr>
                <w:rFonts w:ascii="Arial Narrow" w:hAnsi="Arial Narrow"/>
                <w:sz w:val="20"/>
              </w:rPr>
              <w:t>Manner of administration and form</w:t>
            </w:r>
          </w:p>
        </w:tc>
        <w:tc>
          <w:tcPr>
            <w:tcW w:w="305" w:type="pct"/>
            <w:tcBorders>
              <w:bottom w:val="single" w:sz="4" w:space="0" w:color="auto"/>
            </w:tcBorders>
          </w:tcPr>
          <w:p w:rsidR="00CB0C06" w:rsidRPr="00EC4A34" w:rsidRDefault="00CB0C06" w:rsidP="00056A73">
            <w:pPr>
              <w:keepNext/>
              <w:widowControl/>
              <w:jc w:val="center"/>
              <w:rPr>
                <w:rFonts w:ascii="Arial Narrow" w:hAnsi="Arial Narrow"/>
                <w:sz w:val="20"/>
              </w:rPr>
            </w:pPr>
            <w:r w:rsidRPr="00EC4A34">
              <w:rPr>
                <w:rFonts w:ascii="Arial Narrow" w:hAnsi="Arial Narrow"/>
                <w:sz w:val="20"/>
              </w:rPr>
              <w:t>Max.</w:t>
            </w:r>
          </w:p>
          <w:p w:rsidR="00CB0C06" w:rsidRPr="00EC4A34" w:rsidRDefault="00CB0C06" w:rsidP="00056A73">
            <w:pPr>
              <w:keepNext/>
              <w:widowControl/>
              <w:jc w:val="center"/>
              <w:rPr>
                <w:rFonts w:ascii="Arial Narrow" w:hAnsi="Arial Narrow"/>
                <w:sz w:val="20"/>
              </w:rPr>
            </w:pPr>
            <w:r w:rsidRPr="00EC4A34">
              <w:rPr>
                <w:rFonts w:ascii="Arial Narrow" w:hAnsi="Arial Narrow"/>
                <w:sz w:val="20"/>
              </w:rPr>
              <w:t>Qty</w:t>
            </w:r>
          </w:p>
        </w:tc>
        <w:tc>
          <w:tcPr>
            <w:tcW w:w="327" w:type="pct"/>
            <w:tcBorders>
              <w:bottom w:val="single" w:sz="4" w:space="0" w:color="auto"/>
            </w:tcBorders>
          </w:tcPr>
          <w:p w:rsidR="00CB0C06" w:rsidRPr="00EC4A34" w:rsidRDefault="00CB0C06" w:rsidP="00056A73">
            <w:pPr>
              <w:keepNext/>
              <w:widowControl/>
              <w:jc w:val="center"/>
              <w:rPr>
                <w:rFonts w:ascii="Arial Narrow" w:hAnsi="Arial Narrow"/>
                <w:sz w:val="20"/>
              </w:rPr>
            </w:pPr>
            <w:r w:rsidRPr="00EC4A34">
              <w:rPr>
                <w:rFonts w:ascii="Arial Narrow" w:hAnsi="Arial Narrow"/>
                <w:sz w:val="20"/>
              </w:rPr>
              <w:t>№.of</w:t>
            </w:r>
          </w:p>
          <w:p w:rsidR="00CB0C06" w:rsidRPr="00EC4A34" w:rsidRDefault="00CB0C06" w:rsidP="00056A73">
            <w:pPr>
              <w:keepNext/>
              <w:widowControl/>
              <w:jc w:val="center"/>
              <w:rPr>
                <w:rFonts w:ascii="Arial Narrow" w:hAnsi="Arial Narrow"/>
                <w:sz w:val="20"/>
              </w:rPr>
            </w:pPr>
            <w:r w:rsidRPr="00EC4A34">
              <w:rPr>
                <w:rFonts w:ascii="Arial Narrow" w:hAnsi="Arial Narrow"/>
                <w:sz w:val="20"/>
              </w:rPr>
              <w:t>Rpts</w:t>
            </w:r>
          </w:p>
        </w:tc>
        <w:tc>
          <w:tcPr>
            <w:tcW w:w="951" w:type="pct"/>
            <w:tcBorders>
              <w:bottom w:val="single" w:sz="4" w:space="0" w:color="auto"/>
            </w:tcBorders>
          </w:tcPr>
          <w:p w:rsidR="00CB0C06" w:rsidRPr="00EC4A34" w:rsidRDefault="00CB0C06" w:rsidP="00056A73">
            <w:pPr>
              <w:keepNext/>
              <w:widowControl/>
              <w:jc w:val="center"/>
              <w:rPr>
                <w:rFonts w:ascii="Arial Narrow" w:hAnsi="Arial Narrow"/>
                <w:sz w:val="20"/>
              </w:rPr>
            </w:pPr>
            <w:r w:rsidRPr="00EC4A34">
              <w:rPr>
                <w:rFonts w:ascii="Arial Narrow" w:hAnsi="Arial Narrow"/>
                <w:sz w:val="20"/>
              </w:rPr>
              <w:t>Dispensed Price for Max. Qty</w:t>
            </w:r>
          </w:p>
        </w:tc>
        <w:tc>
          <w:tcPr>
            <w:tcW w:w="1926" w:type="pct"/>
            <w:gridSpan w:val="3"/>
            <w:tcBorders>
              <w:bottom w:val="single" w:sz="4" w:space="0" w:color="auto"/>
            </w:tcBorders>
          </w:tcPr>
          <w:p w:rsidR="00CB0C06" w:rsidRPr="00EC4A34" w:rsidRDefault="00CB0C06" w:rsidP="00056A73">
            <w:pPr>
              <w:keepNext/>
              <w:widowControl/>
              <w:jc w:val="center"/>
              <w:rPr>
                <w:rFonts w:ascii="Arial Narrow" w:hAnsi="Arial Narrow"/>
                <w:sz w:val="20"/>
                <w:lang w:val="fr-FR"/>
              </w:rPr>
            </w:pPr>
            <w:r w:rsidRPr="00EC4A34">
              <w:rPr>
                <w:rFonts w:ascii="Arial Narrow" w:hAnsi="Arial Narrow"/>
                <w:sz w:val="20"/>
              </w:rPr>
              <w:t>Proprietary Name and Manufacturer</w:t>
            </w:r>
          </w:p>
        </w:tc>
      </w:tr>
      <w:tr w:rsidR="00CB0C06" w:rsidRPr="006D1DDF" w:rsidTr="006F6F59">
        <w:trPr>
          <w:cantSplit/>
          <w:trHeight w:val="577"/>
        </w:trPr>
        <w:tc>
          <w:tcPr>
            <w:tcW w:w="1491" w:type="pct"/>
            <w:gridSpan w:val="2"/>
          </w:tcPr>
          <w:p w:rsidR="00CB0C06" w:rsidRPr="00EC4A34" w:rsidRDefault="00CB0C06" w:rsidP="00056A73">
            <w:pPr>
              <w:keepNext/>
              <w:widowControl/>
              <w:rPr>
                <w:rFonts w:ascii="Arial Narrow" w:hAnsi="Arial Narrow"/>
                <w:sz w:val="20"/>
              </w:rPr>
            </w:pPr>
            <w:r w:rsidRPr="00EC4A34">
              <w:rPr>
                <w:rFonts w:ascii="Arial Narrow" w:hAnsi="Arial Narrow"/>
                <w:smallCaps/>
                <w:sz w:val="20"/>
              </w:rPr>
              <w:t>ibrutinib</w:t>
            </w:r>
          </w:p>
          <w:p w:rsidR="00CB0C06" w:rsidRPr="00EC4A34" w:rsidRDefault="00CB0C06" w:rsidP="00056A73">
            <w:pPr>
              <w:keepNext/>
              <w:widowControl/>
              <w:rPr>
                <w:rFonts w:ascii="Arial Narrow" w:hAnsi="Arial Narrow"/>
                <w:sz w:val="20"/>
              </w:rPr>
            </w:pPr>
            <w:r w:rsidRPr="00EC4A34">
              <w:rPr>
                <w:rFonts w:ascii="Arial Narrow" w:hAnsi="Arial Narrow"/>
                <w:sz w:val="20"/>
              </w:rPr>
              <w:t>Capsule 140 mg</w:t>
            </w:r>
          </w:p>
        </w:tc>
        <w:tc>
          <w:tcPr>
            <w:tcW w:w="305" w:type="pct"/>
          </w:tcPr>
          <w:p w:rsidR="00CB0C06" w:rsidRPr="00EC4A34" w:rsidRDefault="00CB0C06" w:rsidP="00056A73">
            <w:pPr>
              <w:keepNext/>
              <w:widowControl/>
              <w:jc w:val="center"/>
              <w:rPr>
                <w:rFonts w:ascii="Arial Narrow" w:hAnsi="Arial Narrow"/>
                <w:sz w:val="20"/>
              </w:rPr>
            </w:pPr>
          </w:p>
          <w:p w:rsidR="00CB0C06" w:rsidRPr="00EC4A34" w:rsidRDefault="00CB0C06" w:rsidP="00056A73">
            <w:pPr>
              <w:keepNext/>
              <w:widowControl/>
              <w:jc w:val="center"/>
              <w:rPr>
                <w:rFonts w:ascii="Arial Narrow" w:hAnsi="Arial Narrow"/>
                <w:sz w:val="20"/>
              </w:rPr>
            </w:pPr>
            <w:r w:rsidRPr="00EC4A34">
              <w:rPr>
                <w:rFonts w:ascii="Arial Narrow" w:hAnsi="Arial Narrow"/>
                <w:sz w:val="20"/>
              </w:rPr>
              <w:t>3</w:t>
            </w:r>
          </w:p>
        </w:tc>
        <w:tc>
          <w:tcPr>
            <w:tcW w:w="327" w:type="pct"/>
          </w:tcPr>
          <w:p w:rsidR="00CB0C06" w:rsidRPr="00EC4A34" w:rsidRDefault="00CB0C06" w:rsidP="00056A73">
            <w:pPr>
              <w:keepNext/>
              <w:widowControl/>
              <w:jc w:val="center"/>
              <w:rPr>
                <w:rFonts w:ascii="Arial Narrow" w:hAnsi="Arial Narrow"/>
                <w:sz w:val="20"/>
              </w:rPr>
            </w:pPr>
          </w:p>
          <w:p w:rsidR="00CB0C06" w:rsidRPr="00EC4A34" w:rsidRDefault="00CB0C06" w:rsidP="00056A73">
            <w:pPr>
              <w:keepNext/>
              <w:widowControl/>
              <w:jc w:val="center"/>
              <w:rPr>
                <w:rFonts w:ascii="Arial Narrow" w:hAnsi="Arial Narrow"/>
                <w:sz w:val="20"/>
              </w:rPr>
            </w:pPr>
            <w:r w:rsidRPr="00EC4A34">
              <w:rPr>
                <w:rFonts w:ascii="Arial Narrow" w:hAnsi="Arial Narrow"/>
                <w:sz w:val="20"/>
              </w:rPr>
              <w:t>5</w:t>
            </w:r>
          </w:p>
        </w:tc>
        <w:tc>
          <w:tcPr>
            <w:tcW w:w="1069" w:type="pct"/>
            <w:gridSpan w:val="2"/>
          </w:tcPr>
          <w:p w:rsidR="00CB0C06" w:rsidRPr="00EC4A34" w:rsidRDefault="00CB0C06" w:rsidP="00056A73">
            <w:pPr>
              <w:widowControl/>
              <w:jc w:val="left"/>
              <w:rPr>
                <w:rFonts w:ascii="Arial Narrow" w:hAnsi="Arial Narrow" w:cs="Times New Roman"/>
                <w:sz w:val="20"/>
              </w:rPr>
            </w:pPr>
            <w:r w:rsidRPr="00EC4A34">
              <w:rPr>
                <w:rFonts w:ascii="Arial Narrow" w:hAnsi="Arial Narrow" w:cs="Times New Roman"/>
                <w:sz w:val="20"/>
              </w:rPr>
              <w:t xml:space="preserve">Published </w:t>
            </w:r>
            <w:r w:rsidRPr="00CE4E59">
              <w:rPr>
                <w:rFonts w:ascii="Arial Narrow" w:hAnsi="Arial Narrow" w:cs="Times New Roman"/>
                <w:sz w:val="20"/>
              </w:rPr>
              <w:t>$</w:t>
            </w:r>
            <w:r w:rsidR="0056677C">
              <w:rPr>
                <w:rFonts w:ascii="Arial Narrow" w:hAnsi="Arial Narrow" w:cs="Times New Roman"/>
                <w:noProof/>
                <w:color w:val="000000"/>
                <w:sz w:val="20"/>
                <w:highlight w:val="black"/>
              </w:rPr>
              <w:t>'''''''''''''''''''</w:t>
            </w:r>
          </w:p>
          <w:p w:rsidR="00CB0C06" w:rsidRPr="00EC4A34" w:rsidRDefault="00CB0C06" w:rsidP="00056A73">
            <w:pPr>
              <w:widowControl/>
              <w:jc w:val="left"/>
              <w:rPr>
                <w:rFonts w:ascii="Arial Narrow" w:hAnsi="Arial Narrow" w:cs="Times New Roman"/>
                <w:sz w:val="20"/>
              </w:rPr>
            </w:pPr>
            <w:r w:rsidRPr="00EC4A34">
              <w:rPr>
                <w:rFonts w:ascii="Arial Narrow" w:hAnsi="Arial Narrow" w:cs="Times New Roman"/>
                <w:sz w:val="20"/>
              </w:rPr>
              <w:t xml:space="preserve">Effective </w:t>
            </w:r>
            <w:r w:rsidRPr="00CE4E59">
              <w:rPr>
                <w:rFonts w:ascii="Arial Narrow" w:hAnsi="Arial Narrow" w:cs="Times New Roman"/>
                <w:sz w:val="20"/>
              </w:rPr>
              <w:t>$</w:t>
            </w:r>
            <w:r w:rsidR="0056677C">
              <w:rPr>
                <w:rFonts w:ascii="Arial Narrow" w:hAnsi="Arial Narrow" w:cs="Times New Roman"/>
                <w:noProof/>
                <w:color w:val="000000"/>
                <w:sz w:val="20"/>
                <w:highlight w:val="black"/>
              </w:rPr>
              <w:t>''''''''''''''''''''</w:t>
            </w:r>
          </w:p>
          <w:p w:rsidR="00CB0C06" w:rsidRPr="00EC4A34" w:rsidRDefault="00CB0C06" w:rsidP="00056A73">
            <w:pPr>
              <w:keepNext/>
              <w:widowControl/>
              <w:jc w:val="center"/>
              <w:rPr>
                <w:rFonts w:ascii="Arial Narrow" w:hAnsi="Arial Narrow"/>
                <w:sz w:val="20"/>
              </w:rPr>
            </w:pPr>
          </w:p>
        </w:tc>
        <w:tc>
          <w:tcPr>
            <w:tcW w:w="812" w:type="pct"/>
          </w:tcPr>
          <w:p w:rsidR="00CB0C06" w:rsidRPr="00EC4A34" w:rsidRDefault="00CB0C06" w:rsidP="00056A73">
            <w:pPr>
              <w:keepNext/>
              <w:widowControl/>
              <w:jc w:val="center"/>
              <w:rPr>
                <w:rFonts w:ascii="Arial Narrow" w:hAnsi="Arial Narrow"/>
                <w:sz w:val="20"/>
              </w:rPr>
            </w:pPr>
            <w:r w:rsidRPr="00EC4A34">
              <w:rPr>
                <w:rFonts w:ascii="Arial Narrow" w:hAnsi="Arial Narrow"/>
                <w:sz w:val="20"/>
              </w:rPr>
              <w:t>Imbruvica</w:t>
            </w:r>
          </w:p>
        </w:tc>
        <w:tc>
          <w:tcPr>
            <w:tcW w:w="996" w:type="pct"/>
          </w:tcPr>
          <w:p w:rsidR="00CB0C06" w:rsidRPr="006D1DDF" w:rsidRDefault="00CB0C06" w:rsidP="00056A73">
            <w:pPr>
              <w:keepNext/>
              <w:widowControl/>
              <w:jc w:val="center"/>
              <w:rPr>
                <w:sz w:val="20"/>
              </w:rPr>
            </w:pPr>
            <w:r w:rsidRPr="006D1DDF">
              <w:rPr>
                <w:sz w:val="20"/>
              </w:rPr>
              <w:t>Jansen</w:t>
            </w:r>
          </w:p>
        </w:tc>
      </w:tr>
      <w:tr w:rsidR="00CB0C06" w:rsidRPr="006D1DDF" w:rsidTr="006F6F59">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 xml:space="preserve">Category / </w:t>
            </w:r>
          </w:p>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Program</w:t>
            </w: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t>GENERAL – General Schedule (Code GE)</w:t>
            </w:r>
          </w:p>
        </w:tc>
      </w:tr>
      <w:tr w:rsidR="00CB0C06" w:rsidRPr="006D1DDF" w:rsidTr="006F6F59">
        <w:tblPrEx>
          <w:tblCellMar>
            <w:left w:w="108" w:type="dxa"/>
            <w:right w:w="108" w:type="dxa"/>
          </w:tblCellMar>
        </w:tblPrEx>
        <w:trPr>
          <w:cantSplit/>
          <w:trHeight w:val="465"/>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Prescriber type:</w:t>
            </w:r>
          </w:p>
          <w:p w:rsidR="00CB0C06" w:rsidRPr="006D1DDF" w:rsidRDefault="00CB0C06" w:rsidP="00056A73">
            <w:pPr>
              <w:widowControl/>
              <w:rPr>
                <w:rFonts w:ascii="Arial Narrow" w:hAnsi="Arial Narrow"/>
                <w:b/>
                <w:sz w:val="20"/>
                <w:lang w:eastAsia="en-AU"/>
              </w:rPr>
            </w:pP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1"/>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 xml:space="preserve">Dental  </w:t>
            </w:r>
            <w:r w:rsidRPr="006D1DDF">
              <w:rPr>
                <w:rFonts w:ascii="Arial Narrow" w:hAnsi="Arial Narrow"/>
                <w:sz w:val="20"/>
                <w:lang w:eastAsia="en-AU"/>
              </w:rPr>
              <w:fldChar w:fldCharType="begin">
                <w:ffData>
                  <w:name w:val=""/>
                  <w:enabled/>
                  <w:calcOnExit w:val="0"/>
                  <w:checkBox>
                    <w:sizeAuto/>
                    <w:default w:val="1"/>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 xml:space="preserve">Medical Practitioners  </w:t>
            </w:r>
            <w:r w:rsidRPr="006D1DDF">
              <w:rPr>
                <w:rFonts w:ascii="Arial Narrow" w:hAnsi="Arial Narrow"/>
                <w:sz w:val="20"/>
                <w:lang w:eastAsia="en-AU"/>
              </w:rPr>
              <w:fldChar w:fldCharType="begin">
                <w:ffData>
                  <w:name w:val="Check3"/>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 xml:space="preserve">Nurse practitioners  </w:t>
            </w:r>
            <w:r w:rsidRPr="006D1DDF">
              <w:rPr>
                <w:rFonts w:ascii="Arial Narrow" w:hAnsi="Arial Narrow"/>
                <w:sz w:val="20"/>
                <w:lang w:eastAsia="en-AU"/>
              </w:rPr>
              <w:fldChar w:fldCharType="begin">
                <w:ffData>
                  <w:name w:val=""/>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Optometrists</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5"/>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Midwives</w:t>
            </w:r>
          </w:p>
        </w:tc>
      </w:tr>
      <w:tr w:rsidR="00CB0C06" w:rsidRPr="006D1DDF" w:rsidTr="006F6F59">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PBS Indication:</w:t>
            </w: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jc w:val="left"/>
              <w:rPr>
                <w:rFonts w:ascii="Arial Narrow" w:hAnsi="Arial Narrow" w:cs="Times New Roman"/>
                <w:sz w:val="20"/>
                <w:szCs w:val="24"/>
                <w:lang w:eastAsia="en-AU"/>
              </w:rPr>
            </w:pPr>
            <w:r w:rsidRPr="006D1DDF">
              <w:rPr>
                <w:rFonts w:ascii="Arial Narrow" w:hAnsi="Arial Narrow" w:cs="Times New Roman"/>
                <w:sz w:val="20"/>
                <w:szCs w:val="24"/>
                <w:lang w:eastAsia="en-AU"/>
              </w:rPr>
              <w:t xml:space="preserve">Relapsed or refractory </w:t>
            </w:r>
            <w:r w:rsidRPr="006D1DDF">
              <w:rPr>
                <w:rFonts w:ascii="Arial Narrow" w:hAnsi="Arial Narrow"/>
                <w:sz w:val="20"/>
                <w:lang w:eastAsia="en-AU"/>
              </w:rPr>
              <w:t>chronic lymphocytic leukaemia</w:t>
            </w:r>
          </w:p>
        </w:tc>
      </w:tr>
      <w:tr w:rsidR="00CB0C06" w:rsidRPr="006D1DDF" w:rsidTr="006F6F59">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Restriction Level / Method:</w:t>
            </w:r>
          </w:p>
          <w:p w:rsidR="00CB0C06" w:rsidRPr="006D1DDF" w:rsidRDefault="00CB0C06" w:rsidP="00056A73">
            <w:pPr>
              <w:widowControl/>
              <w:jc w:val="left"/>
              <w:rPr>
                <w:rFonts w:ascii="Arial Narrow" w:hAnsi="Arial Narrow"/>
                <w:i/>
                <w:sz w:val="20"/>
                <w:lang w:eastAsia="en-AU"/>
              </w:rPr>
            </w:pPr>
          </w:p>
          <w:p w:rsidR="00CB0C06" w:rsidRPr="006D1DDF" w:rsidRDefault="00CB0C06" w:rsidP="00056A73">
            <w:pPr>
              <w:widowControl/>
              <w:rPr>
                <w:rFonts w:ascii="Arial Narrow" w:hAnsi="Arial Narrow"/>
                <w:i/>
                <w:sz w:val="20"/>
                <w:lang w:eastAsia="en-AU"/>
              </w:rPr>
            </w:pP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1"/>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Restricted benefit</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Authority Required - In Writing</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3"/>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Authority Required - Telephone</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Authority Required – Emergency</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5"/>
                  <w:enabled/>
                  <w:calcOnExit w:val="0"/>
                  <w:checkBox>
                    <w:sizeAuto/>
                    <w:default w:val="0"/>
                  </w:checkBox>
                </w:ffData>
              </w:fldChar>
            </w:r>
            <w:r w:rsidRPr="006D1DDF">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r w:rsidRPr="006D1DDF">
              <w:rPr>
                <w:rFonts w:ascii="Arial Narrow" w:hAnsi="Arial Narrow"/>
                <w:sz w:val="20"/>
                <w:lang w:eastAsia="en-AU"/>
              </w:rPr>
              <w:t>Authority Required - Electronic</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fldChar w:fldCharType="begin">
                <w:ffData>
                  <w:name w:val="Check5"/>
                  <w:enabled/>
                  <w:calcOnExit w:val="0"/>
                  <w:checkBox>
                    <w:sizeAuto/>
                    <w:default w:val="1"/>
                  </w:checkBox>
                </w:ffData>
              </w:fldChar>
            </w:r>
            <w:r w:rsidRPr="006D1DDF">
              <w:rPr>
                <w:rFonts w:ascii="Arial Narrow" w:hAnsi="Arial Narrow"/>
                <w:sz w:val="20"/>
                <w:lang w:eastAsia="en-AU"/>
              </w:rPr>
              <w:instrText xml:space="preserve"> </w:instrText>
            </w:r>
            <w:bookmarkStart w:id="3" w:name="Check5"/>
            <w:r w:rsidRPr="006D1DDF">
              <w:rPr>
                <w:rFonts w:ascii="Arial Narrow" w:hAnsi="Arial Narrow"/>
                <w:sz w:val="20"/>
                <w:lang w:eastAsia="en-AU"/>
              </w:rPr>
              <w:instrText xml:space="preserve">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6D1DDF">
              <w:rPr>
                <w:rFonts w:ascii="Arial Narrow" w:hAnsi="Arial Narrow"/>
                <w:sz w:val="20"/>
                <w:lang w:eastAsia="en-AU"/>
              </w:rPr>
              <w:fldChar w:fldCharType="end"/>
            </w:r>
            <w:bookmarkEnd w:id="3"/>
            <w:r w:rsidRPr="006D1DDF">
              <w:rPr>
                <w:rFonts w:ascii="Arial Narrow" w:hAnsi="Arial Narrow"/>
                <w:sz w:val="20"/>
                <w:lang w:eastAsia="en-AU"/>
              </w:rPr>
              <w:t>Streamlined</w:t>
            </w:r>
          </w:p>
        </w:tc>
      </w:tr>
      <w:tr w:rsidR="00CB0C06" w:rsidRPr="006D1DDF" w:rsidTr="006F6F59">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Clinical criteria:</w:t>
            </w:r>
          </w:p>
          <w:p w:rsidR="00CB0C06" w:rsidRPr="006D1DDF" w:rsidRDefault="00CB0C06" w:rsidP="00056A73">
            <w:pPr>
              <w:widowControl/>
              <w:rPr>
                <w:rFonts w:ascii="Arial Narrow" w:hAnsi="Arial Narrow"/>
                <w:i/>
                <w:sz w:val="20"/>
                <w:lang w:eastAsia="en-AU"/>
              </w:rPr>
            </w:pPr>
          </w:p>
          <w:p w:rsidR="00CB0C06" w:rsidRPr="006D1DDF" w:rsidRDefault="00CB0C06" w:rsidP="00056A73">
            <w:pPr>
              <w:widowControl/>
              <w:jc w:val="left"/>
              <w:rPr>
                <w:rFonts w:ascii="Arial Narrow" w:hAnsi="Arial Narrow"/>
                <w:i/>
                <w:sz w:val="20"/>
                <w:lang w:eastAsia="en-AU"/>
              </w:rPr>
            </w:pP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jc w:val="left"/>
              <w:rPr>
                <w:rFonts w:ascii="Arial Narrow" w:hAnsi="Arial Narrow"/>
                <w:color w:val="FF0000"/>
                <w:sz w:val="20"/>
                <w:lang w:eastAsia="en-AU"/>
              </w:rPr>
            </w:pPr>
            <w:r w:rsidRPr="006D1DDF">
              <w:rPr>
                <w:rFonts w:ascii="Arial Narrow" w:hAnsi="Arial Narrow"/>
                <w:sz w:val="20"/>
                <w:lang w:eastAsia="en-AU"/>
              </w:rPr>
              <w:t xml:space="preserve">The patient must have received at least one prior therapy </w:t>
            </w:r>
            <w:r w:rsidRPr="006D1DDF">
              <w:rPr>
                <w:rFonts w:ascii="Arial Narrow" w:hAnsi="Arial Narrow"/>
                <w:i/>
                <w:sz w:val="20"/>
                <w:lang w:eastAsia="en-AU"/>
              </w:rPr>
              <w:t>for this indication</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t>AND</w:t>
            </w:r>
          </w:p>
          <w:p w:rsidR="00CB0C06" w:rsidRPr="006D1DDF" w:rsidRDefault="00CB0C06" w:rsidP="00056A73">
            <w:pPr>
              <w:widowControl/>
              <w:jc w:val="left"/>
              <w:rPr>
                <w:rFonts w:ascii="Arial Narrow" w:hAnsi="Arial Narrow"/>
                <w:sz w:val="20"/>
                <w:lang w:eastAsia="en-AU"/>
              </w:rPr>
            </w:pP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t>The patient must be considered unsuitable for treatment or retreatment with a purine analogue</w:t>
            </w:r>
          </w:p>
          <w:p w:rsidR="00CB0C06" w:rsidRPr="006D1DDF" w:rsidRDefault="00CB0C06" w:rsidP="00056A73">
            <w:pPr>
              <w:widowControl/>
              <w:jc w:val="left"/>
              <w:rPr>
                <w:rFonts w:ascii="Arial Narrow" w:hAnsi="Arial Narrow"/>
                <w:sz w:val="20"/>
                <w:lang w:eastAsia="en-AU"/>
              </w:rPr>
            </w:pPr>
            <w:r w:rsidRPr="006D1DDF">
              <w:rPr>
                <w:rFonts w:ascii="Arial Narrow" w:hAnsi="Arial Narrow"/>
                <w:sz w:val="20"/>
                <w:lang w:eastAsia="en-AU"/>
              </w:rPr>
              <w:t>AND</w:t>
            </w:r>
          </w:p>
          <w:p w:rsidR="00CB0C06" w:rsidRPr="006D1DDF" w:rsidRDefault="00CB0C06" w:rsidP="00056A73">
            <w:pPr>
              <w:widowControl/>
              <w:rPr>
                <w:rFonts w:ascii="Arial Narrow" w:hAnsi="Arial Narrow"/>
                <w:sz w:val="20"/>
                <w:lang w:eastAsia="en-AU"/>
              </w:rPr>
            </w:pPr>
          </w:p>
          <w:p w:rsidR="00CB0C06" w:rsidRPr="006D1DDF" w:rsidRDefault="00CB0C06" w:rsidP="00056A73">
            <w:pPr>
              <w:widowControl/>
              <w:rPr>
                <w:rFonts w:ascii="Arial Narrow" w:hAnsi="Arial Narrow"/>
                <w:sz w:val="20"/>
                <w:lang w:eastAsia="en-AU"/>
              </w:rPr>
            </w:pPr>
            <w:r w:rsidRPr="006D1DDF">
              <w:rPr>
                <w:rFonts w:ascii="Arial Narrow" w:hAnsi="Arial Narrow"/>
                <w:sz w:val="20"/>
                <w:lang w:eastAsia="en-AU"/>
              </w:rPr>
              <w:t>Patient must have a WHO performance status score of less than 2</w:t>
            </w:r>
          </w:p>
          <w:p w:rsidR="00CB0C06" w:rsidRPr="006D1DDF" w:rsidRDefault="00CB0C06" w:rsidP="00056A73">
            <w:pPr>
              <w:widowControl/>
              <w:rPr>
                <w:rFonts w:ascii="Arial Narrow" w:hAnsi="Arial Narrow"/>
                <w:strike/>
                <w:sz w:val="20"/>
                <w:lang w:eastAsia="en-AU"/>
              </w:rPr>
            </w:pPr>
            <w:r w:rsidRPr="006D1DDF">
              <w:rPr>
                <w:rFonts w:ascii="Arial Narrow" w:hAnsi="Arial Narrow"/>
                <w:strike/>
                <w:sz w:val="20"/>
                <w:lang w:eastAsia="en-AU"/>
              </w:rPr>
              <w:t>AND</w:t>
            </w:r>
          </w:p>
          <w:p w:rsidR="00CB0C06" w:rsidRPr="006D1DDF" w:rsidRDefault="00CB0C06" w:rsidP="00056A73">
            <w:pPr>
              <w:widowControl/>
              <w:rPr>
                <w:rFonts w:ascii="Arial Narrow" w:hAnsi="Arial Narrow"/>
                <w:strike/>
                <w:sz w:val="20"/>
                <w:lang w:eastAsia="en-AU"/>
              </w:rPr>
            </w:pPr>
          </w:p>
          <w:p w:rsidR="00CB0C06" w:rsidRPr="006D1DDF" w:rsidRDefault="00CB0C06" w:rsidP="00056A73">
            <w:pPr>
              <w:widowControl/>
              <w:jc w:val="left"/>
              <w:rPr>
                <w:rFonts w:ascii="Arial Narrow" w:hAnsi="Arial Narrow"/>
                <w:sz w:val="20"/>
                <w:lang w:eastAsia="en-AU"/>
              </w:rPr>
            </w:pPr>
            <w:r w:rsidRPr="006D1DDF">
              <w:rPr>
                <w:rFonts w:ascii="Arial Narrow" w:hAnsi="Arial Narrow"/>
                <w:strike/>
                <w:sz w:val="20"/>
                <w:lang w:eastAsia="en-AU"/>
              </w:rPr>
              <w:t>Patient must not receive PBS-subsidised ibrutinib if progressive disease develops while on PBS-subsidised ibrutinib.</w:t>
            </w:r>
          </w:p>
        </w:tc>
      </w:tr>
      <w:tr w:rsidR="00CB0C06" w:rsidRPr="006D1DDF" w:rsidTr="006F6F59">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b/>
                <w:sz w:val="20"/>
                <w:lang w:eastAsia="en-AU"/>
              </w:rPr>
            </w:pPr>
            <w:r w:rsidRPr="006D1DDF">
              <w:rPr>
                <w:rFonts w:ascii="Arial Narrow" w:hAnsi="Arial Narrow"/>
                <w:b/>
                <w:sz w:val="20"/>
                <w:lang w:eastAsia="en-AU"/>
              </w:rPr>
              <w:t>Prescriber Instructions</w:t>
            </w:r>
          </w:p>
          <w:p w:rsidR="00CB0C06" w:rsidRPr="006D1DDF" w:rsidRDefault="00CB0C06" w:rsidP="00056A73">
            <w:pPr>
              <w:widowControl/>
              <w:rPr>
                <w:rFonts w:ascii="Arial Narrow" w:hAnsi="Arial Narrow"/>
                <w:sz w:val="20"/>
                <w:lang w:eastAsia="en-AU"/>
              </w:rPr>
            </w:pPr>
          </w:p>
        </w:tc>
        <w:tc>
          <w:tcPr>
            <w:tcW w:w="3657" w:type="pct"/>
            <w:gridSpan w:val="7"/>
            <w:tcBorders>
              <w:top w:val="single" w:sz="4" w:space="0" w:color="auto"/>
              <w:left w:val="single" w:sz="4" w:space="0" w:color="auto"/>
              <w:bottom w:val="single" w:sz="4" w:space="0" w:color="auto"/>
              <w:right w:val="single" w:sz="4" w:space="0" w:color="auto"/>
            </w:tcBorders>
          </w:tcPr>
          <w:p w:rsidR="00CB0C06" w:rsidRPr="006D1DDF" w:rsidRDefault="00CB0C06" w:rsidP="00056A73">
            <w:pPr>
              <w:widowControl/>
              <w:rPr>
                <w:rFonts w:ascii="Arial Narrow" w:hAnsi="Arial Narrow"/>
                <w:sz w:val="20"/>
                <w:lang w:eastAsia="en-AU"/>
              </w:rPr>
            </w:pPr>
            <w:r w:rsidRPr="006D1DDF">
              <w:rPr>
                <w:rFonts w:ascii="Arial Narrow" w:hAnsi="Arial Narrow"/>
                <w:i/>
                <w:sz w:val="20"/>
                <w:lang w:eastAsia="en-AU"/>
              </w:rPr>
              <w:t>Treatment  must be discontinued in patients who experience disease progression while on treatment</w:t>
            </w:r>
          </w:p>
        </w:tc>
      </w:tr>
    </w:tbl>
    <w:p w:rsidR="00CB0C06" w:rsidRPr="006D1DDF" w:rsidRDefault="00CB0C06" w:rsidP="00864361">
      <w:pPr>
        <w:widowControl/>
        <w:jc w:val="left"/>
        <w:rPr>
          <w:szCs w:val="22"/>
          <w:lang w:eastAsia="en-AU"/>
        </w:rPr>
      </w:pPr>
    </w:p>
    <w:p w:rsidR="00CB0C06" w:rsidRPr="006D1DDF" w:rsidRDefault="00CB0C06" w:rsidP="00864361">
      <w:pPr>
        <w:widowControl/>
        <w:jc w:val="left"/>
        <w:rPr>
          <w:szCs w:val="22"/>
          <w:lang w:eastAsia="en-AU"/>
        </w:rPr>
      </w:pPr>
    </w:p>
    <w:tbl>
      <w:tblPr>
        <w:tblW w:w="4840" w:type="pct"/>
        <w:tblInd w:w="736" w:type="dxa"/>
        <w:tblCellMar>
          <w:left w:w="28" w:type="dxa"/>
          <w:right w:w="28" w:type="dxa"/>
        </w:tblCellMar>
        <w:tblLook w:val="0000" w:firstRow="0" w:lastRow="0" w:firstColumn="0" w:lastColumn="0" w:noHBand="0" w:noVBand="0"/>
      </w:tblPr>
      <w:tblGrid>
        <w:gridCol w:w="2241"/>
        <w:gridCol w:w="1162"/>
        <w:gridCol w:w="566"/>
        <w:gridCol w:w="709"/>
        <w:gridCol w:w="1843"/>
        <w:gridCol w:w="993"/>
        <w:gridCol w:w="849"/>
        <w:gridCol w:w="429"/>
      </w:tblGrid>
      <w:tr w:rsidR="00153E71" w:rsidRPr="00FF2EFD" w:rsidTr="006F6F59">
        <w:trPr>
          <w:cantSplit/>
          <w:trHeight w:val="471"/>
        </w:trPr>
        <w:tc>
          <w:tcPr>
            <w:tcW w:w="1935" w:type="pct"/>
            <w:gridSpan w:val="2"/>
            <w:tcBorders>
              <w:bottom w:val="single" w:sz="4" w:space="0" w:color="auto"/>
            </w:tcBorders>
          </w:tcPr>
          <w:p w:rsidR="00153E71" w:rsidRPr="00EC4A34" w:rsidRDefault="00153E71" w:rsidP="00063BFD">
            <w:pPr>
              <w:keepNext/>
              <w:widowControl/>
              <w:rPr>
                <w:rFonts w:ascii="Arial Narrow" w:hAnsi="Arial Narrow"/>
                <w:sz w:val="20"/>
              </w:rPr>
            </w:pPr>
            <w:r w:rsidRPr="00EC4A34">
              <w:rPr>
                <w:rFonts w:ascii="Arial Narrow" w:hAnsi="Arial Narrow"/>
                <w:sz w:val="20"/>
              </w:rPr>
              <w:lastRenderedPageBreak/>
              <w:t>Name, Restriction,</w:t>
            </w:r>
          </w:p>
          <w:p w:rsidR="00153E71" w:rsidRPr="00EC4A34" w:rsidRDefault="00153E71" w:rsidP="00063BFD">
            <w:pPr>
              <w:keepNext/>
              <w:widowControl/>
              <w:rPr>
                <w:rFonts w:ascii="Arial Narrow" w:hAnsi="Arial Narrow"/>
                <w:sz w:val="20"/>
              </w:rPr>
            </w:pPr>
            <w:r w:rsidRPr="00EC4A34">
              <w:rPr>
                <w:rFonts w:ascii="Arial Narrow" w:hAnsi="Arial Narrow"/>
                <w:sz w:val="20"/>
              </w:rPr>
              <w:t>Manner of administration and form</w:t>
            </w:r>
          </w:p>
        </w:tc>
        <w:tc>
          <w:tcPr>
            <w:tcW w:w="322" w:type="pct"/>
            <w:tcBorders>
              <w:bottom w:val="single" w:sz="4" w:space="0" w:color="auto"/>
            </w:tcBorders>
          </w:tcPr>
          <w:p w:rsidR="00153E71" w:rsidRPr="00EC4A34" w:rsidRDefault="00153E71" w:rsidP="00063BFD">
            <w:pPr>
              <w:keepNext/>
              <w:widowControl/>
              <w:jc w:val="center"/>
              <w:rPr>
                <w:rFonts w:ascii="Arial Narrow" w:hAnsi="Arial Narrow"/>
                <w:sz w:val="20"/>
              </w:rPr>
            </w:pPr>
            <w:r w:rsidRPr="00EC4A34">
              <w:rPr>
                <w:rFonts w:ascii="Arial Narrow" w:hAnsi="Arial Narrow"/>
                <w:sz w:val="20"/>
              </w:rPr>
              <w:t>Max.</w:t>
            </w:r>
          </w:p>
          <w:p w:rsidR="00153E71" w:rsidRPr="00EC4A34" w:rsidRDefault="00153E71" w:rsidP="00063BFD">
            <w:pPr>
              <w:keepNext/>
              <w:widowControl/>
              <w:jc w:val="center"/>
              <w:rPr>
                <w:rFonts w:ascii="Arial Narrow" w:hAnsi="Arial Narrow"/>
                <w:sz w:val="20"/>
              </w:rPr>
            </w:pPr>
            <w:r w:rsidRPr="00EC4A34">
              <w:rPr>
                <w:rFonts w:ascii="Arial Narrow" w:hAnsi="Arial Narrow"/>
                <w:sz w:val="20"/>
              </w:rPr>
              <w:t>Qty</w:t>
            </w:r>
          </w:p>
        </w:tc>
        <w:tc>
          <w:tcPr>
            <w:tcW w:w="403" w:type="pct"/>
            <w:tcBorders>
              <w:bottom w:val="single" w:sz="4" w:space="0" w:color="auto"/>
            </w:tcBorders>
          </w:tcPr>
          <w:p w:rsidR="00153E71" w:rsidRPr="00EC4A34" w:rsidRDefault="00153E71" w:rsidP="00063BFD">
            <w:pPr>
              <w:keepNext/>
              <w:widowControl/>
              <w:jc w:val="center"/>
              <w:rPr>
                <w:rFonts w:ascii="Arial Narrow" w:hAnsi="Arial Narrow"/>
                <w:sz w:val="20"/>
              </w:rPr>
            </w:pPr>
            <w:r w:rsidRPr="00EC4A34">
              <w:rPr>
                <w:rFonts w:ascii="Arial Narrow" w:hAnsi="Arial Narrow"/>
                <w:sz w:val="20"/>
              </w:rPr>
              <w:t>№.of</w:t>
            </w:r>
          </w:p>
          <w:p w:rsidR="00153E71" w:rsidRPr="00EC4A34" w:rsidRDefault="00153E71" w:rsidP="00063BFD">
            <w:pPr>
              <w:keepNext/>
              <w:widowControl/>
              <w:jc w:val="center"/>
              <w:rPr>
                <w:rFonts w:ascii="Arial Narrow" w:hAnsi="Arial Narrow"/>
                <w:sz w:val="20"/>
              </w:rPr>
            </w:pPr>
            <w:r w:rsidRPr="00EC4A34">
              <w:rPr>
                <w:rFonts w:ascii="Arial Narrow" w:hAnsi="Arial Narrow"/>
                <w:sz w:val="20"/>
              </w:rPr>
              <w:t>Rpts</w:t>
            </w:r>
          </w:p>
        </w:tc>
        <w:tc>
          <w:tcPr>
            <w:tcW w:w="1048" w:type="pct"/>
            <w:tcBorders>
              <w:bottom w:val="single" w:sz="4" w:space="0" w:color="auto"/>
            </w:tcBorders>
          </w:tcPr>
          <w:p w:rsidR="00153E71" w:rsidRPr="00EC4A34" w:rsidRDefault="00153E71" w:rsidP="00063BFD">
            <w:pPr>
              <w:keepNext/>
              <w:widowControl/>
              <w:jc w:val="center"/>
              <w:rPr>
                <w:rFonts w:ascii="Arial Narrow" w:hAnsi="Arial Narrow"/>
                <w:sz w:val="20"/>
              </w:rPr>
            </w:pPr>
            <w:r w:rsidRPr="00EC4A34">
              <w:rPr>
                <w:rFonts w:ascii="Arial Narrow" w:hAnsi="Arial Narrow"/>
                <w:sz w:val="20"/>
              </w:rPr>
              <w:t>Dispensed Price for Max. Qty</w:t>
            </w:r>
          </w:p>
        </w:tc>
        <w:tc>
          <w:tcPr>
            <w:tcW w:w="1291" w:type="pct"/>
            <w:gridSpan w:val="3"/>
            <w:tcBorders>
              <w:bottom w:val="single" w:sz="4" w:space="0" w:color="auto"/>
            </w:tcBorders>
          </w:tcPr>
          <w:p w:rsidR="00153E71" w:rsidRPr="00EC4A34" w:rsidRDefault="00153E71" w:rsidP="00063BFD">
            <w:pPr>
              <w:keepNext/>
              <w:widowControl/>
              <w:jc w:val="center"/>
              <w:rPr>
                <w:rFonts w:ascii="Arial Narrow" w:hAnsi="Arial Narrow"/>
                <w:sz w:val="20"/>
                <w:lang w:val="fr-FR"/>
              </w:rPr>
            </w:pPr>
            <w:r w:rsidRPr="00EC4A34">
              <w:rPr>
                <w:rFonts w:ascii="Arial Narrow" w:hAnsi="Arial Narrow"/>
                <w:sz w:val="20"/>
              </w:rPr>
              <w:t>Proprietary Name and Manufacturer</w:t>
            </w:r>
          </w:p>
        </w:tc>
      </w:tr>
      <w:tr w:rsidR="00153E71" w:rsidRPr="00FF2EFD" w:rsidTr="006F6F59">
        <w:trPr>
          <w:cantSplit/>
          <w:trHeight w:val="577"/>
        </w:trPr>
        <w:tc>
          <w:tcPr>
            <w:tcW w:w="1935" w:type="pct"/>
            <w:gridSpan w:val="2"/>
          </w:tcPr>
          <w:p w:rsidR="00153E71" w:rsidRPr="00EC4A34" w:rsidRDefault="00153E71" w:rsidP="00063BFD">
            <w:pPr>
              <w:keepNext/>
              <w:widowControl/>
              <w:rPr>
                <w:rFonts w:ascii="Arial Narrow" w:hAnsi="Arial Narrow"/>
                <w:sz w:val="20"/>
              </w:rPr>
            </w:pPr>
            <w:r w:rsidRPr="00EC4A34">
              <w:rPr>
                <w:rFonts w:ascii="Arial Narrow" w:hAnsi="Arial Narrow"/>
                <w:smallCaps/>
                <w:sz w:val="20"/>
              </w:rPr>
              <w:t>ibrutinib</w:t>
            </w:r>
          </w:p>
          <w:p w:rsidR="00153E71" w:rsidRPr="00EC4A34" w:rsidRDefault="00153E71" w:rsidP="00063BFD">
            <w:pPr>
              <w:keepNext/>
              <w:widowControl/>
              <w:rPr>
                <w:rFonts w:ascii="Arial Narrow" w:hAnsi="Arial Narrow"/>
                <w:sz w:val="20"/>
              </w:rPr>
            </w:pPr>
            <w:r w:rsidRPr="00EC4A34">
              <w:rPr>
                <w:rFonts w:ascii="Arial Narrow" w:hAnsi="Arial Narrow"/>
                <w:sz w:val="20"/>
              </w:rPr>
              <w:t>Capsule 140 mg</w:t>
            </w:r>
          </w:p>
        </w:tc>
        <w:tc>
          <w:tcPr>
            <w:tcW w:w="322" w:type="pct"/>
          </w:tcPr>
          <w:p w:rsidR="00153E71" w:rsidRPr="00EC4A34" w:rsidRDefault="00153E71" w:rsidP="00063BFD">
            <w:pPr>
              <w:keepNext/>
              <w:widowControl/>
              <w:jc w:val="center"/>
              <w:rPr>
                <w:rFonts w:ascii="Arial Narrow" w:hAnsi="Arial Narrow"/>
                <w:sz w:val="20"/>
              </w:rPr>
            </w:pPr>
          </w:p>
          <w:p w:rsidR="00153E71" w:rsidRPr="00EC4A34" w:rsidRDefault="00153E71" w:rsidP="00063BFD">
            <w:pPr>
              <w:keepNext/>
              <w:widowControl/>
              <w:jc w:val="center"/>
              <w:rPr>
                <w:rFonts w:ascii="Arial Narrow" w:hAnsi="Arial Narrow"/>
                <w:sz w:val="20"/>
              </w:rPr>
            </w:pPr>
            <w:r w:rsidRPr="00EC4A34">
              <w:rPr>
                <w:rFonts w:ascii="Arial Narrow" w:hAnsi="Arial Narrow"/>
                <w:sz w:val="20"/>
              </w:rPr>
              <w:t>3</w:t>
            </w:r>
          </w:p>
        </w:tc>
        <w:tc>
          <w:tcPr>
            <w:tcW w:w="403" w:type="pct"/>
          </w:tcPr>
          <w:p w:rsidR="00153E71" w:rsidRPr="00EC4A34" w:rsidRDefault="00153E71" w:rsidP="00063BFD">
            <w:pPr>
              <w:keepNext/>
              <w:widowControl/>
              <w:jc w:val="center"/>
              <w:rPr>
                <w:rFonts w:ascii="Arial Narrow" w:hAnsi="Arial Narrow"/>
                <w:sz w:val="20"/>
              </w:rPr>
            </w:pPr>
          </w:p>
          <w:p w:rsidR="00153E71" w:rsidRPr="00EC4A34" w:rsidRDefault="00153E71" w:rsidP="00063BFD">
            <w:pPr>
              <w:keepNext/>
              <w:widowControl/>
              <w:jc w:val="center"/>
              <w:rPr>
                <w:rFonts w:ascii="Arial Narrow" w:hAnsi="Arial Narrow"/>
                <w:sz w:val="20"/>
              </w:rPr>
            </w:pPr>
            <w:r w:rsidRPr="00EC4A34">
              <w:rPr>
                <w:rFonts w:ascii="Arial Narrow" w:hAnsi="Arial Narrow"/>
                <w:sz w:val="20"/>
              </w:rPr>
              <w:t>5</w:t>
            </w:r>
          </w:p>
        </w:tc>
        <w:tc>
          <w:tcPr>
            <w:tcW w:w="1048" w:type="pct"/>
          </w:tcPr>
          <w:p w:rsidR="00153E71" w:rsidRPr="00CE4E59" w:rsidRDefault="00153E71" w:rsidP="00063BFD">
            <w:pPr>
              <w:widowControl/>
              <w:jc w:val="left"/>
              <w:rPr>
                <w:rFonts w:ascii="Arial Narrow" w:hAnsi="Arial Narrow" w:cs="Times New Roman"/>
                <w:sz w:val="20"/>
              </w:rPr>
            </w:pPr>
            <w:r w:rsidRPr="00CE4E59">
              <w:rPr>
                <w:rFonts w:ascii="Arial Narrow" w:hAnsi="Arial Narrow" w:cs="Times New Roman"/>
                <w:sz w:val="20"/>
              </w:rPr>
              <w:t>Published $</w:t>
            </w:r>
            <w:r w:rsidR="0056677C">
              <w:rPr>
                <w:rFonts w:ascii="Arial Narrow" w:hAnsi="Arial Narrow" w:cs="Times New Roman"/>
                <w:noProof/>
                <w:color w:val="000000"/>
                <w:sz w:val="20"/>
                <w:highlight w:val="black"/>
              </w:rPr>
              <w:t>'''''''''''''''''''''</w:t>
            </w:r>
          </w:p>
          <w:p w:rsidR="00153E71" w:rsidRPr="00CE4E59" w:rsidRDefault="00153E71" w:rsidP="00063BFD">
            <w:pPr>
              <w:widowControl/>
              <w:jc w:val="left"/>
              <w:rPr>
                <w:rFonts w:ascii="Arial Narrow" w:hAnsi="Arial Narrow" w:cs="Times New Roman"/>
                <w:sz w:val="20"/>
              </w:rPr>
            </w:pPr>
            <w:r w:rsidRPr="00CE4E59">
              <w:rPr>
                <w:rFonts w:ascii="Arial Narrow" w:hAnsi="Arial Narrow" w:cs="Times New Roman"/>
                <w:sz w:val="20"/>
              </w:rPr>
              <w:t>Effective $</w:t>
            </w:r>
            <w:r w:rsidR="0056677C">
              <w:rPr>
                <w:rFonts w:ascii="Arial Narrow" w:hAnsi="Arial Narrow" w:cs="Times New Roman"/>
                <w:noProof/>
                <w:color w:val="000000"/>
                <w:sz w:val="20"/>
                <w:highlight w:val="black"/>
              </w:rPr>
              <w:t>'''''''''''''''''''''</w:t>
            </w:r>
          </w:p>
          <w:p w:rsidR="00153E71" w:rsidRPr="00EC4A34" w:rsidRDefault="00153E71" w:rsidP="00063BFD">
            <w:pPr>
              <w:keepNext/>
              <w:widowControl/>
              <w:jc w:val="center"/>
              <w:rPr>
                <w:rFonts w:ascii="Arial Narrow" w:hAnsi="Arial Narrow"/>
                <w:sz w:val="20"/>
              </w:rPr>
            </w:pPr>
          </w:p>
        </w:tc>
        <w:tc>
          <w:tcPr>
            <w:tcW w:w="565" w:type="pct"/>
          </w:tcPr>
          <w:p w:rsidR="00153E71" w:rsidRPr="00EC4A34" w:rsidRDefault="00153E71" w:rsidP="00063BFD">
            <w:pPr>
              <w:keepNext/>
              <w:widowControl/>
              <w:jc w:val="center"/>
              <w:rPr>
                <w:rFonts w:ascii="Arial Narrow" w:hAnsi="Arial Narrow"/>
                <w:sz w:val="20"/>
              </w:rPr>
            </w:pPr>
            <w:r w:rsidRPr="00EC4A34">
              <w:rPr>
                <w:rFonts w:ascii="Arial Narrow" w:hAnsi="Arial Narrow"/>
                <w:sz w:val="20"/>
              </w:rPr>
              <w:t>Imbruvica</w:t>
            </w:r>
          </w:p>
        </w:tc>
        <w:tc>
          <w:tcPr>
            <w:tcW w:w="727" w:type="pct"/>
            <w:gridSpan w:val="2"/>
          </w:tcPr>
          <w:p w:rsidR="00153E71" w:rsidRPr="00EC4A34" w:rsidRDefault="00153E71" w:rsidP="00063BFD">
            <w:pPr>
              <w:keepNext/>
              <w:widowControl/>
              <w:jc w:val="center"/>
              <w:rPr>
                <w:rFonts w:ascii="Arial Narrow" w:hAnsi="Arial Narrow"/>
                <w:sz w:val="20"/>
              </w:rPr>
            </w:pPr>
            <w:r w:rsidRPr="00EC4A34">
              <w:rPr>
                <w:rFonts w:ascii="Arial Narrow" w:hAnsi="Arial Narrow"/>
                <w:sz w:val="20"/>
              </w:rPr>
              <w:t>Jansen</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rPr>
                <w:rFonts w:ascii="Arial Narrow" w:hAnsi="Arial Narrow"/>
                <w:b/>
                <w:sz w:val="20"/>
                <w:lang w:eastAsia="en-AU"/>
              </w:rPr>
            </w:pPr>
            <w:r w:rsidRPr="00FF2EFD">
              <w:rPr>
                <w:rFonts w:ascii="Arial Narrow" w:hAnsi="Arial Narrow"/>
                <w:b/>
                <w:sz w:val="20"/>
                <w:lang w:eastAsia="en-AU"/>
              </w:rPr>
              <w:t>Category / Program</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GENERAL – General Schedule (Code GE)</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rPr>
                <w:rFonts w:ascii="Arial Narrow" w:hAnsi="Arial Narrow"/>
                <w:b/>
                <w:sz w:val="20"/>
                <w:lang w:eastAsia="en-AU"/>
              </w:rPr>
            </w:pPr>
            <w:r w:rsidRPr="00FF2EFD">
              <w:rPr>
                <w:rFonts w:ascii="Arial Narrow" w:hAnsi="Arial Narrow"/>
                <w:b/>
                <w:sz w:val="20"/>
                <w:lang w:eastAsia="en-AU"/>
              </w:rPr>
              <w:t>Prescriber type:</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1"/>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 xml:space="preserve">Dental  </w:t>
            </w:r>
            <w:r w:rsidRPr="00FF2EFD">
              <w:rPr>
                <w:rFonts w:ascii="Arial Narrow" w:hAnsi="Arial Narrow"/>
                <w:sz w:val="20"/>
                <w:lang w:eastAsia="en-AU"/>
              </w:rPr>
              <w:fldChar w:fldCharType="begin">
                <w:ffData>
                  <w:name w:val=""/>
                  <w:enabled/>
                  <w:calcOnExit w:val="0"/>
                  <w:checkBox>
                    <w:sizeAuto/>
                    <w:default w:val="1"/>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 xml:space="preserve">Medical Practitioners  </w:t>
            </w:r>
            <w:r w:rsidRPr="00FF2EFD">
              <w:rPr>
                <w:rFonts w:ascii="Arial Narrow" w:hAnsi="Arial Narrow"/>
                <w:sz w:val="20"/>
                <w:lang w:eastAsia="en-AU"/>
              </w:rPr>
              <w:fldChar w:fldCharType="begin">
                <w:ffData>
                  <w:name w:val="Check3"/>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 xml:space="preserve">Nurse practitioners  </w:t>
            </w:r>
            <w:r w:rsidRPr="00FF2EFD">
              <w:rPr>
                <w:rFonts w:ascii="Arial Narrow" w:hAnsi="Arial Narrow"/>
                <w:sz w:val="20"/>
                <w:lang w:eastAsia="en-AU"/>
              </w:rPr>
              <w:fldChar w:fldCharType="begin">
                <w:ffData>
                  <w:name w:val=""/>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Optometrists</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5"/>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Midwives</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rPr>
                <w:rFonts w:ascii="Arial Narrow" w:hAnsi="Arial Narrow"/>
                <w:b/>
                <w:sz w:val="20"/>
                <w:lang w:eastAsia="en-AU"/>
              </w:rPr>
            </w:pPr>
            <w:r w:rsidRPr="00FF2EFD">
              <w:rPr>
                <w:rFonts w:ascii="Arial Narrow" w:hAnsi="Arial Narrow"/>
                <w:b/>
                <w:sz w:val="20"/>
                <w:lang w:eastAsia="en-AU"/>
              </w:rPr>
              <w:t>PBS Indication:</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Relapsed or refractory small lymphocytic lymphoma</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961A31" w:rsidRDefault="00153E71" w:rsidP="00063BFD">
            <w:pPr>
              <w:widowControl/>
              <w:rPr>
                <w:rFonts w:ascii="Arial Narrow" w:hAnsi="Arial Narrow"/>
                <w:b/>
                <w:sz w:val="20"/>
                <w:lang w:eastAsia="en-AU"/>
              </w:rPr>
            </w:pPr>
            <w:r w:rsidRPr="00FF2EFD">
              <w:rPr>
                <w:rFonts w:ascii="Arial Narrow" w:hAnsi="Arial Narrow"/>
                <w:b/>
                <w:sz w:val="20"/>
                <w:lang w:eastAsia="en-AU"/>
              </w:rPr>
              <w:t>Restriction Level / Method:</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1"/>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Restricted benefit</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Authority Required - In Writing</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3"/>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Authority Required - Telephone</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Authority Required – Emergency</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5"/>
                  <w:enabled/>
                  <w:calcOnExit w:val="0"/>
                  <w:checkBox>
                    <w:sizeAuto/>
                    <w:default w:val="0"/>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Authority Required - Electronic</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fldChar w:fldCharType="begin">
                <w:ffData>
                  <w:name w:val="Check5"/>
                  <w:enabled/>
                  <w:calcOnExit w:val="0"/>
                  <w:checkBox>
                    <w:sizeAuto/>
                    <w:default w:val="1"/>
                  </w:checkBox>
                </w:ffData>
              </w:fldChar>
            </w:r>
            <w:r w:rsidRPr="00FF2EFD">
              <w:rPr>
                <w:rFonts w:ascii="Arial Narrow" w:hAnsi="Arial Narrow"/>
                <w:sz w:val="20"/>
                <w:lang w:eastAsia="en-AU"/>
              </w:rPr>
              <w:instrText xml:space="preserve"> FORMCHECKBOX </w:instrText>
            </w:r>
            <w:r w:rsidR="0056677C">
              <w:rPr>
                <w:rFonts w:ascii="Arial Narrow" w:hAnsi="Arial Narrow"/>
                <w:sz w:val="20"/>
                <w:lang w:eastAsia="en-AU"/>
              </w:rPr>
            </w:r>
            <w:r w:rsidR="0056677C">
              <w:rPr>
                <w:rFonts w:ascii="Arial Narrow" w:hAnsi="Arial Narrow"/>
                <w:sz w:val="20"/>
                <w:lang w:eastAsia="en-AU"/>
              </w:rPr>
              <w:fldChar w:fldCharType="separate"/>
            </w:r>
            <w:r w:rsidRPr="00FF2EFD">
              <w:rPr>
                <w:rFonts w:ascii="Arial Narrow" w:hAnsi="Arial Narrow"/>
                <w:sz w:val="20"/>
                <w:lang w:eastAsia="en-AU"/>
              </w:rPr>
              <w:fldChar w:fldCharType="end"/>
            </w:r>
            <w:r w:rsidRPr="00FF2EFD">
              <w:rPr>
                <w:rFonts w:ascii="Arial Narrow" w:hAnsi="Arial Narrow"/>
                <w:sz w:val="20"/>
                <w:lang w:eastAsia="en-AU"/>
              </w:rPr>
              <w:t>Streamlined</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961A31" w:rsidRDefault="00153E71" w:rsidP="00063BFD">
            <w:pPr>
              <w:widowControl/>
              <w:rPr>
                <w:rFonts w:ascii="Arial Narrow" w:hAnsi="Arial Narrow"/>
                <w:b/>
                <w:sz w:val="20"/>
                <w:lang w:eastAsia="en-AU"/>
              </w:rPr>
            </w:pPr>
            <w:r w:rsidRPr="00FF2EFD">
              <w:rPr>
                <w:rFonts w:ascii="Arial Narrow" w:hAnsi="Arial Narrow"/>
                <w:b/>
                <w:sz w:val="20"/>
                <w:lang w:eastAsia="en-AU"/>
              </w:rPr>
              <w:t>Clinical criteria:</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 xml:space="preserve">The patient must have received at least one prior therapy </w:t>
            </w:r>
            <w:r w:rsidRPr="00FF2EFD">
              <w:rPr>
                <w:rFonts w:ascii="Arial Narrow" w:hAnsi="Arial Narrow"/>
                <w:i/>
                <w:sz w:val="20"/>
                <w:lang w:eastAsia="en-AU"/>
              </w:rPr>
              <w:t>for this indication</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AND</w:t>
            </w:r>
          </w:p>
          <w:p w:rsidR="00153E71" w:rsidRPr="00FF2EFD" w:rsidRDefault="00153E71" w:rsidP="00063BFD">
            <w:pPr>
              <w:widowControl/>
              <w:jc w:val="left"/>
              <w:rPr>
                <w:rFonts w:ascii="Arial Narrow" w:hAnsi="Arial Narrow"/>
                <w:sz w:val="20"/>
                <w:lang w:eastAsia="en-AU"/>
              </w:rPr>
            </w:pP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The patient must be considered unsuitable for treatment or retreatment with a purine analogue</w:t>
            </w:r>
          </w:p>
          <w:p w:rsidR="00153E71" w:rsidRPr="00FF2EFD" w:rsidRDefault="00153E71" w:rsidP="00063BFD">
            <w:pPr>
              <w:widowControl/>
              <w:jc w:val="left"/>
              <w:rPr>
                <w:rFonts w:ascii="Arial Narrow" w:hAnsi="Arial Narrow"/>
                <w:sz w:val="20"/>
                <w:lang w:eastAsia="en-AU"/>
              </w:rPr>
            </w:pPr>
            <w:r w:rsidRPr="00FF2EFD">
              <w:rPr>
                <w:rFonts w:ascii="Arial Narrow" w:hAnsi="Arial Narrow"/>
                <w:sz w:val="20"/>
                <w:lang w:eastAsia="en-AU"/>
              </w:rPr>
              <w:t>AND</w:t>
            </w:r>
          </w:p>
          <w:p w:rsidR="00153E71" w:rsidRPr="00FF2EFD" w:rsidRDefault="00153E71" w:rsidP="00063BFD">
            <w:pPr>
              <w:widowControl/>
              <w:rPr>
                <w:rFonts w:ascii="Arial Narrow" w:hAnsi="Arial Narrow"/>
                <w:sz w:val="20"/>
                <w:lang w:eastAsia="en-AU"/>
              </w:rPr>
            </w:pPr>
          </w:p>
          <w:p w:rsidR="00153E71" w:rsidRPr="00FF2EFD" w:rsidRDefault="00153E71" w:rsidP="00063BFD">
            <w:pPr>
              <w:widowControl/>
              <w:rPr>
                <w:rFonts w:ascii="Arial Narrow" w:hAnsi="Arial Narrow"/>
                <w:sz w:val="20"/>
                <w:lang w:eastAsia="en-AU"/>
              </w:rPr>
            </w:pPr>
            <w:r w:rsidRPr="00FF2EFD">
              <w:rPr>
                <w:rFonts w:ascii="Arial Narrow" w:hAnsi="Arial Narrow"/>
                <w:sz w:val="20"/>
                <w:lang w:eastAsia="en-AU"/>
              </w:rPr>
              <w:t>Patient must have a WHO performance status score of less than 2</w:t>
            </w:r>
          </w:p>
          <w:p w:rsidR="00153E71" w:rsidRPr="00FF2EFD" w:rsidRDefault="00153E71" w:rsidP="00063BFD">
            <w:pPr>
              <w:widowControl/>
              <w:rPr>
                <w:rFonts w:ascii="Arial Narrow" w:hAnsi="Arial Narrow"/>
                <w:strike/>
                <w:sz w:val="20"/>
                <w:lang w:eastAsia="en-AU"/>
              </w:rPr>
            </w:pPr>
            <w:r w:rsidRPr="00FF2EFD">
              <w:rPr>
                <w:rFonts w:ascii="Arial Narrow" w:hAnsi="Arial Narrow"/>
                <w:strike/>
                <w:sz w:val="20"/>
                <w:lang w:eastAsia="en-AU"/>
              </w:rPr>
              <w:t>AND</w:t>
            </w:r>
          </w:p>
          <w:p w:rsidR="00153E71" w:rsidRPr="00FF2EFD" w:rsidRDefault="00153E71" w:rsidP="00063BFD">
            <w:pPr>
              <w:widowControl/>
              <w:rPr>
                <w:rFonts w:ascii="Arial Narrow" w:hAnsi="Arial Narrow"/>
                <w:strike/>
                <w:sz w:val="20"/>
                <w:lang w:eastAsia="en-AU"/>
              </w:rPr>
            </w:pPr>
          </w:p>
          <w:p w:rsidR="00153E71" w:rsidRPr="00FF2EFD" w:rsidRDefault="00153E71" w:rsidP="00063BFD">
            <w:pPr>
              <w:widowControl/>
              <w:rPr>
                <w:rFonts w:ascii="Arial Narrow" w:hAnsi="Arial Narrow"/>
                <w:sz w:val="20"/>
                <w:lang w:eastAsia="en-AU"/>
              </w:rPr>
            </w:pPr>
            <w:r w:rsidRPr="00FF2EFD">
              <w:rPr>
                <w:rFonts w:ascii="Arial Narrow" w:hAnsi="Arial Narrow"/>
                <w:strike/>
                <w:sz w:val="20"/>
                <w:lang w:eastAsia="en-AU"/>
              </w:rPr>
              <w:t>Patient must not receive PBS-subsidised ibrutinib if progressive disease develops while on PBS-subsidised ibrutinib.</w:t>
            </w:r>
          </w:p>
        </w:tc>
      </w:tr>
      <w:tr w:rsidR="00153E71" w:rsidRPr="00FF2EFD" w:rsidTr="006F6F59">
        <w:tblPrEx>
          <w:tblCellMar>
            <w:left w:w="108" w:type="dxa"/>
            <w:right w:w="108" w:type="dxa"/>
          </w:tblCellMar>
        </w:tblPrEx>
        <w:trPr>
          <w:gridAfter w:val="1"/>
          <w:wAfter w:w="244" w:type="pct"/>
          <w:cantSplit/>
          <w:trHeight w:val="360"/>
        </w:trPr>
        <w:tc>
          <w:tcPr>
            <w:tcW w:w="1274" w:type="pct"/>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rPr>
                <w:rFonts w:ascii="Arial Narrow" w:hAnsi="Arial Narrow"/>
                <w:sz w:val="20"/>
                <w:lang w:eastAsia="en-AU"/>
              </w:rPr>
            </w:pPr>
            <w:r w:rsidRPr="00FF2EFD">
              <w:rPr>
                <w:rFonts w:ascii="Arial Narrow" w:hAnsi="Arial Narrow"/>
                <w:b/>
                <w:sz w:val="20"/>
                <w:lang w:eastAsia="en-AU"/>
              </w:rPr>
              <w:t>Prescriber Instructions</w:t>
            </w:r>
          </w:p>
        </w:tc>
        <w:tc>
          <w:tcPr>
            <w:tcW w:w="3482" w:type="pct"/>
            <w:gridSpan w:val="6"/>
            <w:tcBorders>
              <w:top w:val="single" w:sz="4" w:space="0" w:color="auto"/>
              <w:left w:val="single" w:sz="4" w:space="0" w:color="auto"/>
              <w:bottom w:val="single" w:sz="4" w:space="0" w:color="auto"/>
              <w:right w:val="single" w:sz="4" w:space="0" w:color="auto"/>
            </w:tcBorders>
          </w:tcPr>
          <w:p w:rsidR="00153E71" w:rsidRPr="00FF2EFD" w:rsidRDefault="00153E71" w:rsidP="00063BFD">
            <w:pPr>
              <w:widowControl/>
              <w:jc w:val="left"/>
              <w:rPr>
                <w:rFonts w:ascii="Arial Narrow" w:hAnsi="Arial Narrow"/>
                <w:i/>
                <w:sz w:val="20"/>
                <w:lang w:eastAsia="en-AU"/>
              </w:rPr>
            </w:pPr>
            <w:r>
              <w:rPr>
                <w:rFonts w:ascii="Arial Narrow" w:hAnsi="Arial Narrow"/>
                <w:i/>
                <w:sz w:val="20"/>
                <w:lang w:eastAsia="en-AU"/>
              </w:rPr>
              <w:t xml:space="preserve">Treatment </w:t>
            </w:r>
            <w:r w:rsidRPr="00FF2EFD">
              <w:rPr>
                <w:rFonts w:ascii="Arial Narrow" w:hAnsi="Arial Narrow"/>
                <w:i/>
                <w:sz w:val="20"/>
                <w:lang w:eastAsia="en-AU"/>
              </w:rPr>
              <w:t>must be discontinued in patients who experience disease progression while on treatment</w:t>
            </w:r>
          </w:p>
        </w:tc>
      </w:tr>
    </w:tbl>
    <w:p w:rsidR="00CB0C06" w:rsidRPr="006D1DDF" w:rsidRDefault="00CB0C06" w:rsidP="00B116FE">
      <w:pPr>
        <w:pStyle w:val="TableFooter"/>
        <w:rPr>
          <w:lang w:val="en-GB"/>
        </w:rPr>
      </w:pPr>
    </w:p>
    <w:p w:rsidR="00CB0C06" w:rsidRPr="006D1DDF" w:rsidRDefault="00CB0C06" w:rsidP="00CD70A2">
      <w:pPr>
        <w:pStyle w:val="ListParagraph"/>
        <w:widowControl/>
        <w:numPr>
          <w:ilvl w:val="1"/>
          <w:numId w:val="7"/>
        </w:numPr>
        <w:rPr>
          <w:szCs w:val="22"/>
          <w:lang w:val="en-GB"/>
        </w:rPr>
      </w:pPr>
      <w:r w:rsidRPr="006D1DDF">
        <w:rPr>
          <w:lang w:val="en-GB"/>
        </w:rPr>
        <w:t>ESC noted there is considerable risk of usage outside the requested listing given that the TGA-approved indication for ibrutinib was not restricted to patients unsuitable for treatment with a purine analogue (i.e. fludarabine). Further, the results of the HELIOS trial indicated that there is a significant benefit from adding ibrutinib to immunochemotherapy (specifically bendamustine plus rituximab). The Pre-Sub-Committee Response (PSCR) acknowledged this risk and stated that the sponsor was willing to negotiate both the restriction and a risk-sharing arrangement. The PSCR proposed that a Telephone Authority could mitigate the risk of use in patients suitable for treatment with fludarabine</w:t>
      </w:r>
    </w:p>
    <w:p w:rsidR="00CB0C06" w:rsidRPr="006D1DDF" w:rsidRDefault="00CB0C06" w:rsidP="00CD70A2">
      <w:pPr>
        <w:pStyle w:val="PBACHeading1"/>
        <w:numPr>
          <w:ilvl w:val="0"/>
          <w:numId w:val="0"/>
        </w:numPr>
        <w:ind w:left="720"/>
        <w:rPr>
          <w:lang w:val="en-GB"/>
        </w:rPr>
      </w:pPr>
    </w:p>
    <w:p w:rsidR="00CB0C06" w:rsidRPr="00CE4E59" w:rsidRDefault="00CB0C06" w:rsidP="0016593F">
      <w:pPr>
        <w:pStyle w:val="ListParagraph"/>
        <w:widowControl/>
        <w:numPr>
          <w:ilvl w:val="1"/>
          <w:numId w:val="7"/>
        </w:numPr>
        <w:rPr>
          <w:szCs w:val="22"/>
          <w:lang w:val="en-GB"/>
        </w:rPr>
      </w:pPr>
      <w:r w:rsidRPr="00CE4E59">
        <w:rPr>
          <w:szCs w:val="22"/>
          <w:lang w:val="en-GB"/>
        </w:rPr>
        <w:t xml:space="preserve">The submission stated that currently approximately </w:t>
      </w:r>
      <w:r w:rsidR="0056677C">
        <w:rPr>
          <w:noProof/>
          <w:color w:val="000000"/>
          <w:szCs w:val="22"/>
          <w:highlight w:val="black"/>
          <w:lang w:val="en-GB"/>
        </w:rPr>
        <w:t>'''''''''</w:t>
      </w:r>
      <w:r w:rsidRPr="00CE4E59">
        <w:rPr>
          <w:szCs w:val="22"/>
          <w:lang w:val="en-GB"/>
        </w:rPr>
        <w:t xml:space="preserve"> patients receive ibrutinib through the Named Patient Program. These patients were recruited using the inclusion and exclusion criteria of the key clinical trial, which was in line with the proposed restriction. The PSCR provided information on these criteria. </w:t>
      </w:r>
    </w:p>
    <w:p w:rsidR="00CB0C06" w:rsidRPr="006D1DDF" w:rsidRDefault="00CB0C06" w:rsidP="00CB7968">
      <w:pPr>
        <w:pStyle w:val="ListParagraph"/>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The submission presented a cost-utility analysis of ibrutinib compared with rituximab plus chlorambucil.</w:t>
      </w:r>
    </w:p>
    <w:p w:rsidR="00CB0C06" w:rsidRPr="006D1DDF" w:rsidRDefault="00CB0C06" w:rsidP="00D02DBB">
      <w:pPr>
        <w:pStyle w:val="ListParagraph"/>
        <w:rPr>
          <w:szCs w:val="22"/>
          <w:lang w:val="en-GB"/>
        </w:rPr>
      </w:pPr>
    </w:p>
    <w:p w:rsidR="00CB0C06" w:rsidRPr="006D1DDF" w:rsidRDefault="00CB0C06" w:rsidP="00D02DBB">
      <w:pPr>
        <w:pStyle w:val="ListParagraph"/>
        <w:widowControl/>
        <w:rPr>
          <w:i/>
          <w:szCs w:val="22"/>
        </w:rPr>
      </w:pPr>
      <w:r w:rsidRPr="006D1DDF">
        <w:rPr>
          <w:i/>
          <w:szCs w:val="22"/>
        </w:rPr>
        <w:t>For more detail on PBAC’s view, see section 7 “PBAC outcome”</w:t>
      </w:r>
    </w:p>
    <w:p w:rsidR="00CB0C06" w:rsidRDefault="00CB0C06" w:rsidP="004B1CB4">
      <w:pPr>
        <w:rPr>
          <w:lang w:val="en-GB"/>
        </w:rPr>
      </w:pPr>
    </w:p>
    <w:p w:rsidR="00EC4A34" w:rsidRPr="006D1DDF" w:rsidRDefault="00EC4A34" w:rsidP="004B1CB4">
      <w:pPr>
        <w:rPr>
          <w:lang w:val="en-GB"/>
        </w:rPr>
      </w:pPr>
    </w:p>
    <w:p w:rsidR="00CB0C06" w:rsidRPr="006D1DDF" w:rsidRDefault="00CB0C06" w:rsidP="006F6F59">
      <w:pPr>
        <w:pStyle w:val="PBACHeading1"/>
        <w:keepNext/>
        <w:rPr>
          <w:lang w:val="en-GB"/>
        </w:rPr>
      </w:pPr>
      <w:bookmarkStart w:id="4" w:name="_Toc419724905"/>
      <w:r w:rsidRPr="006D1DDF">
        <w:rPr>
          <w:lang w:val="en-GB"/>
        </w:rPr>
        <w:lastRenderedPageBreak/>
        <w:t>Background</w:t>
      </w:r>
      <w:bookmarkEnd w:id="4"/>
    </w:p>
    <w:p w:rsidR="00CB0C06" w:rsidRPr="006D1DDF" w:rsidRDefault="00CB0C06" w:rsidP="006F6F59">
      <w:pPr>
        <w:keepNext/>
        <w:rPr>
          <w:szCs w:val="22"/>
          <w:lang w:val="en-GB"/>
        </w:rPr>
      </w:pPr>
    </w:p>
    <w:p w:rsidR="00CB0C06" w:rsidRPr="006D1DDF" w:rsidRDefault="00CB0C06" w:rsidP="00A26E51">
      <w:pPr>
        <w:pStyle w:val="ListParagraph"/>
        <w:widowControl/>
        <w:numPr>
          <w:ilvl w:val="1"/>
          <w:numId w:val="7"/>
        </w:numPr>
        <w:rPr>
          <w:lang w:val="en-GB"/>
        </w:rPr>
      </w:pPr>
      <w:r w:rsidRPr="006D1DDF">
        <w:rPr>
          <w:b/>
          <w:szCs w:val="22"/>
        </w:rPr>
        <w:t>TGA status at time of PBAC consideration – from ARTG certificate</w:t>
      </w:r>
      <w:r w:rsidRPr="006D1DDF">
        <w:rPr>
          <w:szCs w:val="22"/>
        </w:rPr>
        <w:t>: Ibrutinib was registered in April 2015 for the treatment of patients with chronic lymphocytic leukaemia (CLL)/small lymphocytic lymphoma (SLL) who have received at least one prior therapy or as first line in patients with CLL with 17p deletion; and patients with mantle cell lymphoma who have received at least one prior therapy.</w:t>
      </w:r>
      <w:r w:rsidRPr="006D1DDF">
        <w:rPr>
          <w:lang w:val="en-GB"/>
        </w:rPr>
        <w:t xml:space="preserve"> </w:t>
      </w:r>
    </w:p>
    <w:p w:rsidR="00CB0C06" w:rsidRPr="006D1DDF" w:rsidRDefault="00CB0C06" w:rsidP="00FF0753">
      <w:pPr>
        <w:widowControl/>
        <w:rPr>
          <w:i/>
          <w:lang w:val="en-GB"/>
        </w:rPr>
      </w:pPr>
    </w:p>
    <w:p w:rsidR="00CB0C06" w:rsidRPr="006D1DDF" w:rsidRDefault="00CB0C06" w:rsidP="00A26E51">
      <w:pPr>
        <w:pStyle w:val="ListParagraph"/>
        <w:widowControl/>
        <w:numPr>
          <w:ilvl w:val="1"/>
          <w:numId w:val="7"/>
        </w:numPr>
        <w:rPr>
          <w:lang w:val="en-GB"/>
        </w:rPr>
      </w:pPr>
      <w:r w:rsidRPr="006D1DDF">
        <w:rPr>
          <w:lang w:val="en-GB"/>
        </w:rPr>
        <w:t>However, the current submission did not seek listing in the following indications:</w:t>
      </w:r>
    </w:p>
    <w:p w:rsidR="00CB0C06" w:rsidRPr="006D1DDF" w:rsidRDefault="00CB0C06" w:rsidP="00A26E51">
      <w:pPr>
        <w:pStyle w:val="ListParagraph"/>
        <w:widowControl/>
        <w:numPr>
          <w:ilvl w:val="3"/>
          <w:numId w:val="1"/>
        </w:numPr>
        <w:ind w:left="1560" w:hanging="426"/>
        <w:rPr>
          <w:lang w:val="en-GB"/>
        </w:rPr>
      </w:pPr>
      <w:r w:rsidRPr="006D1DDF">
        <w:rPr>
          <w:lang w:val="en-GB"/>
        </w:rPr>
        <w:t>first-line use in patients with CLL with 17p deletion, and</w:t>
      </w:r>
    </w:p>
    <w:p w:rsidR="00CB0C06" w:rsidRPr="006D1DDF" w:rsidRDefault="00CB0C06" w:rsidP="00A26E51">
      <w:pPr>
        <w:pStyle w:val="ListParagraph"/>
        <w:widowControl/>
        <w:numPr>
          <w:ilvl w:val="3"/>
          <w:numId w:val="1"/>
        </w:numPr>
        <w:ind w:left="1560" w:hanging="426"/>
        <w:rPr>
          <w:lang w:val="en-GB"/>
        </w:rPr>
      </w:pPr>
      <w:r w:rsidRPr="006D1DDF">
        <w:rPr>
          <w:lang w:val="en-GB"/>
        </w:rPr>
        <w:t xml:space="preserve">mantle cell lymphoma </w:t>
      </w:r>
      <w:r w:rsidRPr="006D0B5F">
        <w:rPr>
          <w:lang w:val="en-GB"/>
        </w:rPr>
        <w:t xml:space="preserve">(awaiting </w:t>
      </w:r>
      <w:r w:rsidRPr="006D0B5F">
        <w:t>results of a phase III comparative trial)</w:t>
      </w:r>
      <w:r w:rsidRPr="006D0B5F">
        <w:rPr>
          <w:lang w:val="en-GB"/>
        </w:rPr>
        <w:t>.</w:t>
      </w:r>
    </w:p>
    <w:p w:rsidR="00CB0C06" w:rsidRPr="006D1DDF" w:rsidRDefault="00CB0C06" w:rsidP="00F773F3">
      <w:pPr>
        <w:pStyle w:val="ListParagraph"/>
        <w:rPr>
          <w:lang w:val="en-GB"/>
        </w:rPr>
      </w:pPr>
      <w:r w:rsidRPr="006D1DDF">
        <w:rPr>
          <w:lang w:val="en-GB"/>
        </w:rPr>
        <w:t xml:space="preserve">Further, the TGA-approved indication allows use of ibrutinib in patients who </w:t>
      </w:r>
      <w:r w:rsidRPr="006D1DDF">
        <w:rPr>
          <w:u w:val="single"/>
          <w:lang w:val="en-GB"/>
        </w:rPr>
        <w:t>are suitable</w:t>
      </w:r>
      <w:r w:rsidRPr="006D1DDF">
        <w:rPr>
          <w:lang w:val="en-GB"/>
        </w:rPr>
        <w:t xml:space="preserve"> for treatment with a purine analogue (i.e. fludarabine). </w:t>
      </w:r>
    </w:p>
    <w:p w:rsidR="00CB0C06" w:rsidRPr="006D1DDF" w:rsidRDefault="00CB0C06" w:rsidP="00B60939">
      <w:pPr>
        <w:pStyle w:val="ListParagraph"/>
        <w:rPr>
          <w:szCs w:val="22"/>
          <w:lang w:val="en-GB"/>
        </w:rPr>
      </w:pPr>
    </w:p>
    <w:p w:rsidR="00CB0C06" w:rsidRPr="006D1DDF" w:rsidRDefault="00CB0C06" w:rsidP="00A26E51">
      <w:pPr>
        <w:pStyle w:val="ListParagraph"/>
        <w:widowControl/>
        <w:numPr>
          <w:ilvl w:val="1"/>
          <w:numId w:val="7"/>
        </w:numPr>
        <w:rPr>
          <w:lang w:val="en-GB"/>
        </w:rPr>
      </w:pPr>
      <w:r w:rsidRPr="006D1DDF">
        <w:rPr>
          <w:lang w:val="en-GB"/>
        </w:rPr>
        <w:t>The item had not been considered by the PBAC previously. At the March 2015 PBAC meeting:</w:t>
      </w:r>
    </w:p>
    <w:p w:rsidR="00CB0C06" w:rsidRPr="006D1DDF" w:rsidRDefault="00CB0C06" w:rsidP="00A26E51">
      <w:pPr>
        <w:pStyle w:val="ListParagraph"/>
        <w:widowControl/>
        <w:numPr>
          <w:ilvl w:val="0"/>
          <w:numId w:val="2"/>
        </w:numPr>
        <w:rPr>
          <w:lang w:val="en-GB"/>
        </w:rPr>
      </w:pPr>
      <w:r w:rsidRPr="006D1DDF">
        <w:rPr>
          <w:bCs/>
          <w:szCs w:val="16"/>
          <w:shd w:val="clear" w:color="auto" w:fill="FFFFFF"/>
          <w:lang w:val="en-GB"/>
        </w:rPr>
        <w:t>the PBAC did not recommend the listing of idelalisib for the treatment of patients with CLL because the patient population was not adequately defined, the nominated comparator was inappropriate, and the economic evaluation required amendment. Therefore the cost-effectiveness could not be estimated, in the context of a drug with a high cost compared with current care</w:t>
      </w:r>
      <w:r w:rsidRPr="006D1DDF">
        <w:rPr>
          <w:lang w:val="en-GB"/>
        </w:rPr>
        <w:t>; and</w:t>
      </w:r>
    </w:p>
    <w:p w:rsidR="00CB0C06" w:rsidRPr="006D1DDF" w:rsidRDefault="00CB0C06" w:rsidP="00A26E51">
      <w:pPr>
        <w:pStyle w:val="ListParagraph"/>
        <w:widowControl/>
        <w:numPr>
          <w:ilvl w:val="0"/>
          <w:numId w:val="2"/>
        </w:numPr>
        <w:rPr>
          <w:lang w:val="en-GB"/>
        </w:rPr>
      </w:pPr>
      <w:r w:rsidRPr="006D1DDF">
        <w:rPr>
          <w:lang w:val="en-GB"/>
        </w:rPr>
        <w:t xml:space="preserve">obinutuzumab (given with chlorambucil) was recommended for listing on the PBS as a first-line treatment option for patients with CLL who are unfit with comorbidities. </w:t>
      </w:r>
    </w:p>
    <w:p w:rsidR="00CB0C06" w:rsidRPr="006D1DDF" w:rsidRDefault="00CB0C06" w:rsidP="00805185">
      <w:pPr>
        <w:pStyle w:val="ListParagraph"/>
        <w:widowControl/>
        <w:ind w:left="1440"/>
        <w:rPr>
          <w:lang w:val="en-GB"/>
        </w:rPr>
      </w:pPr>
    </w:p>
    <w:p w:rsidR="00CB0C06" w:rsidRPr="006D1DDF" w:rsidRDefault="00CB0C06" w:rsidP="00805185">
      <w:pPr>
        <w:pStyle w:val="ListParagraph"/>
        <w:widowControl/>
        <w:numPr>
          <w:ilvl w:val="1"/>
          <w:numId w:val="7"/>
        </w:numPr>
        <w:rPr>
          <w:lang w:val="en-GB"/>
        </w:rPr>
      </w:pPr>
      <w:r w:rsidRPr="006D1DDF">
        <w:rPr>
          <w:lang w:val="en-GB"/>
        </w:rPr>
        <w:t>Ofatumumab in combination with chlorambucil is PBS listed for first-line treatment of CLL for patients inappropriate for treatment with fludarabine.</w:t>
      </w:r>
    </w:p>
    <w:p w:rsidR="00CB0C06" w:rsidRPr="006D1DDF" w:rsidRDefault="00CB0C06" w:rsidP="00ED6CC3">
      <w:pPr>
        <w:pStyle w:val="PBACHeading1"/>
        <w:numPr>
          <w:ilvl w:val="0"/>
          <w:numId w:val="0"/>
        </w:numPr>
        <w:ind w:left="720"/>
        <w:rPr>
          <w:lang w:val="en-GB"/>
        </w:rPr>
      </w:pPr>
    </w:p>
    <w:p w:rsidR="00CB0C06" w:rsidRPr="006D1DDF" w:rsidRDefault="00CB0C06" w:rsidP="00ED6CC3">
      <w:pPr>
        <w:pStyle w:val="ListParagraph"/>
        <w:widowControl/>
        <w:rPr>
          <w:i/>
          <w:szCs w:val="22"/>
        </w:rPr>
      </w:pPr>
      <w:r w:rsidRPr="006D1DDF">
        <w:rPr>
          <w:i/>
          <w:szCs w:val="22"/>
        </w:rPr>
        <w:t>For more detail on PBAC’s view, see section 7 “PBAC outcome”</w:t>
      </w:r>
    </w:p>
    <w:p w:rsidR="00CB0C06" w:rsidRPr="006D1DDF" w:rsidRDefault="00CB0C06" w:rsidP="00ED6CC3">
      <w:pPr>
        <w:pStyle w:val="PBACHeading1"/>
        <w:numPr>
          <w:ilvl w:val="0"/>
          <w:numId w:val="0"/>
        </w:numPr>
        <w:ind w:left="720"/>
        <w:rPr>
          <w:lang w:val="en-GB"/>
        </w:rPr>
      </w:pPr>
    </w:p>
    <w:p w:rsidR="00CB0C06" w:rsidRPr="006D1DDF" w:rsidRDefault="00CB0C06" w:rsidP="00854955">
      <w:pPr>
        <w:pStyle w:val="ListParagraph"/>
        <w:widowControl/>
        <w:rPr>
          <w:lang w:val="en-GB"/>
        </w:rPr>
      </w:pPr>
    </w:p>
    <w:p w:rsidR="00CB0C06" w:rsidRPr="006D1DDF" w:rsidRDefault="00CB0C06" w:rsidP="00BD6CF3">
      <w:pPr>
        <w:pStyle w:val="PBACHeading1"/>
        <w:rPr>
          <w:lang w:val="en-GB"/>
        </w:rPr>
      </w:pPr>
      <w:bookmarkStart w:id="5" w:name="_Toc419724906"/>
      <w:r w:rsidRPr="006D1DDF">
        <w:rPr>
          <w:lang w:val="en-GB"/>
        </w:rPr>
        <w:t>Clinical place for the proposed therapy</w:t>
      </w:r>
      <w:bookmarkEnd w:id="5"/>
    </w:p>
    <w:p w:rsidR="00CB0C06" w:rsidRPr="006D1DDF" w:rsidRDefault="00CB0C06" w:rsidP="00B60939">
      <w:pPr>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Ibrutinib was evaluated as a treatment for patients with relapsed or refractory CLL/SLL, which are haematological B-cell malignancies. </w:t>
      </w:r>
    </w:p>
    <w:p w:rsidR="00CB0C06" w:rsidRPr="006D1DDF" w:rsidRDefault="00CB0C06" w:rsidP="00D55BBE">
      <w:pPr>
        <w:pStyle w:val="ListParagraph"/>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ESC noted the clinical evidence provided by the submission, the proposed TGA indication and the proposed PBS restriction, suggested that ibrutinib would be used for patients with relapsed/refractory CLL/SLL deemed unfit for further treatment with a purine analogue (i.e. fludarabine). However, the TGA-approved indication for ibrutinib does not require patients to be considered unsuitable for treatment with fludarabine and allows for treatment for first-line patients with CLL with 17p deletion.</w:t>
      </w:r>
    </w:p>
    <w:p w:rsidR="00CB0C06" w:rsidRPr="006D1DDF" w:rsidRDefault="00CB0C06" w:rsidP="00ED6CC3">
      <w:pPr>
        <w:pStyle w:val="ListParagraph"/>
        <w:rPr>
          <w:szCs w:val="22"/>
          <w:lang w:val="en-GB"/>
        </w:rPr>
      </w:pPr>
    </w:p>
    <w:p w:rsidR="00CB0C06" w:rsidRPr="006D1DDF" w:rsidRDefault="00CB0C06" w:rsidP="00ED6CC3">
      <w:pPr>
        <w:pStyle w:val="ListParagraph"/>
        <w:widowControl/>
        <w:rPr>
          <w:i/>
          <w:szCs w:val="22"/>
        </w:rPr>
      </w:pPr>
      <w:r w:rsidRPr="006D1DDF">
        <w:rPr>
          <w:i/>
          <w:szCs w:val="22"/>
        </w:rPr>
        <w:t>For more detail on PBAC’s view, see section 7 “PBAC outcome”</w:t>
      </w:r>
    </w:p>
    <w:p w:rsidR="00CB0C06" w:rsidRPr="006D1DDF" w:rsidRDefault="00CB0C06" w:rsidP="00ED6CC3">
      <w:pPr>
        <w:pStyle w:val="ListParagraph"/>
        <w:widowControl/>
        <w:rPr>
          <w:szCs w:val="22"/>
          <w:lang w:val="en-GB"/>
        </w:rPr>
      </w:pPr>
    </w:p>
    <w:p w:rsidR="00CB0C06" w:rsidRPr="006D1DDF" w:rsidRDefault="00CB0C06" w:rsidP="00B60939">
      <w:pPr>
        <w:pStyle w:val="Header"/>
        <w:rPr>
          <w:szCs w:val="22"/>
          <w:lang w:val="en-GB"/>
        </w:rPr>
      </w:pPr>
    </w:p>
    <w:p w:rsidR="00CB0C06" w:rsidRPr="006D1DDF" w:rsidRDefault="00CB0C06" w:rsidP="001117D4">
      <w:pPr>
        <w:pStyle w:val="PBACHeading1"/>
        <w:rPr>
          <w:lang w:val="en-GB"/>
        </w:rPr>
      </w:pPr>
      <w:bookmarkStart w:id="6" w:name="_Toc419724907"/>
      <w:r w:rsidRPr="006D1DDF">
        <w:rPr>
          <w:lang w:val="en-GB"/>
        </w:rPr>
        <w:t>Comparator</w:t>
      </w:r>
      <w:bookmarkEnd w:id="6"/>
    </w:p>
    <w:p w:rsidR="00CB0C06" w:rsidRPr="006D1DDF" w:rsidRDefault="00CB0C06" w:rsidP="004B1CB4">
      <w:pPr>
        <w:rPr>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Rituximab plus chlorambucil (Rit+Chl). This was appropriate, for the proposed restriction. However, if ibrutinib would not be limited to those patients who are not </w:t>
      </w:r>
      <w:r w:rsidRPr="006D1DDF">
        <w:rPr>
          <w:lang w:val="en-GB"/>
        </w:rPr>
        <w:lastRenderedPageBreak/>
        <w:t>suitable for fludarabine treatment, fludarabine plus cyclophosphamide plus rituximab (FCR) might be t</w:t>
      </w:r>
      <w:r w:rsidR="00397BE3">
        <w:rPr>
          <w:lang w:val="en-GB"/>
        </w:rPr>
        <w:t>he more appropriate comparator.</w:t>
      </w:r>
      <w:r w:rsidRPr="006D1DDF">
        <w:rPr>
          <w:lang w:val="en-GB"/>
        </w:rPr>
        <w:t xml:space="preserve"> The submission nominated idelalisib plus rituximab as a supportive comparator, as it was considered by the PBAC in March 2015. As idelalisib plus rituximab was rejected by the PBAC, this comparison was not evaluated in the commentary.</w:t>
      </w:r>
    </w:p>
    <w:p w:rsidR="00CB0C06" w:rsidRPr="006D1DDF" w:rsidRDefault="00CB0C06" w:rsidP="00ED6CC3">
      <w:pPr>
        <w:pStyle w:val="PBACHeading1"/>
        <w:numPr>
          <w:ilvl w:val="0"/>
          <w:numId w:val="0"/>
        </w:numPr>
        <w:ind w:left="720"/>
        <w:rPr>
          <w:lang w:val="en-GB"/>
        </w:rPr>
      </w:pPr>
    </w:p>
    <w:p w:rsidR="00CB0C06" w:rsidRPr="006D1DDF" w:rsidRDefault="00CB0C06" w:rsidP="00ED6CC3">
      <w:pPr>
        <w:pStyle w:val="ListParagraph"/>
        <w:widowControl/>
        <w:rPr>
          <w:i/>
          <w:szCs w:val="22"/>
        </w:rPr>
      </w:pPr>
      <w:r w:rsidRPr="006D1DDF">
        <w:rPr>
          <w:i/>
          <w:szCs w:val="22"/>
        </w:rPr>
        <w:t>For more detail on PBAC’s view, see section 7 “PBAC outcome”</w:t>
      </w:r>
    </w:p>
    <w:p w:rsidR="00CB0C06" w:rsidRPr="006D1DDF" w:rsidRDefault="00CB0C06" w:rsidP="00ED6CC3">
      <w:pPr>
        <w:pStyle w:val="PBACHeading1"/>
        <w:numPr>
          <w:ilvl w:val="0"/>
          <w:numId w:val="0"/>
        </w:numPr>
        <w:ind w:left="720"/>
        <w:rPr>
          <w:lang w:val="en-GB"/>
        </w:rPr>
      </w:pPr>
    </w:p>
    <w:p w:rsidR="00CB0C06" w:rsidRPr="006D1DDF" w:rsidRDefault="00CB0C06" w:rsidP="00DF5D2B">
      <w:pPr>
        <w:rPr>
          <w:szCs w:val="22"/>
          <w:lang w:val="en-GB"/>
        </w:rPr>
      </w:pPr>
    </w:p>
    <w:p w:rsidR="00CB0C06" w:rsidRPr="006D1DDF" w:rsidRDefault="00CB0C06" w:rsidP="00BD6CF3">
      <w:pPr>
        <w:pStyle w:val="PBACHeading1"/>
        <w:rPr>
          <w:lang w:val="en-GB"/>
        </w:rPr>
      </w:pPr>
      <w:bookmarkStart w:id="7" w:name="_Toc419724908"/>
      <w:r w:rsidRPr="006D1DDF">
        <w:rPr>
          <w:lang w:val="en-GB"/>
        </w:rPr>
        <w:t>Consideration of the evidence</w:t>
      </w:r>
      <w:bookmarkEnd w:id="7"/>
    </w:p>
    <w:p w:rsidR="00CB0C06" w:rsidRPr="006D1DDF" w:rsidRDefault="00CB0C06" w:rsidP="004B1CB4">
      <w:pPr>
        <w:rPr>
          <w:lang w:val="en-GB"/>
        </w:rPr>
      </w:pPr>
    </w:p>
    <w:p w:rsidR="00CB0C06" w:rsidRPr="006D1DDF" w:rsidRDefault="00CB0C06" w:rsidP="00090EC7">
      <w:pPr>
        <w:spacing w:after="200" w:line="276" w:lineRule="auto"/>
        <w:rPr>
          <w:b/>
          <w:bCs/>
          <w:i/>
          <w:szCs w:val="22"/>
        </w:rPr>
      </w:pPr>
      <w:bookmarkStart w:id="8" w:name="_Toc419724909"/>
      <w:r w:rsidRPr="006D1DDF">
        <w:rPr>
          <w:b/>
          <w:bCs/>
          <w:i/>
          <w:szCs w:val="22"/>
        </w:rPr>
        <w:t>Sponsor hearing</w:t>
      </w:r>
    </w:p>
    <w:p w:rsidR="00CB0C06" w:rsidRPr="006D1DDF" w:rsidRDefault="00CB0C06" w:rsidP="00582B20">
      <w:pPr>
        <w:numPr>
          <w:ilvl w:val="1"/>
          <w:numId w:val="7"/>
        </w:numPr>
        <w:contextualSpacing/>
        <w:rPr>
          <w:bCs/>
          <w:szCs w:val="22"/>
        </w:rPr>
      </w:pPr>
      <w:r w:rsidRPr="006D1DDF">
        <w:rPr>
          <w:bCs/>
          <w:szCs w:val="22"/>
        </w:rPr>
        <w:t>There was no hearing for this item.</w:t>
      </w:r>
    </w:p>
    <w:p w:rsidR="00CB0C06" w:rsidRPr="006D1DDF" w:rsidRDefault="00CB0C06" w:rsidP="00582B20">
      <w:pPr>
        <w:ind w:left="720"/>
        <w:contextualSpacing/>
        <w:rPr>
          <w:bCs/>
          <w:szCs w:val="22"/>
        </w:rPr>
      </w:pPr>
      <w:r w:rsidRPr="006D1DDF">
        <w:rPr>
          <w:bCs/>
          <w:szCs w:val="22"/>
        </w:rPr>
        <w:t xml:space="preserve"> </w:t>
      </w:r>
    </w:p>
    <w:p w:rsidR="00CB0C06" w:rsidRPr="00EC4A34" w:rsidRDefault="00CB0C06" w:rsidP="00090EC7">
      <w:pPr>
        <w:spacing w:after="200" w:line="276" w:lineRule="auto"/>
        <w:rPr>
          <w:b/>
          <w:bCs/>
          <w:i/>
          <w:szCs w:val="22"/>
        </w:rPr>
      </w:pPr>
      <w:r w:rsidRPr="00EC4A34">
        <w:rPr>
          <w:b/>
          <w:bCs/>
          <w:i/>
          <w:szCs w:val="22"/>
        </w:rPr>
        <w:t>Consumer comments</w:t>
      </w:r>
    </w:p>
    <w:p w:rsidR="00CB0C06" w:rsidRPr="006D1DDF" w:rsidRDefault="00CB0C06" w:rsidP="00454C1B">
      <w:pPr>
        <w:numPr>
          <w:ilvl w:val="1"/>
          <w:numId w:val="7"/>
        </w:numPr>
        <w:contextualSpacing/>
        <w:rPr>
          <w:bCs/>
          <w:szCs w:val="22"/>
        </w:rPr>
      </w:pPr>
      <w:r w:rsidRPr="006D1DDF">
        <w:rPr>
          <w:bCs/>
          <w:szCs w:val="22"/>
        </w:rPr>
        <w:t>The PBAC noted and welcomed the input from individuals (29), health care professionals (3) and organisations (2) via the Consumer Comments facility on the PBS website.  The comments described a range of benefits of treatment with ibrutinib including better survival, an improved quality of life, improved tolerance compared to standard chemotherapy, less hospitalisation and fewer infections.</w:t>
      </w:r>
    </w:p>
    <w:p w:rsidR="00CB0C06" w:rsidRPr="006D1DDF" w:rsidRDefault="00CB0C06" w:rsidP="00454C1B">
      <w:pPr>
        <w:ind w:left="720"/>
        <w:contextualSpacing/>
        <w:rPr>
          <w:bCs/>
          <w:szCs w:val="22"/>
        </w:rPr>
      </w:pPr>
    </w:p>
    <w:p w:rsidR="00CB0C06" w:rsidRPr="006D1DDF" w:rsidRDefault="00CB0C06" w:rsidP="00454C1B">
      <w:pPr>
        <w:numPr>
          <w:ilvl w:val="1"/>
          <w:numId w:val="7"/>
        </w:numPr>
        <w:contextualSpacing/>
        <w:rPr>
          <w:bCs/>
          <w:szCs w:val="22"/>
        </w:rPr>
      </w:pPr>
      <w:r w:rsidRPr="006D1DDF">
        <w:rPr>
          <w:bCs/>
          <w:szCs w:val="22"/>
        </w:rPr>
        <w:t>The PBAC noted the advice received from Lymphoma Australia clarifying the likely use of ibrutinib in clinical practice.  The PBAC specifically noted the advice that around 1,200 patients are diagnosed with CLL/SLL each year and most of these patients are over 55 years of age, the use of ibrutininb may be superior to standard, approved treatments for some CLL/SLL patients, the availability of ibrutinib in tablet form has positive psychological effects for patients from less travel time to seek treatment and cost to receive treatment in this form and that the side effects associated with this treatment are considered manageable by patients. The PBAC noted that this advice was supportive of the submission.</w:t>
      </w:r>
    </w:p>
    <w:p w:rsidR="00CB0C06" w:rsidRPr="006D1DDF" w:rsidRDefault="00CB0C06" w:rsidP="002C2775">
      <w:pPr>
        <w:pStyle w:val="Heading2"/>
        <w:rPr>
          <w:lang w:val="en-GB"/>
        </w:rPr>
      </w:pPr>
    </w:p>
    <w:p w:rsidR="00CB0C06" w:rsidRPr="00EC4A34" w:rsidRDefault="00CB0C06" w:rsidP="002C2775">
      <w:pPr>
        <w:pStyle w:val="Heading2"/>
        <w:rPr>
          <w:i/>
          <w:lang w:val="en-GB"/>
        </w:rPr>
      </w:pPr>
      <w:r w:rsidRPr="00EC4A34">
        <w:rPr>
          <w:i/>
          <w:lang w:val="en-GB"/>
        </w:rPr>
        <w:t>Clinical trials</w:t>
      </w:r>
      <w:bookmarkEnd w:id="8"/>
    </w:p>
    <w:p w:rsidR="00CB0C06" w:rsidRPr="006D1DDF" w:rsidRDefault="00CB0C06" w:rsidP="00B60939">
      <w:pPr>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The submission was based on one head-to-head trial comparing ibrutinib to ofatumumab, RESONATE (n=391).</w:t>
      </w:r>
      <w:r w:rsidRPr="006D1DDF">
        <w:rPr>
          <w:color w:val="3366FF"/>
          <w:lang w:val="en-GB"/>
        </w:rPr>
        <w:t xml:space="preserve"> </w:t>
      </w:r>
      <w:r w:rsidRPr="006D1DDF">
        <w:rPr>
          <w:lang w:val="en-GB"/>
        </w:rPr>
        <w:t>The submission provided two different data-cuts from the RESONATE trial, the interim analysis and the longer-term analysis (median duration of follow up: 9.4 months and. 16 months, respectively). Data from the pre</w:t>
      </w:r>
      <w:r w:rsidRPr="006D1DDF">
        <w:rPr>
          <w:lang w:val="en-GB"/>
        </w:rPr>
        <w:noBreakHyphen/>
        <w:t xml:space="preserve">specified interim analysis is presented in the clinical claim of the commentary. At the interim analysis, progression free survival was assessed by the Independent Review Committee, while at the ad-hoc longer term analysis progression free survival was assessed by the investigator. Further, a protocol amendment occurred approximately four months after the last patient was randomised. This was due to promising data from a phase 2 study. This protocol amendment allowed patients in the ofatumumab arm who had disease progression, as assessed by the Independent Review Committee, to receive ibrutinib. After the interim analysis, all patients in the ofatumumab arm were allowed to switch to ibrutinib treatment. A total of 29% of patients switched from ofatumumab to ibrutinib within the interim analysis, increasing to 61% in the longer-term ad-hoc analysis. The economic evaluation relied on data </w:t>
      </w:r>
      <w:r w:rsidRPr="006D1DDF">
        <w:rPr>
          <w:lang w:val="en-GB"/>
        </w:rPr>
        <w:lastRenderedPageBreak/>
        <w:t>from the longer-term ad hoc analysis. Figure 1 presents the patient flow through the interim analysis of the RESONATE trial.</w:t>
      </w:r>
    </w:p>
    <w:p w:rsidR="00CB0C06" w:rsidRPr="006D1DDF" w:rsidRDefault="00CB0C06" w:rsidP="00F6202E">
      <w:pPr>
        <w:pStyle w:val="ListParagraph"/>
        <w:widowControl/>
        <w:rPr>
          <w:szCs w:val="22"/>
          <w:lang w:val="en-GB"/>
        </w:rPr>
      </w:pPr>
    </w:p>
    <w:p w:rsidR="00CB0C06" w:rsidRPr="006D1DDF" w:rsidRDefault="00CB0C06" w:rsidP="0055201F">
      <w:pPr>
        <w:pStyle w:val="ListParagraph"/>
        <w:keepNext/>
        <w:widowControl/>
        <w:rPr>
          <w:rStyle w:val="CommentReference"/>
          <w:rFonts w:cs="Arial"/>
          <w:sz w:val="20"/>
          <w:szCs w:val="16"/>
        </w:rPr>
      </w:pPr>
      <w:r w:rsidRPr="006D1DDF">
        <w:rPr>
          <w:rStyle w:val="CommentReference"/>
          <w:rFonts w:cs="Arial"/>
          <w:sz w:val="20"/>
          <w:szCs w:val="16"/>
        </w:rPr>
        <w:t>Figure 1: Patient flows through the RESONATE trial (interim analysis)</w:t>
      </w:r>
    </w:p>
    <w:p w:rsidR="00CB0C06" w:rsidRPr="006D1DDF" w:rsidRDefault="00D75FB4" w:rsidP="00F6202E">
      <w:pPr>
        <w:pStyle w:val="ListParagraph"/>
        <w:keepNext/>
        <w:widowControl/>
        <w:rPr>
          <w:rStyle w:val="CommentReference"/>
          <w:rFonts w:cs="Arial"/>
          <w:sz w:val="20"/>
          <w:szCs w:val="16"/>
        </w:rPr>
      </w:pPr>
      <w:bookmarkStart w:id="9" w:name="_GoBack"/>
      <w:r>
        <w:rPr>
          <w:noProof/>
          <w:lang w:eastAsia="en-AU"/>
        </w:rPr>
        <w:drawing>
          <wp:inline distT="0" distB="0" distL="0" distR="0" wp14:anchorId="138AD5A6" wp14:editId="50330E7B">
            <wp:extent cx="4933950" cy="385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991" t="8902" r="58139" b="7277"/>
                    <a:stretch>
                      <a:fillRect/>
                    </a:stretch>
                  </pic:blipFill>
                  <pic:spPr bwMode="auto">
                    <a:xfrm>
                      <a:off x="0" y="0"/>
                      <a:ext cx="4933950" cy="3856990"/>
                    </a:xfrm>
                    <a:prstGeom prst="rect">
                      <a:avLst/>
                    </a:prstGeom>
                    <a:noFill/>
                    <a:ln>
                      <a:noFill/>
                    </a:ln>
                  </pic:spPr>
                </pic:pic>
              </a:graphicData>
            </a:graphic>
          </wp:inline>
        </w:drawing>
      </w:r>
      <w:bookmarkEnd w:id="9"/>
    </w:p>
    <w:p w:rsidR="00CB0C06" w:rsidRPr="006D1DDF" w:rsidRDefault="00CB0C06" w:rsidP="0055201F">
      <w:pPr>
        <w:pStyle w:val="TableFooter"/>
        <w:ind w:left="720"/>
        <w:rPr>
          <w:lang w:val="en-GB"/>
        </w:rPr>
      </w:pPr>
      <w:r w:rsidRPr="006D1DDF">
        <w:rPr>
          <w:lang w:val="en-GB"/>
        </w:rPr>
        <w:t>Source: Figure Bi.2, p64 of the submission</w:t>
      </w:r>
    </w:p>
    <w:p w:rsidR="00CB0C06" w:rsidRPr="006D1DDF" w:rsidRDefault="00CB0C06" w:rsidP="00F6202E">
      <w:pPr>
        <w:pStyle w:val="ListParagraph"/>
        <w:keepNext/>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The submission provided no direct evidence to support the claim that ofatumumab would be non-inferior to rituximab plus chlorambucil. In the absence of evidence the sponsor assumed that </w:t>
      </w:r>
      <w:r w:rsidRPr="006D1DDF">
        <w:t xml:space="preserve">ofatumumab was of equivalent efficacy to rituximab plus chlorambucil. </w:t>
      </w:r>
      <w:r w:rsidRPr="006D1DDF">
        <w:rPr>
          <w:lang w:val="en-GB"/>
        </w:rPr>
        <w:t xml:space="preserve"> The sponsor noted that the PBAC (November 2014), on the basis of the results of an indirect comparison, considered that ofatumumab plus chlorambucil was non-inferior to rituximab plus chlorambucil in the treatment of previously untreated patients with CLL. The submission proposed that it was reasonable to also assume non-inferiority of ofatumumab versus rituximab plus chlorambucil in the relapsed/refractory setting. ESC considered that there was no basis to assume that ofatumumab monotherapy would have a similar efficacy to ofatumumab with the addition of chlorumbacil. </w:t>
      </w:r>
    </w:p>
    <w:p w:rsidR="00CB0C06" w:rsidRPr="006D1DDF" w:rsidRDefault="00CB0C06" w:rsidP="00470DE6">
      <w:pPr>
        <w:pStyle w:val="ListParagraph"/>
        <w:widowControl/>
        <w:rPr>
          <w:szCs w:val="22"/>
          <w:lang w:val="en-GB"/>
        </w:rPr>
      </w:pPr>
    </w:p>
    <w:p w:rsidR="00CB0C06" w:rsidRPr="006D1DDF" w:rsidRDefault="00CB0C06" w:rsidP="00805185">
      <w:pPr>
        <w:pStyle w:val="ListParagraph"/>
        <w:widowControl/>
        <w:numPr>
          <w:ilvl w:val="1"/>
          <w:numId w:val="7"/>
        </w:numPr>
        <w:rPr>
          <w:lang w:val="en-GB"/>
        </w:rPr>
      </w:pPr>
      <w:r w:rsidRPr="006D1DDF">
        <w:rPr>
          <w:lang w:val="en-GB"/>
        </w:rPr>
        <w:t>Additionally, the submission provided evidence of safety in the form of comparing the ofatumumab results from the key trial with safety results from a single arm, open</w:t>
      </w:r>
      <w:r w:rsidR="00397BE3">
        <w:rPr>
          <w:lang w:val="en-GB"/>
        </w:rPr>
        <w:noBreakHyphen/>
      </w:r>
      <w:r w:rsidRPr="006D1DDF">
        <w:rPr>
          <w:lang w:val="en-GB"/>
        </w:rPr>
        <w:t xml:space="preserve">label, phase 2 study where rituximab plus chlorambucil was provided to CLL patients in the first-line setting (Hillmen 2014; n=100). </w:t>
      </w:r>
    </w:p>
    <w:p w:rsidR="00CB0C06" w:rsidRPr="006D1DDF" w:rsidRDefault="00CB0C06" w:rsidP="00366F1E">
      <w:pPr>
        <w:pStyle w:val="ListParagraph"/>
        <w:widowControl/>
        <w:rPr>
          <w:lang w:val="en-GB"/>
        </w:rPr>
      </w:pPr>
    </w:p>
    <w:p w:rsidR="00CB0C06" w:rsidRPr="006D1DDF" w:rsidRDefault="00CB0C06" w:rsidP="00805185">
      <w:pPr>
        <w:pStyle w:val="ListParagraph"/>
        <w:widowControl/>
        <w:numPr>
          <w:ilvl w:val="1"/>
          <w:numId w:val="7"/>
        </w:numPr>
        <w:rPr>
          <w:szCs w:val="22"/>
          <w:lang w:val="en-GB"/>
        </w:rPr>
      </w:pPr>
      <w:r w:rsidRPr="006D1DDF">
        <w:rPr>
          <w:lang w:val="en-GB"/>
        </w:rPr>
        <w:t xml:space="preserve">ESC considered that the results from </w:t>
      </w:r>
      <w:r w:rsidRPr="006D1DDF">
        <w:t xml:space="preserve">Österborg et al. </w:t>
      </w:r>
      <w:r w:rsidRPr="006D1DDF">
        <w:rPr>
          <w:lang w:val="en-GB"/>
        </w:rPr>
        <w:t xml:space="preserve">(2014) presented in the PSCR  provided limited evidence to support the claim that the efficacy of ofatumumab is at least no worse than Rit+Chl. No details were provided on the baseline characteristics </w:t>
      </w:r>
      <w:r w:rsidRPr="006D1DDF">
        <w:rPr>
          <w:lang w:val="en-GB"/>
        </w:rPr>
        <w:lastRenderedPageBreak/>
        <w:t>of the trial participants, the number of participants using rituximab plus an alkylator was small (n=12) and the results for t</w:t>
      </w:r>
      <w:r w:rsidR="00810BF8">
        <w:rPr>
          <w:lang w:val="en-GB"/>
        </w:rPr>
        <w:t>his subgroup were not presented.</w:t>
      </w:r>
    </w:p>
    <w:p w:rsidR="00CB0C06" w:rsidRPr="006D1DDF" w:rsidRDefault="00CB0C06" w:rsidP="00470DE6">
      <w:pPr>
        <w:pStyle w:val="ListParagraph"/>
        <w:widowControl/>
        <w:rPr>
          <w:szCs w:val="22"/>
          <w:lang w:val="en-GB"/>
        </w:rPr>
      </w:pPr>
    </w:p>
    <w:p w:rsidR="00CB0C06" w:rsidRPr="006D1DDF" w:rsidRDefault="00CB0C06" w:rsidP="00470DE6">
      <w:pPr>
        <w:pStyle w:val="ListParagraph"/>
        <w:widowControl/>
        <w:rPr>
          <w:szCs w:val="22"/>
          <w:lang w:val="en-GB"/>
        </w:rPr>
      </w:pPr>
    </w:p>
    <w:p w:rsidR="00CB0C06" w:rsidRPr="006D1DDF" w:rsidRDefault="00CB0C06" w:rsidP="00805185">
      <w:pPr>
        <w:pStyle w:val="ListParagraph"/>
        <w:widowControl/>
        <w:numPr>
          <w:ilvl w:val="1"/>
          <w:numId w:val="7"/>
        </w:numPr>
        <w:rPr>
          <w:szCs w:val="22"/>
          <w:lang w:val="en-GB"/>
        </w:rPr>
      </w:pPr>
      <w:r w:rsidRPr="006D1DDF">
        <w:rPr>
          <w:lang w:val="en-GB"/>
        </w:rPr>
        <w:t xml:space="preserve">An open-label phase 2 study (Tam et al., 2014), comparing second-line treatment after FCR treatment, was presented in the submission to compare the </w:t>
      </w:r>
      <w:r w:rsidRPr="006D1DDF">
        <w:t xml:space="preserve">predicted overall survival from the ofatumumab arm in the RESONATE trial with long-term survival observed in relapsed/refractory CLL patients treated with rituximab. </w:t>
      </w:r>
      <w:r w:rsidRPr="006D1DDF">
        <w:rPr>
          <w:lang w:val="en-GB"/>
        </w:rPr>
        <w:t xml:space="preserve">The patient population in Tam (2014) who received rituximab based regimen was not comparable to the patients included in the RESONATE trial. ESC agreed with the Commentary and the PSCR that comparison with the Tam et al. (2014) cohort was inappropriate as the Rit+Chl regimen was not included in the trial. </w:t>
      </w:r>
    </w:p>
    <w:p w:rsidR="00CB0C06" w:rsidRPr="006D1DDF" w:rsidRDefault="00CB0C06" w:rsidP="00862502">
      <w:pPr>
        <w:widowControl/>
        <w:rPr>
          <w:sz w:val="14"/>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Details of the trials presented in the submission are provided in Table 1.</w:t>
      </w:r>
    </w:p>
    <w:p w:rsidR="00CB0C06" w:rsidRPr="006D1DDF" w:rsidRDefault="00CB0C06" w:rsidP="00862502">
      <w:pPr>
        <w:widowControl/>
        <w:rPr>
          <w:sz w:val="14"/>
          <w:szCs w:val="22"/>
          <w:lang w:val="en-GB"/>
        </w:rPr>
      </w:pPr>
    </w:p>
    <w:p w:rsidR="00CB0C06" w:rsidRPr="006D1DDF" w:rsidRDefault="00CB0C06" w:rsidP="00CB7968">
      <w:pPr>
        <w:keepNext/>
        <w:widowControl/>
        <w:ind w:firstLine="720"/>
        <w:rPr>
          <w:rStyle w:val="CommentReference"/>
          <w:rFonts w:cs="Arial"/>
          <w:sz w:val="20"/>
          <w:szCs w:val="16"/>
          <w:lang w:val="en-GB"/>
        </w:rPr>
      </w:pPr>
      <w:r w:rsidRPr="006D1DDF">
        <w:rPr>
          <w:rStyle w:val="CommentReference"/>
          <w:rFonts w:cs="Arial"/>
          <w:sz w:val="20"/>
          <w:szCs w:val="16"/>
          <w:lang w:val="en-GB"/>
        </w:rPr>
        <w:t>Table 1: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5"/>
        <w:gridCol w:w="5496"/>
        <w:gridCol w:w="1825"/>
      </w:tblGrid>
      <w:tr w:rsidR="00CB0C06" w:rsidRPr="006D1DDF" w:rsidTr="00CB7968">
        <w:trPr>
          <w:tblHeader/>
        </w:trPr>
        <w:tc>
          <w:tcPr>
            <w:tcW w:w="0" w:type="auto"/>
          </w:tcPr>
          <w:p w:rsidR="00CB0C06" w:rsidRPr="006D1DDF" w:rsidRDefault="00CB0C06" w:rsidP="00CB7968">
            <w:pPr>
              <w:keepNext/>
              <w:widowControl/>
              <w:jc w:val="left"/>
              <w:rPr>
                <w:rFonts w:ascii="Arial Narrow" w:hAnsi="Arial Narrow"/>
                <w:b/>
                <w:sz w:val="20"/>
                <w:lang w:val="en-GB"/>
              </w:rPr>
            </w:pPr>
            <w:r w:rsidRPr="006D1DDF">
              <w:rPr>
                <w:rFonts w:ascii="Arial Narrow" w:hAnsi="Arial Narrow"/>
                <w:b/>
                <w:sz w:val="20"/>
                <w:lang w:val="en-GB"/>
              </w:rPr>
              <w:t>Trial ID</w:t>
            </w:r>
          </w:p>
        </w:tc>
        <w:tc>
          <w:tcPr>
            <w:tcW w:w="5496" w:type="dxa"/>
          </w:tcPr>
          <w:p w:rsidR="00CB0C06" w:rsidRPr="006D1DDF" w:rsidRDefault="00CB0C06" w:rsidP="00CB7968">
            <w:pPr>
              <w:keepNext/>
              <w:widowControl/>
              <w:jc w:val="center"/>
              <w:rPr>
                <w:rFonts w:ascii="Arial Narrow" w:hAnsi="Arial Narrow"/>
                <w:b/>
                <w:sz w:val="20"/>
                <w:lang w:val="en-GB"/>
              </w:rPr>
            </w:pPr>
            <w:r w:rsidRPr="006D1DDF">
              <w:rPr>
                <w:rFonts w:ascii="Arial Narrow" w:hAnsi="Arial Narrow"/>
                <w:b/>
                <w:sz w:val="20"/>
                <w:lang w:val="en-GB"/>
              </w:rPr>
              <w:t>Protocol title/ Publication title</w:t>
            </w:r>
          </w:p>
        </w:tc>
        <w:tc>
          <w:tcPr>
            <w:tcW w:w="1825" w:type="dxa"/>
          </w:tcPr>
          <w:p w:rsidR="00CB0C06" w:rsidRPr="006D1DDF" w:rsidRDefault="00CB0C06" w:rsidP="00CB7968">
            <w:pPr>
              <w:keepNext/>
              <w:widowControl/>
              <w:jc w:val="center"/>
              <w:rPr>
                <w:rFonts w:ascii="Arial Narrow" w:hAnsi="Arial Narrow"/>
                <w:b/>
                <w:sz w:val="20"/>
                <w:lang w:val="en-GB"/>
              </w:rPr>
            </w:pPr>
            <w:r w:rsidRPr="006D1DDF">
              <w:rPr>
                <w:rFonts w:ascii="Arial Narrow" w:hAnsi="Arial Narrow"/>
                <w:b/>
                <w:sz w:val="20"/>
                <w:lang w:val="en-GB"/>
              </w:rPr>
              <w:t>Publication citation</w:t>
            </w:r>
          </w:p>
        </w:tc>
      </w:tr>
      <w:tr w:rsidR="00CB0C06" w:rsidRPr="006D1DDF" w:rsidTr="00810BF8">
        <w:tc>
          <w:tcPr>
            <w:tcW w:w="0" w:type="auto"/>
            <w:gridSpan w:val="3"/>
            <w:tcBorders>
              <w:bottom w:val="single" w:sz="4" w:space="0" w:color="auto"/>
            </w:tcBorders>
          </w:tcPr>
          <w:p w:rsidR="00CB0C06" w:rsidRPr="006D1DDF" w:rsidRDefault="00CB0C06" w:rsidP="00CB7968">
            <w:pPr>
              <w:keepNext/>
              <w:widowControl/>
              <w:jc w:val="left"/>
              <w:rPr>
                <w:rFonts w:ascii="Arial Narrow" w:hAnsi="Arial Narrow"/>
                <w:b/>
                <w:sz w:val="20"/>
                <w:lang w:val="en-GB"/>
              </w:rPr>
            </w:pPr>
            <w:r w:rsidRPr="006D1DDF">
              <w:rPr>
                <w:rFonts w:ascii="Arial Narrow" w:hAnsi="Arial Narrow"/>
                <w:b/>
                <w:sz w:val="20"/>
                <w:lang w:val="en-GB"/>
              </w:rPr>
              <w:t>Direct randomised trial ibrutinib vs. ofatumumab</w:t>
            </w:r>
          </w:p>
        </w:tc>
      </w:tr>
      <w:tr w:rsidR="00CB0C06" w:rsidRPr="006D1DDF" w:rsidTr="00810BF8">
        <w:tc>
          <w:tcPr>
            <w:tcW w:w="0" w:type="auto"/>
            <w:tcBorders>
              <w:bottom w:val="nil"/>
            </w:tcBorders>
          </w:tcPr>
          <w:p w:rsidR="00CB0C06" w:rsidRPr="006D1DDF" w:rsidRDefault="00CB0C06" w:rsidP="00CB7968">
            <w:pPr>
              <w:keepNext/>
              <w:widowControl/>
              <w:jc w:val="left"/>
              <w:rPr>
                <w:rFonts w:ascii="Arial Narrow" w:hAnsi="Arial Narrow"/>
                <w:sz w:val="20"/>
                <w:lang w:val="en-GB"/>
              </w:rPr>
            </w:pPr>
            <w:r w:rsidRPr="006D1DDF">
              <w:rPr>
                <w:rFonts w:ascii="Arial Narrow" w:hAnsi="Arial Narrow"/>
                <w:sz w:val="20"/>
                <w:lang w:val="en-GB"/>
              </w:rPr>
              <w:t>RESONATE</w:t>
            </w:r>
          </w:p>
        </w:tc>
        <w:tc>
          <w:tcPr>
            <w:tcW w:w="5496" w:type="dxa"/>
            <w:tcBorders>
              <w:bottom w:val="nil"/>
            </w:tcBorders>
          </w:tcPr>
          <w:p w:rsidR="00CB0C06" w:rsidRDefault="00CB0C06" w:rsidP="00CB7968">
            <w:pPr>
              <w:keepNext/>
              <w:widowControl/>
              <w:jc w:val="left"/>
              <w:rPr>
                <w:rFonts w:ascii="Arial Narrow" w:hAnsi="Arial Narrow"/>
                <w:sz w:val="20"/>
                <w:lang w:val="en-GB"/>
              </w:rPr>
            </w:pPr>
            <w:r w:rsidRPr="006D1DDF">
              <w:rPr>
                <w:rFonts w:ascii="Arial Narrow" w:hAnsi="Arial Narrow"/>
                <w:sz w:val="20"/>
                <w:lang w:val="en-GB"/>
              </w:rPr>
              <w:t>A Randomized, Multicenter, Open-label, Phase 3 Study of the Bruton’s Tyrosine Kinase (BTK) Inhibitor Ibrutinib versus Ofatumumab in Patients with Relapsed or Refractory Chronic Lymphocytic Leukemia/Small Lymphocytic Lymphoma (PCYC-112-CA).</w:t>
            </w:r>
          </w:p>
          <w:p w:rsidR="00810BF8" w:rsidRPr="006D1DDF" w:rsidRDefault="00810BF8" w:rsidP="00CB7968">
            <w:pPr>
              <w:keepNext/>
              <w:widowControl/>
              <w:jc w:val="left"/>
              <w:rPr>
                <w:rFonts w:ascii="Arial Narrow" w:hAnsi="Arial Narrow"/>
                <w:sz w:val="20"/>
                <w:lang w:val="en-GB"/>
              </w:rPr>
            </w:pPr>
          </w:p>
        </w:tc>
        <w:tc>
          <w:tcPr>
            <w:tcW w:w="1825" w:type="dxa"/>
            <w:tcBorders>
              <w:bottom w:val="nil"/>
            </w:tcBorders>
          </w:tcPr>
          <w:p w:rsidR="00CB0C06" w:rsidRPr="006D1DDF" w:rsidRDefault="00CB0C06" w:rsidP="00CB7968">
            <w:pPr>
              <w:keepNext/>
              <w:widowControl/>
              <w:jc w:val="left"/>
              <w:rPr>
                <w:rFonts w:ascii="Arial Narrow" w:hAnsi="Arial Narrow"/>
                <w:sz w:val="20"/>
                <w:lang w:val="en-GB"/>
              </w:rPr>
            </w:pPr>
            <w:r w:rsidRPr="006D1DDF">
              <w:rPr>
                <w:rFonts w:ascii="Arial Narrow" w:hAnsi="Arial Narrow"/>
                <w:sz w:val="20"/>
                <w:lang w:val="en-GB"/>
              </w:rPr>
              <w:t>Clinical Study Report. 01 March 2012</w:t>
            </w:r>
          </w:p>
        </w:tc>
      </w:tr>
      <w:tr w:rsidR="00810BF8" w:rsidRPr="006D1DDF" w:rsidTr="00810BF8">
        <w:tc>
          <w:tcPr>
            <w:tcW w:w="0" w:type="auto"/>
            <w:tcBorders>
              <w:top w:val="nil"/>
            </w:tcBorders>
          </w:tcPr>
          <w:p w:rsidR="00810BF8" w:rsidRPr="006D1DDF" w:rsidRDefault="00810BF8" w:rsidP="00CB7968">
            <w:pPr>
              <w:keepNext/>
              <w:widowControl/>
              <w:jc w:val="left"/>
              <w:rPr>
                <w:rFonts w:ascii="Arial Narrow" w:hAnsi="Arial Narrow"/>
                <w:sz w:val="20"/>
                <w:lang w:val="en-GB"/>
              </w:rPr>
            </w:pPr>
          </w:p>
        </w:tc>
        <w:tc>
          <w:tcPr>
            <w:tcW w:w="5496" w:type="dxa"/>
            <w:tcBorders>
              <w:top w:val="nil"/>
            </w:tcBorders>
          </w:tcPr>
          <w:p w:rsidR="00810BF8" w:rsidRPr="006D1DDF" w:rsidRDefault="00810BF8" w:rsidP="00CB7968">
            <w:pPr>
              <w:keepNext/>
              <w:widowControl/>
              <w:jc w:val="left"/>
              <w:rPr>
                <w:rFonts w:ascii="Arial Narrow" w:hAnsi="Arial Narrow"/>
                <w:sz w:val="20"/>
                <w:lang w:val="en-GB"/>
              </w:rPr>
            </w:pPr>
            <w:r w:rsidRPr="006D1DDF">
              <w:rPr>
                <w:rFonts w:ascii="Arial Narrow" w:hAnsi="Arial Narrow"/>
                <w:sz w:val="20"/>
                <w:lang w:val="en-GB"/>
              </w:rPr>
              <w:t>Byrd JC, Brown JC, O’Brien S et al.</w:t>
            </w:r>
            <w:r w:rsidRPr="006D1DDF">
              <w:rPr>
                <w:rFonts w:ascii="Arial Narrow" w:hAnsi="Arial Narrow"/>
                <w:i/>
                <w:sz w:val="20"/>
                <w:lang w:val="en-GB"/>
              </w:rPr>
              <w:t xml:space="preserve"> </w:t>
            </w:r>
            <w:r w:rsidRPr="006D1DDF">
              <w:rPr>
                <w:rFonts w:ascii="Arial Narrow" w:hAnsi="Arial Narrow"/>
                <w:sz w:val="20"/>
                <w:lang w:val="en-GB"/>
              </w:rPr>
              <w:t>Ibrutinib versus ofatumumab in previously treated chronic lymphoid leukemia.</w:t>
            </w:r>
          </w:p>
        </w:tc>
        <w:tc>
          <w:tcPr>
            <w:tcW w:w="1825" w:type="dxa"/>
            <w:tcBorders>
              <w:top w:val="nil"/>
            </w:tcBorders>
          </w:tcPr>
          <w:p w:rsidR="00810BF8" w:rsidRPr="006D1DDF" w:rsidRDefault="00810BF8" w:rsidP="00CB7968">
            <w:pPr>
              <w:keepNext/>
              <w:widowControl/>
              <w:jc w:val="left"/>
              <w:rPr>
                <w:rFonts w:ascii="Arial Narrow" w:hAnsi="Arial Narrow"/>
                <w:sz w:val="20"/>
                <w:lang w:val="en-GB"/>
              </w:rPr>
            </w:pPr>
            <w:r w:rsidRPr="006D1DDF">
              <w:rPr>
                <w:rFonts w:ascii="Arial Narrow" w:hAnsi="Arial Narrow"/>
                <w:sz w:val="20"/>
                <w:lang w:val="en-GB"/>
              </w:rPr>
              <w:t>N Engl J Med (2014); 371 (13):213-223</w:t>
            </w:r>
          </w:p>
        </w:tc>
      </w:tr>
      <w:tr w:rsidR="00CB0C06" w:rsidRPr="006D1DDF" w:rsidTr="009B1C8C">
        <w:tc>
          <w:tcPr>
            <w:tcW w:w="0" w:type="auto"/>
            <w:gridSpan w:val="3"/>
          </w:tcPr>
          <w:p w:rsidR="00CB0C06" w:rsidRPr="006D1DDF" w:rsidRDefault="00CB0C06" w:rsidP="00CB7968">
            <w:pPr>
              <w:keepNext/>
              <w:widowControl/>
              <w:jc w:val="left"/>
              <w:rPr>
                <w:rFonts w:ascii="Arial Narrow" w:hAnsi="Arial Narrow"/>
                <w:b/>
                <w:sz w:val="20"/>
                <w:lang w:val="en-GB"/>
              </w:rPr>
            </w:pPr>
            <w:r w:rsidRPr="006D1DDF">
              <w:rPr>
                <w:rFonts w:ascii="Arial Narrow" w:hAnsi="Arial Narrow"/>
                <w:b/>
                <w:sz w:val="20"/>
                <w:lang w:val="en-GB"/>
              </w:rPr>
              <w:t>Supportive studies rituximab and  rituximab plus chlorambucil</w:t>
            </w:r>
          </w:p>
        </w:tc>
      </w:tr>
      <w:tr w:rsidR="00CB0C06" w:rsidRPr="006D1DDF" w:rsidTr="00CB7968">
        <w:tc>
          <w:tcPr>
            <w:tcW w:w="0" w:type="auto"/>
          </w:tcPr>
          <w:p w:rsidR="00CB0C06" w:rsidRPr="006D0B5F" w:rsidRDefault="00CB0C06" w:rsidP="00CB7968">
            <w:pPr>
              <w:keepNext/>
              <w:widowControl/>
              <w:jc w:val="left"/>
              <w:rPr>
                <w:rFonts w:ascii="Arial Narrow" w:hAnsi="Arial Narrow"/>
                <w:sz w:val="20"/>
                <w:lang w:val="en-GB"/>
              </w:rPr>
            </w:pPr>
            <w:r w:rsidRPr="006D0B5F">
              <w:rPr>
                <w:rFonts w:ascii="Arial Narrow" w:hAnsi="Arial Narrow"/>
                <w:sz w:val="20"/>
                <w:lang w:val="en-GB"/>
              </w:rPr>
              <w:t>Tam (2014)</w:t>
            </w:r>
          </w:p>
        </w:tc>
        <w:tc>
          <w:tcPr>
            <w:tcW w:w="5496" w:type="dxa"/>
          </w:tcPr>
          <w:p w:rsidR="00CB0C06" w:rsidRPr="006D0B5F" w:rsidRDefault="00CB0C06" w:rsidP="00CB7968">
            <w:pPr>
              <w:keepNext/>
              <w:widowControl/>
              <w:jc w:val="left"/>
              <w:rPr>
                <w:rFonts w:ascii="Arial Narrow" w:hAnsi="Arial Narrow"/>
                <w:sz w:val="20"/>
                <w:lang w:val="en-GB"/>
              </w:rPr>
            </w:pPr>
            <w:r w:rsidRPr="006D0B5F">
              <w:rPr>
                <w:rFonts w:ascii="Arial Narrow" w:hAnsi="Arial Narrow"/>
                <w:sz w:val="20"/>
              </w:rPr>
              <w:t>Tam, CS, O’Brien SO, Plunkett W et al. Long-term results of the fludarabine, cyclophosphamide, and rituximab regimen as initial therapy of chronic lymphocytic leukaemia. </w:t>
            </w:r>
          </w:p>
        </w:tc>
        <w:tc>
          <w:tcPr>
            <w:tcW w:w="1825" w:type="dxa"/>
          </w:tcPr>
          <w:p w:rsidR="00CB0C06" w:rsidRPr="006D0B5F" w:rsidRDefault="00CB0C06" w:rsidP="00CB7968">
            <w:pPr>
              <w:keepNext/>
              <w:widowControl/>
              <w:jc w:val="left"/>
              <w:rPr>
                <w:rFonts w:ascii="Arial Narrow" w:hAnsi="Arial Narrow"/>
                <w:sz w:val="20"/>
                <w:lang w:val="en-GB"/>
              </w:rPr>
            </w:pPr>
            <w:r w:rsidRPr="006D0B5F">
              <w:rPr>
                <w:rFonts w:ascii="Arial Narrow" w:hAnsi="Arial Narrow"/>
                <w:iCs/>
                <w:sz w:val="20"/>
                <w:lang w:val="en-US"/>
              </w:rPr>
              <w:t>Blood 2014;124(20):3059-64</w:t>
            </w:r>
          </w:p>
        </w:tc>
      </w:tr>
      <w:tr w:rsidR="00CB0C06" w:rsidRPr="006D1DDF" w:rsidTr="00CB7968">
        <w:tc>
          <w:tcPr>
            <w:tcW w:w="0" w:type="auto"/>
          </w:tcPr>
          <w:p w:rsidR="00CB0C06" w:rsidRPr="006D1DDF" w:rsidRDefault="00CB0C06" w:rsidP="00CB7968">
            <w:pPr>
              <w:keepNext/>
              <w:widowControl/>
              <w:jc w:val="left"/>
              <w:rPr>
                <w:rFonts w:ascii="Arial Narrow" w:hAnsi="Arial Narrow"/>
                <w:sz w:val="20"/>
                <w:lang w:val="en-GB"/>
              </w:rPr>
            </w:pPr>
            <w:r w:rsidRPr="006D1DDF">
              <w:rPr>
                <w:rFonts w:ascii="Arial Narrow" w:hAnsi="Arial Narrow"/>
                <w:sz w:val="20"/>
                <w:lang w:val="en-GB"/>
              </w:rPr>
              <w:t>Hillmen (2014)</w:t>
            </w:r>
          </w:p>
        </w:tc>
        <w:tc>
          <w:tcPr>
            <w:tcW w:w="5496" w:type="dxa"/>
          </w:tcPr>
          <w:p w:rsidR="00CB0C06" w:rsidRPr="006D1DDF" w:rsidRDefault="00CB0C06" w:rsidP="00CB7968">
            <w:pPr>
              <w:keepNext/>
              <w:widowControl/>
              <w:jc w:val="left"/>
              <w:rPr>
                <w:rFonts w:ascii="Arial Narrow" w:hAnsi="Arial Narrow"/>
                <w:sz w:val="20"/>
              </w:rPr>
            </w:pPr>
            <w:bookmarkStart w:id="10" w:name="RANGE!A49"/>
            <w:bookmarkEnd w:id="10"/>
            <w:r w:rsidRPr="006D1DDF">
              <w:rPr>
                <w:rFonts w:ascii="Arial Narrow" w:hAnsi="Arial Narrow"/>
                <w:sz w:val="20"/>
                <w:lang w:val="en-US"/>
              </w:rPr>
              <w:t xml:space="preserve">Hillmen, P, Gribben JG, Follows GA et al. </w:t>
            </w:r>
            <w:r w:rsidRPr="006D1DDF">
              <w:rPr>
                <w:rFonts w:ascii="Arial Narrow" w:hAnsi="Arial Narrow"/>
                <w:bCs/>
                <w:sz w:val="20"/>
                <w:lang w:val="en-GB"/>
              </w:rPr>
              <w:t xml:space="preserve">Rituximab plus chlorambucil as first-line treatment for chronic lymphocytic </w:t>
            </w:r>
            <w:r w:rsidR="0070590E" w:rsidRPr="006D1DDF">
              <w:rPr>
                <w:rFonts w:ascii="Arial Narrow" w:hAnsi="Arial Narrow"/>
                <w:bCs/>
                <w:sz w:val="20"/>
                <w:lang w:val="en-GB"/>
              </w:rPr>
              <w:t>leukaemia</w:t>
            </w:r>
            <w:r w:rsidRPr="006D1DDF">
              <w:rPr>
                <w:rFonts w:ascii="Arial Narrow" w:hAnsi="Arial Narrow"/>
                <w:bCs/>
                <w:sz w:val="20"/>
                <w:lang w:val="en-GB"/>
              </w:rPr>
              <w:t>: Final analysis of an open-label phase II study</w:t>
            </w:r>
            <w:r w:rsidRPr="006D1DDF">
              <w:rPr>
                <w:rFonts w:ascii="Arial Narrow" w:hAnsi="Arial Narrow"/>
                <w:sz w:val="20"/>
                <w:lang w:val="en-US"/>
              </w:rPr>
              <w:t>.</w:t>
            </w:r>
          </w:p>
        </w:tc>
        <w:tc>
          <w:tcPr>
            <w:tcW w:w="1825" w:type="dxa"/>
          </w:tcPr>
          <w:p w:rsidR="00CB0C06" w:rsidRPr="006D1DDF" w:rsidRDefault="00CB0C06" w:rsidP="00CB7968">
            <w:pPr>
              <w:keepNext/>
              <w:widowControl/>
              <w:jc w:val="left"/>
              <w:rPr>
                <w:rFonts w:ascii="Arial Narrow" w:hAnsi="Arial Narrow"/>
                <w:iCs/>
                <w:sz w:val="20"/>
              </w:rPr>
            </w:pPr>
            <w:r w:rsidRPr="006D1DDF">
              <w:rPr>
                <w:rFonts w:ascii="Arial Narrow" w:hAnsi="Arial Narrow"/>
                <w:sz w:val="20"/>
                <w:lang w:val="en-US"/>
              </w:rPr>
              <w:t>J Clin Oncol (2014).</w:t>
            </w:r>
            <w:r w:rsidRPr="006D1DDF">
              <w:rPr>
                <w:rFonts w:ascii="Arial Narrow" w:hAnsi="Arial Narrow"/>
                <w:bCs/>
                <w:sz w:val="20"/>
                <w:lang w:val="en-US"/>
              </w:rPr>
              <w:t>32</w:t>
            </w:r>
            <w:r w:rsidRPr="006D1DDF">
              <w:rPr>
                <w:rFonts w:ascii="Arial Narrow" w:hAnsi="Arial Narrow"/>
                <w:sz w:val="20"/>
                <w:lang w:val="en-US"/>
              </w:rPr>
              <w:t xml:space="preserve">(12): 1236-1241 </w:t>
            </w:r>
          </w:p>
        </w:tc>
      </w:tr>
    </w:tbl>
    <w:p w:rsidR="00CB0C06" w:rsidRDefault="00CB0C06" w:rsidP="00CB7968">
      <w:pPr>
        <w:pStyle w:val="TableFooter"/>
        <w:keepNext/>
        <w:widowControl/>
        <w:ind w:firstLine="720"/>
        <w:rPr>
          <w:lang w:val="en-GB"/>
        </w:rPr>
      </w:pPr>
      <w:r w:rsidRPr="006D1DDF">
        <w:rPr>
          <w:lang w:val="en-GB"/>
        </w:rPr>
        <w:t>Source: Table Bi.5, p57 of the submission</w:t>
      </w:r>
    </w:p>
    <w:p w:rsidR="00F24B2D" w:rsidRDefault="00F24B2D" w:rsidP="00CB7968">
      <w:pPr>
        <w:pStyle w:val="TableFooter"/>
        <w:keepNext/>
        <w:widowControl/>
        <w:ind w:firstLine="720"/>
        <w:rPr>
          <w:lang w:val="en-GB"/>
        </w:rPr>
      </w:pPr>
      <w:r>
        <w:rPr>
          <w:lang w:val="en-GB"/>
        </w:rPr>
        <w:t>The comparison to the Tam paper was conducted during the evaluation</w:t>
      </w:r>
    </w:p>
    <w:p w:rsidR="00F24B2D" w:rsidRPr="006D1DDF" w:rsidRDefault="00F24B2D" w:rsidP="00CB7968">
      <w:pPr>
        <w:pStyle w:val="TableFooter"/>
        <w:keepNext/>
        <w:widowControl/>
        <w:ind w:firstLine="720"/>
        <w:rPr>
          <w:lang w:val="en-GB"/>
        </w:rPr>
      </w:pPr>
    </w:p>
    <w:p w:rsidR="00CB0C06" w:rsidRPr="006D1DDF" w:rsidRDefault="00CB0C06" w:rsidP="008F120A">
      <w:pPr>
        <w:widowControl/>
        <w:rPr>
          <w:sz w:val="14"/>
          <w:szCs w:val="22"/>
          <w:lang w:val="en-GB"/>
        </w:rPr>
      </w:pPr>
    </w:p>
    <w:p w:rsidR="00CB0C06" w:rsidRDefault="00CB0C06" w:rsidP="007F1017">
      <w:pPr>
        <w:pStyle w:val="ListParagraph"/>
        <w:widowControl/>
        <w:numPr>
          <w:ilvl w:val="1"/>
          <w:numId w:val="7"/>
        </w:numPr>
        <w:rPr>
          <w:szCs w:val="22"/>
          <w:lang w:val="en-GB"/>
        </w:rPr>
      </w:pPr>
      <w:r w:rsidRPr="006D1DDF">
        <w:rPr>
          <w:szCs w:val="22"/>
          <w:lang w:val="en-GB"/>
        </w:rPr>
        <w:t>The key features of the direct randomised trial in the submission are summarised in Table 2.</w:t>
      </w:r>
    </w:p>
    <w:p w:rsidR="00EC4A34" w:rsidRPr="00731C0E" w:rsidRDefault="00EC4A34" w:rsidP="00EC4A34">
      <w:pPr>
        <w:pStyle w:val="ListParagraph"/>
        <w:widowControl/>
        <w:rPr>
          <w:szCs w:val="22"/>
          <w:lang w:val="en-GB"/>
        </w:rPr>
      </w:pPr>
    </w:p>
    <w:p w:rsidR="00CB0C06" w:rsidRPr="006D1DDF" w:rsidRDefault="00CB0C06" w:rsidP="00805185">
      <w:pPr>
        <w:ind w:firstLine="720"/>
        <w:rPr>
          <w:rStyle w:val="CommentReference"/>
          <w:rFonts w:cs="Arial"/>
          <w:sz w:val="20"/>
          <w:szCs w:val="16"/>
          <w:lang w:val="en-GB"/>
        </w:rPr>
      </w:pPr>
      <w:r w:rsidRPr="006D1DDF">
        <w:rPr>
          <w:rStyle w:val="CommentReference"/>
          <w:rFonts w:cs="Arial"/>
          <w:sz w:val="20"/>
          <w:szCs w:val="16"/>
          <w:lang w:val="en-GB"/>
        </w:rPr>
        <w:t>Table 2: Key features of the included evidence of the included trials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75"/>
        <w:gridCol w:w="330"/>
        <w:gridCol w:w="1243"/>
        <w:gridCol w:w="708"/>
        <w:gridCol w:w="2901"/>
        <w:gridCol w:w="945"/>
        <w:gridCol w:w="1244"/>
      </w:tblGrid>
      <w:tr w:rsidR="00CB0C06" w:rsidRPr="006D1DDF" w:rsidTr="005D280C">
        <w:tc>
          <w:tcPr>
            <w:tcW w:w="0" w:type="auto"/>
            <w:vAlign w:val="center"/>
          </w:tcPr>
          <w:p w:rsidR="00CB0C06" w:rsidRPr="006D1DDF" w:rsidRDefault="00CB0C06" w:rsidP="005D280C">
            <w:pPr>
              <w:jc w:val="left"/>
              <w:rPr>
                <w:rFonts w:ascii="Arial Narrow" w:hAnsi="Arial Narrow"/>
                <w:b/>
                <w:sz w:val="20"/>
                <w:lang w:val="en-GB"/>
              </w:rPr>
            </w:pPr>
            <w:r w:rsidRPr="006D1DDF">
              <w:rPr>
                <w:rFonts w:ascii="Arial Narrow" w:hAnsi="Arial Narrow"/>
                <w:b/>
                <w:sz w:val="20"/>
                <w:lang w:val="en-GB"/>
              </w:rPr>
              <w:t>Trial</w:t>
            </w:r>
          </w:p>
        </w:tc>
        <w:tc>
          <w:tcPr>
            <w:tcW w:w="0" w:type="auto"/>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N</w:t>
            </w:r>
          </w:p>
        </w:tc>
        <w:tc>
          <w:tcPr>
            <w:tcW w:w="1243" w:type="dxa"/>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Design/ duration</w:t>
            </w:r>
          </w:p>
        </w:tc>
        <w:tc>
          <w:tcPr>
            <w:tcW w:w="708" w:type="dxa"/>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Risk of bias</w:t>
            </w:r>
          </w:p>
        </w:tc>
        <w:tc>
          <w:tcPr>
            <w:tcW w:w="2901" w:type="dxa"/>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Patient population</w:t>
            </w:r>
          </w:p>
        </w:tc>
        <w:tc>
          <w:tcPr>
            <w:tcW w:w="0" w:type="auto"/>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Outcomes</w:t>
            </w:r>
          </w:p>
        </w:tc>
        <w:tc>
          <w:tcPr>
            <w:tcW w:w="0" w:type="auto"/>
            <w:vAlign w:val="center"/>
          </w:tcPr>
          <w:p w:rsidR="00CB0C06" w:rsidRPr="006D1DDF" w:rsidRDefault="00CB0C06" w:rsidP="007F1017">
            <w:pPr>
              <w:jc w:val="center"/>
              <w:rPr>
                <w:rFonts w:ascii="Arial Narrow" w:hAnsi="Arial Narrow"/>
                <w:b/>
                <w:sz w:val="20"/>
                <w:lang w:val="en-GB"/>
              </w:rPr>
            </w:pPr>
            <w:r w:rsidRPr="006D1DDF">
              <w:rPr>
                <w:rFonts w:ascii="Arial Narrow" w:hAnsi="Arial Narrow"/>
                <w:b/>
                <w:sz w:val="20"/>
                <w:lang w:val="en-GB"/>
              </w:rPr>
              <w:t>Use in modelled evaluation</w:t>
            </w:r>
          </w:p>
        </w:tc>
      </w:tr>
      <w:tr w:rsidR="00CB0C06" w:rsidRPr="006D1DDF" w:rsidTr="005D280C">
        <w:tc>
          <w:tcPr>
            <w:tcW w:w="8346" w:type="dxa"/>
            <w:gridSpan w:val="7"/>
            <w:vAlign w:val="center"/>
          </w:tcPr>
          <w:p w:rsidR="00CB0C06" w:rsidRPr="006D1DDF" w:rsidRDefault="00CB0C06" w:rsidP="005D280C">
            <w:pPr>
              <w:jc w:val="left"/>
              <w:rPr>
                <w:rFonts w:ascii="Arial Narrow" w:hAnsi="Arial Narrow"/>
                <w:b/>
                <w:sz w:val="20"/>
                <w:lang w:val="en-GB"/>
              </w:rPr>
            </w:pPr>
            <w:r w:rsidRPr="006D1DDF">
              <w:rPr>
                <w:rFonts w:ascii="Arial Narrow" w:hAnsi="Arial Narrow"/>
                <w:b/>
                <w:sz w:val="20"/>
                <w:lang w:val="en-GB"/>
              </w:rPr>
              <w:t>Ibrutinib vs. ofatumumab</w:t>
            </w:r>
          </w:p>
        </w:tc>
      </w:tr>
      <w:tr w:rsidR="00CB0C06" w:rsidRPr="006D1DDF" w:rsidTr="005D280C">
        <w:tc>
          <w:tcPr>
            <w:tcW w:w="0" w:type="auto"/>
            <w:vAlign w:val="center"/>
          </w:tcPr>
          <w:p w:rsidR="00CB0C06" w:rsidRPr="006D1DDF" w:rsidRDefault="00CB0C06" w:rsidP="005D280C">
            <w:pPr>
              <w:jc w:val="left"/>
              <w:rPr>
                <w:rFonts w:ascii="Arial Narrow" w:hAnsi="Arial Narrow"/>
                <w:sz w:val="20"/>
                <w:lang w:val="en-GB"/>
              </w:rPr>
            </w:pPr>
            <w:r w:rsidRPr="006D1DDF">
              <w:rPr>
                <w:rFonts w:ascii="Arial Narrow" w:hAnsi="Arial Narrow"/>
                <w:sz w:val="20"/>
                <w:lang w:val="en-GB"/>
              </w:rPr>
              <w:t>RESONATE</w:t>
            </w:r>
          </w:p>
        </w:tc>
        <w:tc>
          <w:tcPr>
            <w:tcW w:w="0" w:type="auto"/>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391</w:t>
            </w:r>
          </w:p>
        </w:tc>
        <w:tc>
          <w:tcPr>
            <w:tcW w:w="1243" w:type="dxa"/>
            <w:vAlign w:val="center"/>
          </w:tcPr>
          <w:p w:rsidR="00CB0C06" w:rsidRPr="006D1DDF" w:rsidRDefault="00CB0C06" w:rsidP="005D280C">
            <w:pPr>
              <w:jc w:val="left"/>
              <w:rPr>
                <w:rFonts w:ascii="Arial Narrow" w:hAnsi="Arial Narrow"/>
                <w:sz w:val="20"/>
                <w:lang w:val="en-GB"/>
              </w:rPr>
            </w:pPr>
            <w:r w:rsidRPr="006D1DDF">
              <w:rPr>
                <w:rFonts w:ascii="Arial Narrow" w:hAnsi="Arial Narrow"/>
                <w:sz w:val="20"/>
                <w:lang w:val="en-GB"/>
              </w:rPr>
              <w:t>R, MC, OL</w:t>
            </w:r>
          </w:p>
          <w:p w:rsidR="00CB0C06" w:rsidRPr="006D1DDF" w:rsidRDefault="00CB0C06" w:rsidP="005D280C">
            <w:pPr>
              <w:jc w:val="left"/>
              <w:rPr>
                <w:rFonts w:ascii="Arial Narrow" w:hAnsi="Arial Narrow"/>
                <w:sz w:val="20"/>
                <w:vertAlign w:val="superscript"/>
                <w:lang w:val="en-GB"/>
              </w:rPr>
            </w:pPr>
            <w:r w:rsidRPr="006D1DDF">
              <w:rPr>
                <w:rFonts w:ascii="Arial Narrow" w:hAnsi="Arial Narrow"/>
                <w:sz w:val="20"/>
                <w:lang w:val="en-GB"/>
              </w:rPr>
              <w:t xml:space="preserve">9.4m follow-up </w:t>
            </w:r>
            <w:r w:rsidRPr="006D1DDF">
              <w:rPr>
                <w:rFonts w:ascii="Arial Narrow" w:hAnsi="Arial Narrow"/>
                <w:sz w:val="20"/>
                <w:vertAlign w:val="superscript"/>
                <w:lang w:val="en-GB"/>
              </w:rPr>
              <w:t>a</w:t>
            </w:r>
          </w:p>
        </w:tc>
        <w:tc>
          <w:tcPr>
            <w:tcW w:w="708" w:type="dxa"/>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Unclear</w:t>
            </w:r>
          </w:p>
        </w:tc>
        <w:tc>
          <w:tcPr>
            <w:tcW w:w="2901" w:type="dxa"/>
            <w:vAlign w:val="center"/>
          </w:tcPr>
          <w:p w:rsidR="00CB0C06" w:rsidRPr="006D1DDF" w:rsidRDefault="00CB0C06" w:rsidP="005D280C">
            <w:pPr>
              <w:jc w:val="left"/>
              <w:rPr>
                <w:rFonts w:ascii="Arial Narrow" w:hAnsi="Arial Narrow"/>
                <w:sz w:val="20"/>
                <w:lang w:val="en-GB"/>
              </w:rPr>
            </w:pPr>
            <w:r w:rsidRPr="006D1DDF">
              <w:rPr>
                <w:rFonts w:ascii="Arial Narrow" w:hAnsi="Arial Narrow"/>
                <w:sz w:val="20"/>
                <w:lang w:val="en-GB"/>
              </w:rPr>
              <w:t>Relapsed/refractory CLL/SLL, not suitable for purine therapy</w:t>
            </w:r>
          </w:p>
        </w:tc>
        <w:tc>
          <w:tcPr>
            <w:tcW w:w="0" w:type="auto"/>
            <w:vAlign w:val="center"/>
          </w:tcPr>
          <w:p w:rsidR="00CB0C06" w:rsidRPr="006D1DDF" w:rsidRDefault="00CB0C06" w:rsidP="007F5FB2">
            <w:pPr>
              <w:jc w:val="center"/>
              <w:rPr>
                <w:rFonts w:ascii="Arial Narrow" w:hAnsi="Arial Narrow"/>
                <w:sz w:val="20"/>
                <w:lang w:val="en-GB"/>
              </w:rPr>
            </w:pPr>
            <w:r w:rsidRPr="006D1DDF">
              <w:rPr>
                <w:rFonts w:ascii="Arial Narrow" w:hAnsi="Arial Narrow"/>
                <w:sz w:val="20"/>
                <w:lang w:val="en-GB"/>
              </w:rPr>
              <w:t>PFS, OS, ORR</w:t>
            </w:r>
          </w:p>
        </w:tc>
        <w:tc>
          <w:tcPr>
            <w:tcW w:w="0" w:type="auto"/>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Yes</w:t>
            </w:r>
          </w:p>
        </w:tc>
      </w:tr>
      <w:tr w:rsidR="00CB0C06" w:rsidRPr="006D1DDF" w:rsidTr="005D280C">
        <w:tc>
          <w:tcPr>
            <w:tcW w:w="8346" w:type="dxa"/>
            <w:gridSpan w:val="7"/>
            <w:vAlign w:val="center"/>
          </w:tcPr>
          <w:p w:rsidR="00CB0C06" w:rsidRPr="006D1DDF" w:rsidRDefault="00CB0C06" w:rsidP="005D280C">
            <w:pPr>
              <w:jc w:val="left"/>
              <w:rPr>
                <w:rFonts w:ascii="Arial Narrow" w:hAnsi="Arial Narrow"/>
                <w:b/>
                <w:sz w:val="20"/>
                <w:lang w:val="en-GB"/>
              </w:rPr>
            </w:pPr>
            <w:r w:rsidRPr="006D1DDF">
              <w:rPr>
                <w:rFonts w:ascii="Arial Narrow" w:hAnsi="Arial Narrow"/>
                <w:b/>
                <w:sz w:val="20"/>
                <w:lang w:val="en-GB"/>
              </w:rPr>
              <w:t>Rituximab + chlorambucil studies</w:t>
            </w:r>
          </w:p>
        </w:tc>
      </w:tr>
      <w:tr w:rsidR="00CB0C06" w:rsidRPr="006D1DDF" w:rsidTr="005D280C">
        <w:tc>
          <w:tcPr>
            <w:tcW w:w="0" w:type="auto"/>
            <w:vAlign w:val="center"/>
          </w:tcPr>
          <w:p w:rsidR="00CB0C06" w:rsidRPr="006D1DDF" w:rsidRDefault="00CB0C06" w:rsidP="005D280C">
            <w:pPr>
              <w:jc w:val="left"/>
              <w:rPr>
                <w:rFonts w:ascii="Arial Narrow" w:hAnsi="Arial Narrow"/>
                <w:sz w:val="20"/>
                <w:lang w:val="en-GB"/>
              </w:rPr>
            </w:pPr>
            <w:r w:rsidRPr="006D1DDF">
              <w:rPr>
                <w:rFonts w:ascii="Arial Narrow" w:hAnsi="Arial Narrow"/>
                <w:sz w:val="20"/>
                <w:lang w:val="en-GB"/>
              </w:rPr>
              <w:t>Hillmen 2014</w:t>
            </w:r>
          </w:p>
        </w:tc>
        <w:tc>
          <w:tcPr>
            <w:tcW w:w="0" w:type="auto"/>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100</w:t>
            </w:r>
          </w:p>
        </w:tc>
        <w:tc>
          <w:tcPr>
            <w:tcW w:w="1243" w:type="dxa"/>
            <w:vAlign w:val="center"/>
          </w:tcPr>
          <w:p w:rsidR="00CB0C06" w:rsidRPr="006D1DDF" w:rsidRDefault="00CB0C06" w:rsidP="005D280C">
            <w:pPr>
              <w:jc w:val="left"/>
              <w:rPr>
                <w:rFonts w:ascii="Arial Narrow" w:hAnsi="Arial Narrow"/>
                <w:sz w:val="20"/>
                <w:vertAlign w:val="superscript"/>
                <w:lang w:val="en-GB"/>
              </w:rPr>
            </w:pPr>
            <w:r w:rsidRPr="006D1DDF">
              <w:rPr>
                <w:rFonts w:ascii="Arial Narrow" w:hAnsi="Arial Narrow"/>
                <w:sz w:val="20"/>
                <w:lang w:val="en-GB"/>
              </w:rPr>
              <w:t xml:space="preserve">Single arm, OL, 30 m follow-up </w:t>
            </w:r>
            <w:r w:rsidRPr="006D1DDF">
              <w:rPr>
                <w:rFonts w:ascii="Arial Narrow" w:hAnsi="Arial Narrow"/>
                <w:sz w:val="20"/>
                <w:vertAlign w:val="superscript"/>
                <w:lang w:val="en-GB"/>
              </w:rPr>
              <w:t>a</w:t>
            </w:r>
          </w:p>
        </w:tc>
        <w:tc>
          <w:tcPr>
            <w:tcW w:w="708" w:type="dxa"/>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High</w:t>
            </w:r>
          </w:p>
        </w:tc>
        <w:tc>
          <w:tcPr>
            <w:tcW w:w="2901" w:type="dxa"/>
            <w:vAlign w:val="center"/>
          </w:tcPr>
          <w:p w:rsidR="00CB0C06" w:rsidRPr="006D1DDF" w:rsidRDefault="00CB0C06" w:rsidP="005D280C">
            <w:pPr>
              <w:jc w:val="left"/>
              <w:rPr>
                <w:rFonts w:ascii="Arial Narrow" w:hAnsi="Arial Narrow"/>
                <w:sz w:val="20"/>
                <w:lang w:val="en-GB"/>
              </w:rPr>
            </w:pPr>
            <w:r w:rsidRPr="006D1DDF">
              <w:rPr>
                <w:rFonts w:ascii="Arial Narrow" w:hAnsi="Arial Narrow"/>
                <w:sz w:val="20"/>
                <w:lang w:val="en-GB"/>
              </w:rPr>
              <w:t xml:space="preserve">First-line treatment CLL </w:t>
            </w:r>
          </w:p>
        </w:tc>
        <w:tc>
          <w:tcPr>
            <w:tcW w:w="0" w:type="auto"/>
            <w:vAlign w:val="center"/>
          </w:tcPr>
          <w:p w:rsidR="00CB0C06" w:rsidRPr="006D1DDF" w:rsidRDefault="00CB0C06" w:rsidP="007F5FB2">
            <w:pPr>
              <w:jc w:val="center"/>
              <w:rPr>
                <w:rFonts w:ascii="Arial Narrow" w:hAnsi="Arial Narrow"/>
                <w:sz w:val="20"/>
                <w:lang w:val="en-GB"/>
              </w:rPr>
            </w:pPr>
            <w:r w:rsidRPr="006D1DDF">
              <w:rPr>
                <w:rFonts w:ascii="Arial Narrow" w:hAnsi="Arial Narrow"/>
                <w:sz w:val="20"/>
                <w:lang w:val="en-GB"/>
              </w:rPr>
              <w:t>Safety</w:t>
            </w:r>
          </w:p>
        </w:tc>
        <w:tc>
          <w:tcPr>
            <w:tcW w:w="0" w:type="auto"/>
            <w:vAlign w:val="center"/>
          </w:tcPr>
          <w:p w:rsidR="00CB0C06" w:rsidRPr="006D1DDF" w:rsidRDefault="00CB0C06" w:rsidP="007F1017">
            <w:pPr>
              <w:jc w:val="center"/>
              <w:rPr>
                <w:rFonts w:ascii="Arial Narrow" w:hAnsi="Arial Narrow"/>
                <w:sz w:val="20"/>
                <w:lang w:val="en-GB"/>
              </w:rPr>
            </w:pPr>
            <w:r w:rsidRPr="006D1DDF">
              <w:rPr>
                <w:rFonts w:ascii="Arial Narrow" w:hAnsi="Arial Narrow"/>
                <w:sz w:val="20"/>
                <w:lang w:val="en-GB"/>
              </w:rPr>
              <w:t>No</w:t>
            </w:r>
          </w:p>
        </w:tc>
      </w:tr>
      <w:tr w:rsidR="00CB0C06" w:rsidRPr="006D1DDF" w:rsidTr="00056A73">
        <w:tc>
          <w:tcPr>
            <w:tcW w:w="8346" w:type="dxa"/>
            <w:gridSpan w:val="7"/>
            <w:vAlign w:val="center"/>
          </w:tcPr>
          <w:p w:rsidR="00CB0C06" w:rsidRPr="006D0B5F" w:rsidRDefault="00CB0C06" w:rsidP="007F1017">
            <w:pPr>
              <w:jc w:val="center"/>
              <w:rPr>
                <w:rFonts w:ascii="Arial Narrow" w:hAnsi="Arial Narrow"/>
                <w:sz w:val="20"/>
                <w:lang w:val="en-GB"/>
              </w:rPr>
            </w:pPr>
            <w:r w:rsidRPr="006D0B5F">
              <w:rPr>
                <w:rFonts w:ascii="Arial Narrow" w:hAnsi="Arial Narrow"/>
                <w:b/>
                <w:sz w:val="20"/>
                <w:lang w:val="en-GB"/>
              </w:rPr>
              <w:t>Rituximab based regimens studies (excludes any combination with chemotherapy such as chlorambucil)</w:t>
            </w:r>
          </w:p>
        </w:tc>
      </w:tr>
      <w:tr w:rsidR="00CB0C06" w:rsidRPr="006D1DDF" w:rsidTr="005D280C">
        <w:tc>
          <w:tcPr>
            <w:tcW w:w="0" w:type="auto"/>
            <w:vAlign w:val="center"/>
          </w:tcPr>
          <w:p w:rsidR="00CB0C06" w:rsidRPr="006D0B5F" w:rsidRDefault="00CB0C06" w:rsidP="005D280C">
            <w:pPr>
              <w:jc w:val="left"/>
              <w:rPr>
                <w:rFonts w:ascii="Arial Narrow" w:hAnsi="Arial Narrow"/>
                <w:sz w:val="20"/>
                <w:lang w:val="en-GB"/>
              </w:rPr>
            </w:pPr>
            <w:r w:rsidRPr="006D0B5F">
              <w:rPr>
                <w:rFonts w:ascii="Arial Narrow" w:hAnsi="Arial Narrow"/>
                <w:sz w:val="20"/>
                <w:lang w:val="en-GB"/>
              </w:rPr>
              <w:t>Tam 2014</w:t>
            </w:r>
          </w:p>
        </w:tc>
        <w:tc>
          <w:tcPr>
            <w:tcW w:w="0" w:type="auto"/>
            <w:vAlign w:val="center"/>
          </w:tcPr>
          <w:p w:rsidR="00CB0C06" w:rsidRPr="006D0B5F" w:rsidRDefault="00CB0C06" w:rsidP="007F1017">
            <w:pPr>
              <w:jc w:val="center"/>
              <w:rPr>
                <w:rFonts w:ascii="Arial Narrow" w:hAnsi="Arial Narrow"/>
                <w:sz w:val="20"/>
                <w:lang w:val="en-GB"/>
              </w:rPr>
            </w:pPr>
            <w:r w:rsidRPr="006D0B5F">
              <w:rPr>
                <w:rFonts w:ascii="Arial Narrow" w:hAnsi="Arial Narrow"/>
                <w:sz w:val="20"/>
                <w:lang w:val="en-GB"/>
              </w:rPr>
              <w:t>31</w:t>
            </w:r>
          </w:p>
        </w:tc>
        <w:tc>
          <w:tcPr>
            <w:tcW w:w="1243" w:type="dxa"/>
            <w:vAlign w:val="center"/>
          </w:tcPr>
          <w:p w:rsidR="00CB0C06" w:rsidRPr="006D0B5F" w:rsidRDefault="00CB0C06" w:rsidP="005D280C">
            <w:pPr>
              <w:jc w:val="left"/>
              <w:rPr>
                <w:rFonts w:ascii="Arial Narrow" w:hAnsi="Arial Narrow"/>
                <w:sz w:val="20"/>
                <w:lang w:val="en-GB"/>
              </w:rPr>
            </w:pPr>
            <w:r w:rsidRPr="006D0B5F">
              <w:rPr>
                <w:rFonts w:ascii="Arial Narrow" w:hAnsi="Arial Narrow"/>
                <w:sz w:val="20"/>
                <w:lang w:val="en-GB"/>
              </w:rPr>
              <w:t xml:space="preserve">OL, 142 m follow-up </w:t>
            </w:r>
            <w:r w:rsidRPr="006D0B5F">
              <w:rPr>
                <w:rFonts w:ascii="Arial Narrow" w:hAnsi="Arial Narrow"/>
                <w:sz w:val="20"/>
                <w:vertAlign w:val="superscript"/>
                <w:lang w:val="en-GB"/>
              </w:rPr>
              <w:t>a</w:t>
            </w:r>
            <w:r w:rsidRPr="006D0B5F">
              <w:rPr>
                <w:rFonts w:ascii="Arial Narrow" w:hAnsi="Arial Narrow"/>
                <w:sz w:val="20"/>
                <w:lang w:val="en-GB"/>
              </w:rPr>
              <w:t xml:space="preserve"> </w:t>
            </w:r>
          </w:p>
        </w:tc>
        <w:tc>
          <w:tcPr>
            <w:tcW w:w="708" w:type="dxa"/>
            <w:vAlign w:val="center"/>
          </w:tcPr>
          <w:p w:rsidR="00CB0C06" w:rsidRPr="006D0B5F" w:rsidRDefault="00CB0C06" w:rsidP="007F1017">
            <w:pPr>
              <w:jc w:val="center"/>
              <w:rPr>
                <w:rFonts w:ascii="Arial Narrow" w:hAnsi="Arial Narrow"/>
                <w:sz w:val="20"/>
                <w:lang w:val="en-GB"/>
              </w:rPr>
            </w:pPr>
            <w:r w:rsidRPr="006D0B5F">
              <w:rPr>
                <w:rFonts w:ascii="Arial Narrow" w:hAnsi="Arial Narrow"/>
                <w:sz w:val="20"/>
                <w:lang w:val="en-GB"/>
              </w:rPr>
              <w:t>High</w:t>
            </w:r>
          </w:p>
        </w:tc>
        <w:tc>
          <w:tcPr>
            <w:tcW w:w="2901" w:type="dxa"/>
            <w:vAlign w:val="center"/>
          </w:tcPr>
          <w:p w:rsidR="00CB0C06" w:rsidRPr="006D0B5F" w:rsidRDefault="00CB0C06" w:rsidP="005D280C">
            <w:pPr>
              <w:jc w:val="left"/>
              <w:rPr>
                <w:rFonts w:ascii="Arial Narrow" w:hAnsi="Arial Narrow"/>
                <w:sz w:val="20"/>
                <w:lang w:val="en-GB"/>
              </w:rPr>
            </w:pPr>
            <w:r w:rsidRPr="006D0B5F">
              <w:rPr>
                <w:rFonts w:ascii="Arial Narrow" w:hAnsi="Arial Narrow"/>
                <w:sz w:val="20"/>
                <w:lang w:val="en-GB"/>
              </w:rPr>
              <w:t>CLL patients who failed FCR and were provided with rituximab based regimen </w:t>
            </w:r>
            <w:r w:rsidRPr="006D0B5F">
              <w:rPr>
                <w:rFonts w:ascii="Arial Narrow" w:hAnsi="Arial Narrow"/>
                <w:sz w:val="20"/>
                <w:vertAlign w:val="superscript"/>
                <w:lang w:val="en-GB"/>
              </w:rPr>
              <w:t>b</w:t>
            </w:r>
            <w:r w:rsidRPr="006D0B5F">
              <w:rPr>
                <w:rFonts w:ascii="Arial Narrow" w:hAnsi="Arial Narrow"/>
                <w:sz w:val="20"/>
                <w:lang w:val="en-GB"/>
              </w:rPr>
              <w:t xml:space="preserve"> as 2</w:t>
            </w:r>
            <w:r w:rsidRPr="006D0B5F">
              <w:rPr>
                <w:rFonts w:ascii="Arial Narrow" w:hAnsi="Arial Narrow"/>
                <w:sz w:val="20"/>
                <w:vertAlign w:val="superscript"/>
                <w:lang w:val="en-GB"/>
              </w:rPr>
              <w:t>nd</w:t>
            </w:r>
            <w:r w:rsidRPr="006D0B5F">
              <w:rPr>
                <w:rFonts w:ascii="Arial Narrow" w:hAnsi="Arial Narrow"/>
                <w:sz w:val="20"/>
                <w:lang w:val="en-GB"/>
              </w:rPr>
              <w:t xml:space="preserve"> line treatment </w:t>
            </w:r>
          </w:p>
        </w:tc>
        <w:tc>
          <w:tcPr>
            <w:tcW w:w="0" w:type="auto"/>
            <w:vAlign w:val="center"/>
          </w:tcPr>
          <w:p w:rsidR="00CB0C06" w:rsidRPr="006D0B5F" w:rsidRDefault="00CB0C06" w:rsidP="007F5FB2">
            <w:pPr>
              <w:jc w:val="center"/>
              <w:rPr>
                <w:rFonts w:ascii="Arial Narrow" w:hAnsi="Arial Narrow"/>
                <w:sz w:val="20"/>
                <w:lang w:val="en-GB"/>
              </w:rPr>
            </w:pPr>
            <w:r w:rsidRPr="006D0B5F">
              <w:rPr>
                <w:rFonts w:ascii="Arial Narrow" w:hAnsi="Arial Narrow"/>
                <w:sz w:val="20"/>
                <w:lang w:val="en-GB"/>
              </w:rPr>
              <w:t>OS, ORR</w:t>
            </w:r>
          </w:p>
        </w:tc>
        <w:tc>
          <w:tcPr>
            <w:tcW w:w="0" w:type="auto"/>
            <w:vAlign w:val="center"/>
          </w:tcPr>
          <w:p w:rsidR="00CB0C06" w:rsidRPr="006D0B5F" w:rsidRDefault="00CB0C06" w:rsidP="007F1017">
            <w:pPr>
              <w:jc w:val="center"/>
              <w:rPr>
                <w:rFonts w:ascii="Arial Narrow" w:hAnsi="Arial Narrow"/>
                <w:sz w:val="20"/>
                <w:lang w:val="en-GB"/>
              </w:rPr>
            </w:pPr>
            <w:r w:rsidRPr="006D0B5F">
              <w:rPr>
                <w:rFonts w:ascii="Arial Narrow" w:hAnsi="Arial Narrow"/>
                <w:sz w:val="20"/>
                <w:lang w:val="en-GB"/>
              </w:rPr>
              <w:t>No</w:t>
            </w:r>
          </w:p>
        </w:tc>
      </w:tr>
    </w:tbl>
    <w:p w:rsidR="00CB0C06" w:rsidRPr="006D1DDF" w:rsidRDefault="00CB0C06" w:rsidP="00EE4903">
      <w:pPr>
        <w:pStyle w:val="TableFooter"/>
        <w:ind w:firstLine="720"/>
        <w:rPr>
          <w:lang w:val="en-GB"/>
        </w:rPr>
      </w:pPr>
      <w:r w:rsidRPr="006D1DDF">
        <w:rPr>
          <w:lang w:val="en-GB"/>
        </w:rPr>
        <w:t>Source: compiled during the evaluation</w:t>
      </w:r>
    </w:p>
    <w:p w:rsidR="00CB0C06" w:rsidRPr="006D1DDF" w:rsidRDefault="00CB0C06" w:rsidP="007F5FB2">
      <w:pPr>
        <w:pStyle w:val="TableFooter"/>
        <w:ind w:left="720"/>
        <w:rPr>
          <w:lang w:val="en-GB"/>
        </w:rPr>
      </w:pPr>
      <w:r w:rsidRPr="006D1DDF">
        <w:rPr>
          <w:lang w:val="en-GB"/>
        </w:rPr>
        <w:t xml:space="preserve">FCR = fludarabine, cyclophosphamide, rituximab; m = months; MC = multi-centre; OL=open label; ORR = overall response </w:t>
      </w:r>
      <w:r w:rsidRPr="006D1DDF">
        <w:rPr>
          <w:lang w:val="en-GB"/>
        </w:rPr>
        <w:lastRenderedPageBreak/>
        <w:t>rate; OS = overall survival; PFS = progression free survival; R=randomised; CLL = chronic lymphocytic leukaemia; SLL = small lymphocytic lymphoma.</w:t>
      </w:r>
    </w:p>
    <w:p w:rsidR="00CB0C06" w:rsidRPr="006D1DDF" w:rsidRDefault="00CB0C06" w:rsidP="002F5003">
      <w:pPr>
        <w:pStyle w:val="TableFooter"/>
        <w:ind w:left="720"/>
        <w:rPr>
          <w:lang w:val="en-GB"/>
        </w:rPr>
      </w:pPr>
      <w:r w:rsidRPr="006D1DDF">
        <w:rPr>
          <w:vertAlign w:val="superscript"/>
          <w:lang w:val="en-GB"/>
        </w:rPr>
        <w:t xml:space="preserve">a </w:t>
      </w:r>
      <w:r w:rsidRPr="006D1DDF">
        <w:rPr>
          <w:lang w:val="en-GB"/>
        </w:rPr>
        <w:t>Median</w:t>
      </w:r>
    </w:p>
    <w:p w:rsidR="00CB0C06" w:rsidRPr="006D1DDF" w:rsidRDefault="00CB0C06" w:rsidP="002F5003">
      <w:pPr>
        <w:pStyle w:val="TableFooter"/>
        <w:ind w:left="720"/>
        <w:rPr>
          <w:i/>
          <w:lang w:val="en-GB"/>
        </w:rPr>
      </w:pPr>
      <w:r w:rsidRPr="006D1DDF">
        <w:rPr>
          <w:vertAlign w:val="superscript"/>
          <w:lang w:val="en-GB"/>
        </w:rPr>
        <w:t>b</w:t>
      </w:r>
      <w:r w:rsidRPr="006D1DDF">
        <w:rPr>
          <w:lang w:val="en-GB"/>
        </w:rPr>
        <w:t xml:space="preserve"> Rituximab based regimens included rituximab monotherapy (n=11), rituximab plus methylprednisolone (n=10), rituximab plus granulocyte macrophage colony-stimulating factor (n=9) and rituximab plus etanercept (n=1).</w:t>
      </w:r>
    </w:p>
    <w:p w:rsidR="00CB0C06" w:rsidRPr="006D1DDF" w:rsidRDefault="00CB0C06" w:rsidP="00B60939">
      <w:pPr>
        <w:rPr>
          <w:szCs w:val="22"/>
          <w:lang w:val="en-GB"/>
        </w:rPr>
      </w:pPr>
    </w:p>
    <w:p w:rsidR="00CB0C06" w:rsidRPr="006D1DDF" w:rsidRDefault="00CB0C06" w:rsidP="002C2775">
      <w:pPr>
        <w:pStyle w:val="Heading2"/>
        <w:rPr>
          <w:i/>
          <w:lang w:val="en-GB"/>
        </w:rPr>
      </w:pPr>
      <w:bookmarkStart w:id="11" w:name="_Toc419724910"/>
      <w:r w:rsidRPr="006D1DDF">
        <w:rPr>
          <w:i/>
          <w:lang w:val="en-GB"/>
        </w:rPr>
        <w:t>Comparative effectiveness</w:t>
      </w:r>
      <w:bookmarkEnd w:id="11"/>
    </w:p>
    <w:p w:rsidR="00CB0C06" w:rsidRPr="006D1DDF" w:rsidRDefault="00CB0C06" w:rsidP="00B60939">
      <w:pPr>
        <w:rPr>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Results of the primary outcome, progression free survival (as assessed by the Independent Review Committee) for the RESONATE trial are presented in Table 3.</w:t>
      </w:r>
    </w:p>
    <w:p w:rsidR="00CB0C06" w:rsidRPr="006D1DDF" w:rsidRDefault="00CB0C06" w:rsidP="00A84826">
      <w:pPr>
        <w:pStyle w:val="ListParagraph"/>
        <w:widowControl/>
        <w:rPr>
          <w:szCs w:val="22"/>
          <w:lang w:val="en-GB"/>
        </w:rPr>
      </w:pPr>
    </w:p>
    <w:p w:rsidR="00CB0C06" w:rsidRPr="006D1DDF" w:rsidRDefault="00CB0C06" w:rsidP="005D280C">
      <w:pPr>
        <w:keepNext/>
        <w:widowControl/>
        <w:ind w:left="720"/>
        <w:rPr>
          <w:rFonts w:ascii="Arial Narrow" w:hAnsi="Arial Narrow"/>
          <w:b/>
          <w:sz w:val="20"/>
          <w:szCs w:val="16"/>
          <w:lang w:val="en-GB"/>
        </w:rPr>
      </w:pPr>
      <w:r w:rsidRPr="006D1DDF">
        <w:rPr>
          <w:rStyle w:val="CommentReference"/>
          <w:rFonts w:cs="Arial"/>
          <w:sz w:val="20"/>
          <w:szCs w:val="16"/>
          <w:lang w:val="en-GB"/>
        </w:rPr>
        <w:t>Table 3: Progression free survival results and Kaplan-Meier estimates for RESONATE trial (ITT) – interim analysis, median follow-up 9.4 months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5"/>
        <w:gridCol w:w="1842"/>
        <w:gridCol w:w="1843"/>
        <w:gridCol w:w="1843"/>
      </w:tblGrid>
      <w:tr w:rsidR="00CB0C06" w:rsidRPr="006D1DDF" w:rsidTr="005D280C">
        <w:trPr>
          <w:cantSplit/>
          <w:tblHeader/>
        </w:trPr>
        <w:tc>
          <w:tcPr>
            <w:tcW w:w="2835" w:type="dxa"/>
            <w:vAlign w:val="center"/>
          </w:tcPr>
          <w:p w:rsidR="00CB0C06" w:rsidRPr="006D1DDF" w:rsidRDefault="00CB0C06" w:rsidP="005D280C">
            <w:pPr>
              <w:keepNext/>
              <w:widowControl/>
              <w:jc w:val="left"/>
              <w:rPr>
                <w:rFonts w:ascii="Arial Narrow" w:hAnsi="Arial Narrow"/>
                <w:sz w:val="20"/>
                <w:lang w:val="en-GB"/>
              </w:rPr>
            </w:pPr>
          </w:p>
        </w:tc>
        <w:tc>
          <w:tcPr>
            <w:tcW w:w="1842" w:type="dxa"/>
            <w:vAlign w:val="center"/>
          </w:tcPr>
          <w:p w:rsidR="00CB0C06" w:rsidRPr="006D1DDF" w:rsidRDefault="00CB0C06" w:rsidP="005D280C">
            <w:pPr>
              <w:keepNext/>
              <w:widowControl/>
              <w:ind w:right="-108"/>
              <w:jc w:val="center"/>
              <w:rPr>
                <w:rFonts w:ascii="Arial Narrow" w:hAnsi="Arial Narrow"/>
                <w:b/>
                <w:sz w:val="20"/>
                <w:lang w:val="en-GB"/>
              </w:rPr>
            </w:pPr>
            <w:r w:rsidRPr="006D1DDF">
              <w:rPr>
                <w:rFonts w:ascii="Arial Narrow" w:hAnsi="Arial Narrow"/>
                <w:b/>
                <w:sz w:val="20"/>
                <w:lang w:val="en-GB"/>
              </w:rPr>
              <w:t xml:space="preserve">Ibrutinib </w:t>
            </w:r>
          </w:p>
          <w:p w:rsidR="00CB0C06" w:rsidRPr="006D1DDF" w:rsidRDefault="00CB0C06" w:rsidP="005D280C">
            <w:pPr>
              <w:keepNext/>
              <w:widowControl/>
              <w:ind w:right="-108"/>
              <w:jc w:val="center"/>
              <w:rPr>
                <w:rFonts w:ascii="Arial Narrow" w:hAnsi="Arial Narrow"/>
                <w:sz w:val="20"/>
                <w:lang w:val="en-GB"/>
              </w:rPr>
            </w:pPr>
            <w:r w:rsidRPr="006D1DDF">
              <w:rPr>
                <w:rFonts w:ascii="Arial Narrow" w:hAnsi="Arial Narrow"/>
                <w:b/>
                <w:sz w:val="20"/>
                <w:lang w:val="en-GB"/>
              </w:rPr>
              <w:t>(n=195)</w:t>
            </w:r>
          </w:p>
        </w:tc>
        <w:tc>
          <w:tcPr>
            <w:tcW w:w="1843" w:type="dxa"/>
            <w:vAlign w:val="center"/>
          </w:tcPr>
          <w:p w:rsidR="00CB0C06" w:rsidRPr="006D1DDF" w:rsidRDefault="00CB0C06" w:rsidP="005D280C">
            <w:pPr>
              <w:keepNext/>
              <w:widowControl/>
              <w:jc w:val="center"/>
              <w:rPr>
                <w:rFonts w:ascii="Arial Narrow" w:hAnsi="Arial Narrow"/>
                <w:b/>
                <w:sz w:val="20"/>
                <w:lang w:val="en-GB"/>
              </w:rPr>
            </w:pPr>
            <w:r w:rsidRPr="006D1DDF">
              <w:rPr>
                <w:rFonts w:ascii="Arial Narrow" w:hAnsi="Arial Narrow"/>
                <w:b/>
                <w:sz w:val="20"/>
                <w:lang w:val="en-GB"/>
              </w:rPr>
              <w:t xml:space="preserve">Ofatumumab </w:t>
            </w:r>
          </w:p>
          <w:p w:rsidR="00CB0C06" w:rsidRPr="006D1DDF" w:rsidRDefault="00CB0C06" w:rsidP="005D280C">
            <w:pPr>
              <w:keepNext/>
              <w:widowControl/>
              <w:jc w:val="center"/>
              <w:rPr>
                <w:rFonts w:ascii="Arial Narrow" w:hAnsi="Arial Narrow"/>
                <w:sz w:val="20"/>
                <w:lang w:val="en-GB"/>
              </w:rPr>
            </w:pPr>
            <w:r w:rsidRPr="006D1DDF">
              <w:rPr>
                <w:rFonts w:ascii="Arial Narrow" w:hAnsi="Arial Narrow"/>
                <w:b/>
                <w:sz w:val="20"/>
                <w:lang w:val="en-GB"/>
              </w:rPr>
              <w:t>(n = 196)</w:t>
            </w:r>
          </w:p>
        </w:tc>
        <w:tc>
          <w:tcPr>
            <w:tcW w:w="1843" w:type="dxa"/>
          </w:tcPr>
          <w:p w:rsidR="00CB0C06" w:rsidRPr="006D1DDF" w:rsidRDefault="00CB0C06" w:rsidP="005D280C">
            <w:pPr>
              <w:keepNext/>
              <w:widowControl/>
              <w:jc w:val="center"/>
              <w:rPr>
                <w:rFonts w:ascii="Arial Narrow" w:hAnsi="Arial Narrow"/>
                <w:b/>
                <w:sz w:val="20"/>
                <w:lang w:val="en-GB"/>
              </w:rPr>
            </w:pPr>
            <w:r w:rsidRPr="006D1DDF">
              <w:rPr>
                <w:rFonts w:ascii="Arial Narrow" w:hAnsi="Arial Narrow"/>
                <w:b/>
                <w:sz w:val="20"/>
                <w:lang w:val="en-GB"/>
              </w:rPr>
              <w:t>Hazard ratio</w:t>
            </w:r>
          </w:p>
          <w:p w:rsidR="00CB0C06" w:rsidRPr="006D1DDF" w:rsidRDefault="00CB0C06" w:rsidP="005D280C">
            <w:pPr>
              <w:keepNext/>
              <w:widowControl/>
              <w:jc w:val="center"/>
              <w:rPr>
                <w:rFonts w:ascii="Arial Narrow" w:hAnsi="Arial Narrow"/>
                <w:b/>
                <w:sz w:val="20"/>
                <w:lang w:val="en-GB"/>
              </w:rPr>
            </w:pPr>
            <w:r w:rsidRPr="006D1DDF">
              <w:rPr>
                <w:rFonts w:ascii="Arial Narrow" w:hAnsi="Arial Narrow"/>
                <w:b/>
                <w:sz w:val="20"/>
                <w:lang w:val="en-GB"/>
              </w:rPr>
              <w:t>(95% CI)</w:t>
            </w:r>
          </w:p>
        </w:tc>
      </w:tr>
      <w:tr w:rsidR="00CB0C06" w:rsidRPr="006D1DDF" w:rsidTr="005D280C">
        <w:trPr>
          <w:cantSplit/>
        </w:trPr>
        <w:tc>
          <w:tcPr>
            <w:tcW w:w="2835" w:type="dxa"/>
            <w:vAlign w:val="center"/>
          </w:tcPr>
          <w:p w:rsidR="00CB0C06" w:rsidRPr="006D1DDF" w:rsidRDefault="00CB0C06" w:rsidP="005D280C">
            <w:pPr>
              <w:keepNext/>
              <w:widowControl/>
              <w:jc w:val="left"/>
              <w:rPr>
                <w:rFonts w:ascii="Arial Narrow" w:hAnsi="Arial Narrow"/>
                <w:sz w:val="20"/>
                <w:lang w:val="en-GB"/>
              </w:rPr>
            </w:pPr>
            <w:r w:rsidRPr="006D1DDF">
              <w:rPr>
                <w:rFonts w:ascii="Arial Narrow" w:hAnsi="Arial Narrow"/>
                <w:sz w:val="20"/>
                <w:lang w:val="en-GB"/>
              </w:rPr>
              <w:t xml:space="preserve">PFS </w:t>
            </w:r>
            <w:r w:rsidRPr="006D1DDF">
              <w:rPr>
                <w:rFonts w:ascii="Arial Narrow" w:hAnsi="Arial Narrow"/>
                <w:sz w:val="20"/>
                <w:vertAlign w:val="superscript"/>
                <w:lang w:val="en-GB"/>
              </w:rPr>
              <w:t>a</w:t>
            </w:r>
            <w:r w:rsidRPr="006D1DDF">
              <w:rPr>
                <w:rFonts w:ascii="Arial Narrow" w:hAnsi="Arial Narrow"/>
                <w:sz w:val="20"/>
                <w:lang w:val="en-GB"/>
              </w:rPr>
              <w:t>, patients with events, n/N (%)</w:t>
            </w:r>
          </w:p>
        </w:tc>
        <w:tc>
          <w:tcPr>
            <w:tcW w:w="1842" w:type="dxa"/>
            <w:vAlign w:val="center"/>
          </w:tcPr>
          <w:p w:rsidR="00CB0C06" w:rsidRPr="00073692" w:rsidRDefault="00CB0C06" w:rsidP="005D280C">
            <w:pPr>
              <w:keepNext/>
              <w:widowControl/>
              <w:jc w:val="center"/>
              <w:rPr>
                <w:rFonts w:ascii="Arial Narrow" w:hAnsi="Arial Narrow"/>
                <w:sz w:val="20"/>
                <w:lang w:val="en-GB"/>
              </w:rPr>
            </w:pPr>
            <w:r w:rsidRPr="00073692">
              <w:rPr>
                <w:rFonts w:ascii="Arial Narrow" w:hAnsi="Arial Narrow"/>
                <w:sz w:val="20"/>
                <w:lang w:val="en-GB"/>
              </w:rPr>
              <w:t>35/195 (17.9%)</w:t>
            </w:r>
          </w:p>
        </w:tc>
        <w:tc>
          <w:tcPr>
            <w:tcW w:w="1843" w:type="dxa"/>
            <w:vAlign w:val="center"/>
          </w:tcPr>
          <w:p w:rsidR="00CB0C06" w:rsidRPr="00073692" w:rsidRDefault="00CB0C06" w:rsidP="005D280C">
            <w:pPr>
              <w:keepNext/>
              <w:widowControl/>
              <w:jc w:val="center"/>
              <w:rPr>
                <w:rFonts w:ascii="Arial Narrow" w:hAnsi="Arial Narrow"/>
                <w:sz w:val="20"/>
                <w:lang w:val="en-GB"/>
              </w:rPr>
            </w:pPr>
            <w:r w:rsidRPr="00073692">
              <w:rPr>
                <w:rFonts w:ascii="Arial Narrow" w:hAnsi="Arial Narrow"/>
                <w:sz w:val="20"/>
                <w:lang w:val="en-GB"/>
              </w:rPr>
              <w:t>111/196 (56.6%)</w:t>
            </w:r>
          </w:p>
        </w:tc>
        <w:tc>
          <w:tcPr>
            <w:tcW w:w="1843" w:type="dxa"/>
          </w:tcPr>
          <w:p w:rsidR="00CB0C06" w:rsidRPr="006D1DDF" w:rsidRDefault="00CB0C06" w:rsidP="005D280C">
            <w:pPr>
              <w:keepNext/>
              <w:jc w:val="center"/>
              <w:rPr>
                <w:rFonts w:ascii="Arial Narrow" w:hAnsi="Arial Narrow"/>
                <w:sz w:val="20"/>
                <w:lang w:val="en-GB"/>
              </w:rPr>
            </w:pPr>
            <w:r w:rsidRPr="006D1DDF">
              <w:rPr>
                <w:rFonts w:ascii="Arial Narrow" w:hAnsi="Arial Narrow"/>
                <w:b/>
                <w:sz w:val="20"/>
                <w:lang w:val="en-GB"/>
              </w:rPr>
              <w:t>0.22 (0.15, 0.32)</w:t>
            </w:r>
          </w:p>
        </w:tc>
      </w:tr>
      <w:tr w:rsidR="00CB0C06" w:rsidRPr="006D1DDF" w:rsidTr="005D280C">
        <w:trPr>
          <w:cantSplit/>
        </w:trPr>
        <w:tc>
          <w:tcPr>
            <w:tcW w:w="2835" w:type="dxa"/>
            <w:vAlign w:val="center"/>
          </w:tcPr>
          <w:p w:rsidR="00CB0C06" w:rsidRPr="006D1DDF" w:rsidRDefault="00CB0C06" w:rsidP="005D280C">
            <w:pPr>
              <w:keepNext/>
              <w:widowControl/>
              <w:ind w:right="-108"/>
              <w:jc w:val="left"/>
              <w:rPr>
                <w:rFonts w:ascii="Arial Narrow" w:hAnsi="Arial Narrow"/>
                <w:sz w:val="20"/>
                <w:lang w:val="en-GB"/>
              </w:rPr>
            </w:pPr>
            <w:r w:rsidRPr="006D1DDF">
              <w:rPr>
                <w:rFonts w:ascii="Arial Narrow" w:hAnsi="Arial Narrow"/>
                <w:sz w:val="20"/>
                <w:lang w:val="en-GB"/>
              </w:rPr>
              <w:t>Median PFS; months (range)</w:t>
            </w:r>
          </w:p>
        </w:tc>
        <w:tc>
          <w:tcPr>
            <w:tcW w:w="1842" w:type="dxa"/>
            <w:vAlign w:val="center"/>
          </w:tcPr>
          <w:p w:rsidR="00CB0C06" w:rsidRPr="006D1DDF" w:rsidRDefault="00CB0C06" w:rsidP="005D280C">
            <w:pPr>
              <w:keepNext/>
              <w:widowControl/>
              <w:jc w:val="center"/>
              <w:rPr>
                <w:rFonts w:ascii="Arial Narrow" w:hAnsi="Arial Narrow"/>
                <w:sz w:val="20"/>
                <w:lang w:val="en-GB"/>
              </w:rPr>
            </w:pPr>
            <w:r w:rsidRPr="006D1DDF">
              <w:rPr>
                <w:rFonts w:ascii="Arial Narrow" w:hAnsi="Arial Narrow"/>
                <w:sz w:val="20"/>
                <w:lang w:val="en-GB"/>
              </w:rPr>
              <w:t xml:space="preserve">NE </w:t>
            </w:r>
            <w:r w:rsidRPr="00073692">
              <w:rPr>
                <w:rFonts w:ascii="Arial Narrow" w:hAnsi="Arial Narrow"/>
                <w:sz w:val="20"/>
                <w:lang w:val="en-GB"/>
              </w:rPr>
              <w:t>(0.03, 13.96)</w:t>
            </w:r>
          </w:p>
        </w:tc>
        <w:tc>
          <w:tcPr>
            <w:tcW w:w="1843" w:type="dxa"/>
            <w:vAlign w:val="center"/>
          </w:tcPr>
          <w:p w:rsidR="00CB0C06" w:rsidRPr="006D1DDF" w:rsidRDefault="00CB0C06" w:rsidP="005D280C">
            <w:pPr>
              <w:keepNext/>
              <w:widowControl/>
              <w:jc w:val="center"/>
              <w:rPr>
                <w:rFonts w:ascii="Arial Narrow" w:hAnsi="Arial Narrow"/>
                <w:sz w:val="20"/>
                <w:lang w:val="en-GB"/>
              </w:rPr>
            </w:pPr>
            <w:r w:rsidRPr="006D1DDF">
              <w:rPr>
                <w:rFonts w:ascii="Arial Narrow" w:hAnsi="Arial Narrow"/>
                <w:sz w:val="20"/>
                <w:lang w:val="en-GB"/>
              </w:rPr>
              <w:t xml:space="preserve">8.1 </w:t>
            </w:r>
            <w:r w:rsidRPr="00073692">
              <w:rPr>
                <w:rFonts w:ascii="Arial Narrow" w:hAnsi="Arial Narrow"/>
                <w:sz w:val="20"/>
                <w:lang w:val="en-GB"/>
              </w:rPr>
              <w:t>(0.03, 13.77)</w:t>
            </w:r>
          </w:p>
        </w:tc>
        <w:tc>
          <w:tcPr>
            <w:tcW w:w="1843" w:type="dxa"/>
          </w:tcPr>
          <w:p w:rsidR="00CB0C06" w:rsidRPr="006D1DDF" w:rsidRDefault="005C22D4" w:rsidP="005D280C">
            <w:pPr>
              <w:keepNext/>
              <w:widowControl/>
              <w:jc w:val="center"/>
              <w:rPr>
                <w:rFonts w:ascii="Arial Narrow" w:hAnsi="Arial Narrow"/>
                <w:sz w:val="20"/>
                <w:lang w:val="en-GB"/>
              </w:rPr>
            </w:pPr>
            <w:r>
              <w:rPr>
                <w:rFonts w:ascii="Arial Narrow" w:hAnsi="Arial Narrow"/>
                <w:sz w:val="20"/>
                <w:lang w:val="en-GB"/>
              </w:rPr>
              <w:t>-</w:t>
            </w:r>
          </w:p>
        </w:tc>
      </w:tr>
    </w:tbl>
    <w:p w:rsidR="00CB0C06" w:rsidRPr="006D1DDF" w:rsidRDefault="00CB0C06" w:rsidP="005D280C">
      <w:pPr>
        <w:pStyle w:val="TableFooter"/>
        <w:keepNext/>
        <w:widowControl/>
        <w:ind w:firstLine="720"/>
        <w:rPr>
          <w:lang w:val="en-GB"/>
        </w:rPr>
      </w:pPr>
      <w:r w:rsidRPr="006D1DDF">
        <w:rPr>
          <w:lang w:val="en-GB"/>
        </w:rPr>
        <w:t>Source: Table Bi.27, p87 of the submission</w:t>
      </w:r>
    </w:p>
    <w:p w:rsidR="00CB0C06" w:rsidRPr="006D1DDF" w:rsidRDefault="00CB0C06" w:rsidP="005D280C">
      <w:pPr>
        <w:pStyle w:val="TableFooter"/>
        <w:keepNext/>
        <w:widowControl/>
        <w:ind w:left="720"/>
        <w:rPr>
          <w:lang w:val="en-GB"/>
        </w:rPr>
      </w:pPr>
      <w:r w:rsidRPr="006D1DDF">
        <w:rPr>
          <w:lang w:val="en-GB"/>
        </w:rPr>
        <w:t xml:space="preserve">CI = confidence interval; ITT = intention-to-treat; NE = not estimable; PFS = progression free survival; </w:t>
      </w:r>
      <w:r w:rsidRPr="006D1DDF">
        <w:rPr>
          <w:b/>
          <w:lang w:val="en-GB"/>
        </w:rPr>
        <w:t xml:space="preserve">bold </w:t>
      </w:r>
      <w:r w:rsidRPr="006D1DDF">
        <w:rPr>
          <w:lang w:val="en-GB"/>
        </w:rPr>
        <w:t>= statistically significant</w:t>
      </w:r>
    </w:p>
    <w:p w:rsidR="00CB0C06" w:rsidRPr="006D1DDF" w:rsidRDefault="00CB0C06" w:rsidP="005D280C">
      <w:pPr>
        <w:pStyle w:val="TableFooter"/>
        <w:keepNext/>
        <w:widowControl/>
        <w:ind w:left="720"/>
        <w:rPr>
          <w:lang w:val="en-GB"/>
        </w:rPr>
      </w:pPr>
      <w:r w:rsidRPr="006D1DDF">
        <w:rPr>
          <w:vertAlign w:val="superscript"/>
          <w:lang w:val="en-GB"/>
        </w:rPr>
        <w:t xml:space="preserve">a </w:t>
      </w:r>
      <w:r w:rsidRPr="006D1DDF">
        <w:rPr>
          <w:lang w:val="en-GB"/>
        </w:rPr>
        <w:t>PFS for the interim analysis was assessed by the Independent Review Committee</w:t>
      </w:r>
    </w:p>
    <w:p w:rsidR="00CB0C06" w:rsidRPr="006D1DDF" w:rsidRDefault="00CB0C06" w:rsidP="00B60939">
      <w:pPr>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Ibrutinib treatment resulted in significantly longer progression free survival than ofatumumab in patients with CLL/SLL, with a hazard ratio of 0.22 (95% confidence interval (CI): 0.15 to 0.32).</w:t>
      </w:r>
    </w:p>
    <w:p w:rsidR="00CB0C06" w:rsidRPr="006D1DDF" w:rsidRDefault="00CB0C06" w:rsidP="00C44C57">
      <w:pPr>
        <w:pStyle w:val="ListParagraph"/>
        <w:rPr>
          <w:lang w:val="en-GB"/>
        </w:rPr>
      </w:pPr>
      <w:r w:rsidRPr="006D1DDF">
        <w:rPr>
          <w:lang w:val="en-GB"/>
        </w:rPr>
        <w:t xml:space="preserve"> </w:t>
      </w:r>
    </w:p>
    <w:p w:rsidR="00CB0C06" w:rsidRPr="006D1DDF" w:rsidRDefault="00CB0C06" w:rsidP="00A26E51">
      <w:pPr>
        <w:pStyle w:val="ListParagraph"/>
        <w:widowControl/>
        <w:numPr>
          <w:ilvl w:val="1"/>
          <w:numId w:val="7"/>
        </w:numPr>
        <w:rPr>
          <w:szCs w:val="22"/>
          <w:lang w:val="en-GB"/>
        </w:rPr>
      </w:pPr>
      <w:r w:rsidRPr="006D1DDF">
        <w:rPr>
          <w:lang w:val="en-GB"/>
        </w:rPr>
        <w:t>The results for overall survival and overall response rates based on interim data from the RESONATE trial and Tam (2014) are presented in Table 4</w:t>
      </w:r>
      <w:r w:rsidRPr="006D1DDF">
        <w:rPr>
          <w:szCs w:val="22"/>
          <w:lang w:val="en-GB"/>
        </w:rPr>
        <w:t>.</w:t>
      </w:r>
    </w:p>
    <w:p w:rsidR="00CB0C06" w:rsidRPr="006D1DDF" w:rsidRDefault="00CB0C06" w:rsidP="00CB7968">
      <w:pPr>
        <w:pStyle w:val="ListParagraph"/>
        <w:rPr>
          <w:lang w:val="en-GB"/>
        </w:rPr>
      </w:pPr>
    </w:p>
    <w:p w:rsidR="00CB0C06" w:rsidRPr="006D1DDF" w:rsidRDefault="00CB0C06" w:rsidP="00805185">
      <w:pPr>
        <w:ind w:firstLine="720"/>
        <w:rPr>
          <w:rFonts w:ascii="Arial Narrow" w:hAnsi="Arial Narrow"/>
          <w:b/>
          <w:sz w:val="20"/>
          <w:szCs w:val="16"/>
          <w:lang w:val="en-GB"/>
        </w:rPr>
      </w:pPr>
      <w:r w:rsidRPr="006D1DDF">
        <w:rPr>
          <w:rStyle w:val="CommentReference"/>
          <w:rFonts w:cs="Arial"/>
          <w:sz w:val="20"/>
          <w:szCs w:val="16"/>
          <w:lang w:val="en-GB"/>
        </w:rPr>
        <w:t xml:space="preserve">Table 4: Results for the naïve comparison between ibrutinib and rituximab based regimens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6"/>
        <w:gridCol w:w="1843"/>
        <w:gridCol w:w="1701"/>
        <w:gridCol w:w="2693"/>
      </w:tblGrid>
      <w:tr w:rsidR="00CB0C06" w:rsidRPr="006D1DDF" w:rsidTr="00CB7968">
        <w:trPr>
          <w:tblHeader/>
        </w:trPr>
        <w:tc>
          <w:tcPr>
            <w:tcW w:w="2126" w:type="dxa"/>
            <w:vAlign w:val="center"/>
          </w:tcPr>
          <w:p w:rsidR="00CB0C06" w:rsidRPr="006D1DDF" w:rsidRDefault="00CB0C06" w:rsidP="00EA0068">
            <w:pPr>
              <w:jc w:val="left"/>
              <w:rPr>
                <w:rFonts w:ascii="Arial Narrow" w:hAnsi="Arial Narrow"/>
                <w:sz w:val="20"/>
                <w:lang w:val="en-GB"/>
              </w:rPr>
            </w:pPr>
          </w:p>
        </w:tc>
        <w:tc>
          <w:tcPr>
            <w:tcW w:w="3544" w:type="dxa"/>
            <w:gridSpan w:val="2"/>
            <w:tcBorders>
              <w:right w:val="double" w:sz="4" w:space="0" w:color="auto"/>
            </w:tcBorders>
            <w:vAlign w:val="center"/>
          </w:tcPr>
          <w:p w:rsidR="00CB0C06" w:rsidRPr="006D1DDF" w:rsidRDefault="00CB0C06" w:rsidP="00EA0068">
            <w:pPr>
              <w:jc w:val="center"/>
              <w:rPr>
                <w:rFonts w:ascii="Arial Narrow" w:hAnsi="Arial Narrow"/>
                <w:b/>
                <w:sz w:val="20"/>
                <w:lang w:val="en-GB"/>
              </w:rPr>
            </w:pPr>
            <w:r w:rsidRPr="006D1DDF">
              <w:rPr>
                <w:rFonts w:ascii="Arial Narrow" w:hAnsi="Arial Narrow"/>
                <w:b/>
                <w:sz w:val="20"/>
                <w:lang w:val="en-GB"/>
              </w:rPr>
              <w:t>RESONATE – interim analysis</w:t>
            </w:r>
          </w:p>
        </w:tc>
        <w:tc>
          <w:tcPr>
            <w:tcW w:w="2693" w:type="dxa"/>
            <w:tcBorders>
              <w:left w:val="double" w:sz="4" w:space="0" w:color="auto"/>
            </w:tcBorders>
          </w:tcPr>
          <w:p w:rsidR="00CB0C06" w:rsidRPr="006D1DDF" w:rsidRDefault="00CB0C06" w:rsidP="00EA0068">
            <w:pPr>
              <w:jc w:val="center"/>
              <w:rPr>
                <w:rFonts w:ascii="Arial Narrow" w:hAnsi="Arial Narrow"/>
                <w:b/>
                <w:sz w:val="20"/>
                <w:lang w:val="en-GB"/>
              </w:rPr>
            </w:pPr>
            <w:r w:rsidRPr="006D1DDF">
              <w:rPr>
                <w:rFonts w:ascii="Arial Narrow" w:hAnsi="Arial Narrow"/>
                <w:b/>
                <w:sz w:val="20"/>
                <w:lang w:val="en-GB"/>
              </w:rPr>
              <w:t>Tam (2014)</w:t>
            </w:r>
          </w:p>
        </w:tc>
      </w:tr>
      <w:tr w:rsidR="00CB0C06" w:rsidRPr="006D1DDF" w:rsidTr="00CB7968">
        <w:trPr>
          <w:tblHeader/>
        </w:trPr>
        <w:tc>
          <w:tcPr>
            <w:tcW w:w="2126" w:type="dxa"/>
            <w:vAlign w:val="center"/>
          </w:tcPr>
          <w:p w:rsidR="00CB0C06" w:rsidRPr="006D1DDF" w:rsidRDefault="00CB0C06" w:rsidP="00EA0068">
            <w:pPr>
              <w:jc w:val="left"/>
              <w:rPr>
                <w:rFonts w:ascii="Arial Narrow" w:hAnsi="Arial Narrow"/>
                <w:sz w:val="20"/>
                <w:lang w:val="en-GB"/>
              </w:rPr>
            </w:pPr>
          </w:p>
        </w:tc>
        <w:tc>
          <w:tcPr>
            <w:tcW w:w="1843" w:type="dxa"/>
            <w:vAlign w:val="center"/>
          </w:tcPr>
          <w:p w:rsidR="00CB0C06" w:rsidRPr="006D1DDF" w:rsidRDefault="00CB0C06" w:rsidP="00EA0068">
            <w:pPr>
              <w:ind w:right="-108"/>
              <w:jc w:val="center"/>
              <w:rPr>
                <w:rFonts w:ascii="Arial Narrow" w:hAnsi="Arial Narrow"/>
                <w:b/>
                <w:sz w:val="20"/>
                <w:lang w:val="en-GB"/>
              </w:rPr>
            </w:pPr>
            <w:r w:rsidRPr="006D1DDF">
              <w:rPr>
                <w:rFonts w:ascii="Arial Narrow" w:hAnsi="Arial Narrow"/>
                <w:b/>
                <w:sz w:val="20"/>
                <w:lang w:val="en-GB"/>
              </w:rPr>
              <w:t xml:space="preserve">Ibrutinib </w:t>
            </w:r>
          </w:p>
          <w:p w:rsidR="00CB0C06" w:rsidRPr="006D1DDF" w:rsidRDefault="00CB0C06" w:rsidP="00EA0068">
            <w:pPr>
              <w:ind w:right="-108"/>
              <w:jc w:val="center"/>
              <w:rPr>
                <w:rFonts w:ascii="Arial Narrow" w:hAnsi="Arial Narrow"/>
                <w:sz w:val="20"/>
                <w:lang w:val="en-GB"/>
              </w:rPr>
            </w:pPr>
            <w:r w:rsidRPr="006D1DDF">
              <w:rPr>
                <w:rFonts w:ascii="Arial Narrow" w:hAnsi="Arial Narrow"/>
                <w:b/>
                <w:sz w:val="20"/>
                <w:lang w:val="en-GB"/>
              </w:rPr>
              <w:t>(n=195)</w:t>
            </w:r>
          </w:p>
        </w:tc>
        <w:tc>
          <w:tcPr>
            <w:tcW w:w="1701" w:type="dxa"/>
            <w:tcBorders>
              <w:right w:val="double" w:sz="4" w:space="0" w:color="auto"/>
            </w:tcBorders>
            <w:vAlign w:val="center"/>
          </w:tcPr>
          <w:p w:rsidR="00CB0C06" w:rsidRPr="006D1DDF" w:rsidRDefault="00CB0C06" w:rsidP="00EA0068">
            <w:pPr>
              <w:jc w:val="center"/>
              <w:rPr>
                <w:rFonts w:ascii="Arial Narrow" w:hAnsi="Arial Narrow"/>
                <w:b/>
                <w:sz w:val="20"/>
                <w:lang w:val="en-GB"/>
              </w:rPr>
            </w:pPr>
            <w:r w:rsidRPr="006D1DDF">
              <w:rPr>
                <w:rFonts w:ascii="Arial Narrow" w:hAnsi="Arial Narrow"/>
                <w:b/>
                <w:sz w:val="20"/>
                <w:lang w:val="en-GB"/>
              </w:rPr>
              <w:t xml:space="preserve">Ofatumumab </w:t>
            </w:r>
          </w:p>
          <w:p w:rsidR="00CB0C06" w:rsidRPr="006D1DDF" w:rsidRDefault="00CB0C06" w:rsidP="00EA0068">
            <w:pPr>
              <w:jc w:val="center"/>
              <w:rPr>
                <w:rFonts w:ascii="Arial Narrow" w:hAnsi="Arial Narrow"/>
                <w:sz w:val="20"/>
                <w:lang w:val="en-GB"/>
              </w:rPr>
            </w:pPr>
            <w:r w:rsidRPr="006D1DDF">
              <w:rPr>
                <w:rFonts w:ascii="Arial Narrow" w:hAnsi="Arial Narrow"/>
                <w:b/>
                <w:sz w:val="20"/>
                <w:lang w:val="en-GB"/>
              </w:rPr>
              <w:t>(n = 196)</w:t>
            </w:r>
          </w:p>
        </w:tc>
        <w:tc>
          <w:tcPr>
            <w:tcW w:w="2693" w:type="dxa"/>
            <w:tcBorders>
              <w:left w:val="double" w:sz="4" w:space="0" w:color="auto"/>
            </w:tcBorders>
          </w:tcPr>
          <w:p w:rsidR="00CB0C06" w:rsidRPr="006D1DDF" w:rsidRDefault="00CB0C06" w:rsidP="00EA0068">
            <w:pPr>
              <w:jc w:val="center"/>
              <w:rPr>
                <w:rFonts w:ascii="Arial Narrow" w:hAnsi="Arial Narrow"/>
                <w:b/>
                <w:sz w:val="20"/>
                <w:lang w:val="en-GB"/>
              </w:rPr>
            </w:pPr>
            <w:r w:rsidRPr="006D1DDF">
              <w:rPr>
                <w:rFonts w:ascii="Arial Narrow" w:hAnsi="Arial Narrow"/>
                <w:b/>
                <w:sz w:val="20"/>
                <w:lang w:val="en-GB"/>
              </w:rPr>
              <w:t xml:space="preserve">Rituximab based regimen </w:t>
            </w:r>
            <w:r w:rsidRPr="006D1DDF">
              <w:rPr>
                <w:rFonts w:ascii="Arial Narrow" w:hAnsi="Arial Narrow"/>
                <w:b/>
                <w:sz w:val="20"/>
                <w:vertAlign w:val="superscript"/>
                <w:lang w:val="en-GB"/>
              </w:rPr>
              <w:t>a</w:t>
            </w:r>
          </w:p>
          <w:p w:rsidR="00CB0C06" w:rsidRPr="006D1DDF" w:rsidRDefault="00CB0C06" w:rsidP="00EA0068">
            <w:pPr>
              <w:jc w:val="center"/>
              <w:rPr>
                <w:rFonts w:ascii="Arial Narrow" w:hAnsi="Arial Narrow"/>
                <w:b/>
                <w:sz w:val="20"/>
                <w:lang w:val="en-GB"/>
              </w:rPr>
            </w:pPr>
            <w:r w:rsidRPr="006D1DDF">
              <w:rPr>
                <w:rFonts w:ascii="Arial Narrow" w:hAnsi="Arial Narrow"/>
                <w:b/>
                <w:sz w:val="20"/>
                <w:lang w:val="en-GB"/>
              </w:rPr>
              <w:t>(n=31)</w:t>
            </w:r>
          </w:p>
        </w:tc>
      </w:tr>
      <w:tr w:rsidR="00CB0C06" w:rsidRPr="006D1DDF" w:rsidTr="00CB7968">
        <w:tc>
          <w:tcPr>
            <w:tcW w:w="2126" w:type="dxa"/>
            <w:vAlign w:val="center"/>
          </w:tcPr>
          <w:p w:rsidR="00CB0C06" w:rsidRPr="006D1DDF" w:rsidRDefault="00CB0C06" w:rsidP="00CB7968">
            <w:pPr>
              <w:jc w:val="left"/>
              <w:rPr>
                <w:rFonts w:ascii="Arial Narrow" w:hAnsi="Arial Narrow"/>
                <w:sz w:val="20"/>
                <w:lang w:val="en-GB"/>
              </w:rPr>
            </w:pPr>
            <w:r w:rsidRPr="006D1DDF">
              <w:rPr>
                <w:rFonts w:ascii="Arial Narrow" w:hAnsi="Arial Narrow"/>
                <w:sz w:val="20"/>
                <w:lang w:val="en-GB"/>
              </w:rPr>
              <w:t>Median duration of follow-up</w:t>
            </w:r>
          </w:p>
        </w:tc>
        <w:tc>
          <w:tcPr>
            <w:tcW w:w="1843" w:type="dxa"/>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9.4 months</w:t>
            </w:r>
          </w:p>
        </w:tc>
        <w:tc>
          <w:tcPr>
            <w:tcW w:w="1701" w:type="dxa"/>
            <w:tcBorders>
              <w:right w:val="double" w:sz="4" w:space="0" w:color="auto"/>
            </w:tcBorders>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9.4 months</w:t>
            </w:r>
          </w:p>
        </w:tc>
        <w:tc>
          <w:tcPr>
            <w:tcW w:w="2693" w:type="dxa"/>
            <w:tcBorders>
              <w:left w:val="double" w:sz="4" w:space="0" w:color="auto"/>
            </w:tcBorders>
            <w:vAlign w:val="center"/>
          </w:tcPr>
          <w:p w:rsidR="00CB0C06" w:rsidRPr="006D1DDF" w:rsidRDefault="00CB0C06" w:rsidP="00316EC7">
            <w:pPr>
              <w:jc w:val="center"/>
              <w:rPr>
                <w:rFonts w:ascii="Arial Narrow" w:hAnsi="Arial Narrow"/>
                <w:sz w:val="20"/>
                <w:lang w:val="en-GB"/>
              </w:rPr>
            </w:pPr>
            <w:r w:rsidRPr="006D1DDF">
              <w:rPr>
                <w:rFonts w:ascii="Arial Narrow" w:hAnsi="Arial Narrow"/>
                <w:sz w:val="20"/>
                <w:lang w:val="en-GB"/>
              </w:rPr>
              <w:t xml:space="preserve">63 months </w:t>
            </w:r>
            <w:r w:rsidRPr="006D1DDF">
              <w:rPr>
                <w:rFonts w:ascii="Arial Narrow" w:hAnsi="Arial Narrow"/>
                <w:sz w:val="20"/>
                <w:vertAlign w:val="superscript"/>
                <w:lang w:val="en-GB"/>
              </w:rPr>
              <w:t>b</w:t>
            </w:r>
          </w:p>
        </w:tc>
      </w:tr>
      <w:tr w:rsidR="00CB0C06" w:rsidRPr="006D1DDF" w:rsidTr="00CB7968">
        <w:tc>
          <w:tcPr>
            <w:tcW w:w="2126" w:type="dxa"/>
            <w:vAlign w:val="center"/>
          </w:tcPr>
          <w:p w:rsidR="00CB0C06" w:rsidRPr="006D1DDF" w:rsidRDefault="00CB0C06" w:rsidP="00EA0068">
            <w:pPr>
              <w:ind w:right="-108"/>
              <w:jc w:val="left"/>
              <w:rPr>
                <w:rFonts w:ascii="Arial Narrow" w:hAnsi="Arial Narrow"/>
                <w:sz w:val="20"/>
                <w:lang w:val="en-GB"/>
              </w:rPr>
            </w:pPr>
            <w:r w:rsidRPr="006D1DDF">
              <w:rPr>
                <w:rFonts w:ascii="Arial Narrow" w:hAnsi="Arial Narrow"/>
                <w:sz w:val="20"/>
                <w:lang w:val="en-GB"/>
              </w:rPr>
              <w:t>OS; patients died</w:t>
            </w:r>
          </w:p>
        </w:tc>
        <w:tc>
          <w:tcPr>
            <w:tcW w:w="1843" w:type="dxa"/>
          </w:tcPr>
          <w:p w:rsidR="00CB0C06" w:rsidRPr="00073692" w:rsidDel="0047565B" w:rsidRDefault="00CB0C06" w:rsidP="00EA0068">
            <w:pPr>
              <w:jc w:val="center"/>
              <w:rPr>
                <w:rFonts w:ascii="Arial Narrow" w:hAnsi="Arial Narrow"/>
                <w:b/>
                <w:sz w:val="20"/>
                <w:lang w:val="en-GB"/>
              </w:rPr>
            </w:pPr>
            <w:r w:rsidRPr="00073692">
              <w:rPr>
                <w:rFonts w:ascii="Arial Narrow" w:hAnsi="Arial Narrow"/>
                <w:sz w:val="20"/>
                <w:lang w:val="en-GB"/>
              </w:rPr>
              <w:t>16/195 (8.2%)</w:t>
            </w:r>
          </w:p>
        </w:tc>
        <w:tc>
          <w:tcPr>
            <w:tcW w:w="1701" w:type="dxa"/>
            <w:tcBorders>
              <w:right w:val="double" w:sz="4" w:space="0" w:color="auto"/>
            </w:tcBorders>
          </w:tcPr>
          <w:p w:rsidR="00CB0C06" w:rsidRPr="00073692" w:rsidDel="0047565B" w:rsidRDefault="00CB0C06" w:rsidP="00EA0068">
            <w:pPr>
              <w:jc w:val="center"/>
              <w:rPr>
                <w:rFonts w:ascii="Arial Narrow" w:hAnsi="Arial Narrow"/>
                <w:b/>
                <w:sz w:val="20"/>
                <w:lang w:val="en-GB"/>
              </w:rPr>
            </w:pPr>
            <w:r w:rsidRPr="00073692">
              <w:rPr>
                <w:rFonts w:ascii="Arial Narrow" w:hAnsi="Arial Narrow"/>
                <w:sz w:val="20"/>
                <w:lang w:val="en-GB"/>
              </w:rPr>
              <w:t>33/196 (16.8%)</w:t>
            </w:r>
          </w:p>
        </w:tc>
        <w:tc>
          <w:tcPr>
            <w:tcW w:w="2693" w:type="dxa"/>
            <w:tcBorders>
              <w:left w:val="double" w:sz="4" w:space="0" w:color="auto"/>
            </w:tcBorders>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NR</w:t>
            </w:r>
          </w:p>
        </w:tc>
      </w:tr>
      <w:tr w:rsidR="00CB0C06" w:rsidRPr="006D1DDF" w:rsidTr="00CB7968">
        <w:tc>
          <w:tcPr>
            <w:tcW w:w="2126" w:type="dxa"/>
            <w:vAlign w:val="center"/>
          </w:tcPr>
          <w:p w:rsidR="00CB0C06" w:rsidRPr="006D1DDF" w:rsidRDefault="00CB0C06" w:rsidP="00EA0068">
            <w:pPr>
              <w:ind w:right="-108"/>
              <w:jc w:val="left"/>
              <w:rPr>
                <w:rFonts w:ascii="Arial Narrow" w:hAnsi="Arial Narrow"/>
                <w:sz w:val="20"/>
                <w:lang w:val="en-GB"/>
              </w:rPr>
            </w:pPr>
            <w:r w:rsidRPr="006D1DDF">
              <w:rPr>
                <w:rFonts w:ascii="Arial Narrow" w:hAnsi="Arial Narrow"/>
                <w:sz w:val="20"/>
                <w:lang w:val="en-GB"/>
              </w:rPr>
              <w:t>Median OS; months</w:t>
            </w:r>
          </w:p>
        </w:tc>
        <w:tc>
          <w:tcPr>
            <w:tcW w:w="1843" w:type="dxa"/>
            <w:vAlign w:val="center"/>
          </w:tcPr>
          <w:p w:rsidR="00CB0C06" w:rsidRPr="006D1DDF" w:rsidDel="0047565B" w:rsidRDefault="00CB0C06" w:rsidP="00EA0068">
            <w:pPr>
              <w:jc w:val="center"/>
              <w:rPr>
                <w:rFonts w:ascii="Arial Narrow" w:hAnsi="Arial Narrow"/>
                <w:b/>
                <w:sz w:val="20"/>
                <w:lang w:val="en-GB"/>
              </w:rPr>
            </w:pPr>
            <w:r w:rsidRPr="006D1DDF">
              <w:rPr>
                <w:rFonts w:ascii="Arial Narrow" w:hAnsi="Arial Narrow"/>
                <w:sz w:val="20"/>
                <w:lang w:val="en-GB"/>
              </w:rPr>
              <w:t xml:space="preserve">NE </w:t>
            </w:r>
            <w:r w:rsidRPr="00CE4E59">
              <w:rPr>
                <w:rFonts w:ascii="Arial Narrow" w:hAnsi="Arial Narrow"/>
                <w:sz w:val="20"/>
                <w:lang w:val="en-GB"/>
              </w:rPr>
              <w:t>(</w:t>
            </w:r>
            <w:r w:rsidR="0056677C">
              <w:rPr>
                <w:rFonts w:ascii="Arial Narrow" w:hAnsi="Arial Narrow"/>
                <w:noProof/>
                <w:color w:val="000000"/>
                <w:sz w:val="20"/>
                <w:highlight w:val="black"/>
                <w:lang w:val="en-GB"/>
              </w:rPr>
              <w:t>''''''''''</w:t>
            </w:r>
            <w:r w:rsidRPr="00CE4E59">
              <w:rPr>
                <w:rFonts w:ascii="Arial Narrow" w:hAnsi="Arial Narrow"/>
                <w:sz w:val="20"/>
                <w:lang w:val="en-GB"/>
              </w:rPr>
              <w:t xml:space="preserve">, </w:t>
            </w:r>
            <w:r w:rsidR="0056677C">
              <w:rPr>
                <w:rFonts w:ascii="Arial Narrow" w:hAnsi="Arial Narrow"/>
                <w:noProof/>
                <w:color w:val="000000"/>
                <w:sz w:val="20"/>
                <w:highlight w:val="black"/>
                <w:lang w:val="en-GB"/>
              </w:rPr>
              <w:t>'''''''''''''</w:t>
            </w:r>
            <w:r w:rsidRPr="007B09BD">
              <w:rPr>
                <w:rFonts w:ascii="Arial Narrow" w:hAnsi="Arial Narrow"/>
                <w:sz w:val="20"/>
                <w:lang w:val="en-GB"/>
              </w:rPr>
              <w:t>)</w:t>
            </w:r>
          </w:p>
        </w:tc>
        <w:tc>
          <w:tcPr>
            <w:tcW w:w="1701" w:type="dxa"/>
            <w:tcBorders>
              <w:right w:val="double" w:sz="4" w:space="0" w:color="auto"/>
            </w:tcBorders>
            <w:vAlign w:val="center"/>
          </w:tcPr>
          <w:p w:rsidR="00CB0C06" w:rsidRPr="006D1DDF" w:rsidDel="0047565B" w:rsidRDefault="00CB0C06" w:rsidP="00EA0068">
            <w:pPr>
              <w:jc w:val="center"/>
              <w:rPr>
                <w:rFonts w:ascii="Arial Narrow" w:hAnsi="Arial Narrow"/>
                <w:b/>
                <w:sz w:val="20"/>
                <w:lang w:val="en-GB"/>
              </w:rPr>
            </w:pPr>
            <w:r w:rsidRPr="006D1DDF">
              <w:rPr>
                <w:rFonts w:ascii="Arial Narrow" w:hAnsi="Arial Narrow"/>
                <w:sz w:val="20"/>
                <w:lang w:val="en-GB"/>
              </w:rPr>
              <w:t xml:space="preserve">NE </w:t>
            </w:r>
            <w:r w:rsidRPr="007B09BD">
              <w:rPr>
                <w:rFonts w:ascii="Arial Narrow" w:hAnsi="Arial Narrow"/>
                <w:sz w:val="20"/>
                <w:lang w:val="en-GB"/>
              </w:rPr>
              <w:t>(</w:t>
            </w:r>
            <w:r w:rsidRPr="00CE4E59">
              <w:rPr>
                <w:rFonts w:ascii="Arial Narrow" w:hAnsi="Arial Narrow"/>
                <w:sz w:val="20"/>
                <w:lang w:val="en-GB"/>
              </w:rPr>
              <w:t xml:space="preserve">0.07, </w:t>
            </w:r>
            <w:r w:rsidR="0056677C">
              <w:rPr>
                <w:rFonts w:ascii="Arial Narrow" w:hAnsi="Arial Narrow"/>
                <w:noProof/>
                <w:color w:val="000000"/>
                <w:sz w:val="20"/>
                <w:highlight w:val="black"/>
                <w:lang w:val="en-GB"/>
              </w:rPr>
              <w:t>''''''''''''''</w:t>
            </w:r>
            <w:r w:rsidRPr="007B09BD">
              <w:rPr>
                <w:rFonts w:ascii="Arial Narrow" w:hAnsi="Arial Narrow"/>
                <w:sz w:val="20"/>
                <w:lang w:val="en-GB"/>
              </w:rPr>
              <w:t>)</w:t>
            </w:r>
          </w:p>
        </w:tc>
        <w:tc>
          <w:tcPr>
            <w:tcW w:w="2693" w:type="dxa"/>
            <w:tcBorders>
              <w:left w:val="double" w:sz="4" w:space="0" w:color="auto"/>
            </w:tcBorders>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36 months (NR, NR)</w:t>
            </w:r>
          </w:p>
        </w:tc>
      </w:tr>
      <w:tr w:rsidR="00CB0C06" w:rsidRPr="006D1DDF" w:rsidTr="004A03B7">
        <w:trPr>
          <w:trHeight w:val="70"/>
        </w:trPr>
        <w:tc>
          <w:tcPr>
            <w:tcW w:w="2126" w:type="dxa"/>
            <w:vAlign w:val="center"/>
          </w:tcPr>
          <w:p w:rsidR="00CB0C06" w:rsidRPr="006D1DDF" w:rsidRDefault="00CB0C06" w:rsidP="00EA0068">
            <w:pPr>
              <w:ind w:right="-108"/>
              <w:jc w:val="left"/>
              <w:rPr>
                <w:rFonts w:ascii="Arial Narrow" w:hAnsi="Arial Narrow"/>
                <w:sz w:val="20"/>
                <w:lang w:val="en-GB"/>
              </w:rPr>
            </w:pPr>
            <w:r w:rsidRPr="006D1DDF">
              <w:rPr>
                <w:rFonts w:ascii="Arial Narrow" w:hAnsi="Arial Narrow"/>
                <w:sz w:val="20"/>
                <w:lang w:val="en-GB"/>
              </w:rPr>
              <w:t>HR (95% CI)</w:t>
            </w:r>
          </w:p>
        </w:tc>
        <w:tc>
          <w:tcPr>
            <w:tcW w:w="3544" w:type="dxa"/>
            <w:gridSpan w:val="2"/>
            <w:tcBorders>
              <w:right w:val="double" w:sz="4" w:space="0" w:color="auto"/>
            </w:tcBorders>
            <w:vAlign w:val="center"/>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0.43 (0.24, 0.79)</w:t>
            </w:r>
            <w:r w:rsidRPr="006D1DDF">
              <w:rPr>
                <w:rFonts w:ascii="Arial Narrow" w:hAnsi="Arial Narrow"/>
                <w:sz w:val="20"/>
                <w:vertAlign w:val="superscript"/>
                <w:lang w:val="en-GB"/>
              </w:rPr>
              <w:t xml:space="preserve"> </w:t>
            </w:r>
            <w:r w:rsidRPr="006D1DDF">
              <w:rPr>
                <w:rFonts w:ascii="Arial Narrow" w:hAnsi="Arial Narrow"/>
                <w:sz w:val="20"/>
                <w:lang w:val="en-GB"/>
              </w:rPr>
              <w:t xml:space="preserve"> - crossover censored</w:t>
            </w:r>
          </w:p>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0.39 (0.22,0.70) – crossover not censored</w:t>
            </w:r>
          </w:p>
        </w:tc>
        <w:tc>
          <w:tcPr>
            <w:tcW w:w="2693" w:type="dxa"/>
            <w:tcBorders>
              <w:left w:val="double" w:sz="4" w:space="0" w:color="auto"/>
            </w:tcBorders>
            <w:vAlign w:val="center"/>
          </w:tcPr>
          <w:p w:rsidR="00CB0C06" w:rsidRPr="006D1DDF" w:rsidRDefault="00CB0C06" w:rsidP="00F732DF">
            <w:pPr>
              <w:jc w:val="center"/>
              <w:rPr>
                <w:rFonts w:ascii="Arial Narrow" w:hAnsi="Arial Narrow"/>
                <w:sz w:val="20"/>
                <w:lang w:val="en-GB"/>
              </w:rPr>
            </w:pPr>
            <w:r w:rsidRPr="006D1DDF">
              <w:rPr>
                <w:rFonts w:ascii="Arial Narrow" w:hAnsi="Arial Narrow"/>
                <w:sz w:val="20"/>
                <w:lang w:val="en-GB"/>
              </w:rPr>
              <w:t>NE</w:t>
            </w:r>
          </w:p>
        </w:tc>
      </w:tr>
      <w:tr w:rsidR="00CB0C06" w:rsidRPr="006D1DDF" w:rsidTr="00CB7968">
        <w:trPr>
          <w:trHeight w:val="323"/>
        </w:trPr>
        <w:tc>
          <w:tcPr>
            <w:tcW w:w="2126" w:type="dxa"/>
            <w:vAlign w:val="center"/>
          </w:tcPr>
          <w:p w:rsidR="00CB0C06" w:rsidRPr="006D1DDF" w:rsidRDefault="00CB0C06" w:rsidP="00EA0068">
            <w:pPr>
              <w:ind w:right="-108"/>
              <w:jc w:val="left"/>
              <w:rPr>
                <w:rFonts w:ascii="Arial Narrow" w:hAnsi="Arial Narrow"/>
                <w:sz w:val="20"/>
                <w:lang w:val="en-GB"/>
              </w:rPr>
            </w:pPr>
            <w:r w:rsidRPr="006D1DDF">
              <w:rPr>
                <w:rFonts w:ascii="Arial Narrow" w:hAnsi="Arial Narrow"/>
                <w:sz w:val="20"/>
                <w:lang w:val="en-GB"/>
              </w:rPr>
              <w:t>ORR; %</w:t>
            </w:r>
          </w:p>
        </w:tc>
        <w:tc>
          <w:tcPr>
            <w:tcW w:w="1843" w:type="dxa"/>
            <w:vAlign w:val="center"/>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 xml:space="preserve">42.6% </w:t>
            </w:r>
            <w:r w:rsidRPr="006D1DDF">
              <w:rPr>
                <w:rFonts w:ascii="Arial Narrow" w:hAnsi="Arial Narrow"/>
                <w:sz w:val="20"/>
                <w:vertAlign w:val="superscript"/>
                <w:lang w:val="en-GB"/>
              </w:rPr>
              <w:t>c</w:t>
            </w:r>
          </w:p>
          <w:p w:rsidR="00CB0C06" w:rsidRPr="007B09BD" w:rsidRDefault="00CB0C06" w:rsidP="00F732DF">
            <w:pPr>
              <w:jc w:val="center"/>
              <w:rPr>
                <w:rFonts w:ascii="Arial Narrow" w:hAnsi="Arial Narrow"/>
                <w:strike/>
                <w:sz w:val="20"/>
                <w:lang w:val="en-GB"/>
              </w:rPr>
            </w:pPr>
            <w:r w:rsidRPr="001169D3">
              <w:rPr>
                <w:rFonts w:ascii="Arial Narrow" w:hAnsi="Arial Narrow"/>
                <w:sz w:val="20"/>
                <w:lang w:val="en-GB"/>
              </w:rPr>
              <w:t xml:space="preserve">69.7% </w:t>
            </w:r>
            <w:r w:rsidRPr="001169D3">
              <w:rPr>
                <w:rFonts w:ascii="Arial Narrow" w:hAnsi="Arial Narrow"/>
                <w:sz w:val="20"/>
                <w:vertAlign w:val="superscript"/>
                <w:lang w:val="en-GB"/>
              </w:rPr>
              <w:t>d</w:t>
            </w:r>
          </w:p>
        </w:tc>
        <w:tc>
          <w:tcPr>
            <w:tcW w:w="1701" w:type="dxa"/>
            <w:tcBorders>
              <w:right w:val="double" w:sz="4" w:space="0" w:color="auto"/>
            </w:tcBorders>
            <w:vAlign w:val="center"/>
          </w:tcPr>
          <w:p w:rsidR="00CB0C06" w:rsidRPr="006D1DDF" w:rsidRDefault="00CB0C06" w:rsidP="00EA0068">
            <w:pPr>
              <w:jc w:val="center"/>
              <w:rPr>
                <w:rFonts w:ascii="Arial Narrow" w:hAnsi="Arial Narrow"/>
                <w:sz w:val="20"/>
                <w:lang w:val="en-GB"/>
              </w:rPr>
            </w:pPr>
            <w:r w:rsidRPr="006D1DDF">
              <w:rPr>
                <w:rFonts w:ascii="Arial Narrow" w:hAnsi="Arial Narrow"/>
                <w:sz w:val="20"/>
                <w:lang w:val="en-GB"/>
              </w:rPr>
              <w:t>4.1%</w:t>
            </w:r>
            <w:r w:rsidRPr="006D1DDF">
              <w:rPr>
                <w:rFonts w:ascii="Arial Narrow" w:hAnsi="Arial Narrow"/>
                <w:sz w:val="20"/>
                <w:vertAlign w:val="superscript"/>
                <w:lang w:val="en-GB"/>
              </w:rPr>
              <w:t xml:space="preserve"> c</w:t>
            </w:r>
          </w:p>
          <w:p w:rsidR="00CB0C06" w:rsidRPr="007B09BD" w:rsidRDefault="00CB0C06" w:rsidP="00F732DF">
            <w:pPr>
              <w:jc w:val="center"/>
              <w:rPr>
                <w:rFonts w:ascii="Arial Narrow" w:hAnsi="Arial Narrow"/>
                <w:sz w:val="20"/>
                <w:lang w:val="en-GB"/>
              </w:rPr>
            </w:pPr>
            <w:r w:rsidRPr="001169D3">
              <w:rPr>
                <w:rFonts w:ascii="Arial Narrow" w:hAnsi="Arial Narrow"/>
                <w:sz w:val="20"/>
                <w:lang w:val="en-GB"/>
              </w:rPr>
              <w:t>21.4%</w:t>
            </w:r>
            <w:r w:rsidRPr="001169D3">
              <w:rPr>
                <w:rFonts w:ascii="Arial Narrow" w:hAnsi="Arial Narrow"/>
                <w:sz w:val="20"/>
                <w:vertAlign w:val="superscript"/>
                <w:lang w:val="en-GB"/>
              </w:rPr>
              <w:t xml:space="preserve"> d</w:t>
            </w:r>
          </w:p>
        </w:tc>
        <w:tc>
          <w:tcPr>
            <w:tcW w:w="2693" w:type="dxa"/>
            <w:tcBorders>
              <w:left w:val="double" w:sz="4" w:space="0" w:color="auto"/>
            </w:tcBorders>
            <w:vAlign w:val="center"/>
          </w:tcPr>
          <w:p w:rsidR="00CB0C06" w:rsidRPr="006D1DDF" w:rsidRDefault="00CB0C06" w:rsidP="00F732DF">
            <w:pPr>
              <w:jc w:val="center"/>
              <w:rPr>
                <w:rFonts w:ascii="Arial Narrow" w:hAnsi="Arial Narrow"/>
                <w:sz w:val="20"/>
                <w:lang w:val="en-GB"/>
              </w:rPr>
            </w:pPr>
            <w:r w:rsidRPr="006D1DDF">
              <w:rPr>
                <w:rFonts w:ascii="Arial Narrow" w:hAnsi="Arial Narrow"/>
                <w:sz w:val="20"/>
                <w:lang w:val="en-GB"/>
              </w:rPr>
              <w:t>48.3%</w:t>
            </w:r>
            <w:r w:rsidRPr="006D1DDF">
              <w:rPr>
                <w:rFonts w:ascii="Arial Narrow" w:hAnsi="Arial Narrow"/>
                <w:sz w:val="20"/>
                <w:vertAlign w:val="superscript"/>
                <w:lang w:val="en-GB"/>
              </w:rPr>
              <w:t>d,e</w:t>
            </w:r>
          </w:p>
        </w:tc>
      </w:tr>
    </w:tbl>
    <w:p w:rsidR="00CB0C06" w:rsidRPr="006D1DDF" w:rsidRDefault="00CB0C06" w:rsidP="009971C2">
      <w:pPr>
        <w:pStyle w:val="TableFooter"/>
        <w:ind w:firstLine="720"/>
        <w:rPr>
          <w:lang w:val="en-GB"/>
        </w:rPr>
      </w:pPr>
      <w:r w:rsidRPr="006D1DDF">
        <w:rPr>
          <w:lang w:val="en-GB"/>
        </w:rPr>
        <w:t>Source: Table Bi.30, p93; Table Bi.31-32, p99 of the submission, and extracted from Tam (2014)</w:t>
      </w:r>
    </w:p>
    <w:p w:rsidR="00CB0C06" w:rsidRPr="006D1DDF" w:rsidRDefault="00CB0C06" w:rsidP="009971C2">
      <w:pPr>
        <w:pStyle w:val="TableFooter"/>
        <w:ind w:left="720"/>
        <w:rPr>
          <w:b/>
          <w:lang w:val="en-GB"/>
        </w:rPr>
      </w:pPr>
      <w:r w:rsidRPr="006D1DDF">
        <w:rPr>
          <w:lang w:val="en-GB"/>
        </w:rPr>
        <w:t>FCR = fludarabine, cyclophosphamide, rituximab; NE = not estimable; NR = not reported; ORR = overall response rate; OS = overall survival; CI = confidence interval; HR = hazard ratio</w:t>
      </w:r>
    </w:p>
    <w:p w:rsidR="00CB0C06" w:rsidRPr="006D1DDF" w:rsidRDefault="00CB0C06" w:rsidP="009971C2">
      <w:pPr>
        <w:pStyle w:val="TableFooter"/>
        <w:ind w:left="720"/>
        <w:rPr>
          <w:lang w:val="en-GB"/>
        </w:rPr>
      </w:pPr>
      <w:r w:rsidRPr="006D1DDF">
        <w:rPr>
          <w:vertAlign w:val="superscript"/>
          <w:lang w:val="en-GB"/>
        </w:rPr>
        <w:t>a</w:t>
      </w:r>
      <w:r w:rsidRPr="006D1DDF">
        <w:rPr>
          <w:lang w:val="en-GB"/>
        </w:rPr>
        <w:t xml:space="preserve"> Rituximab based regimens included rituximab monotherapy (n=11), rituximab plus methylprednisolone (n=10), rituximab plus granulocyte macrophage colony-stimulating factor (n=9) and rituximab plus etanercept (n=1).</w:t>
      </w:r>
    </w:p>
    <w:p w:rsidR="00CB0C06" w:rsidRPr="006D1DDF" w:rsidRDefault="00CB0C06" w:rsidP="009971C2">
      <w:pPr>
        <w:pStyle w:val="TableFooter"/>
        <w:ind w:left="720"/>
        <w:rPr>
          <w:lang w:val="en-GB"/>
        </w:rPr>
      </w:pPr>
      <w:r w:rsidRPr="006D1DDF">
        <w:rPr>
          <w:vertAlign w:val="superscript"/>
          <w:lang w:val="en-GB"/>
        </w:rPr>
        <w:t>b</w:t>
      </w:r>
      <w:r w:rsidRPr="006D1DDF">
        <w:rPr>
          <w:lang w:val="en-GB"/>
        </w:rPr>
        <w:t xml:space="preserve"> This follow-up was for all patients on second-line therapy (n=136) in Tam (2014), as no data was provided for patients on a rituximab-based regimen.</w:t>
      </w:r>
    </w:p>
    <w:p w:rsidR="00CB0C06" w:rsidRPr="006D1DDF" w:rsidRDefault="00CB0C06" w:rsidP="009971C2">
      <w:pPr>
        <w:pStyle w:val="TableFooter"/>
        <w:ind w:left="720"/>
        <w:rPr>
          <w:lang w:val="en-GB"/>
        </w:rPr>
      </w:pPr>
      <w:r w:rsidRPr="006D1DDF">
        <w:rPr>
          <w:vertAlign w:val="superscript"/>
          <w:lang w:val="en-GB"/>
        </w:rPr>
        <w:t>c</w:t>
      </w:r>
      <w:r w:rsidRPr="006D1DDF">
        <w:rPr>
          <w:lang w:val="en-GB"/>
        </w:rPr>
        <w:t xml:space="preserve"> Independent review committee assessed.</w:t>
      </w:r>
    </w:p>
    <w:p w:rsidR="00CB0C06" w:rsidRPr="006D1DDF" w:rsidRDefault="00CB0C06" w:rsidP="009971C2">
      <w:pPr>
        <w:pStyle w:val="TableFooter"/>
        <w:ind w:left="720"/>
        <w:rPr>
          <w:lang w:val="en-GB"/>
        </w:rPr>
      </w:pPr>
      <w:r w:rsidRPr="006D1DDF">
        <w:rPr>
          <w:vertAlign w:val="superscript"/>
          <w:lang w:val="en-GB"/>
        </w:rPr>
        <w:t>d</w:t>
      </w:r>
      <w:r w:rsidRPr="006D1DDF">
        <w:rPr>
          <w:lang w:val="en-GB"/>
        </w:rPr>
        <w:t xml:space="preserve"> Investigator assessed.</w:t>
      </w:r>
    </w:p>
    <w:p w:rsidR="00CB0C06" w:rsidRPr="006D1DDF" w:rsidRDefault="00CB0C06" w:rsidP="002258C9">
      <w:pPr>
        <w:pStyle w:val="TableFooter"/>
        <w:ind w:left="720"/>
        <w:rPr>
          <w:b/>
          <w:lang w:val="en-GB"/>
        </w:rPr>
      </w:pPr>
      <w:r w:rsidRPr="006D1DDF">
        <w:rPr>
          <w:vertAlign w:val="superscript"/>
          <w:lang w:val="en-GB"/>
        </w:rPr>
        <w:t>e</w:t>
      </w:r>
      <w:r w:rsidRPr="006D1DDF">
        <w:rPr>
          <w:lang w:val="en-GB"/>
        </w:rPr>
        <w:t xml:space="preserve"> Values were provided separately for patients who had a relapse less than 3 year (45%, n=11) after start of FCR treatment and those with relapse at least 3 year after start of FCR treatment (50%, n=20).</w:t>
      </w:r>
    </w:p>
    <w:p w:rsidR="00CB0C06" w:rsidRPr="006D1DDF" w:rsidRDefault="00CB0C06" w:rsidP="00CB7968">
      <w:pPr>
        <w:pStyle w:val="ListParagraph"/>
        <w:rPr>
          <w:lang w:val="en-GB"/>
        </w:rPr>
      </w:pPr>
    </w:p>
    <w:p w:rsidR="00CB0C06" w:rsidRPr="006D1DDF" w:rsidRDefault="00CB0C06" w:rsidP="00A26E51">
      <w:pPr>
        <w:pStyle w:val="ListParagraph"/>
        <w:widowControl/>
        <w:numPr>
          <w:ilvl w:val="1"/>
          <w:numId w:val="7"/>
        </w:numPr>
        <w:rPr>
          <w:lang w:val="en-GB"/>
        </w:rPr>
      </w:pPr>
      <w:r w:rsidRPr="006D1DDF">
        <w:rPr>
          <w:lang w:val="en-GB"/>
        </w:rPr>
        <w:t xml:space="preserve">Like the hazard ratio for overall survival, when patients who crossed over were censored in the interim phase of the RESONATE trial, the uncensored hazard ratio was 0.39 (95% CI: 0.22 to 0.70) and favoured ibrutinib over ofatumumab. The </w:t>
      </w:r>
      <w:r w:rsidRPr="006D1DDF">
        <w:rPr>
          <w:lang w:val="en-GB"/>
        </w:rPr>
        <w:lastRenderedPageBreak/>
        <w:t>median overall survival was not reached in either treatment arm due to a low event rate. Tam (2014) reported that the median overall survival for rituximab based regimens in patients who failed FCR was 36 months (no confidence intervals provided). Overall, meaningful comparisons of efficacy between ofatumumab and rituximab plus chlorambucil cannot be made.  ESC agreed that ibrutinib appears to be superior to ofatumumab based on the RESONATE trial. However, it is not clear whether the treatment effect in comparison to ofatumumab is a reasonable estimate of the benefit over Rit+Chl. ESC noted that the use of single agent anti-CD20 therapy, such as ofatumumab and rituximab, generally results in poor and short-lived responses in relapsed/refractory CLL. ESC considered that the addition of chlorambucil to anti-CD20 therapy would likely have greater efficacy than single agent anti-CD20 therapy alone. As such, the estimated benefit for ibrutinib was considered to have been overestimated when based on a comparison to ofatumumab as monotherapy.</w:t>
      </w:r>
    </w:p>
    <w:p w:rsidR="00CB0C06" w:rsidRPr="006D1DDF" w:rsidRDefault="00CB0C06" w:rsidP="00CB7968">
      <w:pPr>
        <w:pStyle w:val="ListParagraph"/>
        <w:rPr>
          <w:i/>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Ibrutinib treatment resulted in a higher response rate than ofatumumab treatment. For both treatment arms in the RESONATE trial, the overall response rates were </w:t>
      </w:r>
      <w:r w:rsidRPr="001169D3">
        <w:rPr>
          <w:lang w:val="en-GB"/>
        </w:rPr>
        <w:t>lower</w:t>
      </w:r>
      <w:r w:rsidRPr="006D1DDF">
        <w:rPr>
          <w:lang w:val="en-GB"/>
        </w:rPr>
        <w:t xml:space="preserve"> when the assessment was done independently then when done by the investigator. Further, the overall response rate in the ofatumumab arm of RESONATE was much lower than that reported in the rituximab based regimens of Tam (2014) or in patients treated with ofatumumab who failed fludarabine and alemtuzumab which was 47% (95% CI: 39% to 60%) (Ofatumumab Australian product information, p7).</w:t>
      </w:r>
      <w:r w:rsidRPr="006D1DDF">
        <w:rPr>
          <w:i/>
          <w:lang w:val="en-GB"/>
        </w:rPr>
        <w:t xml:space="preserve"> </w:t>
      </w:r>
    </w:p>
    <w:p w:rsidR="00CB0C06" w:rsidRPr="006D1DDF" w:rsidRDefault="00CB0C06" w:rsidP="00937B32">
      <w:pPr>
        <w:widowControl/>
        <w:rPr>
          <w:szCs w:val="22"/>
          <w:lang w:val="en-GB"/>
        </w:rPr>
      </w:pPr>
    </w:p>
    <w:p w:rsidR="00CB0C06" w:rsidRPr="006D1DDF" w:rsidRDefault="00CB0C06" w:rsidP="002C2775">
      <w:pPr>
        <w:pStyle w:val="Heading2"/>
        <w:rPr>
          <w:i/>
          <w:lang w:val="en-GB"/>
        </w:rPr>
      </w:pPr>
      <w:bookmarkStart w:id="12" w:name="_Toc419724911"/>
      <w:r w:rsidRPr="006D1DDF">
        <w:rPr>
          <w:i/>
          <w:lang w:val="en-GB"/>
        </w:rPr>
        <w:t>Comparative harms</w:t>
      </w:r>
      <w:bookmarkEnd w:id="12"/>
    </w:p>
    <w:p w:rsidR="00CB0C06" w:rsidRPr="006D1DDF" w:rsidRDefault="00CB0C06" w:rsidP="00B60939">
      <w:pPr>
        <w:ind w:left="720" w:hanging="720"/>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The most common treatment-related adverse events Grade 3 or higher across both trial arms </w:t>
      </w:r>
      <w:r w:rsidRPr="006D1DDF">
        <w:t>were neutropenia, pneumonia, thrombocytopenia and anaemia. Urinary tract infections, leucocytosis, atrial fibrillation and lung infection were reported more often in the ibrutinib arm, with infusion-related reactions reported more often in the ofatumumab trial arm.</w:t>
      </w:r>
    </w:p>
    <w:p w:rsidR="00CB0C06" w:rsidRPr="006D1DDF" w:rsidRDefault="00CB0C06" w:rsidP="00CB7968">
      <w:pPr>
        <w:pStyle w:val="ListParagraph"/>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t xml:space="preserve">The submission did not present direct comparative safety results for ibrutinib and rituximab plus chlorambucil. However, the submission did provide a naïve comparison of safety for ofatumumab from the RESONATE trial to rituximab plus chlorambucil for first-line treatment for CLL (Hillmen, 2014). The submission concluded that the safety profiles were largely similar. This was inappropriate as the comparison was for different lines of treatment and the median follow-up was 30 months for Hillmen (2014), whereas the median follow-up for the RESONATE trial was 9.4 months. </w:t>
      </w:r>
    </w:p>
    <w:p w:rsidR="00CB0C06" w:rsidRPr="006D1DDF" w:rsidRDefault="00CB0C06" w:rsidP="007F1017">
      <w:pPr>
        <w:pStyle w:val="ListParagraph"/>
        <w:ind w:left="0"/>
        <w:rPr>
          <w:szCs w:val="22"/>
          <w:lang w:val="en-GB"/>
        </w:rPr>
      </w:pPr>
    </w:p>
    <w:p w:rsidR="00CB0C06" w:rsidRPr="006D1DDF" w:rsidRDefault="00CB0C06" w:rsidP="002C2775">
      <w:pPr>
        <w:pStyle w:val="Heading2"/>
        <w:rPr>
          <w:i/>
          <w:szCs w:val="22"/>
          <w:lang w:val="en-GB"/>
        </w:rPr>
      </w:pPr>
      <w:bookmarkStart w:id="13" w:name="_Toc419724912"/>
      <w:r w:rsidRPr="006D1DDF">
        <w:rPr>
          <w:i/>
          <w:lang w:val="en-GB"/>
        </w:rPr>
        <w:t>Benefits/harms</w:t>
      </w:r>
      <w:bookmarkEnd w:id="13"/>
    </w:p>
    <w:p w:rsidR="00CB0C06" w:rsidRPr="006D1DDF" w:rsidRDefault="00CB0C06" w:rsidP="00A84826">
      <w:pPr>
        <w:tabs>
          <w:tab w:val="left" w:pos="2865"/>
        </w:tabs>
        <w:rPr>
          <w:color w:val="3366FF"/>
          <w:lang w:val="en-GB"/>
        </w:rPr>
      </w:pPr>
    </w:p>
    <w:p w:rsidR="00CB0C06" w:rsidRPr="006D1DDF" w:rsidRDefault="00CB0C06" w:rsidP="00805185">
      <w:pPr>
        <w:pStyle w:val="ListParagraph"/>
        <w:widowControl/>
        <w:numPr>
          <w:ilvl w:val="1"/>
          <w:numId w:val="7"/>
        </w:numPr>
        <w:rPr>
          <w:u w:val="single"/>
          <w:lang w:val="en-GB"/>
        </w:rPr>
      </w:pPr>
      <w:r w:rsidRPr="006D1DDF">
        <w:rPr>
          <w:u w:val="single"/>
          <w:lang w:val="en-GB"/>
        </w:rPr>
        <w:t>Ibrutinib versus ofatumumab</w:t>
      </w:r>
    </w:p>
    <w:p w:rsidR="00CB0C06" w:rsidRPr="006D1DDF" w:rsidRDefault="00CB0C06" w:rsidP="00805185">
      <w:pPr>
        <w:pStyle w:val="ListParagraph"/>
        <w:widowControl/>
        <w:rPr>
          <w:szCs w:val="22"/>
          <w:lang w:val="en-GB"/>
        </w:rPr>
      </w:pPr>
      <w:r w:rsidRPr="006D1DDF">
        <w:rPr>
          <w:szCs w:val="22"/>
          <w:lang w:val="en-GB"/>
        </w:rPr>
        <w:t>A summary of the comparative benefits and harms for ibrutinib versus ofatumumab is presented in Table 5.</w:t>
      </w:r>
    </w:p>
    <w:p w:rsidR="00CB0C06" w:rsidRPr="006D1DDF" w:rsidRDefault="00CB0C06" w:rsidP="004B1CB4">
      <w:pPr>
        <w:rPr>
          <w:lang w:val="en-GB"/>
        </w:rPr>
      </w:pPr>
    </w:p>
    <w:p w:rsidR="00CB0C06" w:rsidRPr="006D1DDF" w:rsidRDefault="00CB0C06" w:rsidP="00D93B00">
      <w:pPr>
        <w:keepNext/>
        <w:ind w:firstLine="720"/>
        <w:rPr>
          <w:rStyle w:val="CommentReference"/>
          <w:rFonts w:cs="Arial"/>
          <w:sz w:val="20"/>
          <w:szCs w:val="16"/>
          <w:lang w:val="en-GB"/>
        </w:rPr>
      </w:pPr>
      <w:r w:rsidRPr="006D1DDF">
        <w:rPr>
          <w:rStyle w:val="CommentReference"/>
          <w:rFonts w:cs="Arial"/>
          <w:sz w:val="20"/>
          <w:szCs w:val="16"/>
          <w:lang w:val="en-GB"/>
        </w:rPr>
        <w:lastRenderedPageBreak/>
        <w:t>Table 5: Summary of comparative benefits and harms for ibrutinib and ofatumumab</w:t>
      </w:r>
    </w:p>
    <w:tbl>
      <w:tblPr>
        <w:tblW w:w="4700" w:type="pct"/>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96"/>
        <w:gridCol w:w="565"/>
        <w:gridCol w:w="289"/>
        <w:gridCol w:w="1276"/>
        <w:gridCol w:w="1272"/>
        <w:gridCol w:w="287"/>
        <w:gridCol w:w="567"/>
        <w:gridCol w:w="1134"/>
        <w:gridCol w:w="143"/>
        <w:gridCol w:w="1409"/>
      </w:tblGrid>
      <w:tr w:rsidR="00CB0C06" w:rsidRPr="006D1DDF" w:rsidTr="00573125">
        <w:tc>
          <w:tcPr>
            <w:tcW w:w="5000" w:type="pct"/>
            <w:gridSpan w:val="10"/>
            <w:vAlign w:val="center"/>
          </w:tcPr>
          <w:p w:rsidR="00CB0C06" w:rsidRPr="006D1DDF" w:rsidRDefault="00CB0C06" w:rsidP="00573125">
            <w:pPr>
              <w:keepNext/>
              <w:rPr>
                <w:rFonts w:ascii="Arial Narrow" w:hAnsi="Arial Narrow"/>
                <w:b/>
                <w:color w:val="000000"/>
                <w:sz w:val="20"/>
                <w:szCs w:val="18"/>
                <w:lang w:val="en-GB"/>
              </w:rPr>
            </w:pPr>
            <w:r w:rsidRPr="006D1DDF">
              <w:rPr>
                <w:rFonts w:ascii="Arial Narrow" w:hAnsi="Arial Narrow"/>
                <w:b/>
                <w:color w:val="000000"/>
                <w:sz w:val="20"/>
                <w:szCs w:val="18"/>
                <w:lang w:val="en-GB"/>
              </w:rPr>
              <w:t>BENEFITS</w:t>
            </w:r>
          </w:p>
        </w:tc>
      </w:tr>
      <w:tr w:rsidR="00CB0C06" w:rsidRPr="006D1DDF" w:rsidTr="00573125">
        <w:tc>
          <w:tcPr>
            <w:tcW w:w="5000" w:type="pct"/>
            <w:gridSpan w:val="10"/>
            <w:vAlign w:val="center"/>
          </w:tcPr>
          <w:p w:rsidR="00CB0C06" w:rsidRPr="006D1DDF" w:rsidRDefault="00CB0C06" w:rsidP="00573125">
            <w:pPr>
              <w:pStyle w:val="TableText0"/>
              <w:spacing w:before="0" w:after="0"/>
              <w:rPr>
                <w:b/>
                <w:color w:val="000000"/>
                <w:szCs w:val="18"/>
                <w:lang w:val="en-GB"/>
              </w:rPr>
            </w:pPr>
            <w:r w:rsidRPr="006D1DDF">
              <w:rPr>
                <w:b/>
                <w:color w:val="000000"/>
                <w:szCs w:val="18"/>
                <w:lang w:val="en-GB"/>
              </w:rPr>
              <w:t>Interim analysis: RESONATE trial – crossover censored</w:t>
            </w:r>
          </w:p>
        </w:tc>
      </w:tr>
      <w:tr w:rsidR="00CB0C06" w:rsidRPr="006D1DDF" w:rsidTr="00573125">
        <w:tc>
          <w:tcPr>
            <w:tcW w:w="5000" w:type="pct"/>
            <w:gridSpan w:val="10"/>
            <w:vAlign w:val="center"/>
          </w:tcPr>
          <w:p w:rsidR="00CB0C06" w:rsidRPr="006D1DDF" w:rsidRDefault="00CB0C06" w:rsidP="00573125">
            <w:pPr>
              <w:pStyle w:val="TableText0"/>
              <w:spacing w:before="0" w:after="0"/>
              <w:rPr>
                <w:lang w:val="en-GB"/>
              </w:rPr>
            </w:pPr>
            <w:r w:rsidRPr="006D1DDF">
              <w:rPr>
                <w:b/>
                <w:color w:val="000000"/>
                <w:szCs w:val="18"/>
                <w:lang w:val="en-GB"/>
              </w:rPr>
              <w:t xml:space="preserve">Progression free survival </w:t>
            </w:r>
            <w:r w:rsidRPr="006D1DDF">
              <w:t>(Median duration on treatment: ibrutinib = 8.6 months; ofatumumab = 5.3 months)</w:t>
            </w:r>
          </w:p>
        </w:tc>
      </w:tr>
      <w:tr w:rsidR="00CB0C06" w:rsidRPr="006D1DDF" w:rsidTr="00573125">
        <w:tc>
          <w:tcPr>
            <w:tcW w:w="1266" w:type="pct"/>
            <w:gridSpan w:val="2"/>
            <w:vAlign w:val="center"/>
          </w:tcPr>
          <w:p w:rsidR="00CB0C06" w:rsidRPr="006D1DDF" w:rsidRDefault="00CB0C06" w:rsidP="00573125">
            <w:pPr>
              <w:keepNext/>
              <w:jc w:val="center"/>
              <w:rPr>
                <w:rFonts w:ascii="Arial Narrow" w:hAnsi="Arial Narrow"/>
                <w:color w:val="000000"/>
                <w:sz w:val="20"/>
                <w:szCs w:val="18"/>
                <w:lang w:val="en-GB"/>
              </w:rPr>
            </w:pPr>
          </w:p>
        </w:tc>
        <w:tc>
          <w:tcPr>
            <w:tcW w:w="915" w:type="pct"/>
            <w:gridSpan w:val="2"/>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 xml:space="preserve">Ibrutinib </w:t>
            </w:r>
          </w:p>
        </w:tc>
        <w:tc>
          <w:tcPr>
            <w:tcW w:w="913" w:type="pct"/>
            <w:gridSpan w:val="2"/>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 xml:space="preserve">Ofatumumab </w:t>
            </w:r>
          </w:p>
        </w:tc>
        <w:tc>
          <w:tcPr>
            <w:tcW w:w="1080" w:type="pct"/>
            <w:gridSpan w:val="3"/>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Absolute Difference</w:t>
            </w:r>
          </w:p>
        </w:tc>
        <w:tc>
          <w:tcPr>
            <w:tcW w:w="826" w:type="pc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HR (95% CI)</w:t>
            </w:r>
          </w:p>
        </w:tc>
      </w:tr>
      <w:tr w:rsidR="00CB0C06" w:rsidRPr="006D1DDF" w:rsidTr="00573125">
        <w:tc>
          <w:tcPr>
            <w:tcW w:w="1266" w:type="pct"/>
            <w:gridSpan w:val="2"/>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Progressed disease; n/N (%)</w:t>
            </w:r>
          </w:p>
        </w:tc>
        <w:tc>
          <w:tcPr>
            <w:tcW w:w="915" w:type="pct"/>
            <w:gridSpan w:val="2"/>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35/195 (17.9%)</w:t>
            </w:r>
          </w:p>
        </w:tc>
        <w:tc>
          <w:tcPr>
            <w:tcW w:w="913" w:type="pct"/>
            <w:gridSpan w:val="2"/>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111/196 (56.6%)</w:t>
            </w:r>
          </w:p>
        </w:tc>
        <w:tc>
          <w:tcPr>
            <w:tcW w:w="1080" w:type="pct"/>
            <w:gridSpan w:val="3"/>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-38.7% (-47.5, -29.9)</w:t>
            </w:r>
          </w:p>
        </w:tc>
        <w:tc>
          <w:tcPr>
            <w:tcW w:w="826"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b/>
                <w:sz w:val="20"/>
                <w:lang w:val="en-GB"/>
              </w:rPr>
              <w:t>-</w:t>
            </w:r>
          </w:p>
        </w:tc>
      </w:tr>
      <w:tr w:rsidR="00CB0C06" w:rsidRPr="006D1DDF" w:rsidTr="00573125">
        <w:tc>
          <w:tcPr>
            <w:tcW w:w="1266" w:type="pct"/>
            <w:gridSpan w:val="2"/>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Median; months</w:t>
            </w:r>
          </w:p>
        </w:tc>
        <w:tc>
          <w:tcPr>
            <w:tcW w:w="915" w:type="pct"/>
            <w:gridSpan w:val="2"/>
            <w:vAlign w:val="center"/>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NE</w:t>
            </w:r>
          </w:p>
        </w:tc>
        <w:tc>
          <w:tcPr>
            <w:tcW w:w="913" w:type="pct"/>
            <w:gridSpan w:val="2"/>
            <w:vAlign w:val="center"/>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8.1 months</w:t>
            </w:r>
          </w:p>
        </w:tc>
        <w:tc>
          <w:tcPr>
            <w:tcW w:w="1080" w:type="pct"/>
            <w:gridSpan w:val="3"/>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w:t>
            </w:r>
          </w:p>
        </w:tc>
        <w:tc>
          <w:tcPr>
            <w:tcW w:w="826"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b/>
                <w:sz w:val="20"/>
                <w:lang w:val="en-GB"/>
              </w:rPr>
              <w:t>0.22 (0.15, 0.32)</w:t>
            </w:r>
          </w:p>
        </w:tc>
      </w:tr>
      <w:tr w:rsidR="00CB0C06" w:rsidRPr="006D1DDF" w:rsidTr="00573125">
        <w:tc>
          <w:tcPr>
            <w:tcW w:w="5000" w:type="pct"/>
            <w:gridSpan w:val="10"/>
            <w:vAlign w:val="center"/>
          </w:tcPr>
          <w:p w:rsidR="00CB0C06" w:rsidRPr="006D1DDF" w:rsidRDefault="00CB0C06" w:rsidP="00573125">
            <w:pPr>
              <w:keepNext/>
              <w:jc w:val="left"/>
              <w:rPr>
                <w:rFonts w:ascii="Arial Narrow" w:hAnsi="Arial Narrow"/>
                <w:color w:val="000000"/>
                <w:sz w:val="20"/>
                <w:szCs w:val="18"/>
                <w:lang w:val="en-GB"/>
              </w:rPr>
            </w:pPr>
            <w:r w:rsidRPr="006D1DDF">
              <w:rPr>
                <w:rFonts w:ascii="Arial Narrow" w:hAnsi="Arial Narrow"/>
                <w:b/>
                <w:color w:val="000000"/>
                <w:sz w:val="20"/>
                <w:szCs w:val="18"/>
                <w:lang w:val="en-GB"/>
              </w:rPr>
              <w:t xml:space="preserve">Overall survival  </w:t>
            </w:r>
            <w:r w:rsidRPr="006D1DDF">
              <w:rPr>
                <w:rFonts w:ascii="Arial Narrow" w:hAnsi="Arial Narrow"/>
                <w:color w:val="000000"/>
                <w:sz w:val="20"/>
                <w:szCs w:val="18"/>
                <w:lang w:val="en-GB"/>
              </w:rPr>
              <w:t>(Median duration on treatment: ibrutinib = 8.6 months; ofatumumab = 5.3 months)</w:t>
            </w:r>
          </w:p>
        </w:tc>
      </w:tr>
      <w:tr w:rsidR="00CB0C06" w:rsidRPr="006D1DDF" w:rsidTr="00573125">
        <w:tc>
          <w:tcPr>
            <w:tcW w:w="1266" w:type="pct"/>
            <w:gridSpan w:val="2"/>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Died; n/N (%)</w:t>
            </w:r>
          </w:p>
        </w:tc>
        <w:tc>
          <w:tcPr>
            <w:tcW w:w="915" w:type="pct"/>
            <w:gridSpan w:val="2"/>
          </w:tcPr>
          <w:p w:rsidR="00CB0C06" w:rsidRPr="00F332B2" w:rsidRDefault="00CB0C06" w:rsidP="00573125">
            <w:pPr>
              <w:keepNext/>
              <w:jc w:val="center"/>
              <w:rPr>
                <w:rFonts w:ascii="Arial Narrow" w:hAnsi="Arial Narrow"/>
                <w:sz w:val="20"/>
                <w:lang w:val="en-GB"/>
              </w:rPr>
            </w:pPr>
            <w:r w:rsidRPr="00F332B2">
              <w:rPr>
                <w:rFonts w:ascii="Arial Narrow" w:hAnsi="Arial Narrow"/>
                <w:sz w:val="20"/>
                <w:lang w:val="en-GB"/>
              </w:rPr>
              <w:t>16/195 (8.2%)</w:t>
            </w:r>
          </w:p>
        </w:tc>
        <w:tc>
          <w:tcPr>
            <w:tcW w:w="913" w:type="pct"/>
            <w:gridSpan w:val="2"/>
          </w:tcPr>
          <w:p w:rsidR="00CB0C06" w:rsidRPr="0081381A" w:rsidRDefault="00CB0C06" w:rsidP="00573125">
            <w:pPr>
              <w:keepNext/>
              <w:jc w:val="center"/>
              <w:rPr>
                <w:rFonts w:ascii="Arial Narrow" w:hAnsi="Arial Narrow"/>
                <w:sz w:val="20"/>
                <w:lang w:val="en-GB"/>
              </w:rPr>
            </w:pPr>
            <w:r w:rsidRPr="0081381A">
              <w:rPr>
                <w:rFonts w:ascii="Arial Narrow" w:hAnsi="Arial Narrow"/>
                <w:sz w:val="20"/>
                <w:lang w:val="en-GB"/>
              </w:rPr>
              <w:t>33/196 (16.8%)</w:t>
            </w:r>
          </w:p>
        </w:tc>
        <w:tc>
          <w:tcPr>
            <w:tcW w:w="1080" w:type="pct"/>
            <w:gridSpan w:val="3"/>
            <w:vAlign w:val="center"/>
          </w:tcPr>
          <w:p w:rsidR="00CB0C06" w:rsidRPr="001262A7" w:rsidRDefault="00CB0C06" w:rsidP="00573125">
            <w:pPr>
              <w:keepNext/>
              <w:jc w:val="center"/>
              <w:rPr>
                <w:rFonts w:ascii="Arial Narrow" w:hAnsi="Arial Narrow"/>
                <w:color w:val="000000"/>
                <w:sz w:val="20"/>
                <w:szCs w:val="18"/>
                <w:lang w:val="en-GB"/>
              </w:rPr>
            </w:pPr>
            <w:r w:rsidRPr="001262A7">
              <w:rPr>
                <w:rFonts w:ascii="Arial Narrow" w:hAnsi="Arial Narrow"/>
                <w:color w:val="000000"/>
                <w:sz w:val="20"/>
                <w:szCs w:val="18"/>
                <w:lang w:val="en-GB"/>
              </w:rPr>
              <w:t>-9% (-15.1, -2.1)</w:t>
            </w:r>
          </w:p>
        </w:tc>
        <w:tc>
          <w:tcPr>
            <w:tcW w:w="826"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b/>
                <w:sz w:val="20"/>
                <w:lang w:val="en-GB"/>
              </w:rPr>
              <w:t>-</w:t>
            </w:r>
          </w:p>
        </w:tc>
      </w:tr>
      <w:tr w:rsidR="00CB0C06" w:rsidRPr="006D1DDF" w:rsidTr="00573125">
        <w:tc>
          <w:tcPr>
            <w:tcW w:w="1266" w:type="pct"/>
            <w:gridSpan w:val="2"/>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Median; months</w:t>
            </w:r>
          </w:p>
        </w:tc>
        <w:tc>
          <w:tcPr>
            <w:tcW w:w="915" w:type="pct"/>
            <w:gridSpan w:val="2"/>
            <w:vAlign w:val="center"/>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 xml:space="preserve">NE </w:t>
            </w:r>
            <w:r w:rsidRPr="007B09BD">
              <w:rPr>
                <w:rFonts w:ascii="Arial Narrow" w:hAnsi="Arial Narrow"/>
                <w:sz w:val="20"/>
                <w:lang w:val="en-GB"/>
              </w:rPr>
              <w:t>(</w:t>
            </w:r>
            <w:r w:rsidR="0056677C">
              <w:rPr>
                <w:rFonts w:ascii="Arial Narrow" w:hAnsi="Arial Narrow"/>
                <w:noProof/>
                <w:color w:val="000000"/>
                <w:sz w:val="20"/>
                <w:highlight w:val="black"/>
                <w:lang w:val="en-GB"/>
              </w:rPr>
              <w:t>''''''''''</w:t>
            </w:r>
            <w:r w:rsidRPr="007B09BD">
              <w:rPr>
                <w:rFonts w:ascii="Arial Narrow" w:hAnsi="Arial Narrow"/>
                <w:sz w:val="20"/>
                <w:lang w:val="en-GB"/>
              </w:rPr>
              <w:t xml:space="preserve">, </w:t>
            </w:r>
            <w:r w:rsidR="0056677C">
              <w:rPr>
                <w:rFonts w:ascii="Arial Narrow" w:hAnsi="Arial Narrow"/>
                <w:noProof/>
                <w:color w:val="000000"/>
                <w:sz w:val="20"/>
                <w:highlight w:val="black"/>
                <w:lang w:val="en-GB"/>
              </w:rPr>
              <w:t>''''''''''''</w:t>
            </w:r>
            <w:r w:rsidRPr="007B09BD">
              <w:rPr>
                <w:rFonts w:ascii="Arial Narrow" w:hAnsi="Arial Narrow"/>
                <w:sz w:val="20"/>
                <w:lang w:val="en-GB"/>
              </w:rPr>
              <w:t>)</w:t>
            </w:r>
          </w:p>
        </w:tc>
        <w:tc>
          <w:tcPr>
            <w:tcW w:w="913" w:type="pct"/>
            <w:gridSpan w:val="2"/>
          </w:tcPr>
          <w:p w:rsidR="00CB0C06" w:rsidRPr="006D1DDF" w:rsidRDefault="00CB0C06" w:rsidP="00573125">
            <w:pPr>
              <w:keepNext/>
              <w:jc w:val="center"/>
              <w:rPr>
                <w:rFonts w:ascii="Arial Narrow" w:hAnsi="Arial Narrow"/>
                <w:sz w:val="20"/>
                <w:lang w:val="en-GB"/>
              </w:rPr>
            </w:pPr>
            <w:r w:rsidRPr="006D1DDF">
              <w:rPr>
                <w:rFonts w:ascii="Arial Narrow" w:hAnsi="Arial Narrow"/>
                <w:sz w:val="20"/>
                <w:lang w:val="en-GB"/>
              </w:rPr>
              <w:t xml:space="preserve">NE </w:t>
            </w:r>
            <w:r w:rsidRPr="007B09BD">
              <w:rPr>
                <w:rFonts w:ascii="Arial Narrow" w:hAnsi="Arial Narrow"/>
                <w:sz w:val="20"/>
                <w:lang w:val="en-GB"/>
              </w:rPr>
              <w:t>(</w:t>
            </w:r>
            <w:r w:rsidR="0056677C">
              <w:rPr>
                <w:rFonts w:ascii="Arial Narrow" w:hAnsi="Arial Narrow"/>
                <w:noProof/>
                <w:color w:val="000000"/>
                <w:sz w:val="20"/>
                <w:highlight w:val="black"/>
                <w:lang w:val="en-GB"/>
              </w:rPr>
              <w:t>''''''''''''</w:t>
            </w:r>
            <w:r w:rsidRPr="007B09BD">
              <w:rPr>
                <w:rFonts w:ascii="Arial Narrow" w:hAnsi="Arial Narrow"/>
                <w:sz w:val="20"/>
                <w:lang w:val="en-GB"/>
              </w:rPr>
              <w:t xml:space="preserve">, </w:t>
            </w:r>
            <w:r w:rsidR="0056677C">
              <w:rPr>
                <w:rFonts w:ascii="Arial Narrow" w:hAnsi="Arial Narrow"/>
                <w:noProof/>
                <w:color w:val="000000"/>
                <w:sz w:val="20"/>
                <w:highlight w:val="black"/>
                <w:lang w:val="en-GB"/>
              </w:rPr>
              <w:t>'''''''''''''</w:t>
            </w:r>
            <w:r w:rsidRPr="007B09BD">
              <w:rPr>
                <w:rFonts w:ascii="Arial Narrow" w:hAnsi="Arial Narrow"/>
                <w:sz w:val="20"/>
                <w:lang w:val="en-GB"/>
              </w:rPr>
              <w:t>)</w:t>
            </w:r>
          </w:p>
        </w:tc>
        <w:tc>
          <w:tcPr>
            <w:tcW w:w="1080" w:type="pct"/>
            <w:gridSpan w:val="3"/>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w:t>
            </w:r>
          </w:p>
        </w:tc>
        <w:tc>
          <w:tcPr>
            <w:tcW w:w="826" w:type="pct"/>
            <w:vAlign w:val="center"/>
          </w:tcPr>
          <w:p w:rsidR="00CB0C06" w:rsidRPr="006D1DDF" w:rsidRDefault="00CB0C06" w:rsidP="00573125">
            <w:pPr>
              <w:keepNext/>
              <w:jc w:val="center"/>
              <w:rPr>
                <w:rFonts w:ascii="Arial Narrow" w:hAnsi="Arial Narrow"/>
                <w:b/>
                <w:sz w:val="20"/>
                <w:lang w:val="en-GB"/>
              </w:rPr>
            </w:pPr>
            <w:r w:rsidRPr="006D1DDF">
              <w:rPr>
                <w:rFonts w:ascii="Arial Narrow" w:hAnsi="Arial Narrow"/>
                <w:b/>
                <w:sz w:val="20"/>
                <w:lang w:val="en-GB"/>
              </w:rPr>
              <w:t>0.43 (0.24, 0.79)</w:t>
            </w:r>
          </w:p>
        </w:tc>
      </w:tr>
      <w:tr w:rsidR="00CB0C06" w:rsidRPr="006D1DDF" w:rsidTr="00573125">
        <w:tc>
          <w:tcPr>
            <w:tcW w:w="5000" w:type="pct"/>
            <w:gridSpan w:val="10"/>
            <w:vAlign w:val="center"/>
          </w:tcPr>
          <w:p w:rsidR="00CB0C06" w:rsidRPr="006D1DDF" w:rsidRDefault="00CB0C06" w:rsidP="00226AC1">
            <w:pPr>
              <w:keepNext/>
              <w:jc w:val="left"/>
              <w:rPr>
                <w:rFonts w:ascii="Arial Narrow" w:hAnsi="Arial Narrow"/>
                <w:b/>
                <w:sz w:val="20"/>
                <w:lang w:val="en-GB"/>
              </w:rPr>
            </w:pPr>
            <w:r w:rsidRPr="006D1DDF">
              <w:rPr>
                <w:rFonts w:ascii="Arial Narrow" w:hAnsi="Arial Narrow"/>
                <w:b/>
                <w:sz w:val="20"/>
                <w:lang w:val="en-GB"/>
              </w:rPr>
              <w:t>Longer-term analysis: Ad hoc – crossover uncensored</w:t>
            </w:r>
          </w:p>
        </w:tc>
      </w:tr>
      <w:tr w:rsidR="00CB0C06" w:rsidRPr="006D1DDF" w:rsidTr="00573125">
        <w:tc>
          <w:tcPr>
            <w:tcW w:w="5000" w:type="pct"/>
            <w:gridSpan w:val="10"/>
            <w:vAlign w:val="center"/>
          </w:tcPr>
          <w:p w:rsidR="00CB0C06" w:rsidRPr="006D1DDF" w:rsidRDefault="00CB0C06" w:rsidP="00573125">
            <w:pPr>
              <w:keepNext/>
              <w:jc w:val="left"/>
              <w:rPr>
                <w:rFonts w:ascii="Arial Narrow" w:hAnsi="Arial Narrow"/>
                <w:b/>
                <w:sz w:val="20"/>
                <w:lang w:val="en-GB"/>
              </w:rPr>
            </w:pPr>
            <w:r w:rsidRPr="006D1DDF">
              <w:rPr>
                <w:rFonts w:ascii="Arial Narrow" w:hAnsi="Arial Narrow"/>
                <w:b/>
                <w:color w:val="000000"/>
                <w:sz w:val="20"/>
                <w:szCs w:val="18"/>
                <w:lang w:val="en-GB"/>
              </w:rPr>
              <w:t>Overall survival: (Median duration on treatment: ibrutinib = 16 months; ofatumumab = 5 months</w:t>
            </w:r>
          </w:p>
        </w:tc>
      </w:tr>
      <w:tr w:rsidR="00CB0C06" w:rsidRPr="006D1DDF" w:rsidTr="00573125">
        <w:tc>
          <w:tcPr>
            <w:tcW w:w="1266" w:type="pct"/>
            <w:gridSpan w:val="2"/>
            <w:vAlign w:val="center"/>
          </w:tcPr>
          <w:p w:rsidR="00CB0C06" w:rsidRPr="0046393E" w:rsidRDefault="00CB0C06" w:rsidP="00573125">
            <w:pPr>
              <w:keepNext/>
              <w:rPr>
                <w:rFonts w:ascii="Arial Narrow" w:hAnsi="Arial Narrow"/>
                <w:color w:val="000000"/>
                <w:sz w:val="20"/>
                <w:szCs w:val="18"/>
                <w:lang w:val="en-GB"/>
              </w:rPr>
            </w:pPr>
            <w:r w:rsidRPr="0046393E">
              <w:rPr>
                <w:rFonts w:ascii="Arial Narrow" w:hAnsi="Arial Narrow"/>
                <w:color w:val="000000"/>
                <w:sz w:val="20"/>
                <w:szCs w:val="18"/>
                <w:lang w:val="en-GB"/>
              </w:rPr>
              <w:t>Died; n/N (%)</w:t>
            </w:r>
          </w:p>
        </w:tc>
        <w:tc>
          <w:tcPr>
            <w:tcW w:w="915" w:type="pct"/>
            <w:gridSpan w:val="2"/>
            <w:vAlign w:val="center"/>
          </w:tcPr>
          <w:p w:rsidR="00CB0C06" w:rsidRPr="007B09BD" w:rsidRDefault="0056677C" w:rsidP="00573125">
            <w:pPr>
              <w:keepNext/>
              <w:jc w:val="center"/>
              <w:rPr>
                <w:rFonts w:ascii="Arial Narrow" w:hAnsi="Arial Narrow"/>
                <w:sz w:val="20"/>
                <w:lang w:val="en-GB"/>
              </w:rPr>
            </w:pPr>
            <w:r>
              <w:rPr>
                <w:rFonts w:ascii="Arial Narrow" w:hAnsi="Arial Narrow"/>
                <w:noProof/>
                <w:color w:val="000000"/>
                <w:sz w:val="20"/>
                <w:highlight w:val="black"/>
                <w:lang w:val="en-GB"/>
              </w:rPr>
              <w:t>''''''</w:t>
            </w:r>
            <w:r w:rsidR="00CB0C06" w:rsidRPr="007B09BD">
              <w:rPr>
                <w:rFonts w:ascii="Arial Narrow" w:hAnsi="Arial Narrow"/>
                <w:sz w:val="20"/>
                <w:lang w:val="en-GB"/>
              </w:rPr>
              <w:t>/</w:t>
            </w:r>
            <w:r>
              <w:rPr>
                <w:rFonts w:ascii="Arial Narrow" w:hAnsi="Arial Narrow"/>
                <w:noProof/>
                <w:color w:val="000000"/>
                <w:sz w:val="20"/>
                <w:highlight w:val="black"/>
                <w:lang w:val="en-GB"/>
              </w:rPr>
              <w:t>'''''''''</w:t>
            </w:r>
            <w:r w:rsidR="00CB0C06" w:rsidRPr="007B09BD">
              <w:rPr>
                <w:rFonts w:ascii="Arial Narrow" w:hAnsi="Arial Narrow"/>
                <w:sz w:val="20"/>
                <w:lang w:val="en-GB"/>
              </w:rPr>
              <w:t xml:space="preserve"> (</w:t>
            </w:r>
            <w:r>
              <w:rPr>
                <w:rFonts w:ascii="Arial Narrow" w:hAnsi="Arial Narrow"/>
                <w:noProof/>
                <w:color w:val="000000"/>
                <w:sz w:val="20"/>
                <w:highlight w:val="black"/>
                <w:lang w:val="en-GB"/>
              </w:rPr>
              <w:t>'''''''''''</w:t>
            </w:r>
            <w:r w:rsidR="00CB0C06" w:rsidRPr="007B09BD">
              <w:rPr>
                <w:rFonts w:ascii="Arial Narrow" w:hAnsi="Arial Narrow"/>
                <w:sz w:val="20"/>
                <w:lang w:val="en-GB"/>
              </w:rPr>
              <w:t>%)</w:t>
            </w:r>
          </w:p>
        </w:tc>
        <w:tc>
          <w:tcPr>
            <w:tcW w:w="913" w:type="pct"/>
            <w:gridSpan w:val="2"/>
          </w:tcPr>
          <w:p w:rsidR="00CB0C06" w:rsidRPr="007B09BD" w:rsidRDefault="0056677C" w:rsidP="00573125">
            <w:pPr>
              <w:keepNext/>
              <w:jc w:val="center"/>
              <w:rPr>
                <w:rFonts w:ascii="Arial Narrow" w:hAnsi="Arial Narrow"/>
                <w:sz w:val="20"/>
                <w:lang w:val="en-GB"/>
              </w:rPr>
            </w:pPr>
            <w:r>
              <w:rPr>
                <w:rFonts w:ascii="Arial Narrow" w:hAnsi="Arial Narrow"/>
                <w:noProof/>
                <w:color w:val="000000"/>
                <w:sz w:val="20"/>
                <w:highlight w:val="black"/>
                <w:lang w:val="en-GB"/>
              </w:rPr>
              <w:t>'''''</w:t>
            </w:r>
            <w:r w:rsidR="00CB0C06" w:rsidRPr="007B09BD">
              <w:rPr>
                <w:rFonts w:ascii="Arial Narrow" w:hAnsi="Arial Narrow"/>
                <w:sz w:val="20"/>
                <w:lang w:val="en-GB"/>
              </w:rPr>
              <w:t>/</w:t>
            </w:r>
            <w:r>
              <w:rPr>
                <w:rFonts w:ascii="Arial Narrow" w:hAnsi="Arial Narrow"/>
                <w:noProof/>
                <w:color w:val="000000"/>
                <w:sz w:val="20"/>
                <w:highlight w:val="black"/>
                <w:lang w:val="en-GB"/>
              </w:rPr>
              <w:t>'''''''''</w:t>
            </w:r>
            <w:r w:rsidR="00CB0C06" w:rsidRPr="007B09BD">
              <w:rPr>
                <w:rFonts w:ascii="Arial Narrow" w:hAnsi="Arial Narrow"/>
                <w:sz w:val="20"/>
                <w:lang w:val="en-GB"/>
              </w:rPr>
              <w:t xml:space="preserve"> (</w:t>
            </w:r>
            <w:r>
              <w:rPr>
                <w:rFonts w:ascii="Arial Narrow" w:hAnsi="Arial Narrow"/>
                <w:noProof/>
                <w:color w:val="000000"/>
                <w:sz w:val="20"/>
                <w:highlight w:val="black"/>
                <w:lang w:val="en-GB"/>
              </w:rPr>
              <w:t>''''''''''</w:t>
            </w:r>
            <w:r w:rsidR="00CB0C06" w:rsidRPr="007B09BD">
              <w:rPr>
                <w:rFonts w:ascii="Arial Narrow" w:hAnsi="Arial Narrow"/>
                <w:sz w:val="20"/>
                <w:lang w:val="en-GB"/>
              </w:rPr>
              <w:t>%)</w:t>
            </w:r>
          </w:p>
        </w:tc>
        <w:tc>
          <w:tcPr>
            <w:tcW w:w="1080" w:type="pct"/>
            <w:gridSpan w:val="3"/>
            <w:vAlign w:val="center"/>
          </w:tcPr>
          <w:p w:rsidR="00CB0C06" w:rsidRPr="007B09BD" w:rsidRDefault="00CB0C06" w:rsidP="00573125">
            <w:pPr>
              <w:keepNext/>
              <w:jc w:val="center"/>
              <w:rPr>
                <w:rFonts w:ascii="Arial Narrow" w:hAnsi="Arial Narrow"/>
                <w:color w:val="000000"/>
                <w:sz w:val="20"/>
                <w:szCs w:val="18"/>
                <w:lang w:val="en-GB"/>
              </w:rPr>
            </w:pPr>
            <w:r w:rsidRPr="007B09BD">
              <w:rPr>
                <w:rFonts w:ascii="Arial Narrow" w:hAnsi="Arial Narrow"/>
                <w:color w:val="000000"/>
                <w:sz w:val="20"/>
                <w:szCs w:val="18"/>
                <w:lang w:val="en-GB"/>
              </w:rPr>
              <w:t>-</w:t>
            </w:r>
            <w:r w:rsidR="0056677C">
              <w:rPr>
                <w:rFonts w:ascii="Arial Narrow" w:hAnsi="Arial Narrow"/>
                <w:noProof/>
                <w:color w:val="000000"/>
                <w:sz w:val="20"/>
                <w:szCs w:val="18"/>
                <w:highlight w:val="black"/>
                <w:lang w:val="en-GB"/>
              </w:rPr>
              <w:t>''''</w:t>
            </w:r>
            <w:r w:rsidRPr="007B09BD">
              <w:rPr>
                <w:rFonts w:ascii="Arial Narrow" w:hAnsi="Arial Narrow"/>
                <w:color w:val="000000"/>
                <w:sz w:val="20"/>
                <w:szCs w:val="18"/>
                <w:lang w:val="en-GB"/>
              </w:rPr>
              <w:t>% (-</w:t>
            </w:r>
            <w:r w:rsidR="0056677C">
              <w:rPr>
                <w:rFonts w:ascii="Arial Narrow" w:hAnsi="Arial Narrow"/>
                <w:noProof/>
                <w:color w:val="000000"/>
                <w:sz w:val="20"/>
                <w:szCs w:val="18"/>
                <w:highlight w:val="black"/>
                <w:lang w:val="en-GB"/>
              </w:rPr>
              <w:t>'''''''</w:t>
            </w:r>
            <w:r w:rsidRPr="007B09BD">
              <w:rPr>
                <w:rFonts w:ascii="Arial Narrow" w:hAnsi="Arial Narrow"/>
                <w:color w:val="000000"/>
                <w:sz w:val="20"/>
                <w:szCs w:val="18"/>
                <w:lang w:val="en-GB"/>
              </w:rPr>
              <w:t>, -</w:t>
            </w:r>
            <w:r w:rsidR="0056677C">
              <w:rPr>
                <w:rFonts w:ascii="Arial Narrow" w:hAnsi="Arial Narrow"/>
                <w:noProof/>
                <w:color w:val="000000"/>
                <w:sz w:val="20"/>
                <w:szCs w:val="18"/>
                <w:highlight w:val="black"/>
                <w:lang w:val="en-GB"/>
              </w:rPr>
              <w:t>'''''''</w:t>
            </w:r>
            <w:r w:rsidRPr="007B09BD">
              <w:rPr>
                <w:rFonts w:ascii="Arial Narrow" w:hAnsi="Arial Narrow"/>
                <w:color w:val="000000"/>
                <w:sz w:val="20"/>
                <w:szCs w:val="18"/>
                <w:lang w:val="en-GB"/>
              </w:rPr>
              <w:t>)</w:t>
            </w:r>
          </w:p>
        </w:tc>
        <w:tc>
          <w:tcPr>
            <w:tcW w:w="826" w:type="pct"/>
            <w:vAlign w:val="center"/>
          </w:tcPr>
          <w:p w:rsidR="00CB0C06" w:rsidRPr="007B09BD" w:rsidRDefault="00CB0C06" w:rsidP="00573125">
            <w:pPr>
              <w:keepNext/>
              <w:jc w:val="center"/>
              <w:rPr>
                <w:rFonts w:ascii="Arial Narrow" w:hAnsi="Arial Narrow"/>
                <w:b/>
                <w:sz w:val="20"/>
                <w:lang w:val="en-GB"/>
              </w:rPr>
            </w:pPr>
            <w:r w:rsidRPr="007B09BD">
              <w:rPr>
                <w:rFonts w:ascii="Arial Narrow" w:hAnsi="Arial Narrow"/>
                <w:b/>
                <w:sz w:val="20"/>
                <w:lang w:val="en-GB"/>
              </w:rPr>
              <w:t>-</w:t>
            </w:r>
          </w:p>
        </w:tc>
      </w:tr>
      <w:tr w:rsidR="00CB0C06" w:rsidRPr="006D1DDF" w:rsidTr="00573125">
        <w:tc>
          <w:tcPr>
            <w:tcW w:w="1266" w:type="pct"/>
            <w:gridSpan w:val="2"/>
            <w:tcBorders>
              <w:bottom w:val="double" w:sz="4" w:space="0" w:color="auto"/>
            </w:tcBorders>
            <w:vAlign w:val="center"/>
          </w:tcPr>
          <w:p w:rsidR="00CB0C06" w:rsidRPr="0046393E" w:rsidRDefault="00CB0C06" w:rsidP="00573125">
            <w:pPr>
              <w:keepNext/>
              <w:rPr>
                <w:rFonts w:ascii="Arial Narrow" w:hAnsi="Arial Narrow"/>
                <w:color w:val="000000"/>
                <w:sz w:val="20"/>
                <w:szCs w:val="18"/>
                <w:lang w:val="en-GB"/>
              </w:rPr>
            </w:pPr>
            <w:r w:rsidRPr="0046393E">
              <w:rPr>
                <w:rFonts w:ascii="Arial Narrow" w:hAnsi="Arial Narrow"/>
                <w:color w:val="000000"/>
                <w:sz w:val="20"/>
                <w:szCs w:val="18"/>
                <w:lang w:val="en-GB"/>
              </w:rPr>
              <w:t>Median; months</w:t>
            </w:r>
          </w:p>
        </w:tc>
        <w:tc>
          <w:tcPr>
            <w:tcW w:w="915" w:type="pct"/>
            <w:gridSpan w:val="2"/>
            <w:tcBorders>
              <w:bottom w:val="double" w:sz="4" w:space="0" w:color="auto"/>
            </w:tcBorders>
            <w:vAlign w:val="center"/>
          </w:tcPr>
          <w:p w:rsidR="00CB0C06" w:rsidRPr="0046393E" w:rsidRDefault="00CB0C06" w:rsidP="00573125">
            <w:pPr>
              <w:keepNext/>
              <w:jc w:val="center"/>
              <w:rPr>
                <w:rFonts w:ascii="Arial Narrow" w:hAnsi="Arial Narrow"/>
                <w:sz w:val="20"/>
                <w:lang w:val="en-GB"/>
              </w:rPr>
            </w:pPr>
            <w:r w:rsidRPr="0046393E">
              <w:rPr>
                <w:rFonts w:ascii="Arial Narrow" w:hAnsi="Arial Narrow"/>
                <w:sz w:val="20"/>
                <w:lang w:val="en-GB"/>
              </w:rPr>
              <w:t>-</w:t>
            </w:r>
          </w:p>
        </w:tc>
        <w:tc>
          <w:tcPr>
            <w:tcW w:w="913" w:type="pct"/>
            <w:gridSpan w:val="2"/>
            <w:tcBorders>
              <w:bottom w:val="double" w:sz="4" w:space="0" w:color="auto"/>
            </w:tcBorders>
          </w:tcPr>
          <w:p w:rsidR="00CB0C06" w:rsidRPr="00A2563A" w:rsidRDefault="00CB0C06" w:rsidP="00573125">
            <w:pPr>
              <w:keepNext/>
              <w:jc w:val="center"/>
              <w:rPr>
                <w:rFonts w:ascii="Arial Narrow" w:hAnsi="Arial Narrow"/>
                <w:sz w:val="20"/>
                <w:lang w:val="en-GB"/>
              </w:rPr>
            </w:pPr>
            <w:r w:rsidRPr="00A2563A">
              <w:rPr>
                <w:rFonts w:ascii="Arial Narrow" w:hAnsi="Arial Narrow"/>
                <w:sz w:val="20"/>
                <w:lang w:val="en-GB"/>
              </w:rPr>
              <w:t>-</w:t>
            </w:r>
          </w:p>
        </w:tc>
        <w:tc>
          <w:tcPr>
            <w:tcW w:w="1080" w:type="pct"/>
            <w:gridSpan w:val="3"/>
            <w:tcBorders>
              <w:bottom w:val="double" w:sz="4" w:space="0" w:color="auto"/>
            </w:tcBorders>
            <w:vAlign w:val="center"/>
          </w:tcPr>
          <w:p w:rsidR="00CB0C06" w:rsidRPr="00617E8A" w:rsidRDefault="00CB0C06" w:rsidP="00573125">
            <w:pPr>
              <w:keepNext/>
              <w:jc w:val="center"/>
              <w:rPr>
                <w:rFonts w:ascii="Arial Narrow" w:hAnsi="Arial Narrow"/>
                <w:color w:val="000000"/>
                <w:sz w:val="20"/>
                <w:szCs w:val="18"/>
                <w:lang w:val="en-GB"/>
              </w:rPr>
            </w:pPr>
            <w:r w:rsidRPr="00617E8A">
              <w:rPr>
                <w:rFonts w:ascii="Arial Narrow" w:hAnsi="Arial Narrow"/>
                <w:color w:val="000000"/>
                <w:sz w:val="20"/>
                <w:szCs w:val="18"/>
                <w:lang w:val="en-GB"/>
              </w:rPr>
              <w:t>-</w:t>
            </w:r>
          </w:p>
        </w:tc>
        <w:tc>
          <w:tcPr>
            <w:tcW w:w="826" w:type="pct"/>
            <w:tcBorders>
              <w:bottom w:val="double" w:sz="4" w:space="0" w:color="auto"/>
            </w:tcBorders>
            <w:vAlign w:val="center"/>
          </w:tcPr>
          <w:p w:rsidR="00CB0C06" w:rsidRPr="0046393E" w:rsidRDefault="0056677C" w:rsidP="00573125">
            <w:pPr>
              <w:keepNext/>
              <w:jc w:val="center"/>
              <w:rPr>
                <w:rFonts w:ascii="Arial Narrow" w:hAnsi="Arial Narrow"/>
                <w:b/>
                <w:sz w:val="20"/>
                <w:lang w:val="en-GB"/>
              </w:rPr>
            </w:pPr>
            <w:r>
              <w:rPr>
                <w:rFonts w:ascii="Arial Narrow" w:hAnsi="Arial Narrow"/>
                <w:b/>
                <w:noProof/>
                <w:color w:val="000000"/>
                <w:sz w:val="20"/>
                <w:highlight w:val="black"/>
                <w:lang w:val="en-GB"/>
              </w:rPr>
              <w:t>'''''''''</w:t>
            </w:r>
            <w:r w:rsidR="00CB0C06" w:rsidRPr="007B09BD">
              <w:rPr>
                <w:rFonts w:ascii="Arial Narrow" w:hAnsi="Arial Narrow"/>
                <w:b/>
                <w:sz w:val="20"/>
                <w:lang w:val="en-GB"/>
              </w:rPr>
              <w:t xml:space="preserve"> (</w:t>
            </w:r>
            <w:r>
              <w:rPr>
                <w:rFonts w:ascii="Arial Narrow" w:hAnsi="Arial Narrow"/>
                <w:b/>
                <w:noProof/>
                <w:color w:val="000000"/>
                <w:sz w:val="20"/>
                <w:highlight w:val="black"/>
                <w:lang w:val="en-GB"/>
              </w:rPr>
              <w:t>'''''''''</w:t>
            </w:r>
            <w:r w:rsidR="00CB0C06" w:rsidRPr="007B09BD">
              <w:rPr>
                <w:rFonts w:ascii="Arial Narrow" w:hAnsi="Arial Narrow"/>
                <w:b/>
                <w:sz w:val="20"/>
                <w:lang w:val="en-GB"/>
              </w:rPr>
              <w:t xml:space="preserve">, </w:t>
            </w:r>
            <w:r>
              <w:rPr>
                <w:rFonts w:ascii="Arial Narrow" w:hAnsi="Arial Narrow"/>
                <w:b/>
                <w:noProof/>
                <w:color w:val="000000"/>
                <w:sz w:val="20"/>
                <w:highlight w:val="black"/>
                <w:lang w:val="en-GB"/>
              </w:rPr>
              <w:t>''''''''''</w:t>
            </w:r>
            <w:r w:rsidR="00CB0C06" w:rsidRPr="0046393E">
              <w:rPr>
                <w:rFonts w:ascii="Arial Narrow" w:hAnsi="Arial Narrow"/>
                <w:b/>
                <w:sz w:val="20"/>
                <w:lang w:val="en-GB"/>
              </w:rPr>
              <w:t>)</w:t>
            </w:r>
          </w:p>
        </w:tc>
      </w:tr>
      <w:tr w:rsidR="00CB0C06" w:rsidRPr="006D1DDF" w:rsidTr="00573125">
        <w:tc>
          <w:tcPr>
            <w:tcW w:w="5000" w:type="pct"/>
            <w:gridSpan w:val="10"/>
            <w:tcBorders>
              <w:top w:val="double" w:sz="4" w:space="0" w:color="auto"/>
              <w:bottom w:val="double" w:sz="4" w:space="0" w:color="auto"/>
            </w:tcBorders>
            <w:vAlign w:val="center"/>
          </w:tcPr>
          <w:p w:rsidR="00CB0C06" w:rsidRPr="006D1DDF" w:rsidRDefault="00CB0C06" w:rsidP="00573125">
            <w:pPr>
              <w:keepNext/>
              <w:rPr>
                <w:rFonts w:ascii="Arial Narrow" w:hAnsi="Arial Narrow"/>
                <w:b/>
                <w:color w:val="000000"/>
                <w:sz w:val="20"/>
                <w:szCs w:val="18"/>
                <w:lang w:val="en-GB"/>
              </w:rPr>
            </w:pPr>
            <w:r w:rsidRPr="006D1DDF">
              <w:rPr>
                <w:rFonts w:ascii="Arial Narrow" w:hAnsi="Arial Narrow"/>
                <w:b/>
                <w:color w:val="000000"/>
                <w:sz w:val="20"/>
                <w:szCs w:val="18"/>
                <w:lang w:val="en-GB"/>
              </w:rPr>
              <w:t>Interim analysis: RESONATE trial</w:t>
            </w:r>
          </w:p>
        </w:tc>
      </w:tr>
      <w:tr w:rsidR="00CB0C06" w:rsidRPr="006D1DDF" w:rsidTr="00573125">
        <w:tc>
          <w:tcPr>
            <w:tcW w:w="5000" w:type="pct"/>
            <w:gridSpan w:val="10"/>
            <w:tcBorders>
              <w:top w:val="double" w:sz="4" w:space="0" w:color="auto"/>
            </w:tcBorders>
            <w:vAlign w:val="center"/>
          </w:tcPr>
          <w:p w:rsidR="00CB0C06" w:rsidRPr="006D1DDF" w:rsidRDefault="00CB0C06" w:rsidP="00573125">
            <w:pPr>
              <w:keepNext/>
              <w:rPr>
                <w:rFonts w:ascii="Arial Narrow" w:hAnsi="Arial Narrow"/>
                <w:b/>
                <w:color w:val="000000"/>
                <w:sz w:val="20"/>
                <w:szCs w:val="18"/>
                <w:lang w:val="en-GB"/>
              </w:rPr>
            </w:pPr>
            <w:r w:rsidRPr="006D1DDF">
              <w:rPr>
                <w:rFonts w:ascii="Arial Narrow" w:hAnsi="Arial Narrow"/>
                <w:b/>
                <w:color w:val="000000"/>
                <w:sz w:val="20"/>
                <w:szCs w:val="18"/>
                <w:lang w:val="en-GB"/>
              </w:rPr>
              <w:t>HARMS – Grade ¾</w:t>
            </w:r>
          </w:p>
        </w:tc>
      </w:tr>
      <w:tr w:rsidR="00CB0C06" w:rsidRPr="006D1DDF" w:rsidTr="00573125">
        <w:trPr>
          <w:trHeight w:val="70"/>
        </w:trPr>
        <w:tc>
          <w:tcPr>
            <w:tcW w:w="935" w:type="pct"/>
            <w:vMerge w:val="restart"/>
            <w:vAlign w:val="center"/>
          </w:tcPr>
          <w:p w:rsidR="00CB0C06" w:rsidRPr="006D1DDF" w:rsidRDefault="00CB0C06" w:rsidP="00573125">
            <w:pPr>
              <w:keepNext/>
              <w:rPr>
                <w:rFonts w:ascii="Arial Narrow" w:hAnsi="Arial Narrow"/>
                <w:b/>
                <w:color w:val="000000"/>
                <w:sz w:val="20"/>
                <w:szCs w:val="18"/>
                <w:lang w:val="en-GB"/>
              </w:rPr>
            </w:pPr>
          </w:p>
        </w:tc>
        <w:tc>
          <w:tcPr>
            <w:tcW w:w="500" w:type="pct"/>
            <w:gridSpan w:val="2"/>
            <w:vMerge w:val="restar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Ibrutinib</w:t>
            </w:r>
          </w:p>
        </w:tc>
        <w:tc>
          <w:tcPr>
            <w:tcW w:w="747" w:type="pct"/>
            <w:vMerge w:val="restar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 xml:space="preserve">Ofatumumab </w:t>
            </w:r>
            <w:r w:rsidRPr="006D1DDF">
              <w:rPr>
                <w:rFonts w:ascii="Arial Narrow" w:hAnsi="Arial Narrow"/>
                <w:b/>
                <w:color w:val="000000"/>
                <w:sz w:val="20"/>
                <w:szCs w:val="18"/>
                <w:vertAlign w:val="superscript"/>
                <w:lang w:val="en-GB"/>
              </w:rPr>
              <w:t>a</w:t>
            </w:r>
          </w:p>
        </w:tc>
        <w:tc>
          <w:tcPr>
            <w:tcW w:w="745" w:type="pct"/>
            <w:vMerge w:val="restar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RR</w:t>
            </w:r>
          </w:p>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(95% CI)</w:t>
            </w:r>
          </w:p>
        </w:tc>
        <w:tc>
          <w:tcPr>
            <w:tcW w:w="1164" w:type="pct"/>
            <w:gridSpan w:val="3"/>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 xml:space="preserve">Event rate/100 patients* </w:t>
            </w:r>
          </w:p>
        </w:tc>
        <w:tc>
          <w:tcPr>
            <w:tcW w:w="909" w:type="pct"/>
            <w:gridSpan w:val="2"/>
            <w:vMerge w:val="restar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RD</w:t>
            </w:r>
          </w:p>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(95% CI)</w:t>
            </w:r>
          </w:p>
        </w:tc>
      </w:tr>
      <w:tr w:rsidR="00CB0C06" w:rsidRPr="006D1DDF" w:rsidTr="00573125">
        <w:trPr>
          <w:trHeight w:val="390"/>
        </w:trPr>
        <w:tc>
          <w:tcPr>
            <w:tcW w:w="935" w:type="pct"/>
            <w:vMerge/>
            <w:vAlign w:val="center"/>
          </w:tcPr>
          <w:p w:rsidR="00CB0C06" w:rsidRPr="006D1DDF" w:rsidRDefault="00CB0C06" w:rsidP="00573125">
            <w:pPr>
              <w:keepNext/>
              <w:rPr>
                <w:rFonts w:ascii="Arial Narrow" w:hAnsi="Arial Narrow"/>
                <w:b/>
                <w:color w:val="000000"/>
                <w:sz w:val="20"/>
                <w:szCs w:val="18"/>
                <w:lang w:val="en-GB"/>
              </w:rPr>
            </w:pPr>
          </w:p>
        </w:tc>
        <w:tc>
          <w:tcPr>
            <w:tcW w:w="500" w:type="pct"/>
            <w:gridSpan w:val="2"/>
            <w:vMerge/>
            <w:vAlign w:val="center"/>
          </w:tcPr>
          <w:p w:rsidR="00CB0C06" w:rsidRPr="006D1DDF" w:rsidRDefault="00CB0C06" w:rsidP="00573125">
            <w:pPr>
              <w:keepNext/>
              <w:jc w:val="center"/>
              <w:rPr>
                <w:rFonts w:ascii="Arial Narrow" w:hAnsi="Arial Narrow"/>
                <w:b/>
                <w:color w:val="000000"/>
                <w:sz w:val="20"/>
                <w:szCs w:val="18"/>
                <w:lang w:val="en-GB"/>
              </w:rPr>
            </w:pPr>
          </w:p>
        </w:tc>
        <w:tc>
          <w:tcPr>
            <w:tcW w:w="747" w:type="pct"/>
            <w:vMerge/>
            <w:vAlign w:val="center"/>
          </w:tcPr>
          <w:p w:rsidR="00CB0C06" w:rsidRPr="006D1DDF" w:rsidRDefault="00CB0C06" w:rsidP="00573125">
            <w:pPr>
              <w:keepNext/>
              <w:jc w:val="center"/>
              <w:rPr>
                <w:rFonts w:ascii="Arial Narrow" w:hAnsi="Arial Narrow"/>
                <w:b/>
                <w:color w:val="000000"/>
                <w:sz w:val="20"/>
                <w:szCs w:val="18"/>
                <w:lang w:val="en-GB"/>
              </w:rPr>
            </w:pPr>
          </w:p>
        </w:tc>
        <w:tc>
          <w:tcPr>
            <w:tcW w:w="745" w:type="pct"/>
            <w:vMerge/>
            <w:vAlign w:val="center"/>
          </w:tcPr>
          <w:p w:rsidR="00CB0C06" w:rsidRPr="006D1DDF" w:rsidRDefault="00CB0C06" w:rsidP="00573125">
            <w:pPr>
              <w:keepNext/>
              <w:jc w:val="center"/>
              <w:rPr>
                <w:rFonts w:ascii="Arial Narrow" w:hAnsi="Arial Narrow"/>
                <w:b/>
                <w:color w:val="000000"/>
                <w:sz w:val="20"/>
                <w:szCs w:val="18"/>
                <w:lang w:val="en-GB"/>
              </w:rPr>
            </w:pPr>
          </w:p>
        </w:tc>
        <w:tc>
          <w:tcPr>
            <w:tcW w:w="500" w:type="pct"/>
            <w:gridSpan w:val="2"/>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Ibrutinib</w:t>
            </w:r>
          </w:p>
        </w:tc>
        <w:tc>
          <w:tcPr>
            <w:tcW w:w="664" w:type="pct"/>
            <w:vAlign w:val="center"/>
          </w:tcPr>
          <w:p w:rsidR="00CB0C06" w:rsidRPr="006D1DDF" w:rsidRDefault="00CB0C06" w:rsidP="00573125">
            <w:pPr>
              <w:keepNext/>
              <w:jc w:val="center"/>
              <w:rPr>
                <w:rFonts w:ascii="Arial Narrow" w:hAnsi="Arial Narrow"/>
                <w:b/>
                <w:color w:val="000000"/>
                <w:sz w:val="20"/>
                <w:szCs w:val="18"/>
                <w:lang w:val="en-GB"/>
              </w:rPr>
            </w:pPr>
            <w:r w:rsidRPr="006D1DDF">
              <w:rPr>
                <w:rFonts w:ascii="Arial Narrow" w:hAnsi="Arial Narrow"/>
                <w:b/>
                <w:color w:val="000000"/>
                <w:sz w:val="20"/>
                <w:szCs w:val="18"/>
                <w:lang w:val="en-GB"/>
              </w:rPr>
              <w:t>Ofatumumab</w:t>
            </w:r>
          </w:p>
        </w:tc>
        <w:tc>
          <w:tcPr>
            <w:tcW w:w="909" w:type="pct"/>
            <w:gridSpan w:val="2"/>
            <w:vMerge/>
            <w:vAlign w:val="center"/>
          </w:tcPr>
          <w:p w:rsidR="00CB0C06" w:rsidRPr="006D1DDF" w:rsidRDefault="00CB0C06" w:rsidP="00573125">
            <w:pPr>
              <w:keepNext/>
              <w:jc w:val="center"/>
              <w:rPr>
                <w:rFonts w:ascii="Arial Narrow" w:hAnsi="Arial Narrow"/>
                <w:b/>
                <w:color w:val="000000"/>
                <w:sz w:val="20"/>
                <w:szCs w:val="18"/>
                <w:lang w:val="en-GB"/>
              </w:rPr>
            </w:pPr>
          </w:p>
        </w:tc>
      </w:tr>
      <w:tr w:rsidR="00CB0C06" w:rsidRPr="006D1DDF" w:rsidTr="00573125">
        <w:tc>
          <w:tcPr>
            <w:tcW w:w="935" w:type="pct"/>
            <w:vAlign w:val="center"/>
          </w:tcPr>
          <w:p w:rsidR="00CB0C06" w:rsidRPr="006D1DDF" w:rsidRDefault="00CB0C06" w:rsidP="00573125">
            <w:pPr>
              <w:keepNext/>
              <w:rPr>
                <w:rFonts w:ascii="Arial Narrow" w:hAnsi="Arial Narrow"/>
                <w:color w:val="000000"/>
                <w:sz w:val="20"/>
                <w:szCs w:val="18"/>
                <w:vertAlign w:val="superscript"/>
                <w:lang w:val="en-GB"/>
              </w:rPr>
            </w:pPr>
            <w:r w:rsidRPr="006D1DDF">
              <w:rPr>
                <w:rFonts w:ascii="Arial Narrow" w:hAnsi="Arial Narrow"/>
                <w:color w:val="000000"/>
                <w:sz w:val="20"/>
                <w:szCs w:val="18"/>
                <w:lang w:val="en-GB"/>
              </w:rPr>
              <w:t>UTI; n/N</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7/195</w:t>
            </w:r>
          </w:p>
        </w:tc>
        <w:tc>
          <w:tcPr>
            <w:tcW w:w="747"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1/191</w:t>
            </w:r>
          </w:p>
        </w:tc>
        <w:tc>
          <w:tcPr>
            <w:tcW w:w="745"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6.86 (0.85,55.20)</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3.6</w:t>
            </w:r>
          </w:p>
        </w:tc>
        <w:tc>
          <w:tcPr>
            <w:tcW w:w="664"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0.5</w:t>
            </w:r>
          </w:p>
        </w:tc>
        <w:tc>
          <w:tcPr>
            <w:tcW w:w="909" w:type="pct"/>
            <w:gridSpan w:val="2"/>
            <w:vAlign w:val="center"/>
          </w:tcPr>
          <w:p w:rsidR="00CB0C06" w:rsidRPr="006D1DDF" w:rsidRDefault="00CB0C06" w:rsidP="00573125">
            <w:pPr>
              <w:keepNext/>
              <w:jc w:val="center"/>
              <w:rPr>
                <w:rFonts w:ascii="Arial Narrow" w:hAnsi="Arial Narrow"/>
                <w:b/>
                <w:color w:val="000000"/>
                <w:sz w:val="20"/>
                <w:szCs w:val="18"/>
                <w:vertAlign w:val="superscript"/>
                <w:lang w:val="en-GB"/>
              </w:rPr>
            </w:pPr>
            <w:r w:rsidRPr="006D1DDF">
              <w:rPr>
                <w:rFonts w:ascii="Arial Narrow" w:hAnsi="Arial Narrow"/>
                <w:b/>
                <w:color w:val="000000"/>
                <w:sz w:val="20"/>
                <w:szCs w:val="18"/>
                <w:lang w:val="en-GB"/>
              </w:rPr>
              <w:t xml:space="preserve">3.1% (0.3, 5.9) </w:t>
            </w:r>
            <w:r w:rsidRPr="006D1DDF">
              <w:rPr>
                <w:rFonts w:ascii="Arial Narrow" w:hAnsi="Arial Narrow"/>
                <w:b/>
                <w:color w:val="000000"/>
                <w:sz w:val="20"/>
                <w:szCs w:val="18"/>
                <w:vertAlign w:val="superscript"/>
                <w:lang w:val="en-GB"/>
              </w:rPr>
              <w:t>b</w:t>
            </w:r>
          </w:p>
        </w:tc>
      </w:tr>
      <w:tr w:rsidR="00CB0C06" w:rsidRPr="006D1DDF" w:rsidTr="00573125">
        <w:tc>
          <w:tcPr>
            <w:tcW w:w="935" w:type="pct"/>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Leukocytosis; n/N</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6/195</w:t>
            </w:r>
          </w:p>
        </w:tc>
        <w:tc>
          <w:tcPr>
            <w:tcW w:w="747"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0</w:t>
            </w:r>
          </w:p>
        </w:tc>
        <w:tc>
          <w:tcPr>
            <w:tcW w:w="745" w:type="pct"/>
            <w:vAlign w:val="center"/>
          </w:tcPr>
          <w:p w:rsidR="00CB0C06" w:rsidRPr="006D1DDF" w:rsidRDefault="00CB0C06" w:rsidP="00573125">
            <w:pPr>
              <w:keepNext/>
              <w:jc w:val="center"/>
              <w:rPr>
                <w:rFonts w:ascii="Arial Narrow" w:hAnsi="Arial Narrow"/>
                <w:color w:val="000000"/>
                <w:sz w:val="20"/>
                <w:szCs w:val="18"/>
                <w:vertAlign w:val="superscript"/>
                <w:lang w:val="en-GB"/>
              </w:rPr>
            </w:pPr>
            <w:r w:rsidRPr="006D1DDF">
              <w:rPr>
                <w:rFonts w:ascii="Arial Narrow" w:hAnsi="Arial Narrow"/>
                <w:color w:val="000000"/>
                <w:sz w:val="20"/>
                <w:szCs w:val="18"/>
                <w:lang w:val="en-GB"/>
              </w:rPr>
              <w:t xml:space="preserve">NC </w:t>
            </w:r>
            <w:r w:rsidRPr="006D1DDF">
              <w:rPr>
                <w:rFonts w:ascii="Arial Narrow" w:hAnsi="Arial Narrow"/>
                <w:color w:val="000000"/>
                <w:sz w:val="20"/>
                <w:szCs w:val="18"/>
                <w:vertAlign w:val="superscript"/>
                <w:lang w:val="en-GB"/>
              </w:rPr>
              <w:t>b</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3.1</w:t>
            </w:r>
          </w:p>
        </w:tc>
        <w:tc>
          <w:tcPr>
            <w:tcW w:w="664"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szCs w:val="18"/>
                <w:lang w:val="en-GB"/>
              </w:rPr>
              <w:t>0</w:t>
            </w:r>
          </w:p>
        </w:tc>
        <w:tc>
          <w:tcPr>
            <w:tcW w:w="909" w:type="pct"/>
            <w:gridSpan w:val="2"/>
            <w:vAlign w:val="center"/>
          </w:tcPr>
          <w:p w:rsidR="00CB0C06" w:rsidRPr="006D1DDF" w:rsidRDefault="00CB0C06" w:rsidP="00573125">
            <w:pPr>
              <w:keepNext/>
              <w:jc w:val="center"/>
              <w:rPr>
                <w:rFonts w:ascii="Arial Narrow" w:hAnsi="Arial Narrow"/>
                <w:b/>
                <w:color w:val="000000"/>
                <w:sz w:val="20"/>
                <w:szCs w:val="18"/>
                <w:vertAlign w:val="superscript"/>
                <w:lang w:val="en-GB"/>
              </w:rPr>
            </w:pPr>
            <w:r w:rsidRPr="006D1DDF">
              <w:rPr>
                <w:rFonts w:ascii="Arial Narrow" w:hAnsi="Arial Narrow"/>
                <w:b/>
                <w:color w:val="000000"/>
                <w:sz w:val="20"/>
                <w:szCs w:val="18"/>
                <w:lang w:val="en-GB"/>
              </w:rPr>
              <w:t xml:space="preserve">3.1 (0.7, 5.5) </w:t>
            </w:r>
            <w:r w:rsidRPr="006D1DDF">
              <w:rPr>
                <w:rFonts w:ascii="Arial Narrow" w:hAnsi="Arial Narrow"/>
                <w:b/>
                <w:color w:val="000000"/>
                <w:sz w:val="20"/>
                <w:szCs w:val="18"/>
                <w:vertAlign w:val="superscript"/>
                <w:lang w:val="en-GB"/>
              </w:rPr>
              <w:t>b</w:t>
            </w:r>
          </w:p>
        </w:tc>
      </w:tr>
      <w:tr w:rsidR="00CB0C06" w:rsidRPr="006D1DDF" w:rsidTr="00573125">
        <w:tc>
          <w:tcPr>
            <w:tcW w:w="935" w:type="pct"/>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Atrial fibrillation; n/N</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lang w:val="en-GB"/>
              </w:rPr>
              <w:t>6/195</w:t>
            </w:r>
          </w:p>
        </w:tc>
        <w:tc>
          <w:tcPr>
            <w:tcW w:w="747"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lang w:val="en-GB"/>
              </w:rPr>
              <w:t>0</w:t>
            </w:r>
          </w:p>
        </w:tc>
        <w:tc>
          <w:tcPr>
            <w:tcW w:w="745" w:type="pct"/>
            <w:vAlign w:val="center"/>
          </w:tcPr>
          <w:p w:rsidR="00CB0C06" w:rsidRPr="006D1DDF" w:rsidRDefault="00CB0C06" w:rsidP="00573125">
            <w:pPr>
              <w:keepNext/>
              <w:jc w:val="center"/>
              <w:rPr>
                <w:rFonts w:ascii="Arial Narrow" w:hAnsi="Arial Narrow"/>
                <w:color w:val="000000"/>
                <w:sz w:val="20"/>
                <w:szCs w:val="18"/>
                <w:vertAlign w:val="superscript"/>
                <w:lang w:val="en-GB"/>
              </w:rPr>
            </w:pPr>
            <w:r w:rsidRPr="006D1DDF">
              <w:rPr>
                <w:rFonts w:ascii="Arial Narrow" w:hAnsi="Arial Narrow"/>
                <w:color w:val="000000"/>
                <w:sz w:val="20"/>
                <w:lang w:val="en-GB"/>
              </w:rPr>
              <w:t xml:space="preserve">NC </w:t>
            </w:r>
            <w:r w:rsidRPr="006D1DDF">
              <w:rPr>
                <w:rFonts w:ascii="Arial Narrow" w:hAnsi="Arial Narrow"/>
                <w:color w:val="000000"/>
                <w:sz w:val="20"/>
                <w:vertAlign w:val="superscript"/>
                <w:lang w:val="en-GB"/>
              </w:rPr>
              <w:t>b</w:t>
            </w:r>
          </w:p>
        </w:tc>
        <w:tc>
          <w:tcPr>
            <w:tcW w:w="500" w:type="pct"/>
            <w:gridSpan w:val="2"/>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lang w:val="en-GB"/>
              </w:rPr>
              <w:t>3.1</w:t>
            </w:r>
          </w:p>
        </w:tc>
        <w:tc>
          <w:tcPr>
            <w:tcW w:w="664" w:type="pct"/>
            <w:vAlign w:val="center"/>
          </w:tcPr>
          <w:p w:rsidR="00CB0C06" w:rsidRPr="006D1DDF" w:rsidRDefault="00CB0C06" w:rsidP="00573125">
            <w:pPr>
              <w:keepNext/>
              <w:jc w:val="center"/>
              <w:rPr>
                <w:rFonts w:ascii="Arial Narrow" w:hAnsi="Arial Narrow"/>
                <w:color w:val="000000"/>
                <w:sz w:val="20"/>
                <w:szCs w:val="18"/>
                <w:lang w:val="en-GB"/>
              </w:rPr>
            </w:pPr>
            <w:r w:rsidRPr="006D1DDF">
              <w:rPr>
                <w:rFonts w:ascii="Arial Narrow" w:hAnsi="Arial Narrow"/>
                <w:color w:val="000000"/>
                <w:sz w:val="20"/>
                <w:lang w:val="en-GB"/>
              </w:rPr>
              <w:t>0</w:t>
            </w:r>
          </w:p>
        </w:tc>
        <w:tc>
          <w:tcPr>
            <w:tcW w:w="909" w:type="pct"/>
            <w:gridSpan w:val="2"/>
            <w:vAlign w:val="center"/>
          </w:tcPr>
          <w:p w:rsidR="00CB0C06" w:rsidRPr="006D1DDF" w:rsidRDefault="00CB0C06" w:rsidP="00573125">
            <w:pPr>
              <w:keepNext/>
              <w:jc w:val="center"/>
              <w:rPr>
                <w:rFonts w:ascii="Arial Narrow" w:hAnsi="Arial Narrow"/>
                <w:b/>
                <w:color w:val="000000"/>
                <w:sz w:val="20"/>
                <w:vertAlign w:val="superscript"/>
                <w:lang w:val="en-GB"/>
              </w:rPr>
            </w:pPr>
            <w:r w:rsidRPr="006D1DDF">
              <w:rPr>
                <w:rFonts w:ascii="Arial Narrow" w:hAnsi="Arial Narrow"/>
                <w:b/>
                <w:color w:val="000000"/>
                <w:sz w:val="20"/>
                <w:lang w:val="en-GB"/>
              </w:rPr>
              <w:t xml:space="preserve">3.1% (0.7, 5.5) </w:t>
            </w:r>
            <w:r w:rsidRPr="006D1DDF">
              <w:rPr>
                <w:rFonts w:ascii="Arial Narrow" w:hAnsi="Arial Narrow"/>
                <w:b/>
                <w:color w:val="000000"/>
                <w:sz w:val="20"/>
                <w:vertAlign w:val="superscript"/>
                <w:lang w:val="en-GB"/>
              </w:rPr>
              <w:t>b</w:t>
            </w:r>
          </w:p>
        </w:tc>
      </w:tr>
      <w:tr w:rsidR="00CB0C06" w:rsidRPr="006D1DDF" w:rsidTr="00573125">
        <w:tc>
          <w:tcPr>
            <w:tcW w:w="935" w:type="pct"/>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Lung infection; n/N</w:t>
            </w:r>
          </w:p>
        </w:tc>
        <w:tc>
          <w:tcPr>
            <w:tcW w:w="500" w:type="pct"/>
            <w:gridSpan w:val="2"/>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5/195</w:t>
            </w:r>
          </w:p>
        </w:tc>
        <w:tc>
          <w:tcPr>
            <w:tcW w:w="747" w:type="pct"/>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0</w:t>
            </w:r>
          </w:p>
        </w:tc>
        <w:tc>
          <w:tcPr>
            <w:tcW w:w="745" w:type="pct"/>
            <w:vAlign w:val="center"/>
          </w:tcPr>
          <w:p w:rsidR="00CB0C06" w:rsidRPr="006D1DDF" w:rsidRDefault="00CB0C06" w:rsidP="00573125">
            <w:pPr>
              <w:keepNext/>
              <w:jc w:val="center"/>
              <w:rPr>
                <w:rFonts w:ascii="Arial Narrow" w:hAnsi="Arial Narrow"/>
                <w:color w:val="000000"/>
                <w:sz w:val="20"/>
                <w:vertAlign w:val="superscript"/>
                <w:lang w:val="en-GB"/>
              </w:rPr>
            </w:pPr>
            <w:r w:rsidRPr="006D1DDF">
              <w:rPr>
                <w:rFonts w:ascii="Arial Narrow" w:hAnsi="Arial Narrow"/>
                <w:color w:val="000000"/>
                <w:sz w:val="20"/>
                <w:lang w:val="en-GB"/>
              </w:rPr>
              <w:t xml:space="preserve">NC </w:t>
            </w:r>
            <w:r w:rsidRPr="006D1DDF">
              <w:rPr>
                <w:rFonts w:ascii="Arial Narrow" w:hAnsi="Arial Narrow"/>
                <w:color w:val="000000"/>
                <w:sz w:val="20"/>
                <w:vertAlign w:val="superscript"/>
                <w:lang w:val="en-GB"/>
              </w:rPr>
              <w:t>b</w:t>
            </w:r>
          </w:p>
        </w:tc>
        <w:tc>
          <w:tcPr>
            <w:tcW w:w="500" w:type="pct"/>
            <w:gridSpan w:val="2"/>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2.6</w:t>
            </w:r>
          </w:p>
        </w:tc>
        <w:tc>
          <w:tcPr>
            <w:tcW w:w="664" w:type="pct"/>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0</w:t>
            </w:r>
          </w:p>
        </w:tc>
        <w:tc>
          <w:tcPr>
            <w:tcW w:w="909" w:type="pct"/>
            <w:gridSpan w:val="2"/>
            <w:vAlign w:val="center"/>
          </w:tcPr>
          <w:p w:rsidR="00CB0C06" w:rsidRPr="006D1DDF" w:rsidRDefault="00CB0C06" w:rsidP="00573125">
            <w:pPr>
              <w:keepNext/>
              <w:jc w:val="center"/>
              <w:rPr>
                <w:rFonts w:ascii="Arial Narrow" w:hAnsi="Arial Narrow"/>
                <w:b/>
                <w:color w:val="000000"/>
                <w:sz w:val="20"/>
                <w:vertAlign w:val="superscript"/>
                <w:lang w:val="en-GB"/>
              </w:rPr>
            </w:pPr>
            <w:r w:rsidRPr="006D1DDF">
              <w:rPr>
                <w:rFonts w:ascii="Arial Narrow" w:hAnsi="Arial Narrow"/>
                <w:b/>
                <w:color w:val="000000"/>
                <w:sz w:val="20"/>
                <w:lang w:val="en-GB"/>
              </w:rPr>
              <w:t xml:space="preserve">2.6% (0.3, 4.8) </w:t>
            </w:r>
            <w:r w:rsidRPr="006D1DDF">
              <w:rPr>
                <w:rFonts w:ascii="Arial Narrow" w:hAnsi="Arial Narrow"/>
                <w:b/>
                <w:color w:val="000000"/>
                <w:sz w:val="20"/>
                <w:vertAlign w:val="superscript"/>
                <w:lang w:val="en-GB"/>
              </w:rPr>
              <w:t>b</w:t>
            </w:r>
          </w:p>
        </w:tc>
      </w:tr>
      <w:tr w:rsidR="00CB0C06" w:rsidRPr="006D1DDF" w:rsidTr="00573125">
        <w:tc>
          <w:tcPr>
            <w:tcW w:w="935" w:type="pct"/>
            <w:vAlign w:val="center"/>
          </w:tcPr>
          <w:p w:rsidR="00CB0C06" w:rsidRPr="006D1DDF" w:rsidRDefault="00CB0C06" w:rsidP="00573125">
            <w:pPr>
              <w:keepNext/>
              <w:rPr>
                <w:rFonts w:ascii="Arial Narrow" w:hAnsi="Arial Narrow"/>
                <w:color w:val="000000"/>
                <w:sz w:val="20"/>
                <w:szCs w:val="18"/>
                <w:lang w:val="en-GB"/>
              </w:rPr>
            </w:pPr>
            <w:r w:rsidRPr="006D1DDF">
              <w:rPr>
                <w:rFonts w:ascii="Arial Narrow" w:hAnsi="Arial Narrow"/>
                <w:color w:val="000000"/>
                <w:sz w:val="20"/>
                <w:szCs w:val="18"/>
                <w:lang w:val="en-GB"/>
              </w:rPr>
              <w:t>Infusion reaction n/N</w:t>
            </w:r>
          </w:p>
        </w:tc>
        <w:tc>
          <w:tcPr>
            <w:tcW w:w="500" w:type="pct"/>
            <w:gridSpan w:val="2"/>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0/195</w:t>
            </w:r>
          </w:p>
        </w:tc>
        <w:tc>
          <w:tcPr>
            <w:tcW w:w="747" w:type="pct"/>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6/191</w:t>
            </w:r>
          </w:p>
        </w:tc>
        <w:tc>
          <w:tcPr>
            <w:tcW w:w="745" w:type="pct"/>
            <w:vAlign w:val="center"/>
          </w:tcPr>
          <w:p w:rsidR="00CB0C06" w:rsidRPr="006D1DDF" w:rsidRDefault="00CB0C06" w:rsidP="00573125">
            <w:pPr>
              <w:keepNext/>
              <w:jc w:val="center"/>
              <w:rPr>
                <w:rFonts w:ascii="Arial Narrow" w:hAnsi="Arial Narrow"/>
                <w:color w:val="000000"/>
                <w:sz w:val="20"/>
                <w:vertAlign w:val="superscript"/>
                <w:lang w:val="en-GB"/>
              </w:rPr>
            </w:pPr>
            <w:r w:rsidRPr="006D1DDF">
              <w:rPr>
                <w:rFonts w:ascii="Arial Narrow" w:hAnsi="Arial Narrow"/>
                <w:color w:val="000000"/>
                <w:sz w:val="20"/>
                <w:lang w:val="en-GB"/>
              </w:rPr>
              <w:t xml:space="preserve">NC </w:t>
            </w:r>
            <w:r w:rsidRPr="006D1DDF">
              <w:rPr>
                <w:rFonts w:ascii="Arial Narrow" w:hAnsi="Arial Narrow"/>
                <w:color w:val="000000"/>
                <w:sz w:val="20"/>
                <w:vertAlign w:val="superscript"/>
                <w:lang w:val="en-GB"/>
              </w:rPr>
              <w:t>b</w:t>
            </w:r>
          </w:p>
        </w:tc>
        <w:tc>
          <w:tcPr>
            <w:tcW w:w="500" w:type="pct"/>
            <w:gridSpan w:val="2"/>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0</w:t>
            </w:r>
          </w:p>
        </w:tc>
        <w:tc>
          <w:tcPr>
            <w:tcW w:w="664" w:type="pct"/>
            <w:vAlign w:val="center"/>
          </w:tcPr>
          <w:p w:rsidR="00CB0C06" w:rsidRPr="006D1DDF" w:rsidRDefault="00CB0C06" w:rsidP="00573125">
            <w:pPr>
              <w:keepNext/>
              <w:jc w:val="center"/>
              <w:rPr>
                <w:rFonts w:ascii="Arial Narrow" w:hAnsi="Arial Narrow"/>
                <w:color w:val="000000"/>
                <w:sz w:val="20"/>
                <w:lang w:val="en-GB"/>
              </w:rPr>
            </w:pPr>
            <w:r w:rsidRPr="006D1DDF">
              <w:rPr>
                <w:rFonts w:ascii="Arial Narrow" w:hAnsi="Arial Narrow"/>
                <w:color w:val="000000"/>
                <w:sz w:val="20"/>
                <w:lang w:val="en-GB"/>
              </w:rPr>
              <w:t>3.1</w:t>
            </w:r>
          </w:p>
        </w:tc>
        <w:tc>
          <w:tcPr>
            <w:tcW w:w="909" w:type="pct"/>
            <w:gridSpan w:val="2"/>
            <w:vAlign w:val="center"/>
          </w:tcPr>
          <w:p w:rsidR="00CB0C06" w:rsidRPr="006D1DDF" w:rsidRDefault="00CB0C06" w:rsidP="00573125">
            <w:pPr>
              <w:keepNext/>
              <w:jc w:val="center"/>
              <w:rPr>
                <w:rFonts w:ascii="Arial Narrow" w:hAnsi="Arial Narrow"/>
                <w:b/>
                <w:color w:val="000000"/>
                <w:sz w:val="20"/>
                <w:vertAlign w:val="superscript"/>
                <w:lang w:val="en-GB"/>
              </w:rPr>
            </w:pPr>
            <w:r w:rsidRPr="006D1DDF">
              <w:rPr>
                <w:rFonts w:ascii="Arial Narrow" w:hAnsi="Arial Narrow"/>
                <w:b/>
                <w:color w:val="000000"/>
                <w:sz w:val="20"/>
                <w:lang w:val="en-GB"/>
              </w:rPr>
              <w:t>-3.1% (-5.6, -0.7)</w:t>
            </w:r>
            <w:r w:rsidRPr="006D1DDF">
              <w:rPr>
                <w:rFonts w:ascii="Arial Narrow" w:hAnsi="Arial Narrow"/>
                <w:b/>
                <w:color w:val="000000"/>
                <w:sz w:val="20"/>
                <w:vertAlign w:val="superscript"/>
                <w:lang w:val="en-GB"/>
              </w:rPr>
              <w:t xml:space="preserve"> b</w:t>
            </w:r>
          </w:p>
        </w:tc>
      </w:tr>
    </w:tbl>
    <w:p w:rsidR="00CB0C06" w:rsidRPr="006D1DDF" w:rsidRDefault="00CB0C06" w:rsidP="00972857">
      <w:pPr>
        <w:pStyle w:val="TableFooter"/>
        <w:ind w:left="720"/>
        <w:rPr>
          <w:lang w:val="en-GB"/>
        </w:rPr>
      </w:pPr>
      <w:r w:rsidRPr="006D1DDF">
        <w:rPr>
          <w:lang w:val="en-GB"/>
        </w:rPr>
        <w:t>Source: Table Bi.27, p87; Table Bi.30, p93; Table Bi.52, p124 of the submission, and p4, Ad-Hoc CSR provided with the submission</w:t>
      </w:r>
    </w:p>
    <w:p w:rsidR="00CB0C06" w:rsidRPr="006D1DDF" w:rsidRDefault="00CB0C06" w:rsidP="00723B55">
      <w:pPr>
        <w:pStyle w:val="TableFooter"/>
        <w:ind w:left="720"/>
        <w:rPr>
          <w:b/>
          <w:lang w:val="en-GB"/>
        </w:rPr>
      </w:pPr>
      <w:r w:rsidRPr="006D1DDF">
        <w:rPr>
          <w:lang w:val="en-GB"/>
        </w:rPr>
        <w:t xml:space="preserve">CI = confidence interval; HR = hazard ratio; NC = not calculable; NE = not evaluable; RD = risk difference; RR = relative risk; UTI = urinary tract infection; </w:t>
      </w:r>
      <w:r w:rsidRPr="006D1DDF">
        <w:rPr>
          <w:b/>
          <w:lang w:val="en-GB"/>
        </w:rPr>
        <w:t>bold</w:t>
      </w:r>
      <w:r w:rsidRPr="006D1DDF">
        <w:rPr>
          <w:lang w:val="en-GB"/>
        </w:rPr>
        <w:t xml:space="preserve"> = statistically significant</w:t>
      </w:r>
    </w:p>
    <w:p w:rsidR="00CB0C06" w:rsidRPr="006D1DDF" w:rsidRDefault="00CB0C06" w:rsidP="00723B55">
      <w:pPr>
        <w:pStyle w:val="TableFooter"/>
        <w:ind w:left="720"/>
        <w:rPr>
          <w:b/>
          <w:lang w:val="en-GB"/>
        </w:rPr>
      </w:pPr>
      <w:r w:rsidRPr="006D1DDF">
        <w:rPr>
          <w:lang w:val="en-GB"/>
        </w:rPr>
        <w:t>* Median duration of follow-up 9.4 months</w:t>
      </w:r>
    </w:p>
    <w:p w:rsidR="00CB0C06" w:rsidRPr="006D1DDF" w:rsidRDefault="00CB0C06" w:rsidP="00723B55">
      <w:pPr>
        <w:pStyle w:val="TableFooter"/>
        <w:ind w:left="720"/>
        <w:rPr>
          <w:lang w:val="en-GB"/>
        </w:rPr>
      </w:pPr>
      <w:r w:rsidRPr="006D1DDF">
        <w:rPr>
          <w:vertAlign w:val="superscript"/>
          <w:lang w:val="en-GB"/>
        </w:rPr>
        <w:t>a</w:t>
      </w:r>
      <w:r w:rsidRPr="006D1DDF">
        <w:rPr>
          <w:lang w:val="en-GB"/>
        </w:rPr>
        <w:t xml:space="preserve"> Five patients randomised to ofatumumab did not receive treatment</w:t>
      </w:r>
    </w:p>
    <w:p w:rsidR="00CB0C06" w:rsidRPr="006D1DDF" w:rsidRDefault="00CB0C06" w:rsidP="00723B55">
      <w:pPr>
        <w:pStyle w:val="TableFooter"/>
        <w:ind w:left="720"/>
        <w:rPr>
          <w:lang w:val="en-GB"/>
        </w:rPr>
      </w:pPr>
      <w:r w:rsidRPr="006D1DDF">
        <w:rPr>
          <w:vertAlign w:val="superscript"/>
          <w:lang w:val="en-GB"/>
        </w:rPr>
        <w:t xml:space="preserve">b </w:t>
      </w:r>
      <w:r w:rsidRPr="006D1DDF">
        <w:rPr>
          <w:lang w:val="en-GB"/>
        </w:rPr>
        <w:t>Submission presented different estimates</w:t>
      </w:r>
      <w:r w:rsidR="00506240">
        <w:rPr>
          <w:lang w:val="en-GB"/>
        </w:rPr>
        <w:t xml:space="preserve"> </w:t>
      </w:r>
    </w:p>
    <w:p w:rsidR="00CB0C06" w:rsidRPr="006D1DDF" w:rsidRDefault="00CB0C06" w:rsidP="004B1CB4">
      <w:pPr>
        <w:rPr>
          <w:lang w:val="en-GB"/>
        </w:rPr>
      </w:pPr>
    </w:p>
    <w:p w:rsidR="00CB0C06" w:rsidRPr="006D1DDF" w:rsidRDefault="00CB0C06" w:rsidP="00271347">
      <w:pPr>
        <w:pStyle w:val="ListParagraph"/>
        <w:widowControl/>
        <w:numPr>
          <w:ilvl w:val="1"/>
          <w:numId w:val="7"/>
        </w:numPr>
        <w:rPr>
          <w:szCs w:val="22"/>
          <w:lang w:val="en-GB"/>
        </w:rPr>
      </w:pPr>
      <w:r w:rsidRPr="006D1DDF">
        <w:rPr>
          <w:lang w:val="en-GB"/>
        </w:rPr>
        <w:t>Median progression free survival and overall survival was not reached for ibrutinib, whereas median progression free survival was approximately 8.1 months for ofatumumab with median overall survival not reached.</w:t>
      </w:r>
    </w:p>
    <w:p w:rsidR="00CB0C06" w:rsidRPr="006D1DDF" w:rsidRDefault="00CB0C06" w:rsidP="00CC7BF2">
      <w:pPr>
        <w:widowControl/>
        <w:rPr>
          <w:szCs w:val="22"/>
          <w:lang w:val="en-GB"/>
        </w:rPr>
      </w:pPr>
    </w:p>
    <w:p w:rsidR="00CB0C06" w:rsidRPr="006D1DDF" w:rsidRDefault="00CB0C06" w:rsidP="00CC7BF2">
      <w:pPr>
        <w:widowControl/>
        <w:ind w:left="709"/>
        <w:rPr>
          <w:szCs w:val="22"/>
          <w:lang w:val="en-GB"/>
        </w:rPr>
      </w:pPr>
      <w:r w:rsidRPr="006D1DDF">
        <w:rPr>
          <w:lang w:val="en-GB"/>
        </w:rPr>
        <w:t>On the basis of direct comparison evidence presented by the submission, for every 100 patients treated with ibrutinib in comparison to ofatumumab, over a 9.4 month median duration of follow-up, there were approximately three additional Grade 3 or 4: urinary tract infections; lung infections; leucocytosis; and atrial fibrillation events. There were approximately three fewer Grade 3 or 4 infusion-related reactions.</w:t>
      </w:r>
    </w:p>
    <w:p w:rsidR="00CB0C06" w:rsidRPr="006D1DDF" w:rsidRDefault="00CB0C06" w:rsidP="00CB7968">
      <w:pPr>
        <w:ind w:left="709"/>
        <w:rPr>
          <w:lang w:val="en-GB"/>
        </w:rPr>
      </w:pPr>
      <w:r w:rsidRPr="006D1DDF">
        <w:rPr>
          <w:lang w:val="en-GB"/>
        </w:rPr>
        <w:t xml:space="preserve">The naïve comparison presented by the submission was not appropriate to allow a comparison between ibrutinib and rituximab plus chlorambucil. </w:t>
      </w:r>
    </w:p>
    <w:p w:rsidR="00CB0C06" w:rsidRPr="006D1DDF" w:rsidRDefault="00CB0C06" w:rsidP="00FC1884">
      <w:pPr>
        <w:rPr>
          <w:lang w:val="en-GB"/>
        </w:rPr>
      </w:pPr>
    </w:p>
    <w:p w:rsidR="00CB0C06" w:rsidRPr="006D1DDF" w:rsidRDefault="00CB0C06" w:rsidP="002C2775">
      <w:pPr>
        <w:pStyle w:val="Heading2"/>
        <w:rPr>
          <w:i/>
          <w:lang w:val="en-GB"/>
        </w:rPr>
      </w:pPr>
      <w:bookmarkStart w:id="14" w:name="_Toc419724913"/>
      <w:r w:rsidRPr="006D1DDF">
        <w:rPr>
          <w:i/>
          <w:lang w:val="en-GB"/>
        </w:rPr>
        <w:t>Clinical claim</w:t>
      </w:r>
      <w:bookmarkEnd w:id="14"/>
    </w:p>
    <w:p w:rsidR="00CB0C06" w:rsidRPr="006D1DDF" w:rsidRDefault="00CB0C06" w:rsidP="00B60939">
      <w:pPr>
        <w:ind w:left="720" w:hanging="720"/>
        <w:rPr>
          <w:szCs w:val="22"/>
          <w:lang w:val="en-GB"/>
        </w:rPr>
      </w:pPr>
    </w:p>
    <w:p w:rsidR="00CB0C06" w:rsidRPr="006D1DDF" w:rsidRDefault="00CB0C06" w:rsidP="00A26E51">
      <w:pPr>
        <w:pStyle w:val="ListParagraph"/>
        <w:widowControl/>
        <w:numPr>
          <w:ilvl w:val="1"/>
          <w:numId w:val="7"/>
        </w:numPr>
        <w:rPr>
          <w:szCs w:val="22"/>
          <w:u w:val="single"/>
          <w:lang w:val="en-GB"/>
        </w:rPr>
      </w:pPr>
      <w:r w:rsidRPr="006D1DDF">
        <w:rPr>
          <w:szCs w:val="22"/>
          <w:u w:val="single"/>
          <w:lang w:val="en-GB"/>
        </w:rPr>
        <w:t>Ibrutinib versus ofatumumab</w:t>
      </w:r>
    </w:p>
    <w:p w:rsidR="00CB0C06" w:rsidRPr="006D1DDF" w:rsidRDefault="00CB0C06" w:rsidP="00CC7BF2">
      <w:pPr>
        <w:pStyle w:val="ListParagraph"/>
        <w:widowControl/>
        <w:rPr>
          <w:szCs w:val="22"/>
          <w:lang w:val="en-GB"/>
        </w:rPr>
      </w:pPr>
      <w:r w:rsidRPr="006D1DDF">
        <w:rPr>
          <w:szCs w:val="22"/>
          <w:lang w:val="en-GB"/>
        </w:rPr>
        <w:t>The submission described ibrutinib as superior in terms of comparative effectiveness, and as different in terms of comparative safety, compared to ofatumumab for patients with relapsed or refractory CLL/SLL.</w:t>
      </w:r>
    </w:p>
    <w:p w:rsidR="00CB0C06" w:rsidRPr="006D1DDF" w:rsidRDefault="00CB0C06" w:rsidP="00CC7BF2">
      <w:pPr>
        <w:pStyle w:val="ListParagraph"/>
        <w:widowControl/>
        <w:rPr>
          <w:szCs w:val="22"/>
          <w:lang w:val="en-GB"/>
        </w:rPr>
      </w:pPr>
    </w:p>
    <w:p w:rsidR="00CB0C06" w:rsidRPr="006D1DDF" w:rsidRDefault="00CB0C06" w:rsidP="00805185">
      <w:pPr>
        <w:pStyle w:val="ListParagraph"/>
        <w:widowControl/>
        <w:numPr>
          <w:ilvl w:val="1"/>
          <w:numId w:val="7"/>
        </w:numPr>
        <w:rPr>
          <w:szCs w:val="22"/>
          <w:lang w:val="en-GB"/>
        </w:rPr>
      </w:pPr>
      <w:r w:rsidRPr="006D1DDF">
        <w:rPr>
          <w:szCs w:val="22"/>
          <w:lang w:val="en-GB"/>
        </w:rPr>
        <w:lastRenderedPageBreak/>
        <w:t>This claim of superior comparative effectiveness of ibrutinib over ofatumumab monotherapy was based on the data from the RESONATE trial for patients with relapsed or refractory CLL. Ibrutinib showed superior progression free survival and overall survival benefits compared to ofatumumab. However the evaluation noted several concerns with this conclusion:</w:t>
      </w:r>
    </w:p>
    <w:p w:rsidR="00CB0C06" w:rsidRPr="006D1DDF" w:rsidRDefault="00CB0C06" w:rsidP="00A26E51">
      <w:pPr>
        <w:pStyle w:val="ListParagraph"/>
        <w:numPr>
          <w:ilvl w:val="0"/>
          <w:numId w:val="5"/>
        </w:numPr>
        <w:rPr>
          <w:lang w:val="en-GB"/>
        </w:rPr>
      </w:pPr>
      <w:r w:rsidRPr="006D1DDF">
        <w:rPr>
          <w:lang w:val="en-GB"/>
        </w:rPr>
        <w:t>The generalisability of the RESONATE trial results is questionable given the TGA-approved indication for ibrutinib is not restricted to patients unsuitable for treatment with a purine analogue (i.e. fludarabine);</w:t>
      </w:r>
    </w:p>
    <w:p w:rsidR="00CB0C06" w:rsidRPr="006D1DDF" w:rsidRDefault="00CB0C06" w:rsidP="00A26E51">
      <w:pPr>
        <w:pStyle w:val="ListParagraph"/>
        <w:widowControl/>
        <w:numPr>
          <w:ilvl w:val="0"/>
          <w:numId w:val="5"/>
        </w:numPr>
        <w:rPr>
          <w:szCs w:val="22"/>
          <w:lang w:val="en-GB"/>
        </w:rPr>
      </w:pPr>
      <w:r w:rsidRPr="006D1DDF">
        <w:rPr>
          <w:szCs w:val="22"/>
          <w:lang w:val="en-GB"/>
        </w:rPr>
        <w:t xml:space="preserve">The claim of superiority was only considered valid if ofatumumab monotherapy was considered as an appropriate clinical comparator; </w:t>
      </w:r>
    </w:p>
    <w:p w:rsidR="00CB0C06" w:rsidRPr="006D1DDF" w:rsidRDefault="00CB0C06" w:rsidP="00A26E51">
      <w:pPr>
        <w:pStyle w:val="ListParagraph"/>
        <w:widowControl/>
        <w:numPr>
          <w:ilvl w:val="0"/>
          <w:numId w:val="5"/>
        </w:numPr>
        <w:rPr>
          <w:szCs w:val="22"/>
          <w:lang w:val="en-GB"/>
        </w:rPr>
      </w:pPr>
      <w:r w:rsidRPr="006D1DDF">
        <w:rPr>
          <w:lang w:val="en-GB"/>
        </w:rPr>
        <w:t>The design of the RESONATE trial resulted in substantial cross-over which makes the longer term follow-up uncertain. A protocol amendment was approved four months after the last patient was randomised. This amendment allowed ofatumumab patients to crossover to ibrutinib upon disease progression, as assessed by an Independent Review Committee. This resulted in 29% of the ofatumumab patients to crossover to ibrutinib; and</w:t>
      </w:r>
    </w:p>
    <w:p w:rsidR="00CB0C06" w:rsidRPr="006D1DDF" w:rsidRDefault="00CB0C06" w:rsidP="00A26E51">
      <w:pPr>
        <w:pStyle w:val="ListParagraph"/>
        <w:widowControl/>
        <w:numPr>
          <w:ilvl w:val="0"/>
          <w:numId w:val="5"/>
        </w:numPr>
        <w:rPr>
          <w:szCs w:val="22"/>
          <w:lang w:val="en-GB"/>
        </w:rPr>
      </w:pPr>
      <w:r w:rsidRPr="006D1DDF">
        <w:rPr>
          <w:szCs w:val="22"/>
          <w:lang w:val="en-GB"/>
        </w:rPr>
        <w:t>the efficacy of ofatumumab in the RESONATE trial might have been underestimated, as the Independent Review Committee reported response rate was 4%, well below response rates reported for other treatments used in the relapsed/refractory setting, e.g. in the Study 116 idelalisib trial the overall response rate for rituximab monotherapy was reported to be 13%.</w:t>
      </w:r>
    </w:p>
    <w:p w:rsidR="00CB0C06" w:rsidRPr="006D1DDF" w:rsidRDefault="00CB0C06" w:rsidP="00CC7BF2">
      <w:pPr>
        <w:pStyle w:val="ListParagraph"/>
        <w:widowControl/>
        <w:rPr>
          <w:szCs w:val="22"/>
          <w:lang w:val="en-GB"/>
        </w:rPr>
      </w:pPr>
    </w:p>
    <w:p w:rsidR="00CB0C06" w:rsidRPr="006D1DDF" w:rsidRDefault="00CB0C06" w:rsidP="00805185">
      <w:pPr>
        <w:pStyle w:val="ListParagraph"/>
        <w:widowControl/>
        <w:numPr>
          <w:ilvl w:val="1"/>
          <w:numId w:val="7"/>
        </w:numPr>
        <w:rPr>
          <w:szCs w:val="22"/>
          <w:lang w:val="en-GB"/>
        </w:rPr>
      </w:pPr>
      <w:r w:rsidRPr="006D1DDF">
        <w:rPr>
          <w:szCs w:val="22"/>
          <w:lang w:val="en-GB"/>
        </w:rPr>
        <w:t>The claim of different comparative safety might be supported as:</w:t>
      </w:r>
    </w:p>
    <w:p w:rsidR="00CB0C06" w:rsidRPr="006D1DDF" w:rsidRDefault="00CB0C06" w:rsidP="00A26E51">
      <w:pPr>
        <w:pStyle w:val="ListParagraph"/>
        <w:widowControl/>
        <w:numPr>
          <w:ilvl w:val="0"/>
          <w:numId w:val="6"/>
        </w:numPr>
        <w:rPr>
          <w:szCs w:val="22"/>
          <w:lang w:val="en-GB"/>
        </w:rPr>
      </w:pPr>
      <w:r w:rsidRPr="006D1DDF">
        <w:rPr>
          <w:szCs w:val="22"/>
          <w:lang w:val="en-GB"/>
        </w:rPr>
        <w:t>ibrutinib was associated with higher rates of Grade 3 or 4 urinary tract infections, leucocytosis, atrial fibrillation and lung infections, while ofatumumab was associated with higher rates of Grade 3 or 4 infusion-related reactions. However, the confidence intervals for risk difference were wide (due to low event rates) for urinary tract infection, leucocytosis, atrial fibrillation and lung infection.</w:t>
      </w:r>
    </w:p>
    <w:p w:rsidR="00CB0C06" w:rsidRPr="006D1DDF" w:rsidRDefault="00CB0C06" w:rsidP="00A26E51">
      <w:pPr>
        <w:pStyle w:val="ListParagraph"/>
        <w:numPr>
          <w:ilvl w:val="0"/>
          <w:numId w:val="6"/>
        </w:numPr>
        <w:rPr>
          <w:lang w:val="en-GB"/>
        </w:rPr>
      </w:pPr>
      <w:r w:rsidRPr="006D1DDF">
        <w:t>The duration of treatment of ofatumumab might reflect clinical practice as the maximum duration of treatment is 12 doses over a 6-month period, while the duration of ibrutinib might not reflect clinical practice as treatment can continue until disease progression or toxicity. This could potentially result in an inferior safety claim.</w:t>
      </w:r>
    </w:p>
    <w:p w:rsidR="00CB0C06" w:rsidRPr="006D1DDF" w:rsidRDefault="00CB0C06" w:rsidP="00CC7BF2">
      <w:pPr>
        <w:widowControl/>
        <w:rPr>
          <w:i/>
          <w:szCs w:val="22"/>
          <w:lang w:val="en-GB"/>
        </w:rPr>
      </w:pPr>
    </w:p>
    <w:p w:rsidR="00CB0C06" w:rsidRPr="006D1DDF" w:rsidRDefault="00CB0C06" w:rsidP="00993239">
      <w:pPr>
        <w:pStyle w:val="ListParagraph"/>
        <w:widowControl/>
        <w:numPr>
          <w:ilvl w:val="1"/>
          <w:numId w:val="7"/>
        </w:numPr>
        <w:rPr>
          <w:i/>
          <w:szCs w:val="22"/>
          <w:u w:val="single"/>
          <w:lang w:val="en-GB"/>
        </w:rPr>
      </w:pPr>
      <w:r w:rsidRPr="006D1DDF">
        <w:rPr>
          <w:szCs w:val="22"/>
          <w:u w:val="single"/>
          <w:lang w:val="en-GB"/>
        </w:rPr>
        <w:t>Ibrutinib</w:t>
      </w:r>
      <w:r w:rsidRPr="006D1DDF">
        <w:rPr>
          <w:i/>
          <w:szCs w:val="22"/>
          <w:u w:val="single"/>
          <w:lang w:val="en-GB"/>
        </w:rPr>
        <w:t xml:space="preserve"> </w:t>
      </w:r>
      <w:r w:rsidRPr="006D1DDF">
        <w:rPr>
          <w:szCs w:val="22"/>
          <w:u w:val="single"/>
          <w:lang w:val="en-GB"/>
        </w:rPr>
        <w:t>versus rituximab plus chlorambucil</w:t>
      </w:r>
    </w:p>
    <w:p w:rsidR="00CB0C06" w:rsidRPr="006D1DDF" w:rsidRDefault="00CB0C06" w:rsidP="00CC7BF2">
      <w:pPr>
        <w:pStyle w:val="ListParagraph"/>
        <w:widowControl/>
        <w:rPr>
          <w:szCs w:val="22"/>
          <w:lang w:val="en-GB"/>
        </w:rPr>
      </w:pPr>
      <w:r w:rsidRPr="006D1DDF">
        <w:rPr>
          <w:szCs w:val="22"/>
          <w:lang w:val="en-GB"/>
        </w:rPr>
        <w:t xml:space="preserve">The submission described ibrutinib as superior in terms of comparative effectiveness, and as different in terms of comparative safety, compared to rituximab plus chlorambucil for patients with relapsed or refractory CLL/SLL. </w:t>
      </w:r>
    </w:p>
    <w:p w:rsidR="00CB0C06" w:rsidRPr="006D1DDF" w:rsidRDefault="00CB0C06" w:rsidP="009102E5">
      <w:pPr>
        <w:pStyle w:val="ListParagraph"/>
        <w:rPr>
          <w:lang w:val="en-GB"/>
        </w:rPr>
      </w:pPr>
    </w:p>
    <w:p w:rsidR="00CB0C06" w:rsidRPr="006D1DDF" w:rsidRDefault="00CB0C06" w:rsidP="00982257">
      <w:pPr>
        <w:pStyle w:val="ListParagraph"/>
        <w:rPr>
          <w:lang w:val="en-GB"/>
        </w:rPr>
      </w:pPr>
      <w:r w:rsidRPr="006D1DDF">
        <w:rPr>
          <w:lang w:val="en-GB"/>
        </w:rPr>
        <w:t xml:space="preserve">The claim made by the submission that ibrutinib was superior to rituximab plus chlorambucil was not supported. The submission did not provide direct evidence between ibrutinib and rituximab plus chlorambucil. The claim assumes that ofatumumab monotherapy is equivalent in effectiveness to the combination of rituximab plus chlorambucil. ESC considered that </w:t>
      </w:r>
      <w:r w:rsidRPr="006D1DDF">
        <w:rPr>
          <w:szCs w:val="22"/>
          <w:lang w:val="en-GB"/>
        </w:rPr>
        <w:t>the comparison of ibrutinib vs. ofatumumab was likely to have overestimated the benefit of ibrutinib over the combination of rituximab plus chlorambucil (to an unknown degree) given that the addition of immunochemotherapy is generally more effective than anti-CD20 monotherapy for individual</w:t>
      </w:r>
      <w:r w:rsidR="00810BF8">
        <w:rPr>
          <w:szCs w:val="22"/>
          <w:lang w:val="en-GB"/>
        </w:rPr>
        <w:t>s with relapsed/refractory CLL.</w:t>
      </w:r>
    </w:p>
    <w:p w:rsidR="00CB0C06" w:rsidRPr="006D1DDF" w:rsidRDefault="00CB0C06" w:rsidP="00982257">
      <w:pPr>
        <w:pStyle w:val="ListParagraph"/>
        <w:rPr>
          <w:lang w:val="en-GB"/>
        </w:rPr>
      </w:pPr>
    </w:p>
    <w:p w:rsidR="00CB0C06" w:rsidRPr="006D1DDF" w:rsidRDefault="00CB0C06" w:rsidP="00805185">
      <w:pPr>
        <w:pStyle w:val="ListParagraph"/>
        <w:widowControl/>
        <w:numPr>
          <w:ilvl w:val="1"/>
          <w:numId w:val="7"/>
        </w:numPr>
        <w:rPr>
          <w:szCs w:val="22"/>
          <w:lang w:val="en-GB"/>
        </w:rPr>
      </w:pPr>
      <w:r w:rsidRPr="006D1DDF">
        <w:rPr>
          <w:szCs w:val="22"/>
          <w:lang w:val="en-GB"/>
        </w:rPr>
        <w:lastRenderedPageBreak/>
        <w:t>The submission provided a naïve comparison of the toxicity of ofatumumab from the RESONATE trial (median follow-up: 9.4 months) and study by Hillmen (2014). This latter study provided safety outcomes of a first-line study of patients treated with rituximab plus chlorambucil with a median follow-up of 30 months.</w:t>
      </w:r>
    </w:p>
    <w:p w:rsidR="00CB0C06" w:rsidRPr="006D1DDF" w:rsidRDefault="00CB0C06" w:rsidP="00B60939">
      <w:pPr>
        <w:ind w:left="720" w:hanging="720"/>
        <w:rPr>
          <w:i/>
          <w:szCs w:val="22"/>
          <w:lang w:val="en-GB"/>
        </w:rPr>
      </w:pPr>
    </w:p>
    <w:p w:rsidR="00CB0C06" w:rsidRPr="006D1DDF" w:rsidRDefault="00CB0C06" w:rsidP="00544037">
      <w:pPr>
        <w:pStyle w:val="Heading2"/>
        <w:keepNext/>
        <w:widowControl/>
        <w:rPr>
          <w:i/>
          <w:lang w:val="en-GB"/>
        </w:rPr>
      </w:pPr>
      <w:bookmarkStart w:id="15" w:name="_Toc419724914"/>
      <w:r w:rsidRPr="006D1DDF">
        <w:rPr>
          <w:i/>
          <w:lang w:val="en-GB"/>
        </w:rPr>
        <w:t>Economic analysis</w:t>
      </w:r>
      <w:bookmarkEnd w:id="15"/>
      <w:r w:rsidRPr="006D1DDF">
        <w:rPr>
          <w:i/>
          <w:lang w:val="en-GB"/>
        </w:rPr>
        <w:t xml:space="preserve"> </w:t>
      </w:r>
    </w:p>
    <w:p w:rsidR="00CB0C06" w:rsidRPr="006D1DDF" w:rsidRDefault="00CB0C06" w:rsidP="00544037">
      <w:pPr>
        <w:keepNext/>
        <w:widowControl/>
        <w:ind w:left="720" w:hanging="720"/>
        <w:rPr>
          <w:szCs w:val="22"/>
          <w:lang w:val="en-GB"/>
        </w:rPr>
      </w:pPr>
    </w:p>
    <w:p w:rsidR="00CB0C06" w:rsidRPr="006D1DDF" w:rsidRDefault="00CB0C06" w:rsidP="00A26E51">
      <w:pPr>
        <w:pStyle w:val="ListParagraph"/>
        <w:keepNext/>
        <w:widowControl/>
        <w:numPr>
          <w:ilvl w:val="1"/>
          <w:numId w:val="7"/>
        </w:numPr>
        <w:rPr>
          <w:szCs w:val="22"/>
          <w:lang w:val="en-GB"/>
        </w:rPr>
      </w:pPr>
      <w:r w:rsidRPr="006D1DDF">
        <w:rPr>
          <w:szCs w:val="22"/>
          <w:lang w:val="en-GB"/>
        </w:rPr>
        <w:t>The submission presented a stepped economic evaluation (cost-utility analysis) for the comparison of ibrutinib with rituximab plus chlorambucil (Table 6). The submission used the longer-term ad-hoc data from the RESONATE trial to estimate progression free survival and overall survival in the economic model.</w:t>
      </w:r>
    </w:p>
    <w:p w:rsidR="00CB0C06" w:rsidRPr="006D1DDF" w:rsidRDefault="00CB0C06" w:rsidP="00544037">
      <w:pPr>
        <w:keepNext/>
        <w:widowControl/>
        <w:rPr>
          <w:szCs w:val="22"/>
          <w:lang w:val="en-GB"/>
        </w:rPr>
      </w:pPr>
    </w:p>
    <w:p w:rsidR="00CB0C06" w:rsidRPr="006D1DDF" w:rsidRDefault="00CB0C06" w:rsidP="00883F04">
      <w:pPr>
        <w:keepNext/>
        <w:widowControl/>
        <w:ind w:firstLine="720"/>
        <w:rPr>
          <w:rStyle w:val="CommentReference"/>
          <w:rFonts w:cs="Arial"/>
          <w:sz w:val="20"/>
          <w:szCs w:val="16"/>
          <w:lang w:val="en-GB"/>
        </w:rPr>
      </w:pPr>
      <w:r w:rsidRPr="006D1DDF">
        <w:rPr>
          <w:rStyle w:val="CommentReference"/>
          <w:rFonts w:cs="Arial"/>
          <w:sz w:val="20"/>
          <w:szCs w:val="16"/>
          <w:lang w:val="en-GB"/>
        </w:rPr>
        <w:t xml:space="preserve">Table </w:t>
      </w:r>
      <w:r w:rsidRPr="006D1DDF">
        <w:rPr>
          <w:rStyle w:val="CommentReference"/>
          <w:rFonts w:cs="Arial"/>
          <w:i/>
          <w:sz w:val="20"/>
          <w:szCs w:val="16"/>
          <w:lang w:val="en-GB"/>
        </w:rPr>
        <w:t>6</w:t>
      </w:r>
      <w:r w:rsidRPr="006D1DDF">
        <w:rPr>
          <w:rStyle w:val="CommentReference"/>
          <w:rFonts w:cs="Arial"/>
          <w:sz w:val="20"/>
          <w:szCs w:val="16"/>
          <w:lang w:val="en-GB"/>
        </w:rPr>
        <w:t>: Summary of model structure and rationale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4"/>
      </w:tblGrid>
      <w:tr w:rsidR="00CB0C06" w:rsidRPr="006D1DDF" w:rsidTr="00883F04">
        <w:trPr>
          <w:cantSplit/>
          <w:trHeight w:val="240"/>
        </w:trPr>
        <w:tc>
          <w:tcPr>
            <w:tcW w:w="2552" w:type="dxa"/>
          </w:tcPr>
          <w:p w:rsidR="00CB0C06" w:rsidRPr="006D1DDF" w:rsidRDefault="00CB0C06" w:rsidP="00883F04">
            <w:pPr>
              <w:pStyle w:val="Tabletext"/>
              <w:keepNext/>
              <w:rPr>
                <w:lang w:val="en-GB"/>
              </w:rPr>
            </w:pPr>
            <w:r w:rsidRPr="006D1DDF">
              <w:rPr>
                <w:lang w:val="en-GB"/>
              </w:rPr>
              <w:t>Time horizon</w:t>
            </w:r>
          </w:p>
        </w:tc>
        <w:tc>
          <w:tcPr>
            <w:tcW w:w="5794" w:type="dxa"/>
          </w:tcPr>
          <w:p w:rsidR="00CB0C06" w:rsidRPr="006D1DDF" w:rsidRDefault="00CB0C06" w:rsidP="00544037">
            <w:pPr>
              <w:pStyle w:val="Tabletext"/>
              <w:keepNext/>
              <w:rPr>
                <w:lang w:val="en-GB"/>
              </w:rPr>
            </w:pPr>
            <w:r w:rsidRPr="006D1DDF">
              <w:rPr>
                <w:lang w:val="en-GB"/>
              </w:rPr>
              <w:t>20 years in the model base case vs. a medi</w:t>
            </w:r>
            <w:r w:rsidR="005C22D4">
              <w:rPr>
                <w:lang w:val="en-GB"/>
              </w:rPr>
              <w:t>an duration of follow-up of 9.4 </w:t>
            </w:r>
            <w:r w:rsidRPr="006D1DDF">
              <w:rPr>
                <w:lang w:val="en-GB"/>
              </w:rPr>
              <w:t>months at the interim analysis.</w:t>
            </w:r>
          </w:p>
        </w:tc>
      </w:tr>
      <w:tr w:rsidR="00CB0C06" w:rsidRPr="006D1DDF" w:rsidTr="00883F04">
        <w:trPr>
          <w:cantSplit/>
          <w:trHeight w:val="206"/>
        </w:trPr>
        <w:tc>
          <w:tcPr>
            <w:tcW w:w="2552" w:type="dxa"/>
          </w:tcPr>
          <w:p w:rsidR="00CB0C06" w:rsidRPr="006D1DDF" w:rsidRDefault="00CB0C06" w:rsidP="00883F04">
            <w:pPr>
              <w:pStyle w:val="Tabletext"/>
              <w:keepNext/>
              <w:rPr>
                <w:lang w:val="en-GB"/>
              </w:rPr>
            </w:pPr>
            <w:r w:rsidRPr="006D1DDF">
              <w:rPr>
                <w:lang w:val="en-GB"/>
              </w:rPr>
              <w:t>Outcomes</w:t>
            </w:r>
          </w:p>
        </w:tc>
        <w:tc>
          <w:tcPr>
            <w:tcW w:w="5794" w:type="dxa"/>
          </w:tcPr>
          <w:p w:rsidR="00CB0C06" w:rsidRPr="006D1DDF" w:rsidRDefault="00CB0C06" w:rsidP="00883F04">
            <w:pPr>
              <w:pStyle w:val="Tabletext"/>
              <w:keepNext/>
              <w:rPr>
                <w:lang w:val="en-GB"/>
              </w:rPr>
            </w:pPr>
            <w:r w:rsidRPr="006D1DDF">
              <w:rPr>
                <w:lang w:val="en-GB"/>
              </w:rPr>
              <w:t>LYG and QALYs</w:t>
            </w:r>
          </w:p>
        </w:tc>
      </w:tr>
      <w:tr w:rsidR="00CB0C06" w:rsidRPr="006D1DDF" w:rsidTr="00883F04">
        <w:trPr>
          <w:cantSplit/>
          <w:trHeight w:val="453"/>
        </w:trPr>
        <w:tc>
          <w:tcPr>
            <w:tcW w:w="2552" w:type="dxa"/>
          </w:tcPr>
          <w:p w:rsidR="00CB0C06" w:rsidRPr="006D1DDF" w:rsidRDefault="00CB0C06" w:rsidP="00883F04">
            <w:pPr>
              <w:pStyle w:val="Tabletext"/>
              <w:keepNext/>
              <w:rPr>
                <w:lang w:val="en-GB"/>
              </w:rPr>
            </w:pPr>
            <w:r w:rsidRPr="006D1DDF">
              <w:rPr>
                <w:lang w:val="en-GB"/>
              </w:rPr>
              <w:t>Methods used to generate results</w:t>
            </w:r>
          </w:p>
        </w:tc>
        <w:tc>
          <w:tcPr>
            <w:tcW w:w="5794" w:type="dxa"/>
          </w:tcPr>
          <w:p w:rsidR="00CB0C06" w:rsidRPr="006D1DDF" w:rsidRDefault="00CB0C06" w:rsidP="00883F04">
            <w:pPr>
              <w:pStyle w:val="Tabletext"/>
              <w:keepNext/>
              <w:rPr>
                <w:lang w:val="en-GB"/>
              </w:rPr>
            </w:pPr>
            <w:r w:rsidRPr="006D1DDF">
              <w:rPr>
                <w:lang w:val="en-GB"/>
              </w:rPr>
              <w:t>Trial based; Markov model; cohort expected value analysis; deterministic sensitivity analysis</w:t>
            </w:r>
          </w:p>
        </w:tc>
      </w:tr>
      <w:tr w:rsidR="00CB0C06" w:rsidRPr="006D1DDF" w:rsidTr="00883F04">
        <w:trPr>
          <w:cantSplit/>
          <w:trHeight w:val="225"/>
        </w:trPr>
        <w:tc>
          <w:tcPr>
            <w:tcW w:w="2552" w:type="dxa"/>
          </w:tcPr>
          <w:p w:rsidR="00CB0C06" w:rsidRPr="006D1DDF" w:rsidRDefault="00CB0C06" w:rsidP="00883F04">
            <w:pPr>
              <w:pStyle w:val="Tabletext"/>
              <w:keepNext/>
              <w:rPr>
                <w:lang w:val="en-GB"/>
              </w:rPr>
            </w:pPr>
            <w:r w:rsidRPr="006D1DDF">
              <w:rPr>
                <w:lang w:val="en-GB"/>
              </w:rPr>
              <w:t>Health states</w:t>
            </w:r>
          </w:p>
        </w:tc>
        <w:tc>
          <w:tcPr>
            <w:tcW w:w="5794" w:type="dxa"/>
          </w:tcPr>
          <w:p w:rsidR="00CB0C06" w:rsidRPr="006D1DDF" w:rsidRDefault="00CB0C06" w:rsidP="00883F04">
            <w:pPr>
              <w:pStyle w:val="Tabletext"/>
              <w:keepNext/>
              <w:rPr>
                <w:lang w:val="en-GB"/>
              </w:rPr>
            </w:pPr>
            <w:r w:rsidRPr="006D1DDF">
              <w:rPr>
                <w:lang w:val="en-GB"/>
              </w:rPr>
              <w:t>Alive with progression free disease; alive with progressed disease; dead</w:t>
            </w:r>
          </w:p>
        </w:tc>
      </w:tr>
      <w:tr w:rsidR="00CB0C06" w:rsidRPr="006D1DDF" w:rsidTr="00883F04">
        <w:trPr>
          <w:cantSplit/>
          <w:trHeight w:val="225"/>
        </w:trPr>
        <w:tc>
          <w:tcPr>
            <w:tcW w:w="2552" w:type="dxa"/>
          </w:tcPr>
          <w:p w:rsidR="00CB0C06" w:rsidRPr="006D1DDF" w:rsidRDefault="00CB0C06" w:rsidP="00883F04">
            <w:pPr>
              <w:pStyle w:val="Tabletext"/>
              <w:keepNext/>
              <w:rPr>
                <w:lang w:val="en-GB"/>
              </w:rPr>
            </w:pPr>
            <w:r w:rsidRPr="006D1DDF">
              <w:rPr>
                <w:lang w:val="en-GB"/>
              </w:rPr>
              <w:t>Cycle length</w:t>
            </w:r>
          </w:p>
        </w:tc>
        <w:tc>
          <w:tcPr>
            <w:tcW w:w="5794" w:type="dxa"/>
          </w:tcPr>
          <w:p w:rsidR="00CB0C06" w:rsidRPr="006D1DDF" w:rsidRDefault="00CB0C06" w:rsidP="00883F04">
            <w:pPr>
              <w:pStyle w:val="Tabletext"/>
              <w:keepNext/>
              <w:rPr>
                <w:lang w:val="en-GB"/>
              </w:rPr>
            </w:pPr>
            <w:r w:rsidRPr="006D1DDF">
              <w:rPr>
                <w:lang w:val="en-GB"/>
              </w:rPr>
              <w:t>30 days</w:t>
            </w:r>
          </w:p>
        </w:tc>
      </w:tr>
      <w:tr w:rsidR="00CB0C06" w:rsidRPr="006D1DDF" w:rsidTr="00883F04">
        <w:trPr>
          <w:cantSplit/>
          <w:trHeight w:val="261"/>
        </w:trPr>
        <w:tc>
          <w:tcPr>
            <w:tcW w:w="2552" w:type="dxa"/>
          </w:tcPr>
          <w:p w:rsidR="00CB0C06" w:rsidRPr="006D1DDF" w:rsidRDefault="00CB0C06" w:rsidP="00883F04">
            <w:pPr>
              <w:pStyle w:val="Tabletext"/>
              <w:keepNext/>
              <w:rPr>
                <w:lang w:val="en-GB"/>
              </w:rPr>
            </w:pPr>
            <w:r w:rsidRPr="006D1DDF">
              <w:rPr>
                <w:lang w:val="en-GB"/>
              </w:rPr>
              <w:t>Transition probabilities</w:t>
            </w:r>
          </w:p>
        </w:tc>
        <w:tc>
          <w:tcPr>
            <w:tcW w:w="5794" w:type="dxa"/>
          </w:tcPr>
          <w:p w:rsidR="00CB0C06" w:rsidRPr="006D1DDF" w:rsidRDefault="00CB0C06" w:rsidP="00883F04">
            <w:pPr>
              <w:pStyle w:val="Tabletext"/>
              <w:keepNext/>
              <w:rPr>
                <w:lang w:val="en-GB"/>
              </w:rPr>
            </w:pPr>
            <w:r w:rsidRPr="006D1DDF">
              <w:rPr>
                <w:lang w:val="en-GB"/>
              </w:rPr>
              <w:t>Based on Kaplan-Meier curves for progression free survival and overall survival and extrapolation of these curves. The KM curves were from the longer term follow-up where a large proportion of the ofatumumab patients had crossed over to ibrutinib. The submission assumed convergence of overall survival, starting after 2 years, with full convergence at 25 years. The convergence was incorrectly calculated in the economic model. This was updated during evaluation.</w:t>
            </w:r>
          </w:p>
        </w:tc>
      </w:tr>
    </w:tbl>
    <w:p w:rsidR="00CB0C06" w:rsidRPr="006D1DDF" w:rsidRDefault="00CB0C06" w:rsidP="00883F04">
      <w:pPr>
        <w:pStyle w:val="TableFooter"/>
        <w:keepNext/>
        <w:widowControl/>
        <w:ind w:firstLine="720"/>
        <w:rPr>
          <w:lang w:val="en-GB"/>
        </w:rPr>
      </w:pPr>
      <w:r w:rsidRPr="006D1DDF">
        <w:rPr>
          <w:lang w:val="en-GB"/>
        </w:rPr>
        <w:t>Source: compiled during the evaluation</w:t>
      </w:r>
    </w:p>
    <w:p w:rsidR="00CB0C06" w:rsidRPr="00731C0E" w:rsidRDefault="00CB0C06" w:rsidP="00731C0E">
      <w:pPr>
        <w:pStyle w:val="TableFooter"/>
        <w:keepNext/>
        <w:widowControl/>
        <w:ind w:firstLine="720"/>
        <w:rPr>
          <w:lang w:val="en-GB"/>
        </w:rPr>
      </w:pPr>
      <w:r w:rsidRPr="006D1DDF">
        <w:rPr>
          <w:lang w:val="en-GB"/>
        </w:rPr>
        <w:t xml:space="preserve">LYG = life years gained; QALYs = quality-adjusted life years </w:t>
      </w:r>
    </w:p>
    <w:p w:rsidR="00CB0C06" w:rsidRPr="006D1DDF" w:rsidRDefault="00CB0C06" w:rsidP="00275C5A">
      <w:pPr>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The time horizon and the model structure were the key drivers of the model, and appeared to favour ibrutinib (Table 7). The modelling structure assumption that convergence would occur at 25 years was not consistent with the PBAC’s previous preference for convergence at 10 years for rituximab plus chemotherapy (November</w:t>
      </w:r>
      <w:r w:rsidR="00397BE3">
        <w:rPr>
          <w:lang w:val="en-GB"/>
        </w:rPr>
        <w:t> </w:t>
      </w:r>
      <w:r w:rsidRPr="006D1DDF">
        <w:rPr>
          <w:lang w:val="en-GB"/>
        </w:rPr>
        <w:t>2010). The assumption of a continuing treatment effect, although diminishing over time, was not justified.</w:t>
      </w:r>
    </w:p>
    <w:p w:rsidR="00CB0C06" w:rsidRPr="006D1DDF" w:rsidRDefault="00CB0C06" w:rsidP="00275C5A">
      <w:pPr>
        <w:widowControl/>
        <w:rPr>
          <w:szCs w:val="22"/>
          <w:lang w:val="en-GB"/>
        </w:rPr>
      </w:pPr>
    </w:p>
    <w:p w:rsidR="00CB0C06" w:rsidRPr="006D1DDF" w:rsidRDefault="00CB0C06" w:rsidP="005D044D">
      <w:pPr>
        <w:ind w:firstLine="720"/>
        <w:rPr>
          <w:rStyle w:val="CommentReference"/>
          <w:rFonts w:cs="Arial"/>
          <w:sz w:val="20"/>
          <w:szCs w:val="16"/>
          <w:lang w:val="en-GB"/>
        </w:rPr>
      </w:pPr>
      <w:r w:rsidRPr="006D1DDF">
        <w:rPr>
          <w:rStyle w:val="CommentReference"/>
          <w:rFonts w:cs="Arial"/>
          <w:sz w:val="20"/>
          <w:szCs w:val="16"/>
          <w:lang w:val="en-GB"/>
        </w:rPr>
        <w:t xml:space="preserve">Table </w:t>
      </w:r>
      <w:r w:rsidRPr="006D1DDF">
        <w:rPr>
          <w:rStyle w:val="CommentReference"/>
          <w:rFonts w:cs="Arial"/>
          <w:i/>
          <w:sz w:val="20"/>
          <w:szCs w:val="16"/>
          <w:lang w:val="en-GB"/>
        </w:rPr>
        <w:t>7</w:t>
      </w:r>
      <w:r w:rsidRPr="006D1DDF">
        <w:rPr>
          <w:rStyle w:val="CommentReference"/>
          <w:rFonts w:cs="Arial"/>
          <w:sz w:val="20"/>
          <w:szCs w:val="16"/>
          <w:lang w:val="en-GB"/>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9"/>
        <w:gridCol w:w="4536"/>
        <w:gridCol w:w="2250"/>
      </w:tblGrid>
      <w:tr w:rsidR="00CB0C06" w:rsidRPr="006D1DDF" w:rsidTr="00B744C0">
        <w:trPr>
          <w:tblHeader/>
        </w:trPr>
        <w:tc>
          <w:tcPr>
            <w:tcW w:w="934" w:type="pct"/>
            <w:vAlign w:val="center"/>
          </w:tcPr>
          <w:p w:rsidR="00CB0C06" w:rsidRPr="006D1DDF" w:rsidRDefault="00CB0C06" w:rsidP="00D110BD">
            <w:pPr>
              <w:jc w:val="left"/>
              <w:rPr>
                <w:rFonts w:ascii="Arial Narrow" w:hAnsi="Arial Narrow"/>
                <w:b/>
                <w:sz w:val="20"/>
                <w:lang w:val="en-GB"/>
              </w:rPr>
            </w:pPr>
            <w:r w:rsidRPr="006D1DDF">
              <w:rPr>
                <w:rFonts w:ascii="Arial Narrow" w:hAnsi="Arial Narrow"/>
                <w:b/>
                <w:sz w:val="20"/>
                <w:lang w:val="en-GB"/>
              </w:rPr>
              <w:t>Description</w:t>
            </w:r>
          </w:p>
        </w:tc>
        <w:tc>
          <w:tcPr>
            <w:tcW w:w="2718" w:type="pct"/>
            <w:vAlign w:val="center"/>
          </w:tcPr>
          <w:p w:rsidR="00CB0C06" w:rsidRPr="006D1DDF" w:rsidRDefault="00CB0C06" w:rsidP="00D110BD">
            <w:pPr>
              <w:jc w:val="center"/>
              <w:rPr>
                <w:rFonts w:ascii="Arial Narrow" w:hAnsi="Arial Narrow"/>
                <w:b/>
                <w:sz w:val="20"/>
                <w:lang w:val="en-GB"/>
              </w:rPr>
            </w:pPr>
            <w:r w:rsidRPr="006D1DDF">
              <w:rPr>
                <w:rFonts w:ascii="Arial Narrow" w:hAnsi="Arial Narrow"/>
                <w:b/>
                <w:sz w:val="20"/>
                <w:lang w:val="en-GB"/>
              </w:rPr>
              <w:t>Method/Value</w:t>
            </w:r>
          </w:p>
        </w:tc>
        <w:tc>
          <w:tcPr>
            <w:tcW w:w="1348" w:type="pct"/>
            <w:vAlign w:val="center"/>
          </w:tcPr>
          <w:p w:rsidR="00CB0C06" w:rsidRPr="006D1DDF" w:rsidRDefault="00CB0C06" w:rsidP="00D110BD">
            <w:pPr>
              <w:jc w:val="center"/>
              <w:rPr>
                <w:rFonts w:ascii="Arial Narrow" w:hAnsi="Arial Narrow"/>
                <w:b/>
                <w:sz w:val="20"/>
                <w:lang w:val="en-GB"/>
              </w:rPr>
            </w:pPr>
            <w:r w:rsidRPr="006D1DDF">
              <w:rPr>
                <w:rFonts w:ascii="Arial Narrow" w:hAnsi="Arial Narrow"/>
                <w:b/>
                <w:sz w:val="20"/>
                <w:lang w:val="en-GB"/>
              </w:rPr>
              <w:t>Impact</w:t>
            </w:r>
          </w:p>
        </w:tc>
      </w:tr>
      <w:tr w:rsidR="00CB0C06" w:rsidRPr="006D1DDF" w:rsidTr="00B744C0">
        <w:tc>
          <w:tcPr>
            <w:tcW w:w="934" w:type="pct"/>
            <w:vAlign w:val="center"/>
          </w:tcPr>
          <w:p w:rsidR="00CB0C06" w:rsidRPr="006D1DDF" w:rsidRDefault="00CB0C06" w:rsidP="00D110BD">
            <w:pPr>
              <w:jc w:val="left"/>
              <w:rPr>
                <w:rFonts w:ascii="Arial Narrow" w:hAnsi="Arial Narrow"/>
                <w:sz w:val="20"/>
                <w:lang w:val="en-GB"/>
              </w:rPr>
            </w:pPr>
            <w:r w:rsidRPr="006D1DDF">
              <w:rPr>
                <w:rFonts w:ascii="Arial Narrow" w:hAnsi="Arial Narrow"/>
                <w:sz w:val="20"/>
                <w:lang w:val="en-GB"/>
              </w:rPr>
              <w:t>Efficacy Rit + Chl</w:t>
            </w:r>
          </w:p>
        </w:tc>
        <w:tc>
          <w:tcPr>
            <w:tcW w:w="2718" w:type="pct"/>
            <w:vAlign w:val="center"/>
          </w:tcPr>
          <w:p w:rsidR="00CB0C06" w:rsidRPr="006D1DDF" w:rsidRDefault="00CB0C06" w:rsidP="00024E20">
            <w:pPr>
              <w:jc w:val="left"/>
              <w:rPr>
                <w:rFonts w:ascii="Arial Narrow" w:hAnsi="Arial Narrow"/>
                <w:sz w:val="20"/>
                <w:lang w:val="en-GB"/>
              </w:rPr>
            </w:pPr>
            <w:r w:rsidRPr="006D1DDF">
              <w:rPr>
                <w:rFonts w:ascii="Arial Narrow" w:hAnsi="Arial Narrow"/>
                <w:sz w:val="20"/>
                <w:lang w:val="en-GB"/>
              </w:rPr>
              <w:t xml:space="preserve">Assumed that ofatumumab from RESONATE would be the same as rituximab plus chlorambucil. </w:t>
            </w:r>
          </w:p>
        </w:tc>
        <w:tc>
          <w:tcPr>
            <w:tcW w:w="1348" w:type="pct"/>
            <w:vAlign w:val="center"/>
          </w:tcPr>
          <w:p w:rsidR="00CB0C06" w:rsidRPr="006D1DDF" w:rsidRDefault="00CB0C06" w:rsidP="00E57AB7">
            <w:pPr>
              <w:jc w:val="left"/>
              <w:rPr>
                <w:rFonts w:ascii="Arial Narrow" w:hAnsi="Arial Narrow"/>
                <w:sz w:val="20"/>
                <w:lang w:val="en-GB"/>
              </w:rPr>
            </w:pPr>
            <w:r w:rsidRPr="006D1DDF">
              <w:rPr>
                <w:rFonts w:ascii="Arial Narrow" w:hAnsi="Arial Narrow"/>
                <w:sz w:val="20"/>
                <w:lang w:val="en-GB"/>
              </w:rPr>
              <w:t>Unclear, favoured ibrutinib</w:t>
            </w:r>
          </w:p>
        </w:tc>
      </w:tr>
      <w:tr w:rsidR="00CB0C06" w:rsidRPr="006D1DDF" w:rsidTr="00B744C0">
        <w:tc>
          <w:tcPr>
            <w:tcW w:w="934" w:type="pct"/>
            <w:vAlign w:val="center"/>
          </w:tcPr>
          <w:p w:rsidR="00CB0C06" w:rsidRPr="006D1DDF" w:rsidRDefault="00CB0C06" w:rsidP="00D110BD">
            <w:pPr>
              <w:jc w:val="left"/>
              <w:rPr>
                <w:rFonts w:ascii="Arial Narrow" w:hAnsi="Arial Narrow"/>
                <w:sz w:val="20"/>
                <w:lang w:val="en-GB"/>
              </w:rPr>
            </w:pPr>
            <w:r w:rsidRPr="006D1DDF">
              <w:rPr>
                <w:rFonts w:ascii="Arial Narrow" w:hAnsi="Arial Narrow"/>
                <w:sz w:val="20"/>
                <w:lang w:val="en-GB"/>
              </w:rPr>
              <w:t>Time horizon</w:t>
            </w:r>
          </w:p>
        </w:tc>
        <w:tc>
          <w:tcPr>
            <w:tcW w:w="2718" w:type="pct"/>
            <w:vAlign w:val="center"/>
          </w:tcPr>
          <w:p w:rsidR="00CB0C06" w:rsidRPr="006D1DDF" w:rsidRDefault="00CB0C06" w:rsidP="00CB7968">
            <w:pPr>
              <w:jc w:val="left"/>
              <w:rPr>
                <w:rFonts w:ascii="Arial Narrow" w:hAnsi="Arial Narrow"/>
                <w:sz w:val="20"/>
                <w:lang w:val="en-GB"/>
              </w:rPr>
            </w:pPr>
            <w:r w:rsidRPr="006D1DDF">
              <w:rPr>
                <w:rFonts w:ascii="Arial Narrow" w:hAnsi="Arial Narrow"/>
                <w:sz w:val="20"/>
                <w:lang w:val="en-GB"/>
              </w:rPr>
              <w:t xml:space="preserve">20 years; assumed from mean </w:t>
            </w:r>
            <w:r w:rsidR="0056677C">
              <w:rPr>
                <w:rFonts w:ascii="Arial Narrow" w:hAnsi="Arial Narrow"/>
                <w:noProof/>
                <w:color w:val="000000"/>
                <w:sz w:val="20"/>
                <w:highlight w:val="black"/>
                <w:lang w:val="en-GB"/>
              </w:rPr>
              <w:t>'''''''''''</w:t>
            </w:r>
            <w:r w:rsidRPr="006D1DDF">
              <w:rPr>
                <w:rFonts w:ascii="Arial Narrow" w:hAnsi="Arial Narrow"/>
                <w:sz w:val="20"/>
                <w:lang w:val="en-GB"/>
              </w:rPr>
              <w:t xml:space="preserve"> months trial duration</w:t>
            </w:r>
          </w:p>
        </w:tc>
        <w:tc>
          <w:tcPr>
            <w:tcW w:w="1348" w:type="pct"/>
            <w:vAlign w:val="center"/>
          </w:tcPr>
          <w:p w:rsidR="00CB0C06" w:rsidRPr="006D1DDF" w:rsidRDefault="00CB0C06" w:rsidP="00E57AB7">
            <w:pPr>
              <w:jc w:val="left"/>
              <w:rPr>
                <w:rFonts w:ascii="Arial Narrow" w:hAnsi="Arial Narrow"/>
                <w:sz w:val="20"/>
                <w:lang w:val="en-GB"/>
              </w:rPr>
            </w:pPr>
            <w:r w:rsidRPr="006D1DDF">
              <w:rPr>
                <w:rFonts w:ascii="Arial Narrow" w:hAnsi="Arial Narrow"/>
                <w:sz w:val="20"/>
                <w:lang w:val="en-GB"/>
              </w:rPr>
              <w:t>High; favoured ibrutinib</w:t>
            </w:r>
          </w:p>
        </w:tc>
      </w:tr>
      <w:tr w:rsidR="00CB0C06" w:rsidRPr="006D1DDF" w:rsidTr="0030136A">
        <w:trPr>
          <w:trHeight w:val="233"/>
        </w:trPr>
        <w:tc>
          <w:tcPr>
            <w:tcW w:w="934" w:type="pct"/>
            <w:vMerge w:val="restart"/>
            <w:vAlign w:val="center"/>
          </w:tcPr>
          <w:p w:rsidR="00CB0C06" w:rsidRPr="006D1DDF" w:rsidRDefault="00CB0C06" w:rsidP="00D110BD">
            <w:pPr>
              <w:jc w:val="left"/>
              <w:rPr>
                <w:rFonts w:ascii="Arial Narrow" w:hAnsi="Arial Narrow"/>
                <w:sz w:val="20"/>
                <w:lang w:val="en-GB"/>
              </w:rPr>
            </w:pPr>
            <w:r w:rsidRPr="006D1DDF">
              <w:rPr>
                <w:rFonts w:ascii="Arial Narrow" w:hAnsi="Arial Narrow"/>
                <w:sz w:val="20"/>
                <w:lang w:val="en-GB"/>
              </w:rPr>
              <w:t>Model structure</w:t>
            </w:r>
          </w:p>
        </w:tc>
        <w:tc>
          <w:tcPr>
            <w:tcW w:w="2718" w:type="pct"/>
            <w:vAlign w:val="center"/>
          </w:tcPr>
          <w:p w:rsidR="00CB0C06" w:rsidRPr="006D1DDF" w:rsidRDefault="00CB0C06" w:rsidP="00CB7968">
            <w:pPr>
              <w:jc w:val="left"/>
              <w:rPr>
                <w:rFonts w:ascii="Arial Narrow" w:hAnsi="Arial Narrow"/>
                <w:sz w:val="20"/>
                <w:lang w:val="en-GB"/>
              </w:rPr>
            </w:pPr>
            <w:r w:rsidRPr="006D1DDF">
              <w:rPr>
                <w:rFonts w:ascii="Arial Narrow" w:hAnsi="Arial Narrow"/>
                <w:sz w:val="20"/>
                <w:lang w:val="en-GB"/>
              </w:rPr>
              <w:t>25 year convergence of overall survival benefit of ibrutinib</w:t>
            </w:r>
          </w:p>
        </w:tc>
        <w:tc>
          <w:tcPr>
            <w:tcW w:w="1348" w:type="pct"/>
          </w:tcPr>
          <w:p w:rsidR="00CB0C06" w:rsidRPr="006D1DDF" w:rsidRDefault="00CB0C06" w:rsidP="00E57AB7">
            <w:pPr>
              <w:jc w:val="left"/>
              <w:rPr>
                <w:rFonts w:ascii="Arial Narrow" w:hAnsi="Arial Narrow"/>
                <w:sz w:val="20"/>
                <w:lang w:val="en-GB"/>
              </w:rPr>
            </w:pPr>
            <w:r w:rsidRPr="006D1DDF">
              <w:rPr>
                <w:rFonts w:ascii="Arial Narrow" w:hAnsi="Arial Narrow"/>
                <w:sz w:val="20"/>
                <w:lang w:val="en-GB"/>
              </w:rPr>
              <w:t>High; favoured ibrutinib</w:t>
            </w:r>
          </w:p>
        </w:tc>
      </w:tr>
      <w:tr w:rsidR="00CB0C06" w:rsidRPr="006D1DDF" w:rsidTr="00407A2A">
        <w:trPr>
          <w:trHeight w:val="455"/>
        </w:trPr>
        <w:tc>
          <w:tcPr>
            <w:tcW w:w="934" w:type="pct"/>
            <w:vMerge/>
            <w:vAlign w:val="center"/>
          </w:tcPr>
          <w:p w:rsidR="00CB0C06" w:rsidRPr="006D1DDF" w:rsidRDefault="00CB0C06" w:rsidP="00D110BD">
            <w:pPr>
              <w:jc w:val="left"/>
              <w:rPr>
                <w:rFonts w:ascii="Arial Narrow" w:hAnsi="Arial Narrow"/>
                <w:sz w:val="20"/>
                <w:lang w:val="en-GB"/>
              </w:rPr>
            </w:pPr>
          </w:p>
        </w:tc>
        <w:tc>
          <w:tcPr>
            <w:tcW w:w="2718" w:type="pct"/>
            <w:vAlign w:val="center"/>
          </w:tcPr>
          <w:p w:rsidR="00CB0C06" w:rsidRPr="006D1DDF" w:rsidRDefault="00CB0C06" w:rsidP="00CB7968">
            <w:pPr>
              <w:jc w:val="left"/>
              <w:rPr>
                <w:rFonts w:ascii="Arial Narrow" w:hAnsi="Arial Narrow"/>
                <w:sz w:val="20"/>
                <w:lang w:val="en-GB"/>
              </w:rPr>
            </w:pPr>
            <w:r w:rsidRPr="006D1DDF">
              <w:rPr>
                <w:rFonts w:ascii="Arial Narrow" w:hAnsi="Arial Narrow"/>
                <w:sz w:val="20"/>
                <w:lang w:val="en-GB"/>
              </w:rPr>
              <w:t xml:space="preserve">3-state model without additional lines of treatment or cost of living with progressed disease </w:t>
            </w:r>
          </w:p>
        </w:tc>
        <w:tc>
          <w:tcPr>
            <w:tcW w:w="1348" w:type="pct"/>
            <w:vAlign w:val="center"/>
          </w:tcPr>
          <w:p w:rsidR="00CB0C06" w:rsidRPr="006D1DDF" w:rsidRDefault="00CB0C06" w:rsidP="00D60B9C">
            <w:pPr>
              <w:jc w:val="left"/>
              <w:rPr>
                <w:rFonts w:ascii="Arial Narrow" w:hAnsi="Arial Narrow"/>
                <w:sz w:val="20"/>
                <w:lang w:val="en-GB"/>
              </w:rPr>
            </w:pPr>
            <w:r w:rsidRPr="006D1DDF">
              <w:rPr>
                <w:rFonts w:ascii="Arial Narrow" w:hAnsi="Arial Narrow"/>
                <w:sz w:val="20"/>
                <w:lang w:val="en-GB"/>
              </w:rPr>
              <w:t xml:space="preserve">Unclear </w:t>
            </w:r>
          </w:p>
        </w:tc>
      </w:tr>
      <w:tr w:rsidR="00CB0C06" w:rsidRPr="006D1DDF" w:rsidTr="00B744C0">
        <w:tc>
          <w:tcPr>
            <w:tcW w:w="934" w:type="pct"/>
            <w:vAlign w:val="center"/>
          </w:tcPr>
          <w:p w:rsidR="00CB0C06" w:rsidRPr="006D1DDF" w:rsidRDefault="00CB0C06" w:rsidP="00D110BD">
            <w:pPr>
              <w:jc w:val="left"/>
              <w:rPr>
                <w:rFonts w:ascii="Arial Narrow" w:hAnsi="Arial Narrow"/>
                <w:sz w:val="20"/>
                <w:lang w:val="en-GB"/>
              </w:rPr>
            </w:pPr>
            <w:r w:rsidRPr="006D1DDF">
              <w:rPr>
                <w:rFonts w:ascii="Arial Narrow" w:hAnsi="Arial Narrow"/>
                <w:sz w:val="20"/>
                <w:lang w:val="en-GB"/>
              </w:rPr>
              <w:t>Resource use/costs</w:t>
            </w:r>
          </w:p>
        </w:tc>
        <w:tc>
          <w:tcPr>
            <w:tcW w:w="2718" w:type="pct"/>
            <w:vAlign w:val="center"/>
          </w:tcPr>
          <w:p w:rsidR="00CB0C06" w:rsidRPr="006D1DDF" w:rsidRDefault="00CB0C06" w:rsidP="00CB7968">
            <w:pPr>
              <w:jc w:val="left"/>
              <w:rPr>
                <w:rFonts w:ascii="Arial Narrow" w:hAnsi="Arial Narrow"/>
                <w:sz w:val="20"/>
                <w:lang w:val="en-GB"/>
              </w:rPr>
            </w:pPr>
            <w:r w:rsidRPr="006D1DDF">
              <w:rPr>
                <w:rFonts w:ascii="Arial Narrow" w:hAnsi="Arial Narrow"/>
                <w:sz w:val="20"/>
                <w:lang w:val="en-GB"/>
              </w:rPr>
              <w:t>MBS and AR-DRG costs; trial-based</w:t>
            </w:r>
          </w:p>
        </w:tc>
        <w:tc>
          <w:tcPr>
            <w:tcW w:w="1348" w:type="pct"/>
            <w:vAlign w:val="center"/>
          </w:tcPr>
          <w:p w:rsidR="00CB0C06" w:rsidRPr="006D1DDF" w:rsidRDefault="00CB0C06" w:rsidP="00E57AB7">
            <w:pPr>
              <w:jc w:val="left"/>
              <w:rPr>
                <w:rFonts w:ascii="Arial Narrow" w:hAnsi="Arial Narrow"/>
                <w:sz w:val="20"/>
                <w:lang w:val="en-GB"/>
              </w:rPr>
            </w:pPr>
            <w:r w:rsidRPr="006D1DDF">
              <w:rPr>
                <w:rFonts w:ascii="Arial Narrow" w:hAnsi="Arial Narrow"/>
                <w:sz w:val="20"/>
                <w:lang w:val="en-GB"/>
              </w:rPr>
              <w:t>Low; favoured ibrutinib</w:t>
            </w:r>
          </w:p>
        </w:tc>
      </w:tr>
    </w:tbl>
    <w:p w:rsidR="00CB0C06" w:rsidRPr="006D1DDF" w:rsidRDefault="00CB0C06" w:rsidP="005D044D">
      <w:pPr>
        <w:pStyle w:val="TableFooter"/>
        <w:ind w:firstLine="720"/>
        <w:rPr>
          <w:lang w:val="en-GB"/>
        </w:rPr>
      </w:pPr>
      <w:r w:rsidRPr="006D1DDF">
        <w:rPr>
          <w:lang w:val="en-GB"/>
        </w:rPr>
        <w:t>Source: compiled during the evaluation</w:t>
      </w:r>
    </w:p>
    <w:p w:rsidR="00CB0C06" w:rsidRPr="006D1DDF" w:rsidRDefault="00CB0C06" w:rsidP="00CB7968">
      <w:pPr>
        <w:pStyle w:val="TableFooter"/>
        <w:ind w:left="709" w:firstLine="11"/>
        <w:rPr>
          <w:lang w:val="en-GB"/>
        </w:rPr>
      </w:pPr>
      <w:r w:rsidRPr="006D1DDF">
        <w:rPr>
          <w:lang w:val="en-GB"/>
        </w:rPr>
        <w:t>MBS = Medicare Benefits Schedule; AR-DRG = Australian refined diagnosis-related group; Rit + Chl = rituximab plus chlorambucil</w:t>
      </w:r>
    </w:p>
    <w:p w:rsidR="00CB0C06" w:rsidRPr="006D1DDF" w:rsidRDefault="00CB0C06" w:rsidP="00275C5A">
      <w:pPr>
        <w:widowControl/>
        <w:rPr>
          <w:szCs w:val="22"/>
          <w:lang w:val="en-GB"/>
        </w:rPr>
      </w:pPr>
    </w:p>
    <w:p w:rsidR="00CB0C06" w:rsidRPr="006D1DDF" w:rsidRDefault="00CB0C06" w:rsidP="00805185">
      <w:pPr>
        <w:pStyle w:val="ListParagraph"/>
        <w:widowControl/>
        <w:numPr>
          <w:ilvl w:val="1"/>
          <w:numId w:val="7"/>
        </w:numPr>
        <w:rPr>
          <w:szCs w:val="22"/>
          <w:lang w:val="en-GB"/>
        </w:rPr>
      </w:pPr>
      <w:r w:rsidRPr="006D1DDF">
        <w:rPr>
          <w:szCs w:val="22"/>
          <w:lang w:val="en-GB"/>
        </w:rPr>
        <w:t xml:space="preserve">The PSCR argued that the submission’s selection of a 20 year time horizon was supported by AIHW (2014) CLL survival data where 18.9% of patients are expected to survive after 20 years from diagnosis. The sponsor further argued that based on </w:t>
      </w:r>
      <w:r w:rsidRPr="006D1DDF">
        <w:rPr>
          <w:szCs w:val="22"/>
          <w:lang w:val="en-GB"/>
        </w:rPr>
        <w:lastRenderedPageBreak/>
        <w:t xml:space="preserve">the PBAC Guidelines the appropriate time horizon is lifetime and therefore a 20 year duration was a reasonable upper limit for the </w:t>
      </w:r>
      <w:r w:rsidR="00397BE3">
        <w:rPr>
          <w:szCs w:val="22"/>
          <w:lang w:val="en-GB"/>
        </w:rPr>
        <w:t>economic modelling (PSCR</w:t>
      </w:r>
      <w:r w:rsidRPr="006D1DDF">
        <w:rPr>
          <w:szCs w:val="22"/>
          <w:lang w:val="en-GB"/>
        </w:rPr>
        <w:t>). ESC did not agree with response and considered that the assumption of 20 years is not an appropriate time horizon for the intended PBS population. It was not in line with previous PBAC recommendations of a 10 year horizon for the CLL population involving older persons with other comorbidities. ESC noted that the CLL survival figures sourced from the AIHW included individuals who were untreated and unfit and therefore were not fully representative of the proposed PBS population.</w:t>
      </w:r>
    </w:p>
    <w:p w:rsidR="00CB0C06" w:rsidRPr="006D1DDF" w:rsidRDefault="00CB0C06" w:rsidP="00275C5A">
      <w:pPr>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The results of the economic evaluation are presented in Table 8. The model was corrected during evaluation for a mathematical error with regards to the convergence rate.</w:t>
      </w:r>
    </w:p>
    <w:p w:rsidR="00CB0C06" w:rsidRPr="006D1DDF" w:rsidRDefault="00CB0C06" w:rsidP="00D110BD">
      <w:pPr>
        <w:widowControl/>
        <w:rPr>
          <w:szCs w:val="22"/>
          <w:lang w:val="en-GB"/>
        </w:rPr>
      </w:pPr>
    </w:p>
    <w:p w:rsidR="00CB0C06" w:rsidRPr="006D1DDF" w:rsidRDefault="00CB0C06" w:rsidP="00544037">
      <w:pPr>
        <w:keepNext/>
        <w:widowControl/>
        <w:ind w:firstLine="720"/>
        <w:rPr>
          <w:rStyle w:val="CommentReference"/>
          <w:rFonts w:cs="Arial"/>
          <w:sz w:val="20"/>
          <w:szCs w:val="16"/>
          <w:vertAlign w:val="superscript"/>
          <w:lang w:val="en-GB"/>
        </w:rPr>
      </w:pPr>
      <w:r w:rsidRPr="00EC4A34">
        <w:rPr>
          <w:rStyle w:val="CommentReference"/>
          <w:rFonts w:cs="Arial"/>
          <w:sz w:val="20"/>
          <w:szCs w:val="16"/>
          <w:lang w:val="en-GB"/>
        </w:rPr>
        <w:t>Table 8:</w:t>
      </w:r>
      <w:r w:rsidRPr="006D1DDF">
        <w:rPr>
          <w:rStyle w:val="CommentReference"/>
          <w:rFonts w:cs="Arial"/>
          <w:sz w:val="20"/>
          <w:szCs w:val="16"/>
          <w:lang w:val="en-GB"/>
        </w:rPr>
        <w:t xml:space="preserve"> Results of the stepped economic evaluation </w:t>
      </w:r>
    </w:p>
    <w:tbl>
      <w:tblPr>
        <w:tblW w:w="838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22"/>
        <w:gridCol w:w="890"/>
        <w:gridCol w:w="2632"/>
        <w:gridCol w:w="2937"/>
      </w:tblGrid>
      <w:tr w:rsidR="00CB0C06" w:rsidRPr="006D1DDF" w:rsidTr="00544037">
        <w:trPr>
          <w:tblHeader/>
        </w:trPr>
        <w:tc>
          <w:tcPr>
            <w:tcW w:w="0" w:type="auto"/>
            <w:vAlign w:val="center"/>
          </w:tcPr>
          <w:p w:rsidR="00CB0C06" w:rsidRPr="006D1DDF" w:rsidRDefault="00CB0C06" w:rsidP="00544037">
            <w:pPr>
              <w:keepNext/>
              <w:widowControl/>
              <w:jc w:val="left"/>
              <w:rPr>
                <w:rFonts w:ascii="Arial Narrow" w:hAnsi="Arial Narrow" w:cs="Times New Roman"/>
                <w:b/>
                <w:sz w:val="20"/>
                <w:lang w:val="en-GB"/>
              </w:rPr>
            </w:pPr>
            <w:r w:rsidRPr="006D1DDF">
              <w:rPr>
                <w:rFonts w:ascii="Arial Narrow" w:hAnsi="Arial Narrow" w:cs="Times New Roman"/>
                <w:b/>
                <w:sz w:val="20"/>
                <w:lang w:val="en-GB"/>
              </w:rPr>
              <w:t>Step and component</w:t>
            </w:r>
          </w:p>
        </w:tc>
        <w:tc>
          <w:tcPr>
            <w:tcW w:w="0" w:type="auto"/>
          </w:tcPr>
          <w:p w:rsidR="00CB0C06" w:rsidRPr="006D1DDF" w:rsidRDefault="00CB0C06" w:rsidP="00544037">
            <w:pPr>
              <w:keepNext/>
              <w:widowControl/>
              <w:jc w:val="center"/>
              <w:rPr>
                <w:rFonts w:ascii="Arial Narrow" w:hAnsi="Arial Narrow" w:cs="Times New Roman"/>
                <w:b/>
                <w:sz w:val="20"/>
                <w:lang w:val="en-GB"/>
              </w:rPr>
            </w:pPr>
            <w:r w:rsidRPr="006D1DDF">
              <w:rPr>
                <w:rFonts w:ascii="Arial Narrow" w:hAnsi="Arial Narrow" w:cs="Times New Roman"/>
                <w:b/>
                <w:sz w:val="20"/>
                <w:lang w:val="en-GB"/>
              </w:rPr>
              <w:t>Ibrutinib</w:t>
            </w:r>
          </w:p>
        </w:tc>
        <w:tc>
          <w:tcPr>
            <w:tcW w:w="0" w:type="auto"/>
            <w:vAlign w:val="center"/>
          </w:tcPr>
          <w:p w:rsidR="00CB0C06" w:rsidRPr="006D1DDF" w:rsidRDefault="00CB0C06" w:rsidP="00544037">
            <w:pPr>
              <w:keepNext/>
              <w:widowControl/>
              <w:jc w:val="center"/>
              <w:rPr>
                <w:rFonts w:ascii="Arial Narrow" w:hAnsi="Arial Narrow" w:cs="Times New Roman"/>
                <w:b/>
                <w:sz w:val="20"/>
                <w:lang w:val="en-GB"/>
              </w:rPr>
            </w:pPr>
            <w:r w:rsidRPr="006D1DDF">
              <w:rPr>
                <w:rFonts w:ascii="Arial Narrow" w:hAnsi="Arial Narrow" w:cs="Times New Roman"/>
                <w:b/>
                <w:sz w:val="20"/>
                <w:lang w:val="en-GB"/>
              </w:rPr>
              <w:t>Rituximab plus chlorambucil</w:t>
            </w:r>
          </w:p>
        </w:tc>
        <w:tc>
          <w:tcPr>
            <w:tcW w:w="2564" w:type="dxa"/>
          </w:tcPr>
          <w:p w:rsidR="00CB0C06" w:rsidRPr="006D1DDF" w:rsidRDefault="00CB0C06" w:rsidP="00544037">
            <w:pPr>
              <w:keepNext/>
              <w:widowControl/>
              <w:jc w:val="center"/>
              <w:rPr>
                <w:rFonts w:ascii="Arial Narrow" w:hAnsi="Arial Narrow" w:cs="Times New Roman"/>
                <w:b/>
                <w:sz w:val="20"/>
                <w:lang w:val="en-GB"/>
              </w:rPr>
            </w:pPr>
            <w:r w:rsidRPr="006D1DDF">
              <w:rPr>
                <w:rFonts w:ascii="Arial Narrow" w:hAnsi="Arial Narrow" w:cs="Times New Roman"/>
                <w:b/>
                <w:sz w:val="20"/>
                <w:lang w:val="en-GB"/>
              </w:rPr>
              <w:t>Increment</w:t>
            </w:r>
          </w:p>
        </w:tc>
      </w:tr>
      <w:tr w:rsidR="00CB0C06" w:rsidRPr="006D1DDF" w:rsidTr="008F55C2">
        <w:tc>
          <w:tcPr>
            <w:tcW w:w="8381" w:type="dxa"/>
            <w:gridSpan w:val="4"/>
            <w:vAlign w:val="center"/>
          </w:tcPr>
          <w:p w:rsidR="00CB0C06" w:rsidRPr="006D1DDF" w:rsidRDefault="00CB0C06" w:rsidP="00544037">
            <w:pPr>
              <w:keepNext/>
              <w:widowControl/>
              <w:jc w:val="left"/>
              <w:rPr>
                <w:rFonts w:ascii="Arial Narrow" w:hAnsi="Arial Narrow" w:cs="Arial Narrow"/>
                <w:b/>
                <w:bCs/>
                <w:sz w:val="20"/>
                <w:lang w:val="en-GB"/>
              </w:rPr>
            </w:pPr>
            <w:r w:rsidRPr="006D1DDF">
              <w:rPr>
                <w:rFonts w:ascii="Arial Narrow" w:hAnsi="Arial Narrow" w:cs="Arial Narrow"/>
                <w:b/>
                <w:bCs/>
                <w:sz w:val="20"/>
                <w:lang w:val="en-GB"/>
              </w:rPr>
              <w:t>Step 1-2: trial-based economic evaluation (undiscounted)</w:t>
            </w:r>
          </w:p>
        </w:tc>
      </w:tr>
      <w:tr w:rsidR="00CB0C06" w:rsidRPr="006D1DDF" w:rsidTr="00544037">
        <w:tc>
          <w:tcPr>
            <w:tcW w:w="0" w:type="auto"/>
            <w:vAlign w:val="center"/>
          </w:tcPr>
          <w:p w:rsidR="00CB0C06" w:rsidRPr="006D1DDF" w:rsidRDefault="00CB0C06" w:rsidP="00544037">
            <w:pPr>
              <w:keepNext/>
              <w:widowControl/>
              <w:jc w:val="left"/>
              <w:rPr>
                <w:rFonts w:ascii="Arial Narrow" w:hAnsi="Arial Narrow" w:cs="Times New Roman"/>
                <w:sz w:val="20"/>
                <w:lang w:val="en-GB"/>
              </w:rPr>
            </w:pPr>
            <w:r w:rsidRPr="006D1DDF">
              <w:rPr>
                <w:rFonts w:ascii="Arial Narrow" w:hAnsi="Arial Narrow" w:cs="Times New Roman"/>
                <w:sz w:val="20"/>
                <w:lang w:val="en-GB"/>
              </w:rPr>
              <w:t xml:space="preserve">Cost </w:t>
            </w:r>
          </w:p>
        </w:tc>
        <w:tc>
          <w:tcPr>
            <w:tcW w:w="0" w:type="auto"/>
          </w:tcPr>
          <w:p w:rsidR="00CB0C06" w:rsidRPr="00C221F2" w:rsidRDefault="00CB0C06" w:rsidP="00544037">
            <w:pPr>
              <w:keepNext/>
              <w:widowControl/>
              <w:jc w:val="right"/>
              <w:rPr>
                <w:rFonts w:ascii="Arial Narrow" w:hAnsi="Arial Narrow" w:cs="Times New Roman"/>
                <w:sz w:val="20"/>
                <w:lang w:val="en-GB"/>
              </w:rPr>
            </w:pPr>
            <w:r w:rsidRPr="00C221F2">
              <w:rPr>
                <w:rFonts w:ascii="Arial Narrow" w:hAnsi="Arial Narrow" w:cs="Times New Roman"/>
                <w:sz w:val="20"/>
                <w:lang w:val="en-GB"/>
              </w:rPr>
              <w:t>$</w:t>
            </w:r>
            <w:r w:rsidR="0056677C">
              <w:rPr>
                <w:rFonts w:ascii="Arial Narrow" w:hAnsi="Arial Narrow" w:cs="Times New Roman"/>
                <w:noProof/>
                <w:color w:val="000000"/>
                <w:sz w:val="20"/>
                <w:highlight w:val="black"/>
                <w:lang w:val="en-GB"/>
              </w:rPr>
              <w:t>''''''''''''''''</w:t>
            </w:r>
          </w:p>
        </w:tc>
        <w:tc>
          <w:tcPr>
            <w:tcW w:w="0" w:type="auto"/>
            <w:vAlign w:val="center"/>
          </w:tcPr>
          <w:p w:rsidR="00CB0C06" w:rsidRPr="00C221F2" w:rsidRDefault="00CB0C06" w:rsidP="004C3FE9">
            <w:pPr>
              <w:keepNext/>
              <w:widowControl/>
              <w:jc w:val="center"/>
              <w:rPr>
                <w:rFonts w:ascii="Arial Narrow" w:hAnsi="Arial Narrow" w:cs="Times New Roman"/>
                <w:sz w:val="20"/>
                <w:lang w:val="en-GB"/>
              </w:rPr>
            </w:pPr>
            <w:r w:rsidRPr="00C221F2">
              <w:rPr>
                <w:rFonts w:ascii="Arial Narrow" w:hAnsi="Arial Narrow" w:cs="Times New Roman"/>
                <w:sz w:val="20"/>
                <w:lang w:val="en-GB"/>
              </w:rPr>
              <w:t>$</w:t>
            </w:r>
            <w:r w:rsidR="0056677C">
              <w:rPr>
                <w:rFonts w:ascii="Arial Narrow" w:hAnsi="Arial Narrow" w:cs="Times New Roman"/>
                <w:noProof/>
                <w:color w:val="000000"/>
                <w:sz w:val="20"/>
                <w:highlight w:val="black"/>
                <w:lang w:val="en-GB"/>
              </w:rPr>
              <w:t>'''''''''''''''''</w:t>
            </w:r>
          </w:p>
        </w:tc>
        <w:tc>
          <w:tcPr>
            <w:tcW w:w="2564" w:type="dxa"/>
          </w:tcPr>
          <w:p w:rsidR="00CB0C06" w:rsidRPr="00C221F2" w:rsidRDefault="00CB0C06" w:rsidP="004C3FE9">
            <w:pPr>
              <w:keepNext/>
              <w:widowControl/>
              <w:jc w:val="center"/>
              <w:rPr>
                <w:rFonts w:ascii="Arial Narrow" w:hAnsi="Arial Narrow" w:cs="Times New Roman"/>
                <w:sz w:val="20"/>
                <w:lang w:val="en-GB"/>
              </w:rPr>
            </w:pPr>
            <w:r w:rsidRPr="00C221F2">
              <w:rPr>
                <w:rFonts w:ascii="Arial Narrow" w:hAnsi="Arial Narrow" w:cs="Times New Roman"/>
                <w:sz w:val="20"/>
                <w:lang w:val="en-GB"/>
              </w:rPr>
              <w:t>$</w:t>
            </w:r>
            <w:r w:rsidR="0056677C">
              <w:rPr>
                <w:rFonts w:ascii="Arial Narrow" w:hAnsi="Arial Narrow" w:cs="Times New Roman"/>
                <w:noProof/>
                <w:color w:val="000000"/>
                <w:sz w:val="20"/>
                <w:highlight w:val="black"/>
                <w:lang w:val="en-GB"/>
              </w:rPr>
              <w:t>''''''''''''''''</w:t>
            </w:r>
          </w:p>
        </w:tc>
      </w:tr>
      <w:tr w:rsidR="00CB0C06" w:rsidRPr="006D1DDF" w:rsidTr="00544037">
        <w:tc>
          <w:tcPr>
            <w:tcW w:w="0" w:type="auto"/>
            <w:vAlign w:val="center"/>
          </w:tcPr>
          <w:p w:rsidR="00CB0C06" w:rsidRPr="006D1DDF" w:rsidRDefault="00397BE3" w:rsidP="00544037">
            <w:pPr>
              <w:keepNext/>
              <w:widowControl/>
              <w:jc w:val="left"/>
              <w:rPr>
                <w:rFonts w:ascii="Arial Narrow" w:hAnsi="Arial Narrow" w:cs="Times New Roman"/>
                <w:sz w:val="20"/>
                <w:lang w:val="en-GB"/>
              </w:rPr>
            </w:pPr>
            <w:r>
              <w:rPr>
                <w:rFonts w:ascii="Arial Narrow" w:hAnsi="Arial Narrow" w:cs="Times New Roman"/>
                <w:sz w:val="20"/>
                <w:lang w:val="en-GB"/>
              </w:rPr>
              <w:t>LY</w:t>
            </w:r>
            <w:r w:rsidR="00CB0C06" w:rsidRPr="006D1DDF">
              <w:rPr>
                <w:rFonts w:ascii="Arial Narrow" w:hAnsi="Arial Narrow" w:cs="Times New Roman"/>
                <w:sz w:val="20"/>
                <w:lang w:val="en-GB"/>
              </w:rPr>
              <w:t>s</w:t>
            </w:r>
          </w:p>
        </w:tc>
        <w:tc>
          <w:tcPr>
            <w:tcW w:w="0" w:type="auto"/>
          </w:tcPr>
          <w:p w:rsidR="00CB0C06" w:rsidRPr="0056677C" w:rsidRDefault="0056677C" w:rsidP="00544037">
            <w:pPr>
              <w:keepNext/>
              <w:widowControl/>
              <w:jc w:val="center"/>
              <w:rPr>
                <w:rFonts w:ascii="Arial Narrow" w:hAnsi="Arial Narrow" w:cs="Times New Roman"/>
                <w:sz w:val="20"/>
                <w:highlight w:val="black"/>
                <w:lang w:val="en-GB"/>
              </w:rPr>
            </w:pPr>
            <w:r>
              <w:rPr>
                <w:rFonts w:ascii="Arial Narrow" w:hAnsi="Arial Narrow" w:cs="Times New Roman"/>
                <w:noProof/>
                <w:color w:val="000000"/>
                <w:sz w:val="20"/>
                <w:highlight w:val="black"/>
                <w:lang w:val="en-GB"/>
              </w:rPr>
              <w:t>''''''''''</w:t>
            </w:r>
          </w:p>
        </w:tc>
        <w:tc>
          <w:tcPr>
            <w:tcW w:w="0" w:type="auto"/>
            <w:vAlign w:val="center"/>
          </w:tcPr>
          <w:p w:rsidR="00CB0C06" w:rsidRPr="0056677C" w:rsidRDefault="0056677C" w:rsidP="004C3FE9">
            <w:pPr>
              <w:keepNext/>
              <w:widowControl/>
              <w:jc w:val="center"/>
              <w:rPr>
                <w:rFonts w:ascii="Arial Narrow" w:hAnsi="Arial Narrow" w:cs="Times New Roman"/>
                <w:sz w:val="20"/>
                <w:highlight w:val="black"/>
                <w:lang w:val="en-GB"/>
              </w:rPr>
            </w:pPr>
            <w:r>
              <w:rPr>
                <w:rFonts w:ascii="Arial Narrow" w:hAnsi="Arial Narrow" w:cs="Times New Roman"/>
                <w:noProof/>
                <w:color w:val="000000"/>
                <w:sz w:val="20"/>
                <w:highlight w:val="black"/>
                <w:lang w:val="en-GB"/>
              </w:rPr>
              <w:t>''''''''''</w:t>
            </w:r>
          </w:p>
        </w:tc>
        <w:tc>
          <w:tcPr>
            <w:tcW w:w="2564" w:type="dxa"/>
          </w:tcPr>
          <w:p w:rsidR="00CB0C06" w:rsidRPr="00C221F2" w:rsidRDefault="0056677C" w:rsidP="004C3FE9">
            <w:pPr>
              <w:keepNext/>
              <w:widowControl/>
              <w:jc w:val="center"/>
              <w:rPr>
                <w:rFonts w:ascii="Arial Narrow" w:hAnsi="Arial Narrow" w:cs="Times New Roman"/>
                <w:sz w:val="20"/>
                <w:lang w:val="en-GB"/>
              </w:rPr>
            </w:pPr>
            <w:r>
              <w:rPr>
                <w:rFonts w:ascii="Arial Narrow" w:hAnsi="Arial Narrow" w:cs="Times New Roman"/>
                <w:noProof/>
                <w:color w:val="000000"/>
                <w:sz w:val="20"/>
                <w:highlight w:val="black"/>
                <w:lang w:val="en-GB"/>
              </w:rPr>
              <w:t>''''''''''</w:t>
            </w:r>
            <w:r w:rsidR="00CB0C06" w:rsidRPr="00C221F2">
              <w:rPr>
                <w:rFonts w:ascii="Arial Narrow" w:hAnsi="Arial Narrow" w:cs="Times New Roman"/>
                <w:sz w:val="20"/>
                <w:lang w:val="en-GB"/>
              </w:rPr>
              <w:t xml:space="preserve"> </w:t>
            </w:r>
            <w:r w:rsidR="00CB0C06" w:rsidRPr="00C221F2">
              <w:rPr>
                <w:rFonts w:ascii="Arial Narrow" w:hAnsi="Arial Narrow" w:cs="Times New Roman"/>
                <w:sz w:val="20"/>
                <w:vertAlign w:val="superscript"/>
                <w:lang w:val="en-GB"/>
              </w:rPr>
              <w:t>a</w:t>
            </w:r>
          </w:p>
        </w:tc>
      </w:tr>
      <w:tr w:rsidR="00CB0C06" w:rsidRPr="006D1DDF" w:rsidTr="00544037">
        <w:tc>
          <w:tcPr>
            <w:tcW w:w="0" w:type="auto"/>
            <w:vAlign w:val="center"/>
          </w:tcPr>
          <w:p w:rsidR="00CB0C06" w:rsidRPr="006D1DDF" w:rsidRDefault="00CB0C06" w:rsidP="00544037">
            <w:pPr>
              <w:keepNext/>
              <w:widowControl/>
              <w:jc w:val="left"/>
              <w:rPr>
                <w:rFonts w:ascii="Arial Narrow" w:hAnsi="Arial Narrow" w:cs="Times New Roman"/>
                <w:sz w:val="20"/>
                <w:lang w:val="en-GB"/>
              </w:rPr>
            </w:pPr>
            <w:r w:rsidRPr="006D1DDF">
              <w:rPr>
                <w:rFonts w:ascii="Arial Narrow" w:hAnsi="Arial Narrow" w:cs="Times New Roman"/>
                <w:sz w:val="20"/>
                <w:lang w:val="en-GB"/>
              </w:rPr>
              <w:t>QALYs</w:t>
            </w:r>
          </w:p>
        </w:tc>
        <w:tc>
          <w:tcPr>
            <w:tcW w:w="0" w:type="auto"/>
          </w:tcPr>
          <w:p w:rsidR="00CB0C06" w:rsidRPr="0056677C" w:rsidRDefault="0056677C" w:rsidP="00544037">
            <w:pPr>
              <w:keepNext/>
              <w:widowControl/>
              <w:jc w:val="center"/>
              <w:rPr>
                <w:rFonts w:ascii="Arial Narrow" w:hAnsi="Arial Narrow" w:cs="Times New Roman"/>
                <w:sz w:val="20"/>
                <w:highlight w:val="black"/>
                <w:lang w:val="en-GB"/>
              </w:rPr>
            </w:pPr>
            <w:r>
              <w:rPr>
                <w:rFonts w:ascii="Arial Narrow" w:hAnsi="Arial Narrow" w:cs="Times New Roman"/>
                <w:noProof/>
                <w:color w:val="000000"/>
                <w:sz w:val="20"/>
                <w:highlight w:val="black"/>
                <w:lang w:val="en-GB"/>
              </w:rPr>
              <w:t>'''''''''''</w:t>
            </w:r>
          </w:p>
        </w:tc>
        <w:tc>
          <w:tcPr>
            <w:tcW w:w="0" w:type="auto"/>
            <w:vAlign w:val="center"/>
          </w:tcPr>
          <w:p w:rsidR="00CB0C06" w:rsidRPr="0056677C" w:rsidRDefault="0056677C" w:rsidP="004C3FE9">
            <w:pPr>
              <w:keepNext/>
              <w:widowControl/>
              <w:jc w:val="center"/>
              <w:rPr>
                <w:rFonts w:ascii="Arial Narrow" w:hAnsi="Arial Narrow" w:cs="Times New Roman"/>
                <w:sz w:val="20"/>
                <w:highlight w:val="black"/>
                <w:lang w:val="en-GB"/>
              </w:rPr>
            </w:pPr>
            <w:r>
              <w:rPr>
                <w:rFonts w:ascii="Arial Narrow" w:hAnsi="Arial Narrow" w:cs="Times New Roman"/>
                <w:noProof/>
                <w:color w:val="000000"/>
                <w:sz w:val="20"/>
                <w:highlight w:val="black"/>
                <w:lang w:val="en-GB"/>
              </w:rPr>
              <w:t>''''''''''</w:t>
            </w:r>
          </w:p>
        </w:tc>
        <w:tc>
          <w:tcPr>
            <w:tcW w:w="2564" w:type="dxa"/>
          </w:tcPr>
          <w:p w:rsidR="00CB0C06" w:rsidRPr="00C221F2" w:rsidRDefault="0056677C" w:rsidP="004C3FE9">
            <w:pPr>
              <w:keepNext/>
              <w:widowControl/>
              <w:jc w:val="center"/>
              <w:rPr>
                <w:rFonts w:ascii="Arial Narrow" w:hAnsi="Arial Narrow" w:cs="Times New Roman"/>
                <w:sz w:val="20"/>
                <w:lang w:val="en-GB"/>
              </w:rPr>
            </w:pPr>
            <w:r>
              <w:rPr>
                <w:rFonts w:ascii="Arial Narrow" w:hAnsi="Arial Narrow" w:cs="Times New Roman"/>
                <w:noProof/>
                <w:color w:val="000000"/>
                <w:sz w:val="20"/>
                <w:highlight w:val="black"/>
                <w:lang w:val="en-GB"/>
              </w:rPr>
              <w:t>'''''''''''</w:t>
            </w:r>
            <w:r w:rsidR="00CB0C06" w:rsidRPr="00C221F2">
              <w:rPr>
                <w:rFonts w:ascii="Arial Narrow" w:hAnsi="Arial Narrow" w:cs="Times New Roman"/>
                <w:sz w:val="20"/>
                <w:vertAlign w:val="superscript"/>
                <w:lang w:val="en-GB"/>
              </w:rPr>
              <w:t xml:space="preserve"> a</w:t>
            </w:r>
          </w:p>
        </w:tc>
      </w:tr>
      <w:tr w:rsidR="00CB0C06" w:rsidRPr="006D1DDF" w:rsidTr="00544037">
        <w:tc>
          <w:tcPr>
            <w:tcW w:w="0" w:type="auto"/>
            <w:gridSpan w:val="3"/>
            <w:vAlign w:val="center"/>
          </w:tcPr>
          <w:p w:rsidR="00CB0C06" w:rsidRPr="006D1DDF" w:rsidRDefault="00CB0C06" w:rsidP="00544037">
            <w:pPr>
              <w:keepNext/>
              <w:widowControl/>
              <w:jc w:val="left"/>
              <w:rPr>
                <w:rFonts w:ascii="Arial Narrow" w:hAnsi="Arial Narrow" w:cs="Times New Roman"/>
                <w:sz w:val="20"/>
                <w:lang w:val="en-GB"/>
              </w:rPr>
            </w:pPr>
            <w:r w:rsidRPr="006D1DDF">
              <w:rPr>
                <w:rFonts w:ascii="Arial Narrow" w:hAnsi="Arial Narrow" w:cs="Times New Roman"/>
                <w:sz w:val="20"/>
                <w:lang w:val="en-GB"/>
              </w:rPr>
              <w:t>Incremental cost per LY gained (undiscounted)</w:t>
            </w:r>
          </w:p>
        </w:tc>
        <w:tc>
          <w:tcPr>
            <w:tcW w:w="2564" w:type="dxa"/>
          </w:tcPr>
          <w:p w:rsidR="00CB0C06" w:rsidRPr="00C221F2" w:rsidRDefault="00CB0C06" w:rsidP="00544037">
            <w:pPr>
              <w:keepNext/>
              <w:widowControl/>
              <w:jc w:val="right"/>
              <w:rPr>
                <w:rFonts w:ascii="Arial Narrow" w:hAnsi="Arial Narrow" w:cs="Times New Roman"/>
                <w:sz w:val="20"/>
                <w:lang w:val="en-GB"/>
              </w:rPr>
            </w:pPr>
            <w:r w:rsidRPr="00C221F2">
              <w:rPr>
                <w:rFonts w:ascii="Arial Narrow" w:hAnsi="Arial Narrow" w:cs="Times New Roman"/>
                <w:b/>
                <w:sz w:val="20"/>
                <w:lang w:val="en-GB"/>
              </w:rPr>
              <w:t>$</w:t>
            </w:r>
            <w:r w:rsidR="0056677C">
              <w:rPr>
                <w:rFonts w:ascii="Arial Narrow" w:hAnsi="Arial Narrow" w:cs="Times New Roman"/>
                <w:b/>
                <w:noProof/>
                <w:color w:val="000000"/>
                <w:sz w:val="20"/>
                <w:highlight w:val="black"/>
                <w:lang w:val="en-GB"/>
              </w:rPr>
              <w:t>''''''''''''''''</w:t>
            </w:r>
          </w:p>
        </w:tc>
      </w:tr>
      <w:tr w:rsidR="00CB0C06" w:rsidRPr="006D1DDF" w:rsidTr="00544037">
        <w:tc>
          <w:tcPr>
            <w:tcW w:w="0" w:type="auto"/>
            <w:gridSpan w:val="3"/>
            <w:vAlign w:val="center"/>
          </w:tcPr>
          <w:p w:rsidR="00CB0C06" w:rsidRPr="006D1DDF" w:rsidRDefault="00CB0C06" w:rsidP="00544037">
            <w:pPr>
              <w:keepNext/>
              <w:widowControl/>
              <w:jc w:val="left"/>
              <w:rPr>
                <w:rFonts w:ascii="Arial Narrow" w:hAnsi="Arial Narrow" w:cs="Times New Roman"/>
                <w:sz w:val="20"/>
                <w:lang w:val="en-GB"/>
              </w:rPr>
            </w:pPr>
            <w:r w:rsidRPr="006D1DDF">
              <w:rPr>
                <w:rFonts w:ascii="Arial Narrow" w:hAnsi="Arial Narrow" w:cs="Times New Roman"/>
                <w:sz w:val="20"/>
                <w:lang w:val="en-GB"/>
              </w:rPr>
              <w:t>Incremental cost per QALY gained (undiscounted)</w:t>
            </w:r>
          </w:p>
        </w:tc>
        <w:tc>
          <w:tcPr>
            <w:tcW w:w="2564" w:type="dxa"/>
          </w:tcPr>
          <w:p w:rsidR="00CB0C06" w:rsidRPr="00C221F2" w:rsidRDefault="00CB0C06" w:rsidP="00544037">
            <w:pPr>
              <w:keepNext/>
              <w:widowControl/>
              <w:jc w:val="right"/>
              <w:rPr>
                <w:rFonts w:ascii="Arial Narrow" w:hAnsi="Arial Narrow" w:cs="Times New Roman"/>
                <w:b/>
                <w:sz w:val="20"/>
                <w:lang w:val="en-GB"/>
              </w:rPr>
            </w:pPr>
            <w:r w:rsidRPr="00C221F2">
              <w:rPr>
                <w:rFonts w:ascii="Arial Narrow" w:hAnsi="Arial Narrow" w:cs="Times New Roman"/>
                <w:b/>
                <w:sz w:val="20"/>
                <w:lang w:val="en-GB"/>
              </w:rPr>
              <w:t>$</w:t>
            </w:r>
            <w:r w:rsidR="0056677C">
              <w:rPr>
                <w:rFonts w:ascii="Arial Narrow" w:hAnsi="Arial Narrow" w:cs="Times New Roman"/>
                <w:b/>
                <w:noProof/>
                <w:color w:val="000000"/>
                <w:sz w:val="20"/>
                <w:highlight w:val="black"/>
                <w:lang w:val="en-GB"/>
              </w:rPr>
              <w:t>''''''''''''''''</w:t>
            </w:r>
          </w:p>
        </w:tc>
      </w:tr>
      <w:tr w:rsidR="00CB0C06" w:rsidRPr="006D1DDF" w:rsidTr="008F55C2">
        <w:tc>
          <w:tcPr>
            <w:tcW w:w="8381" w:type="dxa"/>
            <w:gridSpan w:val="4"/>
            <w:vAlign w:val="center"/>
          </w:tcPr>
          <w:p w:rsidR="00CB0C06" w:rsidRPr="006D1DDF" w:rsidRDefault="00CB0C06" w:rsidP="00544037">
            <w:pPr>
              <w:keepNext/>
              <w:widowControl/>
              <w:rPr>
                <w:rFonts w:ascii="Arial Narrow" w:hAnsi="Arial Narrow"/>
                <w:b/>
                <w:bCs/>
                <w:sz w:val="20"/>
                <w:szCs w:val="16"/>
                <w:lang w:val="en-GB"/>
              </w:rPr>
            </w:pPr>
            <w:r w:rsidRPr="006D1DDF">
              <w:rPr>
                <w:rFonts w:ascii="Arial Narrow" w:hAnsi="Arial Narrow"/>
                <w:b/>
                <w:bCs/>
                <w:sz w:val="20"/>
                <w:szCs w:val="16"/>
                <w:lang w:val="en-GB"/>
              </w:rPr>
              <w:t>Step 3: modelled economic evaluation (discounted) extrapolated after 16 m (ibr) and 12m (rit + chl) to 20 y</w:t>
            </w:r>
          </w:p>
        </w:tc>
      </w:tr>
      <w:tr w:rsidR="00CB0C06" w:rsidRPr="006D1DDF" w:rsidTr="00544037">
        <w:tc>
          <w:tcPr>
            <w:tcW w:w="0" w:type="auto"/>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Cost</w:t>
            </w:r>
          </w:p>
        </w:tc>
        <w:tc>
          <w:tcPr>
            <w:tcW w:w="0" w:type="auto"/>
          </w:tcPr>
          <w:p w:rsidR="00CB0C06" w:rsidRPr="006D1DDF" w:rsidRDefault="00CB0C06" w:rsidP="00544037">
            <w:pPr>
              <w:keepNext/>
              <w:widowControl/>
              <w:jc w:val="right"/>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c>
          <w:tcPr>
            <w:tcW w:w="0" w:type="auto"/>
            <w:vAlign w:val="center"/>
          </w:tcPr>
          <w:p w:rsidR="00CB0C06" w:rsidRPr="006D1DDF" w:rsidRDefault="00CB0C06" w:rsidP="004C3FE9">
            <w:pPr>
              <w:keepNext/>
              <w:widowControl/>
              <w:jc w:val="center"/>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c>
          <w:tcPr>
            <w:tcW w:w="2564" w:type="dxa"/>
          </w:tcPr>
          <w:p w:rsidR="00CB0C06" w:rsidRPr="006D1DDF" w:rsidRDefault="00CB0C06" w:rsidP="004C3FE9">
            <w:pPr>
              <w:keepNext/>
              <w:widowControl/>
              <w:jc w:val="center"/>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r>
      <w:tr w:rsidR="00CB0C06" w:rsidRPr="006D1DDF" w:rsidTr="00544037">
        <w:tc>
          <w:tcPr>
            <w:tcW w:w="0" w:type="auto"/>
            <w:vAlign w:val="center"/>
          </w:tcPr>
          <w:p w:rsidR="00CB0C06" w:rsidRPr="006D1DDF" w:rsidRDefault="00CB0C06" w:rsidP="00397BE3">
            <w:pPr>
              <w:keepNext/>
              <w:widowControl/>
              <w:rPr>
                <w:rFonts w:ascii="Arial Narrow" w:hAnsi="Arial Narrow"/>
                <w:sz w:val="20"/>
                <w:szCs w:val="16"/>
                <w:lang w:val="en-GB"/>
              </w:rPr>
            </w:pPr>
            <w:r w:rsidRPr="006D1DDF">
              <w:rPr>
                <w:rFonts w:ascii="Arial Narrow" w:hAnsi="Arial Narrow"/>
                <w:sz w:val="20"/>
                <w:szCs w:val="16"/>
                <w:lang w:val="en-GB"/>
              </w:rPr>
              <w:t>L</w:t>
            </w:r>
            <w:r w:rsidR="00397BE3">
              <w:rPr>
                <w:rFonts w:ascii="Arial Narrow" w:hAnsi="Arial Narrow"/>
                <w:sz w:val="20"/>
                <w:szCs w:val="16"/>
                <w:lang w:val="en-GB"/>
              </w:rPr>
              <w:t>Y</w:t>
            </w:r>
            <w:r w:rsidRPr="006D1DDF">
              <w:rPr>
                <w:rFonts w:ascii="Arial Narrow" w:hAnsi="Arial Narrow"/>
                <w:sz w:val="20"/>
                <w:szCs w:val="16"/>
                <w:lang w:val="en-GB"/>
              </w:rPr>
              <w:t>s</w:t>
            </w:r>
          </w:p>
        </w:tc>
        <w:tc>
          <w:tcPr>
            <w:tcW w:w="0" w:type="auto"/>
          </w:tcPr>
          <w:p w:rsidR="00CB0C06" w:rsidRPr="0056677C" w:rsidRDefault="0056677C" w:rsidP="00544037">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0" w:type="auto"/>
            <w:vAlign w:val="center"/>
          </w:tcPr>
          <w:p w:rsidR="00CB0C06" w:rsidRPr="0056677C" w:rsidRDefault="0056677C" w:rsidP="004C3FE9">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2564" w:type="dxa"/>
          </w:tcPr>
          <w:p w:rsidR="00CB0C06" w:rsidRPr="0056677C" w:rsidRDefault="0056677C" w:rsidP="004C3FE9">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r>
      <w:tr w:rsidR="00CB0C06" w:rsidRPr="006D1DDF" w:rsidTr="00544037">
        <w:tc>
          <w:tcPr>
            <w:tcW w:w="0" w:type="auto"/>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QALYs</w:t>
            </w:r>
          </w:p>
        </w:tc>
        <w:tc>
          <w:tcPr>
            <w:tcW w:w="0" w:type="auto"/>
          </w:tcPr>
          <w:p w:rsidR="00CB0C06" w:rsidRPr="0056677C" w:rsidRDefault="0056677C" w:rsidP="00544037">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0" w:type="auto"/>
            <w:vAlign w:val="center"/>
          </w:tcPr>
          <w:p w:rsidR="00CB0C06" w:rsidRPr="0056677C" w:rsidRDefault="0056677C" w:rsidP="004C3FE9">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2564" w:type="dxa"/>
          </w:tcPr>
          <w:p w:rsidR="00CB0C06" w:rsidRPr="0056677C" w:rsidRDefault="0056677C" w:rsidP="004C3FE9">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r>
      <w:tr w:rsidR="00CB0C06" w:rsidRPr="006D1DDF" w:rsidTr="00544037">
        <w:tc>
          <w:tcPr>
            <w:tcW w:w="0" w:type="auto"/>
            <w:gridSpan w:val="3"/>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Incremental cost per LY gained</w:t>
            </w:r>
          </w:p>
        </w:tc>
        <w:tc>
          <w:tcPr>
            <w:tcW w:w="2564" w:type="dxa"/>
          </w:tcPr>
          <w:p w:rsidR="00CB0C06" w:rsidRPr="006D1DDF" w:rsidRDefault="00CB0C06" w:rsidP="00544037">
            <w:pPr>
              <w:keepNext/>
              <w:widowControl/>
              <w:jc w:val="right"/>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r>
      <w:tr w:rsidR="00CB0C06" w:rsidRPr="006D1DDF" w:rsidTr="00544037">
        <w:tc>
          <w:tcPr>
            <w:tcW w:w="0" w:type="auto"/>
            <w:gridSpan w:val="3"/>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Incremental cost per QALY gained</w:t>
            </w:r>
          </w:p>
        </w:tc>
        <w:tc>
          <w:tcPr>
            <w:tcW w:w="2564" w:type="dxa"/>
          </w:tcPr>
          <w:p w:rsidR="00CB0C06" w:rsidRPr="006D1DDF" w:rsidRDefault="00CB0C06" w:rsidP="00544037">
            <w:pPr>
              <w:keepNext/>
              <w:widowControl/>
              <w:jc w:val="right"/>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r>
      <w:tr w:rsidR="00CB0C06" w:rsidRPr="006D1DDF" w:rsidTr="008F55C2">
        <w:tc>
          <w:tcPr>
            <w:tcW w:w="8381" w:type="dxa"/>
            <w:gridSpan w:val="4"/>
            <w:vAlign w:val="center"/>
          </w:tcPr>
          <w:p w:rsidR="00CB0C06" w:rsidRPr="006D1DDF" w:rsidRDefault="00CB0C06" w:rsidP="00544037">
            <w:pPr>
              <w:keepNext/>
              <w:widowControl/>
              <w:rPr>
                <w:rFonts w:ascii="Arial Narrow" w:hAnsi="Arial Narrow"/>
                <w:b/>
                <w:bCs/>
                <w:sz w:val="20"/>
                <w:szCs w:val="16"/>
                <w:lang w:val="en-GB"/>
              </w:rPr>
            </w:pPr>
            <w:r w:rsidRPr="006D1DDF">
              <w:rPr>
                <w:rFonts w:ascii="Arial Narrow" w:hAnsi="Arial Narrow"/>
                <w:b/>
                <w:bCs/>
                <w:sz w:val="20"/>
                <w:szCs w:val="16"/>
                <w:lang w:val="en-GB"/>
              </w:rPr>
              <w:t>Base case (Step 4) assuming diminishing treatment benefit for ibrutinib beyond the RESONATE trial</w:t>
            </w:r>
          </w:p>
        </w:tc>
      </w:tr>
      <w:tr w:rsidR="00CB0C06" w:rsidRPr="006D1DDF" w:rsidTr="00544037">
        <w:tc>
          <w:tcPr>
            <w:tcW w:w="0" w:type="auto"/>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Cost</w:t>
            </w:r>
          </w:p>
        </w:tc>
        <w:tc>
          <w:tcPr>
            <w:tcW w:w="0" w:type="auto"/>
          </w:tcPr>
          <w:p w:rsidR="00CB0C06" w:rsidRPr="006D1DDF" w:rsidRDefault="00CB0C06" w:rsidP="00544037">
            <w:pPr>
              <w:keepNext/>
              <w:widowControl/>
              <w:jc w:val="right"/>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c>
          <w:tcPr>
            <w:tcW w:w="0" w:type="auto"/>
            <w:vAlign w:val="center"/>
          </w:tcPr>
          <w:p w:rsidR="00CB0C06" w:rsidRPr="006D1DDF" w:rsidRDefault="00CB0C06" w:rsidP="004C3FE9">
            <w:pPr>
              <w:keepNext/>
              <w:widowControl/>
              <w:jc w:val="center"/>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c>
          <w:tcPr>
            <w:tcW w:w="2564" w:type="dxa"/>
          </w:tcPr>
          <w:p w:rsidR="00CB0C06" w:rsidRPr="006D1DDF" w:rsidRDefault="00CB0C06" w:rsidP="004C3FE9">
            <w:pPr>
              <w:keepNext/>
              <w:widowControl/>
              <w:jc w:val="center"/>
              <w:rPr>
                <w:rFonts w:ascii="Arial Narrow" w:hAnsi="Arial Narrow"/>
                <w:sz w:val="20"/>
                <w:szCs w:val="16"/>
                <w:lang w:val="en-GB"/>
              </w:rPr>
            </w:pPr>
            <w:r w:rsidRPr="006D1DDF">
              <w:rPr>
                <w:rFonts w:ascii="Arial Narrow" w:hAnsi="Arial Narrow"/>
                <w:sz w:val="20"/>
                <w:szCs w:val="16"/>
                <w:lang w:val="en-GB"/>
              </w:rPr>
              <w:t>$</w:t>
            </w:r>
            <w:r w:rsidR="0056677C">
              <w:rPr>
                <w:rFonts w:ascii="Arial Narrow" w:hAnsi="Arial Narrow"/>
                <w:noProof/>
                <w:color w:val="000000"/>
                <w:sz w:val="20"/>
                <w:szCs w:val="16"/>
                <w:highlight w:val="black"/>
                <w:lang w:val="en-GB"/>
              </w:rPr>
              <w:t>'''''''''''''''''</w:t>
            </w:r>
          </w:p>
        </w:tc>
      </w:tr>
      <w:tr w:rsidR="00CB0C06" w:rsidRPr="006D1DDF" w:rsidTr="00544037">
        <w:tc>
          <w:tcPr>
            <w:tcW w:w="0" w:type="auto"/>
            <w:vAlign w:val="center"/>
          </w:tcPr>
          <w:p w:rsidR="00CB0C06" w:rsidRPr="006D1DDF" w:rsidRDefault="00397BE3" w:rsidP="00544037">
            <w:pPr>
              <w:keepNext/>
              <w:widowControl/>
              <w:rPr>
                <w:rFonts w:ascii="Arial Narrow" w:hAnsi="Arial Narrow"/>
                <w:sz w:val="20"/>
                <w:szCs w:val="16"/>
                <w:lang w:val="en-GB"/>
              </w:rPr>
            </w:pPr>
            <w:r>
              <w:rPr>
                <w:rFonts w:ascii="Arial Narrow" w:hAnsi="Arial Narrow"/>
                <w:sz w:val="20"/>
                <w:szCs w:val="16"/>
                <w:lang w:val="en-GB"/>
              </w:rPr>
              <w:t>LY</w:t>
            </w:r>
            <w:r w:rsidR="00CB0C06" w:rsidRPr="006D1DDF">
              <w:rPr>
                <w:rFonts w:ascii="Arial Narrow" w:hAnsi="Arial Narrow"/>
                <w:sz w:val="20"/>
                <w:szCs w:val="16"/>
                <w:lang w:val="en-GB"/>
              </w:rPr>
              <w:t>s</w:t>
            </w:r>
          </w:p>
        </w:tc>
        <w:tc>
          <w:tcPr>
            <w:tcW w:w="0" w:type="auto"/>
          </w:tcPr>
          <w:p w:rsidR="00CB0C06" w:rsidRPr="0056677C" w:rsidRDefault="0056677C" w:rsidP="00544037">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0" w:type="auto"/>
            <w:vAlign w:val="center"/>
          </w:tcPr>
          <w:p w:rsidR="00CB0C06" w:rsidRPr="0056677C" w:rsidRDefault="0056677C" w:rsidP="004C3FE9">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2564" w:type="dxa"/>
          </w:tcPr>
          <w:p w:rsidR="00CB0C06" w:rsidRPr="00C221F2" w:rsidRDefault="0056677C" w:rsidP="004C3FE9">
            <w:pPr>
              <w:keepNext/>
              <w:widowControl/>
              <w:jc w:val="center"/>
              <w:rPr>
                <w:rFonts w:ascii="Arial Narrow" w:hAnsi="Arial Narrow"/>
                <w:sz w:val="20"/>
                <w:szCs w:val="16"/>
                <w:lang w:val="en-GB"/>
              </w:rPr>
            </w:pPr>
            <w:r>
              <w:rPr>
                <w:rFonts w:ascii="Arial Narrow" w:hAnsi="Arial Narrow"/>
                <w:noProof/>
                <w:color w:val="000000"/>
                <w:sz w:val="20"/>
                <w:szCs w:val="16"/>
                <w:highlight w:val="black"/>
                <w:lang w:val="en-GB"/>
              </w:rPr>
              <w:t>''''''''''</w:t>
            </w:r>
            <w:r w:rsidR="00CB0C06" w:rsidRPr="00C221F2">
              <w:rPr>
                <w:rFonts w:ascii="Arial Narrow" w:hAnsi="Arial Narrow"/>
                <w:sz w:val="20"/>
                <w:szCs w:val="16"/>
                <w:lang w:val="en-GB"/>
              </w:rPr>
              <w:t xml:space="preserve"> (submission)</w:t>
            </w:r>
          </w:p>
          <w:p w:rsidR="00CB0C06" w:rsidRPr="00C221F2" w:rsidRDefault="0056677C" w:rsidP="004C3FE9">
            <w:pPr>
              <w:keepNext/>
              <w:widowControl/>
              <w:jc w:val="center"/>
              <w:rPr>
                <w:rFonts w:ascii="Arial Narrow" w:hAnsi="Arial Narrow"/>
                <w:i/>
                <w:sz w:val="20"/>
                <w:szCs w:val="16"/>
                <w:lang w:val="en-GB"/>
              </w:rPr>
            </w:pPr>
            <w:r>
              <w:rPr>
                <w:rFonts w:ascii="Arial Narrow" w:hAnsi="Arial Narrow"/>
                <w:noProof/>
                <w:color w:val="000000"/>
                <w:sz w:val="20"/>
                <w:szCs w:val="16"/>
                <w:highlight w:val="black"/>
                <w:lang w:val="en-GB"/>
              </w:rPr>
              <w:t>'''''''''''</w:t>
            </w:r>
            <w:r w:rsidR="00CB0C06" w:rsidRPr="00C221F2">
              <w:rPr>
                <w:rFonts w:ascii="Arial Narrow" w:hAnsi="Arial Narrow"/>
                <w:sz w:val="20"/>
                <w:szCs w:val="16"/>
                <w:lang w:val="en-GB"/>
              </w:rPr>
              <w:t xml:space="preserve"> (corrected)</w:t>
            </w:r>
            <w:r w:rsidR="00CB0C06" w:rsidRPr="00C221F2">
              <w:rPr>
                <w:rFonts w:ascii="Arial Narrow" w:hAnsi="Arial Narrow" w:cs="Times New Roman"/>
                <w:sz w:val="20"/>
                <w:vertAlign w:val="superscript"/>
                <w:lang w:val="en-GB"/>
              </w:rPr>
              <w:t xml:space="preserve"> b</w:t>
            </w:r>
          </w:p>
        </w:tc>
      </w:tr>
      <w:tr w:rsidR="00CB0C06" w:rsidRPr="006D1DDF" w:rsidTr="00544037">
        <w:tc>
          <w:tcPr>
            <w:tcW w:w="0" w:type="auto"/>
            <w:vAlign w:val="center"/>
          </w:tcPr>
          <w:p w:rsidR="00CB0C06" w:rsidRPr="006D1DDF" w:rsidRDefault="00CB0C06" w:rsidP="00544037">
            <w:pPr>
              <w:keepNext/>
              <w:widowControl/>
              <w:rPr>
                <w:rFonts w:ascii="Arial Narrow" w:hAnsi="Arial Narrow"/>
                <w:sz w:val="20"/>
                <w:szCs w:val="16"/>
                <w:lang w:val="en-GB"/>
              </w:rPr>
            </w:pPr>
            <w:r w:rsidRPr="006D1DDF">
              <w:rPr>
                <w:rFonts w:ascii="Arial Narrow" w:hAnsi="Arial Narrow"/>
                <w:sz w:val="20"/>
                <w:szCs w:val="16"/>
                <w:lang w:val="en-GB"/>
              </w:rPr>
              <w:t>QALYs</w:t>
            </w:r>
          </w:p>
        </w:tc>
        <w:tc>
          <w:tcPr>
            <w:tcW w:w="0" w:type="auto"/>
          </w:tcPr>
          <w:p w:rsidR="00CB0C06" w:rsidRPr="0056677C" w:rsidRDefault="0056677C" w:rsidP="00544037">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0" w:type="auto"/>
            <w:vAlign w:val="center"/>
          </w:tcPr>
          <w:p w:rsidR="00CB0C06" w:rsidRPr="0056677C" w:rsidRDefault="0056677C" w:rsidP="00544037">
            <w:pPr>
              <w:keepNext/>
              <w:widowControl/>
              <w:jc w:val="center"/>
              <w:rPr>
                <w:rFonts w:ascii="Arial Narrow" w:hAnsi="Arial Narrow"/>
                <w:sz w:val="20"/>
                <w:szCs w:val="16"/>
                <w:highlight w:val="black"/>
                <w:lang w:val="en-GB"/>
              </w:rPr>
            </w:pPr>
            <w:r>
              <w:rPr>
                <w:rFonts w:ascii="Arial Narrow" w:hAnsi="Arial Narrow"/>
                <w:noProof/>
                <w:color w:val="000000"/>
                <w:sz w:val="20"/>
                <w:szCs w:val="16"/>
                <w:highlight w:val="black"/>
                <w:lang w:val="en-GB"/>
              </w:rPr>
              <w:t>'''''''''''</w:t>
            </w:r>
          </w:p>
        </w:tc>
        <w:tc>
          <w:tcPr>
            <w:tcW w:w="2564" w:type="dxa"/>
          </w:tcPr>
          <w:p w:rsidR="00CB0C06" w:rsidRPr="00C221F2" w:rsidRDefault="0056677C" w:rsidP="00544037">
            <w:pPr>
              <w:keepNext/>
              <w:widowControl/>
              <w:jc w:val="center"/>
              <w:rPr>
                <w:rFonts w:ascii="Arial Narrow" w:hAnsi="Arial Narrow"/>
                <w:sz w:val="20"/>
                <w:szCs w:val="16"/>
                <w:lang w:val="en-GB"/>
              </w:rPr>
            </w:pPr>
            <w:r>
              <w:rPr>
                <w:rFonts w:ascii="Arial Narrow" w:hAnsi="Arial Narrow"/>
                <w:noProof/>
                <w:color w:val="000000"/>
                <w:sz w:val="20"/>
                <w:szCs w:val="16"/>
                <w:highlight w:val="black"/>
                <w:lang w:val="en-GB"/>
              </w:rPr>
              <w:t>''''''''''</w:t>
            </w:r>
            <w:r w:rsidR="00CB0C06" w:rsidRPr="00C221F2">
              <w:rPr>
                <w:rFonts w:ascii="Arial Narrow" w:hAnsi="Arial Narrow"/>
                <w:sz w:val="20"/>
                <w:szCs w:val="16"/>
                <w:lang w:val="en-GB"/>
              </w:rPr>
              <w:t xml:space="preserve"> (submission)</w:t>
            </w:r>
          </w:p>
          <w:p w:rsidR="00CB0C06" w:rsidRPr="00C221F2" w:rsidRDefault="0056677C" w:rsidP="00544037">
            <w:pPr>
              <w:keepNext/>
              <w:widowControl/>
              <w:jc w:val="center"/>
              <w:rPr>
                <w:rFonts w:ascii="Arial Narrow" w:hAnsi="Arial Narrow"/>
                <w:i/>
                <w:sz w:val="20"/>
                <w:szCs w:val="16"/>
                <w:lang w:val="en-GB"/>
              </w:rPr>
            </w:pPr>
            <w:r>
              <w:rPr>
                <w:rFonts w:ascii="Arial Narrow" w:hAnsi="Arial Narrow"/>
                <w:noProof/>
                <w:color w:val="000000"/>
                <w:sz w:val="20"/>
                <w:szCs w:val="16"/>
                <w:highlight w:val="black"/>
                <w:lang w:val="en-GB"/>
              </w:rPr>
              <w:t>''''''''''''</w:t>
            </w:r>
            <w:r w:rsidR="00CB0C06" w:rsidRPr="00C221F2">
              <w:rPr>
                <w:rFonts w:ascii="Arial Narrow" w:hAnsi="Arial Narrow"/>
                <w:sz w:val="20"/>
                <w:szCs w:val="16"/>
                <w:lang w:val="en-GB"/>
              </w:rPr>
              <w:t xml:space="preserve"> (corrected)</w:t>
            </w:r>
            <w:r w:rsidR="00CB0C06" w:rsidRPr="00C221F2">
              <w:rPr>
                <w:rFonts w:ascii="Arial Narrow" w:hAnsi="Arial Narrow" w:cs="Times New Roman"/>
                <w:sz w:val="20"/>
                <w:vertAlign w:val="superscript"/>
                <w:lang w:val="en-GB"/>
              </w:rPr>
              <w:t xml:space="preserve"> b</w:t>
            </w:r>
          </w:p>
        </w:tc>
      </w:tr>
      <w:tr w:rsidR="00CB0C06" w:rsidRPr="006D1DDF" w:rsidTr="00544037">
        <w:tc>
          <w:tcPr>
            <w:tcW w:w="0" w:type="auto"/>
            <w:gridSpan w:val="3"/>
            <w:vAlign w:val="center"/>
          </w:tcPr>
          <w:p w:rsidR="00CB0C06" w:rsidRPr="006D1DDF" w:rsidRDefault="00CB0C06" w:rsidP="00544037">
            <w:pPr>
              <w:keepNext/>
              <w:widowControl/>
              <w:rPr>
                <w:rFonts w:ascii="Arial Narrow" w:hAnsi="Arial Narrow"/>
                <w:b/>
                <w:sz w:val="20"/>
                <w:szCs w:val="16"/>
                <w:lang w:val="en-GB"/>
              </w:rPr>
            </w:pPr>
            <w:r w:rsidRPr="006D1DDF">
              <w:rPr>
                <w:rFonts w:ascii="Arial Narrow" w:hAnsi="Arial Narrow"/>
                <w:b/>
                <w:sz w:val="20"/>
                <w:szCs w:val="16"/>
                <w:lang w:val="en-GB"/>
              </w:rPr>
              <w:t>Incremental cost per LY gained</w:t>
            </w:r>
          </w:p>
        </w:tc>
        <w:tc>
          <w:tcPr>
            <w:tcW w:w="2564" w:type="dxa"/>
          </w:tcPr>
          <w:p w:rsidR="00CB0C06" w:rsidRPr="006D1DDF" w:rsidRDefault="00CB0C06" w:rsidP="00544037">
            <w:pPr>
              <w:keepNext/>
              <w:widowControl/>
              <w:jc w:val="right"/>
              <w:rPr>
                <w:rFonts w:ascii="Arial Narrow" w:hAnsi="Arial Narrow"/>
                <w:b/>
                <w:sz w:val="20"/>
                <w:szCs w:val="16"/>
                <w:lang w:val="en-GB"/>
              </w:rPr>
            </w:pPr>
            <w:r w:rsidRPr="006D1DDF">
              <w:rPr>
                <w:rFonts w:ascii="Arial Narrow" w:hAnsi="Arial Narrow"/>
                <w:b/>
                <w:sz w:val="20"/>
                <w:szCs w:val="16"/>
                <w:lang w:val="en-GB"/>
              </w:rPr>
              <w:t>$</w:t>
            </w:r>
            <w:r w:rsidR="0056677C">
              <w:rPr>
                <w:rFonts w:ascii="Arial Narrow" w:hAnsi="Arial Narrow"/>
                <w:b/>
                <w:noProof/>
                <w:color w:val="000000"/>
                <w:sz w:val="20"/>
                <w:szCs w:val="16"/>
                <w:highlight w:val="black"/>
                <w:lang w:val="en-GB"/>
              </w:rPr>
              <w:t>'''''''''''''</w:t>
            </w:r>
          </w:p>
        </w:tc>
      </w:tr>
      <w:tr w:rsidR="00CB0C06" w:rsidRPr="006D1DDF" w:rsidTr="00544037">
        <w:tc>
          <w:tcPr>
            <w:tcW w:w="0" w:type="auto"/>
            <w:gridSpan w:val="3"/>
            <w:vAlign w:val="center"/>
          </w:tcPr>
          <w:p w:rsidR="00CB0C06" w:rsidRPr="006D1DDF" w:rsidRDefault="00CB0C06" w:rsidP="00544037">
            <w:pPr>
              <w:keepNext/>
              <w:widowControl/>
              <w:rPr>
                <w:rFonts w:ascii="Arial Narrow" w:hAnsi="Arial Narrow"/>
                <w:b/>
                <w:sz w:val="20"/>
                <w:szCs w:val="16"/>
                <w:lang w:val="en-GB"/>
              </w:rPr>
            </w:pPr>
            <w:r w:rsidRPr="006D1DDF">
              <w:rPr>
                <w:rFonts w:ascii="Arial Narrow" w:hAnsi="Arial Narrow"/>
                <w:b/>
                <w:sz w:val="20"/>
                <w:szCs w:val="16"/>
                <w:lang w:val="en-GB"/>
              </w:rPr>
              <w:t>Incremental cost per QALY gained</w:t>
            </w:r>
          </w:p>
        </w:tc>
        <w:tc>
          <w:tcPr>
            <w:tcW w:w="2564" w:type="dxa"/>
          </w:tcPr>
          <w:p w:rsidR="00CB0C06" w:rsidRPr="006D1DDF" w:rsidRDefault="00CB0C06" w:rsidP="00544037">
            <w:pPr>
              <w:keepNext/>
              <w:widowControl/>
              <w:jc w:val="right"/>
              <w:rPr>
                <w:rFonts w:ascii="Arial Narrow" w:hAnsi="Arial Narrow"/>
                <w:b/>
                <w:sz w:val="20"/>
                <w:szCs w:val="16"/>
                <w:lang w:val="en-GB"/>
              </w:rPr>
            </w:pPr>
            <w:r w:rsidRPr="006D1DDF">
              <w:rPr>
                <w:rFonts w:ascii="Arial Narrow" w:hAnsi="Arial Narrow"/>
                <w:b/>
                <w:sz w:val="20"/>
                <w:szCs w:val="16"/>
                <w:lang w:val="en-GB"/>
              </w:rPr>
              <w:t>$</w:t>
            </w:r>
            <w:r w:rsidR="0056677C">
              <w:rPr>
                <w:rFonts w:ascii="Arial Narrow" w:hAnsi="Arial Narrow"/>
                <w:b/>
                <w:noProof/>
                <w:color w:val="000000"/>
                <w:sz w:val="20"/>
                <w:szCs w:val="16"/>
                <w:highlight w:val="black"/>
                <w:lang w:val="en-GB"/>
              </w:rPr>
              <w:t>'''''''''''''</w:t>
            </w:r>
          </w:p>
          <w:p w:rsidR="00CB0C06" w:rsidRPr="006D1DDF" w:rsidRDefault="00CB0C06" w:rsidP="00544037">
            <w:pPr>
              <w:keepNext/>
              <w:widowControl/>
              <w:jc w:val="right"/>
              <w:rPr>
                <w:rFonts w:ascii="Arial Narrow" w:hAnsi="Arial Narrow"/>
                <w:b/>
                <w:i/>
                <w:sz w:val="20"/>
                <w:szCs w:val="16"/>
                <w:lang w:val="en-GB"/>
              </w:rPr>
            </w:pPr>
            <w:r w:rsidRPr="006D1DDF">
              <w:rPr>
                <w:rFonts w:ascii="Arial Narrow" w:hAnsi="Arial Narrow"/>
                <w:b/>
                <w:sz w:val="20"/>
                <w:szCs w:val="16"/>
                <w:lang w:val="en-GB"/>
              </w:rPr>
              <w:t>$</w:t>
            </w:r>
            <w:r w:rsidR="0056677C">
              <w:rPr>
                <w:rFonts w:ascii="Arial Narrow" w:hAnsi="Arial Narrow"/>
                <w:b/>
                <w:noProof/>
                <w:color w:val="000000"/>
                <w:sz w:val="20"/>
                <w:szCs w:val="16"/>
                <w:highlight w:val="black"/>
                <w:lang w:val="en-GB"/>
              </w:rPr>
              <w:t>'''''''''''''</w:t>
            </w:r>
            <w:r w:rsidRPr="006D1DDF">
              <w:rPr>
                <w:rFonts w:ascii="Arial Narrow" w:hAnsi="Arial Narrow" w:cs="Times New Roman"/>
                <w:sz w:val="20"/>
                <w:vertAlign w:val="superscript"/>
                <w:lang w:val="en-GB"/>
              </w:rPr>
              <w:t xml:space="preserve"> b</w:t>
            </w:r>
          </w:p>
        </w:tc>
      </w:tr>
    </w:tbl>
    <w:p w:rsidR="00CB0C06" w:rsidRPr="006D1DDF" w:rsidRDefault="00CB0C06" w:rsidP="00544037">
      <w:pPr>
        <w:pStyle w:val="TableFooter"/>
        <w:keepNext/>
        <w:widowControl/>
        <w:ind w:firstLine="720"/>
        <w:rPr>
          <w:lang w:val="en-GB"/>
        </w:rPr>
      </w:pPr>
      <w:r w:rsidRPr="006D1DDF">
        <w:rPr>
          <w:lang w:val="en-GB"/>
        </w:rPr>
        <w:t xml:space="preserve">Source: Table D.3, Table D.4 p257; Table D.5, p258; Table D.6, p261 of the submission </w:t>
      </w:r>
    </w:p>
    <w:p w:rsidR="00CB0C06" w:rsidRPr="006D1DDF" w:rsidRDefault="00CB0C06" w:rsidP="00544037">
      <w:pPr>
        <w:pStyle w:val="TableFooter"/>
        <w:keepNext/>
        <w:widowControl/>
        <w:ind w:left="709" w:firstLine="11"/>
      </w:pPr>
      <w:r w:rsidRPr="006D1DDF">
        <w:t>AE = adverse event; LY = life year; m = months; QALY = quality-adjusted life year; y = years; rit + chl = rituximab plus chlorambucil</w:t>
      </w:r>
    </w:p>
    <w:p w:rsidR="00CB0C06" w:rsidRPr="006D1DDF" w:rsidRDefault="00CB0C06" w:rsidP="00544037">
      <w:pPr>
        <w:pStyle w:val="TableFooter"/>
        <w:keepNext/>
        <w:widowControl/>
        <w:ind w:left="709" w:firstLine="11"/>
        <w:rPr>
          <w:lang w:val="en-GB"/>
        </w:rPr>
      </w:pPr>
      <w:r w:rsidRPr="006D1DDF">
        <w:rPr>
          <w:vertAlign w:val="superscript"/>
        </w:rPr>
        <w:t xml:space="preserve">a </w:t>
      </w:r>
      <w:r w:rsidRPr="006D1DDF">
        <w:rPr>
          <w:lang w:val="en-GB"/>
        </w:rPr>
        <w:t>Differences in incremental value compared to the treatment values were due to rounding</w:t>
      </w:r>
    </w:p>
    <w:p w:rsidR="00CB0C06" w:rsidRPr="006D1DDF" w:rsidRDefault="00CB0C06" w:rsidP="00113281">
      <w:pPr>
        <w:pStyle w:val="TableFooter"/>
        <w:keepNext/>
        <w:widowControl/>
        <w:ind w:left="709" w:firstLine="11"/>
        <w:rPr>
          <w:i/>
        </w:rPr>
      </w:pPr>
      <w:r w:rsidRPr="006D1DDF">
        <w:rPr>
          <w:vertAlign w:val="superscript"/>
        </w:rPr>
        <w:t xml:space="preserve">b </w:t>
      </w:r>
      <w:r w:rsidRPr="006D1DDF">
        <w:t>Corrected values for the mathematical error in applying the convergence factor in the economic model</w:t>
      </w:r>
    </w:p>
    <w:p w:rsidR="00CB0C06" w:rsidRPr="006D1DDF" w:rsidRDefault="00CB0C06" w:rsidP="00D110BD">
      <w:pPr>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The economic evaluation resulted in an incremental cost-effectiveness ratio (ICER) of $</w:t>
      </w:r>
      <w:r w:rsidR="001C587B">
        <w:rPr>
          <w:szCs w:val="22"/>
          <w:lang w:val="en-GB"/>
        </w:rPr>
        <w:t>45,000 - $75,000</w:t>
      </w:r>
      <w:r w:rsidRPr="006D1DDF">
        <w:rPr>
          <w:szCs w:val="22"/>
          <w:lang w:val="en-GB"/>
        </w:rPr>
        <w:t xml:space="preserve"> ($</w:t>
      </w:r>
      <w:r w:rsidR="001C587B">
        <w:rPr>
          <w:szCs w:val="22"/>
          <w:lang w:val="en-GB"/>
        </w:rPr>
        <w:t>45,000 - $75,000</w:t>
      </w:r>
      <w:r w:rsidRPr="006D1DDF">
        <w:rPr>
          <w:szCs w:val="22"/>
          <w:lang w:val="en-GB"/>
        </w:rPr>
        <w:t>, corrected for a mathematical error) per quality-adjusted life year (QALY) for ibrutinib versus rituximab plus chlorambucil</w:t>
      </w:r>
      <w:r w:rsidRPr="006D1DDF">
        <w:rPr>
          <w:i/>
          <w:lang w:val="en-GB"/>
        </w:rPr>
        <w:t xml:space="preserve">. </w:t>
      </w:r>
      <w:r w:rsidRPr="006D1DDF">
        <w:rPr>
          <w:szCs w:val="22"/>
          <w:lang w:val="en-GB"/>
        </w:rPr>
        <w:t>The ICER was uncertain due to:</w:t>
      </w:r>
    </w:p>
    <w:p w:rsidR="00CB0C06" w:rsidRPr="006D1DDF" w:rsidRDefault="00CB0C06" w:rsidP="00A26E51">
      <w:pPr>
        <w:pStyle w:val="ListParagraph"/>
        <w:widowControl/>
        <w:numPr>
          <w:ilvl w:val="0"/>
          <w:numId w:val="4"/>
        </w:numPr>
        <w:rPr>
          <w:szCs w:val="22"/>
          <w:lang w:val="en-GB"/>
        </w:rPr>
      </w:pPr>
      <w:r w:rsidRPr="006D1DDF">
        <w:rPr>
          <w:szCs w:val="22"/>
          <w:lang w:val="en-GB"/>
        </w:rPr>
        <w:t>the appropriateness of the use of the RESONATE trial to estimate the clinical efficacy:</w:t>
      </w:r>
    </w:p>
    <w:p w:rsidR="00CB0C06" w:rsidRPr="006D1DDF" w:rsidRDefault="00CB0C06" w:rsidP="00A26E51">
      <w:pPr>
        <w:pStyle w:val="ListParagraph"/>
        <w:widowControl/>
        <w:numPr>
          <w:ilvl w:val="1"/>
          <w:numId w:val="4"/>
        </w:numPr>
        <w:ind w:left="1701" w:hanging="283"/>
        <w:rPr>
          <w:szCs w:val="22"/>
          <w:lang w:val="en-GB"/>
        </w:rPr>
      </w:pPr>
      <w:r w:rsidRPr="006D1DDF">
        <w:rPr>
          <w:szCs w:val="22"/>
          <w:lang w:val="en-GB"/>
        </w:rPr>
        <w:t>trial duration was short compared to the model duration;</w:t>
      </w:r>
    </w:p>
    <w:p w:rsidR="00CB0C06" w:rsidRPr="006D1DDF" w:rsidRDefault="00CB0C06" w:rsidP="00A26E51">
      <w:pPr>
        <w:pStyle w:val="ListParagraph"/>
        <w:widowControl/>
        <w:numPr>
          <w:ilvl w:val="1"/>
          <w:numId w:val="4"/>
        </w:numPr>
        <w:ind w:left="1701" w:hanging="283"/>
        <w:rPr>
          <w:szCs w:val="22"/>
          <w:lang w:val="en-GB"/>
        </w:rPr>
      </w:pPr>
      <w:r w:rsidRPr="006D1DDF">
        <w:rPr>
          <w:szCs w:val="22"/>
          <w:lang w:val="en-GB"/>
        </w:rPr>
        <w:t>efficacy of ofatumumab might have been underestimated, due to trial design (open-label). The reported response rate was lower than response rates reported in the literature for second-line treatments (e.g. 13% for rituximab monotherapy in Study 116 (idelalisib trial)); and</w:t>
      </w:r>
    </w:p>
    <w:p w:rsidR="00CB0C06" w:rsidRPr="006D1DDF" w:rsidRDefault="00CB0C06" w:rsidP="00A26E51">
      <w:pPr>
        <w:pStyle w:val="ListParagraph"/>
        <w:widowControl/>
        <w:numPr>
          <w:ilvl w:val="1"/>
          <w:numId w:val="4"/>
        </w:numPr>
        <w:ind w:left="1701" w:hanging="283"/>
        <w:rPr>
          <w:szCs w:val="22"/>
          <w:lang w:val="en-GB"/>
        </w:rPr>
      </w:pPr>
      <w:r w:rsidRPr="006D1DDF">
        <w:rPr>
          <w:szCs w:val="22"/>
          <w:lang w:val="en-GB"/>
        </w:rPr>
        <w:lastRenderedPageBreak/>
        <w:t xml:space="preserve">evidence presented in the submission did not support that rituximab plus chlorambucil was equivalent to ofatumumab in terms of efficacy and safety. </w:t>
      </w:r>
    </w:p>
    <w:p w:rsidR="00CB0C06" w:rsidRPr="006D1DDF" w:rsidRDefault="00CB0C06" w:rsidP="00A26E51">
      <w:pPr>
        <w:pStyle w:val="ListParagraph"/>
        <w:numPr>
          <w:ilvl w:val="0"/>
          <w:numId w:val="4"/>
        </w:numPr>
        <w:rPr>
          <w:lang w:val="en-GB"/>
        </w:rPr>
      </w:pPr>
      <w:r w:rsidRPr="006D1DDF">
        <w:rPr>
          <w:lang w:val="en-GB"/>
        </w:rPr>
        <w:t>the time horizon was 20 years. This was longer than the 10 year time horizon which the PBAC considered appropriate for CLL patients who are older and have other comorbidities (rituximab public summary document March 2010). This longer time horizon favoured ibrutinib;</w:t>
      </w:r>
    </w:p>
    <w:p w:rsidR="00CB0C06" w:rsidRPr="006D1DDF" w:rsidRDefault="00CB0C06" w:rsidP="00A26E51">
      <w:pPr>
        <w:pStyle w:val="ListParagraph"/>
        <w:widowControl/>
        <w:numPr>
          <w:ilvl w:val="0"/>
          <w:numId w:val="4"/>
        </w:numPr>
        <w:rPr>
          <w:szCs w:val="22"/>
          <w:lang w:val="en-GB"/>
        </w:rPr>
      </w:pPr>
      <w:r w:rsidRPr="006D1DDF">
        <w:rPr>
          <w:szCs w:val="22"/>
          <w:lang w:val="en-GB"/>
        </w:rPr>
        <w:t>the exponential extrapolation of overall survival in the model beyond the trial duration did not fit the trial best by Akaike information criteria, as the submission excluded the lognormal and gamma distribution from its consideration. The submission excluded these models, as it would not reflect long-term overall survival. While this was correct, it might have been more appropriate to include the best fitting model as well as mortality due to non-CLL causes to better reflect overall survival in this patient group. Therefore, a model better reflecting clinical practice could include gamma extrapolation and apply Australian all-cause mortality rates. The PSCR argued that the gamma extrapolation was excluded as it was considered to overestimate survival and that the exponential function was used in the base case model as it gave an appropriate projection of survival. The PSCR considered that the modelling captures the necessary impacts of all cause mortality from the trial data. However, there was only 9 months of trial data which may not reflect the all-cause mortality rate over the full time horizon of the model. Overall, ESC considered that the larger is</w:t>
      </w:r>
      <w:r w:rsidR="001C587B">
        <w:rPr>
          <w:szCs w:val="22"/>
          <w:lang w:val="en-GB"/>
        </w:rPr>
        <w:t>sue was the assumption of a 20 </w:t>
      </w:r>
      <w:r w:rsidRPr="006D1DDF">
        <w:rPr>
          <w:szCs w:val="22"/>
          <w:lang w:val="en-GB"/>
        </w:rPr>
        <w:t xml:space="preserve">year time horizon rather than the method of extrapolation that was used; </w:t>
      </w:r>
    </w:p>
    <w:p w:rsidR="00CB0C06" w:rsidRPr="006D1DDF" w:rsidRDefault="00CB0C06" w:rsidP="00A26E51">
      <w:pPr>
        <w:pStyle w:val="ListParagraph"/>
        <w:numPr>
          <w:ilvl w:val="0"/>
          <w:numId w:val="4"/>
        </w:numPr>
        <w:rPr>
          <w:lang w:val="en-GB"/>
        </w:rPr>
      </w:pPr>
      <w:r w:rsidRPr="006D1DDF">
        <w:rPr>
          <w:lang w:val="en-GB"/>
        </w:rPr>
        <w:t>the convergence of effect of ibrutinib with ofatumumab which was applied at 25 years; which is longer than that recommended by the PBAC for rituximab plus chemotherapy (i.e. 10 year). This structural assumption favoured the overall survival gain seen in ibrutinib;</w:t>
      </w:r>
    </w:p>
    <w:p w:rsidR="00CB0C06" w:rsidRPr="006D1DDF" w:rsidRDefault="00CB0C06" w:rsidP="00375AAC">
      <w:pPr>
        <w:pStyle w:val="ListParagraph"/>
        <w:widowControl/>
        <w:numPr>
          <w:ilvl w:val="0"/>
          <w:numId w:val="4"/>
        </w:numPr>
        <w:rPr>
          <w:szCs w:val="22"/>
          <w:lang w:val="en-GB"/>
        </w:rPr>
      </w:pPr>
      <w:r w:rsidRPr="006D1DDF">
        <w:rPr>
          <w:szCs w:val="22"/>
          <w:lang w:val="en-GB"/>
        </w:rPr>
        <w:t>the three-state model used to estimate the cost and benefits did not reflect long term clinical practice of patients with CLL/SLL where most patients would be expected to receive more than two lines of treatment. A three-state model did not reflect treatment benefits and costs for future lines of treatment. An appropriate model structure would include progressed disease without treatment and progressed disease w</w:t>
      </w:r>
      <w:r w:rsidR="00397BE3">
        <w:rPr>
          <w:szCs w:val="22"/>
          <w:lang w:val="en-GB"/>
        </w:rPr>
        <w:t>ith further treatment. The PSCR</w:t>
      </w:r>
      <w:r w:rsidRPr="006D1DDF">
        <w:rPr>
          <w:szCs w:val="22"/>
          <w:lang w:val="en-GB"/>
        </w:rPr>
        <w:t xml:space="preserve"> argued that the structure reflects that patients are in a salvage treatment setting and that the structure was based on clinical expert advice. However, ESC considered that the model was unlikely to reflect all the treatment options available or the indolent nature of the disease; and</w:t>
      </w:r>
    </w:p>
    <w:p w:rsidR="00CB0C06" w:rsidRPr="006D1DDF" w:rsidRDefault="00CB0C06" w:rsidP="00A26E51">
      <w:pPr>
        <w:pStyle w:val="ListParagraph"/>
        <w:widowControl/>
        <w:numPr>
          <w:ilvl w:val="0"/>
          <w:numId w:val="4"/>
        </w:numPr>
        <w:rPr>
          <w:szCs w:val="22"/>
          <w:lang w:val="en-GB"/>
        </w:rPr>
      </w:pPr>
      <w:r w:rsidRPr="006D1DDF">
        <w:rPr>
          <w:szCs w:val="22"/>
          <w:lang w:val="en-GB"/>
        </w:rPr>
        <w:t xml:space="preserve">the submission did not include health state costs, which was inappropriate and was likely to favour ibrutinib as patients lived longer and would therefore have longer term healthcare costs. </w:t>
      </w:r>
    </w:p>
    <w:p w:rsidR="00CB0C06" w:rsidRPr="006D1DDF" w:rsidRDefault="00CB0C06" w:rsidP="00A86E8B">
      <w:pPr>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lang w:val="en-GB"/>
        </w:rPr>
        <w:t xml:space="preserve">The submission presented univariate sensitivity analyses, which indicated that the model was most sensitive to the price of ibrutinib, time horizon and convergence of overall survival benefit (Table </w:t>
      </w:r>
      <w:r w:rsidRPr="001C587B">
        <w:rPr>
          <w:lang w:val="en-GB"/>
        </w:rPr>
        <w:t>9</w:t>
      </w:r>
      <w:r w:rsidRPr="006D1DDF">
        <w:rPr>
          <w:lang w:val="en-GB"/>
        </w:rPr>
        <w:t>). The following issues were not tested in sensitivity analyses during evaluation: 1) use of interim analyses of the RESONATE trial; 2) other methods of extrapolation of overall survival; 3) additional health states post progression; and 4) inclusion of health state costs.</w:t>
      </w:r>
      <w:r w:rsidRPr="006D1DDF">
        <w:t xml:space="preserve"> </w:t>
      </w:r>
      <w:r w:rsidRPr="006D1DDF">
        <w:rPr>
          <w:lang w:val="en-GB"/>
        </w:rPr>
        <w:t>All analyses were updated to include the correction for the convergence factor.</w:t>
      </w:r>
    </w:p>
    <w:p w:rsidR="00CB0C06" w:rsidRPr="006D1DDF" w:rsidRDefault="00CB0C06" w:rsidP="00805185">
      <w:pPr>
        <w:jc w:val="left"/>
        <w:rPr>
          <w:rStyle w:val="CommentReference"/>
          <w:rFonts w:cs="Arial"/>
          <w:sz w:val="20"/>
          <w:szCs w:val="16"/>
        </w:rPr>
      </w:pPr>
    </w:p>
    <w:p w:rsidR="00CB0C06" w:rsidRPr="006D1DDF" w:rsidRDefault="00CB0C06" w:rsidP="001C587B">
      <w:pPr>
        <w:keepNext/>
        <w:ind w:left="709" w:firstLine="11"/>
        <w:jc w:val="left"/>
        <w:rPr>
          <w:rFonts w:ascii="Arial Narrow" w:hAnsi="Arial Narrow"/>
          <w:b/>
          <w:i/>
          <w:sz w:val="20"/>
          <w:szCs w:val="16"/>
        </w:rPr>
      </w:pPr>
      <w:r w:rsidRPr="006D1DDF">
        <w:rPr>
          <w:rStyle w:val="CommentReference"/>
          <w:rFonts w:cs="Arial"/>
          <w:sz w:val="20"/>
          <w:szCs w:val="16"/>
        </w:rPr>
        <w:lastRenderedPageBreak/>
        <w:t xml:space="preserve">Table </w:t>
      </w:r>
      <w:r w:rsidRPr="006D1DDF">
        <w:rPr>
          <w:rStyle w:val="CommentReference"/>
          <w:rFonts w:cs="Arial"/>
          <w:i/>
          <w:sz w:val="20"/>
          <w:szCs w:val="16"/>
        </w:rPr>
        <w:t>9</w:t>
      </w:r>
      <w:r w:rsidRPr="006D1DDF">
        <w:rPr>
          <w:rStyle w:val="CommentReference"/>
          <w:rFonts w:cs="Arial"/>
          <w:sz w:val="20"/>
          <w:szCs w:val="16"/>
        </w:rPr>
        <w:t>: Results of key univariate and multivariate sensitivity analyses (discounted) – updated for mathematical error in convergence factor</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21"/>
        <w:gridCol w:w="1249"/>
        <w:gridCol w:w="1559"/>
        <w:gridCol w:w="1117"/>
      </w:tblGrid>
      <w:tr w:rsidR="00CB0C06" w:rsidRPr="006D1DDF" w:rsidTr="00D2352A">
        <w:trPr>
          <w:tblHeader/>
        </w:trPr>
        <w:tc>
          <w:tcPr>
            <w:tcW w:w="4421" w:type="dxa"/>
            <w:vAlign w:val="center"/>
          </w:tcPr>
          <w:p w:rsidR="00CB0C06" w:rsidRPr="006D1DDF" w:rsidRDefault="00CB0C06" w:rsidP="00C224A9">
            <w:pPr>
              <w:jc w:val="left"/>
              <w:rPr>
                <w:rFonts w:ascii="Arial Narrow" w:hAnsi="Arial Narrow"/>
                <w:sz w:val="20"/>
                <w:lang w:val="en-GB"/>
              </w:rPr>
            </w:pPr>
            <w:r w:rsidRPr="006D1DDF">
              <w:rPr>
                <w:rFonts w:ascii="Arial Narrow" w:hAnsi="Arial Narrow"/>
                <w:b/>
                <w:sz w:val="20"/>
                <w:lang w:val="en-GB"/>
              </w:rPr>
              <w:t>Univariate analyses</w:t>
            </w:r>
          </w:p>
        </w:tc>
        <w:tc>
          <w:tcPr>
            <w:tcW w:w="1249" w:type="dxa"/>
            <w:vAlign w:val="center"/>
          </w:tcPr>
          <w:p w:rsidR="00CB0C06" w:rsidRPr="006D1DDF" w:rsidRDefault="00CB0C06" w:rsidP="00C224A9">
            <w:pPr>
              <w:jc w:val="center"/>
              <w:rPr>
                <w:rFonts w:ascii="Arial Narrow" w:hAnsi="Arial Narrow"/>
                <w:sz w:val="20"/>
                <w:lang w:val="en-GB"/>
              </w:rPr>
            </w:pPr>
            <w:r w:rsidRPr="006D1DDF">
              <w:rPr>
                <w:rFonts w:ascii="Arial Narrow" w:hAnsi="Arial Narrow"/>
                <w:b/>
                <w:sz w:val="20"/>
                <w:lang w:val="en-GB"/>
              </w:rPr>
              <w:t>Inc. costs</w:t>
            </w:r>
          </w:p>
        </w:tc>
        <w:tc>
          <w:tcPr>
            <w:tcW w:w="1559" w:type="dxa"/>
            <w:vAlign w:val="center"/>
          </w:tcPr>
          <w:p w:rsidR="00CB0C06" w:rsidRPr="006D1DDF" w:rsidRDefault="00CB0C06" w:rsidP="00C224A9">
            <w:pPr>
              <w:jc w:val="center"/>
              <w:rPr>
                <w:rFonts w:ascii="Arial Narrow" w:hAnsi="Arial Narrow"/>
                <w:sz w:val="20"/>
                <w:lang w:val="en-GB"/>
              </w:rPr>
            </w:pPr>
            <w:r w:rsidRPr="006D1DDF">
              <w:rPr>
                <w:rFonts w:ascii="Arial Narrow" w:hAnsi="Arial Narrow"/>
                <w:b/>
                <w:sz w:val="20"/>
                <w:lang w:val="en-GB"/>
              </w:rPr>
              <w:t>Inc. effectiveness</w:t>
            </w:r>
          </w:p>
        </w:tc>
        <w:tc>
          <w:tcPr>
            <w:tcW w:w="1117" w:type="dxa"/>
            <w:vAlign w:val="center"/>
          </w:tcPr>
          <w:p w:rsidR="00CB0C06" w:rsidRPr="006D1DDF" w:rsidRDefault="00CB0C06" w:rsidP="00C224A9">
            <w:pPr>
              <w:jc w:val="center"/>
              <w:rPr>
                <w:rFonts w:ascii="Arial Narrow" w:hAnsi="Arial Narrow"/>
                <w:sz w:val="20"/>
                <w:lang w:val="en-GB"/>
              </w:rPr>
            </w:pPr>
            <w:r w:rsidRPr="006D1DDF">
              <w:rPr>
                <w:rFonts w:ascii="Arial Narrow" w:hAnsi="Arial Narrow"/>
                <w:b/>
                <w:sz w:val="20"/>
                <w:lang w:val="en-GB"/>
              </w:rPr>
              <w:t>Inc. CE</w:t>
            </w:r>
          </w:p>
        </w:tc>
      </w:tr>
      <w:tr w:rsidR="00CB0C06" w:rsidRPr="006D1DDF" w:rsidTr="00D2352A">
        <w:tc>
          <w:tcPr>
            <w:tcW w:w="4421" w:type="dxa"/>
            <w:vAlign w:val="center"/>
          </w:tcPr>
          <w:p w:rsidR="00CB0C06" w:rsidRPr="006D1DDF" w:rsidRDefault="00CB0C06" w:rsidP="00C224A9">
            <w:pPr>
              <w:jc w:val="left"/>
              <w:rPr>
                <w:rFonts w:ascii="Arial Narrow" w:hAnsi="Arial Narrow"/>
                <w:sz w:val="20"/>
                <w:lang w:val="en-GB"/>
              </w:rPr>
            </w:pPr>
            <w:r w:rsidRPr="006D1DDF">
              <w:rPr>
                <w:rFonts w:ascii="Arial Narrow" w:hAnsi="Arial Narrow"/>
                <w:sz w:val="20"/>
                <w:lang w:val="en-GB"/>
              </w:rPr>
              <w:t>Base case (submission)</w:t>
            </w:r>
          </w:p>
        </w:tc>
        <w:tc>
          <w:tcPr>
            <w:tcW w:w="1249" w:type="dxa"/>
            <w:vAlign w:val="center"/>
          </w:tcPr>
          <w:p w:rsidR="00CB0C06" w:rsidRPr="006D1DDF" w:rsidRDefault="00CB0C06" w:rsidP="00C224A9">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vAlign w:val="center"/>
          </w:tcPr>
          <w:p w:rsidR="00CB0C06" w:rsidRPr="0056677C" w:rsidRDefault="0056677C" w:rsidP="00C224A9">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vAlign w:val="center"/>
          </w:tcPr>
          <w:p w:rsidR="00CB0C06" w:rsidRPr="006D1DDF" w:rsidRDefault="00CB0C06" w:rsidP="00C224A9">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1C587B">
        <w:tc>
          <w:tcPr>
            <w:tcW w:w="4421" w:type="dxa"/>
            <w:tcBorders>
              <w:bottom w:val="single" w:sz="4" w:space="0" w:color="auto"/>
            </w:tcBorders>
            <w:vAlign w:val="center"/>
          </w:tcPr>
          <w:p w:rsidR="00CB0C06" w:rsidRPr="006D1DDF" w:rsidRDefault="00CB0C06" w:rsidP="00C224A9">
            <w:pPr>
              <w:jc w:val="left"/>
              <w:rPr>
                <w:rFonts w:ascii="Arial Narrow" w:hAnsi="Arial Narrow"/>
                <w:b/>
                <w:sz w:val="20"/>
                <w:lang w:val="en-GB"/>
              </w:rPr>
            </w:pPr>
            <w:r w:rsidRPr="006D1DDF">
              <w:rPr>
                <w:rFonts w:ascii="Arial Narrow" w:hAnsi="Arial Narrow"/>
                <w:b/>
                <w:sz w:val="20"/>
                <w:lang w:val="en-GB"/>
              </w:rPr>
              <w:t>Base case – corrected for convergence error</w:t>
            </w:r>
          </w:p>
        </w:tc>
        <w:tc>
          <w:tcPr>
            <w:tcW w:w="1249" w:type="dxa"/>
            <w:tcBorders>
              <w:bottom w:val="single" w:sz="4" w:space="0" w:color="auto"/>
            </w:tcBorders>
            <w:vAlign w:val="center"/>
          </w:tcPr>
          <w:p w:rsidR="00CB0C06" w:rsidRPr="006D1DDF" w:rsidRDefault="00CB0C06" w:rsidP="00C224A9">
            <w:pPr>
              <w:jc w:val="right"/>
              <w:rPr>
                <w:rFonts w:ascii="Arial Narrow" w:hAnsi="Arial Narrow"/>
                <w:b/>
                <w:sz w:val="20"/>
                <w:lang w:val="en-GB"/>
              </w:rPr>
            </w:pPr>
            <w:r w:rsidRPr="006D1DDF">
              <w:rPr>
                <w:rFonts w:ascii="Arial Narrow" w:hAnsi="Arial Narrow"/>
                <w:b/>
                <w:sz w:val="20"/>
                <w:lang w:val="en-GB"/>
              </w:rPr>
              <w:t>$</w:t>
            </w:r>
            <w:r w:rsidR="0056677C">
              <w:rPr>
                <w:rFonts w:ascii="Arial Narrow" w:hAnsi="Arial Narrow"/>
                <w:b/>
                <w:noProof/>
                <w:color w:val="000000"/>
                <w:sz w:val="20"/>
                <w:highlight w:val="black"/>
                <w:lang w:val="en-GB"/>
              </w:rPr>
              <w:t>''''''''''''''</w:t>
            </w:r>
          </w:p>
        </w:tc>
        <w:tc>
          <w:tcPr>
            <w:tcW w:w="1559" w:type="dxa"/>
            <w:tcBorders>
              <w:bottom w:val="single" w:sz="4" w:space="0" w:color="auto"/>
            </w:tcBorders>
            <w:vAlign w:val="center"/>
          </w:tcPr>
          <w:p w:rsidR="00CB0C06" w:rsidRPr="0056677C" w:rsidRDefault="0056677C" w:rsidP="00C224A9">
            <w:pPr>
              <w:jc w:val="center"/>
              <w:rPr>
                <w:rFonts w:ascii="Arial Narrow" w:hAnsi="Arial Narrow"/>
                <w:b/>
                <w:sz w:val="20"/>
                <w:highlight w:val="black"/>
                <w:lang w:val="en-GB"/>
              </w:rPr>
            </w:pPr>
            <w:r>
              <w:rPr>
                <w:rFonts w:ascii="Arial Narrow" w:hAnsi="Arial Narrow"/>
                <w:b/>
                <w:noProof/>
                <w:color w:val="000000"/>
                <w:sz w:val="20"/>
                <w:highlight w:val="black"/>
                <w:lang w:val="en-GB"/>
              </w:rPr>
              <w:t>''''''''</w:t>
            </w:r>
          </w:p>
        </w:tc>
        <w:tc>
          <w:tcPr>
            <w:tcW w:w="1117" w:type="dxa"/>
            <w:tcBorders>
              <w:bottom w:val="single" w:sz="4" w:space="0" w:color="auto"/>
            </w:tcBorders>
            <w:vAlign w:val="center"/>
          </w:tcPr>
          <w:p w:rsidR="00CB0C06" w:rsidRPr="006D1DDF" w:rsidRDefault="00CB0C06" w:rsidP="00C224A9">
            <w:pPr>
              <w:jc w:val="right"/>
              <w:rPr>
                <w:rFonts w:ascii="Arial Narrow" w:hAnsi="Arial Narrow"/>
                <w:b/>
                <w:sz w:val="20"/>
                <w:lang w:val="en-GB"/>
              </w:rPr>
            </w:pPr>
            <w:r w:rsidRPr="006D1DDF">
              <w:rPr>
                <w:rFonts w:ascii="Arial Narrow" w:hAnsi="Arial Narrow"/>
                <w:b/>
                <w:sz w:val="20"/>
                <w:lang w:val="en-GB"/>
              </w:rPr>
              <w:t>$</w:t>
            </w:r>
            <w:r w:rsidR="0056677C">
              <w:rPr>
                <w:rFonts w:ascii="Arial Narrow" w:hAnsi="Arial Narrow"/>
                <w:b/>
                <w:noProof/>
                <w:color w:val="000000"/>
                <w:sz w:val="20"/>
                <w:highlight w:val="black"/>
                <w:lang w:val="en-GB"/>
              </w:rPr>
              <w:t>'''''''''''''''</w:t>
            </w:r>
          </w:p>
        </w:tc>
      </w:tr>
      <w:tr w:rsidR="00CB0C06" w:rsidRPr="006D1DDF" w:rsidTr="001C587B">
        <w:tc>
          <w:tcPr>
            <w:tcW w:w="4421" w:type="dxa"/>
            <w:tcBorders>
              <w:bottom w:val="nil"/>
            </w:tcBorders>
            <w:vAlign w:val="center"/>
          </w:tcPr>
          <w:p w:rsidR="00CB0C06" w:rsidRPr="006D1DDF" w:rsidRDefault="00CB0C06" w:rsidP="001C587B">
            <w:pPr>
              <w:jc w:val="left"/>
              <w:rPr>
                <w:rFonts w:ascii="Arial Narrow" w:hAnsi="Arial Narrow"/>
                <w:sz w:val="20"/>
                <w:lang w:val="en-GB"/>
              </w:rPr>
            </w:pPr>
            <w:r w:rsidRPr="006D1DDF">
              <w:rPr>
                <w:rFonts w:ascii="Arial Narrow" w:hAnsi="Arial Narrow"/>
                <w:sz w:val="20"/>
                <w:lang w:val="en-GB"/>
              </w:rPr>
              <w:t>Time horizon (base case = 20 years)</w:t>
            </w:r>
          </w:p>
        </w:tc>
        <w:tc>
          <w:tcPr>
            <w:tcW w:w="1249" w:type="dxa"/>
            <w:tcBorders>
              <w:bottom w:val="nil"/>
            </w:tcBorders>
          </w:tcPr>
          <w:p w:rsidR="00CB0C06" w:rsidRPr="006D1DDF" w:rsidRDefault="00CB0C06" w:rsidP="001C587B">
            <w:pPr>
              <w:rPr>
                <w:rFonts w:ascii="Arial Narrow" w:hAnsi="Arial Narrow"/>
                <w:sz w:val="20"/>
                <w:lang w:val="en-GB"/>
              </w:rPr>
            </w:pPr>
          </w:p>
        </w:tc>
        <w:tc>
          <w:tcPr>
            <w:tcW w:w="1559" w:type="dxa"/>
            <w:tcBorders>
              <w:bottom w:val="nil"/>
            </w:tcBorders>
          </w:tcPr>
          <w:p w:rsidR="00CB0C06" w:rsidRPr="006D1DDF" w:rsidRDefault="00CB0C06" w:rsidP="001C587B">
            <w:pPr>
              <w:rPr>
                <w:rFonts w:ascii="Arial Narrow" w:hAnsi="Arial Narrow"/>
                <w:sz w:val="20"/>
                <w:lang w:val="en-GB"/>
              </w:rPr>
            </w:pPr>
          </w:p>
        </w:tc>
        <w:tc>
          <w:tcPr>
            <w:tcW w:w="1117" w:type="dxa"/>
            <w:tcBorders>
              <w:bottom w:val="nil"/>
            </w:tcBorders>
          </w:tcPr>
          <w:p w:rsidR="00CB0C06" w:rsidRPr="006D1DDF" w:rsidRDefault="00CB0C06" w:rsidP="001C587B">
            <w:pPr>
              <w:rPr>
                <w:rFonts w:ascii="Arial Narrow" w:hAnsi="Arial Narrow"/>
                <w:sz w:val="20"/>
                <w:lang w:val="en-GB"/>
              </w:rPr>
            </w:pPr>
          </w:p>
        </w:tc>
      </w:tr>
      <w:tr w:rsidR="001C587B" w:rsidRPr="006D1DDF" w:rsidTr="001C587B">
        <w:tc>
          <w:tcPr>
            <w:tcW w:w="4421" w:type="dxa"/>
            <w:tcBorders>
              <w:top w:val="nil"/>
              <w:bottom w:val="nil"/>
            </w:tcBorders>
            <w:vAlign w:val="center"/>
          </w:tcPr>
          <w:p w:rsidR="001C587B" w:rsidRPr="006D1DDF" w:rsidRDefault="001C587B" w:rsidP="005C22D4">
            <w:pPr>
              <w:ind w:firstLine="256"/>
              <w:jc w:val="left"/>
              <w:rPr>
                <w:rFonts w:ascii="Arial Narrow" w:hAnsi="Arial Narrow"/>
                <w:sz w:val="20"/>
                <w:lang w:val="en-GB"/>
              </w:rPr>
            </w:pPr>
            <w:r w:rsidRPr="006D1DDF">
              <w:rPr>
                <w:rFonts w:ascii="Arial Narrow" w:hAnsi="Arial Narrow"/>
                <w:sz w:val="20"/>
                <w:lang w:val="en-GB"/>
              </w:rPr>
              <w:t>5 years</w:t>
            </w:r>
            <w:r w:rsidR="00207334" w:rsidRPr="0056677C">
              <w:rPr>
                <w:rFonts w:ascii="Arial Narrow" w:hAnsi="Arial Narrow"/>
                <w:sz w:val="20"/>
                <w:vertAlign w:val="superscript"/>
                <w:lang w:val="en-GB"/>
              </w:rPr>
              <w:t>c</w:t>
            </w:r>
          </w:p>
        </w:tc>
        <w:tc>
          <w:tcPr>
            <w:tcW w:w="1249" w:type="dxa"/>
            <w:tcBorders>
              <w:top w:val="nil"/>
              <w:bottom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bottom w:val="nil"/>
            </w:tcBorders>
          </w:tcPr>
          <w:p w:rsidR="001C587B" w:rsidRPr="0056677C" w:rsidRDefault="0056677C" w:rsidP="001C587B">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bottom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1C587B" w:rsidRPr="006D1DDF" w:rsidTr="001C587B">
        <w:tc>
          <w:tcPr>
            <w:tcW w:w="4421" w:type="dxa"/>
            <w:tcBorders>
              <w:top w:val="nil"/>
              <w:bottom w:val="nil"/>
            </w:tcBorders>
            <w:vAlign w:val="center"/>
          </w:tcPr>
          <w:p w:rsidR="001C587B" w:rsidRPr="006D1DDF" w:rsidRDefault="001C587B" w:rsidP="005C22D4">
            <w:pPr>
              <w:ind w:firstLine="256"/>
              <w:jc w:val="left"/>
              <w:rPr>
                <w:rFonts w:ascii="Arial Narrow" w:hAnsi="Arial Narrow"/>
                <w:sz w:val="20"/>
                <w:lang w:val="en-GB"/>
              </w:rPr>
            </w:pPr>
            <w:r w:rsidRPr="006D1DDF">
              <w:rPr>
                <w:rFonts w:ascii="Arial Narrow" w:hAnsi="Arial Narrow"/>
                <w:sz w:val="20"/>
                <w:lang w:val="en-GB"/>
              </w:rPr>
              <w:t>10 years</w:t>
            </w:r>
          </w:p>
        </w:tc>
        <w:tc>
          <w:tcPr>
            <w:tcW w:w="1249" w:type="dxa"/>
            <w:tcBorders>
              <w:top w:val="nil"/>
              <w:bottom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bottom w:val="nil"/>
            </w:tcBorders>
          </w:tcPr>
          <w:p w:rsidR="001C587B" w:rsidRPr="0056677C" w:rsidRDefault="0056677C" w:rsidP="001C587B">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bottom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1C587B" w:rsidRPr="006D1DDF" w:rsidTr="001C587B">
        <w:tc>
          <w:tcPr>
            <w:tcW w:w="4421" w:type="dxa"/>
            <w:tcBorders>
              <w:top w:val="nil"/>
            </w:tcBorders>
            <w:vAlign w:val="center"/>
          </w:tcPr>
          <w:p w:rsidR="001C587B" w:rsidRPr="006D1DDF" w:rsidRDefault="001C587B" w:rsidP="005C22D4">
            <w:pPr>
              <w:ind w:firstLine="256"/>
              <w:jc w:val="left"/>
              <w:rPr>
                <w:rFonts w:ascii="Arial Narrow" w:hAnsi="Arial Narrow"/>
                <w:sz w:val="20"/>
                <w:lang w:val="en-GB"/>
              </w:rPr>
            </w:pPr>
            <w:r w:rsidRPr="006D1DDF">
              <w:rPr>
                <w:rFonts w:ascii="Arial Narrow" w:hAnsi="Arial Narrow"/>
                <w:sz w:val="20"/>
                <w:lang w:val="en-GB"/>
              </w:rPr>
              <w:t>15 years</w:t>
            </w:r>
          </w:p>
        </w:tc>
        <w:tc>
          <w:tcPr>
            <w:tcW w:w="1249" w:type="dxa"/>
            <w:tcBorders>
              <w:top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tcBorders>
          </w:tcPr>
          <w:p w:rsidR="001C587B" w:rsidRPr="0056677C" w:rsidRDefault="0056677C" w:rsidP="0004758D">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tcBorders>
          </w:tcPr>
          <w:p w:rsidR="001C587B" w:rsidRPr="006D1DDF" w:rsidRDefault="001C587B" w:rsidP="001C587B">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EA0ED5">
        <w:tc>
          <w:tcPr>
            <w:tcW w:w="4421" w:type="dxa"/>
            <w:tcBorders>
              <w:bottom w:val="single" w:sz="4" w:space="0" w:color="auto"/>
            </w:tcBorders>
            <w:vAlign w:val="center"/>
          </w:tcPr>
          <w:p w:rsidR="00CB0C06" w:rsidRPr="006D1DDF" w:rsidRDefault="00CB0C06" w:rsidP="00C7220C">
            <w:pPr>
              <w:jc w:val="left"/>
              <w:rPr>
                <w:rFonts w:ascii="Arial Narrow" w:hAnsi="Arial Narrow"/>
                <w:sz w:val="20"/>
                <w:lang w:val="en-GB"/>
              </w:rPr>
            </w:pPr>
            <w:r w:rsidRPr="006D1DDF">
              <w:rPr>
                <w:rFonts w:ascii="Arial Narrow" w:hAnsi="Arial Narrow"/>
                <w:sz w:val="20"/>
                <w:lang w:val="en-GB"/>
              </w:rPr>
              <w:t>Extrapolation: no convergence of overall survival (base case = after 25 year)</w:t>
            </w:r>
            <w:r w:rsidRPr="006D1DDF" w:rsidDel="007E1599">
              <w:rPr>
                <w:rFonts w:ascii="Arial Narrow" w:hAnsi="Arial Narrow"/>
                <w:sz w:val="20"/>
                <w:lang w:val="en-GB"/>
              </w:rPr>
              <w:t xml:space="preserve"> </w:t>
            </w:r>
          </w:p>
        </w:tc>
        <w:tc>
          <w:tcPr>
            <w:tcW w:w="1249" w:type="dxa"/>
            <w:tcBorders>
              <w:bottom w:val="single" w:sz="4" w:space="0" w:color="auto"/>
            </w:tcBorders>
            <w:vAlign w:val="center"/>
          </w:tcPr>
          <w:p w:rsidR="00CB0C06" w:rsidRPr="006D1DDF" w:rsidRDefault="00CB0C06" w:rsidP="00C7220C">
            <w:pPr>
              <w:jc w:val="right"/>
              <w:rPr>
                <w:rFonts w:ascii="Arial Narrow" w:hAnsi="Arial Narrow"/>
                <w:sz w:val="20"/>
                <w:lang w:val="en-GB"/>
              </w:rPr>
            </w:pPr>
          </w:p>
          <w:p w:rsidR="00CB0C06" w:rsidRPr="006D1DDF" w:rsidRDefault="00CB0C06" w:rsidP="00C7220C">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bottom w:val="single" w:sz="4" w:space="0" w:color="auto"/>
            </w:tcBorders>
            <w:vAlign w:val="center"/>
          </w:tcPr>
          <w:p w:rsidR="00CB0C06" w:rsidRPr="006D1DDF" w:rsidRDefault="00CB0C06" w:rsidP="00C7220C">
            <w:pPr>
              <w:jc w:val="center"/>
              <w:rPr>
                <w:rFonts w:ascii="Arial Narrow" w:hAnsi="Arial Narrow"/>
                <w:sz w:val="20"/>
                <w:lang w:val="en-GB"/>
              </w:rPr>
            </w:pPr>
          </w:p>
          <w:p w:rsidR="00CB0C06" w:rsidRPr="0056677C" w:rsidRDefault="0056677C" w:rsidP="00C7220C">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bottom w:val="single" w:sz="4" w:space="0" w:color="auto"/>
            </w:tcBorders>
            <w:vAlign w:val="center"/>
          </w:tcPr>
          <w:p w:rsidR="00CB0C06" w:rsidRPr="006D1DDF" w:rsidRDefault="00CB0C06" w:rsidP="00C7220C">
            <w:pPr>
              <w:jc w:val="right"/>
              <w:rPr>
                <w:rFonts w:ascii="Arial Narrow" w:hAnsi="Arial Narrow"/>
                <w:sz w:val="20"/>
                <w:lang w:val="en-GB"/>
              </w:rPr>
            </w:pPr>
          </w:p>
          <w:p w:rsidR="00CB0C06" w:rsidRPr="006D1DDF" w:rsidRDefault="00CB0C06" w:rsidP="00C7220C">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EA0ED5">
        <w:tc>
          <w:tcPr>
            <w:tcW w:w="4421" w:type="dxa"/>
            <w:tcBorders>
              <w:bottom w:val="nil"/>
            </w:tcBorders>
          </w:tcPr>
          <w:p w:rsidR="00CB0C06" w:rsidRPr="00EA0ED5" w:rsidRDefault="00CB0C06" w:rsidP="00EA0ED5">
            <w:pPr>
              <w:jc w:val="left"/>
              <w:rPr>
                <w:rFonts w:ascii="Arial Narrow" w:hAnsi="Arial Narrow"/>
                <w:sz w:val="20"/>
                <w:vertAlign w:val="superscript"/>
                <w:lang w:val="en-GB"/>
              </w:rPr>
            </w:pPr>
            <w:r w:rsidRPr="006D1DDF">
              <w:rPr>
                <w:rFonts w:ascii="Arial Narrow" w:hAnsi="Arial Narrow"/>
                <w:sz w:val="20"/>
                <w:lang w:val="en-GB"/>
              </w:rPr>
              <w:t xml:space="preserve">Time point for convergence (base case = end trial follow-up) </w:t>
            </w:r>
          </w:p>
        </w:tc>
        <w:tc>
          <w:tcPr>
            <w:tcW w:w="1249" w:type="dxa"/>
            <w:tcBorders>
              <w:bottom w:val="nil"/>
            </w:tcBorders>
          </w:tcPr>
          <w:p w:rsidR="00CB0C06" w:rsidRPr="006D1DDF" w:rsidRDefault="00CB0C06" w:rsidP="00EA0ED5">
            <w:pPr>
              <w:rPr>
                <w:rFonts w:ascii="Arial Narrow" w:hAnsi="Arial Narrow"/>
                <w:sz w:val="20"/>
                <w:lang w:val="en-GB"/>
              </w:rPr>
            </w:pPr>
          </w:p>
        </w:tc>
        <w:tc>
          <w:tcPr>
            <w:tcW w:w="1559" w:type="dxa"/>
            <w:tcBorders>
              <w:bottom w:val="nil"/>
            </w:tcBorders>
          </w:tcPr>
          <w:p w:rsidR="00CB0C06" w:rsidRPr="006D1DDF" w:rsidRDefault="00CB0C06" w:rsidP="00EA0ED5">
            <w:pPr>
              <w:rPr>
                <w:rFonts w:ascii="Arial Narrow" w:hAnsi="Arial Narrow"/>
                <w:sz w:val="20"/>
                <w:lang w:val="en-GB"/>
              </w:rPr>
            </w:pPr>
          </w:p>
        </w:tc>
        <w:tc>
          <w:tcPr>
            <w:tcW w:w="1117" w:type="dxa"/>
            <w:tcBorders>
              <w:bottom w:val="nil"/>
            </w:tcBorders>
          </w:tcPr>
          <w:p w:rsidR="00CB0C06" w:rsidRPr="006D1DDF" w:rsidRDefault="00CB0C06" w:rsidP="00EA0ED5">
            <w:pPr>
              <w:rPr>
                <w:rFonts w:ascii="Arial Narrow" w:hAnsi="Arial Narrow"/>
                <w:sz w:val="20"/>
                <w:lang w:val="en-GB"/>
              </w:rPr>
            </w:pPr>
          </w:p>
        </w:tc>
      </w:tr>
      <w:tr w:rsidR="00EA0ED5" w:rsidRPr="006D1DDF" w:rsidTr="00EA0ED5">
        <w:tc>
          <w:tcPr>
            <w:tcW w:w="4421" w:type="dxa"/>
            <w:tcBorders>
              <w:top w:val="nil"/>
              <w:bottom w:val="nil"/>
            </w:tcBorders>
          </w:tcPr>
          <w:p w:rsidR="00EA0ED5" w:rsidRPr="006D1DDF" w:rsidRDefault="00EA0ED5" w:rsidP="005C22D4">
            <w:pPr>
              <w:ind w:firstLine="256"/>
              <w:jc w:val="left"/>
              <w:rPr>
                <w:rFonts w:ascii="Arial Narrow" w:hAnsi="Arial Narrow"/>
                <w:sz w:val="20"/>
                <w:lang w:val="en-GB"/>
              </w:rPr>
            </w:pPr>
            <w:r w:rsidRPr="006D1DDF">
              <w:rPr>
                <w:rFonts w:ascii="Arial Narrow" w:hAnsi="Arial Narrow"/>
                <w:sz w:val="20"/>
                <w:lang w:val="en-GB"/>
              </w:rPr>
              <w:t>5 years</w:t>
            </w:r>
          </w:p>
        </w:tc>
        <w:tc>
          <w:tcPr>
            <w:tcW w:w="1249" w:type="dxa"/>
            <w:tcBorders>
              <w:top w:val="nil"/>
              <w:bottom w:val="nil"/>
            </w:tcBorders>
          </w:tcPr>
          <w:p w:rsidR="00EA0ED5" w:rsidRPr="006D1DDF" w:rsidRDefault="00EA0ED5" w:rsidP="00EA0ED5">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bottom w:val="nil"/>
            </w:tcBorders>
          </w:tcPr>
          <w:p w:rsidR="00EA0ED5" w:rsidRPr="0056677C" w:rsidRDefault="0056677C" w:rsidP="00EA0ED5">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bottom w:val="nil"/>
            </w:tcBorders>
          </w:tcPr>
          <w:p w:rsidR="00EA0ED5" w:rsidRPr="006D1DDF" w:rsidRDefault="00EA0ED5" w:rsidP="00EA0ED5">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EA0ED5" w:rsidRPr="006D1DDF" w:rsidTr="00EA0ED5">
        <w:tc>
          <w:tcPr>
            <w:tcW w:w="4421" w:type="dxa"/>
            <w:tcBorders>
              <w:top w:val="nil"/>
              <w:bottom w:val="single" w:sz="4" w:space="0" w:color="auto"/>
            </w:tcBorders>
          </w:tcPr>
          <w:p w:rsidR="00EA0ED5" w:rsidRPr="006D1DDF" w:rsidRDefault="00EA0ED5" w:rsidP="005C22D4">
            <w:pPr>
              <w:ind w:firstLine="256"/>
              <w:jc w:val="left"/>
              <w:rPr>
                <w:rFonts w:ascii="Arial Narrow" w:hAnsi="Arial Narrow"/>
                <w:sz w:val="20"/>
                <w:lang w:val="en-GB"/>
              </w:rPr>
            </w:pPr>
            <w:r w:rsidRPr="006D1DDF">
              <w:rPr>
                <w:rFonts w:ascii="Arial Narrow" w:hAnsi="Arial Narrow"/>
                <w:sz w:val="20"/>
                <w:lang w:val="en-GB"/>
              </w:rPr>
              <w:t>10 years</w:t>
            </w:r>
          </w:p>
        </w:tc>
        <w:tc>
          <w:tcPr>
            <w:tcW w:w="1249" w:type="dxa"/>
            <w:tcBorders>
              <w:top w:val="nil"/>
              <w:bottom w:val="single" w:sz="4" w:space="0" w:color="auto"/>
            </w:tcBorders>
          </w:tcPr>
          <w:p w:rsidR="00EA0ED5" w:rsidRPr="006D1DDF" w:rsidRDefault="00EA0ED5" w:rsidP="00EA0ED5">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bottom w:val="single" w:sz="4" w:space="0" w:color="auto"/>
            </w:tcBorders>
          </w:tcPr>
          <w:p w:rsidR="00EA0ED5" w:rsidRPr="0056677C" w:rsidRDefault="0056677C" w:rsidP="00C7220C">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bottom w:val="single" w:sz="4" w:space="0" w:color="auto"/>
            </w:tcBorders>
          </w:tcPr>
          <w:p w:rsidR="00EA0ED5" w:rsidRPr="006D1DDF" w:rsidRDefault="00EA0ED5" w:rsidP="00EA0ED5">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EA0ED5">
        <w:tc>
          <w:tcPr>
            <w:tcW w:w="4421" w:type="dxa"/>
            <w:tcBorders>
              <w:bottom w:val="nil"/>
            </w:tcBorders>
            <w:vAlign w:val="center"/>
          </w:tcPr>
          <w:p w:rsidR="00CB0C06" w:rsidRPr="008A034C" w:rsidRDefault="00CB0C06" w:rsidP="00EA0ED5">
            <w:pPr>
              <w:jc w:val="left"/>
              <w:rPr>
                <w:rFonts w:ascii="Arial Narrow" w:hAnsi="Arial Narrow"/>
                <w:sz w:val="20"/>
                <w:lang w:val="en-GB"/>
              </w:rPr>
            </w:pPr>
            <w:r w:rsidRPr="008A034C">
              <w:rPr>
                <w:rFonts w:ascii="Arial Narrow" w:hAnsi="Arial Narrow"/>
                <w:sz w:val="20"/>
                <w:lang w:val="en-GB"/>
              </w:rPr>
              <w:t>Convergence at 10 year</w:t>
            </w:r>
            <w:r w:rsidR="00207334" w:rsidRPr="0056677C">
              <w:rPr>
                <w:rFonts w:ascii="Arial Narrow" w:hAnsi="Arial Narrow"/>
                <w:sz w:val="20"/>
                <w:vertAlign w:val="superscript"/>
                <w:lang w:val="en-GB"/>
              </w:rPr>
              <w:t>c</w:t>
            </w:r>
          </w:p>
        </w:tc>
        <w:tc>
          <w:tcPr>
            <w:tcW w:w="1249" w:type="dxa"/>
            <w:tcBorders>
              <w:bottom w:val="nil"/>
            </w:tcBorders>
            <w:vAlign w:val="bottom"/>
          </w:tcPr>
          <w:p w:rsidR="00CB0C06" w:rsidRPr="006D1DDF" w:rsidRDefault="00CB0C06" w:rsidP="00EA0ED5">
            <w:pPr>
              <w:jc w:val="right"/>
              <w:rPr>
                <w:rFonts w:ascii="Arial Narrow" w:hAnsi="Arial Narrow"/>
                <w:sz w:val="20"/>
                <w:lang w:val="en-GB"/>
              </w:rPr>
            </w:pPr>
          </w:p>
        </w:tc>
        <w:tc>
          <w:tcPr>
            <w:tcW w:w="1559" w:type="dxa"/>
            <w:tcBorders>
              <w:bottom w:val="nil"/>
            </w:tcBorders>
            <w:vAlign w:val="bottom"/>
          </w:tcPr>
          <w:p w:rsidR="00CB0C06" w:rsidRPr="006D1DDF" w:rsidRDefault="00CB0C06" w:rsidP="00EA0ED5">
            <w:pPr>
              <w:rPr>
                <w:rFonts w:ascii="Arial Narrow" w:hAnsi="Arial Narrow"/>
                <w:sz w:val="20"/>
                <w:lang w:val="en-GB"/>
              </w:rPr>
            </w:pPr>
          </w:p>
        </w:tc>
        <w:tc>
          <w:tcPr>
            <w:tcW w:w="1117" w:type="dxa"/>
            <w:tcBorders>
              <w:bottom w:val="nil"/>
            </w:tcBorders>
            <w:vAlign w:val="bottom"/>
          </w:tcPr>
          <w:p w:rsidR="00CB0C06" w:rsidRPr="006D1DDF" w:rsidRDefault="00CB0C06" w:rsidP="00EA0ED5">
            <w:pPr>
              <w:jc w:val="right"/>
              <w:rPr>
                <w:rFonts w:ascii="Arial Narrow" w:hAnsi="Arial Narrow"/>
                <w:sz w:val="20"/>
                <w:lang w:val="en-GB"/>
              </w:rPr>
            </w:pPr>
          </w:p>
        </w:tc>
      </w:tr>
      <w:tr w:rsidR="00EA0ED5" w:rsidRPr="006D1DDF" w:rsidTr="00EA0ED5">
        <w:tc>
          <w:tcPr>
            <w:tcW w:w="4421" w:type="dxa"/>
            <w:tcBorders>
              <w:top w:val="nil"/>
              <w:bottom w:val="nil"/>
            </w:tcBorders>
            <w:vAlign w:val="center"/>
          </w:tcPr>
          <w:p w:rsidR="00EA0ED5" w:rsidRPr="008A034C" w:rsidRDefault="00EA0ED5" w:rsidP="005C22D4">
            <w:pPr>
              <w:ind w:firstLine="256"/>
              <w:jc w:val="left"/>
              <w:rPr>
                <w:rFonts w:ascii="Arial Narrow" w:hAnsi="Arial Narrow"/>
                <w:sz w:val="20"/>
                <w:lang w:val="en-GB"/>
              </w:rPr>
            </w:pPr>
            <w:r w:rsidRPr="008A034C">
              <w:rPr>
                <w:rFonts w:ascii="Arial Narrow" w:hAnsi="Arial Narrow"/>
                <w:sz w:val="20"/>
                <w:lang w:val="en-GB"/>
              </w:rPr>
              <w:t xml:space="preserve">Start convergence 2 year </w:t>
            </w:r>
            <w:r w:rsidRPr="008A034C">
              <w:rPr>
                <w:rFonts w:ascii="Arial Narrow" w:hAnsi="Arial Narrow"/>
                <w:sz w:val="20"/>
                <w:vertAlign w:val="superscript"/>
                <w:lang w:val="en-GB"/>
              </w:rPr>
              <w:t>a</w:t>
            </w:r>
          </w:p>
        </w:tc>
        <w:tc>
          <w:tcPr>
            <w:tcW w:w="1249" w:type="dxa"/>
            <w:tcBorders>
              <w:top w:val="nil"/>
              <w:bottom w:val="nil"/>
            </w:tcBorders>
            <w:vAlign w:val="bottom"/>
          </w:tcPr>
          <w:p w:rsidR="00EA0ED5" w:rsidRPr="008A034C" w:rsidRDefault="00EA0ED5" w:rsidP="00EA0ED5">
            <w:pPr>
              <w:jc w:val="right"/>
              <w:rPr>
                <w:rFonts w:ascii="Arial Narrow" w:hAnsi="Arial Narrow"/>
                <w:sz w:val="20"/>
                <w:lang w:val="en-GB"/>
              </w:rPr>
            </w:pPr>
            <w:r w:rsidRPr="008A034C">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bottom w:val="nil"/>
            </w:tcBorders>
            <w:vAlign w:val="bottom"/>
          </w:tcPr>
          <w:p w:rsidR="00EA0ED5" w:rsidRPr="0056677C" w:rsidRDefault="0056677C" w:rsidP="00EA0ED5">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bottom w:val="nil"/>
            </w:tcBorders>
            <w:vAlign w:val="bottom"/>
          </w:tcPr>
          <w:p w:rsidR="00EA0ED5" w:rsidRPr="008A034C" w:rsidRDefault="00EA0ED5" w:rsidP="00EA0ED5">
            <w:pPr>
              <w:jc w:val="right"/>
              <w:rPr>
                <w:rFonts w:ascii="Arial Narrow" w:hAnsi="Arial Narrow"/>
                <w:sz w:val="20"/>
                <w:lang w:val="en-GB"/>
              </w:rPr>
            </w:pPr>
            <w:r w:rsidRPr="008A034C">
              <w:rPr>
                <w:rFonts w:ascii="Arial Narrow" w:hAnsi="Arial Narrow"/>
                <w:sz w:val="20"/>
                <w:lang w:val="en-GB"/>
              </w:rPr>
              <w:t>$</w:t>
            </w:r>
            <w:r w:rsidR="0056677C">
              <w:rPr>
                <w:rFonts w:ascii="Arial Narrow" w:hAnsi="Arial Narrow"/>
                <w:noProof/>
                <w:color w:val="000000"/>
                <w:sz w:val="20"/>
                <w:highlight w:val="black"/>
                <w:lang w:val="en-GB"/>
              </w:rPr>
              <w:t>'''''''''''''''''''</w:t>
            </w:r>
          </w:p>
        </w:tc>
      </w:tr>
      <w:tr w:rsidR="00EA0ED5" w:rsidRPr="006D1DDF" w:rsidTr="00EA0ED5">
        <w:tc>
          <w:tcPr>
            <w:tcW w:w="4421" w:type="dxa"/>
            <w:tcBorders>
              <w:top w:val="nil"/>
            </w:tcBorders>
            <w:vAlign w:val="center"/>
          </w:tcPr>
          <w:p w:rsidR="00EA0ED5" w:rsidRPr="008A034C" w:rsidRDefault="00EA0ED5" w:rsidP="005C22D4">
            <w:pPr>
              <w:ind w:firstLine="256"/>
              <w:jc w:val="left"/>
              <w:rPr>
                <w:rFonts w:ascii="Arial Narrow" w:hAnsi="Arial Narrow"/>
                <w:sz w:val="20"/>
                <w:lang w:val="en-GB"/>
              </w:rPr>
            </w:pPr>
            <w:r w:rsidRPr="008A034C">
              <w:rPr>
                <w:rFonts w:ascii="Arial Narrow" w:hAnsi="Arial Narrow"/>
                <w:sz w:val="20"/>
                <w:lang w:val="en-GB"/>
              </w:rPr>
              <w:t xml:space="preserve">Start convergence 5 year </w:t>
            </w:r>
            <w:r w:rsidRPr="008A034C">
              <w:rPr>
                <w:rFonts w:ascii="Arial Narrow" w:hAnsi="Arial Narrow"/>
                <w:sz w:val="20"/>
                <w:vertAlign w:val="superscript"/>
                <w:lang w:val="en-GB"/>
              </w:rPr>
              <w:t>b</w:t>
            </w:r>
          </w:p>
        </w:tc>
        <w:tc>
          <w:tcPr>
            <w:tcW w:w="1249" w:type="dxa"/>
            <w:tcBorders>
              <w:top w:val="nil"/>
            </w:tcBorders>
            <w:vAlign w:val="bottom"/>
          </w:tcPr>
          <w:p w:rsidR="00EA0ED5" w:rsidRPr="008A034C" w:rsidRDefault="00EA0ED5" w:rsidP="00544037">
            <w:pPr>
              <w:jc w:val="right"/>
              <w:rPr>
                <w:rFonts w:ascii="Arial Narrow" w:hAnsi="Arial Narrow"/>
                <w:sz w:val="20"/>
                <w:lang w:val="en-GB"/>
              </w:rPr>
            </w:pPr>
            <w:r w:rsidRPr="008A034C">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tcBorders>
              <w:top w:val="nil"/>
            </w:tcBorders>
            <w:vAlign w:val="bottom"/>
          </w:tcPr>
          <w:p w:rsidR="00EA0ED5" w:rsidRPr="0056677C" w:rsidRDefault="0056677C" w:rsidP="00544037">
            <w:pPr>
              <w:jc w:val="center"/>
              <w:rPr>
                <w:rFonts w:ascii="Arial Narrow" w:hAnsi="Arial Narrow"/>
                <w:sz w:val="20"/>
                <w:highlight w:val="black"/>
                <w:lang w:val="en-GB"/>
              </w:rPr>
            </w:pPr>
            <w:r>
              <w:rPr>
                <w:rFonts w:ascii="Arial Narrow" w:hAnsi="Arial Narrow"/>
                <w:noProof/>
                <w:color w:val="000000"/>
                <w:sz w:val="20"/>
                <w:highlight w:val="black"/>
                <w:lang w:val="en-GB"/>
              </w:rPr>
              <w:t>''''''''''</w:t>
            </w:r>
          </w:p>
        </w:tc>
        <w:tc>
          <w:tcPr>
            <w:tcW w:w="1117" w:type="dxa"/>
            <w:tcBorders>
              <w:top w:val="nil"/>
            </w:tcBorders>
            <w:vAlign w:val="bottom"/>
          </w:tcPr>
          <w:p w:rsidR="00EA0ED5" w:rsidRPr="008A034C" w:rsidRDefault="00EA0ED5" w:rsidP="00544037">
            <w:pPr>
              <w:jc w:val="right"/>
              <w:rPr>
                <w:rFonts w:ascii="Arial Narrow" w:hAnsi="Arial Narrow"/>
                <w:sz w:val="20"/>
                <w:lang w:val="en-GB"/>
              </w:rPr>
            </w:pPr>
            <w:r w:rsidRPr="008A034C">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633724">
        <w:tc>
          <w:tcPr>
            <w:tcW w:w="4421" w:type="dxa"/>
          </w:tcPr>
          <w:p w:rsidR="00CB0C06" w:rsidRPr="006D1DDF" w:rsidRDefault="00CB0C06" w:rsidP="0004758D">
            <w:pPr>
              <w:jc w:val="left"/>
              <w:rPr>
                <w:rFonts w:ascii="Arial Narrow" w:hAnsi="Arial Narrow"/>
                <w:b/>
                <w:sz w:val="20"/>
                <w:lang w:val="en-GB"/>
              </w:rPr>
            </w:pPr>
            <w:r w:rsidRPr="006D1DDF">
              <w:rPr>
                <w:rFonts w:ascii="Arial Narrow" w:hAnsi="Arial Narrow"/>
                <w:b/>
                <w:sz w:val="20"/>
                <w:lang w:val="en-GB"/>
              </w:rPr>
              <w:t>Multivariate analyses</w:t>
            </w:r>
            <w:r w:rsidR="00BE2ECA" w:rsidRPr="0056677C">
              <w:rPr>
                <w:rFonts w:ascii="Arial Narrow" w:hAnsi="Arial Narrow"/>
                <w:b/>
                <w:sz w:val="20"/>
                <w:vertAlign w:val="superscript"/>
                <w:lang w:val="en-GB"/>
              </w:rPr>
              <w:t>c</w:t>
            </w:r>
          </w:p>
        </w:tc>
        <w:tc>
          <w:tcPr>
            <w:tcW w:w="1249" w:type="dxa"/>
          </w:tcPr>
          <w:p w:rsidR="00CB0C06" w:rsidRPr="006D1DDF" w:rsidRDefault="00CB0C06" w:rsidP="00633724">
            <w:pPr>
              <w:jc w:val="center"/>
              <w:rPr>
                <w:rFonts w:ascii="Arial Narrow" w:hAnsi="Arial Narrow"/>
                <w:sz w:val="20"/>
                <w:lang w:val="en-GB"/>
              </w:rPr>
            </w:pPr>
          </w:p>
        </w:tc>
        <w:tc>
          <w:tcPr>
            <w:tcW w:w="1559" w:type="dxa"/>
          </w:tcPr>
          <w:p w:rsidR="00CB0C06" w:rsidRPr="006D1DDF" w:rsidRDefault="00CB0C06" w:rsidP="0004758D">
            <w:pPr>
              <w:jc w:val="center"/>
              <w:rPr>
                <w:rFonts w:ascii="Arial Narrow" w:hAnsi="Arial Narrow"/>
                <w:sz w:val="20"/>
                <w:lang w:val="en-GB"/>
              </w:rPr>
            </w:pPr>
          </w:p>
        </w:tc>
        <w:tc>
          <w:tcPr>
            <w:tcW w:w="1117" w:type="dxa"/>
          </w:tcPr>
          <w:p w:rsidR="00CB0C06" w:rsidRPr="006D1DDF" w:rsidRDefault="00CB0C06" w:rsidP="00633724">
            <w:pPr>
              <w:jc w:val="center"/>
              <w:rPr>
                <w:rFonts w:ascii="Arial Narrow" w:hAnsi="Arial Narrow"/>
                <w:sz w:val="20"/>
                <w:lang w:val="en-GB"/>
              </w:rPr>
            </w:pPr>
          </w:p>
        </w:tc>
      </w:tr>
      <w:tr w:rsidR="00CB0C06" w:rsidRPr="006D1DDF" w:rsidTr="00883F04">
        <w:tc>
          <w:tcPr>
            <w:tcW w:w="4421" w:type="dxa"/>
          </w:tcPr>
          <w:p w:rsidR="00CB0C06" w:rsidRPr="006D1DDF" w:rsidRDefault="00CB0C06" w:rsidP="00823996">
            <w:pPr>
              <w:jc w:val="left"/>
              <w:rPr>
                <w:rFonts w:ascii="Arial Narrow" w:hAnsi="Arial Narrow"/>
                <w:sz w:val="20"/>
                <w:lang w:val="en-GB"/>
              </w:rPr>
            </w:pPr>
            <w:r w:rsidRPr="006D1DDF">
              <w:rPr>
                <w:rFonts w:ascii="Arial Narrow" w:hAnsi="Arial Narrow"/>
                <w:sz w:val="20"/>
                <w:lang w:val="en-GB"/>
              </w:rPr>
              <w:t>10 year time horizon, convergence start after 2 year and full convergence at 10 year</w:t>
            </w:r>
          </w:p>
        </w:tc>
        <w:tc>
          <w:tcPr>
            <w:tcW w:w="1249" w:type="dxa"/>
            <w:vAlign w:val="center"/>
          </w:tcPr>
          <w:p w:rsidR="00CB0C06" w:rsidRPr="006D1DDF" w:rsidRDefault="00CB0C06" w:rsidP="00883F04">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vAlign w:val="center"/>
          </w:tcPr>
          <w:p w:rsidR="00CB0C06" w:rsidRPr="006D1DDF" w:rsidRDefault="00CB0C06" w:rsidP="00633724">
            <w:pPr>
              <w:jc w:val="center"/>
              <w:rPr>
                <w:rFonts w:ascii="Arial Narrow" w:hAnsi="Arial Narrow"/>
                <w:sz w:val="20"/>
                <w:lang w:val="en-GB"/>
              </w:rPr>
            </w:pPr>
            <w:r w:rsidRPr="006D1DDF">
              <w:rPr>
                <w:rFonts w:ascii="Arial Narrow" w:hAnsi="Arial Narrow"/>
                <w:sz w:val="20"/>
                <w:lang w:val="en-GB"/>
              </w:rPr>
              <w:t>0.72</w:t>
            </w:r>
          </w:p>
        </w:tc>
        <w:tc>
          <w:tcPr>
            <w:tcW w:w="1117" w:type="dxa"/>
            <w:vAlign w:val="center"/>
          </w:tcPr>
          <w:p w:rsidR="00CB0C06" w:rsidRPr="006D1DDF" w:rsidRDefault="00CB0C06" w:rsidP="00883F04">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r w:rsidR="00CB0C06" w:rsidRPr="006D1DDF" w:rsidTr="00883F04">
        <w:tc>
          <w:tcPr>
            <w:tcW w:w="4421" w:type="dxa"/>
          </w:tcPr>
          <w:p w:rsidR="00CB0C06" w:rsidRPr="006D1DDF" w:rsidRDefault="00CB0C06" w:rsidP="00823996">
            <w:pPr>
              <w:jc w:val="left"/>
              <w:rPr>
                <w:rFonts w:ascii="Arial Narrow" w:hAnsi="Arial Narrow"/>
                <w:sz w:val="20"/>
                <w:lang w:val="en-GB"/>
              </w:rPr>
            </w:pPr>
            <w:r w:rsidRPr="006D1DDF">
              <w:rPr>
                <w:rFonts w:ascii="Arial Narrow" w:hAnsi="Arial Narrow"/>
                <w:sz w:val="20"/>
                <w:lang w:val="en-GB"/>
              </w:rPr>
              <w:t>10 year time horizon, convergence start after 5 year and full convergence at 10 year</w:t>
            </w:r>
          </w:p>
        </w:tc>
        <w:tc>
          <w:tcPr>
            <w:tcW w:w="1249" w:type="dxa"/>
            <w:vAlign w:val="center"/>
          </w:tcPr>
          <w:p w:rsidR="00CB0C06" w:rsidRPr="006D1DDF" w:rsidRDefault="00CB0C06" w:rsidP="00883F04">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c>
          <w:tcPr>
            <w:tcW w:w="1559" w:type="dxa"/>
            <w:vAlign w:val="center"/>
          </w:tcPr>
          <w:p w:rsidR="00CB0C06" w:rsidRPr="006D1DDF" w:rsidRDefault="00CB0C06" w:rsidP="00633724">
            <w:pPr>
              <w:jc w:val="center"/>
              <w:rPr>
                <w:rFonts w:ascii="Arial Narrow" w:hAnsi="Arial Narrow"/>
                <w:sz w:val="20"/>
                <w:lang w:val="en-GB"/>
              </w:rPr>
            </w:pPr>
            <w:r w:rsidRPr="006D1DDF">
              <w:rPr>
                <w:rFonts w:ascii="Arial Narrow" w:hAnsi="Arial Narrow"/>
                <w:sz w:val="20"/>
                <w:lang w:val="en-GB"/>
              </w:rPr>
              <w:t>0.89</w:t>
            </w:r>
          </w:p>
        </w:tc>
        <w:tc>
          <w:tcPr>
            <w:tcW w:w="1117" w:type="dxa"/>
            <w:vAlign w:val="center"/>
          </w:tcPr>
          <w:p w:rsidR="00CB0C06" w:rsidRPr="006D1DDF" w:rsidRDefault="00CB0C06" w:rsidP="000C50D4">
            <w:pPr>
              <w:jc w:val="right"/>
              <w:rPr>
                <w:rFonts w:ascii="Arial Narrow" w:hAnsi="Arial Narrow"/>
                <w:sz w:val="20"/>
                <w:lang w:val="en-GB"/>
              </w:rPr>
            </w:pPr>
            <w:r w:rsidRPr="006D1DDF">
              <w:rPr>
                <w:rFonts w:ascii="Arial Narrow" w:hAnsi="Arial Narrow"/>
                <w:sz w:val="20"/>
                <w:lang w:val="en-GB"/>
              </w:rPr>
              <w:t>$</w:t>
            </w:r>
            <w:r w:rsidR="0056677C">
              <w:rPr>
                <w:rFonts w:ascii="Arial Narrow" w:hAnsi="Arial Narrow"/>
                <w:noProof/>
                <w:color w:val="000000"/>
                <w:sz w:val="20"/>
                <w:highlight w:val="black"/>
                <w:lang w:val="en-GB"/>
              </w:rPr>
              <w:t>'''''''''''''''</w:t>
            </w:r>
          </w:p>
        </w:tc>
      </w:tr>
    </w:tbl>
    <w:p w:rsidR="00CB0C06" w:rsidRPr="006D1DDF" w:rsidRDefault="00CB0C06" w:rsidP="003F2966">
      <w:pPr>
        <w:pStyle w:val="TableFooter"/>
        <w:rPr>
          <w:lang w:val="en-GB"/>
        </w:rPr>
      </w:pPr>
      <w:r w:rsidRPr="006D1DDF">
        <w:rPr>
          <w:lang w:val="en-GB"/>
        </w:rPr>
        <w:tab/>
        <w:t>Source: Table D.7, p263 of the submission</w:t>
      </w:r>
      <w:r w:rsidR="00207334">
        <w:rPr>
          <w:lang w:val="en-GB"/>
        </w:rPr>
        <w:t xml:space="preserve">. </w:t>
      </w:r>
    </w:p>
    <w:p w:rsidR="00CB0C06" w:rsidRPr="006D1DDF" w:rsidRDefault="00CB0C06" w:rsidP="00AC1D38">
      <w:pPr>
        <w:pStyle w:val="TableFooter"/>
        <w:ind w:left="720"/>
        <w:rPr>
          <w:lang w:val="en-GB"/>
        </w:rPr>
      </w:pPr>
      <w:r w:rsidRPr="006D1DDF">
        <w:rPr>
          <w:lang w:val="en-GB"/>
        </w:rPr>
        <w:t>CE = cost-effectiveness; DPMQ = dispensed price for maximum quantity; Inc = incremental</w:t>
      </w:r>
    </w:p>
    <w:p w:rsidR="00CB0C06" w:rsidRPr="006D1DDF" w:rsidRDefault="00CB0C06" w:rsidP="000C50D4">
      <w:pPr>
        <w:ind w:firstLine="709"/>
        <w:rPr>
          <w:rFonts w:ascii="Arial Narrow" w:hAnsi="Arial Narrow"/>
          <w:sz w:val="18"/>
          <w:szCs w:val="18"/>
        </w:rPr>
      </w:pPr>
      <w:r w:rsidRPr="006D1DDF">
        <w:rPr>
          <w:rFonts w:ascii="Arial Narrow" w:hAnsi="Arial Narrow"/>
          <w:sz w:val="18"/>
          <w:szCs w:val="18"/>
          <w:vertAlign w:val="superscript"/>
        </w:rPr>
        <w:t xml:space="preserve">a </w:t>
      </w:r>
      <w:r w:rsidRPr="006D1DDF">
        <w:rPr>
          <w:rFonts w:ascii="Arial Narrow" w:hAnsi="Arial Narrow"/>
          <w:sz w:val="18"/>
          <w:szCs w:val="18"/>
        </w:rPr>
        <w:t>The reduction in parameter Cell I12 was multiplied by 2.9</w:t>
      </w:r>
    </w:p>
    <w:p w:rsidR="00CB0C06" w:rsidRDefault="00CB0C06" w:rsidP="000C50D4">
      <w:pPr>
        <w:ind w:firstLine="709"/>
        <w:rPr>
          <w:rFonts w:ascii="Arial Narrow" w:hAnsi="Arial Narrow"/>
          <w:sz w:val="18"/>
          <w:szCs w:val="18"/>
        </w:rPr>
      </w:pPr>
      <w:r w:rsidRPr="006D1DDF">
        <w:rPr>
          <w:rFonts w:ascii="Arial Narrow" w:hAnsi="Arial Narrow"/>
          <w:sz w:val="18"/>
          <w:szCs w:val="18"/>
          <w:vertAlign w:val="superscript"/>
        </w:rPr>
        <w:t xml:space="preserve">b </w:t>
      </w:r>
      <w:r w:rsidRPr="006D1DDF">
        <w:rPr>
          <w:rFonts w:ascii="Arial Narrow" w:hAnsi="Arial Narrow"/>
          <w:sz w:val="18"/>
          <w:szCs w:val="18"/>
        </w:rPr>
        <w:t>The reduction in parameter Cell I11 was multiplied by 3.9</w:t>
      </w:r>
    </w:p>
    <w:p w:rsidR="00207334" w:rsidRPr="00207334" w:rsidRDefault="00207334" w:rsidP="000C50D4">
      <w:pPr>
        <w:ind w:firstLine="709"/>
        <w:rPr>
          <w:rFonts w:ascii="Arial Narrow" w:hAnsi="Arial Narrow"/>
          <w:sz w:val="18"/>
          <w:szCs w:val="18"/>
        </w:rPr>
      </w:pPr>
      <w:r w:rsidRPr="0056677C">
        <w:rPr>
          <w:rFonts w:ascii="Arial Narrow" w:hAnsi="Arial Narrow"/>
          <w:sz w:val="18"/>
          <w:szCs w:val="18"/>
          <w:vertAlign w:val="superscript"/>
        </w:rPr>
        <w:t>c</w:t>
      </w:r>
      <w:r>
        <w:rPr>
          <w:rFonts w:ascii="Arial Narrow" w:hAnsi="Arial Narrow"/>
          <w:sz w:val="18"/>
          <w:szCs w:val="18"/>
          <w:vertAlign w:val="superscript"/>
        </w:rPr>
        <w:t xml:space="preserve"> </w:t>
      </w:r>
      <w:r>
        <w:rPr>
          <w:rFonts w:ascii="Arial Narrow" w:hAnsi="Arial Narrow"/>
          <w:sz w:val="18"/>
          <w:szCs w:val="18"/>
        </w:rPr>
        <w:t xml:space="preserve">Compiled during </w:t>
      </w:r>
      <w:r w:rsidR="00BE2ECA">
        <w:rPr>
          <w:rFonts w:ascii="Arial Narrow" w:hAnsi="Arial Narrow"/>
          <w:sz w:val="18"/>
          <w:szCs w:val="18"/>
        </w:rPr>
        <w:t>evaluation</w:t>
      </w:r>
    </w:p>
    <w:p w:rsidR="00CB0C06" w:rsidRPr="006D1DDF" w:rsidRDefault="00CB0C06" w:rsidP="00B8377D">
      <w:pPr>
        <w:widowControl/>
        <w:rPr>
          <w:i/>
          <w:szCs w:val="22"/>
          <w:lang w:val="en-GB"/>
        </w:rPr>
      </w:pPr>
    </w:p>
    <w:p w:rsidR="00CB0C06" w:rsidRPr="006D1DDF" w:rsidRDefault="00CB0C06" w:rsidP="00ED5BA7">
      <w:pPr>
        <w:pStyle w:val="ListParagraph"/>
        <w:widowControl/>
        <w:numPr>
          <w:ilvl w:val="1"/>
          <w:numId w:val="7"/>
        </w:numPr>
        <w:rPr>
          <w:szCs w:val="22"/>
          <w:lang w:val="en-GB"/>
        </w:rPr>
      </w:pPr>
      <w:r w:rsidRPr="006D1DDF">
        <w:rPr>
          <w:lang w:val="en-GB"/>
        </w:rPr>
        <w:t>In the Pre-PBAC response, the sponsor presented a re-specified ICER ($</w:t>
      </w:r>
      <w:r w:rsidR="00E80622">
        <w:rPr>
          <w:lang w:val="en-GB"/>
        </w:rPr>
        <w:t>45,000 – $75,000</w:t>
      </w:r>
      <w:r w:rsidRPr="006D1DDF">
        <w:rPr>
          <w:lang w:val="en-GB"/>
        </w:rPr>
        <w:t xml:space="preserve"> per QALY) based on an overall survival estimate that had been adjusted for patient cross-over in the RESONATE trial. The PBAC noted the sponsor’s argument that the intention-to-treat (ITT) overall survival results were potentially biased towards the null by not accounting for an additional survival gain in the comparator arm from treatment with ibrutinib. Using the Rank Preserving Structural Failure Time Model (RPSFTM), the Pre-PBAC response reported an adjusted hazard ratio of </w:t>
      </w:r>
      <w:r w:rsidRPr="008A034C">
        <w:rPr>
          <w:lang w:val="en-GB"/>
        </w:rPr>
        <w:t>(</w:t>
      </w:r>
      <w:r w:rsidR="0056677C">
        <w:rPr>
          <w:noProof/>
          <w:color w:val="000000"/>
          <w:highlight w:val="black"/>
          <w:lang w:val="en-GB"/>
        </w:rPr>
        <w:t>''''''''''</w:t>
      </w:r>
      <w:r w:rsidRPr="008A034C">
        <w:rPr>
          <w:lang w:val="en-GB"/>
        </w:rPr>
        <w:t>).</w:t>
      </w:r>
    </w:p>
    <w:p w:rsidR="00CB0C06" w:rsidRPr="006D1DDF" w:rsidRDefault="00CB0C06" w:rsidP="00B8377D">
      <w:pPr>
        <w:widowControl/>
        <w:rPr>
          <w:i/>
          <w:szCs w:val="22"/>
          <w:lang w:val="en-GB"/>
        </w:rPr>
      </w:pPr>
    </w:p>
    <w:p w:rsidR="00CB0C06" w:rsidRPr="006D1DDF" w:rsidRDefault="00CB0C06" w:rsidP="002C2775">
      <w:pPr>
        <w:pStyle w:val="Heading2"/>
        <w:rPr>
          <w:i/>
          <w:szCs w:val="22"/>
          <w:lang w:val="en-GB"/>
        </w:rPr>
      </w:pPr>
      <w:bookmarkStart w:id="16" w:name="_Toc419724915"/>
      <w:r w:rsidRPr="006D1DDF">
        <w:rPr>
          <w:i/>
          <w:lang w:val="en-GB"/>
        </w:rPr>
        <w:t xml:space="preserve">Drug cost per patient per course: </w:t>
      </w:r>
      <w:r w:rsidRPr="008A034C">
        <w:rPr>
          <w:i/>
          <w:lang w:val="en-GB"/>
        </w:rPr>
        <w:t>$</w:t>
      </w:r>
      <w:bookmarkEnd w:id="16"/>
      <w:r w:rsidR="0056677C">
        <w:rPr>
          <w:i/>
          <w:noProof/>
          <w:color w:val="000000"/>
          <w:highlight w:val="black"/>
          <w:lang w:val="en-GB"/>
        </w:rPr>
        <w:t>''''''''''''''''</w:t>
      </w:r>
    </w:p>
    <w:p w:rsidR="00CB0C06" w:rsidRPr="006D1DDF" w:rsidRDefault="00CB0C06" w:rsidP="00C25D9C">
      <w:pPr>
        <w:widowControl/>
        <w:rPr>
          <w:szCs w:val="22"/>
          <w:lang w:val="en-GB"/>
        </w:rPr>
      </w:pPr>
    </w:p>
    <w:p w:rsidR="00CB0C06" w:rsidRPr="006D1DDF" w:rsidRDefault="00CB0C06" w:rsidP="00A26E51">
      <w:pPr>
        <w:pStyle w:val="ListParagraph"/>
        <w:widowControl/>
        <w:numPr>
          <w:ilvl w:val="1"/>
          <w:numId w:val="7"/>
        </w:numPr>
        <w:rPr>
          <w:szCs w:val="22"/>
          <w:lang w:val="en-GB"/>
        </w:rPr>
      </w:pPr>
      <w:r w:rsidRPr="006D1DDF">
        <w:rPr>
          <w:szCs w:val="22"/>
          <w:lang w:val="en-GB"/>
        </w:rPr>
        <w:t xml:space="preserve">The drug cost per patient per course was based on mean duration of treatment from the RESONATE trial of </w:t>
      </w:r>
      <w:r w:rsidR="0056677C">
        <w:rPr>
          <w:noProof/>
          <w:color w:val="000000"/>
          <w:szCs w:val="22"/>
          <w:highlight w:val="black"/>
          <w:lang w:val="en-GB"/>
        </w:rPr>
        <w:t>'''''''''''</w:t>
      </w:r>
      <w:r w:rsidRPr="008A034C">
        <w:rPr>
          <w:szCs w:val="22"/>
          <w:lang w:val="en-GB"/>
        </w:rPr>
        <w:t xml:space="preserve"> months</w:t>
      </w:r>
      <w:r w:rsidRPr="006D1DDF">
        <w:rPr>
          <w:szCs w:val="22"/>
          <w:lang w:val="en-GB"/>
        </w:rPr>
        <w:t xml:space="preserve">, an effective dispensed price of maximum quantity (DPMQ) of </w:t>
      </w:r>
      <w:r w:rsidRPr="007C2BE3">
        <w:rPr>
          <w:szCs w:val="22"/>
          <w:lang w:val="en-GB"/>
        </w:rPr>
        <w:t>$</w:t>
      </w:r>
      <w:r w:rsidR="0056677C">
        <w:rPr>
          <w:noProof/>
          <w:color w:val="000000"/>
          <w:szCs w:val="22"/>
          <w:highlight w:val="black"/>
          <w:lang w:val="en-GB"/>
        </w:rPr>
        <w:t>''''''''''''''''''''''</w:t>
      </w:r>
      <w:r w:rsidRPr="006D1DDF">
        <w:rPr>
          <w:szCs w:val="22"/>
          <w:lang w:val="en-GB"/>
        </w:rPr>
        <w:t xml:space="preserve"> and a dose intensity of </w:t>
      </w:r>
      <w:r w:rsidR="0056677C">
        <w:rPr>
          <w:noProof/>
          <w:color w:val="000000"/>
          <w:szCs w:val="22"/>
          <w:highlight w:val="black"/>
          <w:lang w:val="en-GB"/>
        </w:rPr>
        <w:t>'''''''''''</w:t>
      </w:r>
      <w:r w:rsidRPr="007C2BE3">
        <w:rPr>
          <w:szCs w:val="22"/>
          <w:lang w:val="en-GB"/>
        </w:rPr>
        <w:t>%.</w:t>
      </w:r>
      <w:r w:rsidRPr="006D1DDF">
        <w:rPr>
          <w:szCs w:val="22"/>
          <w:lang w:val="en-GB"/>
        </w:rPr>
        <w:t xml:space="preserve"> The treatment time for ibrutinib in clinical practice could be longer, with an associated higher cost due to the median progression free survival not reached within the RESONATE trial.</w:t>
      </w:r>
      <w:r w:rsidRPr="006D1DDF">
        <w:rPr>
          <w:i/>
          <w:szCs w:val="22"/>
          <w:lang w:val="en-GB"/>
        </w:rPr>
        <w:t xml:space="preserve"> </w:t>
      </w:r>
      <w:r w:rsidRPr="006D1DDF">
        <w:rPr>
          <w:szCs w:val="22"/>
          <w:lang w:val="en-GB"/>
        </w:rPr>
        <w:t xml:space="preserve"> This was compared to </w:t>
      </w:r>
      <w:r w:rsidRPr="007C2BE3">
        <w:rPr>
          <w:szCs w:val="22"/>
          <w:lang w:val="en-GB"/>
        </w:rPr>
        <w:t>$</w:t>
      </w:r>
      <w:r w:rsidR="0056677C">
        <w:rPr>
          <w:noProof/>
          <w:color w:val="000000"/>
          <w:szCs w:val="22"/>
          <w:highlight w:val="black"/>
          <w:lang w:val="en-GB"/>
        </w:rPr>
        <w:t>'''''''''''''''</w:t>
      </w:r>
      <w:r w:rsidRPr="006D1DDF">
        <w:rPr>
          <w:szCs w:val="22"/>
          <w:lang w:val="en-GB"/>
        </w:rPr>
        <w:t xml:space="preserve"> for rituximab plus chlorambucil, over mean duration of 6 months, using the December 2014 listed price for rituximab. </w:t>
      </w:r>
    </w:p>
    <w:p w:rsidR="00CB0C06" w:rsidRPr="006D1DDF" w:rsidRDefault="00CB0C06" w:rsidP="001456B0">
      <w:pPr>
        <w:rPr>
          <w:szCs w:val="22"/>
          <w:lang w:val="en-GB"/>
        </w:rPr>
      </w:pPr>
    </w:p>
    <w:p w:rsidR="00CB0C06" w:rsidRPr="006D1DDF" w:rsidRDefault="00CB0C06">
      <w:pPr>
        <w:widowControl/>
        <w:jc w:val="left"/>
        <w:rPr>
          <w:b/>
          <w:i/>
          <w:lang w:val="en-GB"/>
        </w:rPr>
      </w:pPr>
      <w:bookmarkStart w:id="17" w:name="_Toc419724916"/>
      <w:r w:rsidRPr="006D1DDF">
        <w:rPr>
          <w:i/>
          <w:lang w:val="en-GB"/>
        </w:rPr>
        <w:br w:type="page"/>
      </w:r>
    </w:p>
    <w:p w:rsidR="00CB0C06" w:rsidRPr="006D1DDF" w:rsidRDefault="00CB0C06" w:rsidP="002C2775">
      <w:pPr>
        <w:pStyle w:val="Heading2"/>
        <w:rPr>
          <w:i/>
          <w:lang w:val="en-GB"/>
        </w:rPr>
      </w:pPr>
      <w:r w:rsidRPr="006D1DDF">
        <w:rPr>
          <w:i/>
          <w:lang w:val="en-GB"/>
        </w:rPr>
        <w:lastRenderedPageBreak/>
        <w:t>Estimated PBS usage &amp; financial implications</w:t>
      </w:r>
      <w:bookmarkEnd w:id="17"/>
    </w:p>
    <w:p w:rsidR="00CB0C06" w:rsidRPr="006D1DDF" w:rsidRDefault="00CB0C06" w:rsidP="00B60939">
      <w:pPr>
        <w:ind w:left="720" w:hanging="720"/>
        <w:rPr>
          <w:b/>
          <w:i/>
          <w:szCs w:val="22"/>
          <w:lang w:val="en-GB"/>
        </w:rPr>
      </w:pPr>
    </w:p>
    <w:p w:rsidR="00CB0C06" w:rsidRPr="006D1DDF" w:rsidRDefault="00CB0C06" w:rsidP="00EB471D">
      <w:pPr>
        <w:pStyle w:val="ListParagraph"/>
        <w:widowControl/>
        <w:numPr>
          <w:ilvl w:val="1"/>
          <w:numId w:val="7"/>
        </w:numPr>
        <w:rPr>
          <w:szCs w:val="22"/>
        </w:rPr>
      </w:pPr>
      <w:r w:rsidRPr="006D1DDF">
        <w:rPr>
          <w:lang w:val="en-GB"/>
        </w:rPr>
        <w:t>This submission was considered by the Drug Utilisation Sub-Committee (DUSC).</w:t>
      </w:r>
      <w:r w:rsidRPr="006D1DDF">
        <w:rPr>
          <w:szCs w:val="22"/>
          <w:lang w:val="en-GB"/>
        </w:rPr>
        <w:t xml:space="preserve">The net cost to the Government of listing ibrutinib was estimated in the submission to be </w:t>
      </w:r>
      <w:r w:rsidR="00E80622">
        <w:rPr>
          <w:lang w:val="en-GB"/>
        </w:rPr>
        <w:t>more than</w:t>
      </w:r>
      <w:r w:rsidR="00E80622" w:rsidRPr="006D1DDF">
        <w:rPr>
          <w:lang w:val="en-GB"/>
        </w:rPr>
        <w:t xml:space="preserve"> </w:t>
      </w:r>
      <w:r w:rsidRPr="006D1DDF">
        <w:rPr>
          <w:lang w:val="en-GB"/>
        </w:rPr>
        <w:t>$</w:t>
      </w:r>
      <w:r w:rsidR="00E80622">
        <w:rPr>
          <w:lang w:val="en-GB"/>
        </w:rPr>
        <w:t>100</w:t>
      </w:r>
      <w:r w:rsidRPr="006D1DDF">
        <w:rPr>
          <w:lang w:val="en-GB"/>
        </w:rPr>
        <w:t xml:space="preserve"> million dollars over the first five years. This cost was expected to peak at $</w:t>
      </w:r>
      <w:r w:rsidR="00E80622">
        <w:rPr>
          <w:lang w:val="en-GB"/>
        </w:rPr>
        <w:t>60 – 100</w:t>
      </w:r>
      <w:r w:rsidRPr="006D1DDF">
        <w:rPr>
          <w:lang w:val="en-GB"/>
        </w:rPr>
        <w:t xml:space="preserve"> million in Year 3. The financial estimates may be underestimated as:</w:t>
      </w:r>
    </w:p>
    <w:p w:rsidR="00CB0C06" w:rsidRPr="006D1DDF" w:rsidRDefault="00CB0C06" w:rsidP="00EB471D">
      <w:pPr>
        <w:pStyle w:val="ListParagraph"/>
        <w:widowControl/>
        <w:numPr>
          <w:ilvl w:val="0"/>
          <w:numId w:val="14"/>
        </w:numPr>
        <w:ind w:left="1134" w:hanging="425"/>
        <w:rPr>
          <w:lang w:val="en-GB"/>
        </w:rPr>
      </w:pPr>
      <w:r w:rsidRPr="006D1DDF">
        <w:rPr>
          <w:lang w:val="en-GB"/>
        </w:rPr>
        <w:t>there may be use beyond the proposed</w:t>
      </w:r>
      <w:r w:rsidR="000B6124" w:rsidRPr="006D1DDF">
        <w:rPr>
          <w:lang w:val="en-GB"/>
        </w:rPr>
        <w:t xml:space="preserve"> PBS</w:t>
      </w:r>
      <w:r w:rsidRPr="006D1DDF">
        <w:rPr>
          <w:lang w:val="en-GB"/>
        </w:rPr>
        <w:t xml:space="preserve"> restriction. The </w:t>
      </w:r>
      <w:r w:rsidR="000B6124" w:rsidRPr="006D1DDF">
        <w:rPr>
          <w:lang w:val="en-GB"/>
        </w:rPr>
        <w:t xml:space="preserve">main </w:t>
      </w:r>
      <w:r w:rsidRPr="006D1DDF">
        <w:rPr>
          <w:lang w:val="en-GB"/>
        </w:rPr>
        <w:t xml:space="preserve">TGA </w:t>
      </w:r>
      <w:r w:rsidR="000B6124" w:rsidRPr="006D1DDF">
        <w:rPr>
          <w:lang w:val="en-GB"/>
        </w:rPr>
        <w:t>approval</w:t>
      </w:r>
      <w:r w:rsidRPr="006D1DDF">
        <w:rPr>
          <w:lang w:val="en-GB"/>
        </w:rPr>
        <w:t xml:space="preserve"> is for second-line treatment, while the proposed restriction </w:t>
      </w:r>
      <w:r w:rsidR="000B6124" w:rsidRPr="006D1DDF">
        <w:rPr>
          <w:lang w:val="en-GB"/>
        </w:rPr>
        <w:t>further limited to</w:t>
      </w:r>
      <w:r w:rsidRPr="006D1DDF">
        <w:rPr>
          <w:lang w:val="en-GB"/>
        </w:rPr>
        <w:t xml:space="preserve"> patients for whom fludarabine is considered inappropriate;</w:t>
      </w:r>
    </w:p>
    <w:p w:rsidR="00CB0C06" w:rsidRPr="006D1DDF" w:rsidRDefault="00CB0C06" w:rsidP="00EB471D">
      <w:pPr>
        <w:pStyle w:val="ListParagraph"/>
        <w:widowControl/>
        <w:numPr>
          <w:ilvl w:val="0"/>
          <w:numId w:val="14"/>
        </w:numPr>
        <w:ind w:left="1134" w:hanging="425"/>
        <w:rPr>
          <w:lang w:val="en-GB"/>
        </w:rPr>
      </w:pPr>
      <w:r w:rsidRPr="006D1DDF">
        <w:rPr>
          <w:lang w:val="en-GB"/>
        </w:rPr>
        <w:t xml:space="preserve">There is limited evidence to derive estimates of patient numbers, i.e. the uptake rates were based on a small survey of haematologists, with insufficient information provided in the submission to verify the assumptions; </w:t>
      </w:r>
    </w:p>
    <w:p w:rsidR="00CB0C06" w:rsidRPr="006D1DDF" w:rsidRDefault="00CB0C06" w:rsidP="00EB471D">
      <w:pPr>
        <w:pStyle w:val="ListParagraph"/>
        <w:widowControl/>
        <w:numPr>
          <w:ilvl w:val="0"/>
          <w:numId w:val="14"/>
        </w:numPr>
        <w:ind w:left="1134" w:hanging="425"/>
        <w:rPr>
          <w:lang w:val="en-GB"/>
        </w:rPr>
      </w:pPr>
      <w:r w:rsidRPr="006D1DDF">
        <w:rPr>
          <w:lang w:val="en-GB"/>
        </w:rPr>
        <w:t xml:space="preserve">the duration of treatment for ibrutinib could be longer than estimated by the submission as the mean treatment duration in the trial was </w:t>
      </w:r>
      <w:r w:rsidR="0056677C">
        <w:rPr>
          <w:noProof/>
          <w:color w:val="000000"/>
          <w:highlight w:val="black"/>
          <w:lang w:val="en-GB"/>
        </w:rPr>
        <w:t>'''''''''''</w:t>
      </w:r>
      <w:r w:rsidRPr="007C2BE3">
        <w:rPr>
          <w:lang w:val="en-GB"/>
        </w:rPr>
        <w:t xml:space="preserve"> months</w:t>
      </w:r>
      <w:r w:rsidRPr="006D1DDF">
        <w:rPr>
          <w:lang w:val="en-GB"/>
        </w:rPr>
        <w:t xml:space="preserve"> but progression free survival was not reached indicating that time on therapy could be greater in practice; and</w:t>
      </w:r>
    </w:p>
    <w:p w:rsidR="00CB0C06" w:rsidRPr="006D1DDF" w:rsidRDefault="00CB0C06" w:rsidP="00EB471D">
      <w:pPr>
        <w:pStyle w:val="ListParagraph"/>
        <w:widowControl/>
        <w:numPr>
          <w:ilvl w:val="0"/>
          <w:numId w:val="14"/>
        </w:numPr>
        <w:ind w:left="1134" w:hanging="425"/>
        <w:rPr>
          <w:lang w:val="en-GB"/>
        </w:rPr>
      </w:pPr>
      <w:r w:rsidRPr="006D1DDF">
        <w:rPr>
          <w:lang w:val="en-GB"/>
        </w:rPr>
        <w:t>the cost offsets for rituximab plus chlorambucil might have been overestimated due to:</w:t>
      </w:r>
    </w:p>
    <w:p w:rsidR="00CB0C06" w:rsidRPr="006D1DDF" w:rsidRDefault="00CB0C06" w:rsidP="00EB471D">
      <w:pPr>
        <w:pStyle w:val="ListParagraph"/>
        <w:widowControl/>
        <w:numPr>
          <w:ilvl w:val="0"/>
          <w:numId w:val="15"/>
        </w:numPr>
        <w:ind w:left="1560" w:hanging="426"/>
        <w:rPr>
          <w:lang w:val="en-GB"/>
        </w:rPr>
      </w:pPr>
      <w:r w:rsidRPr="006D1DDF">
        <w:rPr>
          <w:lang w:val="en-GB"/>
        </w:rPr>
        <w:t xml:space="preserve">the maximum duration of treatment of rituximab (6 months) was used as opposed to the mean of 5.3 months; consistent with the same approach used to for ibrutinib; </w:t>
      </w:r>
    </w:p>
    <w:p w:rsidR="00CB0C06" w:rsidRPr="006D1DDF" w:rsidRDefault="00CB0C06" w:rsidP="00EB471D">
      <w:pPr>
        <w:pStyle w:val="ListParagraph"/>
        <w:widowControl/>
        <w:numPr>
          <w:ilvl w:val="0"/>
          <w:numId w:val="15"/>
        </w:numPr>
        <w:ind w:left="1560" w:hanging="426"/>
        <w:rPr>
          <w:lang w:val="en-GB"/>
        </w:rPr>
      </w:pPr>
      <w:r w:rsidRPr="006D1DDF">
        <w:rPr>
          <w:lang w:val="en-GB"/>
        </w:rPr>
        <w:t>the assumption that there would be cost offsets for grandfathered patients; and</w:t>
      </w:r>
    </w:p>
    <w:p w:rsidR="00CB0C06" w:rsidRPr="006D1DDF" w:rsidRDefault="00CB0C06" w:rsidP="00EB471D">
      <w:pPr>
        <w:pStyle w:val="ListParagraph"/>
        <w:numPr>
          <w:ilvl w:val="0"/>
          <w:numId w:val="15"/>
        </w:numPr>
        <w:ind w:left="1560" w:hanging="426"/>
        <w:rPr>
          <w:lang w:val="en-GB"/>
        </w:rPr>
      </w:pPr>
      <w:r w:rsidRPr="006D1DDF">
        <w:rPr>
          <w:lang w:val="en-GB"/>
        </w:rPr>
        <w:t>ibrutinib would not be limited to monotherapy according to the TGA product information or proposed PBS restriction. Th</w:t>
      </w:r>
      <w:r w:rsidR="00E80622">
        <w:rPr>
          <w:lang w:val="en-GB"/>
        </w:rPr>
        <w:t>is might result in potential co</w:t>
      </w:r>
      <w:r w:rsidR="00E80622">
        <w:rPr>
          <w:lang w:val="en-GB"/>
        </w:rPr>
        <w:noBreakHyphen/>
      </w:r>
      <w:r w:rsidRPr="006D1DDF">
        <w:rPr>
          <w:lang w:val="en-GB"/>
        </w:rPr>
        <w:t>administration of ibrutinib with rituximab, resulting in lower cost offsets.</w:t>
      </w:r>
    </w:p>
    <w:p w:rsidR="00CB0C06" w:rsidRPr="006D1DDF" w:rsidRDefault="00CB0C06" w:rsidP="00917032">
      <w:pPr>
        <w:rPr>
          <w:lang w:val="en-GB"/>
        </w:rPr>
      </w:pPr>
    </w:p>
    <w:p w:rsidR="00CB0C06" w:rsidRPr="006D1DDF" w:rsidRDefault="00CB0C06" w:rsidP="00917032">
      <w:pPr>
        <w:pStyle w:val="ListParagraph"/>
        <w:widowControl/>
        <w:numPr>
          <w:ilvl w:val="1"/>
          <w:numId w:val="7"/>
        </w:numPr>
        <w:rPr>
          <w:szCs w:val="22"/>
          <w:lang w:val="en-GB"/>
        </w:rPr>
      </w:pPr>
      <w:r w:rsidRPr="006D1DDF">
        <w:rPr>
          <w:szCs w:val="22"/>
        </w:rPr>
        <w:t xml:space="preserve">DUSC noted </w:t>
      </w:r>
      <w:r w:rsidRPr="006D1DDF">
        <w:t xml:space="preserve">the submission’s incidence-based approach to derive the financial estimates did not account for the use of ibrutinib in patients diagnosed with CLL prior to 2012. DUSC considered that there would be a large prevalent group of CLL patients diagnosed prior to 2012 who may be treated with ibrutinib if it is listed on the PBS. The DUSC re-estimates indicate there may be </w:t>
      </w:r>
      <w:r w:rsidR="00E80622">
        <w:t>less than 10,000</w:t>
      </w:r>
      <w:r w:rsidRPr="006D1DDF">
        <w:t xml:space="preserve"> additional prevalent patients who may use ibrutinib on the PBS. </w:t>
      </w:r>
    </w:p>
    <w:p w:rsidR="000B6124" w:rsidRPr="006D1DDF" w:rsidRDefault="000B6124" w:rsidP="000B6124">
      <w:pPr>
        <w:pStyle w:val="PBACHeading1"/>
        <w:numPr>
          <w:ilvl w:val="0"/>
          <w:numId w:val="0"/>
        </w:numPr>
        <w:ind w:left="720" w:hanging="720"/>
        <w:rPr>
          <w:lang w:val="en-GB"/>
        </w:rPr>
      </w:pPr>
    </w:p>
    <w:p w:rsidR="00CB0C06" w:rsidRPr="006D1DDF" w:rsidRDefault="00CB0C06" w:rsidP="00917032">
      <w:pPr>
        <w:pStyle w:val="ListParagraph"/>
        <w:widowControl/>
        <w:numPr>
          <w:ilvl w:val="1"/>
          <w:numId w:val="7"/>
        </w:numPr>
        <w:rPr>
          <w:szCs w:val="22"/>
          <w:lang w:val="en-GB"/>
        </w:rPr>
      </w:pPr>
      <w:r w:rsidRPr="006D1DDF">
        <w:t xml:space="preserve">DUSC considered that the submission’s estimate for the uptake of ibrutinib of </w:t>
      </w:r>
      <w:r w:rsidR="0056677C">
        <w:rPr>
          <w:noProof/>
          <w:color w:val="000000"/>
          <w:highlight w:val="black"/>
        </w:rPr>
        <w:t>''''''</w:t>
      </w:r>
      <w:r w:rsidRPr="006D1DDF">
        <w:t>% was too low for an efficacious oral treatment for patients with few other treatment options. DUSC considered that the uptake could reach</w:t>
      </w:r>
      <w:r w:rsidRPr="007C2BE3">
        <w:t xml:space="preserve"> </w:t>
      </w:r>
      <w:r w:rsidR="0056677C">
        <w:rPr>
          <w:noProof/>
          <w:color w:val="000000"/>
          <w:highlight w:val="black"/>
        </w:rPr>
        <w:t>''''''</w:t>
      </w:r>
      <w:r w:rsidRPr="006D1DDF">
        <w:t xml:space="preserve">% of the eligible population in the first 5 years of listing. In year 1, the cost to Government may be 6.5 times more than estimated in the submission.  Overall, there may be an additional cost of </w:t>
      </w:r>
      <w:r w:rsidR="00E80622">
        <w:t>more than</w:t>
      </w:r>
      <w:r w:rsidR="00E80622" w:rsidRPr="006D1DDF">
        <w:t xml:space="preserve"> </w:t>
      </w:r>
      <w:r w:rsidRPr="006D1DDF">
        <w:t>$</w:t>
      </w:r>
      <w:r w:rsidR="00E80622">
        <w:t xml:space="preserve">100 </w:t>
      </w:r>
      <w:r w:rsidRPr="006D1DDF">
        <w:t>million over the first 5 years of listing.</w:t>
      </w:r>
    </w:p>
    <w:p w:rsidR="000B6124" w:rsidRPr="006D1DDF" w:rsidRDefault="000B6124" w:rsidP="000B6124">
      <w:pPr>
        <w:pStyle w:val="PBACHeading1"/>
        <w:numPr>
          <w:ilvl w:val="0"/>
          <w:numId w:val="0"/>
        </w:numPr>
        <w:rPr>
          <w:lang w:val="en-GB"/>
        </w:rPr>
      </w:pPr>
    </w:p>
    <w:p w:rsidR="00CB0C06" w:rsidRPr="00EC4A34" w:rsidRDefault="00CB0C06" w:rsidP="00917032">
      <w:pPr>
        <w:pStyle w:val="ListParagraph"/>
        <w:widowControl/>
        <w:numPr>
          <w:ilvl w:val="1"/>
          <w:numId w:val="7"/>
        </w:numPr>
        <w:rPr>
          <w:szCs w:val="22"/>
          <w:lang w:val="en-GB"/>
        </w:rPr>
      </w:pPr>
      <w:r w:rsidRPr="006D1DDF">
        <w:t xml:space="preserve">DUSC considered there to be a high likelihood of use outside of the restriction, particularly as an earlier line therapy in patients who are able to use purine analogues. </w:t>
      </w:r>
    </w:p>
    <w:p w:rsidR="00EC4A34" w:rsidRPr="006D1DDF" w:rsidRDefault="00EC4A34" w:rsidP="00EC4A34">
      <w:pPr>
        <w:pStyle w:val="ListParagraph"/>
        <w:widowControl/>
        <w:ind w:left="0"/>
        <w:rPr>
          <w:szCs w:val="22"/>
          <w:lang w:val="en-GB"/>
        </w:rPr>
      </w:pPr>
    </w:p>
    <w:p w:rsidR="00CB0C06" w:rsidRPr="006D1DDF" w:rsidRDefault="00CB0C06" w:rsidP="00917032">
      <w:pPr>
        <w:pStyle w:val="ListParagraph"/>
        <w:widowControl/>
        <w:numPr>
          <w:ilvl w:val="1"/>
          <w:numId w:val="7"/>
        </w:numPr>
        <w:rPr>
          <w:szCs w:val="22"/>
          <w:lang w:val="en-GB"/>
        </w:rPr>
      </w:pPr>
      <w:r w:rsidRPr="006D1DDF">
        <w:t>DUSC considered the ibrutinib restriction should define ‘unsuitable for treatment or retreatment with a purine analogue’, define pro</w:t>
      </w:r>
      <w:r w:rsidR="00E80622">
        <w:t>gressive disease and prevent co</w:t>
      </w:r>
      <w:r w:rsidR="00E80622">
        <w:noBreakHyphen/>
      </w:r>
      <w:r w:rsidR="005C22D4">
        <w:t>administration with rituximab.</w:t>
      </w:r>
    </w:p>
    <w:p w:rsidR="00CB0C06" w:rsidRPr="006D1DDF" w:rsidRDefault="00CB0C06" w:rsidP="001D048B">
      <w:pPr>
        <w:pStyle w:val="PBACHeading1"/>
        <w:numPr>
          <w:ilvl w:val="0"/>
          <w:numId w:val="0"/>
        </w:numPr>
        <w:ind w:left="720"/>
        <w:rPr>
          <w:b w:val="0"/>
        </w:rPr>
      </w:pPr>
    </w:p>
    <w:p w:rsidR="00CB0C06" w:rsidRPr="006D1DDF" w:rsidRDefault="00CB0C06" w:rsidP="005C22D4">
      <w:pPr>
        <w:keepNext/>
        <w:ind w:left="709"/>
        <w:contextualSpacing/>
        <w:rPr>
          <w:rFonts w:ascii="Arial Narrow" w:hAnsi="Arial Narrow"/>
          <w:b/>
          <w:sz w:val="20"/>
        </w:rPr>
      </w:pPr>
      <w:r w:rsidRPr="006D1DDF">
        <w:rPr>
          <w:rStyle w:val="CommentReference"/>
          <w:rFonts w:cs="Arial"/>
          <w:sz w:val="20"/>
          <w:szCs w:val="16"/>
        </w:rPr>
        <w:lastRenderedPageBreak/>
        <w:t xml:space="preserve">Table 10: </w:t>
      </w:r>
      <w:r w:rsidRPr="006D1DDF">
        <w:rPr>
          <w:rFonts w:ascii="Arial Narrow" w:hAnsi="Arial Narrow"/>
          <w:b/>
          <w:sz w:val="20"/>
        </w:rPr>
        <w:t>DUSC revised estimated use and financial implications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134"/>
        <w:gridCol w:w="1276"/>
        <w:gridCol w:w="1276"/>
        <w:gridCol w:w="1276"/>
        <w:gridCol w:w="1338"/>
      </w:tblGrid>
      <w:tr w:rsidR="00CB0C06" w:rsidRPr="006D1DDF" w:rsidTr="00573125">
        <w:tc>
          <w:tcPr>
            <w:tcW w:w="2126" w:type="dxa"/>
            <w:tcBorders>
              <w:top w:val="nil"/>
              <w:left w:val="nil"/>
            </w:tcBorders>
          </w:tcPr>
          <w:p w:rsidR="00CB0C06" w:rsidRPr="006D1DDF" w:rsidRDefault="00CB0C06" w:rsidP="004E796F">
            <w:pPr>
              <w:rPr>
                <w:rFonts w:ascii="Arial Narrow" w:hAnsi="Arial Narrow"/>
                <w:szCs w:val="22"/>
                <w:lang w:val="en-GB"/>
              </w:rPr>
            </w:pPr>
          </w:p>
        </w:tc>
        <w:tc>
          <w:tcPr>
            <w:tcW w:w="1134" w:type="dxa"/>
            <w:vAlign w:val="center"/>
          </w:tcPr>
          <w:p w:rsidR="00CB0C06" w:rsidRPr="006D1DDF" w:rsidRDefault="00CB0C06" w:rsidP="00573125">
            <w:pPr>
              <w:keepNext/>
              <w:widowControl/>
              <w:jc w:val="center"/>
              <w:rPr>
                <w:rFonts w:ascii="Arial Narrow" w:hAnsi="Arial Narrow"/>
                <w:b/>
                <w:sz w:val="20"/>
                <w:lang w:val="en-GB"/>
              </w:rPr>
            </w:pPr>
            <w:r w:rsidRPr="006D1DDF">
              <w:rPr>
                <w:rFonts w:ascii="Arial Narrow" w:hAnsi="Arial Narrow"/>
                <w:b/>
                <w:sz w:val="20"/>
                <w:lang w:val="en-GB"/>
              </w:rPr>
              <w:t>Year 1</w:t>
            </w:r>
          </w:p>
        </w:tc>
        <w:tc>
          <w:tcPr>
            <w:tcW w:w="1276" w:type="dxa"/>
            <w:vAlign w:val="center"/>
          </w:tcPr>
          <w:p w:rsidR="00CB0C06" w:rsidRPr="006D1DDF" w:rsidRDefault="00CB0C06" w:rsidP="00573125">
            <w:pPr>
              <w:keepNext/>
              <w:widowControl/>
              <w:jc w:val="center"/>
              <w:rPr>
                <w:rFonts w:ascii="Arial Narrow" w:hAnsi="Arial Narrow"/>
                <w:b/>
                <w:sz w:val="20"/>
                <w:lang w:val="en-GB"/>
              </w:rPr>
            </w:pPr>
            <w:r w:rsidRPr="006D1DDF">
              <w:rPr>
                <w:rFonts w:ascii="Arial Narrow" w:hAnsi="Arial Narrow"/>
                <w:b/>
                <w:sz w:val="20"/>
                <w:lang w:val="en-GB"/>
              </w:rPr>
              <w:t>Year 2</w:t>
            </w:r>
          </w:p>
        </w:tc>
        <w:tc>
          <w:tcPr>
            <w:tcW w:w="1276" w:type="dxa"/>
            <w:vAlign w:val="center"/>
          </w:tcPr>
          <w:p w:rsidR="00CB0C06" w:rsidRPr="006D1DDF" w:rsidRDefault="00CB0C06" w:rsidP="00573125">
            <w:pPr>
              <w:keepNext/>
              <w:widowControl/>
              <w:jc w:val="center"/>
              <w:rPr>
                <w:rFonts w:ascii="Arial Narrow" w:hAnsi="Arial Narrow"/>
                <w:b/>
                <w:sz w:val="20"/>
                <w:lang w:val="en-GB"/>
              </w:rPr>
            </w:pPr>
            <w:r w:rsidRPr="006D1DDF">
              <w:rPr>
                <w:rFonts w:ascii="Arial Narrow" w:hAnsi="Arial Narrow"/>
                <w:b/>
                <w:sz w:val="20"/>
                <w:lang w:val="en-GB"/>
              </w:rPr>
              <w:t>Year 3</w:t>
            </w:r>
          </w:p>
        </w:tc>
        <w:tc>
          <w:tcPr>
            <w:tcW w:w="1276" w:type="dxa"/>
            <w:vAlign w:val="center"/>
          </w:tcPr>
          <w:p w:rsidR="00CB0C06" w:rsidRPr="006D1DDF" w:rsidRDefault="00CB0C06" w:rsidP="00573125">
            <w:pPr>
              <w:keepNext/>
              <w:widowControl/>
              <w:jc w:val="center"/>
              <w:rPr>
                <w:rFonts w:ascii="Arial Narrow" w:hAnsi="Arial Narrow"/>
                <w:b/>
                <w:sz w:val="20"/>
                <w:lang w:val="en-GB"/>
              </w:rPr>
            </w:pPr>
            <w:r w:rsidRPr="006D1DDF">
              <w:rPr>
                <w:rFonts w:ascii="Arial Narrow" w:hAnsi="Arial Narrow"/>
                <w:b/>
                <w:sz w:val="20"/>
                <w:lang w:val="en-GB"/>
              </w:rPr>
              <w:t>Year 4</w:t>
            </w:r>
          </w:p>
        </w:tc>
        <w:tc>
          <w:tcPr>
            <w:tcW w:w="1338" w:type="dxa"/>
            <w:vAlign w:val="center"/>
          </w:tcPr>
          <w:p w:rsidR="00CB0C06" w:rsidRPr="006D1DDF" w:rsidRDefault="00CB0C06" w:rsidP="00573125">
            <w:pPr>
              <w:keepNext/>
              <w:widowControl/>
              <w:jc w:val="center"/>
              <w:rPr>
                <w:rFonts w:ascii="Arial Narrow" w:hAnsi="Arial Narrow"/>
                <w:b/>
                <w:sz w:val="20"/>
                <w:lang w:val="en-GB"/>
              </w:rPr>
            </w:pPr>
            <w:r w:rsidRPr="006D1DDF">
              <w:rPr>
                <w:rFonts w:ascii="Arial Narrow" w:hAnsi="Arial Narrow"/>
                <w:b/>
                <w:sz w:val="20"/>
                <w:lang w:val="en-GB"/>
              </w:rPr>
              <w:t>Year 5</w:t>
            </w:r>
          </w:p>
        </w:tc>
      </w:tr>
      <w:tr w:rsidR="00CB0C06" w:rsidRPr="006D1DDF" w:rsidTr="00573125">
        <w:tc>
          <w:tcPr>
            <w:tcW w:w="2126" w:type="dxa"/>
            <w:vAlign w:val="center"/>
          </w:tcPr>
          <w:p w:rsidR="00CB0C06" w:rsidRPr="006D1DDF" w:rsidRDefault="00CB0C06" w:rsidP="00573125">
            <w:pPr>
              <w:jc w:val="left"/>
              <w:rPr>
                <w:rFonts w:ascii="Arial Narrow" w:hAnsi="Arial Narrow"/>
                <w:sz w:val="20"/>
                <w:lang w:val="en-GB"/>
              </w:rPr>
            </w:pPr>
            <w:r w:rsidRPr="006D1DDF">
              <w:rPr>
                <w:rFonts w:ascii="Arial Narrow" w:hAnsi="Arial Narrow"/>
                <w:sz w:val="20"/>
                <w:lang w:val="en-GB"/>
              </w:rPr>
              <w:t>Patients starting ibrutinib</w:t>
            </w:r>
          </w:p>
        </w:tc>
        <w:tc>
          <w:tcPr>
            <w:tcW w:w="1134"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338"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CB0C06" w:rsidRPr="006D1DDF" w:rsidTr="00573125">
        <w:tc>
          <w:tcPr>
            <w:tcW w:w="2126" w:type="dxa"/>
            <w:vAlign w:val="center"/>
          </w:tcPr>
          <w:p w:rsidR="00CB0C06" w:rsidRPr="006D1DDF" w:rsidRDefault="00CB0C06" w:rsidP="00573125">
            <w:pPr>
              <w:jc w:val="left"/>
              <w:rPr>
                <w:rFonts w:ascii="Arial Narrow" w:hAnsi="Arial Narrow"/>
                <w:sz w:val="20"/>
                <w:lang w:val="en-GB"/>
              </w:rPr>
            </w:pPr>
            <w:r w:rsidRPr="006D1DDF">
              <w:rPr>
                <w:rFonts w:ascii="Arial Narrow" w:hAnsi="Arial Narrow"/>
                <w:sz w:val="20"/>
                <w:lang w:val="en-GB"/>
              </w:rPr>
              <w:t>Packs</w:t>
            </w:r>
          </w:p>
        </w:tc>
        <w:tc>
          <w:tcPr>
            <w:tcW w:w="1134"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6"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338" w:type="dxa"/>
            <w:vAlign w:val="center"/>
          </w:tcPr>
          <w:p w:rsidR="00CB0C06" w:rsidRPr="0056677C" w:rsidRDefault="0056677C" w:rsidP="00573125">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CB0C06" w:rsidRPr="006D1DDF" w:rsidTr="00573125">
        <w:tc>
          <w:tcPr>
            <w:tcW w:w="2126" w:type="dxa"/>
            <w:vAlign w:val="center"/>
          </w:tcPr>
          <w:p w:rsidR="00CB0C06" w:rsidRPr="006D1DDF" w:rsidRDefault="00CB0C06" w:rsidP="00573125">
            <w:pPr>
              <w:jc w:val="left"/>
              <w:rPr>
                <w:rFonts w:ascii="Arial Narrow" w:hAnsi="Arial Narrow"/>
                <w:sz w:val="20"/>
                <w:lang w:val="en-GB"/>
              </w:rPr>
            </w:pPr>
            <w:r w:rsidRPr="006D1DDF">
              <w:rPr>
                <w:rFonts w:ascii="Arial Narrow" w:hAnsi="Arial Narrow"/>
                <w:sz w:val="20"/>
                <w:lang w:val="en-GB"/>
              </w:rPr>
              <w:t xml:space="preserve">Total net cost of ibrutinib </w:t>
            </w:r>
            <w:r w:rsidRPr="006D1DDF">
              <w:rPr>
                <w:rFonts w:ascii="Arial Narrow" w:hAnsi="Arial Narrow"/>
                <w:bCs/>
                <w:color w:val="000000"/>
                <w:sz w:val="20"/>
                <w:lang w:val="en-GB"/>
              </w:rPr>
              <w:t>to PBS/RPBS/MBS</w:t>
            </w:r>
          </w:p>
        </w:tc>
        <w:tc>
          <w:tcPr>
            <w:tcW w:w="1134" w:type="dxa"/>
            <w:vAlign w:val="bottom"/>
          </w:tcPr>
          <w:p w:rsidR="00CB0C06" w:rsidRPr="006D1DDF" w:rsidRDefault="00CB0C06" w:rsidP="00573125">
            <w:pPr>
              <w:jc w:val="center"/>
              <w:rPr>
                <w:rFonts w:ascii="Arial Narrow" w:hAnsi="Arial Narrow"/>
                <w:color w:val="000000"/>
                <w:sz w:val="20"/>
              </w:rPr>
            </w:pPr>
            <w:r w:rsidRPr="006D1DDF">
              <w:rPr>
                <w:rFonts w:ascii="Arial Narrow" w:hAnsi="Arial Narrow"/>
                <w:color w:val="000000"/>
                <w:sz w:val="20"/>
              </w:rPr>
              <w:t>$</w:t>
            </w:r>
            <w:r w:rsidR="0056677C">
              <w:rPr>
                <w:rFonts w:ascii="Arial Narrow" w:hAnsi="Arial Narrow"/>
                <w:noProof/>
                <w:color w:val="000000"/>
                <w:sz w:val="20"/>
                <w:highlight w:val="black"/>
              </w:rPr>
              <w:t>''''''''''''''''''''''''</w:t>
            </w:r>
          </w:p>
        </w:tc>
        <w:tc>
          <w:tcPr>
            <w:tcW w:w="1276" w:type="dxa"/>
            <w:vAlign w:val="bottom"/>
          </w:tcPr>
          <w:p w:rsidR="00CB0C06" w:rsidRPr="006D1DDF" w:rsidRDefault="00CB0C06" w:rsidP="00573125">
            <w:pPr>
              <w:jc w:val="center"/>
              <w:rPr>
                <w:rFonts w:ascii="Arial Narrow" w:hAnsi="Arial Narrow"/>
                <w:color w:val="000000"/>
                <w:sz w:val="20"/>
              </w:rPr>
            </w:pPr>
            <w:r w:rsidRPr="006D1DDF">
              <w:rPr>
                <w:rFonts w:ascii="Arial Narrow" w:hAnsi="Arial Narrow"/>
                <w:color w:val="000000"/>
                <w:sz w:val="20"/>
              </w:rPr>
              <w:t>$</w:t>
            </w:r>
            <w:r w:rsidR="0056677C">
              <w:rPr>
                <w:rFonts w:ascii="Arial Narrow" w:hAnsi="Arial Narrow"/>
                <w:noProof/>
                <w:color w:val="000000"/>
                <w:sz w:val="20"/>
                <w:highlight w:val="black"/>
              </w:rPr>
              <w:t>''''''''''''''''''''''''''''''''</w:t>
            </w:r>
          </w:p>
        </w:tc>
        <w:tc>
          <w:tcPr>
            <w:tcW w:w="1276" w:type="dxa"/>
            <w:vAlign w:val="bottom"/>
          </w:tcPr>
          <w:p w:rsidR="00CB0C06" w:rsidRPr="006D1DDF" w:rsidRDefault="00CB0C06" w:rsidP="00573125">
            <w:pPr>
              <w:jc w:val="center"/>
              <w:rPr>
                <w:rFonts w:ascii="Arial Narrow" w:hAnsi="Arial Narrow"/>
                <w:color w:val="000000"/>
                <w:sz w:val="20"/>
              </w:rPr>
            </w:pPr>
            <w:r w:rsidRPr="006D1DDF">
              <w:rPr>
                <w:rFonts w:ascii="Arial Narrow" w:hAnsi="Arial Narrow"/>
                <w:color w:val="000000"/>
                <w:sz w:val="20"/>
              </w:rPr>
              <w:t>$</w:t>
            </w:r>
            <w:r w:rsidR="0056677C">
              <w:rPr>
                <w:rFonts w:ascii="Arial Narrow" w:hAnsi="Arial Narrow"/>
                <w:noProof/>
                <w:color w:val="000000"/>
                <w:sz w:val="20"/>
                <w:highlight w:val="black"/>
              </w:rPr>
              <w:t>'''''''''''''''''''''''''''</w:t>
            </w:r>
          </w:p>
        </w:tc>
        <w:tc>
          <w:tcPr>
            <w:tcW w:w="1276" w:type="dxa"/>
            <w:vAlign w:val="bottom"/>
          </w:tcPr>
          <w:p w:rsidR="00CB0C06" w:rsidRPr="006D1DDF" w:rsidRDefault="00CB0C06" w:rsidP="00573125">
            <w:pPr>
              <w:jc w:val="center"/>
              <w:rPr>
                <w:rFonts w:ascii="Arial Narrow" w:hAnsi="Arial Narrow"/>
                <w:color w:val="000000"/>
                <w:sz w:val="20"/>
              </w:rPr>
            </w:pPr>
            <w:r w:rsidRPr="006D1DDF">
              <w:rPr>
                <w:rFonts w:ascii="Arial Narrow" w:hAnsi="Arial Narrow"/>
                <w:color w:val="000000"/>
                <w:sz w:val="20"/>
              </w:rPr>
              <w:t>$</w:t>
            </w:r>
            <w:r w:rsidR="0056677C">
              <w:rPr>
                <w:rFonts w:ascii="Arial Narrow" w:hAnsi="Arial Narrow"/>
                <w:noProof/>
                <w:color w:val="000000"/>
                <w:sz w:val="20"/>
                <w:highlight w:val="black"/>
              </w:rPr>
              <w:t>'''''''''''''''''''''''''''''</w:t>
            </w:r>
          </w:p>
        </w:tc>
        <w:tc>
          <w:tcPr>
            <w:tcW w:w="1338" w:type="dxa"/>
            <w:vAlign w:val="bottom"/>
          </w:tcPr>
          <w:p w:rsidR="00CB0C06" w:rsidRPr="006D1DDF" w:rsidRDefault="00CB0C06" w:rsidP="00573125">
            <w:pPr>
              <w:jc w:val="center"/>
              <w:rPr>
                <w:rFonts w:ascii="Arial Narrow" w:hAnsi="Arial Narrow"/>
                <w:color w:val="000000"/>
                <w:sz w:val="20"/>
              </w:rPr>
            </w:pPr>
            <w:r w:rsidRPr="006D1DDF">
              <w:rPr>
                <w:rFonts w:ascii="Arial Narrow" w:hAnsi="Arial Narrow"/>
                <w:color w:val="000000"/>
                <w:sz w:val="20"/>
              </w:rPr>
              <w:t>$</w:t>
            </w:r>
            <w:r w:rsidR="0056677C">
              <w:rPr>
                <w:rFonts w:ascii="Arial Narrow" w:hAnsi="Arial Narrow"/>
                <w:noProof/>
                <w:color w:val="000000"/>
                <w:sz w:val="20"/>
                <w:highlight w:val="black"/>
              </w:rPr>
              <w:t>''''''''''''''''''''''''''''</w:t>
            </w:r>
          </w:p>
        </w:tc>
      </w:tr>
      <w:tr w:rsidR="00CB0C06" w:rsidRPr="006D1DDF" w:rsidTr="00573125">
        <w:tc>
          <w:tcPr>
            <w:tcW w:w="2126" w:type="dxa"/>
            <w:vAlign w:val="center"/>
          </w:tcPr>
          <w:p w:rsidR="00CB0C06" w:rsidRPr="006D1DDF" w:rsidRDefault="00CB0C06" w:rsidP="00573125">
            <w:pPr>
              <w:jc w:val="left"/>
              <w:rPr>
                <w:rFonts w:ascii="Arial Narrow" w:hAnsi="Arial Narrow"/>
                <w:sz w:val="20"/>
                <w:lang w:val="en-GB"/>
              </w:rPr>
            </w:pPr>
            <w:r w:rsidRPr="006D1DDF">
              <w:rPr>
                <w:rFonts w:ascii="Arial Narrow" w:hAnsi="Arial Narrow"/>
                <w:sz w:val="20"/>
                <w:lang w:val="en-GB"/>
              </w:rPr>
              <w:t>Submission’s estimates of  patients starting ibrutinib</w:t>
            </w:r>
          </w:p>
        </w:tc>
        <w:tc>
          <w:tcPr>
            <w:tcW w:w="1134" w:type="dxa"/>
            <w:vAlign w:val="bottom"/>
          </w:tcPr>
          <w:p w:rsidR="00CB0C06" w:rsidRPr="0056677C" w:rsidRDefault="0056677C" w:rsidP="00573125">
            <w:pPr>
              <w:jc w:val="center"/>
              <w:rPr>
                <w:rFonts w:ascii="Arial Narrow" w:hAnsi="Arial Narrow"/>
                <w:sz w:val="20"/>
                <w:highlight w:val="black"/>
              </w:rPr>
            </w:pPr>
            <w:r>
              <w:rPr>
                <w:rFonts w:ascii="Arial Narrow" w:hAnsi="Arial Narrow"/>
                <w:noProof/>
                <w:color w:val="000000"/>
                <w:sz w:val="20"/>
                <w:highlight w:val="black"/>
              </w:rPr>
              <w:t>'''''''''</w:t>
            </w:r>
          </w:p>
        </w:tc>
        <w:tc>
          <w:tcPr>
            <w:tcW w:w="1276" w:type="dxa"/>
            <w:vAlign w:val="bottom"/>
          </w:tcPr>
          <w:p w:rsidR="00CB0C06" w:rsidRPr="0056677C" w:rsidRDefault="0056677C" w:rsidP="00573125">
            <w:pPr>
              <w:jc w:val="center"/>
              <w:rPr>
                <w:rFonts w:ascii="Arial Narrow" w:hAnsi="Arial Narrow"/>
                <w:sz w:val="20"/>
                <w:highlight w:val="black"/>
              </w:rPr>
            </w:pPr>
            <w:r>
              <w:rPr>
                <w:rFonts w:ascii="Arial Narrow" w:hAnsi="Arial Narrow"/>
                <w:noProof/>
                <w:color w:val="000000"/>
                <w:sz w:val="20"/>
                <w:highlight w:val="black"/>
              </w:rPr>
              <w:t>''''''''''</w:t>
            </w:r>
          </w:p>
        </w:tc>
        <w:tc>
          <w:tcPr>
            <w:tcW w:w="1276" w:type="dxa"/>
            <w:vAlign w:val="bottom"/>
          </w:tcPr>
          <w:p w:rsidR="00CB0C06" w:rsidRPr="0056677C" w:rsidRDefault="0056677C" w:rsidP="00573125">
            <w:pPr>
              <w:jc w:val="center"/>
              <w:rPr>
                <w:rFonts w:ascii="Arial Narrow" w:hAnsi="Arial Narrow"/>
                <w:sz w:val="20"/>
                <w:highlight w:val="black"/>
              </w:rPr>
            </w:pPr>
            <w:r>
              <w:rPr>
                <w:rFonts w:ascii="Arial Narrow" w:hAnsi="Arial Narrow"/>
                <w:noProof/>
                <w:color w:val="000000"/>
                <w:sz w:val="20"/>
                <w:highlight w:val="black"/>
              </w:rPr>
              <w:t>''''''''''</w:t>
            </w:r>
          </w:p>
        </w:tc>
        <w:tc>
          <w:tcPr>
            <w:tcW w:w="1276" w:type="dxa"/>
            <w:vAlign w:val="bottom"/>
          </w:tcPr>
          <w:p w:rsidR="00CB0C06" w:rsidRPr="0056677C" w:rsidRDefault="0056677C" w:rsidP="00573125">
            <w:pPr>
              <w:jc w:val="center"/>
              <w:rPr>
                <w:rFonts w:ascii="Arial Narrow" w:hAnsi="Arial Narrow"/>
                <w:sz w:val="20"/>
                <w:highlight w:val="black"/>
              </w:rPr>
            </w:pPr>
            <w:r>
              <w:rPr>
                <w:rFonts w:ascii="Arial Narrow" w:hAnsi="Arial Narrow"/>
                <w:noProof/>
                <w:color w:val="000000"/>
                <w:sz w:val="20"/>
                <w:highlight w:val="black"/>
              </w:rPr>
              <w:t>''''''''''</w:t>
            </w:r>
          </w:p>
        </w:tc>
        <w:tc>
          <w:tcPr>
            <w:tcW w:w="1338" w:type="dxa"/>
            <w:vAlign w:val="bottom"/>
          </w:tcPr>
          <w:p w:rsidR="00CB0C06" w:rsidRPr="0056677C" w:rsidRDefault="0056677C" w:rsidP="00573125">
            <w:pPr>
              <w:jc w:val="center"/>
              <w:rPr>
                <w:rFonts w:ascii="Arial Narrow" w:hAnsi="Arial Narrow"/>
                <w:sz w:val="20"/>
                <w:highlight w:val="black"/>
              </w:rPr>
            </w:pPr>
            <w:r>
              <w:rPr>
                <w:rFonts w:ascii="Arial Narrow" w:hAnsi="Arial Narrow"/>
                <w:noProof/>
                <w:color w:val="000000"/>
                <w:sz w:val="20"/>
                <w:highlight w:val="black"/>
              </w:rPr>
              <w:t>'''''''''</w:t>
            </w:r>
          </w:p>
        </w:tc>
      </w:tr>
      <w:tr w:rsidR="00CB0C06" w:rsidRPr="006D1DDF" w:rsidTr="00573125">
        <w:tc>
          <w:tcPr>
            <w:tcW w:w="2126" w:type="dxa"/>
          </w:tcPr>
          <w:p w:rsidR="00CB0C06" w:rsidRPr="006D1DDF" w:rsidRDefault="00CB0C06" w:rsidP="00573125">
            <w:pPr>
              <w:jc w:val="left"/>
              <w:rPr>
                <w:rFonts w:ascii="Arial Narrow" w:hAnsi="Arial Narrow"/>
                <w:sz w:val="20"/>
                <w:lang w:val="en-GB"/>
              </w:rPr>
            </w:pPr>
            <w:r w:rsidRPr="006D1DDF">
              <w:rPr>
                <w:rFonts w:ascii="Arial Narrow" w:hAnsi="Arial Narrow"/>
                <w:sz w:val="20"/>
                <w:lang w:val="en-GB"/>
              </w:rPr>
              <w:t xml:space="preserve">Submission’s estimated net cost of ibrutinib </w:t>
            </w:r>
            <w:r w:rsidRPr="006D1DDF">
              <w:rPr>
                <w:rFonts w:ascii="Arial Narrow" w:hAnsi="Arial Narrow"/>
                <w:bCs/>
                <w:color w:val="000000"/>
                <w:sz w:val="20"/>
                <w:lang w:val="en-GB"/>
              </w:rPr>
              <w:t>to PBS/RPBS/MBS</w:t>
            </w:r>
          </w:p>
        </w:tc>
        <w:tc>
          <w:tcPr>
            <w:tcW w:w="1134" w:type="dxa"/>
            <w:vAlign w:val="center"/>
          </w:tcPr>
          <w:p w:rsidR="00CB0C06" w:rsidRPr="006D1DDF" w:rsidRDefault="00CB0C06" w:rsidP="00573125">
            <w:pPr>
              <w:jc w:val="center"/>
              <w:rPr>
                <w:rFonts w:ascii="Arial Narrow" w:hAnsi="Arial Narrow"/>
                <w:color w:val="000000"/>
                <w:sz w:val="20"/>
              </w:rPr>
            </w:pPr>
            <w:r w:rsidRPr="006D1DDF">
              <w:rPr>
                <w:rFonts w:ascii="Arial Narrow" w:hAnsi="Arial Narrow"/>
                <w:sz w:val="20"/>
              </w:rPr>
              <w:t>$</w:t>
            </w:r>
            <w:r w:rsidR="0056677C">
              <w:rPr>
                <w:rFonts w:ascii="Arial Narrow" w:hAnsi="Arial Narrow"/>
                <w:noProof/>
                <w:color w:val="000000"/>
                <w:sz w:val="20"/>
                <w:highlight w:val="black"/>
              </w:rPr>
              <w:t>''''''''''''''''''''''''''''</w:t>
            </w:r>
          </w:p>
        </w:tc>
        <w:tc>
          <w:tcPr>
            <w:tcW w:w="1276" w:type="dxa"/>
            <w:vAlign w:val="center"/>
          </w:tcPr>
          <w:p w:rsidR="00CB0C06" w:rsidRPr="006D1DDF" w:rsidRDefault="00CB0C06" w:rsidP="00573125">
            <w:pPr>
              <w:jc w:val="center"/>
              <w:rPr>
                <w:rFonts w:ascii="Arial Narrow" w:hAnsi="Arial Narrow"/>
                <w:color w:val="000000"/>
                <w:sz w:val="20"/>
              </w:rPr>
            </w:pPr>
            <w:r w:rsidRPr="006D1DDF">
              <w:rPr>
                <w:rFonts w:ascii="Arial Narrow" w:hAnsi="Arial Narrow"/>
                <w:sz w:val="20"/>
              </w:rPr>
              <w:t>$</w:t>
            </w:r>
            <w:r w:rsidR="0056677C">
              <w:rPr>
                <w:rFonts w:ascii="Arial Narrow" w:hAnsi="Arial Narrow"/>
                <w:noProof/>
                <w:color w:val="000000"/>
                <w:sz w:val="20"/>
                <w:highlight w:val="black"/>
              </w:rPr>
              <w:t>''''''''''''''''''''''''</w:t>
            </w:r>
          </w:p>
        </w:tc>
        <w:tc>
          <w:tcPr>
            <w:tcW w:w="1276" w:type="dxa"/>
            <w:vAlign w:val="center"/>
          </w:tcPr>
          <w:p w:rsidR="00CB0C06" w:rsidRPr="006D1DDF" w:rsidRDefault="00CB0C06" w:rsidP="00573125">
            <w:pPr>
              <w:jc w:val="center"/>
              <w:rPr>
                <w:rFonts w:ascii="Arial Narrow" w:hAnsi="Arial Narrow"/>
                <w:color w:val="000000"/>
                <w:sz w:val="20"/>
              </w:rPr>
            </w:pPr>
            <w:r w:rsidRPr="006D1DDF">
              <w:rPr>
                <w:rFonts w:ascii="Arial Narrow" w:hAnsi="Arial Narrow"/>
                <w:sz w:val="20"/>
              </w:rPr>
              <w:t>$</w:t>
            </w:r>
            <w:r w:rsidR="0056677C">
              <w:rPr>
                <w:rFonts w:ascii="Arial Narrow" w:hAnsi="Arial Narrow"/>
                <w:noProof/>
                <w:color w:val="000000"/>
                <w:sz w:val="20"/>
                <w:highlight w:val="black"/>
              </w:rPr>
              <w:t>'''''''''''''''''''''''''''''</w:t>
            </w:r>
          </w:p>
        </w:tc>
        <w:tc>
          <w:tcPr>
            <w:tcW w:w="1276" w:type="dxa"/>
            <w:vAlign w:val="center"/>
          </w:tcPr>
          <w:p w:rsidR="00CB0C06" w:rsidRPr="006D1DDF" w:rsidRDefault="00CB0C06" w:rsidP="00573125">
            <w:pPr>
              <w:jc w:val="center"/>
              <w:rPr>
                <w:rFonts w:ascii="Arial Narrow" w:hAnsi="Arial Narrow"/>
                <w:color w:val="000000"/>
                <w:sz w:val="20"/>
              </w:rPr>
            </w:pPr>
            <w:r w:rsidRPr="006D1DDF">
              <w:rPr>
                <w:rFonts w:ascii="Arial Narrow" w:hAnsi="Arial Narrow"/>
                <w:sz w:val="20"/>
              </w:rPr>
              <w:t>$</w:t>
            </w:r>
            <w:r w:rsidR="0056677C">
              <w:rPr>
                <w:rFonts w:ascii="Arial Narrow" w:hAnsi="Arial Narrow"/>
                <w:noProof/>
                <w:color w:val="000000"/>
                <w:sz w:val="20"/>
                <w:highlight w:val="black"/>
              </w:rPr>
              <w:t>''''''''''''''''''''''''''''</w:t>
            </w:r>
          </w:p>
        </w:tc>
        <w:tc>
          <w:tcPr>
            <w:tcW w:w="1338" w:type="dxa"/>
            <w:vAlign w:val="center"/>
          </w:tcPr>
          <w:p w:rsidR="00CB0C06" w:rsidRPr="006D1DDF" w:rsidRDefault="00CB0C06" w:rsidP="00573125">
            <w:pPr>
              <w:jc w:val="center"/>
              <w:rPr>
                <w:rFonts w:ascii="Arial Narrow" w:hAnsi="Arial Narrow"/>
                <w:color w:val="000000"/>
                <w:sz w:val="20"/>
              </w:rPr>
            </w:pPr>
            <w:r w:rsidRPr="006D1DDF">
              <w:rPr>
                <w:rFonts w:ascii="Arial Narrow" w:hAnsi="Arial Narrow"/>
                <w:sz w:val="20"/>
              </w:rPr>
              <w:t>$</w:t>
            </w:r>
            <w:r w:rsidR="0056677C">
              <w:rPr>
                <w:rFonts w:ascii="Arial Narrow" w:hAnsi="Arial Narrow"/>
                <w:noProof/>
                <w:color w:val="000000"/>
                <w:sz w:val="20"/>
                <w:highlight w:val="black"/>
              </w:rPr>
              <w:t>'''''''''''''''''''''''''</w:t>
            </w:r>
          </w:p>
        </w:tc>
      </w:tr>
    </w:tbl>
    <w:p w:rsidR="00CB0C06" w:rsidRDefault="00CB0C06" w:rsidP="001D048B">
      <w:pPr>
        <w:pStyle w:val="PBACHeading1"/>
        <w:numPr>
          <w:ilvl w:val="0"/>
          <w:numId w:val="0"/>
        </w:numPr>
        <w:ind w:left="720"/>
        <w:rPr>
          <w:b w:val="0"/>
        </w:rPr>
      </w:pPr>
    </w:p>
    <w:p w:rsidR="00303F4A" w:rsidRPr="00303F4A" w:rsidRDefault="00303F4A" w:rsidP="00303F4A">
      <w:pPr>
        <w:pStyle w:val="PBACHeading1"/>
        <w:numPr>
          <w:ilvl w:val="0"/>
          <w:numId w:val="0"/>
        </w:numPr>
        <w:ind w:left="720"/>
        <w:rPr>
          <w:b w:val="0"/>
          <w:i/>
        </w:rPr>
      </w:pPr>
      <w:r w:rsidRPr="00303F4A">
        <w:rPr>
          <w:b w:val="0"/>
          <w:i/>
        </w:rPr>
        <w:t>The redacted table above shows that the estimated use and financial implications of ibrutinib to the PBS/RPBS/MBS for the treatment of CLL is less than 10,000 patients per year and $10 - $20 million in Year 1, $30 – 60 million in Years 2, 4 and 5 and $60</w:t>
      </w:r>
      <w:r w:rsidR="00AD2276">
        <w:rPr>
          <w:b w:val="0"/>
          <w:i/>
        </w:rPr>
        <w:t> </w:t>
      </w:r>
      <w:r w:rsidRPr="00303F4A">
        <w:rPr>
          <w:b w:val="0"/>
          <w:i/>
        </w:rPr>
        <w:t>– 100 million in Year 3.</w:t>
      </w:r>
    </w:p>
    <w:p w:rsidR="00E80622" w:rsidRPr="006D1DDF" w:rsidRDefault="00E80622" w:rsidP="001D048B">
      <w:pPr>
        <w:pStyle w:val="PBACHeading1"/>
        <w:numPr>
          <w:ilvl w:val="0"/>
          <w:numId w:val="0"/>
        </w:numPr>
        <w:ind w:left="720"/>
        <w:rPr>
          <w:b w:val="0"/>
        </w:rPr>
      </w:pPr>
    </w:p>
    <w:p w:rsidR="00CB0C06" w:rsidRPr="006D1DDF" w:rsidRDefault="00CB0C06" w:rsidP="002C2775">
      <w:pPr>
        <w:pStyle w:val="Heading2"/>
        <w:rPr>
          <w:i/>
          <w:lang w:val="en-GB"/>
        </w:rPr>
      </w:pPr>
      <w:bookmarkStart w:id="18" w:name="_Toc419724917"/>
      <w:r w:rsidRPr="006D1DDF">
        <w:rPr>
          <w:i/>
          <w:lang w:val="en-GB"/>
        </w:rPr>
        <w:t>Quality Use of Medicines</w:t>
      </w:r>
      <w:bookmarkEnd w:id="18"/>
    </w:p>
    <w:p w:rsidR="00CB0C06" w:rsidRPr="006D1DDF" w:rsidRDefault="00CB0C06" w:rsidP="00576972">
      <w:pPr>
        <w:widowControl/>
        <w:rPr>
          <w:szCs w:val="22"/>
          <w:lang w:val="en-GB"/>
        </w:rPr>
      </w:pPr>
    </w:p>
    <w:p w:rsidR="00CB0C06" w:rsidRPr="006D1DDF" w:rsidRDefault="00CB0C06" w:rsidP="00576972">
      <w:pPr>
        <w:pStyle w:val="ListParagraph"/>
        <w:widowControl/>
        <w:numPr>
          <w:ilvl w:val="1"/>
          <w:numId w:val="7"/>
        </w:numPr>
        <w:rPr>
          <w:szCs w:val="22"/>
          <w:lang w:val="en-GB"/>
        </w:rPr>
      </w:pPr>
      <w:r w:rsidRPr="006D1DDF">
        <w:rPr>
          <w:lang w:val="en-GB"/>
        </w:rPr>
        <w:t>The submission outlined the importance of the patients, prescribers and dispensers in assuring the appropriate use of ibrutinib. The submission stated that these groups would be provided with education, resources and support from the sponsor on the appropriate use of ibrutinib.</w:t>
      </w:r>
    </w:p>
    <w:p w:rsidR="00CB0C06" w:rsidRDefault="00CB0C06" w:rsidP="00993239">
      <w:pPr>
        <w:pStyle w:val="PBACHeading1"/>
        <w:numPr>
          <w:ilvl w:val="0"/>
          <w:numId w:val="0"/>
        </w:numPr>
        <w:ind w:left="720" w:hanging="720"/>
        <w:rPr>
          <w:lang w:val="en-GB"/>
        </w:rPr>
      </w:pPr>
    </w:p>
    <w:p w:rsidR="00CB0C06" w:rsidRPr="00350DD1" w:rsidRDefault="00CB0C06" w:rsidP="00993239">
      <w:pPr>
        <w:pStyle w:val="Heading2"/>
        <w:rPr>
          <w:i/>
          <w:szCs w:val="22"/>
          <w:lang w:val="en-GB"/>
        </w:rPr>
      </w:pPr>
      <w:bookmarkStart w:id="19" w:name="_Toc419724918"/>
      <w:r w:rsidRPr="00350DD1">
        <w:rPr>
          <w:i/>
          <w:lang w:val="en-GB"/>
        </w:rPr>
        <w:t>Financial Management – Risk Sharing Arrangements</w:t>
      </w:r>
      <w:bookmarkEnd w:id="19"/>
    </w:p>
    <w:p w:rsidR="00CB0C06" w:rsidRPr="00350DD1" w:rsidRDefault="00CB0C06" w:rsidP="00993239">
      <w:pPr>
        <w:rPr>
          <w:szCs w:val="22"/>
          <w:lang w:val="en-GB"/>
        </w:rPr>
      </w:pPr>
    </w:p>
    <w:p w:rsidR="00CB0C06" w:rsidRPr="00924B03" w:rsidRDefault="00CB0C06" w:rsidP="00993239">
      <w:pPr>
        <w:pStyle w:val="ListParagraph"/>
        <w:numPr>
          <w:ilvl w:val="1"/>
          <w:numId w:val="7"/>
        </w:numPr>
        <w:rPr>
          <w:szCs w:val="22"/>
          <w:lang w:val="en-GB"/>
        </w:rPr>
      </w:pPr>
      <w:r w:rsidRPr="00924B03">
        <w:rPr>
          <w:szCs w:val="22"/>
          <w:lang w:val="en-GB"/>
        </w:rPr>
        <w:t>The submission stated that the risk of leakage into other B-cell malignancies was low given:</w:t>
      </w:r>
    </w:p>
    <w:p w:rsidR="00CB0C06" w:rsidRPr="00CA39EF" w:rsidRDefault="00CB0C06" w:rsidP="00993239">
      <w:pPr>
        <w:pStyle w:val="ListParagraph"/>
        <w:numPr>
          <w:ilvl w:val="0"/>
          <w:numId w:val="8"/>
        </w:numPr>
        <w:ind w:left="1134" w:hanging="425"/>
        <w:rPr>
          <w:szCs w:val="22"/>
          <w:lang w:val="en-GB"/>
        </w:rPr>
      </w:pPr>
      <w:r>
        <w:rPr>
          <w:szCs w:val="22"/>
          <w:lang w:val="en-GB"/>
        </w:rPr>
        <w:t>the s</w:t>
      </w:r>
      <w:r w:rsidRPr="00CA39EF">
        <w:rPr>
          <w:szCs w:val="22"/>
          <w:lang w:val="en-GB"/>
        </w:rPr>
        <w:t>tandards of care are well</w:t>
      </w:r>
      <w:r>
        <w:rPr>
          <w:szCs w:val="22"/>
          <w:lang w:val="en-GB"/>
        </w:rPr>
        <w:t>-</w:t>
      </w:r>
      <w:r w:rsidRPr="00CA39EF">
        <w:rPr>
          <w:szCs w:val="22"/>
          <w:lang w:val="en-GB"/>
        </w:rPr>
        <w:t>established whereas ibrutinib is yet to be established; and</w:t>
      </w:r>
    </w:p>
    <w:p w:rsidR="00CB0C06" w:rsidRPr="00CA39EF" w:rsidRDefault="00CB0C06" w:rsidP="00993239">
      <w:pPr>
        <w:pStyle w:val="ListParagraph"/>
        <w:numPr>
          <w:ilvl w:val="0"/>
          <w:numId w:val="8"/>
        </w:numPr>
        <w:ind w:left="1134" w:hanging="425"/>
        <w:rPr>
          <w:szCs w:val="22"/>
          <w:lang w:val="en-GB"/>
        </w:rPr>
      </w:pPr>
      <w:r>
        <w:rPr>
          <w:szCs w:val="22"/>
          <w:lang w:val="en-GB"/>
        </w:rPr>
        <w:t>the p</w:t>
      </w:r>
      <w:r w:rsidRPr="00CA39EF">
        <w:rPr>
          <w:szCs w:val="22"/>
          <w:lang w:val="en-GB"/>
        </w:rPr>
        <w:t>rescribing rights limited to haematologists and medical oncologists.</w:t>
      </w:r>
    </w:p>
    <w:p w:rsidR="00CB0C06" w:rsidRDefault="00CB0C06" w:rsidP="00993239">
      <w:pPr>
        <w:pStyle w:val="ListParagraph"/>
        <w:rPr>
          <w:szCs w:val="22"/>
          <w:lang w:val="en-GB"/>
        </w:rPr>
      </w:pPr>
    </w:p>
    <w:p w:rsidR="00CB0C06" w:rsidRPr="002508AE" w:rsidRDefault="00CB0C06" w:rsidP="00993239">
      <w:pPr>
        <w:pStyle w:val="ListParagraph"/>
        <w:numPr>
          <w:ilvl w:val="1"/>
          <w:numId w:val="7"/>
        </w:numPr>
        <w:rPr>
          <w:i/>
          <w:szCs w:val="22"/>
          <w:lang w:val="en-GB"/>
        </w:rPr>
      </w:pPr>
      <w:r w:rsidRPr="002508AE">
        <w:rPr>
          <w:szCs w:val="22"/>
          <w:lang w:val="en-GB"/>
        </w:rPr>
        <w:t xml:space="preserve">The </w:t>
      </w:r>
      <w:r>
        <w:rPr>
          <w:szCs w:val="22"/>
          <w:lang w:val="en-GB"/>
        </w:rPr>
        <w:t>TGA-approved</w:t>
      </w:r>
      <w:r w:rsidRPr="002508AE">
        <w:rPr>
          <w:szCs w:val="22"/>
          <w:lang w:val="en-GB"/>
        </w:rPr>
        <w:t xml:space="preserve"> indication</w:t>
      </w:r>
      <w:r>
        <w:rPr>
          <w:szCs w:val="22"/>
          <w:lang w:val="en-GB"/>
        </w:rPr>
        <w:t xml:space="preserve"> for ibrutinib is also recommended for first-line patients with CLL with 17p deletion and mantle cell lymphoma, which are not in the proposed PBS restriction. </w:t>
      </w:r>
      <w:r w:rsidRPr="00186624">
        <w:rPr>
          <w:szCs w:val="22"/>
          <w:lang w:val="en-GB"/>
        </w:rPr>
        <w:t>The TGA approved indication is broader than the proposed PBS listing, i.e. the TGA-approved indication is for CLL patients on second-line treatment, while the PBS listing would be confined to CLL patients with relapsed disease for whom fludarabine is considered inappropriate.</w:t>
      </w:r>
    </w:p>
    <w:p w:rsidR="00CB0C06" w:rsidRDefault="00CB0C06" w:rsidP="00993239">
      <w:pPr>
        <w:pStyle w:val="ListParagraph"/>
        <w:rPr>
          <w:szCs w:val="22"/>
          <w:lang w:val="en-GB"/>
        </w:rPr>
      </w:pPr>
    </w:p>
    <w:p w:rsidR="00CB0C06" w:rsidRDefault="00CB0C06" w:rsidP="00993239">
      <w:pPr>
        <w:pStyle w:val="ListParagraph"/>
        <w:numPr>
          <w:ilvl w:val="1"/>
          <w:numId w:val="7"/>
        </w:numPr>
        <w:rPr>
          <w:szCs w:val="22"/>
          <w:lang w:val="en-GB"/>
        </w:rPr>
      </w:pPr>
      <w:r w:rsidRPr="00924B03">
        <w:rPr>
          <w:szCs w:val="22"/>
          <w:lang w:val="en-GB"/>
        </w:rPr>
        <w:t>The submission stated that a risk share arrangement should be based upon an assumption of 100% uptake in eligible patients with an appropriate financial buffer before any rebates apply.</w:t>
      </w:r>
    </w:p>
    <w:p w:rsidR="00CB0C06" w:rsidRPr="00563386" w:rsidRDefault="00CB0C06" w:rsidP="00993239">
      <w:pPr>
        <w:pStyle w:val="ListParagraph"/>
        <w:rPr>
          <w:szCs w:val="22"/>
          <w:lang w:val="en-GB"/>
        </w:rPr>
      </w:pPr>
    </w:p>
    <w:p w:rsidR="00CB0C06" w:rsidRPr="004A70F4" w:rsidRDefault="00CB0C06" w:rsidP="00993239">
      <w:pPr>
        <w:pStyle w:val="ListParagraph"/>
        <w:numPr>
          <w:ilvl w:val="1"/>
          <w:numId w:val="7"/>
        </w:numPr>
        <w:rPr>
          <w:szCs w:val="22"/>
          <w:lang w:val="en-GB"/>
        </w:rPr>
      </w:pPr>
      <w:r w:rsidRPr="004A70F4">
        <w:rPr>
          <w:szCs w:val="22"/>
          <w:lang w:val="en-GB"/>
        </w:rPr>
        <w:t xml:space="preserve">The PSCR </w:t>
      </w:r>
      <w:r w:rsidRPr="004A70F4">
        <w:t>acknowledged that there may be some risk that ibrutinib may be used in patients who are suitable for treatment with fludarabine. To reduce the risk of this occurring, the sponsor is willing to work with the Department to negotiate both the restriction and a risk-sharing arrangement.</w:t>
      </w:r>
    </w:p>
    <w:p w:rsidR="00CB0C06" w:rsidRDefault="00CB0C06" w:rsidP="00993239">
      <w:pPr>
        <w:pStyle w:val="ListParagraph"/>
        <w:rPr>
          <w:szCs w:val="22"/>
          <w:lang w:val="en-GB"/>
        </w:rPr>
      </w:pPr>
    </w:p>
    <w:p w:rsidR="00CB0C06" w:rsidRDefault="00CB0C06" w:rsidP="00366CDA">
      <w:pPr>
        <w:pStyle w:val="ListParagraph"/>
        <w:widowControl/>
        <w:rPr>
          <w:i/>
          <w:szCs w:val="22"/>
        </w:rPr>
      </w:pPr>
      <w:r w:rsidRPr="00036EB4">
        <w:rPr>
          <w:i/>
          <w:szCs w:val="22"/>
        </w:rPr>
        <w:t>For more detail on PBAC’s view, see section 7 “PBAC outcome”</w:t>
      </w:r>
    </w:p>
    <w:p w:rsidR="0070590E" w:rsidRDefault="0070590E" w:rsidP="00366CDA">
      <w:pPr>
        <w:pStyle w:val="ListParagraph"/>
        <w:widowControl/>
        <w:rPr>
          <w:i/>
          <w:szCs w:val="22"/>
        </w:rPr>
      </w:pPr>
    </w:p>
    <w:p w:rsidR="0070590E" w:rsidRDefault="0070590E" w:rsidP="00366CDA">
      <w:pPr>
        <w:pStyle w:val="ListParagraph"/>
        <w:widowControl/>
        <w:rPr>
          <w:i/>
          <w:szCs w:val="22"/>
        </w:rPr>
      </w:pPr>
    </w:p>
    <w:p w:rsidR="00CB0C06" w:rsidRPr="00366CDA" w:rsidRDefault="00CB0C06" w:rsidP="00397BE3">
      <w:pPr>
        <w:pStyle w:val="PBACHeading1"/>
        <w:keepNext/>
        <w:rPr>
          <w:b w:val="0"/>
          <w:i/>
        </w:rPr>
      </w:pPr>
      <w:r w:rsidRPr="00366CDA">
        <w:lastRenderedPageBreak/>
        <w:t>PBAC Outcome</w:t>
      </w:r>
    </w:p>
    <w:p w:rsidR="00CB0C06" w:rsidRPr="00366CDA" w:rsidRDefault="00CB0C06" w:rsidP="00397BE3">
      <w:pPr>
        <w:pStyle w:val="PBACHeading1"/>
        <w:keepNext/>
        <w:numPr>
          <w:ilvl w:val="0"/>
          <w:numId w:val="0"/>
        </w:numPr>
        <w:ind w:left="720" w:hanging="720"/>
        <w:rPr>
          <w:b w:val="0"/>
          <w:i/>
        </w:rPr>
      </w:pPr>
    </w:p>
    <w:p w:rsidR="00CB0C06" w:rsidRPr="0070590E" w:rsidRDefault="00CB0C06" w:rsidP="00FB4840">
      <w:pPr>
        <w:pStyle w:val="ListParagraph"/>
        <w:numPr>
          <w:ilvl w:val="1"/>
          <w:numId w:val="21"/>
        </w:numPr>
        <w:rPr>
          <w:lang w:val="en-GB"/>
        </w:rPr>
      </w:pPr>
      <w:r w:rsidRPr="0070590E">
        <w:rPr>
          <w:lang w:val="en-GB"/>
        </w:rPr>
        <w:t xml:space="preserve">The PBAC did not recommend the listing of ibrutinib for the treatment of relapsed or refractory chronic lymphocytic leukaemia (CLL) and small lymphocytic lymphoma (SLL). In </w:t>
      </w:r>
      <w:r w:rsidR="00383802" w:rsidRPr="0070590E">
        <w:rPr>
          <w:lang w:val="en-GB"/>
        </w:rPr>
        <w:t>reaching this conclusion</w:t>
      </w:r>
      <w:r w:rsidRPr="0070590E">
        <w:rPr>
          <w:lang w:val="en-GB"/>
        </w:rPr>
        <w:t>, the PBAC considered that the patient population and clinical place of ibrutinib were not adequately defined, the size of the comparative clinical benefit could not be quantified and the cost effectiveness and financial implications were underestimated and unacceptably high.</w:t>
      </w:r>
      <w:r w:rsidRPr="0070590E">
        <w:t xml:space="preserve"> </w:t>
      </w:r>
      <w:r w:rsidR="001679CB" w:rsidRPr="0070590E">
        <w:rPr>
          <w:lang w:val="en-GB"/>
        </w:rPr>
        <w:t>The PBAC noted the main TGA approval is for second-line treatment of relapsed or refractory CLL and SLL, while the proposed restriction was further limited to patients for whom fludarabine is considered inappropriate. Usage of ibrutinib beyond restriction was a distinct possibility.</w:t>
      </w:r>
    </w:p>
    <w:p w:rsidR="00CB0C06" w:rsidRPr="0070590E" w:rsidRDefault="00CB0C06" w:rsidP="00366CDA">
      <w:pPr>
        <w:pStyle w:val="PBACHeading1"/>
        <w:numPr>
          <w:ilvl w:val="0"/>
          <w:numId w:val="0"/>
        </w:numPr>
        <w:ind w:left="720" w:hanging="720"/>
        <w:rPr>
          <w:lang w:val="en-GB"/>
        </w:rPr>
      </w:pPr>
    </w:p>
    <w:p w:rsidR="00CB0C06" w:rsidRPr="0070590E" w:rsidRDefault="00CB0C06" w:rsidP="00FB4840">
      <w:pPr>
        <w:pStyle w:val="ListParagraph"/>
        <w:numPr>
          <w:ilvl w:val="1"/>
          <w:numId w:val="21"/>
        </w:numPr>
        <w:rPr>
          <w:lang w:val="en-GB"/>
        </w:rPr>
      </w:pPr>
      <w:r w:rsidRPr="0070590E">
        <w:rPr>
          <w:lang w:val="en-GB"/>
        </w:rPr>
        <w:t xml:space="preserve">The PBAC welcomed the input received from consumers, organisations and health care professionals. The comments noted that ibrutinib was better tolerated than standard chemotherapy, prolonged survival and improved quality of life. The PBAC agreed that there was a clinical need for an effective treatment for patients with relapsed or refractory CLL and SLL. </w:t>
      </w:r>
      <w:r w:rsidRPr="0070590E">
        <w:rPr>
          <w:szCs w:val="22"/>
        </w:rPr>
        <w:t>The PBAC considered that ibrutinib is an oral drug that provides an additional avenue of therapy for patients with relapsed CLL and SLL and the Committee noted that</w:t>
      </w:r>
      <w:r w:rsidR="00383802" w:rsidRPr="0070590E">
        <w:rPr>
          <w:szCs w:val="22"/>
        </w:rPr>
        <w:t xml:space="preserve"> there</w:t>
      </w:r>
      <w:r w:rsidRPr="0070590E">
        <w:rPr>
          <w:szCs w:val="22"/>
        </w:rPr>
        <w:t xml:space="preserve"> is an active research and development program for additional treatments for CLL. </w:t>
      </w:r>
    </w:p>
    <w:p w:rsidR="00CB0C06" w:rsidRPr="0070590E" w:rsidRDefault="00CB0C06" w:rsidP="00366CDA">
      <w:pPr>
        <w:pStyle w:val="PBACHeading1"/>
        <w:numPr>
          <w:ilvl w:val="0"/>
          <w:numId w:val="0"/>
        </w:numPr>
        <w:rPr>
          <w:lang w:val="en-GB"/>
        </w:rPr>
      </w:pPr>
    </w:p>
    <w:p w:rsidR="00CB0C06" w:rsidRPr="0070590E" w:rsidRDefault="00CB0C06" w:rsidP="00FB4840">
      <w:pPr>
        <w:pStyle w:val="ListParagraph"/>
        <w:numPr>
          <w:ilvl w:val="1"/>
          <w:numId w:val="21"/>
        </w:numPr>
        <w:rPr>
          <w:lang w:val="en-GB"/>
        </w:rPr>
      </w:pPr>
      <w:r w:rsidRPr="0070590E">
        <w:rPr>
          <w:lang w:val="en-GB"/>
        </w:rPr>
        <w:t xml:space="preserve">The PBAC noted that the TGA approved indication for ibrutnib included first line treatment of patients with CLL with 17p deletion; and patients with mantle cell lymphoma who have received at least one prior therapy. The PBAC noted the clinical need for an effective treatment for these patient populations. </w:t>
      </w:r>
    </w:p>
    <w:p w:rsidR="00CB0C06" w:rsidRPr="0070590E" w:rsidRDefault="00CB0C06" w:rsidP="00B756E3">
      <w:pPr>
        <w:pStyle w:val="ListParagraph"/>
        <w:rPr>
          <w:lang w:val="en-GB"/>
        </w:rPr>
      </w:pPr>
    </w:p>
    <w:p w:rsidR="00CB0C06" w:rsidRPr="0070590E" w:rsidRDefault="00CB0C06" w:rsidP="00B756E3">
      <w:pPr>
        <w:pStyle w:val="ListParagraph"/>
        <w:numPr>
          <w:ilvl w:val="1"/>
          <w:numId w:val="21"/>
        </w:numPr>
        <w:rPr>
          <w:lang w:val="en-GB"/>
        </w:rPr>
      </w:pPr>
      <w:r w:rsidRPr="0070590E">
        <w:rPr>
          <w:lang w:val="en-GB"/>
        </w:rPr>
        <w:t xml:space="preserve">The PBAC noted preliminary results of the HELIOS trial indicated that there is a significant benefit from adding ibrutinib to immunochemotherapy (specifically bendamustine plus rituximab), though these therapies are not listed for patients with relapsed/refractory CLL/SLL. </w:t>
      </w:r>
    </w:p>
    <w:p w:rsidR="00CB0C06" w:rsidRPr="0070590E" w:rsidRDefault="00CB0C06" w:rsidP="00366CDA">
      <w:pPr>
        <w:pStyle w:val="ListParagraph"/>
        <w:rPr>
          <w:lang w:val="en-GB"/>
        </w:rPr>
      </w:pPr>
    </w:p>
    <w:p w:rsidR="00CB0C06" w:rsidRPr="0070590E" w:rsidRDefault="00CB0C06" w:rsidP="00366CDA">
      <w:pPr>
        <w:pStyle w:val="ListParagraph"/>
        <w:numPr>
          <w:ilvl w:val="1"/>
          <w:numId w:val="21"/>
        </w:numPr>
        <w:rPr>
          <w:lang w:val="en-GB"/>
        </w:rPr>
      </w:pPr>
      <w:r w:rsidRPr="0070590E">
        <w:rPr>
          <w:lang w:val="en-GB"/>
        </w:rPr>
        <w:t xml:space="preserve">The PBAC considered that rituximab plus chlorambucil (Rit+Chl) was </w:t>
      </w:r>
      <w:r w:rsidR="00A93540" w:rsidRPr="0070590E">
        <w:rPr>
          <w:lang w:val="en-GB"/>
        </w:rPr>
        <w:t xml:space="preserve">the </w:t>
      </w:r>
      <w:r w:rsidRPr="0070590E">
        <w:rPr>
          <w:lang w:val="en-GB"/>
        </w:rPr>
        <w:t>appropriate</w:t>
      </w:r>
      <w:r w:rsidR="00A93540" w:rsidRPr="0070590E">
        <w:rPr>
          <w:lang w:val="en-GB"/>
        </w:rPr>
        <w:t xml:space="preserve"> comparator</w:t>
      </w:r>
      <w:r w:rsidRPr="0070590E">
        <w:rPr>
          <w:lang w:val="en-GB"/>
        </w:rPr>
        <w:t xml:space="preserve">, for the proposed restriction. However, the choice of comparator in </w:t>
      </w:r>
      <w:r w:rsidR="00A93540" w:rsidRPr="0070590E">
        <w:rPr>
          <w:lang w:val="en-GB"/>
        </w:rPr>
        <w:t xml:space="preserve">any </w:t>
      </w:r>
      <w:r w:rsidRPr="0070590E">
        <w:rPr>
          <w:lang w:val="en-GB"/>
        </w:rPr>
        <w:t xml:space="preserve">future submission should be reassessed in regards to the clinical place where ibrutinib would be used. For example, if listing aligned with the TGA indication, fludarabine plus cyclophosphamide plus rituximab (FCR) may be </w:t>
      </w:r>
      <w:r w:rsidR="005C22D4">
        <w:rPr>
          <w:lang w:val="en-GB"/>
        </w:rPr>
        <w:t>the more appropriate comparator.</w:t>
      </w:r>
    </w:p>
    <w:p w:rsidR="00CB0C06" w:rsidRPr="0070590E" w:rsidRDefault="00CB0C06" w:rsidP="005A188D">
      <w:pPr>
        <w:pStyle w:val="PBACHeading1"/>
        <w:numPr>
          <w:ilvl w:val="0"/>
          <w:numId w:val="0"/>
        </w:numPr>
        <w:ind w:left="720" w:hanging="720"/>
        <w:rPr>
          <w:lang w:val="en-GB"/>
        </w:rPr>
      </w:pPr>
      <w:r w:rsidRPr="0070590E">
        <w:rPr>
          <w:lang w:val="en-GB"/>
        </w:rPr>
        <w:t xml:space="preserve"> </w:t>
      </w:r>
    </w:p>
    <w:p w:rsidR="00CB0C06" w:rsidRPr="0070590E" w:rsidRDefault="00CB0C06" w:rsidP="007C62C4">
      <w:pPr>
        <w:pStyle w:val="ListParagraph"/>
        <w:numPr>
          <w:ilvl w:val="1"/>
          <w:numId w:val="21"/>
        </w:numPr>
        <w:rPr>
          <w:lang w:val="en-GB"/>
        </w:rPr>
      </w:pPr>
      <w:r w:rsidRPr="0070590E">
        <w:rPr>
          <w:lang w:val="en-GB"/>
        </w:rPr>
        <w:t xml:space="preserve">The PBAC considered that ibrutinib is an effective treatment, but the magnitude of the comparative efficacy over the nominated comparator was difficult to quantify. </w:t>
      </w:r>
    </w:p>
    <w:p w:rsidR="00CB0C06" w:rsidRPr="0070590E" w:rsidRDefault="00CB0C06" w:rsidP="00366CDA">
      <w:pPr>
        <w:pStyle w:val="ListParagraph"/>
        <w:rPr>
          <w:lang w:val="en-GB"/>
        </w:rPr>
      </w:pPr>
    </w:p>
    <w:p w:rsidR="00CB0C06" w:rsidRPr="0070590E" w:rsidRDefault="00CB0C06" w:rsidP="007C62C4">
      <w:pPr>
        <w:pStyle w:val="ListParagraph"/>
        <w:numPr>
          <w:ilvl w:val="1"/>
          <w:numId w:val="21"/>
        </w:numPr>
        <w:rPr>
          <w:lang w:val="en-GB"/>
        </w:rPr>
      </w:pPr>
      <w:r w:rsidRPr="0070590E">
        <w:rPr>
          <w:lang w:val="en-GB"/>
        </w:rPr>
        <w:t>The PBAC agreed with its ESC that there was insufficient evidence to support applying the treatment effect of ofatumumab monotherapy, in the pivotal RESONATE trial, as a proxy for the nominated comparator, Rit+Chl. In addition, the PBAC noted that the treatment benefit for ofatumumab in the RESONATE trial was lower than observed in other trials.</w:t>
      </w:r>
    </w:p>
    <w:p w:rsidR="00CB0C06" w:rsidRPr="0070590E" w:rsidRDefault="00CB0C06" w:rsidP="007561F8">
      <w:pPr>
        <w:rPr>
          <w:szCs w:val="22"/>
          <w:lang w:val="en-GB"/>
        </w:rPr>
      </w:pPr>
    </w:p>
    <w:p w:rsidR="00CB0C06" w:rsidRPr="0070590E" w:rsidRDefault="00CB0C06" w:rsidP="007A6ACC">
      <w:pPr>
        <w:pStyle w:val="ListParagraph"/>
        <w:numPr>
          <w:ilvl w:val="1"/>
          <w:numId w:val="21"/>
        </w:numPr>
        <w:rPr>
          <w:lang w:val="en-GB"/>
        </w:rPr>
      </w:pPr>
      <w:r w:rsidRPr="0070590E">
        <w:rPr>
          <w:lang w:val="en-GB"/>
        </w:rPr>
        <w:t xml:space="preserve">The PBAC noted the concerns with the generalisability of the RESONATE trial as outlined in paragraphs 6.14, 6.21 and 6.23. The PBAC considered that there was insufficient evidence to characterise the additional benefit of ibrutinib versus </w:t>
      </w:r>
      <w:r w:rsidR="00A93540" w:rsidRPr="0070590E">
        <w:rPr>
          <w:lang w:val="en-GB"/>
        </w:rPr>
        <w:lastRenderedPageBreak/>
        <w:t>RIT+CHL</w:t>
      </w:r>
      <w:r w:rsidRPr="0070590E">
        <w:rPr>
          <w:lang w:val="en-GB"/>
        </w:rPr>
        <w:t xml:space="preserve">. The PBAC agreed with its ESC that basing the comparative effectiveness of ibrutinib against </w:t>
      </w:r>
      <w:r w:rsidR="00A93540" w:rsidRPr="0070590E">
        <w:rPr>
          <w:lang w:val="en-GB"/>
        </w:rPr>
        <w:t>RIT+CHL</w:t>
      </w:r>
      <w:r w:rsidRPr="0070590E">
        <w:rPr>
          <w:lang w:val="en-GB"/>
        </w:rPr>
        <w:t xml:space="preserve"> on the results of the RESONATE trial would likely result in an overestimate given the lower than expected response rate for the ofatumumab arm that was observed in the trial.</w:t>
      </w:r>
      <w:r w:rsidRPr="0070590E" w:rsidDel="009513E6">
        <w:rPr>
          <w:lang w:val="en-GB"/>
        </w:rPr>
        <w:t xml:space="preserve"> </w:t>
      </w:r>
    </w:p>
    <w:p w:rsidR="00CB0C06" w:rsidRPr="0070590E" w:rsidRDefault="00CB0C06" w:rsidP="009513E6">
      <w:pPr>
        <w:ind w:left="709" w:hanging="709"/>
        <w:rPr>
          <w:lang w:val="en-GB"/>
        </w:rPr>
      </w:pPr>
    </w:p>
    <w:p w:rsidR="00CB0C06" w:rsidRPr="0070590E" w:rsidRDefault="00CB0C06" w:rsidP="00B756E3">
      <w:pPr>
        <w:pStyle w:val="ListParagraph"/>
        <w:numPr>
          <w:ilvl w:val="1"/>
          <w:numId w:val="21"/>
        </w:numPr>
        <w:rPr>
          <w:lang w:val="en-GB"/>
        </w:rPr>
      </w:pPr>
      <w:r w:rsidRPr="0070590E">
        <w:rPr>
          <w:lang w:val="en-GB"/>
        </w:rPr>
        <w:t>The PBAC noted the naïve comparison that was conducted using data from RESONATE and Hillmen (2014) to assess the comparative safety for ibrutinib versus R</w:t>
      </w:r>
      <w:r w:rsidR="00A93540" w:rsidRPr="0070590E">
        <w:rPr>
          <w:lang w:val="en-GB"/>
        </w:rPr>
        <w:t>it</w:t>
      </w:r>
      <w:r w:rsidRPr="0070590E">
        <w:rPr>
          <w:lang w:val="en-GB"/>
        </w:rPr>
        <w:t>+C</w:t>
      </w:r>
      <w:r w:rsidR="00A93540" w:rsidRPr="0070590E">
        <w:rPr>
          <w:lang w:val="en-GB"/>
        </w:rPr>
        <w:t>hl</w:t>
      </w:r>
      <w:r w:rsidRPr="0070590E">
        <w:rPr>
          <w:lang w:val="en-GB"/>
        </w:rPr>
        <w:t>, as outlined in paragraph 6.24. The PBAC considered this analysis was inappropriate as the comparison was for different lines of treatment (RESONATE was in the relapsed/refractory setting vs. Hillmen for R</w:t>
      </w:r>
      <w:r w:rsidR="00A93540" w:rsidRPr="0070590E">
        <w:rPr>
          <w:lang w:val="en-GB"/>
        </w:rPr>
        <w:t>it</w:t>
      </w:r>
      <w:r w:rsidRPr="0070590E">
        <w:rPr>
          <w:lang w:val="en-GB"/>
        </w:rPr>
        <w:t>+C</w:t>
      </w:r>
      <w:r w:rsidR="00A93540" w:rsidRPr="0070590E">
        <w:rPr>
          <w:lang w:val="en-GB"/>
        </w:rPr>
        <w:t>hl</w:t>
      </w:r>
      <w:r w:rsidRPr="0070590E">
        <w:rPr>
          <w:lang w:val="en-GB"/>
        </w:rPr>
        <w:t xml:space="preserve"> in first-line) and the median follow-up was 30 months for Hillmen (2014) compared to a median follow-up time of 9.4 months for the RESONATE trial. </w:t>
      </w:r>
    </w:p>
    <w:p w:rsidR="00CB0C06" w:rsidRPr="0070590E" w:rsidRDefault="00CB0C06" w:rsidP="00B756E3">
      <w:pPr>
        <w:pStyle w:val="PBACHeading1"/>
        <w:numPr>
          <w:ilvl w:val="0"/>
          <w:numId w:val="0"/>
        </w:numPr>
        <w:ind w:left="720" w:hanging="720"/>
        <w:rPr>
          <w:lang w:val="en-GB"/>
        </w:rPr>
      </w:pPr>
    </w:p>
    <w:p w:rsidR="00CB0C06" w:rsidRPr="0070590E" w:rsidRDefault="00CB0C06" w:rsidP="00FF6CBB">
      <w:pPr>
        <w:pStyle w:val="ListParagraph"/>
        <w:numPr>
          <w:ilvl w:val="1"/>
          <w:numId w:val="21"/>
        </w:numPr>
        <w:rPr>
          <w:lang w:val="en-GB"/>
        </w:rPr>
      </w:pPr>
      <w:r w:rsidRPr="0070590E">
        <w:rPr>
          <w:szCs w:val="22"/>
          <w:lang w:val="en-GB"/>
        </w:rPr>
        <w:t>The Pre-</w:t>
      </w:r>
      <w:r w:rsidRPr="0070590E">
        <w:rPr>
          <w:lang w:val="en-GB"/>
        </w:rPr>
        <w:t>PBAC</w:t>
      </w:r>
      <w:r w:rsidRPr="0070590E">
        <w:rPr>
          <w:szCs w:val="22"/>
          <w:lang w:val="en-GB"/>
        </w:rPr>
        <w:t xml:space="preserve"> response presented an overall survival estimate which had been adjusted for patient cross over using the Rank Preserving Structural Failure Time Model (RPSFTM), estimating a hazard ratio of (</w:t>
      </w:r>
      <w:r w:rsidR="0056677C">
        <w:rPr>
          <w:noProof/>
          <w:color w:val="000000"/>
          <w:szCs w:val="22"/>
          <w:highlight w:val="black"/>
          <w:lang w:val="en-GB"/>
        </w:rPr>
        <w:t>''''''''''</w:t>
      </w:r>
      <w:r w:rsidRPr="0070590E">
        <w:rPr>
          <w:szCs w:val="22"/>
          <w:lang w:val="en-GB"/>
        </w:rPr>
        <w:t xml:space="preserve">). The PBAC was unable to assess the relevant assumptions in choosing the RPSFTM as </w:t>
      </w:r>
      <w:r w:rsidR="00A93540" w:rsidRPr="0070590E">
        <w:rPr>
          <w:szCs w:val="22"/>
          <w:lang w:val="en-GB"/>
        </w:rPr>
        <w:t xml:space="preserve">a possible adjustment </w:t>
      </w:r>
      <w:r w:rsidRPr="0070590E">
        <w:rPr>
          <w:szCs w:val="22"/>
          <w:lang w:val="en-GB"/>
        </w:rPr>
        <w:t xml:space="preserve">methodology and </w:t>
      </w:r>
      <w:r w:rsidR="00A93540" w:rsidRPr="0070590E">
        <w:rPr>
          <w:szCs w:val="22"/>
          <w:lang w:val="en-GB"/>
        </w:rPr>
        <w:t xml:space="preserve">thus whether </w:t>
      </w:r>
      <w:r w:rsidRPr="0070590E">
        <w:rPr>
          <w:szCs w:val="22"/>
          <w:lang w:val="en-GB"/>
        </w:rPr>
        <w:t xml:space="preserve">the assumptions underlying the RPSFTM method had been fulfilled. As such, the PBAC could not determine if the RPSFTM adjusted </w:t>
      </w:r>
      <w:r w:rsidR="00A93540" w:rsidRPr="0070590E">
        <w:rPr>
          <w:szCs w:val="22"/>
          <w:lang w:val="en-GB"/>
        </w:rPr>
        <w:t xml:space="preserve">estimate of improved effect on overall </w:t>
      </w:r>
      <w:r w:rsidRPr="0070590E">
        <w:rPr>
          <w:szCs w:val="22"/>
          <w:lang w:val="en-GB"/>
        </w:rPr>
        <w:t xml:space="preserve">survival was more or less biased than the unadjusted estimate. The PBAC considered this information and sensitivity analysis using different adjustment methods would be informative for </w:t>
      </w:r>
      <w:r w:rsidR="00A93540" w:rsidRPr="0070590E">
        <w:rPr>
          <w:szCs w:val="22"/>
          <w:lang w:val="en-GB"/>
        </w:rPr>
        <w:t xml:space="preserve">any </w:t>
      </w:r>
      <w:r w:rsidRPr="0070590E">
        <w:rPr>
          <w:szCs w:val="22"/>
          <w:lang w:val="en-GB"/>
        </w:rPr>
        <w:t xml:space="preserve">future reconsideration. </w:t>
      </w:r>
    </w:p>
    <w:p w:rsidR="00CB0C06" w:rsidRPr="0070590E" w:rsidRDefault="00CB0C06" w:rsidP="00FF6CBB">
      <w:pPr>
        <w:pStyle w:val="ListParagraph"/>
        <w:rPr>
          <w:lang w:val="en-GB"/>
        </w:rPr>
      </w:pPr>
    </w:p>
    <w:p w:rsidR="00CB0C06" w:rsidRPr="0070590E" w:rsidRDefault="00CB0C06" w:rsidP="00FF6CBB">
      <w:pPr>
        <w:pStyle w:val="ListParagraph"/>
        <w:numPr>
          <w:ilvl w:val="1"/>
          <w:numId w:val="21"/>
        </w:numPr>
        <w:rPr>
          <w:lang w:val="en-GB"/>
        </w:rPr>
      </w:pPr>
      <w:r w:rsidRPr="0070590E">
        <w:rPr>
          <w:lang w:val="en-GB"/>
        </w:rPr>
        <w:t xml:space="preserve">Overall, the PBAC considered the claim of </w:t>
      </w:r>
      <w:r w:rsidRPr="0070590E">
        <w:rPr>
          <w:szCs w:val="22"/>
          <w:lang w:val="en-GB"/>
        </w:rPr>
        <w:t xml:space="preserve">ibrutinib as superior in terms of comparative effectiveness compared to rituximab plus chlorambucil for patients with relapsed or refractory CLL/SLL was not supported in the submission.  The PBAC considered that the comparative safety of ibrutinib and rituximab plus chlorambucil could not be determined from evidence provided in the submission. </w:t>
      </w:r>
    </w:p>
    <w:p w:rsidR="00CB0C06" w:rsidRPr="0070590E" w:rsidRDefault="00CB0C06" w:rsidP="00FF6CBB">
      <w:pPr>
        <w:rPr>
          <w:lang w:val="en-GB"/>
        </w:rPr>
      </w:pPr>
    </w:p>
    <w:p w:rsidR="00CB0C06" w:rsidRPr="0070590E" w:rsidRDefault="00CB0C06" w:rsidP="007A6ACC">
      <w:pPr>
        <w:pStyle w:val="ListParagraph"/>
        <w:numPr>
          <w:ilvl w:val="1"/>
          <w:numId w:val="21"/>
        </w:numPr>
        <w:rPr>
          <w:lang w:val="en-GB"/>
        </w:rPr>
      </w:pPr>
      <w:r w:rsidRPr="0070590E">
        <w:rPr>
          <w:lang w:val="en-GB"/>
        </w:rPr>
        <w:t xml:space="preserve">The PBAC noted the issues with the economic evaluation </w:t>
      </w:r>
      <w:r w:rsidR="00A93540" w:rsidRPr="0070590E">
        <w:rPr>
          <w:lang w:val="en-GB"/>
        </w:rPr>
        <w:t>which may lead</w:t>
      </w:r>
      <w:r w:rsidRPr="0070590E">
        <w:rPr>
          <w:lang w:val="en-GB"/>
        </w:rPr>
        <w:t xml:space="preserve"> to the ICER/QALY </w:t>
      </w:r>
      <w:r w:rsidR="00A93540" w:rsidRPr="0070590E">
        <w:rPr>
          <w:lang w:val="en-GB"/>
        </w:rPr>
        <w:t>being considered</w:t>
      </w:r>
      <w:r w:rsidRPr="0070590E">
        <w:rPr>
          <w:lang w:val="en-GB"/>
        </w:rPr>
        <w:t xml:space="preserve"> unreliable. In particular, the PBAC considered that there was an overestimation of the clinical benefit and the modelled time horizon. The PBAC noted the sponsor’s argument in its Pre-PBAC response that a time horizon of between 10 and 15 years, which has been previously accepted for the treatment of CLL, may not apply to ibrutinib as it has improved survival compared to existing therapy. The PBAC considered that the time horizon would depend on the prognosis of the eligible patient group(s). The PBAC noted the sponsor’s argument that a three-state economic model structure, excluding states for progressed disease, reflected the use of ibrutinib in a salvage setting. The PBAC considered that the simplified model structure was inconsistent with the sponsor’s proposed 20 year time horizon and the exclusion of further states for disease progression with and without treatment would not capture the additional benefits and costs which would occur over this time period. The PBAC considered that the economic model in any future submission should address the concerns of the ESC and that the model’s structure and time horizon should reflect the place in therapy, such as an earl</w:t>
      </w:r>
      <w:r w:rsidR="0070590E">
        <w:rPr>
          <w:lang w:val="en-GB"/>
        </w:rPr>
        <w:t>ier place in the treatment algori</w:t>
      </w:r>
      <w:r w:rsidRPr="0070590E">
        <w:rPr>
          <w:lang w:val="en-GB"/>
        </w:rPr>
        <w:t>thm may be modelled with additional health states and a longer time horizon than in a salvage setting.</w:t>
      </w:r>
    </w:p>
    <w:p w:rsidR="00CB0C06" w:rsidRPr="0070590E" w:rsidRDefault="00CB0C06" w:rsidP="00E03393">
      <w:pPr>
        <w:pStyle w:val="ListParagraph"/>
        <w:rPr>
          <w:lang w:val="en-GB"/>
        </w:rPr>
      </w:pPr>
    </w:p>
    <w:p w:rsidR="00CB0C06" w:rsidRPr="0070590E" w:rsidRDefault="00CB0C06" w:rsidP="007A6ACC">
      <w:pPr>
        <w:pStyle w:val="ListParagraph"/>
        <w:numPr>
          <w:ilvl w:val="1"/>
          <w:numId w:val="21"/>
        </w:numPr>
        <w:rPr>
          <w:lang w:val="en-GB"/>
        </w:rPr>
      </w:pPr>
      <w:r w:rsidRPr="0070590E">
        <w:rPr>
          <w:lang w:val="en-GB"/>
        </w:rPr>
        <w:t>The PBAC considered that the base case ICER of $</w:t>
      </w:r>
      <w:r w:rsidR="005A2173">
        <w:rPr>
          <w:lang w:val="en-GB"/>
        </w:rPr>
        <w:t>45,000 - $75,000</w:t>
      </w:r>
      <w:r w:rsidRPr="0070590E">
        <w:rPr>
          <w:lang w:val="en-GB"/>
        </w:rPr>
        <w:t xml:space="preserve"> per QALY at the price proposed was unacceptably high.  The PBAC noted that the incremental </w:t>
      </w:r>
      <w:r w:rsidRPr="0070590E">
        <w:rPr>
          <w:lang w:val="en-GB"/>
        </w:rPr>
        <w:lastRenderedPageBreak/>
        <w:t>cost could be underestimated through using a trial-based assumption for the treatment time with ibrutinib (</w:t>
      </w:r>
      <w:r w:rsidR="0056677C">
        <w:rPr>
          <w:noProof/>
          <w:color w:val="000000"/>
          <w:highlight w:val="black"/>
          <w:lang w:val="en-GB"/>
        </w:rPr>
        <w:t>'''''''''''</w:t>
      </w:r>
      <w:r w:rsidRPr="0070590E">
        <w:rPr>
          <w:lang w:val="en-GB"/>
        </w:rPr>
        <w:t xml:space="preserve"> months) which could be longer in practice. </w:t>
      </w:r>
    </w:p>
    <w:p w:rsidR="00CB0C06" w:rsidRPr="0070590E" w:rsidRDefault="00CB0C06" w:rsidP="007A6ACC">
      <w:pPr>
        <w:pStyle w:val="ListParagraph"/>
        <w:rPr>
          <w:lang w:val="en-GB"/>
        </w:rPr>
      </w:pPr>
    </w:p>
    <w:p w:rsidR="00CB0C06" w:rsidRPr="0070590E" w:rsidRDefault="00CB0C06" w:rsidP="007A6ACC">
      <w:pPr>
        <w:pStyle w:val="ListParagraph"/>
        <w:numPr>
          <w:ilvl w:val="1"/>
          <w:numId w:val="21"/>
        </w:numPr>
        <w:rPr>
          <w:lang w:val="en-GB"/>
        </w:rPr>
      </w:pPr>
      <w:r w:rsidRPr="0070590E">
        <w:rPr>
          <w:lang w:val="en-GB"/>
        </w:rPr>
        <w:t>The Pre-PBAC considered that there was insufficient detail to verify the re-specified ICER of $</w:t>
      </w:r>
      <w:r w:rsidR="00303F4A">
        <w:rPr>
          <w:lang w:val="en-GB"/>
        </w:rPr>
        <w:t>45,000 - $75,000</w:t>
      </w:r>
      <w:r w:rsidRPr="0070590E">
        <w:rPr>
          <w:lang w:val="en-GB"/>
        </w:rPr>
        <w:t xml:space="preserve"> per QALY presented in the Pre-PBAC response which was based on an overall survival estimate which had been adjusted for patient cross over using RPSFTM. </w:t>
      </w:r>
    </w:p>
    <w:p w:rsidR="00CB0C06" w:rsidRPr="0070590E" w:rsidRDefault="00CB0C06" w:rsidP="007A6ACC">
      <w:pPr>
        <w:pStyle w:val="ListParagraph"/>
        <w:rPr>
          <w:lang w:val="en-GB"/>
        </w:rPr>
      </w:pPr>
    </w:p>
    <w:p w:rsidR="00CB0C06" w:rsidRPr="0070590E" w:rsidRDefault="00CB0C06" w:rsidP="007A6ACC">
      <w:pPr>
        <w:pStyle w:val="ListParagraph"/>
        <w:numPr>
          <w:ilvl w:val="1"/>
          <w:numId w:val="21"/>
        </w:numPr>
        <w:rPr>
          <w:lang w:val="en-GB"/>
        </w:rPr>
      </w:pPr>
      <w:r w:rsidRPr="0070590E">
        <w:rPr>
          <w:lang w:val="en-GB"/>
        </w:rPr>
        <w:t>The PBAC noted the issues with the estimated usage and financial implications and advice from DUSC. In particular, the PBAC agreed with its DUSC that the number of patients was underestimated in the submission and there was the potential for use outside the proposed restriction in patients suitable for purine analogues and as a first-line therapy. The PBAC considered that the financial estimates would need to be amended in line with a revised restriction.</w:t>
      </w:r>
    </w:p>
    <w:p w:rsidR="00CB0C06" w:rsidRPr="0070590E" w:rsidRDefault="00CB0C06" w:rsidP="007A6ACC">
      <w:pPr>
        <w:pStyle w:val="ListParagraph"/>
        <w:rPr>
          <w:lang w:val="en-GB"/>
        </w:rPr>
      </w:pPr>
    </w:p>
    <w:p w:rsidR="00CB0C06" w:rsidRPr="0070590E" w:rsidRDefault="00CB0C06" w:rsidP="007A6ACC">
      <w:pPr>
        <w:pStyle w:val="ListParagraph"/>
        <w:numPr>
          <w:ilvl w:val="1"/>
          <w:numId w:val="21"/>
        </w:numPr>
        <w:rPr>
          <w:lang w:val="en-GB"/>
        </w:rPr>
      </w:pPr>
      <w:r w:rsidRPr="0070590E">
        <w:rPr>
          <w:lang w:val="en-GB"/>
        </w:rPr>
        <w:t>The PBAC considered that the following would need to be addressed in a major resubmission: present a revised restriction targeting CLL and SLL patients with relapsed or refractory disease with the highest clinical need; use against the appropriate comparator(s); present evidence to demonstrate the comparative efficacy and safety; and an updated economic evaluation and revised financial estimates. The PBAC considered that an ICER should be between $50,000 and $60,000/QALY in order for ibrutinib to be acceptably cost-effective.</w:t>
      </w:r>
    </w:p>
    <w:p w:rsidR="00CB0C06" w:rsidRPr="0070590E" w:rsidRDefault="00CB0C06" w:rsidP="007A6ACC">
      <w:pPr>
        <w:pStyle w:val="ListParagraph"/>
        <w:rPr>
          <w:lang w:val="en-GB"/>
        </w:rPr>
      </w:pPr>
    </w:p>
    <w:p w:rsidR="00CB0C06" w:rsidRPr="0070590E" w:rsidRDefault="00CB0C06" w:rsidP="007A6ACC">
      <w:pPr>
        <w:pStyle w:val="ListParagraph"/>
        <w:numPr>
          <w:ilvl w:val="1"/>
          <w:numId w:val="21"/>
        </w:numPr>
        <w:rPr>
          <w:lang w:val="en-GB"/>
        </w:rPr>
      </w:pPr>
      <w:r w:rsidRPr="0070590E">
        <w:rPr>
          <w:lang w:val="en-GB"/>
        </w:rPr>
        <w:t xml:space="preserve">The PBAC noted the </w:t>
      </w:r>
      <w:r w:rsidR="007B6E9F" w:rsidRPr="0070590E">
        <w:rPr>
          <w:lang w:val="en-GB"/>
        </w:rPr>
        <w:t>unmet</w:t>
      </w:r>
      <w:r w:rsidRPr="0070590E">
        <w:rPr>
          <w:lang w:val="en-GB"/>
        </w:rPr>
        <w:t xml:space="preserve"> clinical need for treatments for patients with mantle cell lymphoma and the ongoing trail of ibrutinib in this patient population. In line with the TGA indication, the PBAC would welcome a submission seeking subsidisation of the treatment of patients with mantle cell lymphoma who have received at least one prior therapy. </w:t>
      </w:r>
    </w:p>
    <w:p w:rsidR="00CB0C06" w:rsidRPr="0070590E" w:rsidRDefault="00CB0C06" w:rsidP="007A6ACC">
      <w:pPr>
        <w:pStyle w:val="ListParagraph"/>
        <w:rPr>
          <w:lang w:val="en-GB"/>
        </w:rPr>
      </w:pPr>
    </w:p>
    <w:p w:rsidR="00CB0C06" w:rsidRPr="0070590E" w:rsidRDefault="00CB0C06" w:rsidP="00505A6E">
      <w:pPr>
        <w:pStyle w:val="ListParagraph"/>
        <w:numPr>
          <w:ilvl w:val="1"/>
          <w:numId w:val="21"/>
        </w:numPr>
        <w:rPr>
          <w:lang w:val="en-GB"/>
        </w:rPr>
      </w:pPr>
      <w:r w:rsidRPr="0070590E">
        <w:rPr>
          <w:lang w:val="en-GB"/>
        </w:rPr>
        <w:t>The PBAC noted that this submission is eligible for an Independent Review.</w:t>
      </w:r>
    </w:p>
    <w:p w:rsidR="00CB0C06" w:rsidRPr="0012667E" w:rsidRDefault="00CB0C06" w:rsidP="0012667E">
      <w:pPr>
        <w:pStyle w:val="ListParagraph"/>
        <w:rPr>
          <w:lang w:val="en-GB"/>
        </w:rPr>
      </w:pPr>
    </w:p>
    <w:p w:rsidR="00CB0C06" w:rsidRPr="00C36960" w:rsidRDefault="00CB0C06" w:rsidP="00505A6E">
      <w:pPr>
        <w:rPr>
          <w:b/>
          <w:bCs/>
          <w:szCs w:val="22"/>
          <w:lang w:val="en-GB"/>
        </w:rPr>
      </w:pPr>
      <w:r w:rsidRPr="00C36960">
        <w:rPr>
          <w:b/>
          <w:bCs/>
          <w:szCs w:val="22"/>
          <w:lang w:val="en-GB"/>
        </w:rPr>
        <w:t>Outcome:</w:t>
      </w:r>
    </w:p>
    <w:p w:rsidR="00CB0C06" w:rsidRPr="00C36960" w:rsidRDefault="00CB0C06" w:rsidP="00505A6E">
      <w:pPr>
        <w:rPr>
          <w:bCs/>
          <w:szCs w:val="22"/>
          <w:lang w:val="en-GB"/>
        </w:rPr>
      </w:pPr>
      <w:r w:rsidRPr="00C36960">
        <w:rPr>
          <w:bCs/>
          <w:szCs w:val="22"/>
          <w:lang w:val="en-GB"/>
        </w:rPr>
        <w:t>Rejected</w:t>
      </w:r>
    </w:p>
    <w:p w:rsidR="00CB0C06" w:rsidRDefault="00CB0C06" w:rsidP="00505A6E">
      <w:pPr>
        <w:rPr>
          <w:b/>
          <w:bCs/>
          <w:szCs w:val="22"/>
        </w:rPr>
      </w:pPr>
    </w:p>
    <w:p w:rsidR="00303F4A" w:rsidRDefault="00303F4A" w:rsidP="00303F4A">
      <w:pPr>
        <w:widowControl/>
        <w:rPr>
          <w:rFonts w:cs="Times New Roman"/>
          <w:szCs w:val="22"/>
          <w:lang w:eastAsia="en-AU"/>
        </w:rPr>
      </w:pPr>
    </w:p>
    <w:p w:rsidR="00303F4A" w:rsidRPr="00C45157" w:rsidRDefault="00303F4A" w:rsidP="00303F4A">
      <w:pPr>
        <w:pStyle w:val="PBACHeading1"/>
        <w:keepNext/>
      </w:pPr>
      <w:r w:rsidRPr="00C45157">
        <w:t>Context for Decision</w:t>
      </w:r>
    </w:p>
    <w:p w:rsidR="00303F4A" w:rsidRPr="00C45157" w:rsidRDefault="00303F4A" w:rsidP="00303F4A">
      <w:pPr>
        <w:widowControl/>
        <w:ind w:left="720"/>
        <w:contextualSpacing/>
        <w:jc w:val="left"/>
        <w:rPr>
          <w:rFonts w:ascii="Times New Roman" w:hAnsi="Times New Roman" w:cs="Times New Roman"/>
          <w:b/>
          <w:sz w:val="24"/>
          <w:szCs w:val="24"/>
          <w:lang w:eastAsia="en-AU"/>
        </w:rPr>
      </w:pPr>
    </w:p>
    <w:p w:rsidR="00303F4A" w:rsidRPr="00C45157" w:rsidRDefault="00303F4A" w:rsidP="00303F4A">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03F4A" w:rsidRPr="00C45157" w:rsidRDefault="00303F4A" w:rsidP="00303F4A">
      <w:pPr>
        <w:widowControl/>
        <w:jc w:val="left"/>
        <w:rPr>
          <w:rFonts w:ascii="Times New Roman" w:hAnsi="Times New Roman" w:cs="Times New Roman"/>
          <w:sz w:val="24"/>
          <w:szCs w:val="24"/>
          <w:lang w:eastAsia="en-AU"/>
        </w:rPr>
      </w:pPr>
    </w:p>
    <w:p w:rsidR="006A44D8" w:rsidRDefault="00303F4A" w:rsidP="006A44D8">
      <w:pPr>
        <w:pStyle w:val="PBACHeading1"/>
        <w:keepNext/>
      </w:pPr>
      <w:r w:rsidRPr="00C45157">
        <w:t>Sponsor’s Comment</w:t>
      </w:r>
    </w:p>
    <w:p w:rsidR="007C2BE3" w:rsidRDefault="007C2BE3" w:rsidP="007C2BE3">
      <w:pPr>
        <w:ind w:left="720"/>
      </w:pPr>
    </w:p>
    <w:p w:rsidR="006A44D8" w:rsidRPr="007C2BE3" w:rsidRDefault="00D85B6A" w:rsidP="007C2BE3">
      <w:pPr>
        <w:ind w:left="720"/>
      </w:pPr>
      <w:r w:rsidRPr="007C2BE3">
        <w:t>Although disappointed that the PBAC were unable to recommend ibrutinib in the requested setting, Janssen are committed to working with the Department and PBAC in order to ensure timely access to ibrutinib.  Janssen believe there is an unmet clinical need for an effective and well tolerated treatment for relapsed or refractory CLL and SLL patients who are unsuitable for treatment or retreatment with a purine analogue</w:t>
      </w:r>
    </w:p>
    <w:sectPr w:rsidR="006A44D8" w:rsidRPr="007C2BE3" w:rsidSect="00EE4903">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7C" w:rsidRDefault="0056677C" w:rsidP="00124A51">
      <w:r>
        <w:separator/>
      </w:r>
    </w:p>
  </w:endnote>
  <w:endnote w:type="continuationSeparator" w:id="0">
    <w:p w:rsidR="0056677C" w:rsidRDefault="0056677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2F" w:rsidRDefault="0020612F">
    <w:pPr>
      <w:pStyle w:val="Footer"/>
      <w:jc w:val="center"/>
    </w:pPr>
    <w:r>
      <w:fldChar w:fldCharType="begin"/>
    </w:r>
    <w:r>
      <w:instrText xml:space="preserve"> PAGE   \* MERGEFORMAT </w:instrText>
    </w:r>
    <w:r>
      <w:fldChar w:fldCharType="separate"/>
    </w:r>
    <w:r w:rsidR="0056677C">
      <w:rPr>
        <w:noProof/>
      </w:rPr>
      <w:t>1</w:t>
    </w:r>
    <w:r>
      <w:rPr>
        <w:noProof/>
      </w:rPr>
      <w:fldChar w:fldCharType="end"/>
    </w:r>
  </w:p>
  <w:p w:rsidR="0020612F" w:rsidRDefault="00206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7C" w:rsidRDefault="0056677C" w:rsidP="00124A51">
      <w:r>
        <w:separator/>
      </w:r>
    </w:p>
  </w:footnote>
  <w:footnote w:type="continuationSeparator" w:id="0">
    <w:p w:rsidR="0056677C" w:rsidRDefault="0056677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2F" w:rsidRPr="00DF217D" w:rsidRDefault="0020612F" w:rsidP="00C26E42">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20612F" w:rsidRDefault="00206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D96"/>
    <w:multiLevelType w:val="hybridMultilevel"/>
    <w:tmpl w:val="DCEE2A1A"/>
    <w:lvl w:ilvl="0" w:tplc="F488CFD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6B342D"/>
    <w:multiLevelType w:val="hybridMultilevel"/>
    <w:tmpl w:val="BAB64B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0ACA2838"/>
    <w:multiLevelType w:val="hybridMultilevel"/>
    <w:tmpl w:val="C9D0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5235C1"/>
    <w:multiLevelType w:val="hybridMultilevel"/>
    <w:tmpl w:val="C9BCD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7C0C0A"/>
    <w:multiLevelType w:val="hybridMultilevel"/>
    <w:tmpl w:val="DBDAEBC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6FE3D69"/>
    <w:multiLevelType w:val="hybridMultilevel"/>
    <w:tmpl w:val="352C5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EF66F3"/>
    <w:multiLevelType w:val="hybridMultilevel"/>
    <w:tmpl w:val="7E5C1D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147C46"/>
    <w:multiLevelType w:val="hybridMultilevel"/>
    <w:tmpl w:val="CAB288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55A371E"/>
    <w:multiLevelType w:val="hybridMultilevel"/>
    <w:tmpl w:val="D35A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BF1AE7DE">
      <w:start w:val="1"/>
      <w:numFmt w:val="bullet"/>
      <w:lvlText w:val="-"/>
      <w:lvlJc w:val="left"/>
      <w:pPr>
        <w:ind w:left="2880" w:hanging="360"/>
      </w:pPr>
      <w:rPr>
        <w:rFonts w:ascii="Arial" w:eastAsia="Times New Roman" w:hAnsi="Aria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D821CB"/>
    <w:multiLevelType w:val="hybridMultilevel"/>
    <w:tmpl w:val="DAEE5C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2B26ED5"/>
    <w:multiLevelType w:val="hybridMultilevel"/>
    <w:tmpl w:val="7E5ABB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95459F6"/>
    <w:multiLevelType w:val="hybridMultilevel"/>
    <w:tmpl w:val="FA52D648"/>
    <w:lvl w:ilvl="0" w:tplc="F488CFD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9E2CAB"/>
    <w:multiLevelType w:val="multilevel"/>
    <w:tmpl w:val="7778BB3A"/>
    <w:lvl w:ilvl="0">
      <w:start w:val="1"/>
      <w:numFmt w:val="decimal"/>
      <w:pStyle w:val="PBACHeading1"/>
      <w:lvlText w:val="%1"/>
      <w:lvlJc w:val="left"/>
      <w:pPr>
        <w:ind w:left="720" w:hanging="72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0D010B0"/>
    <w:multiLevelType w:val="hybridMultilevel"/>
    <w:tmpl w:val="3CC83BA4"/>
    <w:lvl w:ilvl="0" w:tplc="0C090003">
      <w:start w:val="1"/>
      <w:numFmt w:val="bullet"/>
      <w:lvlText w:val="o"/>
      <w:lvlJc w:val="left"/>
      <w:pPr>
        <w:ind w:left="2160" w:hanging="360"/>
      </w:pPr>
      <w:rPr>
        <w:rFonts w:ascii="Courier New" w:hAnsi="Courier New"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53430204"/>
    <w:multiLevelType w:val="hybridMultilevel"/>
    <w:tmpl w:val="E738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68E5AC8"/>
    <w:multiLevelType w:val="hybridMultilevel"/>
    <w:tmpl w:val="06F06652"/>
    <w:lvl w:ilvl="0" w:tplc="F488CFD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B92B49"/>
    <w:multiLevelType w:val="hybridMultilevel"/>
    <w:tmpl w:val="B5BEDEF2"/>
    <w:lvl w:ilvl="0" w:tplc="C14AE0FC">
      <w:start w:val="1"/>
      <w:numFmt w:val="bullet"/>
      <w:lvlText w:val=""/>
      <w:lvlJc w:val="left"/>
      <w:pPr>
        <w:ind w:left="720" w:hanging="360"/>
      </w:pPr>
      <w:rPr>
        <w:rFonts w:ascii="Symbol" w:hAnsi="Symbol" w:hint="default"/>
        <w:color w:val="00000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CC530D"/>
    <w:multiLevelType w:val="hybridMultilevel"/>
    <w:tmpl w:val="C9A4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C23671"/>
    <w:multiLevelType w:val="hybridMultilevel"/>
    <w:tmpl w:val="9E1C3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A2D213C"/>
    <w:multiLevelType w:val="hybridMultilevel"/>
    <w:tmpl w:val="640CA33E"/>
    <w:lvl w:ilvl="0" w:tplc="FD26549E">
      <w:start w:val="1"/>
      <w:numFmt w:val="bullet"/>
      <w:lvlText w:val="•"/>
      <w:lvlJc w:val="left"/>
      <w:pPr>
        <w:tabs>
          <w:tab w:val="num" w:pos="720"/>
        </w:tabs>
        <w:ind w:left="720" w:hanging="360"/>
      </w:pPr>
      <w:rPr>
        <w:rFonts w:ascii="Arial" w:hAnsi="Arial" w:hint="default"/>
      </w:rPr>
    </w:lvl>
    <w:lvl w:ilvl="1" w:tplc="859E780C" w:tentative="1">
      <w:start w:val="1"/>
      <w:numFmt w:val="bullet"/>
      <w:lvlText w:val="•"/>
      <w:lvlJc w:val="left"/>
      <w:pPr>
        <w:tabs>
          <w:tab w:val="num" w:pos="1440"/>
        </w:tabs>
        <w:ind w:left="1440" w:hanging="360"/>
      </w:pPr>
      <w:rPr>
        <w:rFonts w:ascii="Arial" w:hAnsi="Arial" w:hint="default"/>
      </w:rPr>
    </w:lvl>
    <w:lvl w:ilvl="2" w:tplc="046E6AFC" w:tentative="1">
      <w:start w:val="1"/>
      <w:numFmt w:val="bullet"/>
      <w:lvlText w:val="•"/>
      <w:lvlJc w:val="left"/>
      <w:pPr>
        <w:tabs>
          <w:tab w:val="num" w:pos="2160"/>
        </w:tabs>
        <w:ind w:left="2160" w:hanging="360"/>
      </w:pPr>
      <w:rPr>
        <w:rFonts w:ascii="Arial" w:hAnsi="Arial" w:hint="default"/>
      </w:rPr>
    </w:lvl>
    <w:lvl w:ilvl="3" w:tplc="E7F43D6C" w:tentative="1">
      <w:start w:val="1"/>
      <w:numFmt w:val="bullet"/>
      <w:lvlText w:val="•"/>
      <w:lvlJc w:val="left"/>
      <w:pPr>
        <w:tabs>
          <w:tab w:val="num" w:pos="2880"/>
        </w:tabs>
        <w:ind w:left="2880" w:hanging="360"/>
      </w:pPr>
      <w:rPr>
        <w:rFonts w:ascii="Arial" w:hAnsi="Arial" w:hint="default"/>
      </w:rPr>
    </w:lvl>
    <w:lvl w:ilvl="4" w:tplc="BB66D048" w:tentative="1">
      <w:start w:val="1"/>
      <w:numFmt w:val="bullet"/>
      <w:lvlText w:val="•"/>
      <w:lvlJc w:val="left"/>
      <w:pPr>
        <w:tabs>
          <w:tab w:val="num" w:pos="3600"/>
        </w:tabs>
        <w:ind w:left="3600" w:hanging="360"/>
      </w:pPr>
      <w:rPr>
        <w:rFonts w:ascii="Arial" w:hAnsi="Arial" w:hint="default"/>
      </w:rPr>
    </w:lvl>
    <w:lvl w:ilvl="5" w:tplc="E5C07E6E" w:tentative="1">
      <w:start w:val="1"/>
      <w:numFmt w:val="bullet"/>
      <w:lvlText w:val="•"/>
      <w:lvlJc w:val="left"/>
      <w:pPr>
        <w:tabs>
          <w:tab w:val="num" w:pos="4320"/>
        </w:tabs>
        <w:ind w:left="4320" w:hanging="360"/>
      </w:pPr>
      <w:rPr>
        <w:rFonts w:ascii="Arial" w:hAnsi="Arial" w:hint="default"/>
      </w:rPr>
    </w:lvl>
    <w:lvl w:ilvl="6" w:tplc="D4F42EDC" w:tentative="1">
      <w:start w:val="1"/>
      <w:numFmt w:val="bullet"/>
      <w:lvlText w:val="•"/>
      <w:lvlJc w:val="left"/>
      <w:pPr>
        <w:tabs>
          <w:tab w:val="num" w:pos="5040"/>
        </w:tabs>
        <w:ind w:left="5040" w:hanging="360"/>
      </w:pPr>
      <w:rPr>
        <w:rFonts w:ascii="Arial" w:hAnsi="Arial" w:hint="default"/>
      </w:rPr>
    </w:lvl>
    <w:lvl w:ilvl="7" w:tplc="32C29F94" w:tentative="1">
      <w:start w:val="1"/>
      <w:numFmt w:val="bullet"/>
      <w:lvlText w:val="•"/>
      <w:lvlJc w:val="left"/>
      <w:pPr>
        <w:tabs>
          <w:tab w:val="num" w:pos="5760"/>
        </w:tabs>
        <w:ind w:left="5760" w:hanging="360"/>
      </w:pPr>
      <w:rPr>
        <w:rFonts w:ascii="Arial" w:hAnsi="Arial" w:hint="default"/>
      </w:rPr>
    </w:lvl>
    <w:lvl w:ilvl="8" w:tplc="9B720490" w:tentative="1">
      <w:start w:val="1"/>
      <w:numFmt w:val="bullet"/>
      <w:lvlText w:val="•"/>
      <w:lvlJc w:val="left"/>
      <w:pPr>
        <w:tabs>
          <w:tab w:val="num" w:pos="6480"/>
        </w:tabs>
        <w:ind w:left="6480" w:hanging="360"/>
      </w:pPr>
      <w:rPr>
        <w:rFonts w:ascii="Arial" w:hAnsi="Arial" w:hint="default"/>
      </w:rPr>
    </w:lvl>
  </w:abstractNum>
  <w:abstractNum w:abstractNumId="20">
    <w:nsid w:val="72BD1443"/>
    <w:multiLevelType w:val="hybridMultilevel"/>
    <w:tmpl w:val="8DB0137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784D033C"/>
    <w:multiLevelType w:val="multilevel"/>
    <w:tmpl w:val="39E0A6A8"/>
    <w:lvl w:ilvl="0">
      <w:start w:val="7"/>
      <w:numFmt w:val="decimal"/>
      <w:pStyle w:val="TableHeading"/>
      <w:lvlText w:val="%1"/>
      <w:lvlJc w:val="left"/>
      <w:pPr>
        <w:ind w:left="720" w:hanging="720"/>
      </w:pPr>
      <w:rPr>
        <w:rFonts w:cs="Times New Roman" w:hint="default"/>
        <w:b/>
      </w:rPr>
    </w:lvl>
    <w:lvl w:ilvl="1">
      <w:start w:val="6"/>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10"/>
  </w:num>
  <w:num w:numId="3">
    <w:abstractNumId w:val="1"/>
  </w:num>
  <w:num w:numId="4">
    <w:abstractNumId w:val="7"/>
  </w:num>
  <w:num w:numId="5">
    <w:abstractNumId w:val="3"/>
  </w:num>
  <w:num w:numId="6">
    <w:abstractNumId w:val="2"/>
  </w:num>
  <w:num w:numId="7">
    <w:abstractNumId w:val="12"/>
  </w:num>
  <w:num w:numId="8">
    <w:abstractNumId w:val="9"/>
  </w:num>
  <w:num w:numId="9">
    <w:abstractNumId w:val="17"/>
  </w:num>
  <w:num w:numId="10">
    <w:abstractNumId w:val="20"/>
  </w:num>
  <w:num w:numId="11">
    <w:abstractNumId w:val="21"/>
  </w:num>
  <w:num w:numId="12">
    <w:abstractNumId w:val="21"/>
    <w:lvlOverride w:ilvl="0">
      <w:startOverride w:val="8"/>
    </w:lvlOverride>
    <w:lvlOverride w:ilvl="1">
      <w:startOverride w:val="1"/>
    </w:lvlOverride>
  </w:num>
  <w:num w:numId="13">
    <w:abstractNumId w:val="18"/>
  </w:num>
  <w:num w:numId="14">
    <w:abstractNumId w:val="6"/>
  </w:num>
  <w:num w:numId="15">
    <w:abstractNumId w:val="13"/>
  </w:num>
  <w:num w:numId="16">
    <w:abstractNumId w:val="5"/>
  </w:num>
  <w:num w:numId="17">
    <w:abstractNumId w:val="12"/>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7"/>
    </w:lvlOverride>
    <w:lvlOverride w:ilvl="1">
      <w:startOverride w:val="1"/>
    </w:lvlOverride>
  </w:num>
  <w:num w:numId="19">
    <w:abstractNumId w:val="12"/>
    <w:lvlOverride w:ilvl="0">
      <w:startOverride w:val="7"/>
    </w:lvlOverride>
    <w:lvlOverride w:ilvl="1">
      <w:startOverride w:val="1"/>
    </w:lvlOverride>
  </w:num>
  <w:num w:numId="20">
    <w:abstractNumId w:val="12"/>
    <w:lvlOverride w:ilvl="0">
      <w:startOverride w:val="7"/>
    </w:lvlOverride>
    <w:lvlOverride w:ilvl="1">
      <w:startOverride w:val="1"/>
    </w:lvlOverride>
  </w:num>
  <w:num w:numId="21">
    <w:abstractNumId w:val="12"/>
    <w:lvlOverride w:ilvl="0">
      <w:startOverride w:val="7"/>
    </w:lvlOverride>
    <w:lvlOverride w:ilvl="1">
      <w:startOverride w:val="1"/>
    </w:lvlOverride>
  </w:num>
  <w:num w:numId="22">
    <w:abstractNumId w:val="19"/>
  </w:num>
  <w:num w:numId="23">
    <w:abstractNumId w:val="11"/>
  </w:num>
  <w:num w:numId="24">
    <w:abstractNumId w:val="16"/>
  </w:num>
  <w:num w:numId="25">
    <w:abstractNumId w:val="15"/>
  </w:num>
  <w:num w:numId="26">
    <w:abstractNumId w:val="0"/>
  </w:num>
  <w:num w:numId="27">
    <w:abstractNumId w:val="12"/>
  </w:num>
  <w:num w:numId="28">
    <w:abstractNumId w:val="1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
  </w:num>
  <w:num w:numId="31">
    <w:abstractNumId w:val="14"/>
  </w:num>
  <w:num w:numId="32">
    <w:abstractNumId w:val="12"/>
  </w:num>
  <w:num w:numId="3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18"/>
    <w:rsid w:val="00000725"/>
    <w:rsid w:val="00000790"/>
    <w:rsid w:val="00000BCA"/>
    <w:rsid w:val="0000110B"/>
    <w:rsid w:val="00001E57"/>
    <w:rsid w:val="00002A90"/>
    <w:rsid w:val="0000305D"/>
    <w:rsid w:val="000030CB"/>
    <w:rsid w:val="00003499"/>
    <w:rsid w:val="0000510D"/>
    <w:rsid w:val="00006A97"/>
    <w:rsid w:val="00006BC2"/>
    <w:rsid w:val="00006C77"/>
    <w:rsid w:val="000074E1"/>
    <w:rsid w:val="0000755E"/>
    <w:rsid w:val="00013247"/>
    <w:rsid w:val="00013760"/>
    <w:rsid w:val="00013A43"/>
    <w:rsid w:val="00013CCB"/>
    <w:rsid w:val="00014315"/>
    <w:rsid w:val="00014D36"/>
    <w:rsid w:val="000152D8"/>
    <w:rsid w:val="00015886"/>
    <w:rsid w:val="000162EF"/>
    <w:rsid w:val="000174DD"/>
    <w:rsid w:val="00021F3A"/>
    <w:rsid w:val="0002224F"/>
    <w:rsid w:val="0002225F"/>
    <w:rsid w:val="00023763"/>
    <w:rsid w:val="0002387D"/>
    <w:rsid w:val="00023AF9"/>
    <w:rsid w:val="00024C4A"/>
    <w:rsid w:val="00024E20"/>
    <w:rsid w:val="00025470"/>
    <w:rsid w:val="00025785"/>
    <w:rsid w:val="00026E54"/>
    <w:rsid w:val="0002787E"/>
    <w:rsid w:val="000306B7"/>
    <w:rsid w:val="00030A0A"/>
    <w:rsid w:val="00031D27"/>
    <w:rsid w:val="0003228B"/>
    <w:rsid w:val="00032DCF"/>
    <w:rsid w:val="00033805"/>
    <w:rsid w:val="00033923"/>
    <w:rsid w:val="00033E30"/>
    <w:rsid w:val="000348E5"/>
    <w:rsid w:val="0003493E"/>
    <w:rsid w:val="00034B32"/>
    <w:rsid w:val="00035786"/>
    <w:rsid w:val="000358A0"/>
    <w:rsid w:val="00036D0E"/>
    <w:rsid w:val="00036EB4"/>
    <w:rsid w:val="0003708B"/>
    <w:rsid w:val="00037554"/>
    <w:rsid w:val="00037599"/>
    <w:rsid w:val="000400B4"/>
    <w:rsid w:val="00040895"/>
    <w:rsid w:val="00041096"/>
    <w:rsid w:val="0004131D"/>
    <w:rsid w:val="000426A3"/>
    <w:rsid w:val="00043C37"/>
    <w:rsid w:val="00043EDB"/>
    <w:rsid w:val="00043F5F"/>
    <w:rsid w:val="00044E9A"/>
    <w:rsid w:val="00047227"/>
    <w:rsid w:val="0004758D"/>
    <w:rsid w:val="00050C67"/>
    <w:rsid w:val="00051507"/>
    <w:rsid w:val="000520CF"/>
    <w:rsid w:val="00053C4D"/>
    <w:rsid w:val="00053FA4"/>
    <w:rsid w:val="0005416F"/>
    <w:rsid w:val="000546D7"/>
    <w:rsid w:val="0005693F"/>
    <w:rsid w:val="00056A73"/>
    <w:rsid w:val="00056E1E"/>
    <w:rsid w:val="0005773D"/>
    <w:rsid w:val="000577A5"/>
    <w:rsid w:val="000619D2"/>
    <w:rsid w:val="00062FF1"/>
    <w:rsid w:val="00063AC6"/>
    <w:rsid w:val="00063BFD"/>
    <w:rsid w:val="00063F4C"/>
    <w:rsid w:val="00064F8A"/>
    <w:rsid w:val="0006657D"/>
    <w:rsid w:val="000667C3"/>
    <w:rsid w:val="00066D83"/>
    <w:rsid w:val="00066E08"/>
    <w:rsid w:val="00066F9C"/>
    <w:rsid w:val="0007071B"/>
    <w:rsid w:val="00070A9E"/>
    <w:rsid w:val="000711FF"/>
    <w:rsid w:val="00071248"/>
    <w:rsid w:val="00071693"/>
    <w:rsid w:val="00071A83"/>
    <w:rsid w:val="000720B9"/>
    <w:rsid w:val="000724E0"/>
    <w:rsid w:val="00072C99"/>
    <w:rsid w:val="00073692"/>
    <w:rsid w:val="0007426B"/>
    <w:rsid w:val="00074AA3"/>
    <w:rsid w:val="00074EEC"/>
    <w:rsid w:val="000754DC"/>
    <w:rsid w:val="00075946"/>
    <w:rsid w:val="0007627B"/>
    <w:rsid w:val="000806E4"/>
    <w:rsid w:val="00080BAC"/>
    <w:rsid w:val="000812CA"/>
    <w:rsid w:val="0008328D"/>
    <w:rsid w:val="000856C9"/>
    <w:rsid w:val="00085A2E"/>
    <w:rsid w:val="00085C4E"/>
    <w:rsid w:val="00086100"/>
    <w:rsid w:val="000868FF"/>
    <w:rsid w:val="00087B56"/>
    <w:rsid w:val="0009083F"/>
    <w:rsid w:val="00090C7E"/>
    <w:rsid w:val="00090EC7"/>
    <w:rsid w:val="00091BAB"/>
    <w:rsid w:val="00092344"/>
    <w:rsid w:val="000928C6"/>
    <w:rsid w:val="00093A9C"/>
    <w:rsid w:val="000948E2"/>
    <w:rsid w:val="00094921"/>
    <w:rsid w:val="000949AD"/>
    <w:rsid w:val="00094A06"/>
    <w:rsid w:val="00094B50"/>
    <w:rsid w:val="00094CD7"/>
    <w:rsid w:val="00095FE4"/>
    <w:rsid w:val="000960BB"/>
    <w:rsid w:val="000A0BAD"/>
    <w:rsid w:val="000A0DC7"/>
    <w:rsid w:val="000A10B2"/>
    <w:rsid w:val="000A2151"/>
    <w:rsid w:val="000A397F"/>
    <w:rsid w:val="000A3A49"/>
    <w:rsid w:val="000A3C1F"/>
    <w:rsid w:val="000A421F"/>
    <w:rsid w:val="000A5598"/>
    <w:rsid w:val="000A6EDB"/>
    <w:rsid w:val="000A7DAD"/>
    <w:rsid w:val="000B0406"/>
    <w:rsid w:val="000B1495"/>
    <w:rsid w:val="000B187B"/>
    <w:rsid w:val="000B2A86"/>
    <w:rsid w:val="000B3817"/>
    <w:rsid w:val="000B3B28"/>
    <w:rsid w:val="000B3B83"/>
    <w:rsid w:val="000B3D1C"/>
    <w:rsid w:val="000B47AD"/>
    <w:rsid w:val="000B4837"/>
    <w:rsid w:val="000B6124"/>
    <w:rsid w:val="000B77B6"/>
    <w:rsid w:val="000B7B24"/>
    <w:rsid w:val="000C0289"/>
    <w:rsid w:val="000C0EC0"/>
    <w:rsid w:val="000C22D5"/>
    <w:rsid w:val="000C256F"/>
    <w:rsid w:val="000C25FF"/>
    <w:rsid w:val="000C41A0"/>
    <w:rsid w:val="000C50D4"/>
    <w:rsid w:val="000C631F"/>
    <w:rsid w:val="000C6D58"/>
    <w:rsid w:val="000C6F24"/>
    <w:rsid w:val="000C795E"/>
    <w:rsid w:val="000C7CBD"/>
    <w:rsid w:val="000D05A0"/>
    <w:rsid w:val="000D1AC3"/>
    <w:rsid w:val="000D1BFC"/>
    <w:rsid w:val="000D4DD0"/>
    <w:rsid w:val="000D7A60"/>
    <w:rsid w:val="000D7F83"/>
    <w:rsid w:val="000E0641"/>
    <w:rsid w:val="000E13CD"/>
    <w:rsid w:val="000E28E5"/>
    <w:rsid w:val="000E5B96"/>
    <w:rsid w:val="000E5DFC"/>
    <w:rsid w:val="000E70C3"/>
    <w:rsid w:val="000E727D"/>
    <w:rsid w:val="000E7390"/>
    <w:rsid w:val="000E7DDD"/>
    <w:rsid w:val="000F028B"/>
    <w:rsid w:val="000F0C9F"/>
    <w:rsid w:val="000F176D"/>
    <w:rsid w:val="000F18BA"/>
    <w:rsid w:val="000F2BE9"/>
    <w:rsid w:val="000F2FCD"/>
    <w:rsid w:val="000F399B"/>
    <w:rsid w:val="000F4BB8"/>
    <w:rsid w:val="000F7127"/>
    <w:rsid w:val="000F7825"/>
    <w:rsid w:val="000F79BF"/>
    <w:rsid w:val="00100C89"/>
    <w:rsid w:val="00100F8A"/>
    <w:rsid w:val="0010132D"/>
    <w:rsid w:val="00101ACE"/>
    <w:rsid w:val="00101FCD"/>
    <w:rsid w:val="00104BA4"/>
    <w:rsid w:val="00106F9B"/>
    <w:rsid w:val="00110101"/>
    <w:rsid w:val="0011032E"/>
    <w:rsid w:val="0011094B"/>
    <w:rsid w:val="001117D4"/>
    <w:rsid w:val="0011252B"/>
    <w:rsid w:val="00113281"/>
    <w:rsid w:val="00113439"/>
    <w:rsid w:val="0011348B"/>
    <w:rsid w:val="001135BE"/>
    <w:rsid w:val="00115A0F"/>
    <w:rsid w:val="00115F48"/>
    <w:rsid w:val="00116475"/>
    <w:rsid w:val="00116976"/>
    <w:rsid w:val="001169D3"/>
    <w:rsid w:val="00116EB2"/>
    <w:rsid w:val="00117D20"/>
    <w:rsid w:val="00120911"/>
    <w:rsid w:val="00121799"/>
    <w:rsid w:val="001219CB"/>
    <w:rsid w:val="0012225C"/>
    <w:rsid w:val="001222FC"/>
    <w:rsid w:val="001223C9"/>
    <w:rsid w:val="00122BB0"/>
    <w:rsid w:val="001240B4"/>
    <w:rsid w:val="00124A51"/>
    <w:rsid w:val="001262A7"/>
    <w:rsid w:val="00126621"/>
    <w:rsid w:val="0012667E"/>
    <w:rsid w:val="00126F44"/>
    <w:rsid w:val="00127C3F"/>
    <w:rsid w:val="001301E9"/>
    <w:rsid w:val="00130BAD"/>
    <w:rsid w:val="001318DA"/>
    <w:rsid w:val="00131D9F"/>
    <w:rsid w:val="0013203B"/>
    <w:rsid w:val="001350E5"/>
    <w:rsid w:val="00135853"/>
    <w:rsid w:val="00137137"/>
    <w:rsid w:val="00137645"/>
    <w:rsid w:val="00137C43"/>
    <w:rsid w:val="0014015A"/>
    <w:rsid w:val="00140E99"/>
    <w:rsid w:val="00141D82"/>
    <w:rsid w:val="00142D9B"/>
    <w:rsid w:val="001436E9"/>
    <w:rsid w:val="0014402C"/>
    <w:rsid w:val="00144C62"/>
    <w:rsid w:val="00145540"/>
    <w:rsid w:val="001456B0"/>
    <w:rsid w:val="0014583A"/>
    <w:rsid w:val="00145F97"/>
    <w:rsid w:val="00146298"/>
    <w:rsid w:val="00147875"/>
    <w:rsid w:val="00150420"/>
    <w:rsid w:val="00150D72"/>
    <w:rsid w:val="00151B8F"/>
    <w:rsid w:val="0015210A"/>
    <w:rsid w:val="001526A4"/>
    <w:rsid w:val="00152AFC"/>
    <w:rsid w:val="00153E71"/>
    <w:rsid w:val="00154809"/>
    <w:rsid w:val="0015529C"/>
    <w:rsid w:val="00157130"/>
    <w:rsid w:val="00160B06"/>
    <w:rsid w:val="00162913"/>
    <w:rsid w:val="001635B8"/>
    <w:rsid w:val="00163712"/>
    <w:rsid w:val="00163EFF"/>
    <w:rsid w:val="00163FF9"/>
    <w:rsid w:val="00164329"/>
    <w:rsid w:val="00164AA1"/>
    <w:rsid w:val="00164FAB"/>
    <w:rsid w:val="001652B2"/>
    <w:rsid w:val="001653EF"/>
    <w:rsid w:val="0016593F"/>
    <w:rsid w:val="001661FB"/>
    <w:rsid w:val="001669F7"/>
    <w:rsid w:val="001679CB"/>
    <w:rsid w:val="00170515"/>
    <w:rsid w:val="00170BEC"/>
    <w:rsid w:val="00170D75"/>
    <w:rsid w:val="00171EF2"/>
    <w:rsid w:val="00172593"/>
    <w:rsid w:val="00172744"/>
    <w:rsid w:val="00172F92"/>
    <w:rsid w:val="00173C41"/>
    <w:rsid w:val="00176A23"/>
    <w:rsid w:val="0018044C"/>
    <w:rsid w:val="001834DE"/>
    <w:rsid w:val="00185C03"/>
    <w:rsid w:val="00186176"/>
    <w:rsid w:val="00186624"/>
    <w:rsid w:val="00186BDD"/>
    <w:rsid w:val="00186F2E"/>
    <w:rsid w:val="0018752F"/>
    <w:rsid w:val="00187544"/>
    <w:rsid w:val="00187B27"/>
    <w:rsid w:val="001904E2"/>
    <w:rsid w:val="001905F6"/>
    <w:rsid w:val="00190ED2"/>
    <w:rsid w:val="00190F98"/>
    <w:rsid w:val="001911B3"/>
    <w:rsid w:val="001913B1"/>
    <w:rsid w:val="00192811"/>
    <w:rsid w:val="00192C6E"/>
    <w:rsid w:val="00192D87"/>
    <w:rsid w:val="00193211"/>
    <w:rsid w:val="0019368D"/>
    <w:rsid w:val="00195222"/>
    <w:rsid w:val="00195D5C"/>
    <w:rsid w:val="00196698"/>
    <w:rsid w:val="001969BE"/>
    <w:rsid w:val="001975D8"/>
    <w:rsid w:val="001A04BE"/>
    <w:rsid w:val="001A106A"/>
    <w:rsid w:val="001A2BB5"/>
    <w:rsid w:val="001A3F34"/>
    <w:rsid w:val="001A4F32"/>
    <w:rsid w:val="001A6663"/>
    <w:rsid w:val="001A76ED"/>
    <w:rsid w:val="001A7A71"/>
    <w:rsid w:val="001B18F8"/>
    <w:rsid w:val="001B1E6F"/>
    <w:rsid w:val="001B2046"/>
    <w:rsid w:val="001B2342"/>
    <w:rsid w:val="001B2D41"/>
    <w:rsid w:val="001B2DEB"/>
    <w:rsid w:val="001B3443"/>
    <w:rsid w:val="001B3469"/>
    <w:rsid w:val="001B4653"/>
    <w:rsid w:val="001B573F"/>
    <w:rsid w:val="001B7FAB"/>
    <w:rsid w:val="001C08F2"/>
    <w:rsid w:val="001C147A"/>
    <w:rsid w:val="001C1E32"/>
    <w:rsid w:val="001C42E4"/>
    <w:rsid w:val="001C587B"/>
    <w:rsid w:val="001C6E66"/>
    <w:rsid w:val="001C6EF6"/>
    <w:rsid w:val="001C7136"/>
    <w:rsid w:val="001D048B"/>
    <w:rsid w:val="001D185D"/>
    <w:rsid w:val="001D1BF9"/>
    <w:rsid w:val="001D1E11"/>
    <w:rsid w:val="001D412A"/>
    <w:rsid w:val="001D4F60"/>
    <w:rsid w:val="001D6943"/>
    <w:rsid w:val="001D6A46"/>
    <w:rsid w:val="001E0048"/>
    <w:rsid w:val="001E0F3E"/>
    <w:rsid w:val="001E1897"/>
    <w:rsid w:val="001E238E"/>
    <w:rsid w:val="001E2B1E"/>
    <w:rsid w:val="001E2E02"/>
    <w:rsid w:val="001E30E8"/>
    <w:rsid w:val="001E499C"/>
    <w:rsid w:val="001E52EB"/>
    <w:rsid w:val="001E5417"/>
    <w:rsid w:val="001E5717"/>
    <w:rsid w:val="001E5DF4"/>
    <w:rsid w:val="001E63E1"/>
    <w:rsid w:val="001E740C"/>
    <w:rsid w:val="001E750E"/>
    <w:rsid w:val="001E7C1B"/>
    <w:rsid w:val="001F0849"/>
    <w:rsid w:val="001F089F"/>
    <w:rsid w:val="001F0F76"/>
    <w:rsid w:val="001F1235"/>
    <w:rsid w:val="001F1BD3"/>
    <w:rsid w:val="001F1CB3"/>
    <w:rsid w:val="001F63A7"/>
    <w:rsid w:val="001F7361"/>
    <w:rsid w:val="00200130"/>
    <w:rsid w:val="002015E7"/>
    <w:rsid w:val="00202B76"/>
    <w:rsid w:val="0020385F"/>
    <w:rsid w:val="00203CFE"/>
    <w:rsid w:val="00205CE3"/>
    <w:rsid w:val="0020612F"/>
    <w:rsid w:val="00206703"/>
    <w:rsid w:val="00206D37"/>
    <w:rsid w:val="00207021"/>
    <w:rsid w:val="00207334"/>
    <w:rsid w:val="00207D00"/>
    <w:rsid w:val="002105C1"/>
    <w:rsid w:val="002115FB"/>
    <w:rsid w:val="0021227A"/>
    <w:rsid w:val="002129D8"/>
    <w:rsid w:val="00212AD0"/>
    <w:rsid w:val="002131FA"/>
    <w:rsid w:val="0021350F"/>
    <w:rsid w:val="00213B5F"/>
    <w:rsid w:val="00213F3A"/>
    <w:rsid w:val="00214120"/>
    <w:rsid w:val="002144C2"/>
    <w:rsid w:val="002151E6"/>
    <w:rsid w:val="00215500"/>
    <w:rsid w:val="0021698A"/>
    <w:rsid w:val="00217283"/>
    <w:rsid w:val="002204D1"/>
    <w:rsid w:val="00220674"/>
    <w:rsid w:val="0022121C"/>
    <w:rsid w:val="00221576"/>
    <w:rsid w:val="00222AA1"/>
    <w:rsid w:val="00223B49"/>
    <w:rsid w:val="00223C94"/>
    <w:rsid w:val="00223D6C"/>
    <w:rsid w:val="0022400E"/>
    <w:rsid w:val="002240B8"/>
    <w:rsid w:val="00224417"/>
    <w:rsid w:val="00224DD4"/>
    <w:rsid w:val="002258C9"/>
    <w:rsid w:val="00225FDD"/>
    <w:rsid w:val="00226AC1"/>
    <w:rsid w:val="00227544"/>
    <w:rsid w:val="002304E5"/>
    <w:rsid w:val="002309CC"/>
    <w:rsid w:val="00230E58"/>
    <w:rsid w:val="0023135E"/>
    <w:rsid w:val="002314EB"/>
    <w:rsid w:val="00231FE0"/>
    <w:rsid w:val="00233631"/>
    <w:rsid w:val="00234487"/>
    <w:rsid w:val="00234931"/>
    <w:rsid w:val="00234E92"/>
    <w:rsid w:val="002357A2"/>
    <w:rsid w:val="00235D86"/>
    <w:rsid w:val="002364BF"/>
    <w:rsid w:val="00237259"/>
    <w:rsid w:val="0023778D"/>
    <w:rsid w:val="00241462"/>
    <w:rsid w:val="0024271C"/>
    <w:rsid w:val="00242CD7"/>
    <w:rsid w:val="0024561E"/>
    <w:rsid w:val="0024601E"/>
    <w:rsid w:val="00246D32"/>
    <w:rsid w:val="00247A92"/>
    <w:rsid w:val="00250062"/>
    <w:rsid w:val="002505FC"/>
    <w:rsid w:val="002508AE"/>
    <w:rsid w:val="00252708"/>
    <w:rsid w:val="00252710"/>
    <w:rsid w:val="00254DCF"/>
    <w:rsid w:val="00254DE2"/>
    <w:rsid w:val="0025534B"/>
    <w:rsid w:val="002554D7"/>
    <w:rsid w:val="00255BB7"/>
    <w:rsid w:val="0025602A"/>
    <w:rsid w:val="00256502"/>
    <w:rsid w:val="002569C1"/>
    <w:rsid w:val="002577ED"/>
    <w:rsid w:val="00261EFB"/>
    <w:rsid w:val="00262615"/>
    <w:rsid w:val="00262881"/>
    <w:rsid w:val="00262A87"/>
    <w:rsid w:val="00263527"/>
    <w:rsid w:val="002641A3"/>
    <w:rsid w:val="0026546D"/>
    <w:rsid w:val="002658E9"/>
    <w:rsid w:val="00265B13"/>
    <w:rsid w:val="002671AA"/>
    <w:rsid w:val="002704B1"/>
    <w:rsid w:val="002707FD"/>
    <w:rsid w:val="002708ED"/>
    <w:rsid w:val="002710BC"/>
    <w:rsid w:val="0027132A"/>
    <w:rsid w:val="00271347"/>
    <w:rsid w:val="0027281A"/>
    <w:rsid w:val="002729A6"/>
    <w:rsid w:val="00274051"/>
    <w:rsid w:val="002743F2"/>
    <w:rsid w:val="00274797"/>
    <w:rsid w:val="00274B87"/>
    <w:rsid w:val="002755C0"/>
    <w:rsid w:val="00275B1C"/>
    <w:rsid w:val="00275C5A"/>
    <w:rsid w:val="00277B9D"/>
    <w:rsid w:val="0028008A"/>
    <w:rsid w:val="002804C1"/>
    <w:rsid w:val="00281014"/>
    <w:rsid w:val="002818C5"/>
    <w:rsid w:val="002823DE"/>
    <w:rsid w:val="00283E14"/>
    <w:rsid w:val="002843DA"/>
    <w:rsid w:val="002852F6"/>
    <w:rsid w:val="0028557D"/>
    <w:rsid w:val="0028620E"/>
    <w:rsid w:val="00290F18"/>
    <w:rsid w:val="002914F2"/>
    <w:rsid w:val="00291D98"/>
    <w:rsid w:val="00291EE0"/>
    <w:rsid w:val="00292FD0"/>
    <w:rsid w:val="002938E0"/>
    <w:rsid w:val="00293E50"/>
    <w:rsid w:val="00294667"/>
    <w:rsid w:val="00295797"/>
    <w:rsid w:val="002967BD"/>
    <w:rsid w:val="0029696A"/>
    <w:rsid w:val="002A0AA1"/>
    <w:rsid w:val="002A0FB8"/>
    <w:rsid w:val="002A14AB"/>
    <w:rsid w:val="002A2AE5"/>
    <w:rsid w:val="002A2D07"/>
    <w:rsid w:val="002A2FB8"/>
    <w:rsid w:val="002A3005"/>
    <w:rsid w:val="002A32C7"/>
    <w:rsid w:val="002A4322"/>
    <w:rsid w:val="002A43AE"/>
    <w:rsid w:val="002A4BB3"/>
    <w:rsid w:val="002A4C93"/>
    <w:rsid w:val="002A666F"/>
    <w:rsid w:val="002A67F7"/>
    <w:rsid w:val="002B062B"/>
    <w:rsid w:val="002B068C"/>
    <w:rsid w:val="002B1060"/>
    <w:rsid w:val="002B1C1F"/>
    <w:rsid w:val="002B2C88"/>
    <w:rsid w:val="002B432F"/>
    <w:rsid w:val="002B4863"/>
    <w:rsid w:val="002B58D4"/>
    <w:rsid w:val="002B6CCE"/>
    <w:rsid w:val="002B74A6"/>
    <w:rsid w:val="002B75B5"/>
    <w:rsid w:val="002B7FBF"/>
    <w:rsid w:val="002C139D"/>
    <w:rsid w:val="002C2775"/>
    <w:rsid w:val="002C27C1"/>
    <w:rsid w:val="002C2D2F"/>
    <w:rsid w:val="002C2F2B"/>
    <w:rsid w:val="002C42C9"/>
    <w:rsid w:val="002C4E28"/>
    <w:rsid w:val="002C6475"/>
    <w:rsid w:val="002C7DA0"/>
    <w:rsid w:val="002D0138"/>
    <w:rsid w:val="002D0F98"/>
    <w:rsid w:val="002D13E2"/>
    <w:rsid w:val="002D1EA9"/>
    <w:rsid w:val="002D33B9"/>
    <w:rsid w:val="002D3B26"/>
    <w:rsid w:val="002D6313"/>
    <w:rsid w:val="002D71CC"/>
    <w:rsid w:val="002E011F"/>
    <w:rsid w:val="002E1E48"/>
    <w:rsid w:val="002E3863"/>
    <w:rsid w:val="002E3A81"/>
    <w:rsid w:val="002E4467"/>
    <w:rsid w:val="002E502C"/>
    <w:rsid w:val="002E589C"/>
    <w:rsid w:val="002E62C9"/>
    <w:rsid w:val="002F064A"/>
    <w:rsid w:val="002F0A73"/>
    <w:rsid w:val="002F2655"/>
    <w:rsid w:val="002F30E0"/>
    <w:rsid w:val="002F36E1"/>
    <w:rsid w:val="002F38FC"/>
    <w:rsid w:val="002F3C95"/>
    <w:rsid w:val="002F4881"/>
    <w:rsid w:val="002F4B2C"/>
    <w:rsid w:val="002F5003"/>
    <w:rsid w:val="002F50C1"/>
    <w:rsid w:val="002F5BFA"/>
    <w:rsid w:val="002F6335"/>
    <w:rsid w:val="002F67F1"/>
    <w:rsid w:val="00301017"/>
    <w:rsid w:val="0030136A"/>
    <w:rsid w:val="003014BF"/>
    <w:rsid w:val="00303F4A"/>
    <w:rsid w:val="003040D0"/>
    <w:rsid w:val="00304209"/>
    <w:rsid w:val="0030494C"/>
    <w:rsid w:val="003049CB"/>
    <w:rsid w:val="0030663A"/>
    <w:rsid w:val="003074FC"/>
    <w:rsid w:val="0030786C"/>
    <w:rsid w:val="00307E45"/>
    <w:rsid w:val="0031031A"/>
    <w:rsid w:val="003103DB"/>
    <w:rsid w:val="00310900"/>
    <w:rsid w:val="00310981"/>
    <w:rsid w:val="003124E7"/>
    <w:rsid w:val="003126DD"/>
    <w:rsid w:val="003129CE"/>
    <w:rsid w:val="00312C5E"/>
    <w:rsid w:val="0031392D"/>
    <w:rsid w:val="00313FA9"/>
    <w:rsid w:val="0031460A"/>
    <w:rsid w:val="00314BC5"/>
    <w:rsid w:val="00315498"/>
    <w:rsid w:val="00315D87"/>
    <w:rsid w:val="00316EC7"/>
    <w:rsid w:val="00317CC8"/>
    <w:rsid w:val="00317F1C"/>
    <w:rsid w:val="00320789"/>
    <w:rsid w:val="0032127C"/>
    <w:rsid w:val="00322349"/>
    <w:rsid w:val="00322C00"/>
    <w:rsid w:val="003249BC"/>
    <w:rsid w:val="00324F96"/>
    <w:rsid w:val="0032695E"/>
    <w:rsid w:val="003278EB"/>
    <w:rsid w:val="00332614"/>
    <w:rsid w:val="003326B1"/>
    <w:rsid w:val="003329E5"/>
    <w:rsid w:val="00332DA7"/>
    <w:rsid w:val="003366C9"/>
    <w:rsid w:val="003371B0"/>
    <w:rsid w:val="00337665"/>
    <w:rsid w:val="003400BF"/>
    <w:rsid w:val="00342F5D"/>
    <w:rsid w:val="0034486A"/>
    <w:rsid w:val="00345E14"/>
    <w:rsid w:val="0034619A"/>
    <w:rsid w:val="00346D91"/>
    <w:rsid w:val="00347618"/>
    <w:rsid w:val="00350DD1"/>
    <w:rsid w:val="003521BA"/>
    <w:rsid w:val="003529FA"/>
    <w:rsid w:val="0035393A"/>
    <w:rsid w:val="00353A85"/>
    <w:rsid w:val="00353E45"/>
    <w:rsid w:val="00354BA1"/>
    <w:rsid w:val="00355270"/>
    <w:rsid w:val="0035620E"/>
    <w:rsid w:val="00356FA1"/>
    <w:rsid w:val="00364FBC"/>
    <w:rsid w:val="00364FDE"/>
    <w:rsid w:val="00365B9F"/>
    <w:rsid w:val="00365D91"/>
    <w:rsid w:val="00366BB3"/>
    <w:rsid w:val="00366CDA"/>
    <w:rsid w:val="00366F1E"/>
    <w:rsid w:val="00367172"/>
    <w:rsid w:val="0037391F"/>
    <w:rsid w:val="00375AAC"/>
    <w:rsid w:val="003767EF"/>
    <w:rsid w:val="003772E1"/>
    <w:rsid w:val="00377A46"/>
    <w:rsid w:val="00377ADD"/>
    <w:rsid w:val="0038365C"/>
    <w:rsid w:val="00383802"/>
    <w:rsid w:val="00383AB5"/>
    <w:rsid w:val="003846E2"/>
    <w:rsid w:val="00385A41"/>
    <w:rsid w:val="00387D19"/>
    <w:rsid w:val="00387F3D"/>
    <w:rsid w:val="003900E0"/>
    <w:rsid w:val="0039099C"/>
    <w:rsid w:val="003926EF"/>
    <w:rsid w:val="00393792"/>
    <w:rsid w:val="00396D9D"/>
    <w:rsid w:val="00396DFD"/>
    <w:rsid w:val="00396FD0"/>
    <w:rsid w:val="00397BE3"/>
    <w:rsid w:val="003A1A7A"/>
    <w:rsid w:val="003A2824"/>
    <w:rsid w:val="003A29E2"/>
    <w:rsid w:val="003A3664"/>
    <w:rsid w:val="003A3C59"/>
    <w:rsid w:val="003A42B1"/>
    <w:rsid w:val="003A50EC"/>
    <w:rsid w:val="003A53CF"/>
    <w:rsid w:val="003A767B"/>
    <w:rsid w:val="003B0EE3"/>
    <w:rsid w:val="003B1CEC"/>
    <w:rsid w:val="003B7827"/>
    <w:rsid w:val="003C0855"/>
    <w:rsid w:val="003C0ED3"/>
    <w:rsid w:val="003C14B0"/>
    <w:rsid w:val="003C18D3"/>
    <w:rsid w:val="003C2CF9"/>
    <w:rsid w:val="003C359A"/>
    <w:rsid w:val="003C3DA4"/>
    <w:rsid w:val="003C5F70"/>
    <w:rsid w:val="003C6360"/>
    <w:rsid w:val="003C681C"/>
    <w:rsid w:val="003D0CFD"/>
    <w:rsid w:val="003D16F8"/>
    <w:rsid w:val="003D17D5"/>
    <w:rsid w:val="003D1828"/>
    <w:rsid w:val="003D2079"/>
    <w:rsid w:val="003D2422"/>
    <w:rsid w:val="003D2465"/>
    <w:rsid w:val="003D2E01"/>
    <w:rsid w:val="003D3B97"/>
    <w:rsid w:val="003D6818"/>
    <w:rsid w:val="003E0505"/>
    <w:rsid w:val="003E1C4F"/>
    <w:rsid w:val="003E276E"/>
    <w:rsid w:val="003E37C0"/>
    <w:rsid w:val="003E3F1A"/>
    <w:rsid w:val="003E4072"/>
    <w:rsid w:val="003E52F9"/>
    <w:rsid w:val="003E7FB0"/>
    <w:rsid w:val="003F095A"/>
    <w:rsid w:val="003F0C17"/>
    <w:rsid w:val="003F13EA"/>
    <w:rsid w:val="003F240E"/>
    <w:rsid w:val="003F2966"/>
    <w:rsid w:val="003F3277"/>
    <w:rsid w:val="003F40D0"/>
    <w:rsid w:val="003F4156"/>
    <w:rsid w:val="003F4B5C"/>
    <w:rsid w:val="003F66B2"/>
    <w:rsid w:val="003F71A1"/>
    <w:rsid w:val="003F72DB"/>
    <w:rsid w:val="004000DF"/>
    <w:rsid w:val="00400AAA"/>
    <w:rsid w:val="00400EF6"/>
    <w:rsid w:val="00401553"/>
    <w:rsid w:val="00401A43"/>
    <w:rsid w:val="00401B08"/>
    <w:rsid w:val="00403CCA"/>
    <w:rsid w:val="004058CA"/>
    <w:rsid w:val="00405ADA"/>
    <w:rsid w:val="00407885"/>
    <w:rsid w:val="00407A2A"/>
    <w:rsid w:val="00407DB2"/>
    <w:rsid w:val="004105F6"/>
    <w:rsid w:val="00410708"/>
    <w:rsid w:val="00410AC5"/>
    <w:rsid w:val="00410EC7"/>
    <w:rsid w:val="004131A0"/>
    <w:rsid w:val="00414476"/>
    <w:rsid w:val="0041536F"/>
    <w:rsid w:val="00415B52"/>
    <w:rsid w:val="00415CD3"/>
    <w:rsid w:val="00416DDE"/>
    <w:rsid w:val="00416E38"/>
    <w:rsid w:val="00416EC0"/>
    <w:rsid w:val="004208E0"/>
    <w:rsid w:val="00420B9F"/>
    <w:rsid w:val="004212D9"/>
    <w:rsid w:val="00421CDE"/>
    <w:rsid w:val="004273A1"/>
    <w:rsid w:val="00430CBE"/>
    <w:rsid w:val="004311F9"/>
    <w:rsid w:val="00431695"/>
    <w:rsid w:val="004319F8"/>
    <w:rsid w:val="00431DD7"/>
    <w:rsid w:val="00433044"/>
    <w:rsid w:val="0043307D"/>
    <w:rsid w:val="00433321"/>
    <w:rsid w:val="00434529"/>
    <w:rsid w:val="00436988"/>
    <w:rsid w:val="00436C27"/>
    <w:rsid w:val="004376C3"/>
    <w:rsid w:val="0044042C"/>
    <w:rsid w:val="00440AA4"/>
    <w:rsid w:val="00440BF1"/>
    <w:rsid w:val="004419CC"/>
    <w:rsid w:val="00442E28"/>
    <w:rsid w:val="00442E87"/>
    <w:rsid w:val="00443AD9"/>
    <w:rsid w:val="00443D33"/>
    <w:rsid w:val="00443DCD"/>
    <w:rsid w:val="004442EF"/>
    <w:rsid w:val="004443A7"/>
    <w:rsid w:val="00444CBA"/>
    <w:rsid w:val="0044540E"/>
    <w:rsid w:val="00446428"/>
    <w:rsid w:val="004464EB"/>
    <w:rsid w:val="0044670A"/>
    <w:rsid w:val="00446AED"/>
    <w:rsid w:val="00450BFA"/>
    <w:rsid w:val="00452742"/>
    <w:rsid w:val="00454279"/>
    <w:rsid w:val="004542EB"/>
    <w:rsid w:val="00454C1B"/>
    <w:rsid w:val="00455045"/>
    <w:rsid w:val="00455D45"/>
    <w:rsid w:val="00460E2B"/>
    <w:rsid w:val="00462DEF"/>
    <w:rsid w:val="00462E10"/>
    <w:rsid w:val="004634FC"/>
    <w:rsid w:val="0046393E"/>
    <w:rsid w:val="0046420A"/>
    <w:rsid w:val="00464595"/>
    <w:rsid w:val="00464D04"/>
    <w:rsid w:val="00465397"/>
    <w:rsid w:val="004670BB"/>
    <w:rsid w:val="00467F6B"/>
    <w:rsid w:val="00470041"/>
    <w:rsid w:val="004702BC"/>
    <w:rsid w:val="00470DE6"/>
    <w:rsid w:val="0047103D"/>
    <w:rsid w:val="004716C9"/>
    <w:rsid w:val="00472AF0"/>
    <w:rsid w:val="00472C21"/>
    <w:rsid w:val="00475058"/>
    <w:rsid w:val="0047565B"/>
    <w:rsid w:val="00476206"/>
    <w:rsid w:val="00476E84"/>
    <w:rsid w:val="004772D0"/>
    <w:rsid w:val="00480B74"/>
    <w:rsid w:val="004818EE"/>
    <w:rsid w:val="00481ECC"/>
    <w:rsid w:val="0048276D"/>
    <w:rsid w:val="00482B31"/>
    <w:rsid w:val="00482C43"/>
    <w:rsid w:val="004836C1"/>
    <w:rsid w:val="0048435E"/>
    <w:rsid w:val="00484B59"/>
    <w:rsid w:val="00486217"/>
    <w:rsid w:val="004867E2"/>
    <w:rsid w:val="00486DEC"/>
    <w:rsid w:val="0049022F"/>
    <w:rsid w:val="00490FB4"/>
    <w:rsid w:val="0049101A"/>
    <w:rsid w:val="004910F8"/>
    <w:rsid w:val="004915DF"/>
    <w:rsid w:val="00491B3A"/>
    <w:rsid w:val="00491EF2"/>
    <w:rsid w:val="00492CFD"/>
    <w:rsid w:val="00493761"/>
    <w:rsid w:val="00493D41"/>
    <w:rsid w:val="00495813"/>
    <w:rsid w:val="004961A7"/>
    <w:rsid w:val="004962D2"/>
    <w:rsid w:val="00497608"/>
    <w:rsid w:val="00497EB3"/>
    <w:rsid w:val="004A03B7"/>
    <w:rsid w:val="004A0DA1"/>
    <w:rsid w:val="004A0E0F"/>
    <w:rsid w:val="004A0FD1"/>
    <w:rsid w:val="004A1084"/>
    <w:rsid w:val="004A10DC"/>
    <w:rsid w:val="004A381A"/>
    <w:rsid w:val="004A3D39"/>
    <w:rsid w:val="004A4263"/>
    <w:rsid w:val="004A4765"/>
    <w:rsid w:val="004A6597"/>
    <w:rsid w:val="004A70F4"/>
    <w:rsid w:val="004A73B7"/>
    <w:rsid w:val="004B1CB4"/>
    <w:rsid w:val="004B2514"/>
    <w:rsid w:val="004B2F18"/>
    <w:rsid w:val="004B3936"/>
    <w:rsid w:val="004B3DDB"/>
    <w:rsid w:val="004B3F83"/>
    <w:rsid w:val="004B44FD"/>
    <w:rsid w:val="004B5CFC"/>
    <w:rsid w:val="004B6064"/>
    <w:rsid w:val="004B75E6"/>
    <w:rsid w:val="004C157A"/>
    <w:rsid w:val="004C1F2E"/>
    <w:rsid w:val="004C2807"/>
    <w:rsid w:val="004C2F60"/>
    <w:rsid w:val="004C3C2B"/>
    <w:rsid w:val="004C3FE9"/>
    <w:rsid w:val="004C4467"/>
    <w:rsid w:val="004C4AED"/>
    <w:rsid w:val="004C7A96"/>
    <w:rsid w:val="004D00E5"/>
    <w:rsid w:val="004D0FBC"/>
    <w:rsid w:val="004D12A1"/>
    <w:rsid w:val="004D1549"/>
    <w:rsid w:val="004D1CF1"/>
    <w:rsid w:val="004D217C"/>
    <w:rsid w:val="004D281A"/>
    <w:rsid w:val="004D320D"/>
    <w:rsid w:val="004D334C"/>
    <w:rsid w:val="004D4F28"/>
    <w:rsid w:val="004D5C9C"/>
    <w:rsid w:val="004D61A7"/>
    <w:rsid w:val="004D69C0"/>
    <w:rsid w:val="004D713C"/>
    <w:rsid w:val="004D77EC"/>
    <w:rsid w:val="004E0EB8"/>
    <w:rsid w:val="004E0EEB"/>
    <w:rsid w:val="004E2ADC"/>
    <w:rsid w:val="004E4171"/>
    <w:rsid w:val="004E42B2"/>
    <w:rsid w:val="004E43B2"/>
    <w:rsid w:val="004E473A"/>
    <w:rsid w:val="004E4C57"/>
    <w:rsid w:val="004E60B4"/>
    <w:rsid w:val="004E64C8"/>
    <w:rsid w:val="004E6D03"/>
    <w:rsid w:val="004E76BA"/>
    <w:rsid w:val="004E7720"/>
    <w:rsid w:val="004E796F"/>
    <w:rsid w:val="004F1B9C"/>
    <w:rsid w:val="004F1D02"/>
    <w:rsid w:val="004F2679"/>
    <w:rsid w:val="004F2C4C"/>
    <w:rsid w:val="004F312E"/>
    <w:rsid w:val="004F31F1"/>
    <w:rsid w:val="004F5323"/>
    <w:rsid w:val="004F5379"/>
    <w:rsid w:val="004F5F71"/>
    <w:rsid w:val="004F61E1"/>
    <w:rsid w:val="004F7119"/>
    <w:rsid w:val="004F7138"/>
    <w:rsid w:val="004F73C5"/>
    <w:rsid w:val="004F7865"/>
    <w:rsid w:val="004F7CFF"/>
    <w:rsid w:val="00502482"/>
    <w:rsid w:val="00502EF7"/>
    <w:rsid w:val="00503EE5"/>
    <w:rsid w:val="005045A8"/>
    <w:rsid w:val="00504950"/>
    <w:rsid w:val="005057A5"/>
    <w:rsid w:val="00505A6E"/>
    <w:rsid w:val="00505BE8"/>
    <w:rsid w:val="00506240"/>
    <w:rsid w:val="00506928"/>
    <w:rsid w:val="00507B65"/>
    <w:rsid w:val="0051098F"/>
    <w:rsid w:val="00510E71"/>
    <w:rsid w:val="00512DBC"/>
    <w:rsid w:val="00513F96"/>
    <w:rsid w:val="005152B5"/>
    <w:rsid w:val="005155F8"/>
    <w:rsid w:val="005168BD"/>
    <w:rsid w:val="00516A9D"/>
    <w:rsid w:val="0051755A"/>
    <w:rsid w:val="005200BA"/>
    <w:rsid w:val="00521319"/>
    <w:rsid w:val="0052189C"/>
    <w:rsid w:val="00523663"/>
    <w:rsid w:val="00523C28"/>
    <w:rsid w:val="0052626D"/>
    <w:rsid w:val="00530A7B"/>
    <w:rsid w:val="00530DF2"/>
    <w:rsid w:val="00531069"/>
    <w:rsid w:val="005317E2"/>
    <w:rsid w:val="005318A0"/>
    <w:rsid w:val="005321DB"/>
    <w:rsid w:val="00532DAA"/>
    <w:rsid w:val="00533480"/>
    <w:rsid w:val="0053438A"/>
    <w:rsid w:val="00535995"/>
    <w:rsid w:val="00535B97"/>
    <w:rsid w:val="00536001"/>
    <w:rsid w:val="00537915"/>
    <w:rsid w:val="00537CAF"/>
    <w:rsid w:val="00540C9C"/>
    <w:rsid w:val="00541262"/>
    <w:rsid w:val="005423AC"/>
    <w:rsid w:val="0054307A"/>
    <w:rsid w:val="00544037"/>
    <w:rsid w:val="00544FA2"/>
    <w:rsid w:val="005472E7"/>
    <w:rsid w:val="005477DD"/>
    <w:rsid w:val="00547C1E"/>
    <w:rsid w:val="00547DE4"/>
    <w:rsid w:val="0055201F"/>
    <w:rsid w:val="00552058"/>
    <w:rsid w:val="00552AC0"/>
    <w:rsid w:val="00552BD3"/>
    <w:rsid w:val="00555109"/>
    <w:rsid w:val="005557A6"/>
    <w:rsid w:val="005559D5"/>
    <w:rsid w:val="00556440"/>
    <w:rsid w:val="00556F7C"/>
    <w:rsid w:val="0055733F"/>
    <w:rsid w:val="00557EDF"/>
    <w:rsid w:val="00560837"/>
    <w:rsid w:val="005619C9"/>
    <w:rsid w:val="005622DE"/>
    <w:rsid w:val="005625DF"/>
    <w:rsid w:val="00563386"/>
    <w:rsid w:val="0056352C"/>
    <w:rsid w:val="00563F20"/>
    <w:rsid w:val="005654B8"/>
    <w:rsid w:val="00565DAF"/>
    <w:rsid w:val="0056624A"/>
    <w:rsid w:val="005664AE"/>
    <w:rsid w:val="0056677C"/>
    <w:rsid w:val="0056696F"/>
    <w:rsid w:val="005678A0"/>
    <w:rsid w:val="00572E05"/>
    <w:rsid w:val="00573125"/>
    <w:rsid w:val="00573EC8"/>
    <w:rsid w:val="00574B60"/>
    <w:rsid w:val="00574C6F"/>
    <w:rsid w:val="00574CA7"/>
    <w:rsid w:val="00575D8D"/>
    <w:rsid w:val="00576102"/>
    <w:rsid w:val="00576972"/>
    <w:rsid w:val="00580E11"/>
    <w:rsid w:val="0058120F"/>
    <w:rsid w:val="00582071"/>
    <w:rsid w:val="00582B20"/>
    <w:rsid w:val="00583323"/>
    <w:rsid w:val="00583699"/>
    <w:rsid w:val="005837C0"/>
    <w:rsid w:val="00584963"/>
    <w:rsid w:val="005852F4"/>
    <w:rsid w:val="00586C61"/>
    <w:rsid w:val="00587EE7"/>
    <w:rsid w:val="00590E89"/>
    <w:rsid w:val="00591563"/>
    <w:rsid w:val="00593693"/>
    <w:rsid w:val="00593C34"/>
    <w:rsid w:val="00594C3B"/>
    <w:rsid w:val="00595B13"/>
    <w:rsid w:val="005965D0"/>
    <w:rsid w:val="00596FEA"/>
    <w:rsid w:val="00597868"/>
    <w:rsid w:val="005A188D"/>
    <w:rsid w:val="005A1982"/>
    <w:rsid w:val="005A1BA4"/>
    <w:rsid w:val="005A2173"/>
    <w:rsid w:val="005A2B9E"/>
    <w:rsid w:val="005A2D5F"/>
    <w:rsid w:val="005A39F4"/>
    <w:rsid w:val="005A42C5"/>
    <w:rsid w:val="005A44AB"/>
    <w:rsid w:val="005B0ECD"/>
    <w:rsid w:val="005B19E9"/>
    <w:rsid w:val="005B222D"/>
    <w:rsid w:val="005B2F83"/>
    <w:rsid w:val="005B2FC8"/>
    <w:rsid w:val="005B5857"/>
    <w:rsid w:val="005B5E5C"/>
    <w:rsid w:val="005B67EB"/>
    <w:rsid w:val="005B7D03"/>
    <w:rsid w:val="005C022A"/>
    <w:rsid w:val="005C1332"/>
    <w:rsid w:val="005C1B83"/>
    <w:rsid w:val="005C22D4"/>
    <w:rsid w:val="005C2494"/>
    <w:rsid w:val="005C251D"/>
    <w:rsid w:val="005C267A"/>
    <w:rsid w:val="005C2A42"/>
    <w:rsid w:val="005C2B9C"/>
    <w:rsid w:val="005C346B"/>
    <w:rsid w:val="005C405B"/>
    <w:rsid w:val="005C4DDC"/>
    <w:rsid w:val="005C56C0"/>
    <w:rsid w:val="005D044D"/>
    <w:rsid w:val="005D0BD7"/>
    <w:rsid w:val="005D18AD"/>
    <w:rsid w:val="005D280C"/>
    <w:rsid w:val="005D2CF4"/>
    <w:rsid w:val="005D5E14"/>
    <w:rsid w:val="005D5FAC"/>
    <w:rsid w:val="005D76C2"/>
    <w:rsid w:val="005E0F6D"/>
    <w:rsid w:val="005E19F7"/>
    <w:rsid w:val="005E1DC0"/>
    <w:rsid w:val="005E2210"/>
    <w:rsid w:val="005E3FC5"/>
    <w:rsid w:val="005E6E27"/>
    <w:rsid w:val="005E73C0"/>
    <w:rsid w:val="005F001C"/>
    <w:rsid w:val="005F0794"/>
    <w:rsid w:val="005F0ABD"/>
    <w:rsid w:val="005F1147"/>
    <w:rsid w:val="005F1779"/>
    <w:rsid w:val="005F2706"/>
    <w:rsid w:val="005F2982"/>
    <w:rsid w:val="005F3689"/>
    <w:rsid w:val="005F459D"/>
    <w:rsid w:val="005F50B1"/>
    <w:rsid w:val="005F5AC0"/>
    <w:rsid w:val="005F6A8F"/>
    <w:rsid w:val="005F6C96"/>
    <w:rsid w:val="00600305"/>
    <w:rsid w:val="00602729"/>
    <w:rsid w:val="006030F3"/>
    <w:rsid w:val="00603580"/>
    <w:rsid w:val="00603A4A"/>
    <w:rsid w:val="00605310"/>
    <w:rsid w:val="00605AA7"/>
    <w:rsid w:val="00607669"/>
    <w:rsid w:val="006078F9"/>
    <w:rsid w:val="00610B25"/>
    <w:rsid w:val="0061181A"/>
    <w:rsid w:val="0061217E"/>
    <w:rsid w:val="0061254A"/>
    <w:rsid w:val="00612F97"/>
    <w:rsid w:val="00613243"/>
    <w:rsid w:val="006134C0"/>
    <w:rsid w:val="006142FB"/>
    <w:rsid w:val="00616628"/>
    <w:rsid w:val="00616654"/>
    <w:rsid w:val="00616802"/>
    <w:rsid w:val="00617DED"/>
    <w:rsid w:val="00617E12"/>
    <w:rsid w:val="00617E8A"/>
    <w:rsid w:val="0062080D"/>
    <w:rsid w:val="0062086F"/>
    <w:rsid w:val="00621477"/>
    <w:rsid w:val="00622BBE"/>
    <w:rsid w:val="0062357E"/>
    <w:rsid w:val="006240D5"/>
    <w:rsid w:val="006248A8"/>
    <w:rsid w:val="00626684"/>
    <w:rsid w:val="006275F1"/>
    <w:rsid w:val="00627920"/>
    <w:rsid w:val="00631433"/>
    <w:rsid w:val="006314A6"/>
    <w:rsid w:val="00631533"/>
    <w:rsid w:val="0063185D"/>
    <w:rsid w:val="00631D6B"/>
    <w:rsid w:val="00632BA7"/>
    <w:rsid w:val="00633280"/>
    <w:rsid w:val="00633724"/>
    <w:rsid w:val="0063479F"/>
    <w:rsid w:val="006349BE"/>
    <w:rsid w:val="0063602D"/>
    <w:rsid w:val="0063616B"/>
    <w:rsid w:val="006364A1"/>
    <w:rsid w:val="006364A3"/>
    <w:rsid w:val="0063758F"/>
    <w:rsid w:val="00637BFD"/>
    <w:rsid w:val="00640E4C"/>
    <w:rsid w:val="00640ECF"/>
    <w:rsid w:val="00641781"/>
    <w:rsid w:val="006420F8"/>
    <w:rsid w:val="006429CA"/>
    <w:rsid w:val="00642C49"/>
    <w:rsid w:val="00644DC0"/>
    <w:rsid w:val="006458EF"/>
    <w:rsid w:val="00646C9A"/>
    <w:rsid w:val="00646D6D"/>
    <w:rsid w:val="006471CC"/>
    <w:rsid w:val="00647945"/>
    <w:rsid w:val="00647F8E"/>
    <w:rsid w:val="0065079F"/>
    <w:rsid w:val="00651015"/>
    <w:rsid w:val="00652081"/>
    <w:rsid w:val="0065272F"/>
    <w:rsid w:val="00653D0A"/>
    <w:rsid w:val="00654F50"/>
    <w:rsid w:val="0065510D"/>
    <w:rsid w:val="00655B6E"/>
    <w:rsid w:val="00655D7C"/>
    <w:rsid w:val="006600A5"/>
    <w:rsid w:val="00660A3D"/>
    <w:rsid w:val="00661BD4"/>
    <w:rsid w:val="00662091"/>
    <w:rsid w:val="00664105"/>
    <w:rsid w:val="00664942"/>
    <w:rsid w:val="00665D84"/>
    <w:rsid w:val="006668F6"/>
    <w:rsid w:val="00666E06"/>
    <w:rsid w:val="00667C9A"/>
    <w:rsid w:val="00667EC7"/>
    <w:rsid w:val="00670B51"/>
    <w:rsid w:val="0067100F"/>
    <w:rsid w:val="006726A1"/>
    <w:rsid w:val="006730D0"/>
    <w:rsid w:val="006730E8"/>
    <w:rsid w:val="00673DC4"/>
    <w:rsid w:val="00673DE3"/>
    <w:rsid w:val="00674E42"/>
    <w:rsid w:val="006756E4"/>
    <w:rsid w:val="00675C00"/>
    <w:rsid w:val="00676143"/>
    <w:rsid w:val="00677EB0"/>
    <w:rsid w:val="006808F6"/>
    <w:rsid w:val="00681232"/>
    <w:rsid w:val="00682112"/>
    <w:rsid w:val="006846F2"/>
    <w:rsid w:val="006852BC"/>
    <w:rsid w:val="0068724F"/>
    <w:rsid w:val="006872BA"/>
    <w:rsid w:val="00691426"/>
    <w:rsid w:val="006917D7"/>
    <w:rsid w:val="006917ED"/>
    <w:rsid w:val="00691E90"/>
    <w:rsid w:val="00691FC8"/>
    <w:rsid w:val="0069357F"/>
    <w:rsid w:val="00693C84"/>
    <w:rsid w:val="0069422D"/>
    <w:rsid w:val="00694ED1"/>
    <w:rsid w:val="00694F44"/>
    <w:rsid w:val="006959E4"/>
    <w:rsid w:val="00696EA4"/>
    <w:rsid w:val="006A0604"/>
    <w:rsid w:val="006A08EF"/>
    <w:rsid w:val="006A117C"/>
    <w:rsid w:val="006A1786"/>
    <w:rsid w:val="006A1F79"/>
    <w:rsid w:val="006A384D"/>
    <w:rsid w:val="006A44D8"/>
    <w:rsid w:val="006A4968"/>
    <w:rsid w:val="006A57EF"/>
    <w:rsid w:val="006A634E"/>
    <w:rsid w:val="006A7ECB"/>
    <w:rsid w:val="006B0C25"/>
    <w:rsid w:val="006B0E4B"/>
    <w:rsid w:val="006B3C27"/>
    <w:rsid w:val="006B750E"/>
    <w:rsid w:val="006C0DD4"/>
    <w:rsid w:val="006C0E3D"/>
    <w:rsid w:val="006C13F2"/>
    <w:rsid w:val="006C20B7"/>
    <w:rsid w:val="006C213D"/>
    <w:rsid w:val="006C2A8E"/>
    <w:rsid w:val="006C2C75"/>
    <w:rsid w:val="006C3213"/>
    <w:rsid w:val="006C326A"/>
    <w:rsid w:val="006C46F5"/>
    <w:rsid w:val="006C4E8F"/>
    <w:rsid w:val="006C5F5F"/>
    <w:rsid w:val="006C668E"/>
    <w:rsid w:val="006C6A64"/>
    <w:rsid w:val="006C6B73"/>
    <w:rsid w:val="006C7BB8"/>
    <w:rsid w:val="006D0B5F"/>
    <w:rsid w:val="006D0E4A"/>
    <w:rsid w:val="006D1DDF"/>
    <w:rsid w:val="006D28CC"/>
    <w:rsid w:val="006D2D1A"/>
    <w:rsid w:val="006D2DD2"/>
    <w:rsid w:val="006D370E"/>
    <w:rsid w:val="006D3C7D"/>
    <w:rsid w:val="006D42F4"/>
    <w:rsid w:val="006D49C4"/>
    <w:rsid w:val="006D5436"/>
    <w:rsid w:val="006D5B48"/>
    <w:rsid w:val="006D5D5F"/>
    <w:rsid w:val="006D6271"/>
    <w:rsid w:val="006D676C"/>
    <w:rsid w:val="006D693C"/>
    <w:rsid w:val="006D7ED9"/>
    <w:rsid w:val="006E03F8"/>
    <w:rsid w:val="006E12C9"/>
    <w:rsid w:val="006E1CCD"/>
    <w:rsid w:val="006E2FB8"/>
    <w:rsid w:val="006E3ACD"/>
    <w:rsid w:val="006E3CCF"/>
    <w:rsid w:val="006E4E7C"/>
    <w:rsid w:val="006E5A6A"/>
    <w:rsid w:val="006E637C"/>
    <w:rsid w:val="006E7056"/>
    <w:rsid w:val="006F0043"/>
    <w:rsid w:val="006F1411"/>
    <w:rsid w:val="006F1ED3"/>
    <w:rsid w:val="006F202D"/>
    <w:rsid w:val="006F2BBD"/>
    <w:rsid w:val="006F2DAA"/>
    <w:rsid w:val="006F3DE7"/>
    <w:rsid w:val="006F5C5C"/>
    <w:rsid w:val="006F63A5"/>
    <w:rsid w:val="006F6F59"/>
    <w:rsid w:val="006F7943"/>
    <w:rsid w:val="00700C57"/>
    <w:rsid w:val="00701E1B"/>
    <w:rsid w:val="0070276E"/>
    <w:rsid w:val="00702AF7"/>
    <w:rsid w:val="00702D6C"/>
    <w:rsid w:val="00702F8F"/>
    <w:rsid w:val="00703BAE"/>
    <w:rsid w:val="00704816"/>
    <w:rsid w:val="00704DAB"/>
    <w:rsid w:val="0070590E"/>
    <w:rsid w:val="00705B3B"/>
    <w:rsid w:val="007065FA"/>
    <w:rsid w:val="00706EFF"/>
    <w:rsid w:val="007076D9"/>
    <w:rsid w:val="007077BE"/>
    <w:rsid w:val="007106F8"/>
    <w:rsid w:val="00711A36"/>
    <w:rsid w:val="0071336D"/>
    <w:rsid w:val="00713747"/>
    <w:rsid w:val="00714DBB"/>
    <w:rsid w:val="00715E79"/>
    <w:rsid w:val="007172AD"/>
    <w:rsid w:val="007175BF"/>
    <w:rsid w:val="00720AAB"/>
    <w:rsid w:val="00722FCB"/>
    <w:rsid w:val="007233B0"/>
    <w:rsid w:val="00723B55"/>
    <w:rsid w:val="00723CE1"/>
    <w:rsid w:val="0072406F"/>
    <w:rsid w:val="0072416F"/>
    <w:rsid w:val="00724764"/>
    <w:rsid w:val="00724E7F"/>
    <w:rsid w:val="00725779"/>
    <w:rsid w:val="0072599A"/>
    <w:rsid w:val="00725F55"/>
    <w:rsid w:val="00726CA6"/>
    <w:rsid w:val="00727FC6"/>
    <w:rsid w:val="007303AA"/>
    <w:rsid w:val="007309A0"/>
    <w:rsid w:val="00730A5E"/>
    <w:rsid w:val="00730CC2"/>
    <w:rsid w:val="00731C0E"/>
    <w:rsid w:val="007327DB"/>
    <w:rsid w:val="00733C29"/>
    <w:rsid w:val="0073418A"/>
    <w:rsid w:val="007344EA"/>
    <w:rsid w:val="00735328"/>
    <w:rsid w:val="007356D5"/>
    <w:rsid w:val="0073685B"/>
    <w:rsid w:val="00736E01"/>
    <w:rsid w:val="00737045"/>
    <w:rsid w:val="00740D37"/>
    <w:rsid w:val="00741725"/>
    <w:rsid w:val="007419A6"/>
    <w:rsid w:val="00741A64"/>
    <w:rsid w:val="00742D72"/>
    <w:rsid w:val="00744037"/>
    <w:rsid w:val="00745EF6"/>
    <w:rsid w:val="00746A3D"/>
    <w:rsid w:val="00746E49"/>
    <w:rsid w:val="0075073B"/>
    <w:rsid w:val="00751414"/>
    <w:rsid w:val="00753711"/>
    <w:rsid w:val="00753FEB"/>
    <w:rsid w:val="00754763"/>
    <w:rsid w:val="007555AB"/>
    <w:rsid w:val="007561F8"/>
    <w:rsid w:val="007574DD"/>
    <w:rsid w:val="00757842"/>
    <w:rsid w:val="007603C7"/>
    <w:rsid w:val="00760EDD"/>
    <w:rsid w:val="0076361E"/>
    <w:rsid w:val="007638E5"/>
    <w:rsid w:val="00763BC4"/>
    <w:rsid w:val="0076564C"/>
    <w:rsid w:val="007663B1"/>
    <w:rsid w:val="007672EC"/>
    <w:rsid w:val="00770988"/>
    <w:rsid w:val="007712F4"/>
    <w:rsid w:val="007720BD"/>
    <w:rsid w:val="007737FE"/>
    <w:rsid w:val="00774229"/>
    <w:rsid w:val="007749D2"/>
    <w:rsid w:val="0077548D"/>
    <w:rsid w:val="00777034"/>
    <w:rsid w:val="0077736A"/>
    <w:rsid w:val="0077755C"/>
    <w:rsid w:val="007778DF"/>
    <w:rsid w:val="00780298"/>
    <w:rsid w:val="00780502"/>
    <w:rsid w:val="007822E7"/>
    <w:rsid w:val="00783AD3"/>
    <w:rsid w:val="00783B53"/>
    <w:rsid w:val="00784B39"/>
    <w:rsid w:val="00785AAC"/>
    <w:rsid w:val="00785B31"/>
    <w:rsid w:val="00785F2C"/>
    <w:rsid w:val="00786455"/>
    <w:rsid w:val="0078723B"/>
    <w:rsid w:val="007910EE"/>
    <w:rsid w:val="0079133E"/>
    <w:rsid w:val="007919C5"/>
    <w:rsid w:val="00792ABC"/>
    <w:rsid w:val="007934FA"/>
    <w:rsid w:val="00793540"/>
    <w:rsid w:val="00793B20"/>
    <w:rsid w:val="00795D8B"/>
    <w:rsid w:val="00796C5B"/>
    <w:rsid w:val="007A0A12"/>
    <w:rsid w:val="007A3773"/>
    <w:rsid w:val="007A449C"/>
    <w:rsid w:val="007A47CF"/>
    <w:rsid w:val="007A5208"/>
    <w:rsid w:val="007A59D2"/>
    <w:rsid w:val="007A63A9"/>
    <w:rsid w:val="007A6ACC"/>
    <w:rsid w:val="007A702A"/>
    <w:rsid w:val="007B04F5"/>
    <w:rsid w:val="007B09BD"/>
    <w:rsid w:val="007B0D1D"/>
    <w:rsid w:val="007B15A5"/>
    <w:rsid w:val="007B1A36"/>
    <w:rsid w:val="007B251D"/>
    <w:rsid w:val="007B405F"/>
    <w:rsid w:val="007B4EE0"/>
    <w:rsid w:val="007B5FC9"/>
    <w:rsid w:val="007B6E9F"/>
    <w:rsid w:val="007B77D1"/>
    <w:rsid w:val="007B79E9"/>
    <w:rsid w:val="007C1B29"/>
    <w:rsid w:val="007C1FB0"/>
    <w:rsid w:val="007C2A3E"/>
    <w:rsid w:val="007C2BE3"/>
    <w:rsid w:val="007C361D"/>
    <w:rsid w:val="007C4A85"/>
    <w:rsid w:val="007C52A2"/>
    <w:rsid w:val="007C5F24"/>
    <w:rsid w:val="007C62C4"/>
    <w:rsid w:val="007C7EDC"/>
    <w:rsid w:val="007D0B38"/>
    <w:rsid w:val="007D0D66"/>
    <w:rsid w:val="007D1136"/>
    <w:rsid w:val="007D1A82"/>
    <w:rsid w:val="007D1EE8"/>
    <w:rsid w:val="007D1FE5"/>
    <w:rsid w:val="007D291C"/>
    <w:rsid w:val="007D2A00"/>
    <w:rsid w:val="007D5C5C"/>
    <w:rsid w:val="007D71FE"/>
    <w:rsid w:val="007D7805"/>
    <w:rsid w:val="007E0AD9"/>
    <w:rsid w:val="007E0C94"/>
    <w:rsid w:val="007E1599"/>
    <w:rsid w:val="007E234B"/>
    <w:rsid w:val="007E2997"/>
    <w:rsid w:val="007E3E20"/>
    <w:rsid w:val="007E5445"/>
    <w:rsid w:val="007E7F9A"/>
    <w:rsid w:val="007F0A0A"/>
    <w:rsid w:val="007F0F18"/>
    <w:rsid w:val="007F1017"/>
    <w:rsid w:val="007F389F"/>
    <w:rsid w:val="007F392F"/>
    <w:rsid w:val="007F3E37"/>
    <w:rsid w:val="007F4A3F"/>
    <w:rsid w:val="007F4DCD"/>
    <w:rsid w:val="007F52F3"/>
    <w:rsid w:val="007F5DEA"/>
    <w:rsid w:val="007F5FB2"/>
    <w:rsid w:val="007F6FA1"/>
    <w:rsid w:val="007F6FE9"/>
    <w:rsid w:val="007F76B3"/>
    <w:rsid w:val="007F7CAA"/>
    <w:rsid w:val="0080019F"/>
    <w:rsid w:val="0080076F"/>
    <w:rsid w:val="00800C05"/>
    <w:rsid w:val="008014FC"/>
    <w:rsid w:val="00802BA6"/>
    <w:rsid w:val="00804C2E"/>
    <w:rsid w:val="00805142"/>
    <w:rsid w:val="00805185"/>
    <w:rsid w:val="00805259"/>
    <w:rsid w:val="00806B7C"/>
    <w:rsid w:val="00807A8B"/>
    <w:rsid w:val="00810208"/>
    <w:rsid w:val="0081075B"/>
    <w:rsid w:val="00810BF8"/>
    <w:rsid w:val="00811A78"/>
    <w:rsid w:val="00812149"/>
    <w:rsid w:val="008128BF"/>
    <w:rsid w:val="00812C74"/>
    <w:rsid w:val="0081381A"/>
    <w:rsid w:val="00816217"/>
    <w:rsid w:val="0081661E"/>
    <w:rsid w:val="008166EF"/>
    <w:rsid w:val="00816B98"/>
    <w:rsid w:val="00821590"/>
    <w:rsid w:val="00821A3A"/>
    <w:rsid w:val="008227FD"/>
    <w:rsid w:val="00822F8E"/>
    <w:rsid w:val="0082371C"/>
    <w:rsid w:val="00823996"/>
    <w:rsid w:val="00823FD4"/>
    <w:rsid w:val="008258D7"/>
    <w:rsid w:val="00825D70"/>
    <w:rsid w:val="00826307"/>
    <w:rsid w:val="008264EB"/>
    <w:rsid w:val="00826C95"/>
    <w:rsid w:val="00826E8D"/>
    <w:rsid w:val="00827A11"/>
    <w:rsid w:val="0083143B"/>
    <w:rsid w:val="00831964"/>
    <w:rsid w:val="00831C78"/>
    <w:rsid w:val="00831F79"/>
    <w:rsid w:val="0083229A"/>
    <w:rsid w:val="00832B20"/>
    <w:rsid w:val="00832E89"/>
    <w:rsid w:val="00833B05"/>
    <w:rsid w:val="00834258"/>
    <w:rsid w:val="008361CA"/>
    <w:rsid w:val="008374A5"/>
    <w:rsid w:val="008404F1"/>
    <w:rsid w:val="008406C3"/>
    <w:rsid w:val="00840CA2"/>
    <w:rsid w:val="008417BC"/>
    <w:rsid w:val="008421A9"/>
    <w:rsid w:val="00843343"/>
    <w:rsid w:val="008446C5"/>
    <w:rsid w:val="008449EB"/>
    <w:rsid w:val="0085164B"/>
    <w:rsid w:val="00851704"/>
    <w:rsid w:val="0085196C"/>
    <w:rsid w:val="008523DB"/>
    <w:rsid w:val="00852654"/>
    <w:rsid w:val="00853F4C"/>
    <w:rsid w:val="00854955"/>
    <w:rsid w:val="00855102"/>
    <w:rsid w:val="00855895"/>
    <w:rsid w:val="0085624E"/>
    <w:rsid w:val="00856E9A"/>
    <w:rsid w:val="00862502"/>
    <w:rsid w:val="0086364C"/>
    <w:rsid w:val="00863F56"/>
    <w:rsid w:val="00864361"/>
    <w:rsid w:val="00865C7C"/>
    <w:rsid w:val="00870137"/>
    <w:rsid w:val="00870504"/>
    <w:rsid w:val="00873097"/>
    <w:rsid w:val="00873E56"/>
    <w:rsid w:val="00875B79"/>
    <w:rsid w:val="0087611B"/>
    <w:rsid w:val="00877C38"/>
    <w:rsid w:val="008805BB"/>
    <w:rsid w:val="00882212"/>
    <w:rsid w:val="00882874"/>
    <w:rsid w:val="00882F24"/>
    <w:rsid w:val="00883787"/>
    <w:rsid w:val="0088385B"/>
    <w:rsid w:val="00883EF5"/>
    <w:rsid w:val="00883F04"/>
    <w:rsid w:val="00883F0B"/>
    <w:rsid w:val="00883FD6"/>
    <w:rsid w:val="008842CA"/>
    <w:rsid w:val="00884528"/>
    <w:rsid w:val="0088626A"/>
    <w:rsid w:val="00886338"/>
    <w:rsid w:val="00886DF5"/>
    <w:rsid w:val="0089177E"/>
    <w:rsid w:val="00891868"/>
    <w:rsid w:val="00891890"/>
    <w:rsid w:val="00891AD1"/>
    <w:rsid w:val="00891C4A"/>
    <w:rsid w:val="008927CB"/>
    <w:rsid w:val="00893FAE"/>
    <w:rsid w:val="00894489"/>
    <w:rsid w:val="0089477B"/>
    <w:rsid w:val="0089508E"/>
    <w:rsid w:val="008962CD"/>
    <w:rsid w:val="008963A5"/>
    <w:rsid w:val="00897DBE"/>
    <w:rsid w:val="008A034C"/>
    <w:rsid w:val="008A0D33"/>
    <w:rsid w:val="008A21AC"/>
    <w:rsid w:val="008A2B70"/>
    <w:rsid w:val="008A3990"/>
    <w:rsid w:val="008A3C3E"/>
    <w:rsid w:val="008A3D9F"/>
    <w:rsid w:val="008A4542"/>
    <w:rsid w:val="008A4E69"/>
    <w:rsid w:val="008A636E"/>
    <w:rsid w:val="008A6C0E"/>
    <w:rsid w:val="008A79DE"/>
    <w:rsid w:val="008B02DC"/>
    <w:rsid w:val="008B0C63"/>
    <w:rsid w:val="008B1514"/>
    <w:rsid w:val="008B1B66"/>
    <w:rsid w:val="008B2332"/>
    <w:rsid w:val="008B3A63"/>
    <w:rsid w:val="008B4805"/>
    <w:rsid w:val="008B5903"/>
    <w:rsid w:val="008B745E"/>
    <w:rsid w:val="008B7D7E"/>
    <w:rsid w:val="008C0ED1"/>
    <w:rsid w:val="008C1260"/>
    <w:rsid w:val="008C4F71"/>
    <w:rsid w:val="008C79BD"/>
    <w:rsid w:val="008C79E6"/>
    <w:rsid w:val="008C7ECB"/>
    <w:rsid w:val="008D0ADB"/>
    <w:rsid w:val="008D10CE"/>
    <w:rsid w:val="008D27BD"/>
    <w:rsid w:val="008D2B5D"/>
    <w:rsid w:val="008D3E9B"/>
    <w:rsid w:val="008D7F57"/>
    <w:rsid w:val="008E0BC1"/>
    <w:rsid w:val="008E1175"/>
    <w:rsid w:val="008E11AC"/>
    <w:rsid w:val="008E15E2"/>
    <w:rsid w:val="008E1B7D"/>
    <w:rsid w:val="008E1B9E"/>
    <w:rsid w:val="008E1C79"/>
    <w:rsid w:val="008E201D"/>
    <w:rsid w:val="008E2ABC"/>
    <w:rsid w:val="008E2B29"/>
    <w:rsid w:val="008E2EA6"/>
    <w:rsid w:val="008E37A3"/>
    <w:rsid w:val="008E391E"/>
    <w:rsid w:val="008E3F2A"/>
    <w:rsid w:val="008E4F16"/>
    <w:rsid w:val="008E6568"/>
    <w:rsid w:val="008F039A"/>
    <w:rsid w:val="008F08CF"/>
    <w:rsid w:val="008F120A"/>
    <w:rsid w:val="008F1BC6"/>
    <w:rsid w:val="008F205A"/>
    <w:rsid w:val="008F24DA"/>
    <w:rsid w:val="008F38B4"/>
    <w:rsid w:val="008F3C37"/>
    <w:rsid w:val="008F48EB"/>
    <w:rsid w:val="008F4F0B"/>
    <w:rsid w:val="008F55C2"/>
    <w:rsid w:val="008F58DF"/>
    <w:rsid w:val="008F6131"/>
    <w:rsid w:val="008F6982"/>
    <w:rsid w:val="00901025"/>
    <w:rsid w:val="00901D9B"/>
    <w:rsid w:val="00902218"/>
    <w:rsid w:val="009041FC"/>
    <w:rsid w:val="009045C7"/>
    <w:rsid w:val="00905F9A"/>
    <w:rsid w:val="009062A5"/>
    <w:rsid w:val="009100B7"/>
    <w:rsid w:val="009102E5"/>
    <w:rsid w:val="00911272"/>
    <w:rsid w:val="00914FD1"/>
    <w:rsid w:val="00915942"/>
    <w:rsid w:val="00915EE5"/>
    <w:rsid w:val="009169D1"/>
    <w:rsid w:val="00917032"/>
    <w:rsid w:val="0091708E"/>
    <w:rsid w:val="00917239"/>
    <w:rsid w:val="00917F97"/>
    <w:rsid w:val="00920203"/>
    <w:rsid w:val="009208EA"/>
    <w:rsid w:val="00920AE5"/>
    <w:rsid w:val="00920F6F"/>
    <w:rsid w:val="009218B1"/>
    <w:rsid w:val="00922F42"/>
    <w:rsid w:val="009241E2"/>
    <w:rsid w:val="00924B03"/>
    <w:rsid w:val="009253E1"/>
    <w:rsid w:val="00925602"/>
    <w:rsid w:val="0092643D"/>
    <w:rsid w:val="00927F01"/>
    <w:rsid w:val="00930CFA"/>
    <w:rsid w:val="00933FF8"/>
    <w:rsid w:val="009342A1"/>
    <w:rsid w:val="009342A8"/>
    <w:rsid w:val="00934B54"/>
    <w:rsid w:val="00935621"/>
    <w:rsid w:val="0093673B"/>
    <w:rsid w:val="00937377"/>
    <w:rsid w:val="00937B32"/>
    <w:rsid w:val="00937CCA"/>
    <w:rsid w:val="009405EE"/>
    <w:rsid w:val="0094146D"/>
    <w:rsid w:val="009427C6"/>
    <w:rsid w:val="00942840"/>
    <w:rsid w:val="00943277"/>
    <w:rsid w:val="00944114"/>
    <w:rsid w:val="0094428A"/>
    <w:rsid w:val="009458FD"/>
    <w:rsid w:val="00946528"/>
    <w:rsid w:val="0094660D"/>
    <w:rsid w:val="00946E3F"/>
    <w:rsid w:val="00947AAA"/>
    <w:rsid w:val="00947B4D"/>
    <w:rsid w:val="009502E6"/>
    <w:rsid w:val="009503EA"/>
    <w:rsid w:val="00950DC0"/>
    <w:rsid w:val="009513E6"/>
    <w:rsid w:val="0095153D"/>
    <w:rsid w:val="00951CCA"/>
    <w:rsid w:val="0095206E"/>
    <w:rsid w:val="00952343"/>
    <w:rsid w:val="00952C6B"/>
    <w:rsid w:val="00953597"/>
    <w:rsid w:val="009558DB"/>
    <w:rsid w:val="00955DB4"/>
    <w:rsid w:val="00956C2E"/>
    <w:rsid w:val="00956F68"/>
    <w:rsid w:val="00957BB8"/>
    <w:rsid w:val="00957F3F"/>
    <w:rsid w:val="009600B1"/>
    <w:rsid w:val="00960FC2"/>
    <w:rsid w:val="00961605"/>
    <w:rsid w:val="009625BD"/>
    <w:rsid w:val="00962985"/>
    <w:rsid w:val="00962CB9"/>
    <w:rsid w:val="00963093"/>
    <w:rsid w:val="00963528"/>
    <w:rsid w:val="00964312"/>
    <w:rsid w:val="009647B2"/>
    <w:rsid w:val="00964FC9"/>
    <w:rsid w:val="009671EF"/>
    <w:rsid w:val="00967E69"/>
    <w:rsid w:val="00970810"/>
    <w:rsid w:val="00971204"/>
    <w:rsid w:val="00971CA9"/>
    <w:rsid w:val="00972857"/>
    <w:rsid w:val="00972F61"/>
    <w:rsid w:val="00973407"/>
    <w:rsid w:val="009746E5"/>
    <w:rsid w:val="009772B6"/>
    <w:rsid w:val="00977355"/>
    <w:rsid w:val="00977990"/>
    <w:rsid w:val="00977A96"/>
    <w:rsid w:val="0098212E"/>
    <w:rsid w:val="00982257"/>
    <w:rsid w:val="00983663"/>
    <w:rsid w:val="00983704"/>
    <w:rsid w:val="00983E57"/>
    <w:rsid w:val="0098451B"/>
    <w:rsid w:val="00984D52"/>
    <w:rsid w:val="009853C3"/>
    <w:rsid w:val="00987A13"/>
    <w:rsid w:val="00987B9D"/>
    <w:rsid w:val="00991F8A"/>
    <w:rsid w:val="00992AD0"/>
    <w:rsid w:val="00993239"/>
    <w:rsid w:val="00995164"/>
    <w:rsid w:val="009965D4"/>
    <w:rsid w:val="00996844"/>
    <w:rsid w:val="00996B1A"/>
    <w:rsid w:val="009971C2"/>
    <w:rsid w:val="00997705"/>
    <w:rsid w:val="00997A17"/>
    <w:rsid w:val="009A0F42"/>
    <w:rsid w:val="009A23ED"/>
    <w:rsid w:val="009A25FB"/>
    <w:rsid w:val="009A3104"/>
    <w:rsid w:val="009A3CFD"/>
    <w:rsid w:val="009A4655"/>
    <w:rsid w:val="009A6FDD"/>
    <w:rsid w:val="009A7826"/>
    <w:rsid w:val="009B0F4E"/>
    <w:rsid w:val="009B111E"/>
    <w:rsid w:val="009B18D1"/>
    <w:rsid w:val="009B1C8C"/>
    <w:rsid w:val="009B21C2"/>
    <w:rsid w:val="009B334E"/>
    <w:rsid w:val="009B3E26"/>
    <w:rsid w:val="009B4F06"/>
    <w:rsid w:val="009B5517"/>
    <w:rsid w:val="009B585D"/>
    <w:rsid w:val="009B59CF"/>
    <w:rsid w:val="009B5C34"/>
    <w:rsid w:val="009B5C40"/>
    <w:rsid w:val="009B667C"/>
    <w:rsid w:val="009B684F"/>
    <w:rsid w:val="009C169C"/>
    <w:rsid w:val="009C2E55"/>
    <w:rsid w:val="009D06D9"/>
    <w:rsid w:val="009D0D26"/>
    <w:rsid w:val="009D2476"/>
    <w:rsid w:val="009D2F1F"/>
    <w:rsid w:val="009D3F35"/>
    <w:rsid w:val="009D530D"/>
    <w:rsid w:val="009D5B91"/>
    <w:rsid w:val="009D757C"/>
    <w:rsid w:val="009E06AF"/>
    <w:rsid w:val="009E30B2"/>
    <w:rsid w:val="009E4871"/>
    <w:rsid w:val="009E4C07"/>
    <w:rsid w:val="009E51FB"/>
    <w:rsid w:val="009E58E1"/>
    <w:rsid w:val="009E725E"/>
    <w:rsid w:val="009F1E1E"/>
    <w:rsid w:val="009F29C8"/>
    <w:rsid w:val="009F30D4"/>
    <w:rsid w:val="009F3342"/>
    <w:rsid w:val="009F425C"/>
    <w:rsid w:val="009F4720"/>
    <w:rsid w:val="009F4820"/>
    <w:rsid w:val="009F5ECD"/>
    <w:rsid w:val="009F6CD3"/>
    <w:rsid w:val="00A0031E"/>
    <w:rsid w:val="00A00741"/>
    <w:rsid w:val="00A017D5"/>
    <w:rsid w:val="00A03642"/>
    <w:rsid w:val="00A036BA"/>
    <w:rsid w:val="00A03BB6"/>
    <w:rsid w:val="00A03C18"/>
    <w:rsid w:val="00A03D43"/>
    <w:rsid w:val="00A03E34"/>
    <w:rsid w:val="00A04380"/>
    <w:rsid w:val="00A0459B"/>
    <w:rsid w:val="00A046EC"/>
    <w:rsid w:val="00A10774"/>
    <w:rsid w:val="00A10908"/>
    <w:rsid w:val="00A10FDC"/>
    <w:rsid w:val="00A13210"/>
    <w:rsid w:val="00A13948"/>
    <w:rsid w:val="00A142E1"/>
    <w:rsid w:val="00A14AB8"/>
    <w:rsid w:val="00A16375"/>
    <w:rsid w:val="00A16F38"/>
    <w:rsid w:val="00A172AE"/>
    <w:rsid w:val="00A20809"/>
    <w:rsid w:val="00A208B5"/>
    <w:rsid w:val="00A20AC3"/>
    <w:rsid w:val="00A23094"/>
    <w:rsid w:val="00A233FE"/>
    <w:rsid w:val="00A23A30"/>
    <w:rsid w:val="00A23AC3"/>
    <w:rsid w:val="00A2401F"/>
    <w:rsid w:val="00A24716"/>
    <w:rsid w:val="00A25160"/>
    <w:rsid w:val="00A25198"/>
    <w:rsid w:val="00A25507"/>
    <w:rsid w:val="00A2563A"/>
    <w:rsid w:val="00A260CE"/>
    <w:rsid w:val="00A26E51"/>
    <w:rsid w:val="00A27AEC"/>
    <w:rsid w:val="00A301CA"/>
    <w:rsid w:val="00A32CEB"/>
    <w:rsid w:val="00A32E27"/>
    <w:rsid w:val="00A32E69"/>
    <w:rsid w:val="00A3367E"/>
    <w:rsid w:val="00A33741"/>
    <w:rsid w:val="00A345A2"/>
    <w:rsid w:val="00A35838"/>
    <w:rsid w:val="00A35D16"/>
    <w:rsid w:val="00A35DF5"/>
    <w:rsid w:val="00A35E20"/>
    <w:rsid w:val="00A36A0C"/>
    <w:rsid w:val="00A37A1C"/>
    <w:rsid w:val="00A42AB7"/>
    <w:rsid w:val="00A42EF6"/>
    <w:rsid w:val="00A43C59"/>
    <w:rsid w:val="00A44068"/>
    <w:rsid w:val="00A45353"/>
    <w:rsid w:val="00A457C0"/>
    <w:rsid w:val="00A50ECD"/>
    <w:rsid w:val="00A51096"/>
    <w:rsid w:val="00A520FD"/>
    <w:rsid w:val="00A52729"/>
    <w:rsid w:val="00A529B6"/>
    <w:rsid w:val="00A53675"/>
    <w:rsid w:val="00A54C09"/>
    <w:rsid w:val="00A55706"/>
    <w:rsid w:val="00A566B8"/>
    <w:rsid w:val="00A56B6A"/>
    <w:rsid w:val="00A57475"/>
    <w:rsid w:val="00A578DC"/>
    <w:rsid w:val="00A60F32"/>
    <w:rsid w:val="00A60F85"/>
    <w:rsid w:val="00A613AA"/>
    <w:rsid w:val="00A616F0"/>
    <w:rsid w:val="00A621CD"/>
    <w:rsid w:val="00A625BF"/>
    <w:rsid w:val="00A627B3"/>
    <w:rsid w:val="00A62E62"/>
    <w:rsid w:val="00A63579"/>
    <w:rsid w:val="00A635C5"/>
    <w:rsid w:val="00A63DC6"/>
    <w:rsid w:val="00A6603C"/>
    <w:rsid w:val="00A66608"/>
    <w:rsid w:val="00A66F6E"/>
    <w:rsid w:val="00A6725B"/>
    <w:rsid w:val="00A67421"/>
    <w:rsid w:val="00A67AFC"/>
    <w:rsid w:val="00A700E7"/>
    <w:rsid w:val="00A710FC"/>
    <w:rsid w:val="00A71F15"/>
    <w:rsid w:val="00A721D8"/>
    <w:rsid w:val="00A72621"/>
    <w:rsid w:val="00A732E2"/>
    <w:rsid w:val="00A740EC"/>
    <w:rsid w:val="00A756ED"/>
    <w:rsid w:val="00A75CA7"/>
    <w:rsid w:val="00A762D2"/>
    <w:rsid w:val="00A806E4"/>
    <w:rsid w:val="00A82301"/>
    <w:rsid w:val="00A824DC"/>
    <w:rsid w:val="00A826DB"/>
    <w:rsid w:val="00A8272C"/>
    <w:rsid w:val="00A83ED6"/>
    <w:rsid w:val="00A84826"/>
    <w:rsid w:val="00A84904"/>
    <w:rsid w:val="00A84F55"/>
    <w:rsid w:val="00A85E2A"/>
    <w:rsid w:val="00A85F5F"/>
    <w:rsid w:val="00A86E8B"/>
    <w:rsid w:val="00A87309"/>
    <w:rsid w:val="00A90AAE"/>
    <w:rsid w:val="00A91508"/>
    <w:rsid w:val="00A9164B"/>
    <w:rsid w:val="00A92215"/>
    <w:rsid w:val="00A92EE9"/>
    <w:rsid w:val="00A93072"/>
    <w:rsid w:val="00A93540"/>
    <w:rsid w:val="00A936AB"/>
    <w:rsid w:val="00A93735"/>
    <w:rsid w:val="00A94892"/>
    <w:rsid w:val="00A955D3"/>
    <w:rsid w:val="00A959D8"/>
    <w:rsid w:val="00A95F70"/>
    <w:rsid w:val="00A966F5"/>
    <w:rsid w:val="00A978F3"/>
    <w:rsid w:val="00AA06B6"/>
    <w:rsid w:val="00AA0C41"/>
    <w:rsid w:val="00AA1093"/>
    <w:rsid w:val="00AA17BA"/>
    <w:rsid w:val="00AA215C"/>
    <w:rsid w:val="00AA2990"/>
    <w:rsid w:val="00AA2A3C"/>
    <w:rsid w:val="00AA2F68"/>
    <w:rsid w:val="00AA359F"/>
    <w:rsid w:val="00AA400C"/>
    <w:rsid w:val="00AA567C"/>
    <w:rsid w:val="00AA58DF"/>
    <w:rsid w:val="00AA6A83"/>
    <w:rsid w:val="00AA7458"/>
    <w:rsid w:val="00AA7FC8"/>
    <w:rsid w:val="00AB002C"/>
    <w:rsid w:val="00AB042A"/>
    <w:rsid w:val="00AB0C4E"/>
    <w:rsid w:val="00AB1B7E"/>
    <w:rsid w:val="00AB291F"/>
    <w:rsid w:val="00AB2D34"/>
    <w:rsid w:val="00AB2D6A"/>
    <w:rsid w:val="00AB3427"/>
    <w:rsid w:val="00AB3430"/>
    <w:rsid w:val="00AB36F9"/>
    <w:rsid w:val="00AB3E67"/>
    <w:rsid w:val="00AB4866"/>
    <w:rsid w:val="00AB6073"/>
    <w:rsid w:val="00AB69BA"/>
    <w:rsid w:val="00AB7CFA"/>
    <w:rsid w:val="00AB7F9B"/>
    <w:rsid w:val="00AC0F0E"/>
    <w:rsid w:val="00AC1D38"/>
    <w:rsid w:val="00AC1D80"/>
    <w:rsid w:val="00AC34F4"/>
    <w:rsid w:val="00AC4424"/>
    <w:rsid w:val="00AC4DD8"/>
    <w:rsid w:val="00AC4EC5"/>
    <w:rsid w:val="00AC6635"/>
    <w:rsid w:val="00AC733E"/>
    <w:rsid w:val="00AC7846"/>
    <w:rsid w:val="00AD0168"/>
    <w:rsid w:val="00AD055A"/>
    <w:rsid w:val="00AD13D7"/>
    <w:rsid w:val="00AD14C8"/>
    <w:rsid w:val="00AD2276"/>
    <w:rsid w:val="00AD2642"/>
    <w:rsid w:val="00AD4235"/>
    <w:rsid w:val="00AD51DD"/>
    <w:rsid w:val="00AD567A"/>
    <w:rsid w:val="00AD5EE0"/>
    <w:rsid w:val="00AD6AAD"/>
    <w:rsid w:val="00AD7724"/>
    <w:rsid w:val="00AD7BCB"/>
    <w:rsid w:val="00AE00E4"/>
    <w:rsid w:val="00AE00F9"/>
    <w:rsid w:val="00AE10B2"/>
    <w:rsid w:val="00AE2AE2"/>
    <w:rsid w:val="00AE4795"/>
    <w:rsid w:val="00AE4A5F"/>
    <w:rsid w:val="00AE5A26"/>
    <w:rsid w:val="00AE6A52"/>
    <w:rsid w:val="00AE7C31"/>
    <w:rsid w:val="00AF09E5"/>
    <w:rsid w:val="00AF2319"/>
    <w:rsid w:val="00AF244C"/>
    <w:rsid w:val="00AF502C"/>
    <w:rsid w:val="00AF5CB7"/>
    <w:rsid w:val="00AF6BF9"/>
    <w:rsid w:val="00AF7658"/>
    <w:rsid w:val="00B00650"/>
    <w:rsid w:val="00B0078B"/>
    <w:rsid w:val="00B02053"/>
    <w:rsid w:val="00B030C0"/>
    <w:rsid w:val="00B045E0"/>
    <w:rsid w:val="00B046A3"/>
    <w:rsid w:val="00B0574A"/>
    <w:rsid w:val="00B061DD"/>
    <w:rsid w:val="00B069B6"/>
    <w:rsid w:val="00B1154E"/>
    <w:rsid w:val="00B116FE"/>
    <w:rsid w:val="00B16B93"/>
    <w:rsid w:val="00B17067"/>
    <w:rsid w:val="00B173AA"/>
    <w:rsid w:val="00B17FAB"/>
    <w:rsid w:val="00B20725"/>
    <w:rsid w:val="00B20D1C"/>
    <w:rsid w:val="00B213F9"/>
    <w:rsid w:val="00B23759"/>
    <w:rsid w:val="00B24412"/>
    <w:rsid w:val="00B273B1"/>
    <w:rsid w:val="00B27D60"/>
    <w:rsid w:val="00B27E72"/>
    <w:rsid w:val="00B31CD3"/>
    <w:rsid w:val="00B3273F"/>
    <w:rsid w:val="00B3465A"/>
    <w:rsid w:val="00B37A95"/>
    <w:rsid w:val="00B40920"/>
    <w:rsid w:val="00B41EDA"/>
    <w:rsid w:val="00B42851"/>
    <w:rsid w:val="00B432E7"/>
    <w:rsid w:val="00B43C46"/>
    <w:rsid w:val="00B44671"/>
    <w:rsid w:val="00B455E3"/>
    <w:rsid w:val="00B46979"/>
    <w:rsid w:val="00B47B56"/>
    <w:rsid w:val="00B506E4"/>
    <w:rsid w:val="00B507D8"/>
    <w:rsid w:val="00B50DB8"/>
    <w:rsid w:val="00B50F2E"/>
    <w:rsid w:val="00B51254"/>
    <w:rsid w:val="00B52890"/>
    <w:rsid w:val="00B52A30"/>
    <w:rsid w:val="00B53905"/>
    <w:rsid w:val="00B54B5B"/>
    <w:rsid w:val="00B54D10"/>
    <w:rsid w:val="00B5562E"/>
    <w:rsid w:val="00B556F7"/>
    <w:rsid w:val="00B5607C"/>
    <w:rsid w:val="00B5638C"/>
    <w:rsid w:val="00B57000"/>
    <w:rsid w:val="00B570C0"/>
    <w:rsid w:val="00B60939"/>
    <w:rsid w:val="00B60AFD"/>
    <w:rsid w:val="00B61324"/>
    <w:rsid w:val="00B62715"/>
    <w:rsid w:val="00B62F86"/>
    <w:rsid w:val="00B635AD"/>
    <w:rsid w:val="00B635D9"/>
    <w:rsid w:val="00B64D1C"/>
    <w:rsid w:val="00B6515A"/>
    <w:rsid w:val="00B651E7"/>
    <w:rsid w:val="00B67CA5"/>
    <w:rsid w:val="00B67E4C"/>
    <w:rsid w:val="00B701EC"/>
    <w:rsid w:val="00B717D0"/>
    <w:rsid w:val="00B72E00"/>
    <w:rsid w:val="00B735FC"/>
    <w:rsid w:val="00B740A9"/>
    <w:rsid w:val="00B744C0"/>
    <w:rsid w:val="00B756E3"/>
    <w:rsid w:val="00B76409"/>
    <w:rsid w:val="00B77083"/>
    <w:rsid w:val="00B818A4"/>
    <w:rsid w:val="00B81A3F"/>
    <w:rsid w:val="00B81A7B"/>
    <w:rsid w:val="00B82586"/>
    <w:rsid w:val="00B82EA0"/>
    <w:rsid w:val="00B83381"/>
    <w:rsid w:val="00B8377D"/>
    <w:rsid w:val="00B8649C"/>
    <w:rsid w:val="00B86C2F"/>
    <w:rsid w:val="00B87AE0"/>
    <w:rsid w:val="00B92D0B"/>
    <w:rsid w:val="00B93136"/>
    <w:rsid w:val="00B93E32"/>
    <w:rsid w:val="00B94945"/>
    <w:rsid w:val="00B95964"/>
    <w:rsid w:val="00B965AB"/>
    <w:rsid w:val="00BA0821"/>
    <w:rsid w:val="00BA24DC"/>
    <w:rsid w:val="00BA2A50"/>
    <w:rsid w:val="00BA3529"/>
    <w:rsid w:val="00BA4B5E"/>
    <w:rsid w:val="00BA6BDD"/>
    <w:rsid w:val="00BA7E40"/>
    <w:rsid w:val="00BB114A"/>
    <w:rsid w:val="00BB12B9"/>
    <w:rsid w:val="00BB143B"/>
    <w:rsid w:val="00BB1F19"/>
    <w:rsid w:val="00BB2EBE"/>
    <w:rsid w:val="00BB336D"/>
    <w:rsid w:val="00BB36D0"/>
    <w:rsid w:val="00BB6BEA"/>
    <w:rsid w:val="00BB7405"/>
    <w:rsid w:val="00BB78C6"/>
    <w:rsid w:val="00BC015C"/>
    <w:rsid w:val="00BC1C5E"/>
    <w:rsid w:val="00BC21A4"/>
    <w:rsid w:val="00BC26F1"/>
    <w:rsid w:val="00BC29B6"/>
    <w:rsid w:val="00BC30D7"/>
    <w:rsid w:val="00BC45C2"/>
    <w:rsid w:val="00BC48FD"/>
    <w:rsid w:val="00BC59FF"/>
    <w:rsid w:val="00BC691B"/>
    <w:rsid w:val="00BC7378"/>
    <w:rsid w:val="00BC754E"/>
    <w:rsid w:val="00BC797F"/>
    <w:rsid w:val="00BD0F0D"/>
    <w:rsid w:val="00BD2B81"/>
    <w:rsid w:val="00BD3996"/>
    <w:rsid w:val="00BD4ECD"/>
    <w:rsid w:val="00BD5001"/>
    <w:rsid w:val="00BD574C"/>
    <w:rsid w:val="00BD5AD3"/>
    <w:rsid w:val="00BD5B1E"/>
    <w:rsid w:val="00BD6385"/>
    <w:rsid w:val="00BD67DA"/>
    <w:rsid w:val="00BD6CF3"/>
    <w:rsid w:val="00BD7926"/>
    <w:rsid w:val="00BE0A14"/>
    <w:rsid w:val="00BE1109"/>
    <w:rsid w:val="00BE1272"/>
    <w:rsid w:val="00BE16F3"/>
    <w:rsid w:val="00BE2180"/>
    <w:rsid w:val="00BE2339"/>
    <w:rsid w:val="00BE2ECA"/>
    <w:rsid w:val="00BE4275"/>
    <w:rsid w:val="00BE43FF"/>
    <w:rsid w:val="00BE4953"/>
    <w:rsid w:val="00BE725F"/>
    <w:rsid w:val="00BF0E4C"/>
    <w:rsid w:val="00BF12D8"/>
    <w:rsid w:val="00BF2433"/>
    <w:rsid w:val="00BF262C"/>
    <w:rsid w:val="00BF3819"/>
    <w:rsid w:val="00BF3E54"/>
    <w:rsid w:val="00BF4067"/>
    <w:rsid w:val="00BF4A71"/>
    <w:rsid w:val="00BF4DBF"/>
    <w:rsid w:val="00BF5C6F"/>
    <w:rsid w:val="00BF61C9"/>
    <w:rsid w:val="00BF7DCB"/>
    <w:rsid w:val="00C008E6"/>
    <w:rsid w:val="00C02F2C"/>
    <w:rsid w:val="00C03284"/>
    <w:rsid w:val="00C0352B"/>
    <w:rsid w:val="00C038E4"/>
    <w:rsid w:val="00C03A7A"/>
    <w:rsid w:val="00C0424F"/>
    <w:rsid w:val="00C0587F"/>
    <w:rsid w:val="00C06F14"/>
    <w:rsid w:val="00C07704"/>
    <w:rsid w:val="00C078D9"/>
    <w:rsid w:val="00C10DCD"/>
    <w:rsid w:val="00C115F3"/>
    <w:rsid w:val="00C1294F"/>
    <w:rsid w:val="00C14AE2"/>
    <w:rsid w:val="00C150EF"/>
    <w:rsid w:val="00C151E6"/>
    <w:rsid w:val="00C1543A"/>
    <w:rsid w:val="00C15CF8"/>
    <w:rsid w:val="00C17910"/>
    <w:rsid w:val="00C202FC"/>
    <w:rsid w:val="00C20359"/>
    <w:rsid w:val="00C21850"/>
    <w:rsid w:val="00C221F2"/>
    <w:rsid w:val="00C224A9"/>
    <w:rsid w:val="00C22654"/>
    <w:rsid w:val="00C253D0"/>
    <w:rsid w:val="00C25418"/>
    <w:rsid w:val="00C25430"/>
    <w:rsid w:val="00C254C5"/>
    <w:rsid w:val="00C25D9C"/>
    <w:rsid w:val="00C25EE2"/>
    <w:rsid w:val="00C26E42"/>
    <w:rsid w:val="00C31187"/>
    <w:rsid w:val="00C31649"/>
    <w:rsid w:val="00C3202F"/>
    <w:rsid w:val="00C33DA2"/>
    <w:rsid w:val="00C34360"/>
    <w:rsid w:val="00C34F74"/>
    <w:rsid w:val="00C36960"/>
    <w:rsid w:val="00C371E0"/>
    <w:rsid w:val="00C37766"/>
    <w:rsid w:val="00C40385"/>
    <w:rsid w:val="00C44A54"/>
    <w:rsid w:val="00C44C57"/>
    <w:rsid w:val="00C4544C"/>
    <w:rsid w:val="00C46086"/>
    <w:rsid w:val="00C46373"/>
    <w:rsid w:val="00C47076"/>
    <w:rsid w:val="00C47B13"/>
    <w:rsid w:val="00C517CD"/>
    <w:rsid w:val="00C520F3"/>
    <w:rsid w:val="00C52396"/>
    <w:rsid w:val="00C532CF"/>
    <w:rsid w:val="00C547EC"/>
    <w:rsid w:val="00C54A81"/>
    <w:rsid w:val="00C54ECE"/>
    <w:rsid w:val="00C555E8"/>
    <w:rsid w:val="00C5565C"/>
    <w:rsid w:val="00C56705"/>
    <w:rsid w:val="00C61136"/>
    <w:rsid w:val="00C63A59"/>
    <w:rsid w:val="00C63D84"/>
    <w:rsid w:val="00C64A99"/>
    <w:rsid w:val="00C64C76"/>
    <w:rsid w:val="00C65576"/>
    <w:rsid w:val="00C65A87"/>
    <w:rsid w:val="00C65B59"/>
    <w:rsid w:val="00C65BDD"/>
    <w:rsid w:val="00C66165"/>
    <w:rsid w:val="00C672CD"/>
    <w:rsid w:val="00C7118B"/>
    <w:rsid w:val="00C71AE0"/>
    <w:rsid w:val="00C71DB8"/>
    <w:rsid w:val="00C7220C"/>
    <w:rsid w:val="00C729C8"/>
    <w:rsid w:val="00C72A71"/>
    <w:rsid w:val="00C72D07"/>
    <w:rsid w:val="00C73A46"/>
    <w:rsid w:val="00C750C8"/>
    <w:rsid w:val="00C759DC"/>
    <w:rsid w:val="00C80167"/>
    <w:rsid w:val="00C80505"/>
    <w:rsid w:val="00C81A71"/>
    <w:rsid w:val="00C8213F"/>
    <w:rsid w:val="00C825C1"/>
    <w:rsid w:val="00C82A6D"/>
    <w:rsid w:val="00C82CBD"/>
    <w:rsid w:val="00C83C61"/>
    <w:rsid w:val="00C84D82"/>
    <w:rsid w:val="00C84ED1"/>
    <w:rsid w:val="00C850AA"/>
    <w:rsid w:val="00C85797"/>
    <w:rsid w:val="00C869C4"/>
    <w:rsid w:val="00C86A8C"/>
    <w:rsid w:val="00C86D69"/>
    <w:rsid w:val="00C8797A"/>
    <w:rsid w:val="00C902E6"/>
    <w:rsid w:val="00C90DF8"/>
    <w:rsid w:val="00C9113E"/>
    <w:rsid w:val="00C9196F"/>
    <w:rsid w:val="00C938CF"/>
    <w:rsid w:val="00C9548D"/>
    <w:rsid w:val="00C962F5"/>
    <w:rsid w:val="00C96A25"/>
    <w:rsid w:val="00C96E5B"/>
    <w:rsid w:val="00C96ECA"/>
    <w:rsid w:val="00C97400"/>
    <w:rsid w:val="00CA04F5"/>
    <w:rsid w:val="00CA0978"/>
    <w:rsid w:val="00CA09B9"/>
    <w:rsid w:val="00CA1BB6"/>
    <w:rsid w:val="00CA39EF"/>
    <w:rsid w:val="00CA521C"/>
    <w:rsid w:val="00CA5245"/>
    <w:rsid w:val="00CA6B2A"/>
    <w:rsid w:val="00CA7B09"/>
    <w:rsid w:val="00CA7E31"/>
    <w:rsid w:val="00CB0C06"/>
    <w:rsid w:val="00CB177E"/>
    <w:rsid w:val="00CB43CA"/>
    <w:rsid w:val="00CB4E07"/>
    <w:rsid w:val="00CB5B1A"/>
    <w:rsid w:val="00CB64A3"/>
    <w:rsid w:val="00CB7968"/>
    <w:rsid w:val="00CC1CC6"/>
    <w:rsid w:val="00CC1D5E"/>
    <w:rsid w:val="00CC2408"/>
    <w:rsid w:val="00CC3107"/>
    <w:rsid w:val="00CC3652"/>
    <w:rsid w:val="00CC78CD"/>
    <w:rsid w:val="00CC7BF2"/>
    <w:rsid w:val="00CD0A3D"/>
    <w:rsid w:val="00CD12BE"/>
    <w:rsid w:val="00CD1904"/>
    <w:rsid w:val="00CD2251"/>
    <w:rsid w:val="00CD42FC"/>
    <w:rsid w:val="00CD460E"/>
    <w:rsid w:val="00CD5D4B"/>
    <w:rsid w:val="00CD6361"/>
    <w:rsid w:val="00CD6ADC"/>
    <w:rsid w:val="00CD70A2"/>
    <w:rsid w:val="00CE2EDD"/>
    <w:rsid w:val="00CE31E0"/>
    <w:rsid w:val="00CE4521"/>
    <w:rsid w:val="00CE4E59"/>
    <w:rsid w:val="00CE6274"/>
    <w:rsid w:val="00CE7577"/>
    <w:rsid w:val="00CE76DC"/>
    <w:rsid w:val="00CE7975"/>
    <w:rsid w:val="00CE7FAA"/>
    <w:rsid w:val="00CF00B3"/>
    <w:rsid w:val="00CF0454"/>
    <w:rsid w:val="00CF15C8"/>
    <w:rsid w:val="00CF42F3"/>
    <w:rsid w:val="00CF436B"/>
    <w:rsid w:val="00CF456B"/>
    <w:rsid w:val="00CF45C9"/>
    <w:rsid w:val="00CF5266"/>
    <w:rsid w:val="00CF59AE"/>
    <w:rsid w:val="00CF5A22"/>
    <w:rsid w:val="00CF5ACF"/>
    <w:rsid w:val="00CF6812"/>
    <w:rsid w:val="00CF712B"/>
    <w:rsid w:val="00CF74C9"/>
    <w:rsid w:val="00D004EF"/>
    <w:rsid w:val="00D00C61"/>
    <w:rsid w:val="00D01B9C"/>
    <w:rsid w:val="00D02020"/>
    <w:rsid w:val="00D0262E"/>
    <w:rsid w:val="00D02C18"/>
    <w:rsid w:val="00D02DBB"/>
    <w:rsid w:val="00D02FD9"/>
    <w:rsid w:val="00D031CF"/>
    <w:rsid w:val="00D033F1"/>
    <w:rsid w:val="00D04813"/>
    <w:rsid w:val="00D05405"/>
    <w:rsid w:val="00D05516"/>
    <w:rsid w:val="00D063FA"/>
    <w:rsid w:val="00D066FA"/>
    <w:rsid w:val="00D10B7B"/>
    <w:rsid w:val="00D110BD"/>
    <w:rsid w:val="00D12ABF"/>
    <w:rsid w:val="00D12E41"/>
    <w:rsid w:val="00D12F0F"/>
    <w:rsid w:val="00D12F58"/>
    <w:rsid w:val="00D138FB"/>
    <w:rsid w:val="00D13C76"/>
    <w:rsid w:val="00D1519C"/>
    <w:rsid w:val="00D15261"/>
    <w:rsid w:val="00D155E6"/>
    <w:rsid w:val="00D15AE2"/>
    <w:rsid w:val="00D15C02"/>
    <w:rsid w:val="00D16DA0"/>
    <w:rsid w:val="00D17D6C"/>
    <w:rsid w:val="00D20206"/>
    <w:rsid w:val="00D202EF"/>
    <w:rsid w:val="00D21246"/>
    <w:rsid w:val="00D21F15"/>
    <w:rsid w:val="00D2272A"/>
    <w:rsid w:val="00D22E2E"/>
    <w:rsid w:val="00D233B2"/>
    <w:rsid w:val="00D2352A"/>
    <w:rsid w:val="00D24C35"/>
    <w:rsid w:val="00D25019"/>
    <w:rsid w:val="00D25266"/>
    <w:rsid w:val="00D254FF"/>
    <w:rsid w:val="00D259D7"/>
    <w:rsid w:val="00D26120"/>
    <w:rsid w:val="00D26165"/>
    <w:rsid w:val="00D3125D"/>
    <w:rsid w:val="00D339E6"/>
    <w:rsid w:val="00D34359"/>
    <w:rsid w:val="00D343A2"/>
    <w:rsid w:val="00D346E8"/>
    <w:rsid w:val="00D351ED"/>
    <w:rsid w:val="00D35260"/>
    <w:rsid w:val="00D357FF"/>
    <w:rsid w:val="00D359C7"/>
    <w:rsid w:val="00D35F57"/>
    <w:rsid w:val="00D36517"/>
    <w:rsid w:val="00D36576"/>
    <w:rsid w:val="00D36A48"/>
    <w:rsid w:val="00D37924"/>
    <w:rsid w:val="00D40241"/>
    <w:rsid w:val="00D4139A"/>
    <w:rsid w:val="00D42A3E"/>
    <w:rsid w:val="00D43FDC"/>
    <w:rsid w:val="00D44766"/>
    <w:rsid w:val="00D44C7F"/>
    <w:rsid w:val="00D46903"/>
    <w:rsid w:val="00D47A69"/>
    <w:rsid w:val="00D529D1"/>
    <w:rsid w:val="00D5386F"/>
    <w:rsid w:val="00D55732"/>
    <w:rsid w:val="00D559F0"/>
    <w:rsid w:val="00D55BBE"/>
    <w:rsid w:val="00D5654D"/>
    <w:rsid w:val="00D56CF9"/>
    <w:rsid w:val="00D57C9E"/>
    <w:rsid w:val="00D604FD"/>
    <w:rsid w:val="00D6074E"/>
    <w:rsid w:val="00D60B9C"/>
    <w:rsid w:val="00D62DAB"/>
    <w:rsid w:val="00D6350C"/>
    <w:rsid w:val="00D64545"/>
    <w:rsid w:val="00D64BE6"/>
    <w:rsid w:val="00D6542B"/>
    <w:rsid w:val="00D660E7"/>
    <w:rsid w:val="00D660EA"/>
    <w:rsid w:val="00D71793"/>
    <w:rsid w:val="00D72B1C"/>
    <w:rsid w:val="00D743A4"/>
    <w:rsid w:val="00D7457E"/>
    <w:rsid w:val="00D74591"/>
    <w:rsid w:val="00D75043"/>
    <w:rsid w:val="00D75FB4"/>
    <w:rsid w:val="00D76A44"/>
    <w:rsid w:val="00D77655"/>
    <w:rsid w:val="00D77C8D"/>
    <w:rsid w:val="00D8134F"/>
    <w:rsid w:val="00D818CD"/>
    <w:rsid w:val="00D825F4"/>
    <w:rsid w:val="00D8319C"/>
    <w:rsid w:val="00D8470C"/>
    <w:rsid w:val="00D8524B"/>
    <w:rsid w:val="00D85355"/>
    <w:rsid w:val="00D85B6A"/>
    <w:rsid w:val="00D867D7"/>
    <w:rsid w:val="00D86A97"/>
    <w:rsid w:val="00D86C79"/>
    <w:rsid w:val="00D90AAC"/>
    <w:rsid w:val="00D91693"/>
    <w:rsid w:val="00D924DD"/>
    <w:rsid w:val="00D93753"/>
    <w:rsid w:val="00D93B00"/>
    <w:rsid w:val="00D94C85"/>
    <w:rsid w:val="00D94C8A"/>
    <w:rsid w:val="00D96D42"/>
    <w:rsid w:val="00D97189"/>
    <w:rsid w:val="00D971C1"/>
    <w:rsid w:val="00D975F4"/>
    <w:rsid w:val="00DA03BC"/>
    <w:rsid w:val="00DA16CC"/>
    <w:rsid w:val="00DA2865"/>
    <w:rsid w:val="00DA396F"/>
    <w:rsid w:val="00DA4695"/>
    <w:rsid w:val="00DA4D9D"/>
    <w:rsid w:val="00DA5074"/>
    <w:rsid w:val="00DA5E18"/>
    <w:rsid w:val="00DA6973"/>
    <w:rsid w:val="00DA6B12"/>
    <w:rsid w:val="00DA6EE2"/>
    <w:rsid w:val="00DA77A5"/>
    <w:rsid w:val="00DB055F"/>
    <w:rsid w:val="00DB05A3"/>
    <w:rsid w:val="00DB06D8"/>
    <w:rsid w:val="00DB0C0A"/>
    <w:rsid w:val="00DB1CE1"/>
    <w:rsid w:val="00DB324C"/>
    <w:rsid w:val="00DB3440"/>
    <w:rsid w:val="00DB37A8"/>
    <w:rsid w:val="00DB4BCD"/>
    <w:rsid w:val="00DB5A6E"/>
    <w:rsid w:val="00DB5A7C"/>
    <w:rsid w:val="00DB6ABD"/>
    <w:rsid w:val="00DB6E41"/>
    <w:rsid w:val="00DB787C"/>
    <w:rsid w:val="00DB79EE"/>
    <w:rsid w:val="00DC0224"/>
    <w:rsid w:val="00DC0648"/>
    <w:rsid w:val="00DC0B3A"/>
    <w:rsid w:val="00DC35A3"/>
    <w:rsid w:val="00DC5015"/>
    <w:rsid w:val="00DC52A2"/>
    <w:rsid w:val="00DC5501"/>
    <w:rsid w:val="00DC7100"/>
    <w:rsid w:val="00DC74EC"/>
    <w:rsid w:val="00DC7603"/>
    <w:rsid w:val="00DD1278"/>
    <w:rsid w:val="00DD1A72"/>
    <w:rsid w:val="00DD3F28"/>
    <w:rsid w:val="00DD4537"/>
    <w:rsid w:val="00DD4705"/>
    <w:rsid w:val="00DD4BEA"/>
    <w:rsid w:val="00DD4C06"/>
    <w:rsid w:val="00DD4E15"/>
    <w:rsid w:val="00DD5280"/>
    <w:rsid w:val="00DD5468"/>
    <w:rsid w:val="00DD788D"/>
    <w:rsid w:val="00DD7EAF"/>
    <w:rsid w:val="00DE040B"/>
    <w:rsid w:val="00DE0FFE"/>
    <w:rsid w:val="00DE10B8"/>
    <w:rsid w:val="00DE326E"/>
    <w:rsid w:val="00DE39A9"/>
    <w:rsid w:val="00DE3D00"/>
    <w:rsid w:val="00DE413C"/>
    <w:rsid w:val="00DE42F9"/>
    <w:rsid w:val="00DE4FCB"/>
    <w:rsid w:val="00DE7529"/>
    <w:rsid w:val="00DF0ED7"/>
    <w:rsid w:val="00DF1079"/>
    <w:rsid w:val="00DF136E"/>
    <w:rsid w:val="00DF1DC3"/>
    <w:rsid w:val="00DF217D"/>
    <w:rsid w:val="00DF22DA"/>
    <w:rsid w:val="00DF2352"/>
    <w:rsid w:val="00DF2A11"/>
    <w:rsid w:val="00DF58E6"/>
    <w:rsid w:val="00DF5D2B"/>
    <w:rsid w:val="00DF64B4"/>
    <w:rsid w:val="00DF7583"/>
    <w:rsid w:val="00E01B40"/>
    <w:rsid w:val="00E01C64"/>
    <w:rsid w:val="00E03393"/>
    <w:rsid w:val="00E04117"/>
    <w:rsid w:val="00E06BE6"/>
    <w:rsid w:val="00E100FB"/>
    <w:rsid w:val="00E10149"/>
    <w:rsid w:val="00E10815"/>
    <w:rsid w:val="00E11505"/>
    <w:rsid w:val="00E11915"/>
    <w:rsid w:val="00E12040"/>
    <w:rsid w:val="00E12446"/>
    <w:rsid w:val="00E12768"/>
    <w:rsid w:val="00E15ABD"/>
    <w:rsid w:val="00E16372"/>
    <w:rsid w:val="00E16B46"/>
    <w:rsid w:val="00E16D2C"/>
    <w:rsid w:val="00E175D7"/>
    <w:rsid w:val="00E20ED6"/>
    <w:rsid w:val="00E21358"/>
    <w:rsid w:val="00E21A32"/>
    <w:rsid w:val="00E2249B"/>
    <w:rsid w:val="00E22A0D"/>
    <w:rsid w:val="00E22A94"/>
    <w:rsid w:val="00E23071"/>
    <w:rsid w:val="00E24078"/>
    <w:rsid w:val="00E25574"/>
    <w:rsid w:val="00E25C5B"/>
    <w:rsid w:val="00E25C62"/>
    <w:rsid w:val="00E26310"/>
    <w:rsid w:val="00E2771E"/>
    <w:rsid w:val="00E31128"/>
    <w:rsid w:val="00E312E0"/>
    <w:rsid w:val="00E31B6F"/>
    <w:rsid w:val="00E31D5F"/>
    <w:rsid w:val="00E31DC5"/>
    <w:rsid w:val="00E322D7"/>
    <w:rsid w:val="00E3526E"/>
    <w:rsid w:val="00E3553F"/>
    <w:rsid w:val="00E35889"/>
    <w:rsid w:val="00E36401"/>
    <w:rsid w:val="00E36491"/>
    <w:rsid w:val="00E365D9"/>
    <w:rsid w:val="00E37410"/>
    <w:rsid w:val="00E37569"/>
    <w:rsid w:val="00E37852"/>
    <w:rsid w:val="00E37C23"/>
    <w:rsid w:val="00E41309"/>
    <w:rsid w:val="00E413E5"/>
    <w:rsid w:val="00E41A59"/>
    <w:rsid w:val="00E41E30"/>
    <w:rsid w:val="00E43508"/>
    <w:rsid w:val="00E43A80"/>
    <w:rsid w:val="00E43D70"/>
    <w:rsid w:val="00E43FBF"/>
    <w:rsid w:val="00E4416B"/>
    <w:rsid w:val="00E4449F"/>
    <w:rsid w:val="00E446D8"/>
    <w:rsid w:val="00E44C73"/>
    <w:rsid w:val="00E45132"/>
    <w:rsid w:val="00E45673"/>
    <w:rsid w:val="00E465EB"/>
    <w:rsid w:val="00E46D70"/>
    <w:rsid w:val="00E47B2C"/>
    <w:rsid w:val="00E51560"/>
    <w:rsid w:val="00E53698"/>
    <w:rsid w:val="00E538AE"/>
    <w:rsid w:val="00E5419D"/>
    <w:rsid w:val="00E54575"/>
    <w:rsid w:val="00E54637"/>
    <w:rsid w:val="00E5469D"/>
    <w:rsid w:val="00E55424"/>
    <w:rsid w:val="00E55BB5"/>
    <w:rsid w:val="00E55DDB"/>
    <w:rsid w:val="00E56040"/>
    <w:rsid w:val="00E57AB7"/>
    <w:rsid w:val="00E57C5D"/>
    <w:rsid w:val="00E61238"/>
    <w:rsid w:val="00E63060"/>
    <w:rsid w:val="00E63306"/>
    <w:rsid w:val="00E64E4A"/>
    <w:rsid w:val="00E65E79"/>
    <w:rsid w:val="00E6630D"/>
    <w:rsid w:val="00E66D0D"/>
    <w:rsid w:val="00E6724C"/>
    <w:rsid w:val="00E67416"/>
    <w:rsid w:val="00E70E05"/>
    <w:rsid w:val="00E70E07"/>
    <w:rsid w:val="00E718B6"/>
    <w:rsid w:val="00E7298E"/>
    <w:rsid w:val="00E72F18"/>
    <w:rsid w:val="00E73581"/>
    <w:rsid w:val="00E756E6"/>
    <w:rsid w:val="00E7668B"/>
    <w:rsid w:val="00E7705F"/>
    <w:rsid w:val="00E77B0D"/>
    <w:rsid w:val="00E804EA"/>
    <w:rsid w:val="00E80622"/>
    <w:rsid w:val="00E80748"/>
    <w:rsid w:val="00E81718"/>
    <w:rsid w:val="00E821F6"/>
    <w:rsid w:val="00E824B7"/>
    <w:rsid w:val="00E829F8"/>
    <w:rsid w:val="00E83BDF"/>
    <w:rsid w:val="00E83F0D"/>
    <w:rsid w:val="00E866DD"/>
    <w:rsid w:val="00E87573"/>
    <w:rsid w:val="00E90640"/>
    <w:rsid w:val="00E91CD0"/>
    <w:rsid w:val="00E93699"/>
    <w:rsid w:val="00E938BF"/>
    <w:rsid w:val="00E9411D"/>
    <w:rsid w:val="00E95969"/>
    <w:rsid w:val="00E96635"/>
    <w:rsid w:val="00E9710D"/>
    <w:rsid w:val="00E973A4"/>
    <w:rsid w:val="00EA0068"/>
    <w:rsid w:val="00EA0100"/>
    <w:rsid w:val="00EA0ED5"/>
    <w:rsid w:val="00EA1764"/>
    <w:rsid w:val="00EA21F4"/>
    <w:rsid w:val="00EA276C"/>
    <w:rsid w:val="00EA3864"/>
    <w:rsid w:val="00EA3B56"/>
    <w:rsid w:val="00EA430E"/>
    <w:rsid w:val="00EA52FD"/>
    <w:rsid w:val="00EA5475"/>
    <w:rsid w:val="00EA55D7"/>
    <w:rsid w:val="00EA5654"/>
    <w:rsid w:val="00EA5859"/>
    <w:rsid w:val="00EA5E24"/>
    <w:rsid w:val="00EA6EB8"/>
    <w:rsid w:val="00EA7675"/>
    <w:rsid w:val="00EA7AF9"/>
    <w:rsid w:val="00EB0D98"/>
    <w:rsid w:val="00EB15B6"/>
    <w:rsid w:val="00EB2DE2"/>
    <w:rsid w:val="00EB3AC1"/>
    <w:rsid w:val="00EB471D"/>
    <w:rsid w:val="00EB4916"/>
    <w:rsid w:val="00EB7CA2"/>
    <w:rsid w:val="00EB7CF5"/>
    <w:rsid w:val="00EC00C9"/>
    <w:rsid w:val="00EC16E5"/>
    <w:rsid w:val="00EC2174"/>
    <w:rsid w:val="00EC260A"/>
    <w:rsid w:val="00EC2662"/>
    <w:rsid w:val="00EC3818"/>
    <w:rsid w:val="00EC3915"/>
    <w:rsid w:val="00EC394C"/>
    <w:rsid w:val="00EC45BD"/>
    <w:rsid w:val="00EC4A34"/>
    <w:rsid w:val="00ED12C1"/>
    <w:rsid w:val="00ED27E3"/>
    <w:rsid w:val="00ED3826"/>
    <w:rsid w:val="00ED3DB0"/>
    <w:rsid w:val="00ED49E3"/>
    <w:rsid w:val="00ED5842"/>
    <w:rsid w:val="00ED5BA7"/>
    <w:rsid w:val="00ED6CC3"/>
    <w:rsid w:val="00ED6F5C"/>
    <w:rsid w:val="00ED79C5"/>
    <w:rsid w:val="00ED7FE2"/>
    <w:rsid w:val="00EE07D3"/>
    <w:rsid w:val="00EE31C5"/>
    <w:rsid w:val="00EE44D4"/>
    <w:rsid w:val="00EE4903"/>
    <w:rsid w:val="00EE68CE"/>
    <w:rsid w:val="00EE7D44"/>
    <w:rsid w:val="00EF02B8"/>
    <w:rsid w:val="00EF158F"/>
    <w:rsid w:val="00EF245D"/>
    <w:rsid w:val="00EF33E5"/>
    <w:rsid w:val="00EF3597"/>
    <w:rsid w:val="00EF3F7D"/>
    <w:rsid w:val="00EF54C0"/>
    <w:rsid w:val="00EF7340"/>
    <w:rsid w:val="00EF79CE"/>
    <w:rsid w:val="00EF7E82"/>
    <w:rsid w:val="00F003F0"/>
    <w:rsid w:val="00F01E69"/>
    <w:rsid w:val="00F02015"/>
    <w:rsid w:val="00F02159"/>
    <w:rsid w:val="00F02220"/>
    <w:rsid w:val="00F0456D"/>
    <w:rsid w:val="00F04D47"/>
    <w:rsid w:val="00F05935"/>
    <w:rsid w:val="00F067A2"/>
    <w:rsid w:val="00F103DA"/>
    <w:rsid w:val="00F107A8"/>
    <w:rsid w:val="00F107B0"/>
    <w:rsid w:val="00F1097C"/>
    <w:rsid w:val="00F12E4B"/>
    <w:rsid w:val="00F13C8D"/>
    <w:rsid w:val="00F13DB4"/>
    <w:rsid w:val="00F1546A"/>
    <w:rsid w:val="00F16D63"/>
    <w:rsid w:val="00F20449"/>
    <w:rsid w:val="00F20A85"/>
    <w:rsid w:val="00F21D6E"/>
    <w:rsid w:val="00F22CE5"/>
    <w:rsid w:val="00F23BB3"/>
    <w:rsid w:val="00F243EA"/>
    <w:rsid w:val="00F24837"/>
    <w:rsid w:val="00F24B2D"/>
    <w:rsid w:val="00F24DED"/>
    <w:rsid w:val="00F2575F"/>
    <w:rsid w:val="00F2588E"/>
    <w:rsid w:val="00F26C23"/>
    <w:rsid w:val="00F26EE9"/>
    <w:rsid w:val="00F275CB"/>
    <w:rsid w:val="00F27789"/>
    <w:rsid w:val="00F307F6"/>
    <w:rsid w:val="00F310E3"/>
    <w:rsid w:val="00F31128"/>
    <w:rsid w:val="00F32002"/>
    <w:rsid w:val="00F321CC"/>
    <w:rsid w:val="00F32324"/>
    <w:rsid w:val="00F332B2"/>
    <w:rsid w:val="00F33DE9"/>
    <w:rsid w:val="00F341F8"/>
    <w:rsid w:val="00F3521F"/>
    <w:rsid w:val="00F3619A"/>
    <w:rsid w:val="00F401B9"/>
    <w:rsid w:val="00F41F77"/>
    <w:rsid w:val="00F446F2"/>
    <w:rsid w:val="00F4583E"/>
    <w:rsid w:val="00F45854"/>
    <w:rsid w:val="00F45A47"/>
    <w:rsid w:val="00F45B9F"/>
    <w:rsid w:val="00F45DF7"/>
    <w:rsid w:val="00F46CB6"/>
    <w:rsid w:val="00F47D3B"/>
    <w:rsid w:val="00F512DA"/>
    <w:rsid w:val="00F5202B"/>
    <w:rsid w:val="00F5261B"/>
    <w:rsid w:val="00F52E09"/>
    <w:rsid w:val="00F541DC"/>
    <w:rsid w:val="00F55E73"/>
    <w:rsid w:val="00F60092"/>
    <w:rsid w:val="00F6202E"/>
    <w:rsid w:val="00F622C1"/>
    <w:rsid w:val="00F63C20"/>
    <w:rsid w:val="00F64C2D"/>
    <w:rsid w:val="00F64EC4"/>
    <w:rsid w:val="00F64FE3"/>
    <w:rsid w:val="00F6584F"/>
    <w:rsid w:val="00F66949"/>
    <w:rsid w:val="00F6747D"/>
    <w:rsid w:val="00F67500"/>
    <w:rsid w:val="00F67EE3"/>
    <w:rsid w:val="00F701C3"/>
    <w:rsid w:val="00F7089F"/>
    <w:rsid w:val="00F71ABD"/>
    <w:rsid w:val="00F72D45"/>
    <w:rsid w:val="00F732DF"/>
    <w:rsid w:val="00F773F3"/>
    <w:rsid w:val="00F80E5D"/>
    <w:rsid w:val="00F82064"/>
    <w:rsid w:val="00F84D6C"/>
    <w:rsid w:val="00F851CE"/>
    <w:rsid w:val="00F851F7"/>
    <w:rsid w:val="00F85535"/>
    <w:rsid w:val="00F855CD"/>
    <w:rsid w:val="00F86004"/>
    <w:rsid w:val="00F86115"/>
    <w:rsid w:val="00F90239"/>
    <w:rsid w:val="00F905CF"/>
    <w:rsid w:val="00F90A8E"/>
    <w:rsid w:val="00F90D24"/>
    <w:rsid w:val="00F928CD"/>
    <w:rsid w:val="00F9300C"/>
    <w:rsid w:val="00F93F4C"/>
    <w:rsid w:val="00F95C3E"/>
    <w:rsid w:val="00F9710C"/>
    <w:rsid w:val="00F97585"/>
    <w:rsid w:val="00F97A78"/>
    <w:rsid w:val="00FA095B"/>
    <w:rsid w:val="00FA1D9F"/>
    <w:rsid w:val="00FA24E7"/>
    <w:rsid w:val="00FA33AF"/>
    <w:rsid w:val="00FA56B2"/>
    <w:rsid w:val="00FA576E"/>
    <w:rsid w:val="00FA5D3B"/>
    <w:rsid w:val="00FA64C4"/>
    <w:rsid w:val="00FA6AA4"/>
    <w:rsid w:val="00FA71A5"/>
    <w:rsid w:val="00FB1FCE"/>
    <w:rsid w:val="00FB2506"/>
    <w:rsid w:val="00FB274D"/>
    <w:rsid w:val="00FB2FCB"/>
    <w:rsid w:val="00FB4732"/>
    <w:rsid w:val="00FB4840"/>
    <w:rsid w:val="00FB4A3C"/>
    <w:rsid w:val="00FB4BA9"/>
    <w:rsid w:val="00FB5B0F"/>
    <w:rsid w:val="00FB5DBE"/>
    <w:rsid w:val="00FB6815"/>
    <w:rsid w:val="00FB694E"/>
    <w:rsid w:val="00FB730A"/>
    <w:rsid w:val="00FC1074"/>
    <w:rsid w:val="00FC1884"/>
    <w:rsid w:val="00FC260B"/>
    <w:rsid w:val="00FC329D"/>
    <w:rsid w:val="00FC353B"/>
    <w:rsid w:val="00FC3B3E"/>
    <w:rsid w:val="00FC3F3E"/>
    <w:rsid w:val="00FC43DC"/>
    <w:rsid w:val="00FC4B21"/>
    <w:rsid w:val="00FC4BD4"/>
    <w:rsid w:val="00FC7C3E"/>
    <w:rsid w:val="00FC7ECE"/>
    <w:rsid w:val="00FD0062"/>
    <w:rsid w:val="00FD020A"/>
    <w:rsid w:val="00FD06AA"/>
    <w:rsid w:val="00FD0C0B"/>
    <w:rsid w:val="00FD1666"/>
    <w:rsid w:val="00FD16CF"/>
    <w:rsid w:val="00FD17FA"/>
    <w:rsid w:val="00FD2100"/>
    <w:rsid w:val="00FD30CA"/>
    <w:rsid w:val="00FD30F3"/>
    <w:rsid w:val="00FD331E"/>
    <w:rsid w:val="00FD3FA4"/>
    <w:rsid w:val="00FD446D"/>
    <w:rsid w:val="00FD4A60"/>
    <w:rsid w:val="00FD4C9F"/>
    <w:rsid w:val="00FD71BB"/>
    <w:rsid w:val="00FE04DA"/>
    <w:rsid w:val="00FE07E2"/>
    <w:rsid w:val="00FE150F"/>
    <w:rsid w:val="00FE22B0"/>
    <w:rsid w:val="00FE2C91"/>
    <w:rsid w:val="00FE2D15"/>
    <w:rsid w:val="00FE58E1"/>
    <w:rsid w:val="00FE5930"/>
    <w:rsid w:val="00FE669F"/>
    <w:rsid w:val="00FE6F30"/>
    <w:rsid w:val="00FF0753"/>
    <w:rsid w:val="00FF0B27"/>
    <w:rsid w:val="00FF0F21"/>
    <w:rsid w:val="00FF1A6B"/>
    <w:rsid w:val="00FF2172"/>
    <w:rsid w:val="00FF2EFD"/>
    <w:rsid w:val="00FF3DCF"/>
    <w:rsid w:val="00FF483C"/>
    <w:rsid w:val="00FF507D"/>
    <w:rsid w:val="00FF5AA3"/>
    <w:rsid w:val="00FF634E"/>
    <w:rsid w:val="00FF66C3"/>
    <w:rsid w:val="00FF672C"/>
    <w:rsid w:val="00FF69CE"/>
    <w:rsid w:val="00FF6CBB"/>
    <w:rsid w:val="00FF7428"/>
    <w:rsid w:val="00FF75D9"/>
    <w:rsid w:val="00FF7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E821F6"/>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7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
    <w:semiHidden/>
    <w:rsid w:val="008B647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B647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B647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B6471"/>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uiPriority w:val="99"/>
    <w:qFormat/>
    <w:rsid w:val="00124A51"/>
    <w:pPr>
      <w:ind w:left="720"/>
      <w:contextualSpacing/>
    </w:p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rsid w:val="00E2771E"/>
    <w:rPr>
      <w:rFonts w:ascii="Arial Narrow" w:hAnsi="Arial Narrow" w:cs="Times New Roman"/>
      <w:b/>
      <w:sz w:val="16"/>
    </w:rPr>
  </w:style>
  <w:style w:type="paragraph" w:customStyle="1" w:styleId="Tabletext">
    <w:name w:val="Table text"/>
    <w:basedOn w:val="Normal"/>
    <w:link w:val="TabletextChar"/>
    <w:uiPriority w:val="99"/>
    <w:rsid w:val="00D2272A"/>
    <w:pPr>
      <w:widowControl/>
      <w:jc w:val="left"/>
    </w:pPr>
    <w:rPr>
      <w:rFonts w:ascii="Arial Narrow" w:hAnsi="Arial Narrow" w:cs="Times New Roman"/>
      <w:sz w:val="20"/>
    </w:rPr>
  </w:style>
  <w:style w:type="paragraph" w:customStyle="1" w:styleId="TableHeading">
    <w:name w:val="TableHeading"/>
    <w:basedOn w:val="Normal"/>
    <w:uiPriority w:val="99"/>
    <w:rsid w:val="00A56B6A"/>
    <w:pPr>
      <w:keepNext/>
      <w:widowControl/>
      <w:numPr>
        <w:numId w:val="11"/>
      </w:numPr>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eastAsia="MS Gothic"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locked/>
    <w:rsid w:val="00FD2100"/>
    <w:rPr>
      <w:rFonts w:cs="Times New Roman"/>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character" w:customStyle="1" w:styleId="SubtitleChar">
    <w:name w:val="Subtitle Char"/>
    <w:link w:val="Subtitle"/>
    <w:uiPriority w:val="99"/>
    <w:locked/>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z w:val="20"/>
    </w:rPr>
  </w:style>
  <w:style w:type="character" w:customStyle="1" w:styleId="SubtitleChar1">
    <w:name w:val="Subtitle Char1"/>
    <w:basedOn w:val="DefaultParagraphFont"/>
    <w:uiPriority w:val="99"/>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qFormat/>
    <w:rsid w:val="00BD6CF3"/>
    <w:pPr>
      <w:numPr>
        <w:numId w:val="27"/>
      </w:numPr>
    </w:pPr>
    <w:rPr>
      <w:rFonts w:ascii="Arial" w:hAnsi="Arial" w:cs="Arial"/>
      <w:b/>
      <w:lang w:eastAsia="en-US"/>
    </w:rPr>
  </w:style>
  <w:style w:type="table" w:customStyle="1" w:styleId="TableGrid1">
    <w:name w:val="Table Grid1"/>
    <w:uiPriority w:val="99"/>
    <w:rsid w:val="00D71793"/>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BA3529"/>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FigureFootnote">
    <w:name w:val="Table &amp; Figure Footnote"/>
    <w:basedOn w:val="BodyText"/>
    <w:next w:val="BodyText"/>
    <w:uiPriority w:val="99"/>
    <w:rsid w:val="00A03642"/>
    <w:pPr>
      <w:widowControl/>
      <w:spacing w:before="20" w:after="20"/>
      <w:jc w:val="both"/>
    </w:pPr>
    <w:rPr>
      <w:rFonts w:cs="Times New Roman"/>
      <w:sz w:val="16"/>
      <w:szCs w:val="24"/>
    </w:rPr>
  </w:style>
  <w:style w:type="table" w:customStyle="1" w:styleId="TableGrid3">
    <w:name w:val="Table Grid3"/>
    <w:uiPriority w:val="99"/>
    <w:rsid w:val="009F1E1E"/>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1">
    <w:name w:val="Table Text"/>
    <w:basedOn w:val="Normal"/>
    <w:next w:val="BodyText"/>
    <w:uiPriority w:val="99"/>
    <w:rsid w:val="00EC260A"/>
    <w:pPr>
      <w:widowControl/>
      <w:spacing w:before="40" w:after="40"/>
    </w:pPr>
    <w:rPr>
      <w:rFonts w:cs="Times New Roman"/>
      <w:sz w:val="18"/>
      <w:szCs w:val="24"/>
    </w:rPr>
  </w:style>
  <w:style w:type="table" w:customStyle="1" w:styleId="TableGrid4">
    <w:name w:val="Table Grid4"/>
    <w:uiPriority w:val="99"/>
    <w:rsid w:val="00AD14C8"/>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DD4C06"/>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B069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FF2EFD"/>
    <w:pPr>
      <w:widowControl/>
      <w:spacing w:after="160" w:line="240" w:lineRule="exact"/>
      <w:jc w:val="left"/>
    </w:pPr>
    <w:rPr>
      <w:rFonts w:ascii="Verdana" w:eastAsia="MS Mincho" w:hAnsi="Verdana" w:cs="Verdana"/>
      <w:sz w:val="20"/>
      <w:lang w:val="en-US"/>
    </w:rPr>
  </w:style>
  <w:style w:type="character" w:styleId="FollowedHyperlink">
    <w:name w:val="FollowedHyperlink"/>
    <w:basedOn w:val="DefaultParagraphFont"/>
    <w:uiPriority w:val="99"/>
    <w:semiHidden/>
    <w:rsid w:val="00FF75D9"/>
    <w:rPr>
      <w:rFonts w:cs="Times New Roman"/>
      <w:color w:val="800080"/>
      <w:u w:val="single"/>
    </w:rPr>
  </w:style>
  <w:style w:type="paragraph" w:customStyle="1" w:styleId="Default">
    <w:name w:val="Default"/>
    <w:uiPriority w:val="99"/>
    <w:rsid w:val="006C6B7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E821F6"/>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7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
    <w:semiHidden/>
    <w:rsid w:val="008B647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B647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B647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B6471"/>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uiPriority w:val="99"/>
    <w:qFormat/>
    <w:rsid w:val="00124A51"/>
    <w:pPr>
      <w:ind w:left="720"/>
      <w:contextualSpacing/>
    </w:p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rsid w:val="00E2771E"/>
    <w:rPr>
      <w:rFonts w:ascii="Arial Narrow" w:hAnsi="Arial Narrow" w:cs="Times New Roman"/>
      <w:b/>
      <w:sz w:val="16"/>
    </w:rPr>
  </w:style>
  <w:style w:type="paragraph" w:customStyle="1" w:styleId="Tabletext">
    <w:name w:val="Table text"/>
    <w:basedOn w:val="Normal"/>
    <w:link w:val="TabletextChar"/>
    <w:uiPriority w:val="99"/>
    <w:rsid w:val="00D2272A"/>
    <w:pPr>
      <w:widowControl/>
      <w:jc w:val="left"/>
    </w:pPr>
    <w:rPr>
      <w:rFonts w:ascii="Arial Narrow" w:hAnsi="Arial Narrow" w:cs="Times New Roman"/>
      <w:sz w:val="20"/>
    </w:rPr>
  </w:style>
  <w:style w:type="paragraph" w:customStyle="1" w:styleId="TableHeading">
    <w:name w:val="TableHeading"/>
    <w:basedOn w:val="Normal"/>
    <w:uiPriority w:val="99"/>
    <w:rsid w:val="00A56B6A"/>
    <w:pPr>
      <w:keepNext/>
      <w:widowControl/>
      <w:numPr>
        <w:numId w:val="11"/>
      </w:numPr>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eastAsia="MS Gothic"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locked/>
    <w:rsid w:val="00FD2100"/>
    <w:rPr>
      <w:rFonts w:cs="Times New Roman"/>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character" w:customStyle="1" w:styleId="SubtitleChar">
    <w:name w:val="Subtitle Char"/>
    <w:link w:val="Subtitle"/>
    <w:uiPriority w:val="99"/>
    <w:locked/>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z w:val="20"/>
    </w:rPr>
  </w:style>
  <w:style w:type="character" w:customStyle="1" w:styleId="SubtitleChar1">
    <w:name w:val="Subtitle Char1"/>
    <w:basedOn w:val="DefaultParagraphFont"/>
    <w:uiPriority w:val="99"/>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qFormat/>
    <w:rsid w:val="00BD6CF3"/>
    <w:pPr>
      <w:numPr>
        <w:numId w:val="27"/>
      </w:numPr>
    </w:pPr>
    <w:rPr>
      <w:rFonts w:ascii="Arial" w:hAnsi="Arial" w:cs="Arial"/>
      <w:b/>
      <w:lang w:eastAsia="en-US"/>
    </w:rPr>
  </w:style>
  <w:style w:type="table" w:customStyle="1" w:styleId="TableGrid1">
    <w:name w:val="Table Grid1"/>
    <w:uiPriority w:val="99"/>
    <w:rsid w:val="00D71793"/>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BA3529"/>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FigureFootnote">
    <w:name w:val="Table &amp; Figure Footnote"/>
    <w:basedOn w:val="BodyText"/>
    <w:next w:val="BodyText"/>
    <w:uiPriority w:val="99"/>
    <w:rsid w:val="00A03642"/>
    <w:pPr>
      <w:widowControl/>
      <w:spacing w:before="20" w:after="20"/>
      <w:jc w:val="both"/>
    </w:pPr>
    <w:rPr>
      <w:rFonts w:cs="Times New Roman"/>
      <w:sz w:val="16"/>
      <w:szCs w:val="24"/>
    </w:rPr>
  </w:style>
  <w:style w:type="table" w:customStyle="1" w:styleId="TableGrid3">
    <w:name w:val="Table Grid3"/>
    <w:uiPriority w:val="99"/>
    <w:rsid w:val="009F1E1E"/>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1">
    <w:name w:val="Table Text"/>
    <w:basedOn w:val="Normal"/>
    <w:next w:val="BodyText"/>
    <w:uiPriority w:val="99"/>
    <w:rsid w:val="00EC260A"/>
    <w:pPr>
      <w:widowControl/>
      <w:spacing w:before="40" w:after="40"/>
    </w:pPr>
    <w:rPr>
      <w:rFonts w:cs="Times New Roman"/>
      <w:sz w:val="18"/>
      <w:szCs w:val="24"/>
    </w:rPr>
  </w:style>
  <w:style w:type="table" w:customStyle="1" w:styleId="TableGrid4">
    <w:name w:val="Table Grid4"/>
    <w:uiPriority w:val="99"/>
    <w:rsid w:val="00AD14C8"/>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DD4C06"/>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B069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FF2EFD"/>
    <w:pPr>
      <w:widowControl/>
      <w:spacing w:after="160" w:line="240" w:lineRule="exact"/>
      <w:jc w:val="left"/>
    </w:pPr>
    <w:rPr>
      <w:rFonts w:ascii="Verdana" w:eastAsia="MS Mincho" w:hAnsi="Verdana" w:cs="Verdana"/>
      <w:sz w:val="20"/>
      <w:lang w:val="en-US"/>
    </w:rPr>
  </w:style>
  <w:style w:type="character" w:styleId="FollowedHyperlink">
    <w:name w:val="FollowedHyperlink"/>
    <w:basedOn w:val="DefaultParagraphFont"/>
    <w:uiPriority w:val="99"/>
    <w:semiHidden/>
    <w:rsid w:val="00FF75D9"/>
    <w:rPr>
      <w:rFonts w:cs="Times New Roman"/>
      <w:color w:val="800080"/>
      <w:u w:val="single"/>
    </w:rPr>
  </w:style>
  <w:style w:type="paragraph" w:customStyle="1" w:styleId="Default">
    <w:name w:val="Default"/>
    <w:uiPriority w:val="99"/>
    <w:rsid w:val="006C6B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2126">
      <w:marLeft w:val="0"/>
      <w:marRight w:val="0"/>
      <w:marTop w:val="0"/>
      <w:marBottom w:val="0"/>
      <w:divBdr>
        <w:top w:val="none" w:sz="0" w:space="0" w:color="auto"/>
        <w:left w:val="none" w:sz="0" w:space="0" w:color="auto"/>
        <w:bottom w:val="none" w:sz="0" w:space="0" w:color="auto"/>
        <w:right w:val="none" w:sz="0" w:space="0" w:color="auto"/>
      </w:divBdr>
    </w:div>
    <w:div w:id="93672127">
      <w:marLeft w:val="0"/>
      <w:marRight w:val="0"/>
      <w:marTop w:val="0"/>
      <w:marBottom w:val="0"/>
      <w:divBdr>
        <w:top w:val="none" w:sz="0" w:space="0" w:color="auto"/>
        <w:left w:val="none" w:sz="0" w:space="0" w:color="auto"/>
        <w:bottom w:val="none" w:sz="0" w:space="0" w:color="auto"/>
        <w:right w:val="none" w:sz="0" w:space="0" w:color="auto"/>
      </w:divBdr>
      <w:divsChild>
        <w:div w:id="93672132">
          <w:marLeft w:val="547"/>
          <w:marRight w:val="0"/>
          <w:marTop w:val="91"/>
          <w:marBottom w:val="0"/>
          <w:divBdr>
            <w:top w:val="none" w:sz="0" w:space="0" w:color="auto"/>
            <w:left w:val="none" w:sz="0" w:space="0" w:color="auto"/>
            <w:bottom w:val="none" w:sz="0" w:space="0" w:color="auto"/>
            <w:right w:val="none" w:sz="0" w:space="0" w:color="auto"/>
          </w:divBdr>
        </w:div>
      </w:divsChild>
    </w:div>
    <w:div w:id="93672128">
      <w:marLeft w:val="0"/>
      <w:marRight w:val="0"/>
      <w:marTop w:val="0"/>
      <w:marBottom w:val="0"/>
      <w:divBdr>
        <w:top w:val="none" w:sz="0" w:space="0" w:color="auto"/>
        <w:left w:val="none" w:sz="0" w:space="0" w:color="auto"/>
        <w:bottom w:val="none" w:sz="0" w:space="0" w:color="auto"/>
        <w:right w:val="none" w:sz="0" w:space="0" w:color="auto"/>
      </w:divBdr>
    </w:div>
    <w:div w:id="93672133">
      <w:marLeft w:val="0"/>
      <w:marRight w:val="0"/>
      <w:marTop w:val="0"/>
      <w:marBottom w:val="0"/>
      <w:divBdr>
        <w:top w:val="none" w:sz="0" w:space="0" w:color="auto"/>
        <w:left w:val="none" w:sz="0" w:space="0" w:color="auto"/>
        <w:bottom w:val="none" w:sz="0" w:space="0" w:color="auto"/>
        <w:right w:val="none" w:sz="0" w:space="0" w:color="auto"/>
      </w:divBdr>
    </w:div>
    <w:div w:id="93672134">
      <w:marLeft w:val="0"/>
      <w:marRight w:val="0"/>
      <w:marTop w:val="0"/>
      <w:marBottom w:val="0"/>
      <w:divBdr>
        <w:top w:val="none" w:sz="0" w:space="0" w:color="auto"/>
        <w:left w:val="none" w:sz="0" w:space="0" w:color="auto"/>
        <w:bottom w:val="none" w:sz="0" w:space="0" w:color="auto"/>
        <w:right w:val="none" w:sz="0" w:space="0" w:color="auto"/>
      </w:divBdr>
    </w:div>
    <w:div w:id="93672138">
      <w:marLeft w:val="0"/>
      <w:marRight w:val="0"/>
      <w:marTop w:val="0"/>
      <w:marBottom w:val="0"/>
      <w:divBdr>
        <w:top w:val="none" w:sz="0" w:space="0" w:color="auto"/>
        <w:left w:val="none" w:sz="0" w:space="0" w:color="auto"/>
        <w:bottom w:val="none" w:sz="0" w:space="0" w:color="auto"/>
        <w:right w:val="none" w:sz="0" w:space="0" w:color="auto"/>
      </w:divBdr>
    </w:div>
    <w:div w:id="93672139">
      <w:marLeft w:val="0"/>
      <w:marRight w:val="0"/>
      <w:marTop w:val="0"/>
      <w:marBottom w:val="0"/>
      <w:divBdr>
        <w:top w:val="none" w:sz="0" w:space="0" w:color="auto"/>
        <w:left w:val="none" w:sz="0" w:space="0" w:color="auto"/>
        <w:bottom w:val="none" w:sz="0" w:space="0" w:color="auto"/>
        <w:right w:val="none" w:sz="0" w:space="0" w:color="auto"/>
      </w:divBdr>
      <w:divsChild>
        <w:div w:id="93672130">
          <w:marLeft w:val="0"/>
          <w:marRight w:val="0"/>
          <w:marTop w:val="240"/>
          <w:marBottom w:val="480"/>
          <w:divBdr>
            <w:top w:val="none" w:sz="0" w:space="0" w:color="auto"/>
            <w:left w:val="none" w:sz="0" w:space="0" w:color="auto"/>
            <w:bottom w:val="none" w:sz="0" w:space="0" w:color="auto"/>
            <w:right w:val="none" w:sz="0" w:space="0" w:color="auto"/>
          </w:divBdr>
          <w:divsChild>
            <w:div w:id="93672129">
              <w:marLeft w:val="0"/>
              <w:marRight w:val="0"/>
              <w:marTop w:val="0"/>
              <w:marBottom w:val="0"/>
              <w:divBdr>
                <w:top w:val="none" w:sz="0" w:space="0" w:color="auto"/>
                <w:left w:val="none" w:sz="0" w:space="0" w:color="auto"/>
                <w:bottom w:val="none" w:sz="0" w:space="0" w:color="auto"/>
                <w:right w:val="none" w:sz="0" w:space="0" w:color="auto"/>
              </w:divBdr>
              <w:divsChild>
                <w:div w:id="93672137">
                  <w:marLeft w:val="0"/>
                  <w:marRight w:val="0"/>
                  <w:marTop w:val="0"/>
                  <w:marBottom w:val="0"/>
                  <w:divBdr>
                    <w:top w:val="none" w:sz="0" w:space="0" w:color="auto"/>
                    <w:left w:val="none" w:sz="0" w:space="0" w:color="auto"/>
                    <w:bottom w:val="none" w:sz="0" w:space="0" w:color="auto"/>
                    <w:right w:val="none" w:sz="0" w:space="0" w:color="auto"/>
                  </w:divBdr>
                  <w:divsChild>
                    <w:div w:id="93672136">
                      <w:marLeft w:val="0"/>
                      <w:marRight w:val="0"/>
                      <w:marTop w:val="0"/>
                      <w:marBottom w:val="0"/>
                      <w:divBdr>
                        <w:top w:val="none" w:sz="0" w:space="0" w:color="auto"/>
                        <w:left w:val="none" w:sz="0" w:space="0" w:color="auto"/>
                        <w:bottom w:val="none" w:sz="0" w:space="0" w:color="auto"/>
                        <w:right w:val="none" w:sz="0" w:space="0" w:color="auto"/>
                      </w:divBdr>
                      <w:divsChild>
                        <w:div w:id="93672131">
                          <w:marLeft w:val="0"/>
                          <w:marRight w:val="0"/>
                          <w:marTop w:val="0"/>
                          <w:marBottom w:val="0"/>
                          <w:divBdr>
                            <w:top w:val="none" w:sz="0" w:space="0" w:color="auto"/>
                            <w:left w:val="none" w:sz="0" w:space="0" w:color="auto"/>
                            <w:bottom w:val="none" w:sz="0" w:space="0" w:color="auto"/>
                            <w:right w:val="none" w:sz="0" w:space="0" w:color="auto"/>
                          </w:divBdr>
                          <w:divsChild>
                            <w:div w:id="936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EC30-C3FD-4911-9466-70C9BCEF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7995</Words>
  <Characters>46274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2015-10-27T05:34:00Z</dcterms:created>
  <dcterms:modified xsi:type="dcterms:W3CDTF">2015-10-27T05:37:00Z</dcterms:modified>
</cp:coreProperties>
</file>