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875" w:rsidRPr="00605035" w:rsidRDefault="00FB4875" w:rsidP="00FB4875">
      <w:pPr>
        <w:pStyle w:val="Heading1"/>
        <w:rPr>
          <w:sz w:val="28"/>
        </w:rPr>
      </w:pPr>
      <w:bookmarkStart w:id="0" w:name="_Toc419711178"/>
      <w:r w:rsidRPr="00605035">
        <w:rPr>
          <w:sz w:val="28"/>
        </w:rPr>
        <w:t>7.04</w:t>
      </w:r>
      <w:r w:rsidR="00B60939" w:rsidRPr="00605035">
        <w:rPr>
          <w:sz w:val="28"/>
        </w:rPr>
        <w:tab/>
      </w:r>
      <w:r w:rsidR="001E453D" w:rsidRPr="00605035">
        <w:rPr>
          <w:sz w:val="28"/>
        </w:rPr>
        <w:t>FENTANYL</w:t>
      </w:r>
      <w:r w:rsidRPr="00605035">
        <w:rPr>
          <w:sz w:val="28"/>
        </w:rPr>
        <w:t xml:space="preserve"> CITRATE</w:t>
      </w:r>
      <w:bookmarkEnd w:id="0"/>
    </w:p>
    <w:p w:rsidR="00FB4875" w:rsidRPr="00605035" w:rsidRDefault="00FB4875" w:rsidP="00FB4875">
      <w:pPr>
        <w:ind w:left="709"/>
        <w:rPr>
          <w:b/>
          <w:sz w:val="28"/>
        </w:rPr>
      </w:pPr>
      <w:r w:rsidRPr="00605035">
        <w:rPr>
          <w:b/>
          <w:sz w:val="28"/>
        </w:rPr>
        <w:t>100 microgram tablet: sublingual, 10 &amp; 30</w:t>
      </w:r>
      <w:r w:rsidR="00605035">
        <w:rPr>
          <w:b/>
          <w:sz w:val="28"/>
        </w:rPr>
        <w:t>,</w:t>
      </w:r>
    </w:p>
    <w:p w:rsidR="00FB4875" w:rsidRPr="00605035" w:rsidRDefault="00FB4875" w:rsidP="00FB4875">
      <w:pPr>
        <w:ind w:left="709"/>
        <w:rPr>
          <w:b/>
          <w:sz w:val="28"/>
        </w:rPr>
      </w:pPr>
      <w:r w:rsidRPr="00605035">
        <w:rPr>
          <w:b/>
          <w:sz w:val="28"/>
        </w:rPr>
        <w:t>200 microgram tablet: sublingual, 10 &amp; 30</w:t>
      </w:r>
      <w:r w:rsidR="00605035">
        <w:rPr>
          <w:b/>
          <w:sz w:val="28"/>
        </w:rPr>
        <w:t>,</w:t>
      </w:r>
    </w:p>
    <w:p w:rsidR="00FB4875" w:rsidRPr="00605035" w:rsidRDefault="00FB4875" w:rsidP="00FB4875">
      <w:pPr>
        <w:ind w:left="709"/>
        <w:rPr>
          <w:b/>
          <w:sz w:val="28"/>
        </w:rPr>
      </w:pPr>
      <w:r w:rsidRPr="00605035">
        <w:rPr>
          <w:b/>
          <w:sz w:val="28"/>
        </w:rPr>
        <w:t>300 microgram tablet: sublingual, 10 &amp; 30</w:t>
      </w:r>
      <w:r w:rsidR="00605035">
        <w:rPr>
          <w:b/>
          <w:sz w:val="28"/>
        </w:rPr>
        <w:t>,</w:t>
      </w:r>
    </w:p>
    <w:p w:rsidR="00FB4875" w:rsidRPr="00605035" w:rsidRDefault="00FB4875" w:rsidP="00FB4875">
      <w:pPr>
        <w:ind w:left="709"/>
        <w:rPr>
          <w:b/>
          <w:sz w:val="28"/>
        </w:rPr>
      </w:pPr>
      <w:r w:rsidRPr="00605035">
        <w:rPr>
          <w:b/>
          <w:sz w:val="28"/>
        </w:rPr>
        <w:t>400 microgram tablet: sublingual, 10 &amp; 30</w:t>
      </w:r>
      <w:r w:rsidR="00605035">
        <w:rPr>
          <w:b/>
          <w:sz w:val="28"/>
        </w:rPr>
        <w:t>,</w:t>
      </w:r>
    </w:p>
    <w:p w:rsidR="00FB4875" w:rsidRPr="00605035" w:rsidRDefault="00FB4875" w:rsidP="00FB4875">
      <w:pPr>
        <w:ind w:left="709"/>
        <w:rPr>
          <w:b/>
          <w:sz w:val="28"/>
        </w:rPr>
      </w:pPr>
      <w:r w:rsidRPr="00605035">
        <w:rPr>
          <w:b/>
          <w:sz w:val="28"/>
        </w:rPr>
        <w:t>600 microgram tablet: sublingual, 10 &amp; 30</w:t>
      </w:r>
      <w:r w:rsidR="00605035">
        <w:rPr>
          <w:b/>
          <w:sz w:val="28"/>
        </w:rPr>
        <w:t>,</w:t>
      </w:r>
    </w:p>
    <w:p w:rsidR="00FB4875" w:rsidRPr="00605035" w:rsidRDefault="00FB4875" w:rsidP="00FB4875">
      <w:pPr>
        <w:ind w:left="709"/>
        <w:rPr>
          <w:b/>
          <w:sz w:val="28"/>
        </w:rPr>
      </w:pPr>
      <w:r w:rsidRPr="00605035">
        <w:rPr>
          <w:b/>
          <w:sz w:val="28"/>
        </w:rPr>
        <w:t>800 microgram tablet: sublingual, 10 &amp; 30</w:t>
      </w:r>
      <w:r w:rsidR="00605035">
        <w:rPr>
          <w:b/>
          <w:sz w:val="28"/>
        </w:rPr>
        <w:t>,</w:t>
      </w:r>
    </w:p>
    <w:p w:rsidR="00FB4875" w:rsidRPr="00605035" w:rsidRDefault="00FB4875" w:rsidP="00FB4875">
      <w:pPr>
        <w:ind w:firstLine="709"/>
        <w:rPr>
          <w:b/>
          <w:sz w:val="28"/>
          <w:szCs w:val="28"/>
        </w:rPr>
      </w:pPr>
      <w:proofErr w:type="spellStart"/>
      <w:proofErr w:type="gramStart"/>
      <w:r w:rsidRPr="00605035">
        <w:rPr>
          <w:b/>
          <w:sz w:val="28"/>
          <w:szCs w:val="28"/>
        </w:rPr>
        <w:t>Abstral</w:t>
      </w:r>
      <w:proofErr w:type="spellEnd"/>
      <w:r w:rsidRPr="00605035">
        <w:rPr>
          <w:b/>
          <w:sz w:val="28"/>
          <w:szCs w:val="28"/>
        </w:rPr>
        <w:t xml:space="preserve">®, </w:t>
      </w:r>
      <w:proofErr w:type="spellStart"/>
      <w:r w:rsidRPr="00605035">
        <w:rPr>
          <w:b/>
          <w:sz w:val="28"/>
          <w:szCs w:val="28"/>
        </w:rPr>
        <w:t>A.Menarini</w:t>
      </w:r>
      <w:proofErr w:type="spellEnd"/>
      <w:r w:rsidRPr="00605035">
        <w:rPr>
          <w:b/>
          <w:sz w:val="28"/>
          <w:szCs w:val="28"/>
        </w:rPr>
        <w:t xml:space="preserve"> Australia Pty Ltd.</w:t>
      </w:r>
      <w:proofErr w:type="gramEnd"/>
    </w:p>
    <w:p w:rsidR="00B60939" w:rsidRPr="00605035" w:rsidRDefault="00B60939" w:rsidP="00577717">
      <w:pPr>
        <w:rPr>
          <w:b/>
        </w:rPr>
      </w:pPr>
    </w:p>
    <w:p w:rsidR="002D0605" w:rsidRPr="00605035" w:rsidRDefault="002D0605" w:rsidP="00577717"/>
    <w:p w:rsidR="00F338FF" w:rsidRPr="00605035" w:rsidRDefault="00F338FF" w:rsidP="005D7E3E">
      <w:pPr>
        <w:pStyle w:val="PBACheading1"/>
        <w:rPr>
          <w:b/>
        </w:rPr>
      </w:pPr>
      <w:bookmarkStart w:id="1" w:name="_Toc419711180"/>
      <w:r w:rsidRPr="00605035">
        <w:rPr>
          <w:b/>
        </w:rPr>
        <w:t>Purpose of Application</w:t>
      </w:r>
      <w:bookmarkEnd w:id="1"/>
    </w:p>
    <w:p w:rsidR="00B60939" w:rsidRPr="00605035" w:rsidRDefault="00B60939" w:rsidP="00B60939">
      <w:pPr>
        <w:rPr>
          <w:szCs w:val="22"/>
        </w:rPr>
      </w:pPr>
    </w:p>
    <w:p w:rsidR="00B60939" w:rsidRPr="00605035" w:rsidRDefault="001E238E" w:rsidP="005B47A0">
      <w:pPr>
        <w:pStyle w:val="ListParagraph"/>
        <w:widowControl/>
        <w:numPr>
          <w:ilvl w:val="1"/>
          <w:numId w:val="3"/>
        </w:numPr>
        <w:rPr>
          <w:szCs w:val="22"/>
        </w:rPr>
      </w:pPr>
      <w:r w:rsidRPr="00605035">
        <w:t>Authority Required</w:t>
      </w:r>
      <w:r w:rsidR="005B0BB4" w:rsidRPr="00605035">
        <w:t xml:space="preserve"> (Palliative Care Schedule)</w:t>
      </w:r>
      <w:r w:rsidRPr="00605035">
        <w:t xml:space="preserve"> listing for </w:t>
      </w:r>
      <w:r w:rsidR="005B0BB4" w:rsidRPr="00605035">
        <w:t>fentanyl sublingual</w:t>
      </w:r>
      <w:r w:rsidRPr="00605035">
        <w:t xml:space="preserve"> </w:t>
      </w:r>
      <w:r w:rsidR="00283F58" w:rsidRPr="00605035">
        <w:t xml:space="preserve">tablets </w:t>
      </w:r>
      <w:r w:rsidRPr="00605035">
        <w:t>for treatment of</w:t>
      </w:r>
      <w:r w:rsidR="005B0BB4" w:rsidRPr="00605035">
        <w:t xml:space="preserve"> breakthrough pain</w:t>
      </w:r>
      <w:r w:rsidRPr="00605035">
        <w:t xml:space="preserve"> </w:t>
      </w:r>
      <w:r w:rsidR="005B0BB4" w:rsidRPr="00605035">
        <w:t>in patients undergoing palliative care for cancer.</w:t>
      </w:r>
    </w:p>
    <w:p w:rsidR="001B6188" w:rsidRPr="00605035" w:rsidRDefault="001B6188" w:rsidP="00497F10"/>
    <w:p w:rsidR="00A93553" w:rsidRPr="00605035" w:rsidRDefault="00A93553" w:rsidP="00497F10"/>
    <w:p w:rsidR="00F338FF" w:rsidRPr="00605035" w:rsidRDefault="00F338FF" w:rsidP="005D7E3E">
      <w:pPr>
        <w:pStyle w:val="PBACheading1"/>
        <w:rPr>
          <w:b/>
        </w:rPr>
      </w:pPr>
      <w:bookmarkStart w:id="2" w:name="_Toc419711181"/>
      <w:r w:rsidRPr="00605035">
        <w:rPr>
          <w:b/>
        </w:rPr>
        <w:t>Requested listing</w:t>
      </w:r>
      <w:bookmarkEnd w:id="2"/>
    </w:p>
    <w:p w:rsidR="00B60939" w:rsidRPr="00605035" w:rsidRDefault="00B60939" w:rsidP="00497F10"/>
    <w:p w:rsidR="00617E12" w:rsidRPr="00605035" w:rsidRDefault="00617E12" w:rsidP="005B47A0">
      <w:pPr>
        <w:pStyle w:val="ListParagraph"/>
        <w:widowControl/>
        <w:numPr>
          <w:ilvl w:val="1"/>
          <w:numId w:val="3"/>
        </w:numPr>
        <w:rPr>
          <w:szCs w:val="22"/>
        </w:rPr>
      </w:pPr>
    </w:p>
    <w:tbl>
      <w:tblPr>
        <w:tblW w:w="4605" w:type="pct"/>
        <w:tblInd w:w="736" w:type="dxa"/>
        <w:tblCellMar>
          <w:left w:w="28" w:type="dxa"/>
          <w:right w:w="28" w:type="dxa"/>
        </w:tblCellMar>
        <w:tblLook w:val="0000" w:firstRow="0" w:lastRow="0" w:firstColumn="0" w:lastColumn="0" w:noHBand="0" w:noVBand="0"/>
      </w:tblPr>
      <w:tblGrid>
        <w:gridCol w:w="1559"/>
        <w:gridCol w:w="1701"/>
        <w:gridCol w:w="708"/>
        <w:gridCol w:w="852"/>
        <w:gridCol w:w="1844"/>
        <w:gridCol w:w="1701"/>
      </w:tblGrid>
      <w:tr w:rsidR="00056DE0" w:rsidRPr="00605035" w:rsidTr="00056DE0">
        <w:trPr>
          <w:cantSplit/>
          <w:trHeight w:val="471"/>
        </w:trPr>
        <w:tc>
          <w:tcPr>
            <w:tcW w:w="1949" w:type="pct"/>
            <w:gridSpan w:val="2"/>
            <w:tcBorders>
              <w:bottom w:val="single" w:sz="4" w:space="0" w:color="auto"/>
            </w:tcBorders>
            <w:vAlign w:val="center"/>
          </w:tcPr>
          <w:p w:rsidR="00056DE0" w:rsidRPr="00605035" w:rsidRDefault="00056DE0" w:rsidP="00F338FF">
            <w:pPr>
              <w:keepNext/>
              <w:jc w:val="left"/>
              <w:rPr>
                <w:sz w:val="20"/>
              </w:rPr>
            </w:pPr>
            <w:r w:rsidRPr="00605035">
              <w:rPr>
                <w:sz w:val="20"/>
              </w:rPr>
              <w:t>Name, Restriction,</w:t>
            </w:r>
          </w:p>
          <w:p w:rsidR="00056DE0" w:rsidRPr="00605035" w:rsidRDefault="00056DE0" w:rsidP="00F338FF">
            <w:pPr>
              <w:keepNext/>
              <w:jc w:val="left"/>
              <w:rPr>
                <w:sz w:val="20"/>
              </w:rPr>
            </w:pPr>
            <w:r w:rsidRPr="00605035">
              <w:rPr>
                <w:sz w:val="20"/>
              </w:rPr>
              <w:t>Manner of administration and form</w:t>
            </w:r>
          </w:p>
        </w:tc>
        <w:tc>
          <w:tcPr>
            <w:tcW w:w="423" w:type="pct"/>
            <w:tcBorders>
              <w:bottom w:val="single" w:sz="4" w:space="0" w:color="auto"/>
            </w:tcBorders>
            <w:vAlign w:val="center"/>
          </w:tcPr>
          <w:p w:rsidR="00056DE0" w:rsidRPr="00605035" w:rsidRDefault="00056DE0" w:rsidP="00F338FF">
            <w:pPr>
              <w:keepNext/>
              <w:jc w:val="center"/>
              <w:rPr>
                <w:sz w:val="20"/>
              </w:rPr>
            </w:pPr>
            <w:r w:rsidRPr="00605035">
              <w:rPr>
                <w:sz w:val="20"/>
              </w:rPr>
              <w:t>Max.</w:t>
            </w:r>
          </w:p>
          <w:p w:rsidR="00056DE0" w:rsidRPr="00605035" w:rsidRDefault="00056DE0" w:rsidP="00F338FF">
            <w:pPr>
              <w:keepNext/>
              <w:jc w:val="center"/>
              <w:rPr>
                <w:sz w:val="20"/>
              </w:rPr>
            </w:pPr>
            <w:r w:rsidRPr="00605035">
              <w:rPr>
                <w:sz w:val="20"/>
              </w:rPr>
              <w:t>Qty</w:t>
            </w:r>
          </w:p>
        </w:tc>
        <w:tc>
          <w:tcPr>
            <w:tcW w:w="509" w:type="pct"/>
            <w:tcBorders>
              <w:bottom w:val="single" w:sz="4" w:space="0" w:color="auto"/>
            </w:tcBorders>
            <w:vAlign w:val="center"/>
          </w:tcPr>
          <w:p w:rsidR="00056DE0" w:rsidRPr="00605035" w:rsidRDefault="00056DE0" w:rsidP="00F338FF">
            <w:pPr>
              <w:keepNext/>
              <w:jc w:val="center"/>
              <w:rPr>
                <w:sz w:val="20"/>
              </w:rPr>
            </w:pPr>
            <w:r w:rsidRPr="00605035">
              <w:rPr>
                <w:sz w:val="20"/>
              </w:rPr>
              <w:t>№.of</w:t>
            </w:r>
          </w:p>
          <w:p w:rsidR="00056DE0" w:rsidRPr="00605035" w:rsidRDefault="00056DE0" w:rsidP="00F338FF">
            <w:pPr>
              <w:keepNext/>
              <w:jc w:val="center"/>
              <w:rPr>
                <w:sz w:val="20"/>
              </w:rPr>
            </w:pPr>
            <w:r w:rsidRPr="00605035">
              <w:rPr>
                <w:sz w:val="20"/>
              </w:rPr>
              <w:t>Rpts</w:t>
            </w:r>
          </w:p>
        </w:tc>
        <w:tc>
          <w:tcPr>
            <w:tcW w:w="2118" w:type="pct"/>
            <w:gridSpan w:val="2"/>
            <w:tcBorders>
              <w:bottom w:val="single" w:sz="4" w:space="0" w:color="auto"/>
            </w:tcBorders>
            <w:vAlign w:val="center"/>
          </w:tcPr>
          <w:p w:rsidR="00056DE0" w:rsidRPr="00605035" w:rsidRDefault="00056DE0" w:rsidP="00F338FF">
            <w:pPr>
              <w:keepNext/>
              <w:jc w:val="center"/>
              <w:rPr>
                <w:sz w:val="20"/>
              </w:rPr>
            </w:pPr>
            <w:r w:rsidRPr="00605035">
              <w:rPr>
                <w:sz w:val="20"/>
              </w:rPr>
              <w:t>Proprietary Name and Manufacturer</w:t>
            </w:r>
          </w:p>
        </w:tc>
      </w:tr>
      <w:tr w:rsidR="00056DE0" w:rsidRPr="00605035" w:rsidTr="00056DE0">
        <w:trPr>
          <w:cantSplit/>
          <w:trHeight w:val="567"/>
        </w:trPr>
        <w:tc>
          <w:tcPr>
            <w:tcW w:w="1949" w:type="pct"/>
            <w:gridSpan w:val="2"/>
          </w:tcPr>
          <w:p w:rsidR="00056DE0" w:rsidRPr="00605035" w:rsidRDefault="00056DE0" w:rsidP="00C60E34">
            <w:pPr>
              <w:keepNext/>
              <w:rPr>
                <w:sz w:val="20"/>
              </w:rPr>
            </w:pPr>
            <w:r w:rsidRPr="00605035">
              <w:rPr>
                <w:smallCaps/>
                <w:sz w:val="20"/>
              </w:rPr>
              <w:t>Fentanyl citrate</w:t>
            </w:r>
          </w:p>
          <w:p w:rsidR="00056DE0" w:rsidRPr="00605035" w:rsidRDefault="00056DE0" w:rsidP="00C60E34">
            <w:pPr>
              <w:keepNext/>
              <w:rPr>
                <w:sz w:val="20"/>
              </w:rPr>
            </w:pPr>
            <w:r w:rsidRPr="00605035">
              <w:rPr>
                <w:sz w:val="20"/>
              </w:rPr>
              <w:t>sublingual tablet</w:t>
            </w:r>
          </w:p>
          <w:p w:rsidR="00056DE0" w:rsidRPr="00605035" w:rsidRDefault="00056DE0" w:rsidP="00C60E34">
            <w:pPr>
              <w:keepNext/>
              <w:rPr>
                <w:sz w:val="20"/>
              </w:rPr>
            </w:pPr>
            <w:r w:rsidRPr="00605035">
              <w:rPr>
                <w:sz w:val="20"/>
              </w:rPr>
              <w:t>Tablets 100 microgram</w:t>
            </w:r>
          </w:p>
          <w:p w:rsidR="00056DE0" w:rsidRPr="00605035" w:rsidRDefault="00056DE0" w:rsidP="00C60E34">
            <w:pPr>
              <w:keepNext/>
              <w:rPr>
                <w:sz w:val="20"/>
              </w:rPr>
            </w:pPr>
            <w:r w:rsidRPr="00605035">
              <w:rPr>
                <w:sz w:val="20"/>
              </w:rPr>
              <w:t>Tablets 200 microgram</w:t>
            </w:r>
          </w:p>
          <w:p w:rsidR="00056DE0" w:rsidRPr="00605035" w:rsidRDefault="00056DE0" w:rsidP="00C60E34">
            <w:pPr>
              <w:keepNext/>
              <w:rPr>
                <w:sz w:val="20"/>
              </w:rPr>
            </w:pPr>
            <w:r w:rsidRPr="00605035">
              <w:rPr>
                <w:sz w:val="20"/>
              </w:rPr>
              <w:t>Tablets 300 microgram</w:t>
            </w:r>
          </w:p>
          <w:p w:rsidR="00056DE0" w:rsidRPr="00605035" w:rsidRDefault="00056DE0" w:rsidP="00C60E34">
            <w:pPr>
              <w:keepNext/>
              <w:rPr>
                <w:sz w:val="20"/>
              </w:rPr>
            </w:pPr>
            <w:r w:rsidRPr="00605035">
              <w:rPr>
                <w:sz w:val="20"/>
              </w:rPr>
              <w:t>Tablets 400 microgram</w:t>
            </w:r>
          </w:p>
          <w:p w:rsidR="00056DE0" w:rsidRPr="00605035" w:rsidRDefault="00056DE0" w:rsidP="00C60E34">
            <w:pPr>
              <w:keepNext/>
              <w:rPr>
                <w:sz w:val="20"/>
              </w:rPr>
            </w:pPr>
            <w:r w:rsidRPr="00605035">
              <w:rPr>
                <w:sz w:val="20"/>
              </w:rPr>
              <w:t>Tablets 600 microgram</w:t>
            </w:r>
          </w:p>
          <w:p w:rsidR="00056DE0" w:rsidRDefault="00056DE0" w:rsidP="00F338FF">
            <w:pPr>
              <w:keepNext/>
              <w:jc w:val="left"/>
              <w:rPr>
                <w:sz w:val="20"/>
              </w:rPr>
            </w:pPr>
            <w:r w:rsidRPr="00605035">
              <w:rPr>
                <w:sz w:val="20"/>
              </w:rPr>
              <w:t>Tablets 800 microgram</w:t>
            </w:r>
          </w:p>
          <w:p w:rsidR="00056DE0" w:rsidRPr="00605035" w:rsidRDefault="00056DE0" w:rsidP="00F338FF">
            <w:pPr>
              <w:keepNext/>
              <w:jc w:val="left"/>
              <w:rPr>
                <w:sz w:val="20"/>
              </w:rPr>
            </w:pPr>
          </w:p>
        </w:tc>
        <w:tc>
          <w:tcPr>
            <w:tcW w:w="423" w:type="pct"/>
          </w:tcPr>
          <w:p w:rsidR="00056DE0" w:rsidRPr="005D796D" w:rsidRDefault="00056DE0" w:rsidP="00F338FF">
            <w:pPr>
              <w:keepNext/>
              <w:jc w:val="center"/>
              <w:rPr>
                <w:sz w:val="20"/>
              </w:rPr>
            </w:pPr>
            <w:r w:rsidRPr="005D796D">
              <w:rPr>
                <w:sz w:val="20"/>
              </w:rPr>
              <w:t>10</w:t>
            </w:r>
          </w:p>
          <w:p w:rsidR="00056DE0" w:rsidRPr="00605035" w:rsidRDefault="00056DE0" w:rsidP="00F338FF">
            <w:pPr>
              <w:keepNext/>
              <w:jc w:val="center"/>
              <w:rPr>
                <w:sz w:val="20"/>
              </w:rPr>
            </w:pPr>
            <w:r>
              <w:rPr>
                <w:sz w:val="20"/>
              </w:rPr>
              <w:t>&amp;</w:t>
            </w:r>
          </w:p>
          <w:p w:rsidR="00056DE0" w:rsidRPr="00605035" w:rsidRDefault="006B6F1B" w:rsidP="00F338FF">
            <w:pPr>
              <w:keepNext/>
              <w:jc w:val="center"/>
              <w:rPr>
                <w:sz w:val="20"/>
              </w:rPr>
            </w:pPr>
            <w:r w:rsidRPr="005D796D">
              <w:rPr>
                <w:sz w:val="20"/>
              </w:rPr>
              <w:t>60</w:t>
            </w:r>
          </w:p>
        </w:tc>
        <w:tc>
          <w:tcPr>
            <w:tcW w:w="509" w:type="pct"/>
          </w:tcPr>
          <w:p w:rsidR="00056DE0" w:rsidRPr="00605035" w:rsidRDefault="00056DE0" w:rsidP="00F338FF">
            <w:pPr>
              <w:keepNext/>
              <w:jc w:val="center"/>
              <w:rPr>
                <w:sz w:val="20"/>
              </w:rPr>
            </w:pPr>
            <w:r w:rsidRPr="00605035">
              <w:rPr>
                <w:sz w:val="20"/>
              </w:rPr>
              <w:t>Nil</w:t>
            </w:r>
          </w:p>
        </w:tc>
        <w:tc>
          <w:tcPr>
            <w:tcW w:w="1102" w:type="pct"/>
          </w:tcPr>
          <w:p w:rsidR="00056DE0" w:rsidRPr="00605035" w:rsidRDefault="00056DE0" w:rsidP="00453766">
            <w:pPr>
              <w:keepNext/>
              <w:jc w:val="center"/>
              <w:rPr>
                <w:sz w:val="20"/>
              </w:rPr>
            </w:pPr>
            <w:proofErr w:type="spellStart"/>
            <w:r w:rsidRPr="00605035">
              <w:rPr>
                <w:sz w:val="20"/>
              </w:rPr>
              <w:t>Abstral</w:t>
            </w:r>
            <w:proofErr w:type="spellEnd"/>
            <w:r w:rsidRPr="00605035">
              <w:rPr>
                <w:sz w:val="20"/>
              </w:rPr>
              <w:t>®</w:t>
            </w:r>
          </w:p>
        </w:tc>
        <w:tc>
          <w:tcPr>
            <w:tcW w:w="1016" w:type="pct"/>
          </w:tcPr>
          <w:p w:rsidR="00056DE0" w:rsidRPr="00605035" w:rsidRDefault="00056DE0" w:rsidP="00F338FF">
            <w:pPr>
              <w:keepNext/>
              <w:jc w:val="center"/>
              <w:rPr>
                <w:sz w:val="20"/>
              </w:rPr>
            </w:pPr>
            <w:r w:rsidRPr="00605035">
              <w:rPr>
                <w:sz w:val="20"/>
              </w:rPr>
              <w:t>A.Menarini</w:t>
            </w:r>
          </w:p>
        </w:tc>
      </w:tr>
      <w:tr w:rsidR="00453766" w:rsidRPr="00605035" w:rsidTr="00DD5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32" w:type="pct"/>
          </w:tcPr>
          <w:p w:rsidR="00453766" w:rsidRPr="00DD5C5C" w:rsidRDefault="00453766" w:rsidP="000E6096">
            <w:pPr>
              <w:rPr>
                <w:rFonts w:ascii="Arial Narrow" w:hAnsi="Arial Narrow"/>
                <w:b/>
                <w:color w:val="000000"/>
                <w:sz w:val="20"/>
              </w:rPr>
            </w:pPr>
            <w:r w:rsidRPr="00DD5C5C">
              <w:rPr>
                <w:rFonts w:ascii="Arial Narrow" w:hAnsi="Arial Narrow"/>
                <w:b/>
                <w:color w:val="000000"/>
                <w:sz w:val="20"/>
              </w:rPr>
              <w:t>Condition:</w:t>
            </w:r>
          </w:p>
        </w:tc>
        <w:tc>
          <w:tcPr>
            <w:tcW w:w="4068" w:type="pct"/>
            <w:gridSpan w:val="5"/>
          </w:tcPr>
          <w:p w:rsidR="00453766" w:rsidRPr="00DD5C5C" w:rsidRDefault="00453766" w:rsidP="000E6096">
            <w:pPr>
              <w:rPr>
                <w:rFonts w:ascii="Arial Narrow" w:hAnsi="Arial Narrow"/>
                <w:color w:val="000000"/>
                <w:sz w:val="20"/>
              </w:rPr>
            </w:pPr>
            <w:r w:rsidRPr="00DD5C5C">
              <w:rPr>
                <w:rFonts w:ascii="Arial Narrow" w:hAnsi="Arial Narrow"/>
                <w:color w:val="000000"/>
                <w:sz w:val="20"/>
              </w:rPr>
              <w:t>Breakthrough cancer pain</w:t>
            </w:r>
          </w:p>
        </w:tc>
      </w:tr>
      <w:tr w:rsidR="00453766" w:rsidRPr="00605035" w:rsidTr="00DD5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32" w:type="pct"/>
          </w:tcPr>
          <w:p w:rsidR="00453766" w:rsidRPr="00DD5C5C" w:rsidRDefault="00453766" w:rsidP="000E6096">
            <w:pPr>
              <w:rPr>
                <w:rFonts w:ascii="Arial Narrow" w:hAnsi="Arial Narrow"/>
                <w:b/>
                <w:color w:val="000000"/>
                <w:sz w:val="20"/>
              </w:rPr>
            </w:pPr>
            <w:proofErr w:type="spellStart"/>
            <w:r w:rsidRPr="00DD5C5C">
              <w:rPr>
                <w:rFonts w:ascii="Arial Narrow" w:hAnsi="Arial Narrow"/>
                <w:b/>
                <w:color w:val="000000"/>
                <w:sz w:val="20"/>
              </w:rPr>
              <w:t>Episodicity</w:t>
            </w:r>
            <w:proofErr w:type="spellEnd"/>
          </w:p>
        </w:tc>
        <w:tc>
          <w:tcPr>
            <w:tcW w:w="4068" w:type="pct"/>
            <w:gridSpan w:val="5"/>
          </w:tcPr>
          <w:p w:rsidR="00453766" w:rsidRPr="00DD5C5C" w:rsidRDefault="00453766" w:rsidP="000E6096">
            <w:pPr>
              <w:rPr>
                <w:rFonts w:ascii="Arial Narrow" w:hAnsi="Arial Narrow"/>
                <w:color w:val="000000"/>
                <w:sz w:val="20"/>
              </w:rPr>
            </w:pPr>
            <w:r w:rsidRPr="00DD5C5C">
              <w:rPr>
                <w:rFonts w:ascii="Arial Narrow" w:hAnsi="Arial Narrow"/>
                <w:color w:val="000000"/>
                <w:sz w:val="20"/>
              </w:rPr>
              <w:t>As needed</w:t>
            </w:r>
          </w:p>
        </w:tc>
      </w:tr>
      <w:tr w:rsidR="00453766" w:rsidRPr="00605035" w:rsidTr="00DD5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32" w:type="pct"/>
          </w:tcPr>
          <w:p w:rsidR="00453766" w:rsidRPr="00DD5C5C" w:rsidRDefault="00453766" w:rsidP="000E6096">
            <w:pPr>
              <w:rPr>
                <w:rFonts w:ascii="Arial Narrow" w:hAnsi="Arial Narrow"/>
                <w:b/>
                <w:color w:val="000000"/>
                <w:sz w:val="20"/>
              </w:rPr>
            </w:pPr>
            <w:r w:rsidRPr="00DD5C5C">
              <w:rPr>
                <w:rFonts w:ascii="Arial Narrow" w:hAnsi="Arial Narrow"/>
                <w:b/>
                <w:color w:val="000000"/>
                <w:sz w:val="20"/>
              </w:rPr>
              <w:t>Severity</w:t>
            </w:r>
          </w:p>
        </w:tc>
        <w:tc>
          <w:tcPr>
            <w:tcW w:w="4068" w:type="pct"/>
            <w:gridSpan w:val="5"/>
          </w:tcPr>
          <w:p w:rsidR="00453766" w:rsidRPr="00DD5C5C" w:rsidRDefault="00453766" w:rsidP="000E6096">
            <w:pPr>
              <w:rPr>
                <w:rFonts w:ascii="Arial Narrow" w:hAnsi="Arial Narrow"/>
                <w:color w:val="000000"/>
                <w:sz w:val="20"/>
              </w:rPr>
            </w:pPr>
            <w:r w:rsidRPr="00DD5C5C">
              <w:rPr>
                <w:rFonts w:ascii="Arial Narrow" w:hAnsi="Arial Narrow"/>
                <w:color w:val="000000"/>
                <w:sz w:val="20"/>
              </w:rPr>
              <w:t>Moderate to severe</w:t>
            </w:r>
          </w:p>
        </w:tc>
      </w:tr>
      <w:tr w:rsidR="00453766" w:rsidRPr="00605035" w:rsidTr="00DD5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32" w:type="pct"/>
          </w:tcPr>
          <w:p w:rsidR="00453766" w:rsidRPr="00DD5C5C" w:rsidRDefault="00453766" w:rsidP="000E6096">
            <w:pPr>
              <w:rPr>
                <w:rFonts w:ascii="Arial Narrow" w:hAnsi="Arial Narrow"/>
                <w:b/>
                <w:color w:val="000000"/>
                <w:sz w:val="20"/>
              </w:rPr>
            </w:pPr>
            <w:r w:rsidRPr="00DD5C5C">
              <w:rPr>
                <w:rFonts w:ascii="Arial Narrow" w:hAnsi="Arial Narrow"/>
                <w:b/>
                <w:color w:val="000000"/>
                <w:sz w:val="20"/>
              </w:rPr>
              <w:t>Treatment phase:</w:t>
            </w:r>
          </w:p>
        </w:tc>
        <w:tc>
          <w:tcPr>
            <w:tcW w:w="4068" w:type="pct"/>
            <w:gridSpan w:val="5"/>
          </w:tcPr>
          <w:p w:rsidR="00453766" w:rsidRPr="00DD5C5C" w:rsidRDefault="00453766" w:rsidP="000E6096">
            <w:pPr>
              <w:rPr>
                <w:rFonts w:ascii="Arial Narrow" w:hAnsi="Arial Narrow"/>
                <w:color w:val="000000"/>
                <w:sz w:val="20"/>
              </w:rPr>
            </w:pPr>
            <w:r w:rsidRPr="00DD5C5C">
              <w:rPr>
                <w:rFonts w:ascii="Arial Narrow" w:hAnsi="Arial Narrow"/>
                <w:color w:val="000000"/>
                <w:sz w:val="20"/>
              </w:rPr>
              <w:t>Initial treatment for dose titration</w:t>
            </w:r>
          </w:p>
          <w:p w:rsidR="00453766" w:rsidRPr="00DD5C5C" w:rsidRDefault="00453766" w:rsidP="000E6096">
            <w:pPr>
              <w:rPr>
                <w:rFonts w:ascii="Arial Narrow" w:hAnsi="Arial Narrow"/>
                <w:color w:val="000000"/>
                <w:sz w:val="20"/>
              </w:rPr>
            </w:pPr>
            <w:r w:rsidRPr="00DD5C5C">
              <w:rPr>
                <w:rFonts w:ascii="Arial Narrow" w:hAnsi="Arial Narrow"/>
                <w:color w:val="000000"/>
                <w:sz w:val="20"/>
              </w:rPr>
              <w:t>Continuing treatment</w:t>
            </w:r>
          </w:p>
        </w:tc>
      </w:tr>
      <w:tr w:rsidR="00453766" w:rsidRPr="00605035" w:rsidTr="00DD5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32" w:type="pct"/>
          </w:tcPr>
          <w:p w:rsidR="00453766" w:rsidRPr="00DD5C5C" w:rsidRDefault="00453766" w:rsidP="000E6096">
            <w:pPr>
              <w:rPr>
                <w:rFonts w:ascii="Arial Narrow" w:hAnsi="Arial Narrow"/>
                <w:color w:val="000000"/>
                <w:sz w:val="20"/>
              </w:rPr>
            </w:pPr>
            <w:r w:rsidRPr="00DD5C5C">
              <w:rPr>
                <w:rFonts w:ascii="Arial Narrow" w:hAnsi="Arial Narrow"/>
                <w:b/>
                <w:color w:val="000000"/>
                <w:sz w:val="20"/>
              </w:rPr>
              <w:t>Restriction:</w:t>
            </w:r>
          </w:p>
        </w:tc>
        <w:tc>
          <w:tcPr>
            <w:tcW w:w="4068" w:type="pct"/>
            <w:gridSpan w:val="5"/>
          </w:tcPr>
          <w:p w:rsidR="00453766" w:rsidRPr="00DD5C5C" w:rsidRDefault="00453766" w:rsidP="000E6096">
            <w:pPr>
              <w:rPr>
                <w:rFonts w:ascii="Arial Narrow" w:hAnsi="Arial Narrow"/>
                <w:color w:val="000000"/>
                <w:sz w:val="20"/>
              </w:rPr>
            </w:pPr>
            <w:r w:rsidRPr="00DD5C5C">
              <w:rPr>
                <w:rFonts w:ascii="Arial Narrow" w:hAnsi="Arial Narrow"/>
                <w:color w:val="000000"/>
                <w:sz w:val="20"/>
              </w:rPr>
              <w:t>Authority Required (Palliative Care Schedule)</w:t>
            </w:r>
          </w:p>
        </w:tc>
      </w:tr>
      <w:tr w:rsidR="00453766" w:rsidRPr="00605035" w:rsidTr="00DD5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32" w:type="pct"/>
          </w:tcPr>
          <w:p w:rsidR="00453766" w:rsidRPr="00DD5C5C" w:rsidRDefault="00453766" w:rsidP="000E6096">
            <w:pPr>
              <w:rPr>
                <w:rFonts w:ascii="Arial Narrow" w:hAnsi="Arial Narrow"/>
                <w:b/>
                <w:color w:val="000000"/>
                <w:sz w:val="20"/>
              </w:rPr>
            </w:pPr>
            <w:r w:rsidRPr="00DD5C5C">
              <w:rPr>
                <w:rFonts w:ascii="Arial Narrow" w:hAnsi="Arial Narrow"/>
                <w:b/>
                <w:color w:val="000000"/>
                <w:sz w:val="20"/>
              </w:rPr>
              <w:t>Treatment criteria:</w:t>
            </w:r>
          </w:p>
          <w:p w:rsidR="00453766" w:rsidRPr="00DD5C5C" w:rsidRDefault="00453766" w:rsidP="000E6096">
            <w:pPr>
              <w:rPr>
                <w:rFonts w:ascii="Arial Narrow" w:hAnsi="Arial Narrow"/>
                <w:color w:val="000000"/>
                <w:sz w:val="20"/>
              </w:rPr>
            </w:pPr>
          </w:p>
        </w:tc>
        <w:tc>
          <w:tcPr>
            <w:tcW w:w="4068" w:type="pct"/>
            <w:gridSpan w:val="5"/>
          </w:tcPr>
          <w:p w:rsidR="00453766" w:rsidRPr="00DD5C5C" w:rsidRDefault="00453766" w:rsidP="00DD5C5C">
            <w:pPr>
              <w:pStyle w:val="TableBullets"/>
              <w:numPr>
                <w:ilvl w:val="2"/>
                <w:numId w:val="8"/>
              </w:numPr>
              <w:rPr>
                <w:rFonts w:ascii="Arial Narrow" w:hAnsi="Arial Narrow"/>
                <w:color w:val="000000"/>
                <w:szCs w:val="20"/>
              </w:rPr>
            </w:pPr>
            <w:r w:rsidRPr="00DD5C5C">
              <w:rPr>
                <w:rFonts w:ascii="Arial Narrow" w:hAnsi="Arial Narrow"/>
                <w:color w:val="000000"/>
                <w:szCs w:val="20"/>
              </w:rPr>
              <w:t>Patient must be undergoing palliative care for cancer</w:t>
            </w:r>
          </w:p>
          <w:p w:rsidR="00453766" w:rsidRPr="00DD5C5C" w:rsidRDefault="00453766" w:rsidP="00DD5C5C">
            <w:pPr>
              <w:pStyle w:val="TableBullets"/>
              <w:numPr>
                <w:ilvl w:val="2"/>
                <w:numId w:val="8"/>
              </w:numPr>
              <w:rPr>
                <w:rFonts w:ascii="Arial Narrow" w:hAnsi="Arial Narrow"/>
                <w:color w:val="000000"/>
                <w:szCs w:val="20"/>
              </w:rPr>
            </w:pPr>
            <w:r w:rsidRPr="00DD5C5C">
              <w:rPr>
                <w:rFonts w:ascii="Arial Narrow" w:hAnsi="Arial Narrow"/>
                <w:color w:val="000000"/>
                <w:szCs w:val="20"/>
              </w:rPr>
              <w:t xml:space="preserve">Initiation must be in consultation with a specialist where a specialist is defined as </w:t>
            </w:r>
          </w:p>
          <w:p w:rsidR="00453766" w:rsidRPr="00DD5C5C" w:rsidRDefault="00453766" w:rsidP="00DD5C5C">
            <w:pPr>
              <w:pStyle w:val="TableBullets"/>
              <w:numPr>
                <w:ilvl w:val="3"/>
                <w:numId w:val="8"/>
              </w:numPr>
              <w:rPr>
                <w:rFonts w:ascii="Arial Narrow" w:hAnsi="Arial Narrow"/>
                <w:color w:val="000000"/>
                <w:szCs w:val="20"/>
              </w:rPr>
            </w:pPr>
            <w:r w:rsidRPr="00DD5C5C">
              <w:rPr>
                <w:rFonts w:ascii="Arial Narrow" w:hAnsi="Arial Narrow"/>
                <w:color w:val="000000"/>
                <w:szCs w:val="20"/>
              </w:rPr>
              <w:t xml:space="preserve">Palliative Care Specialist and Nurse Practitioner </w:t>
            </w:r>
          </w:p>
          <w:p w:rsidR="00453766" w:rsidRPr="00DD5C5C" w:rsidRDefault="00453766" w:rsidP="00DD5C5C">
            <w:pPr>
              <w:pStyle w:val="TableBullets"/>
              <w:numPr>
                <w:ilvl w:val="3"/>
                <w:numId w:val="8"/>
              </w:numPr>
              <w:rPr>
                <w:rFonts w:ascii="Arial Narrow" w:hAnsi="Arial Narrow"/>
                <w:color w:val="000000"/>
                <w:szCs w:val="20"/>
              </w:rPr>
            </w:pPr>
            <w:r w:rsidRPr="00DD5C5C">
              <w:rPr>
                <w:rFonts w:ascii="Arial Narrow" w:hAnsi="Arial Narrow"/>
                <w:color w:val="000000"/>
                <w:szCs w:val="20"/>
              </w:rPr>
              <w:t>Med Oncologist, Radiation Oncologist and Haematologist</w:t>
            </w:r>
          </w:p>
          <w:p w:rsidR="00453766" w:rsidRPr="00DD5C5C" w:rsidRDefault="00453766" w:rsidP="00DD5C5C">
            <w:pPr>
              <w:pStyle w:val="TableBullets"/>
              <w:numPr>
                <w:ilvl w:val="3"/>
                <w:numId w:val="8"/>
              </w:numPr>
              <w:rPr>
                <w:rFonts w:ascii="Arial Narrow" w:hAnsi="Arial Narrow"/>
                <w:color w:val="000000"/>
                <w:szCs w:val="20"/>
              </w:rPr>
            </w:pPr>
            <w:r w:rsidRPr="00DD5C5C">
              <w:rPr>
                <w:rFonts w:ascii="Arial Narrow" w:hAnsi="Arial Narrow"/>
                <w:color w:val="000000"/>
                <w:szCs w:val="20"/>
              </w:rPr>
              <w:t xml:space="preserve">Pain Specialist </w:t>
            </w:r>
          </w:p>
          <w:p w:rsidR="00453766" w:rsidRPr="00DD5C5C" w:rsidRDefault="00453766" w:rsidP="00DD5C5C">
            <w:pPr>
              <w:pStyle w:val="TableBullets"/>
              <w:numPr>
                <w:ilvl w:val="2"/>
                <w:numId w:val="8"/>
              </w:numPr>
              <w:rPr>
                <w:rFonts w:ascii="Arial Narrow" w:hAnsi="Arial Narrow"/>
                <w:color w:val="000000"/>
                <w:szCs w:val="20"/>
              </w:rPr>
            </w:pPr>
            <w:r w:rsidRPr="00DD5C5C">
              <w:rPr>
                <w:rFonts w:ascii="Arial Narrow" w:hAnsi="Arial Narrow"/>
                <w:color w:val="000000"/>
                <w:szCs w:val="20"/>
              </w:rPr>
              <w:t>Continuation can be written by any clinician providing the initiation is made in consultation with a specialist</w:t>
            </w:r>
          </w:p>
          <w:p w:rsidR="00453766" w:rsidRPr="00DD5C5C" w:rsidRDefault="00453766" w:rsidP="00DD5C5C">
            <w:pPr>
              <w:pStyle w:val="TableBullets"/>
              <w:numPr>
                <w:ilvl w:val="2"/>
                <w:numId w:val="8"/>
              </w:numPr>
              <w:rPr>
                <w:rFonts w:ascii="Arial Narrow" w:hAnsi="Arial Narrow"/>
                <w:color w:val="000000"/>
                <w:szCs w:val="20"/>
              </w:rPr>
            </w:pPr>
            <w:r w:rsidRPr="00DD5C5C">
              <w:rPr>
                <w:rFonts w:ascii="Arial Narrow" w:hAnsi="Arial Narrow" w:cs="Arial"/>
                <w:color w:val="000000"/>
                <w:kern w:val="24"/>
                <w:szCs w:val="20"/>
                <w:lang w:eastAsia="en-AU"/>
              </w:rPr>
              <w:t>Continuation includes patient stabilised on the drug in hospital in an in-patient setting where the initiation was in consultation with a Specialist.</w:t>
            </w:r>
          </w:p>
        </w:tc>
      </w:tr>
      <w:tr w:rsidR="00453766" w:rsidRPr="00605035" w:rsidTr="00DD5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32" w:type="pct"/>
          </w:tcPr>
          <w:p w:rsidR="00453766" w:rsidRPr="00DD5C5C" w:rsidRDefault="00453766" w:rsidP="000E6096">
            <w:pPr>
              <w:rPr>
                <w:rFonts w:ascii="Arial Narrow" w:hAnsi="Arial Narrow"/>
                <w:b/>
                <w:color w:val="000000"/>
                <w:sz w:val="20"/>
              </w:rPr>
            </w:pPr>
            <w:r w:rsidRPr="00DD5C5C">
              <w:rPr>
                <w:rFonts w:ascii="Arial Narrow" w:hAnsi="Arial Narrow"/>
                <w:b/>
                <w:color w:val="000000"/>
                <w:sz w:val="20"/>
              </w:rPr>
              <w:t>Clinical criteria:</w:t>
            </w:r>
          </w:p>
        </w:tc>
        <w:tc>
          <w:tcPr>
            <w:tcW w:w="4068" w:type="pct"/>
            <w:gridSpan w:val="5"/>
          </w:tcPr>
          <w:p w:rsidR="00453766" w:rsidRPr="00DD5C5C" w:rsidRDefault="00453766" w:rsidP="000E6096">
            <w:pPr>
              <w:pStyle w:val="Table"/>
              <w:rPr>
                <w:rFonts w:ascii="Arial Narrow" w:hAnsi="Arial Narrow"/>
                <w:color w:val="000000"/>
                <w:szCs w:val="20"/>
              </w:rPr>
            </w:pPr>
            <w:r w:rsidRPr="00DD5C5C">
              <w:rPr>
                <w:rFonts w:ascii="Arial Narrow" w:hAnsi="Arial Narrow"/>
                <w:color w:val="000000"/>
                <w:szCs w:val="20"/>
              </w:rPr>
              <w:t xml:space="preserve">Patient must have cancer, </w:t>
            </w:r>
          </w:p>
          <w:p w:rsidR="00453766" w:rsidRPr="00DD5C5C" w:rsidRDefault="00453766" w:rsidP="000E6096">
            <w:pPr>
              <w:pStyle w:val="Table"/>
              <w:rPr>
                <w:rFonts w:ascii="Arial Narrow" w:hAnsi="Arial Narrow"/>
                <w:color w:val="000000"/>
                <w:szCs w:val="20"/>
              </w:rPr>
            </w:pPr>
            <w:r w:rsidRPr="00DD5C5C">
              <w:rPr>
                <w:rFonts w:ascii="Arial Narrow" w:hAnsi="Arial Narrow"/>
                <w:color w:val="000000"/>
                <w:szCs w:val="20"/>
              </w:rPr>
              <w:t>AND</w:t>
            </w:r>
          </w:p>
          <w:p w:rsidR="00453766" w:rsidRPr="00DD5C5C" w:rsidRDefault="00453766" w:rsidP="000E6096">
            <w:pPr>
              <w:pStyle w:val="Table"/>
              <w:rPr>
                <w:rFonts w:ascii="Arial Narrow" w:hAnsi="Arial Narrow"/>
                <w:color w:val="000000"/>
                <w:szCs w:val="20"/>
              </w:rPr>
            </w:pPr>
            <w:r w:rsidRPr="00DD5C5C">
              <w:rPr>
                <w:rFonts w:ascii="Arial Narrow" w:hAnsi="Arial Narrow"/>
                <w:color w:val="000000"/>
                <w:szCs w:val="20"/>
              </w:rPr>
              <w:t xml:space="preserve">Patient must have been experiencing transient exacerbations of pain which is rapid in onset and short in duration, despite relatively stable and adequately controlled background pain management, </w:t>
            </w:r>
          </w:p>
          <w:p w:rsidR="00453766" w:rsidRPr="00DD5C5C" w:rsidRDefault="00453766" w:rsidP="000E6096">
            <w:pPr>
              <w:pStyle w:val="Table"/>
              <w:rPr>
                <w:rFonts w:ascii="Arial Narrow" w:hAnsi="Arial Narrow"/>
                <w:color w:val="000000"/>
                <w:szCs w:val="20"/>
              </w:rPr>
            </w:pPr>
            <w:r w:rsidRPr="00DD5C5C">
              <w:rPr>
                <w:rFonts w:ascii="Arial Narrow" w:hAnsi="Arial Narrow"/>
                <w:color w:val="000000"/>
                <w:szCs w:val="20"/>
              </w:rPr>
              <w:t>AND</w:t>
            </w:r>
          </w:p>
          <w:p w:rsidR="00453766" w:rsidRPr="00DD5C5C" w:rsidRDefault="00453766" w:rsidP="000E6096">
            <w:pPr>
              <w:pStyle w:val="Table"/>
              <w:rPr>
                <w:rFonts w:ascii="Arial Narrow" w:hAnsi="Arial Narrow"/>
                <w:color w:val="000000"/>
                <w:szCs w:val="20"/>
              </w:rPr>
            </w:pPr>
            <w:r w:rsidRPr="00DD5C5C">
              <w:rPr>
                <w:rFonts w:ascii="Arial Narrow" w:hAnsi="Arial Narrow"/>
                <w:color w:val="000000"/>
                <w:szCs w:val="20"/>
              </w:rPr>
              <w:lastRenderedPageBreak/>
              <w:t>Patient must be assessed as receiving adequate background opioid pain management for chronic cancer pain,</w:t>
            </w:r>
          </w:p>
          <w:p w:rsidR="00453766" w:rsidRPr="00DD5C5C" w:rsidRDefault="00453766" w:rsidP="000E6096">
            <w:pPr>
              <w:pStyle w:val="Table"/>
              <w:rPr>
                <w:rFonts w:ascii="Arial Narrow" w:hAnsi="Arial Narrow"/>
                <w:color w:val="000000"/>
                <w:szCs w:val="20"/>
              </w:rPr>
            </w:pPr>
            <w:r w:rsidRPr="00DD5C5C">
              <w:rPr>
                <w:rFonts w:ascii="Arial Narrow" w:hAnsi="Arial Narrow"/>
                <w:color w:val="000000"/>
                <w:szCs w:val="20"/>
              </w:rPr>
              <w:t>AND</w:t>
            </w:r>
          </w:p>
          <w:p w:rsidR="00453766" w:rsidRPr="00DD5C5C" w:rsidRDefault="00453766" w:rsidP="000E6096">
            <w:pPr>
              <w:pStyle w:val="Table"/>
              <w:rPr>
                <w:rFonts w:ascii="Arial Narrow" w:hAnsi="Arial Narrow"/>
                <w:color w:val="000000"/>
                <w:szCs w:val="20"/>
              </w:rPr>
            </w:pPr>
            <w:r w:rsidRPr="00DD5C5C">
              <w:rPr>
                <w:rFonts w:ascii="Arial Narrow" w:hAnsi="Arial Narrow"/>
                <w:color w:val="000000"/>
                <w:szCs w:val="20"/>
              </w:rPr>
              <w:t xml:space="preserve">Patient must have previously experienced inadequate pain relief following administration of adequate doses of an oral, immediate-release opioid for the treatment of breakthrough pain, e.g. morphine, </w:t>
            </w:r>
            <w:proofErr w:type="spellStart"/>
            <w:r w:rsidRPr="00DD5C5C">
              <w:rPr>
                <w:rFonts w:ascii="Arial Narrow" w:hAnsi="Arial Narrow"/>
                <w:color w:val="000000"/>
                <w:szCs w:val="20"/>
              </w:rPr>
              <w:t>hydromorphone</w:t>
            </w:r>
            <w:proofErr w:type="spellEnd"/>
            <w:r w:rsidRPr="00DD5C5C">
              <w:rPr>
                <w:rFonts w:ascii="Arial Narrow" w:hAnsi="Arial Narrow"/>
                <w:color w:val="000000"/>
                <w:szCs w:val="20"/>
              </w:rPr>
              <w:t xml:space="preserve"> or oxycodone </w:t>
            </w:r>
          </w:p>
          <w:p w:rsidR="00453766" w:rsidRPr="00DD5C5C" w:rsidRDefault="00453766" w:rsidP="000E6096">
            <w:pPr>
              <w:pStyle w:val="Table"/>
              <w:rPr>
                <w:rFonts w:ascii="Arial Narrow" w:hAnsi="Arial Narrow"/>
                <w:color w:val="000000"/>
                <w:szCs w:val="20"/>
              </w:rPr>
            </w:pPr>
            <w:r w:rsidRPr="00DD5C5C">
              <w:rPr>
                <w:rFonts w:ascii="Arial Narrow" w:hAnsi="Arial Narrow"/>
                <w:color w:val="000000"/>
                <w:szCs w:val="20"/>
              </w:rPr>
              <w:t>OR</w:t>
            </w:r>
          </w:p>
          <w:p w:rsidR="00453766" w:rsidRPr="00DD5C5C" w:rsidRDefault="00453766" w:rsidP="000E6096">
            <w:pPr>
              <w:pStyle w:val="Table"/>
              <w:rPr>
                <w:rFonts w:ascii="Arial Narrow" w:hAnsi="Arial Narrow"/>
                <w:color w:val="000000"/>
                <w:szCs w:val="20"/>
              </w:rPr>
            </w:pPr>
            <w:r w:rsidRPr="00DD5C5C">
              <w:rPr>
                <w:rFonts w:ascii="Arial Narrow" w:hAnsi="Arial Narrow"/>
                <w:color w:val="000000"/>
                <w:szCs w:val="20"/>
              </w:rPr>
              <w:t>Patient must have previously experienced adverse effects following an oral immediate-release opioid for treatment of breakthrough pain, or patient cannot take oral medication</w:t>
            </w:r>
          </w:p>
        </w:tc>
      </w:tr>
    </w:tbl>
    <w:p w:rsidR="00B60939" w:rsidRDefault="00B60939" w:rsidP="00497F10"/>
    <w:p w:rsidR="00C21729" w:rsidRPr="00605035" w:rsidRDefault="00C21729" w:rsidP="00497F10"/>
    <w:p w:rsidR="00393F75" w:rsidRPr="00605035" w:rsidRDefault="00A1006A" w:rsidP="005B47A0">
      <w:pPr>
        <w:pStyle w:val="ListParagraph"/>
        <w:widowControl/>
        <w:numPr>
          <w:ilvl w:val="1"/>
          <w:numId w:val="5"/>
        </w:numPr>
      </w:pPr>
      <w:r w:rsidRPr="00605035">
        <w:rPr>
          <w:szCs w:val="22"/>
        </w:rPr>
        <w:t xml:space="preserve">The listing was requested on a cost minimisation basis compared to </w:t>
      </w:r>
      <w:r w:rsidR="0012046C" w:rsidRPr="00605035">
        <w:rPr>
          <w:szCs w:val="22"/>
        </w:rPr>
        <w:t>fentanyl lozenges</w:t>
      </w:r>
      <w:r w:rsidR="007A6A59">
        <w:rPr>
          <w:szCs w:val="22"/>
        </w:rPr>
        <w:t>,</w:t>
      </w:r>
      <w:r w:rsidR="00845BDD" w:rsidRPr="00605035">
        <w:rPr>
          <w:szCs w:val="22"/>
        </w:rPr>
        <w:t xml:space="preserve"> adjusted for a proportion of substitution of immediate-release opioids</w:t>
      </w:r>
      <w:r w:rsidR="0012046C" w:rsidRPr="00605035">
        <w:rPr>
          <w:szCs w:val="22"/>
        </w:rPr>
        <w:t>.</w:t>
      </w:r>
      <w:r w:rsidRPr="00605035">
        <w:rPr>
          <w:szCs w:val="22"/>
        </w:rPr>
        <w:t xml:space="preserve"> </w:t>
      </w:r>
    </w:p>
    <w:p w:rsidR="00845BDD" w:rsidRPr="00605035" w:rsidRDefault="00845BDD" w:rsidP="00845BDD">
      <w:pPr>
        <w:widowControl/>
      </w:pPr>
    </w:p>
    <w:p w:rsidR="00B60939" w:rsidRPr="00605035" w:rsidRDefault="002574F8" w:rsidP="005B47A0">
      <w:pPr>
        <w:pStyle w:val="ListParagraph"/>
        <w:widowControl/>
        <w:numPr>
          <w:ilvl w:val="1"/>
          <w:numId w:val="5"/>
        </w:numPr>
        <w:rPr>
          <w:szCs w:val="22"/>
        </w:rPr>
      </w:pPr>
      <w:r w:rsidRPr="00605035">
        <w:t>Compared to the previous requested restriction, the proposed restriction is narrower and more de</w:t>
      </w:r>
      <w:r w:rsidR="00026135" w:rsidRPr="00605035">
        <w:t>tailed</w:t>
      </w:r>
      <w:r w:rsidRPr="00605035">
        <w:t xml:space="preserve">, in that patients must have previously experienced inadequate pain relief or adverse events with an oral, </w:t>
      </w:r>
      <w:r w:rsidR="009B3F3B" w:rsidRPr="00605035">
        <w:t>immediate-release</w:t>
      </w:r>
      <w:r w:rsidRPr="00605035">
        <w:t xml:space="preserve"> opioid. The previous restriction only specified inability to tolerate increased doses of morphine due to adverse events.</w:t>
      </w:r>
      <w:r w:rsidR="00026135" w:rsidRPr="00605035">
        <w:t xml:space="preserve"> </w:t>
      </w:r>
      <w:r w:rsidR="00777786" w:rsidRPr="00605035">
        <w:t xml:space="preserve">The proposed restriction does not specify that patients need to have trialled </w:t>
      </w:r>
      <w:r w:rsidR="00777786" w:rsidRPr="00605035">
        <w:rPr>
          <w:u w:val="single"/>
        </w:rPr>
        <w:t>all</w:t>
      </w:r>
      <w:r w:rsidR="00777786" w:rsidRPr="00605035">
        <w:t xml:space="preserve"> immediate-release oral opioids before moving to fentanyl sublingual tablets. There is potential for patients to be prescribed fentanyl sublingual tablets when there are other immediate-release opioid treatment options still available.</w:t>
      </w:r>
    </w:p>
    <w:p w:rsidR="001B6188" w:rsidRPr="00605035" w:rsidRDefault="001B6188" w:rsidP="00497F10"/>
    <w:p w:rsidR="00C46E56" w:rsidRDefault="00C46E56" w:rsidP="00884EBB">
      <w:pPr>
        <w:pStyle w:val="ListParagraph"/>
        <w:ind w:left="709"/>
        <w:rPr>
          <w:i/>
          <w:szCs w:val="22"/>
        </w:rPr>
      </w:pPr>
      <w:r w:rsidRPr="00884EBB">
        <w:rPr>
          <w:i/>
          <w:szCs w:val="22"/>
        </w:rPr>
        <w:t>For more detail on PBAC’s view, see section 7 “PBAC outcome”</w:t>
      </w:r>
    </w:p>
    <w:p w:rsidR="00C46E56" w:rsidRDefault="00C46E56" w:rsidP="00497F10"/>
    <w:p w:rsidR="00C46E56" w:rsidRPr="00605035" w:rsidRDefault="00C46E56" w:rsidP="00497F10"/>
    <w:p w:rsidR="00F338FF" w:rsidRPr="00605035" w:rsidRDefault="00F338FF" w:rsidP="005D7E3E">
      <w:pPr>
        <w:pStyle w:val="PBACheading1"/>
      </w:pPr>
      <w:bookmarkStart w:id="3" w:name="_Toc419711182"/>
      <w:r w:rsidRPr="00605035">
        <w:rPr>
          <w:b/>
        </w:rPr>
        <w:t>Background</w:t>
      </w:r>
      <w:bookmarkEnd w:id="3"/>
    </w:p>
    <w:p w:rsidR="00B60939" w:rsidRPr="00605035" w:rsidRDefault="00B60939" w:rsidP="00B60939">
      <w:pPr>
        <w:rPr>
          <w:szCs w:val="22"/>
        </w:rPr>
      </w:pPr>
    </w:p>
    <w:p w:rsidR="00B60939" w:rsidRDefault="00643542" w:rsidP="005B47A0">
      <w:pPr>
        <w:pStyle w:val="ListParagraph"/>
        <w:widowControl/>
        <w:numPr>
          <w:ilvl w:val="1"/>
          <w:numId w:val="3"/>
        </w:numPr>
        <w:rPr>
          <w:szCs w:val="22"/>
        </w:rPr>
      </w:pPr>
      <w:r w:rsidRPr="00605035">
        <w:rPr>
          <w:szCs w:val="22"/>
        </w:rPr>
        <w:t xml:space="preserve">Fentanyl sublingual (100mcg, 200mcg, 400mcg) was TGA registered on 26 August 2013 for the management of breakthrough pain in adults with cancer who are already receiving maintenance opioid therapy for chronic pain. </w:t>
      </w:r>
      <w:r w:rsidRPr="00605035">
        <w:t xml:space="preserve">The sponsor has sought TGA registration for additional tablet dose strengths: 300mcg, 600mcg and 800mcg to be considered at the June 2015 ACPM meeting. </w:t>
      </w:r>
      <w:r w:rsidRPr="003F2251">
        <w:t>At the time of the evaluation the Round 1 Clinical Evaluation Report was available for the consideration of these additional dose strengths.</w:t>
      </w:r>
      <w:r w:rsidR="003F2251">
        <w:rPr>
          <w:szCs w:val="22"/>
        </w:rPr>
        <w:t xml:space="preserve"> </w:t>
      </w:r>
    </w:p>
    <w:p w:rsidR="003F2251" w:rsidRDefault="003F2251" w:rsidP="003F2251">
      <w:pPr>
        <w:pStyle w:val="ListParagraph"/>
        <w:widowControl/>
        <w:rPr>
          <w:szCs w:val="22"/>
        </w:rPr>
      </w:pPr>
    </w:p>
    <w:p w:rsidR="003F2251" w:rsidRPr="00605035" w:rsidRDefault="003F2251" w:rsidP="003F2251">
      <w:pPr>
        <w:pStyle w:val="ListParagraph"/>
        <w:widowControl/>
        <w:numPr>
          <w:ilvl w:val="1"/>
          <w:numId w:val="3"/>
        </w:numPr>
        <w:rPr>
          <w:szCs w:val="22"/>
        </w:rPr>
      </w:pPr>
      <w:r>
        <w:rPr>
          <w:szCs w:val="22"/>
        </w:rPr>
        <w:t>A TGA approval letter for fentanyl sublingual strengths (300mcg, 600mcg and 800mcg) was received 1 July 2015.</w:t>
      </w:r>
    </w:p>
    <w:p w:rsidR="003F2251" w:rsidRDefault="003F2251" w:rsidP="00577717">
      <w:pPr>
        <w:rPr>
          <w:i/>
          <w:szCs w:val="22"/>
          <w:highlight w:val="yellow"/>
        </w:rPr>
      </w:pPr>
    </w:p>
    <w:p w:rsidR="007B6ABF" w:rsidRPr="00605035" w:rsidRDefault="001D67B9" w:rsidP="005B47A0">
      <w:pPr>
        <w:pStyle w:val="ListParagraph"/>
        <w:widowControl/>
        <w:numPr>
          <w:ilvl w:val="1"/>
          <w:numId w:val="3"/>
        </w:numPr>
        <w:rPr>
          <w:szCs w:val="22"/>
        </w:rPr>
      </w:pPr>
      <w:r w:rsidRPr="00605035">
        <w:rPr>
          <w:szCs w:val="22"/>
        </w:rPr>
        <w:t>A submission for fentanyl sublingual was considered at the March 2014 PBAC meeting, and was rejected on the basis of</w:t>
      </w:r>
      <w:r w:rsidR="00E651AD" w:rsidRPr="00605035">
        <w:rPr>
          <w:szCs w:val="22"/>
        </w:rPr>
        <w:t xml:space="preserve"> </w:t>
      </w:r>
      <w:r w:rsidRPr="00605035">
        <w:rPr>
          <w:szCs w:val="22"/>
        </w:rPr>
        <w:t>inadequate</w:t>
      </w:r>
      <w:r w:rsidR="00E651AD" w:rsidRPr="00605035">
        <w:rPr>
          <w:szCs w:val="22"/>
        </w:rPr>
        <w:t>ly</w:t>
      </w:r>
      <w:r w:rsidRPr="00605035">
        <w:rPr>
          <w:szCs w:val="22"/>
        </w:rPr>
        <w:t xml:space="preserve"> support</w:t>
      </w:r>
      <w:r w:rsidR="00E651AD" w:rsidRPr="00605035">
        <w:rPr>
          <w:szCs w:val="22"/>
        </w:rPr>
        <w:t>ed</w:t>
      </w:r>
      <w:r w:rsidRPr="00605035">
        <w:rPr>
          <w:szCs w:val="22"/>
        </w:rPr>
        <w:t xml:space="preserve"> claims of non-inferior comparative efficacy and safety versus fentanyl lozenges. </w:t>
      </w:r>
    </w:p>
    <w:p w:rsidR="007B6ABF" w:rsidRPr="00605035" w:rsidRDefault="007B6ABF" w:rsidP="007B6ABF">
      <w:pPr>
        <w:pStyle w:val="ListParagraph"/>
      </w:pPr>
    </w:p>
    <w:p w:rsidR="007B6ABF" w:rsidRPr="00605035" w:rsidRDefault="007B6ABF" w:rsidP="007B6ABF">
      <w:pPr>
        <w:pStyle w:val="ListParagraph"/>
        <w:widowControl/>
        <w:numPr>
          <w:ilvl w:val="1"/>
          <w:numId w:val="3"/>
        </w:numPr>
        <w:ind w:left="709" w:hanging="709"/>
        <w:rPr>
          <w:rStyle w:val="COMBodyChar"/>
          <w:bCs w:val="0"/>
          <w:lang w:val="en-AU"/>
        </w:rPr>
      </w:pPr>
      <w:r w:rsidRPr="00605035">
        <w:rPr>
          <w:rStyle w:val="COMBodyChar"/>
        </w:rPr>
        <w:t xml:space="preserve">The PBAC </w:t>
      </w:r>
      <w:r w:rsidR="008C0537" w:rsidRPr="00605035">
        <w:rPr>
          <w:rStyle w:val="COMBodyChar"/>
        </w:rPr>
        <w:t xml:space="preserve">previously </w:t>
      </w:r>
      <w:r w:rsidRPr="00605035">
        <w:rPr>
          <w:rStyle w:val="COMBodyChar"/>
        </w:rPr>
        <w:t>accepted that fentanyl lozenge was an appropriate comparator in the proposed second-line setting. However, the PBAC considered that other immediate-release opioids may also be appropriate comparators.</w:t>
      </w:r>
    </w:p>
    <w:p w:rsidR="007B6ABF" w:rsidRPr="00605035" w:rsidRDefault="007B6ABF" w:rsidP="007B6ABF">
      <w:pPr>
        <w:pStyle w:val="ListParagraph"/>
        <w:rPr>
          <w:szCs w:val="22"/>
        </w:rPr>
      </w:pPr>
    </w:p>
    <w:p w:rsidR="00B60939" w:rsidRPr="00605035" w:rsidRDefault="001D67B9" w:rsidP="005B47A0">
      <w:pPr>
        <w:pStyle w:val="ListParagraph"/>
        <w:widowControl/>
        <w:numPr>
          <w:ilvl w:val="1"/>
          <w:numId w:val="3"/>
        </w:numPr>
        <w:rPr>
          <w:szCs w:val="22"/>
        </w:rPr>
      </w:pPr>
      <w:r w:rsidRPr="00605035">
        <w:t xml:space="preserve">The PBAC </w:t>
      </w:r>
      <w:r w:rsidR="008C0537" w:rsidRPr="00605035">
        <w:t xml:space="preserve">previously </w:t>
      </w:r>
      <w:r w:rsidRPr="00605035">
        <w:t>considered that uptake of the fentanyl sublingual tablets would likely be higher than predicted due to ease of use and faster onset of action</w:t>
      </w:r>
      <w:r w:rsidR="00E651AD" w:rsidRPr="00605035">
        <w:t xml:space="preserve"> compared to fentanyl lozenges</w:t>
      </w:r>
      <w:r w:rsidRPr="00605035">
        <w:t>.</w:t>
      </w:r>
      <w:r w:rsidR="007B6ABF" w:rsidRPr="00605035">
        <w:rPr>
          <w:szCs w:val="22"/>
        </w:rPr>
        <w:t xml:space="preserve"> The PBAC also considered that there is likely to be use of fentanyl sublingual tablets in the management of other pain, such as incident </w:t>
      </w:r>
      <w:r w:rsidR="007B6ABF" w:rsidRPr="00605035">
        <w:rPr>
          <w:szCs w:val="22"/>
        </w:rPr>
        <w:lastRenderedPageBreak/>
        <w:t>pain in the acute care setting, which could lead to use beyond the requested population, further increasing uptake.</w:t>
      </w:r>
    </w:p>
    <w:p w:rsidR="00B60939" w:rsidRPr="00605035" w:rsidRDefault="00B60939" w:rsidP="00577717"/>
    <w:p w:rsidR="007B6ABF" w:rsidRPr="00605035" w:rsidRDefault="007B6ABF" w:rsidP="007B6ABF">
      <w:pPr>
        <w:pStyle w:val="ListParagraph"/>
        <w:widowControl/>
        <w:numPr>
          <w:ilvl w:val="1"/>
          <w:numId w:val="3"/>
        </w:numPr>
        <w:rPr>
          <w:szCs w:val="22"/>
        </w:rPr>
      </w:pPr>
      <w:r w:rsidRPr="00605035">
        <w:rPr>
          <w:szCs w:val="22"/>
        </w:rPr>
        <w:t xml:space="preserve">The PBAC acknowledged that there was potential for confusion with respect to the clinical place in therapy with the current listing for fentanyl lozenges.  The PBAC considered the restriction may be open to interpretation, i.e. whether eligible patients are those unable to tolerate further escalation of morphine itself, morphine equivalents (another opioid such as oxycodone), or tried all other suitable immediate acting opioids. </w:t>
      </w:r>
    </w:p>
    <w:p w:rsidR="007B6ABF" w:rsidRPr="00605035" w:rsidRDefault="007B6ABF" w:rsidP="00577717"/>
    <w:p w:rsidR="000F725D" w:rsidRDefault="000F725D" w:rsidP="000F725D">
      <w:pPr>
        <w:pStyle w:val="ListParagraph"/>
        <w:widowControl/>
        <w:numPr>
          <w:ilvl w:val="1"/>
          <w:numId w:val="3"/>
        </w:numPr>
      </w:pPr>
      <w:r w:rsidRPr="00605035">
        <w:t xml:space="preserve">The table below outlines the concerns of the PBAC in the previous submission and the measures this </w:t>
      </w:r>
      <w:r w:rsidR="00260E2E" w:rsidRPr="00605035">
        <w:t>res</w:t>
      </w:r>
      <w:r w:rsidRPr="00605035">
        <w:t>ubmission undertook to address those concerns.</w:t>
      </w:r>
    </w:p>
    <w:p w:rsidR="008547CF" w:rsidRPr="00605035" w:rsidRDefault="008547CF" w:rsidP="008547CF">
      <w:pPr>
        <w:pStyle w:val="ListParagraph"/>
        <w:widowControl/>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36"/>
        <w:gridCol w:w="2483"/>
        <w:gridCol w:w="3026"/>
      </w:tblGrid>
      <w:tr w:rsidR="000F725D" w:rsidRPr="00605035" w:rsidTr="00A5153B">
        <w:trPr>
          <w:trHeight w:val="240"/>
          <w:tblHeader/>
        </w:trPr>
        <w:tc>
          <w:tcPr>
            <w:tcW w:w="1699" w:type="pct"/>
            <w:shd w:val="clear" w:color="auto" w:fill="auto"/>
          </w:tcPr>
          <w:p w:rsidR="000F725D" w:rsidRPr="00605035" w:rsidRDefault="000F725D" w:rsidP="00425F5F">
            <w:pPr>
              <w:keepNext/>
              <w:rPr>
                <w:rFonts w:ascii="Arial Narrow" w:hAnsi="Arial Narrow"/>
                <w:b/>
                <w:sz w:val="20"/>
              </w:rPr>
            </w:pPr>
            <w:r w:rsidRPr="00605035">
              <w:rPr>
                <w:rFonts w:ascii="Arial Narrow" w:hAnsi="Arial Narrow"/>
                <w:b/>
                <w:sz w:val="20"/>
              </w:rPr>
              <w:t>Matters of concern</w:t>
            </w:r>
          </w:p>
        </w:tc>
        <w:tc>
          <w:tcPr>
            <w:tcW w:w="1488" w:type="pct"/>
            <w:shd w:val="clear" w:color="auto" w:fill="auto"/>
          </w:tcPr>
          <w:p w:rsidR="000F725D" w:rsidRPr="00605035" w:rsidRDefault="000F725D" w:rsidP="00425F5F">
            <w:pPr>
              <w:keepNext/>
              <w:jc w:val="center"/>
              <w:rPr>
                <w:rFonts w:ascii="Arial Narrow" w:hAnsi="Arial Narrow"/>
                <w:b/>
                <w:sz w:val="20"/>
              </w:rPr>
            </w:pPr>
            <w:r w:rsidRPr="00605035">
              <w:rPr>
                <w:rFonts w:ascii="Arial Narrow" w:hAnsi="Arial Narrow"/>
                <w:b/>
                <w:sz w:val="20"/>
              </w:rPr>
              <w:t xml:space="preserve">How the </w:t>
            </w:r>
            <w:r w:rsidR="00260E2E" w:rsidRPr="00605035">
              <w:rPr>
                <w:rFonts w:ascii="Arial Narrow" w:hAnsi="Arial Narrow"/>
                <w:b/>
                <w:sz w:val="20"/>
              </w:rPr>
              <w:t>res</w:t>
            </w:r>
            <w:r w:rsidRPr="00605035">
              <w:rPr>
                <w:rFonts w:ascii="Arial Narrow" w:hAnsi="Arial Narrow"/>
                <w:b/>
                <w:sz w:val="20"/>
              </w:rPr>
              <w:t>ubmission addressed it</w:t>
            </w:r>
          </w:p>
        </w:tc>
        <w:tc>
          <w:tcPr>
            <w:tcW w:w="1813" w:type="pct"/>
          </w:tcPr>
          <w:p w:rsidR="000F725D" w:rsidRPr="00605035" w:rsidRDefault="003F2251" w:rsidP="00425F5F">
            <w:pPr>
              <w:keepNext/>
              <w:jc w:val="center"/>
              <w:rPr>
                <w:rFonts w:ascii="Arial Narrow" w:hAnsi="Arial Narrow"/>
                <w:b/>
                <w:sz w:val="20"/>
              </w:rPr>
            </w:pPr>
            <w:r>
              <w:rPr>
                <w:rFonts w:ascii="Arial Narrow" w:hAnsi="Arial Narrow"/>
                <w:b/>
                <w:sz w:val="20"/>
              </w:rPr>
              <w:t xml:space="preserve">June 2015 </w:t>
            </w:r>
            <w:r w:rsidR="000F725D" w:rsidRPr="00605035">
              <w:rPr>
                <w:rFonts w:ascii="Arial Narrow" w:hAnsi="Arial Narrow"/>
                <w:b/>
                <w:sz w:val="20"/>
              </w:rPr>
              <w:t>ESC Comment</w:t>
            </w:r>
          </w:p>
        </w:tc>
      </w:tr>
      <w:tr w:rsidR="000F725D" w:rsidRPr="00605035" w:rsidTr="00425F5F">
        <w:trPr>
          <w:trHeight w:val="930"/>
        </w:trPr>
        <w:tc>
          <w:tcPr>
            <w:tcW w:w="1699" w:type="pct"/>
            <w:shd w:val="clear" w:color="auto" w:fill="auto"/>
          </w:tcPr>
          <w:p w:rsidR="000F725D" w:rsidRPr="00605035" w:rsidRDefault="000F725D" w:rsidP="00425F5F">
            <w:pPr>
              <w:jc w:val="left"/>
              <w:rPr>
                <w:rFonts w:ascii="Arial Narrow" w:hAnsi="Arial Narrow"/>
                <w:sz w:val="20"/>
              </w:rPr>
            </w:pPr>
            <w:r w:rsidRPr="00605035">
              <w:rPr>
                <w:rFonts w:ascii="Arial Narrow" w:hAnsi="Arial Narrow"/>
                <w:sz w:val="20"/>
              </w:rPr>
              <w:t xml:space="preserve">7.2 The PBAC considered the submission’s claims of non-inferior comparative efficacy and safety versus fentanyl lozenges were inadequately supported by the data presented in the submission. </w:t>
            </w:r>
          </w:p>
        </w:tc>
        <w:tc>
          <w:tcPr>
            <w:tcW w:w="1488" w:type="pct"/>
            <w:shd w:val="clear" w:color="auto" w:fill="auto"/>
          </w:tcPr>
          <w:p w:rsidR="000F725D" w:rsidRPr="00605035" w:rsidRDefault="000F725D" w:rsidP="00425F5F">
            <w:pPr>
              <w:jc w:val="left"/>
              <w:rPr>
                <w:rFonts w:ascii="Arial Narrow" w:hAnsi="Arial Narrow"/>
                <w:sz w:val="20"/>
              </w:rPr>
            </w:pPr>
            <w:r w:rsidRPr="00605035">
              <w:rPr>
                <w:rFonts w:ascii="Arial Narrow" w:hAnsi="Arial Narrow"/>
                <w:sz w:val="20"/>
              </w:rPr>
              <w:t>Expanded clinical section (Section B.6) with an updated literature search, supportive data from external network meta-analyses and a Cochrane review, and a formal indirect comparison using patient-level data for key efficacy outcomes.</w:t>
            </w:r>
          </w:p>
        </w:tc>
        <w:tc>
          <w:tcPr>
            <w:tcW w:w="1813" w:type="pct"/>
          </w:tcPr>
          <w:p w:rsidR="000F725D" w:rsidRDefault="000F725D" w:rsidP="000F725D">
            <w:pPr>
              <w:jc w:val="left"/>
              <w:rPr>
                <w:rFonts w:ascii="Arial Narrow" w:hAnsi="Arial Narrow"/>
                <w:sz w:val="20"/>
              </w:rPr>
            </w:pPr>
            <w:r w:rsidRPr="00605035">
              <w:rPr>
                <w:rFonts w:ascii="Arial Narrow" w:hAnsi="Arial Narrow"/>
                <w:sz w:val="20"/>
              </w:rPr>
              <w:t>The ESC considered that these re-analyses support the non-inferior comparative efficacy of sublingual fentanyl compared vs fentanyl lozenges, within the limits of indirect comparisons.  While there are outstanding theoretical concerns about potential increased risk of local and systemic adverse effects with sublingual fentanyl in the PBS population, there is no difference in safety outcomes from the indirect comparisons supplied.</w:t>
            </w:r>
          </w:p>
          <w:p w:rsidR="003F2251" w:rsidRPr="00605035" w:rsidRDefault="003F2251" w:rsidP="000F725D">
            <w:pPr>
              <w:jc w:val="left"/>
              <w:rPr>
                <w:rFonts w:ascii="Arial Narrow" w:hAnsi="Arial Narrow"/>
                <w:sz w:val="20"/>
              </w:rPr>
            </w:pPr>
          </w:p>
        </w:tc>
      </w:tr>
      <w:tr w:rsidR="000F725D" w:rsidRPr="00605035" w:rsidTr="00425F5F">
        <w:trPr>
          <w:trHeight w:val="930"/>
        </w:trPr>
        <w:tc>
          <w:tcPr>
            <w:tcW w:w="1699" w:type="pct"/>
            <w:shd w:val="clear" w:color="auto" w:fill="auto"/>
          </w:tcPr>
          <w:p w:rsidR="000F725D" w:rsidRDefault="000F725D" w:rsidP="00425F5F">
            <w:pPr>
              <w:jc w:val="left"/>
              <w:rPr>
                <w:rFonts w:ascii="Arial Narrow" w:hAnsi="Arial Narrow"/>
                <w:sz w:val="20"/>
              </w:rPr>
            </w:pPr>
            <w:r w:rsidRPr="00605035">
              <w:rPr>
                <w:rFonts w:ascii="Arial Narrow" w:hAnsi="Arial Narrow"/>
                <w:sz w:val="20"/>
              </w:rPr>
              <w:t>7.3 The PBAC also considered that the appropriate clinical place of sublingual fentanyl was unclear, noting that it was possible that it would be used in a number of clinical settings in addition to that requested in the proposed restriction.</w:t>
            </w:r>
          </w:p>
          <w:p w:rsidR="003F2251" w:rsidRPr="00605035" w:rsidRDefault="003F2251" w:rsidP="00425F5F">
            <w:pPr>
              <w:jc w:val="left"/>
              <w:rPr>
                <w:rFonts w:ascii="Arial Narrow" w:hAnsi="Arial Narrow"/>
                <w:sz w:val="20"/>
              </w:rPr>
            </w:pPr>
          </w:p>
        </w:tc>
        <w:tc>
          <w:tcPr>
            <w:tcW w:w="1488" w:type="pct"/>
            <w:shd w:val="clear" w:color="auto" w:fill="auto"/>
          </w:tcPr>
          <w:p w:rsidR="000F725D" w:rsidRPr="00605035" w:rsidRDefault="000F725D" w:rsidP="000F725D">
            <w:pPr>
              <w:jc w:val="left"/>
              <w:rPr>
                <w:rFonts w:ascii="Arial Narrow" w:hAnsi="Arial Narrow"/>
                <w:sz w:val="20"/>
              </w:rPr>
            </w:pPr>
            <w:r w:rsidRPr="00605035">
              <w:rPr>
                <w:rFonts w:ascii="Arial Narrow" w:hAnsi="Arial Narrow"/>
                <w:sz w:val="20"/>
              </w:rPr>
              <w:t xml:space="preserve">The </w:t>
            </w:r>
            <w:r w:rsidR="00260E2E" w:rsidRPr="00605035">
              <w:rPr>
                <w:rFonts w:ascii="Arial Narrow" w:hAnsi="Arial Narrow"/>
                <w:sz w:val="20"/>
              </w:rPr>
              <w:t>res</w:t>
            </w:r>
            <w:r w:rsidRPr="00605035">
              <w:rPr>
                <w:rFonts w:ascii="Arial Narrow" w:hAnsi="Arial Narrow"/>
                <w:sz w:val="20"/>
              </w:rPr>
              <w:t xml:space="preserve">ubmission tightened the proposed restriction to ensure only patients in cancer palliative care are eligible for fentanyl sublingual. </w:t>
            </w:r>
          </w:p>
        </w:tc>
        <w:tc>
          <w:tcPr>
            <w:tcW w:w="1813" w:type="pct"/>
          </w:tcPr>
          <w:p w:rsidR="000F725D" w:rsidRPr="00605035" w:rsidRDefault="000F725D" w:rsidP="00D75FDE">
            <w:pPr>
              <w:jc w:val="left"/>
              <w:rPr>
                <w:rFonts w:ascii="Arial Narrow" w:hAnsi="Arial Narrow"/>
                <w:sz w:val="20"/>
              </w:rPr>
            </w:pPr>
            <w:r w:rsidRPr="00605035">
              <w:rPr>
                <w:rFonts w:ascii="Arial Narrow" w:hAnsi="Arial Narrow"/>
                <w:sz w:val="20"/>
              </w:rPr>
              <w:t xml:space="preserve">The ESC considered that it remains unclear whether the place in therapy for sublingual fentanyl (and other immediate release </w:t>
            </w:r>
            <w:r w:rsidR="002E0BEE" w:rsidRPr="00605035">
              <w:rPr>
                <w:rFonts w:ascii="Arial Narrow" w:hAnsi="Arial Narrow"/>
                <w:sz w:val="20"/>
              </w:rPr>
              <w:t xml:space="preserve">fentanyl </w:t>
            </w:r>
            <w:r w:rsidRPr="00605035">
              <w:rPr>
                <w:rFonts w:ascii="Arial Narrow" w:hAnsi="Arial Narrow"/>
                <w:sz w:val="20"/>
              </w:rPr>
              <w:t>formulations) is 2</w:t>
            </w:r>
            <w:r w:rsidRPr="00605035">
              <w:rPr>
                <w:rFonts w:ascii="Arial Narrow" w:hAnsi="Arial Narrow"/>
                <w:sz w:val="20"/>
                <w:vertAlign w:val="superscript"/>
              </w:rPr>
              <w:t>nd</w:t>
            </w:r>
            <w:r w:rsidRPr="00605035">
              <w:rPr>
                <w:rFonts w:ascii="Arial Narrow" w:hAnsi="Arial Narrow"/>
                <w:sz w:val="20"/>
              </w:rPr>
              <w:t xml:space="preserve"> line (as claimed by the sponsor) or whether it should be 3</w:t>
            </w:r>
            <w:r w:rsidRPr="00605035">
              <w:rPr>
                <w:rFonts w:ascii="Arial Narrow" w:hAnsi="Arial Narrow"/>
                <w:sz w:val="20"/>
                <w:vertAlign w:val="superscript"/>
              </w:rPr>
              <w:t>rd</w:t>
            </w:r>
            <w:r w:rsidRPr="00605035">
              <w:rPr>
                <w:rFonts w:ascii="Arial Narrow" w:hAnsi="Arial Narrow"/>
                <w:sz w:val="20"/>
              </w:rPr>
              <w:t xml:space="preserve"> and subsequent lines.  </w:t>
            </w:r>
          </w:p>
        </w:tc>
      </w:tr>
      <w:tr w:rsidR="000F725D" w:rsidRPr="00605035" w:rsidTr="00425F5F">
        <w:trPr>
          <w:trHeight w:val="930"/>
        </w:trPr>
        <w:tc>
          <w:tcPr>
            <w:tcW w:w="1699" w:type="pct"/>
            <w:shd w:val="clear" w:color="auto" w:fill="auto"/>
          </w:tcPr>
          <w:p w:rsidR="000F725D" w:rsidRPr="00605035" w:rsidRDefault="000F725D" w:rsidP="00425F5F">
            <w:pPr>
              <w:jc w:val="left"/>
              <w:rPr>
                <w:rFonts w:ascii="Arial Narrow" w:hAnsi="Arial Narrow"/>
                <w:sz w:val="20"/>
              </w:rPr>
            </w:pPr>
            <w:r w:rsidRPr="00605035">
              <w:rPr>
                <w:rFonts w:ascii="Arial Narrow" w:hAnsi="Arial Narrow"/>
                <w:sz w:val="20"/>
              </w:rPr>
              <w:t>7.4</w:t>
            </w:r>
            <w:r w:rsidRPr="00605035">
              <w:rPr>
                <w:rStyle w:val="COMBodyChar"/>
                <w:rFonts w:ascii="Arial Narrow" w:hAnsi="Arial Narrow"/>
                <w:sz w:val="20"/>
                <w:szCs w:val="20"/>
                <w:lang w:val="en-AU"/>
              </w:rPr>
              <w:t xml:space="preserve"> The PBAC accepted that fentanyl lozenge was an appropriate comparator in the proposed second-line setting.  However, the PBAC considered that other immediate-release opioids may also be appropriate comparators.</w:t>
            </w:r>
          </w:p>
        </w:tc>
        <w:tc>
          <w:tcPr>
            <w:tcW w:w="1488" w:type="pct"/>
            <w:shd w:val="clear" w:color="auto" w:fill="auto"/>
          </w:tcPr>
          <w:p w:rsidR="000F725D" w:rsidRDefault="000F725D" w:rsidP="00425F5F">
            <w:pPr>
              <w:jc w:val="left"/>
              <w:rPr>
                <w:rFonts w:ascii="Arial Narrow" w:hAnsi="Arial Narrow"/>
                <w:sz w:val="20"/>
              </w:rPr>
            </w:pPr>
            <w:r w:rsidRPr="00605035">
              <w:rPr>
                <w:rFonts w:ascii="Arial Narrow" w:hAnsi="Arial Narrow"/>
                <w:sz w:val="20"/>
              </w:rPr>
              <w:t xml:space="preserve">The </w:t>
            </w:r>
            <w:r w:rsidR="00260E2E" w:rsidRPr="00605035">
              <w:rPr>
                <w:rFonts w:ascii="Arial Narrow" w:hAnsi="Arial Narrow"/>
                <w:sz w:val="20"/>
              </w:rPr>
              <w:t>res</w:t>
            </w:r>
            <w:r w:rsidRPr="00605035">
              <w:rPr>
                <w:rFonts w:ascii="Arial Narrow" w:hAnsi="Arial Narrow"/>
                <w:sz w:val="20"/>
              </w:rPr>
              <w:t xml:space="preserve">ubmission included a supplementary analysis of efficacy comparing fentanyl sublingual with an immediate-release opioid (liquid morphine). The </w:t>
            </w:r>
            <w:r w:rsidR="00260E2E" w:rsidRPr="00605035">
              <w:rPr>
                <w:rFonts w:ascii="Arial Narrow" w:hAnsi="Arial Narrow"/>
                <w:sz w:val="20"/>
              </w:rPr>
              <w:t>res</w:t>
            </w:r>
            <w:r w:rsidRPr="00605035">
              <w:rPr>
                <w:rFonts w:ascii="Arial Narrow" w:hAnsi="Arial Narrow"/>
                <w:sz w:val="20"/>
              </w:rPr>
              <w:t>ubmission also incorporated the substitution of immediate-release opioids in estimation of financial implications.</w:t>
            </w:r>
          </w:p>
          <w:p w:rsidR="003F2251" w:rsidRPr="00605035" w:rsidRDefault="003F2251" w:rsidP="00425F5F">
            <w:pPr>
              <w:jc w:val="left"/>
              <w:rPr>
                <w:rFonts w:ascii="Arial Narrow" w:hAnsi="Arial Narrow"/>
                <w:sz w:val="20"/>
              </w:rPr>
            </w:pPr>
          </w:p>
        </w:tc>
        <w:tc>
          <w:tcPr>
            <w:tcW w:w="1813" w:type="pct"/>
          </w:tcPr>
          <w:p w:rsidR="000F725D" w:rsidRPr="00605035" w:rsidRDefault="000F725D" w:rsidP="000F725D">
            <w:pPr>
              <w:jc w:val="left"/>
              <w:rPr>
                <w:rFonts w:ascii="Arial Narrow" w:hAnsi="Arial Narrow"/>
                <w:sz w:val="20"/>
              </w:rPr>
            </w:pPr>
            <w:r w:rsidRPr="00605035">
              <w:rPr>
                <w:rFonts w:ascii="Arial Narrow" w:hAnsi="Arial Narrow"/>
                <w:sz w:val="20"/>
              </w:rPr>
              <w:t xml:space="preserve">The ESC noted that this concern was well addressed in the </w:t>
            </w:r>
            <w:r w:rsidR="00260E2E" w:rsidRPr="00605035">
              <w:rPr>
                <w:rFonts w:ascii="Arial Narrow" w:hAnsi="Arial Narrow"/>
                <w:sz w:val="20"/>
              </w:rPr>
              <w:t>res</w:t>
            </w:r>
            <w:r w:rsidRPr="00605035">
              <w:rPr>
                <w:rFonts w:ascii="Arial Narrow" w:hAnsi="Arial Narrow"/>
                <w:sz w:val="20"/>
              </w:rPr>
              <w:t xml:space="preserve">ubmission as </w:t>
            </w:r>
            <w:proofErr w:type="gramStart"/>
            <w:r w:rsidRPr="00605035">
              <w:rPr>
                <w:rFonts w:ascii="Arial Narrow" w:hAnsi="Arial Narrow"/>
                <w:sz w:val="20"/>
              </w:rPr>
              <w:t>it  considers</w:t>
            </w:r>
            <w:proofErr w:type="gramEnd"/>
            <w:r w:rsidRPr="00605035">
              <w:rPr>
                <w:rFonts w:ascii="Arial Narrow" w:hAnsi="Arial Narrow"/>
                <w:sz w:val="20"/>
              </w:rPr>
              <w:t xml:space="preserve"> use of sublingual fentanyl in second or later line therapy.</w:t>
            </w:r>
          </w:p>
        </w:tc>
      </w:tr>
      <w:tr w:rsidR="000F725D" w:rsidRPr="00605035" w:rsidTr="00425F5F">
        <w:trPr>
          <w:trHeight w:val="930"/>
        </w:trPr>
        <w:tc>
          <w:tcPr>
            <w:tcW w:w="1699" w:type="pct"/>
            <w:shd w:val="clear" w:color="auto" w:fill="auto"/>
          </w:tcPr>
          <w:p w:rsidR="000F725D" w:rsidRDefault="000F725D" w:rsidP="00425F5F">
            <w:pPr>
              <w:jc w:val="left"/>
              <w:rPr>
                <w:rFonts w:ascii="Arial Narrow" w:hAnsi="Arial Narrow"/>
                <w:sz w:val="20"/>
              </w:rPr>
            </w:pPr>
            <w:r w:rsidRPr="00605035">
              <w:rPr>
                <w:rFonts w:ascii="Arial Narrow" w:hAnsi="Arial Narrow"/>
                <w:sz w:val="20"/>
              </w:rPr>
              <w:t xml:space="preserve">7.6 The PBAC considered that there were significant safety and quality use of medicines issues related to the use of sublingual fentanyl tablets. The Committee noted the risk management plan proposed by the sponsor but considered that there was still potential for net harm </w:t>
            </w:r>
            <w:r w:rsidRPr="00605035">
              <w:rPr>
                <w:rFonts w:ascii="Arial Narrow" w:hAnsi="Arial Narrow"/>
                <w:sz w:val="20"/>
              </w:rPr>
              <w:lastRenderedPageBreak/>
              <w:t>associated with the use of sublingual fentanyl tablets, given concerns regarding diversion, misuse and overdose.</w:t>
            </w:r>
          </w:p>
          <w:p w:rsidR="003F2251" w:rsidRPr="00605035" w:rsidRDefault="003F2251" w:rsidP="00425F5F">
            <w:pPr>
              <w:jc w:val="left"/>
              <w:rPr>
                <w:rFonts w:ascii="Arial Narrow" w:hAnsi="Arial Narrow"/>
                <w:sz w:val="20"/>
              </w:rPr>
            </w:pPr>
          </w:p>
        </w:tc>
        <w:tc>
          <w:tcPr>
            <w:tcW w:w="1488" w:type="pct"/>
            <w:shd w:val="clear" w:color="auto" w:fill="auto"/>
          </w:tcPr>
          <w:p w:rsidR="000F725D" w:rsidRPr="00605035" w:rsidRDefault="000F725D" w:rsidP="000F725D">
            <w:pPr>
              <w:jc w:val="left"/>
              <w:rPr>
                <w:rFonts w:ascii="Arial Narrow" w:hAnsi="Arial Narrow"/>
                <w:sz w:val="20"/>
              </w:rPr>
            </w:pPr>
            <w:r w:rsidRPr="00605035">
              <w:rPr>
                <w:rFonts w:ascii="Arial Narrow" w:hAnsi="Arial Narrow"/>
                <w:sz w:val="20"/>
              </w:rPr>
              <w:lastRenderedPageBreak/>
              <w:t xml:space="preserve">Greater detail was provided in the </w:t>
            </w:r>
            <w:r w:rsidR="00260E2E" w:rsidRPr="00605035">
              <w:rPr>
                <w:rFonts w:ascii="Arial Narrow" w:hAnsi="Arial Narrow"/>
                <w:sz w:val="20"/>
              </w:rPr>
              <w:t>res</w:t>
            </w:r>
            <w:r w:rsidRPr="00605035">
              <w:rPr>
                <w:rFonts w:ascii="Arial Narrow" w:hAnsi="Arial Narrow"/>
                <w:sz w:val="20"/>
              </w:rPr>
              <w:t xml:space="preserve">ubmission of the sponsor’s post-marketing educational programs. </w:t>
            </w:r>
          </w:p>
        </w:tc>
        <w:tc>
          <w:tcPr>
            <w:tcW w:w="1813" w:type="pct"/>
          </w:tcPr>
          <w:p w:rsidR="000F725D" w:rsidRPr="00605035" w:rsidRDefault="000F725D" w:rsidP="000F725D">
            <w:pPr>
              <w:jc w:val="left"/>
              <w:rPr>
                <w:rFonts w:ascii="Arial Narrow" w:hAnsi="Arial Narrow"/>
                <w:sz w:val="20"/>
              </w:rPr>
            </w:pPr>
            <w:r w:rsidRPr="00605035">
              <w:rPr>
                <w:rFonts w:ascii="Arial Narrow" w:hAnsi="Arial Narrow"/>
                <w:sz w:val="20"/>
              </w:rPr>
              <w:t>The ESC noted that whilst these strategies address prescribing issues, the potential for illicit diversion remains high.</w:t>
            </w:r>
          </w:p>
        </w:tc>
      </w:tr>
      <w:tr w:rsidR="000F725D" w:rsidRPr="00605035" w:rsidTr="00425F5F">
        <w:trPr>
          <w:trHeight w:val="930"/>
        </w:trPr>
        <w:tc>
          <w:tcPr>
            <w:tcW w:w="1699" w:type="pct"/>
            <w:shd w:val="clear" w:color="auto" w:fill="auto"/>
          </w:tcPr>
          <w:p w:rsidR="000F725D" w:rsidRPr="00BB6798" w:rsidRDefault="000F725D" w:rsidP="00425F5F">
            <w:pPr>
              <w:widowControl/>
              <w:jc w:val="left"/>
              <w:rPr>
                <w:rFonts w:ascii="Arial Narrow" w:hAnsi="Arial Narrow"/>
                <w:sz w:val="20"/>
              </w:rPr>
            </w:pPr>
            <w:r w:rsidRPr="00BB6798">
              <w:rPr>
                <w:rFonts w:ascii="Arial Narrow" w:hAnsi="Arial Narrow"/>
                <w:sz w:val="20"/>
              </w:rPr>
              <w:lastRenderedPageBreak/>
              <w:t>7.7 The PBAC did not accept the utilisation estimates provided in the submission.  The PBAC considered that uptake of the fentanyl sublingual tablets would likely be higher than predicted due to ease of use and faster onset of action.  The PBAC also considered that there is likely to be use of fentanyl sublingual tablets in the management of other pain, such as incident pain in the acute care setting, which could lead to use beyond the requested population, further increasing uptake.</w:t>
            </w:r>
          </w:p>
          <w:p w:rsidR="003F2251" w:rsidRPr="00BB6798" w:rsidRDefault="003F2251" w:rsidP="00425F5F">
            <w:pPr>
              <w:widowControl/>
              <w:jc w:val="left"/>
              <w:rPr>
                <w:rFonts w:ascii="Arial Narrow" w:hAnsi="Arial Narrow"/>
                <w:sz w:val="20"/>
              </w:rPr>
            </w:pPr>
          </w:p>
        </w:tc>
        <w:tc>
          <w:tcPr>
            <w:tcW w:w="1488" w:type="pct"/>
            <w:shd w:val="clear" w:color="auto" w:fill="auto"/>
          </w:tcPr>
          <w:p w:rsidR="000F725D" w:rsidRPr="00BB6798" w:rsidRDefault="000F725D" w:rsidP="00425F5F">
            <w:pPr>
              <w:jc w:val="left"/>
              <w:rPr>
                <w:rFonts w:ascii="Arial Narrow" w:hAnsi="Arial Narrow"/>
                <w:sz w:val="20"/>
              </w:rPr>
            </w:pPr>
            <w:r w:rsidRPr="00BB6798">
              <w:rPr>
                <w:rFonts w:ascii="Arial Narrow" w:hAnsi="Arial Narrow"/>
                <w:sz w:val="20"/>
              </w:rPr>
              <w:t xml:space="preserve">The </w:t>
            </w:r>
            <w:r w:rsidR="00260E2E" w:rsidRPr="00BB6798">
              <w:rPr>
                <w:rFonts w:ascii="Arial Narrow" w:hAnsi="Arial Narrow"/>
                <w:sz w:val="20"/>
              </w:rPr>
              <w:t>res</w:t>
            </w:r>
            <w:r w:rsidRPr="00BB6798">
              <w:rPr>
                <w:rFonts w:ascii="Arial Narrow" w:hAnsi="Arial Narrow"/>
                <w:sz w:val="20"/>
              </w:rPr>
              <w:t xml:space="preserve">ubmission also clarified the definition of breakthrough cancer pain and demonstrated that incident pain is one possible manifestation of breakthrough cancer pain. The </w:t>
            </w:r>
            <w:r w:rsidR="00260E2E" w:rsidRPr="00BB6798">
              <w:rPr>
                <w:rFonts w:ascii="Arial Narrow" w:hAnsi="Arial Narrow"/>
                <w:sz w:val="20"/>
              </w:rPr>
              <w:t>res</w:t>
            </w:r>
            <w:r w:rsidRPr="00BB6798">
              <w:rPr>
                <w:rFonts w:ascii="Arial Narrow" w:hAnsi="Arial Narrow"/>
                <w:sz w:val="20"/>
              </w:rPr>
              <w:t>ubmission re-iterated the sponsor’s willingness to enter into a risk share arrangement.</w:t>
            </w:r>
          </w:p>
        </w:tc>
        <w:tc>
          <w:tcPr>
            <w:tcW w:w="1813" w:type="pct"/>
          </w:tcPr>
          <w:p w:rsidR="000F725D" w:rsidRPr="00BB6798" w:rsidRDefault="000F725D" w:rsidP="00CD5B8F">
            <w:pPr>
              <w:jc w:val="left"/>
              <w:rPr>
                <w:rFonts w:ascii="Arial Narrow" w:hAnsi="Arial Narrow"/>
                <w:sz w:val="20"/>
              </w:rPr>
            </w:pPr>
            <w:r w:rsidRPr="00BB6798">
              <w:rPr>
                <w:rFonts w:ascii="Arial Narrow" w:hAnsi="Arial Narrow"/>
                <w:sz w:val="20"/>
              </w:rPr>
              <w:t xml:space="preserve">The ESC agreed that incident pain is a component of breakthrough cancer pain, and this is supported by the palliative care literature. The ESC noted that the proposed risk share arrangement </w:t>
            </w:r>
            <w:r w:rsidR="00CD5B8F" w:rsidRPr="00BB6798">
              <w:rPr>
                <w:rFonts w:ascii="Arial Narrow" w:hAnsi="Arial Narrow"/>
                <w:sz w:val="20"/>
              </w:rPr>
              <w:t xml:space="preserve">could </w:t>
            </w:r>
            <w:r w:rsidRPr="00BB6798">
              <w:rPr>
                <w:rFonts w:ascii="Arial Narrow" w:hAnsi="Arial Narrow"/>
                <w:sz w:val="20"/>
              </w:rPr>
              <w:t xml:space="preserve">address potential higher than anticipated use.  </w:t>
            </w:r>
          </w:p>
        </w:tc>
      </w:tr>
      <w:tr w:rsidR="000F725D" w:rsidRPr="00605035" w:rsidTr="00425F5F">
        <w:trPr>
          <w:trHeight w:val="930"/>
        </w:trPr>
        <w:tc>
          <w:tcPr>
            <w:tcW w:w="1699" w:type="pct"/>
            <w:shd w:val="clear" w:color="auto" w:fill="auto"/>
          </w:tcPr>
          <w:p w:rsidR="000F725D" w:rsidRPr="00BB6798" w:rsidRDefault="000F725D" w:rsidP="00425F5F">
            <w:pPr>
              <w:jc w:val="left"/>
              <w:rPr>
                <w:rFonts w:ascii="Arial Narrow" w:hAnsi="Arial Narrow"/>
                <w:sz w:val="20"/>
              </w:rPr>
            </w:pPr>
            <w:r w:rsidRPr="00BB6798">
              <w:rPr>
                <w:rFonts w:ascii="Arial Narrow" w:hAnsi="Arial Narrow"/>
                <w:sz w:val="20"/>
              </w:rPr>
              <w:t xml:space="preserve">6.24 Uncertain dose relativity between fentanyl sublingual and fentanyl lozenges. The </w:t>
            </w:r>
            <w:r w:rsidR="00260E2E" w:rsidRPr="00BB6798">
              <w:rPr>
                <w:rFonts w:ascii="Arial Narrow" w:hAnsi="Arial Narrow"/>
                <w:sz w:val="20"/>
              </w:rPr>
              <w:t>res</w:t>
            </w:r>
            <w:r w:rsidRPr="00BB6798">
              <w:rPr>
                <w:rFonts w:ascii="Arial Narrow" w:hAnsi="Arial Narrow"/>
                <w:sz w:val="20"/>
              </w:rPr>
              <w:t>ubmission did not take into account the financial implications of patients requiring more than one fentanyl sublingual tablet per dose.</w:t>
            </w:r>
          </w:p>
        </w:tc>
        <w:tc>
          <w:tcPr>
            <w:tcW w:w="1488" w:type="pct"/>
            <w:shd w:val="clear" w:color="auto" w:fill="auto"/>
          </w:tcPr>
          <w:p w:rsidR="000F725D" w:rsidRPr="00BB6798" w:rsidRDefault="000F725D" w:rsidP="00425F5F">
            <w:pPr>
              <w:jc w:val="left"/>
              <w:rPr>
                <w:rFonts w:ascii="Arial Narrow" w:hAnsi="Arial Narrow"/>
                <w:sz w:val="20"/>
              </w:rPr>
            </w:pPr>
            <w:r w:rsidRPr="00BB6798">
              <w:rPr>
                <w:rFonts w:ascii="Arial Narrow" w:hAnsi="Arial Narrow"/>
                <w:sz w:val="20"/>
              </w:rPr>
              <w:t xml:space="preserve">The sponsor sought the registration of additional doses of fentanyl sublingual, and proposed a flat pricing structure for all fentanyl sublingual dose strengths. </w:t>
            </w:r>
          </w:p>
          <w:p w:rsidR="000F725D" w:rsidRPr="00BB6798" w:rsidRDefault="000F725D" w:rsidP="00425F5F">
            <w:pPr>
              <w:jc w:val="left"/>
              <w:rPr>
                <w:rFonts w:ascii="Arial Narrow" w:hAnsi="Arial Narrow"/>
                <w:sz w:val="20"/>
              </w:rPr>
            </w:pPr>
            <w:r w:rsidRPr="00BB6798">
              <w:rPr>
                <w:rFonts w:ascii="Arial Narrow" w:hAnsi="Arial Narrow"/>
                <w:sz w:val="20"/>
              </w:rPr>
              <w:t xml:space="preserve">The cost of treating breakthrough cancer pain as calculated in the </w:t>
            </w:r>
            <w:r w:rsidR="00260E2E" w:rsidRPr="00BB6798">
              <w:rPr>
                <w:rFonts w:ascii="Arial Narrow" w:hAnsi="Arial Narrow"/>
                <w:sz w:val="20"/>
              </w:rPr>
              <w:t>res</w:t>
            </w:r>
            <w:r w:rsidRPr="00BB6798">
              <w:rPr>
                <w:rFonts w:ascii="Arial Narrow" w:hAnsi="Arial Narrow"/>
                <w:sz w:val="20"/>
              </w:rPr>
              <w:t>ubmission was the same irrespective of the titrated dose.</w:t>
            </w:r>
          </w:p>
        </w:tc>
        <w:tc>
          <w:tcPr>
            <w:tcW w:w="1813" w:type="pct"/>
          </w:tcPr>
          <w:p w:rsidR="000F725D" w:rsidRPr="00BB6798" w:rsidRDefault="000F725D" w:rsidP="000F725D">
            <w:pPr>
              <w:jc w:val="left"/>
              <w:rPr>
                <w:rFonts w:ascii="Arial Narrow" w:hAnsi="Arial Narrow"/>
                <w:sz w:val="20"/>
              </w:rPr>
            </w:pPr>
            <w:r w:rsidRPr="00BB6798">
              <w:rPr>
                <w:rFonts w:ascii="Arial Narrow" w:hAnsi="Arial Narrow"/>
                <w:sz w:val="20"/>
              </w:rPr>
              <w:t xml:space="preserve">The ESC agreed that the additional dose strengths and flat pricing structure proposed by the </w:t>
            </w:r>
            <w:r w:rsidR="00260E2E" w:rsidRPr="00BB6798">
              <w:rPr>
                <w:rFonts w:ascii="Arial Narrow" w:hAnsi="Arial Narrow"/>
                <w:sz w:val="20"/>
              </w:rPr>
              <w:t>res</w:t>
            </w:r>
            <w:r w:rsidRPr="00BB6798">
              <w:rPr>
                <w:rFonts w:ascii="Arial Narrow" w:hAnsi="Arial Narrow"/>
                <w:sz w:val="20"/>
              </w:rPr>
              <w:t xml:space="preserve">ubmission adequately addressed the effects of a lack of </w:t>
            </w:r>
            <w:proofErr w:type="spellStart"/>
            <w:r w:rsidRPr="00BB6798">
              <w:rPr>
                <w:rFonts w:ascii="Arial Narrow" w:hAnsi="Arial Narrow"/>
                <w:sz w:val="20"/>
              </w:rPr>
              <w:t>equi</w:t>
            </w:r>
            <w:proofErr w:type="spellEnd"/>
            <w:r w:rsidRPr="00BB6798">
              <w:rPr>
                <w:rFonts w:ascii="Arial Narrow" w:hAnsi="Arial Narrow"/>
                <w:sz w:val="20"/>
              </w:rPr>
              <w:t>-effective dosing on the cost minimisation calculations.</w:t>
            </w:r>
            <w:r w:rsidR="00590197" w:rsidRPr="00BB6798">
              <w:rPr>
                <w:rFonts w:ascii="Arial Narrow" w:hAnsi="Arial Narrow"/>
                <w:sz w:val="20"/>
              </w:rPr>
              <w:t xml:space="preserve"> This is reasonable for short acting fentanyl for breakthrough pain because only a single dose is used for each episode, and dose is titrated to effect for each patient and is highly variable.  </w:t>
            </w:r>
          </w:p>
          <w:p w:rsidR="003F2251" w:rsidRPr="00BB6798" w:rsidRDefault="003F2251" w:rsidP="000F725D">
            <w:pPr>
              <w:jc w:val="left"/>
              <w:rPr>
                <w:rFonts w:ascii="Arial Narrow" w:hAnsi="Arial Narrow"/>
                <w:sz w:val="20"/>
              </w:rPr>
            </w:pPr>
          </w:p>
        </w:tc>
      </w:tr>
      <w:tr w:rsidR="000F725D" w:rsidRPr="00605035" w:rsidTr="00425F5F">
        <w:trPr>
          <w:trHeight w:val="930"/>
        </w:trPr>
        <w:tc>
          <w:tcPr>
            <w:tcW w:w="1699" w:type="pct"/>
            <w:shd w:val="clear" w:color="auto" w:fill="auto"/>
          </w:tcPr>
          <w:p w:rsidR="000F725D" w:rsidRPr="00BB6798" w:rsidRDefault="000F725D" w:rsidP="00425F5F">
            <w:pPr>
              <w:jc w:val="left"/>
              <w:rPr>
                <w:rFonts w:ascii="Arial Narrow" w:hAnsi="Arial Narrow"/>
                <w:sz w:val="20"/>
              </w:rPr>
            </w:pPr>
            <w:r w:rsidRPr="00BB6798">
              <w:rPr>
                <w:rFonts w:ascii="Arial Narrow" w:hAnsi="Arial Narrow"/>
                <w:sz w:val="20"/>
              </w:rPr>
              <w:t>6.27 Potential underestimation of cost, which did not consider the possibility of fentanyl sublingual substituting for other breakthrough cancer pain treatments such as immediate-release opioids (e.g. oxycodone)</w:t>
            </w:r>
          </w:p>
        </w:tc>
        <w:tc>
          <w:tcPr>
            <w:tcW w:w="1488" w:type="pct"/>
            <w:shd w:val="clear" w:color="auto" w:fill="auto"/>
          </w:tcPr>
          <w:p w:rsidR="000F725D" w:rsidRPr="00BB6798" w:rsidRDefault="000F725D" w:rsidP="000F725D">
            <w:pPr>
              <w:jc w:val="left"/>
              <w:rPr>
                <w:rFonts w:ascii="Arial Narrow" w:hAnsi="Arial Narrow"/>
                <w:sz w:val="20"/>
              </w:rPr>
            </w:pPr>
            <w:r w:rsidRPr="00BB6798">
              <w:rPr>
                <w:rFonts w:ascii="Arial Narrow" w:hAnsi="Arial Narrow"/>
                <w:sz w:val="20"/>
              </w:rPr>
              <w:t>Financial estimates take into account substitution of fentanyl lozenges, market growth from patient populations eligible for fentanyl lozenges but not currently treated due to limitations of the lozenge presentation, and patients treated or undertreated with immediate-release opioids.</w:t>
            </w:r>
          </w:p>
          <w:p w:rsidR="003F2251" w:rsidRPr="00BB6798" w:rsidRDefault="003F2251" w:rsidP="000F725D">
            <w:pPr>
              <w:jc w:val="left"/>
              <w:rPr>
                <w:rFonts w:ascii="Arial Narrow" w:hAnsi="Arial Narrow"/>
                <w:sz w:val="20"/>
              </w:rPr>
            </w:pPr>
          </w:p>
        </w:tc>
        <w:tc>
          <w:tcPr>
            <w:tcW w:w="1813" w:type="pct"/>
          </w:tcPr>
          <w:p w:rsidR="000F725D" w:rsidRPr="00BB6798" w:rsidRDefault="000F725D" w:rsidP="00425F5F">
            <w:pPr>
              <w:jc w:val="left"/>
              <w:rPr>
                <w:rFonts w:ascii="Arial Narrow" w:hAnsi="Arial Narrow"/>
                <w:sz w:val="20"/>
              </w:rPr>
            </w:pPr>
            <w:r w:rsidRPr="00BB6798">
              <w:rPr>
                <w:rFonts w:ascii="Arial Narrow" w:hAnsi="Arial Narrow"/>
                <w:sz w:val="20"/>
              </w:rPr>
              <w:t>The ESC agreed that this has been adequately addressed, and welcomed the proposed risk share arrangement.</w:t>
            </w:r>
          </w:p>
        </w:tc>
      </w:tr>
    </w:tbl>
    <w:p w:rsidR="000F725D" w:rsidRPr="00605035" w:rsidRDefault="000F725D" w:rsidP="00577717"/>
    <w:p w:rsidR="004A428D" w:rsidRPr="00605035" w:rsidRDefault="004A428D" w:rsidP="00577717"/>
    <w:p w:rsidR="00F338FF" w:rsidRPr="00605035" w:rsidRDefault="00F338FF" w:rsidP="005D7E3E">
      <w:pPr>
        <w:pStyle w:val="PBACheading1"/>
        <w:rPr>
          <w:b/>
        </w:rPr>
      </w:pPr>
      <w:bookmarkStart w:id="4" w:name="_Toc419711183"/>
      <w:r w:rsidRPr="00605035">
        <w:rPr>
          <w:b/>
        </w:rPr>
        <w:t>Clinical place for the proposed therapy</w:t>
      </w:r>
      <w:bookmarkEnd w:id="4"/>
    </w:p>
    <w:p w:rsidR="00B60939" w:rsidRPr="00605035" w:rsidRDefault="00B60939" w:rsidP="00B60939">
      <w:pPr>
        <w:rPr>
          <w:szCs w:val="22"/>
        </w:rPr>
      </w:pPr>
    </w:p>
    <w:p w:rsidR="00497F10" w:rsidRPr="00605035" w:rsidRDefault="00574567" w:rsidP="00A202EF">
      <w:pPr>
        <w:pStyle w:val="ListParagraph"/>
        <w:widowControl/>
        <w:numPr>
          <w:ilvl w:val="1"/>
          <w:numId w:val="3"/>
        </w:numPr>
        <w:rPr>
          <w:szCs w:val="22"/>
        </w:rPr>
      </w:pPr>
      <w:r w:rsidRPr="00605035">
        <w:t xml:space="preserve">Second-line therapy for patients undergoing palliative care for cancer. Patients must have been experiencing breakthrough cancer pain despite relatively stable and adequately controlled background pain management, </w:t>
      </w:r>
      <w:r w:rsidR="00255BBF" w:rsidRPr="00605035">
        <w:t xml:space="preserve">and must have previously experienced inadequate pain relief or adverse effects from an oral immediate-release opioid. </w:t>
      </w:r>
      <w:r w:rsidR="00E651AD" w:rsidRPr="00605035">
        <w:t xml:space="preserve">Although it is clear that the place in therapy for fentanyl sublingual is not first-line therapy (which must be an oral immediate-release opioid), it is unclear, based on </w:t>
      </w:r>
      <w:r w:rsidR="00E651AD" w:rsidRPr="00605035">
        <w:lastRenderedPageBreak/>
        <w:t>the proposed restriction, whether fentanyl sublingual may be used subsequent to the trial of only one immediate-release opioid or whether all possible other immediate-release opioids must be trialled ahead of fentanyl sublingual.</w:t>
      </w:r>
    </w:p>
    <w:p w:rsidR="001B6188" w:rsidRPr="00605035" w:rsidRDefault="001B6188" w:rsidP="00E469F4">
      <w:pPr>
        <w:pStyle w:val="ListParagraph"/>
        <w:ind w:left="0"/>
        <w:rPr>
          <w:szCs w:val="22"/>
        </w:rPr>
      </w:pPr>
    </w:p>
    <w:p w:rsidR="000F15F4" w:rsidRPr="00605035" w:rsidRDefault="000F15F4" w:rsidP="000F15F4">
      <w:pPr>
        <w:pStyle w:val="ListParagraph"/>
        <w:widowControl/>
        <w:numPr>
          <w:ilvl w:val="1"/>
          <w:numId w:val="3"/>
        </w:numPr>
        <w:rPr>
          <w:szCs w:val="22"/>
        </w:rPr>
      </w:pPr>
      <w:r w:rsidRPr="00605035">
        <w:t xml:space="preserve">The Pre-Sub-Committee Response clarifies the intention of the restriction to only </w:t>
      </w:r>
      <w:r w:rsidR="00544025" w:rsidRPr="00605035">
        <w:t>require</w:t>
      </w:r>
      <w:r w:rsidRPr="00605035">
        <w:t xml:space="preserve"> lack of efficacy in </w:t>
      </w:r>
      <w:r w:rsidRPr="00605035">
        <w:rPr>
          <w:u w:val="single"/>
        </w:rPr>
        <w:t>one</w:t>
      </w:r>
      <w:r w:rsidRPr="00605035">
        <w:t xml:space="preserve"> immediate release opioid prior to the use of fast-acting fentanyl. The PSCR (p2) also argues that fast acting fentanyl should be used clinically in the </w:t>
      </w:r>
      <w:r w:rsidR="007A6A59">
        <w:t>second-</w:t>
      </w:r>
      <w:r w:rsidRPr="00605035">
        <w:t>line setting, as the pharmacokinetic profiles of other fast acting (immediate release) opioids are all similar. The ESC did not consider that this claim was reasonable, considering the differences in metabolism, drug interactions and clearance of these agents.</w:t>
      </w:r>
    </w:p>
    <w:p w:rsidR="004A428D" w:rsidRDefault="004A428D" w:rsidP="00E469F4">
      <w:pPr>
        <w:pStyle w:val="ListParagraph"/>
        <w:ind w:left="0"/>
        <w:rPr>
          <w:szCs w:val="22"/>
        </w:rPr>
      </w:pPr>
    </w:p>
    <w:p w:rsidR="006B6F1B" w:rsidRDefault="006B6F1B" w:rsidP="006B6F1B">
      <w:pPr>
        <w:numPr>
          <w:ilvl w:val="1"/>
          <w:numId w:val="3"/>
        </w:numPr>
        <w:contextualSpacing/>
        <w:rPr>
          <w:szCs w:val="22"/>
        </w:rPr>
      </w:pPr>
      <w:r>
        <w:rPr>
          <w:szCs w:val="22"/>
        </w:rPr>
        <w:t>The PBAC noted the concerns of the ESC in reference to the clinical place in therapy being at second-line. The PBAC considered that withholding fentanyl sublingual to third- and subsequent lines for breakthrough pain may not be practical or reasonable. The Committee further considered that any concerns for diversion may be controlled adequately in the second line listing under a palliative care setting.</w:t>
      </w:r>
    </w:p>
    <w:p w:rsidR="006B6F1B" w:rsidRDefault="006B6F1B" w:rsidP="006B6F1B">
      <w:pPr>
        <w:pStyle w:val="ListParagraph"/>
        <w:ind w:left="0"/>
        <w:rPr>
          <w:szCs w:val="22"/>
        </w:rPr>
      </w:pPr>
    </w:p>
    <w:p w:rsidR="006B6F1B" w:rsidRDefault="006B6F1B" w:rsidP="006B6F1B">
      <w:pPr>
        <w:numPr>
          <w:ilvl w:val="1"/>
          <w:numId w:val="3"/>
        </w:numPr>
        <w:contextualSpacing/>
        <w:rPr>
          <w:szCs w:val="22"/>
        </w:rPr>
      </w:pPr>
      <w:r>
        <w:rPr>
          <w:szCs w:val="22"/>
        </w:rPr>
        <w:t>The PBAC considered that, in rare circumstances, fentanyl sublingual may be used in a first-line setting, by patients that are unable to swallow oral immediate-release opioids and who would otherwise require subcutaneous morphine.</w:t>
      </w:r>
    </w:p>
    <w:p w:rsidR="00C917F3" w:rsidRDefault="00C917F3" w:rsidP="00E469F4">
      <w:pPr>
        <w:pStyle w:val="ListParagraph"/>
        <w:ind w:left="0"/>
        <w:rPr>
          <w:szCs w:val="22"/>
        </w:rPr>
      </w:pPr>
    </w:p>
    <w:p w:rsidR="00C46E56" w:rsidRDefault="00C46E56" w:rsidP="001037B6">
      <w:pPr>
        <w:pStyle w:val="ListParagraph"/>
        <w:ind w:left="709"/>
        <w:rPr>
          <w:i/>
          <w:szCs w:val="22"/>
        </w:rPr>
      </w:pPr>
      <w:r w:rsidRPr="001037B6">
        <w:rPr>
          <w:i/>
          <w:szCs w:val="22"/>
        </w:rPr>
        <w:t>For more detail on PBAC’s view, see section 7 “PBAC outcome”</w:t>
      </w:r>
    </w:p>
    <w:p w:rsidR="000F15F4" w:rsidRDefault="000F15F4" w:rsidP="00E469F4">
      <w:pPr>
        <w:pStyle w:val="ListParagraph"/>
        <w:ind w:left="0"/>
        <w:rPr>
          <w:szCs w:val="22"/>
        </w:rPr>
      </w:pPr>
    </w:p>
    <w:p w:rsidR="00C46E56" w:rsidRPr="00605035" w:rsidRDefault="00C46E56" w:rsidP="00E469F4">
      <w:pPr>
        <w:pStyle w:val="ListParagraph"/>
        <w:ind w:left="0"/>
        <w:rPr>
          <w:szCs w:val="22"/>
        </w:rPr>
      </w:pPr>
    </w:p>
    <w:p w:rsidR="00F338FF" w:rsidRPr="00605035" w:rsidRDefault="00F338FF" w:rsidP="005D7E3E">
      <w:pPr>
        <w:pStyle w:val="PBACheading1"/>
        <w:rPr>
          <w:b/>
        </w:rPr>
      </w:pPr>
      <w:bookmarkStart w:id="5" w:name="_Toc419711184"/>
      <w:r w:rsidRPr="00605035">
        <w:rPr>
          <w:b/>
        </w:rPr>
        <w:t>Comparator</w:t>
      </w:r>
      <w:bookmarkEnd w:id="5"/>
    </w:p>
    <w:p w:rsidR="00497F10" w:rsidRPr="00605035" w:rsidRDefault="00497F10" w:rsidP="00577717"/>
    <w:p w:rsidR="00B60939" w:rsidRPr="00605035" w:rsidRDefault="00A072B3" w:rsidP="005B47A0">
      <w:pPr>
        <w:pStyle w:val="ListParagraph"/>
        <w:widowControl/>
        <w:numPr>
          <w:ilvl w:val="1"/>
          <w:numId w:val="3"/>
        </w:numPr>
      </w:pPr>
      <w:r w:rsidRPr="00605035">
        <w:t>Fentanyl lozenges, with immediate-release opioids (represented by oral immediate-release morphine) as a supplementary comparator.</w:t>
      </w:r>
      <w:r w:rsidR="00497F10" w:rsidRPr="00605035">
        <w:t xml:space="preserve"> Th</w:t>
      </w:r>
      <w:r w:rsidRPr="00605035">
        <w:t>ese</w:t>
      </w:r>
      <w:r w:rsidR="00497F10" w:rsidRPr="00605035">
        <w:t xml:space="preserve"> </w:t>
      </w:r>
      <w:r w:rsidR="00E651AD" w:rsidRPr="00605035">
        <w:t>were considered</w:t>
      </w:r>
      <w:r w:rsidR="00497F10" w:rsidRPr="00605035">
        <w:t xml:space="preserve"> the appropriate comparator</w:t>
      </w:r>
      <w:r w:rsidRPr="00605035">
        <w:t>s</w:t>
      </w:r>
      <w:r w:rsidR="00497F10" w:rsidRPr="00605035">
        <w:t>.</w:t>
      </w:r>
      <w:r w:rsidR="00D434D5" w:rsidRPr="00605035">
        <w:t xml:space="preserve"> </w:t>
      </w:r>
      <w:r w:rsidRPr="00605035">
        <w:t>Immediate-release opioids were not considered as comparators in the previous submission.</w:t>
      </w:r>
    </w:p>
    <w:p w:rsidR="000B5AA9" w:rsidRPr="00605035" w:rsidRDefault="000B5AA9" w:rsidP="000B5AA9">
      <w:pPr>
        <w:widowControl/>
      </w:pPr>
    </w:p>
    <w:p w:rsidR="000B5AA9" w:rsidRPr="00605035" w:rsidRDefault="000B5AA9" w:rsidP="000B5AA9">
      <w:pPr>
        <w:pStyle w:val="ListParagraph"/>
        <w:widowControl/>
        <w:numPr>
          <w:ilvl w:val="1"/>
          <w:numId w:val="3"/>
        </w:numPr>
      </w:pPr>
      <w:r w:rsidRPr="00605035">
        <w:t xml:space="preserve">In the </w:t>
      </w:r>
      <w:r w:rsidR="00260E2E" w:rsidRPr="00605035">
        <w:t>res</w:t>
      </w:r>
      <w:r w:rsidRPr="00605035">
        <w:t>ubmission’s estimates of utilisation, fentanyl sublingual uptake from ‘non-fentanyl lozenge use’ (i.e., from sub-optimal immediate-release opioid treatment) was greater than the uptake from fentanyl lozenge treatment (</w:t>
      </w:r>
      <w:r w:rsidRPr="005D796D">
        <w:t>75</w:t>
      </w:r>
      <w:r w:rsidRPr="00605035">
        <w:t xml:space="preserve">% and </w:t>
      </w:r>
      <w:r w:rsidRPr="005D796D">
        <w:t>25</w:t>
      </w:r>
      <w:r w:rsidRPr="00605035">
        <w:t>% of the estimated patient uptake, respectively).</w:t>
      </w:r>
    </w:p>
    <w:p w:rsidR="001B6188" w:rsidRDefault="001B6188" w:rsidP="00497F10"/>
    <w:p w:rsidR="00832A02" w:rsidRDefault="006B6F1B" w:rsidP="00946B0B">
      <w:pPr>
        <w:pStyle w:val="ListParagraph"/>
        <w:widowControl/>
        <w:numPr>
          <w:ilvl w:val="1"/>
          <w:numId w:val="3"/>
        </w:numPr>
        <w:rPr>
          <w:bCs/>
          <w:szCs w:val="22"/>
          <w:lang w:val="en-GB"/>
        </w:rPr>
      </w:pPr>
      <w:r w:rsidRPr="002876D9">
        <w:rPr>
          <w:bCs/>
          <w:szCs w:val="22"/>
          <w:lang w:val="en-GB"/>
        </w:rPr>
        <w:t xml:space="preserve">The PBAC considered </w:t>
      </w:r>
      <w:r>
        <w:rPr>
          <w:bCs/>
          <w:szCs w:val="22"/>
          <w:lang w:val="en-GB"/>
        </w:rPr>
        <w:t xml:space="preserve">both </w:t>
      </w:r>
      <w:r w:rsidRPr="002876D9">
        <w:rPr>
          <w:bCs/>
          <w:szCs w:val="22"/>
          <w:lang w:val="en-GB"/>
        </w:rPr>
        <w:t xml:space="preserve">immediate-release oral opioids and fentanyl lozenges to be appropriate comparators. </w:t>
      </w:r>
      <w:r>
        <w:rPr>
          <w:bCs/>
          <w:szCs w:val="22"/>
          <w:lang w:val="en-GB"/>
        </w:rPr>
        <w:t xml:space="preserve">In addition, the PBAC considered that in rare circumstances, </w:t>
      </w:r>
      <w:r w:rsidRPr="002876D9">
        <w:rPr>
          <w:bCs/>
          <w:szCs w:val="22"/>
          <w:lang w:val="en-GB"/>
        </w:rPr>
        <w:t>for the small group of patients who are unable to swallow oral opioids</w:t>
      </w:r>
      <w:r>
        <w:rPr>
          <w:bCs/>
          <w:szCs w:val="22"/>
          <w:lang w:val="en-GB"/>
        </w:rPr>
        <w:t xml:space="preserve">, </w:t>
      </w:r>
      <w:r>
        <w:t>subcutaneous morphine is an appropriate comparator.</w:t>
      </w:r>
    </w:p>
    <w:p w:rsidR="006B6F1B" w:rsidRDefault="006B6F1B" w:rsidP="00085A7B">
      <w:pPr>
        <w:ind w:left="709"/>
        <w:contextualSpacing/>
      </w:pPr>
    </w:p>
    <w:p w:rsidR="00C46E56" w:rsidRPr="00085A7B" w:rsidRDefault="00C46E56" w:rsidP="00085A7B">
      <w:pPr>
        <w:ind w:left="709"/>
        <w:contextualSpacing/>
        <w:rPr>
          <w:i/>
          <w:szCs w:val="22"/>
        </w:rPr>
      </w:pPr>
      <w:r w:rsidRPr="00085A7B">
        <w:rPr>
          <w:i/>
          <w:szCs w:val="22"/>
        </w:rPr>
        <w:t>For more detail on PBAC’s view, see section 7 “PBAC outcome”</w:t>
      </w:r>
    </w:p>
    <w:p w:rsidR="00C46E56" w:rsidRPr="00605035" w:rsidRDefault="00C46E56" w:rsidP="00497F10"/>
    <w:p w:rsidR="007E1DC9" w:rsidRPr="00605035" w:rsidRDefault="007E1DC9" w:rsidP="00497F10"/>
    <w:p w:rsidR="00D06FD4" w:rsidRPr="00605035" w:rsidRDefault="00472359" w:rsidP="005D7E3E">
      <w:pPr>
        <w:pStyle w:val="PBACheading1"/>
        <w:rPr>
          <w:b/>
        </w:rPr>
      </w:pPr>
      <w:bookmarkStart w:id="6" w:name="_Toc419711185"/>
      <w:r w:rsidRPr="00605035">
        <w:rPr>
          <w:b/>
        </w:rPr>
        <w:t>C</w:t>
      </w:r>
      <w:r w:rsidR="00D06FD4" w:rsidRPr="00605035">
        <w:rPr>
          <w:b/>
        </w:rPr>
        <w:t>onsideration of the evidence</w:t>
      </w:r>
      <w:bookmarkEnd w:id="6"/>
    </w:p>
    <w:p w:rsidR="00B60939" w:rsidRDefault="00B60939" w:rsidP="00C46E56">
      <w:pPr>
        <w:widowControl/>
        <w:rPr>
          <w:b/>
          <w:szCs w:val="22"/>
        </w:rPr>
      </w:pPr>
    </w:p>
    <w:p w:rsidR="00C46E56" w:rsidRDefault="00C46E56" w:rsidP="005873D2">
      <w:pPr>
        <w:pStyle w:val="Heading2"/>
      </w:pPr>
      <w:r w:rsidRPr="005873D2">
        <w:t>Sponsor hearing</w:t>
      </w:r>
    </w:p>
    <w:p w:rsidR="005873D2" w:rsidRPr="005873D2" w:rsidRDefault="005873D2" w:rsidP="005873D2"/>
    <w:p w:rsidR="000708D0" w:rsidRPr="0083650F" w:rsidRDefault="000708D0" w:rsidP="000708D0">
      <w:pPr>
        <w:numPr>
          <w:ilvl w:val="1"/>
          <w:numId w:val="3"/>
        </w:numPr>
        <w:contextualSpacing/>
        <w:rPr>
          <w:bCs/>
          <w:szCs w:val="22"/>
        </w:rPr>
      </w:pPr>
      <w:r w:rsidRPr="0083650F">
        <w:rPr>
          <w:bCs/>
          <w:szCs w:val="22"/>
        </w:rPr>
        <w:t>There was no hearing for this item.</w:t>
      </w:r>
    </w:p>
    <w:p w:rsidR="00C46E56" w:rsidRPr="0083650F" w:rsidRDefault="00C46E56" w:rsidP="00C46E56">
      <w:pPr>
        <w:rPr>
          <w:bCs/>
          <w:szCs w:val="22"/>
        </w:rPr>
      </w:pPr>
    </w:p>
    <w:p w:rsidR="00C46E56" w:rsidRDefault="00C46E56" w:rsidP="005873D2">
      <w:pPr>
        <w:pStyle w:val="Heading2"/>
      </w:pPr>
      <w:r w:rsidRPr="005873D2">
        <w:lastRenderedPageBreak/>
        <w:t>Consumer comments</w:t>
      </w:r>
    </w:p>
    <w:p w:rsidR="005873D2" w:rsidRPr="005873D2" w:rsidRDefault="005873D2" w:rsidP="005873D2"/>
    <w:p w:rsidR="005873D2" w:rsidRDefault="005873D2" w:rsidP="005873D2">
      <w:pPr>
        <w:numPr>
          <w:ilvl w:val="1"/>
          <w:numId w:val="3"/>
        </w:numPr>
        <w:contextualSpacing/>
        <w:rPr>
          <w:bCs/>
          <w:szCs w:val="22"/>
        </w:rPr>
      </w:pPr>
      <w:r w:rsidRPr="005873D2">
        <w:rPr>
          <w:bCs/>
          <w:szCs w:val="22"/>
        </w:rPr>
        <w:t>The PBAC noted and welcomed the input from health professionals (3)</w:t>
      </w:r>
      <w:r>
        <w:rPr>
          <w:bCs/>
          <w:szCs w:val="22"/>
        </w:rPr>
        <w:t xml:space="preserve"> </w:t>
      </w:r>
      <w:r w:rsidRPr="005873D2">
        <w:rPr>
          <w:bCs/>
          <w:szCs w:val="22"/>
        </w:rPr>
        <w:t>via the Consumer Comments facility on the PBS website.  The comments described a range of benefits of treatment with fentanyl sublingual</w:t>
      </w:r>
      <w:r>
        <w:rPr>
          <w:bCs/>
          <w:szCs w:val="22"/>
        </w:rPr>
        <w:t xml:space="preserve">, </w:t>
      </w:r>
      <w:r w:rsidRPr="005873D2">
        <w:rPr>
          <w:bCs/>
          <w:szCs w:val="22"/>
        </w:rPr>
        <w:t>including</w:t>
      </w:r>
      <w:r>
        <w:rPr>
          <w:bCs/>
          <w:szCs w:val="22"/>
        </w:rPr>
        <w:t>:</w:t>
      </w:r>
    </w:p>
    <w:p w:rsidR="005873D2" w:rsidRDefault="005873D2" w:rsidP="005873D2">
      <w:pPr>
        <w:pStyle w:val="ListParagraph"/>
        <w:numPr>
          <w:ilvl w:val="0"/>
          <w:numId w:val="31"/>
        </w:numPr>
        <w:rPr>
          <w:bCs/>
          <w:szCs w:val="22"/>
        </w:rPr>
      </w:pPr>
      <w:r>
        <w:rPr>
          <w:bCs/>
          <w:szCs w:val="22"/>
        </w:rPr>
        <w:t>t</w:t>
      </w:r>
      <w:r w:rsidRPr="005873D2">
        <w:rPr>
          <w:bCs/>
          <w:szCs w:val="22"/>
        </w:rPr>
        <w:t>he rapid onset of action and short duration of effect being ideal for the ease of use in frail, elderly patients and the reduction in burden on carer</w:t>
      </w:r>
      <w:r>
        <w:rPr>
          <w:bCs/>
          <w:szCs w:val="22"/>
        </w:rPr>
        <w:t>s;</w:t>
      </w:r>
    </w:p>
    <w:p w:rsidR="005873D2" w:rsidRDefault="005873D2" w:rsidP="005873D2">
      <w:pPr>
        <w:pStyle w:val="ListParagraph"/>
        <w:numPr>
          <w:ilvl w:val="0"/>
          <w:numId w:val="31"/>
        </w:numPr>
        <w:rPr>
          <w:bCs/>
          <w:szCs w:val="22"/>
        </w:rPr>
      </w:pPr>
      <w:r>
        <w:rPr>
          <w:bCs/>
          <w:szCs w:val="22"/>
        </w:rPr>
        <w:t xml:space="preserve">the </w:t>
      </w:r>
      <w:r w:rsidR="00006886">
        <w:rPr>
          <w:bCs/>
          <w:szCs w:val="22"/>
        </w:rPr>
        <w:t>i</w:t>
      </w:r>
      <w:r w:rsidRPr="005873D2">
        <w:rPr>
          <w:bCs/>
          <w:szCs w:val="22"/>
        </w:rPr>
        <w:t xml:space="preserve">mproved analgesia for movement </w:t>
      </w:r>
      <w:r>
        <w:rPr>
          <w:bCs/>
          <w:szCs w:val="22"/>
        </w:rPr>
        <w:t>or</w:t>
      </w:r>
      <w:r w:rsidRPr="005873D2">
        <w:rPr>
          <w:bCs/>
          <w:szCs w:val="22"/>
        </w:rPr>
        <w:t xml:space="preserve"> activity related breakthrou</w:t>
      </w:r>
      <w:r>
        <w:rPr>
          <w:bCs/>
          <w:szCs w:val="22"/>
        </w:rPr>
        <w:t>gh pain with a shorter duration; and</w:t>
      </w:r>
    </w:p>
    <w:p w:rsidR="005873D2" w:rsidRPr="005873D2" w:rsidRDefault="005873D2" w:rsidP="005873D2">
      <w:pPr>
        <w:pStyle w:val="ListParagraph"/>
        <w:numPr>
          <w:ilvl w:val="0"/>
          <w:numId w:val="31"/>
        </w:numPr>
        <w:rPr>
          <w:bCs/>
          <w:szCs w:val="22"/>
        </w:rPr>
      </w:pPr>
      <w:proofErr w:type="gramStart"/>
      <w:r>
        <w:rPr>
          <w:bCs/>
          <w:szCs w:val="22"/>
        </w:rPr>
        <w:t>avoiding</w:t>
      </w:r>
      <w:proofErr w:type="gramEnd"/>
      <w:r w:rsidRPr="005873D2">
        <w:rPr>
          <w:bCs/>
          <w:szCs w:val="22"/>
        </w:rPr>
        <w:t xml:space="preserve"> excess op</w:t>
      </w:r>
      <w:r>
        <w:rPr>
          <w:bCs/>
          <w:szCs w:val="22"/>
        </w:rPr>
        <w:t>i</w:t>
      </w:r>
      <w:r w:rsidRPr="005873D2">
        <w:rPr>
          <w:bCs/>
          <w:szCs w:val="22"/>
        </w:rPr>
        <w:t>oid accumulation when used for incident pain</w:t>
      </w:r>
      <w:r>
        <w:rPr>
          <w:bCs/>
          <w:szCs w:val="22"/>
        </w:rPr>
        <w:t>.</w:t>
      </w:r>
    </w:p>
    <w:p w:rsidR="00C46E56" w:rsidRPr="00605035" w:rsidRDefault="00C46E56" w:rsidP="00996B1A">
      <w:pPr>
        <w:widowControl/>
        <w:rPr>
          <w:b/>
          <w:szCs w:val="22"/>
        </w:rPr>
      </w:pPr>
    </w:p>
    <w:p w:rsidR="00B60939" w:rsidRPr="00605035" w:rsidRDefault="00B60939" w:rsidP="00497F10">
      <w:pPr>
        <w:pStyle w:val="Heading2"/>
      </w:pPr>
      <w:bookmarkStart w:id="7" w:name="_Toc419711186"/>
      <w:r w:rsidRPr="00605035">
        <w:t>Clinical trials</w:t>
      </w:r>
      <w:bookmarkEnd w:id="7"/>
    </w:p>
    <w:p w:rsidR="00B60939" w:rsidRPr="00605035" w:rsidRDefault="00B60939" w:rsidP="00B60939">
      <w:pPr>
        <w:rPr>
          <w:szCs w:val="22"/>
        </w:rPr>
      </w:pPr>
    </w:p>
    <w:p w:rsidR="007F1017" w:rsidRPr="00605035" w:rsidRDefault="001B6188" w:rsidP="005B47A0">
      <w:pPr>
        <w:pStyle w:val="ListParagraph"/>
        <w:widowControl/>
        <w:numPr>
          <w:ilvl w:val="1"/>
          <w:numId w:val="3"/>
        </w:numPr>
        <w:rPr>
          <w:szCs w:val="22"/>
        </w:rPr>
      </w:pPr>
      <w:r w:rsidRPr="00605035">
        <w:t xml:space="preserve">The </w:t>
      </w:r>
      <w:r w:rsidR="00260E2E" w:rsidRPr="00605035">
        <w:t>res</w:t>
      </w:r>
      <w:r w:rsidRPr="00605035">
        <w:t xml:space="preserve">ubmission </w:t>
      </w:r>
      <w:r w:rsidR="003A0C89" w:rsidRPr="00605035">
        <w:t>wa</w:t>
      </w:r>
      <w:r w:rsidRPr="00605035">
        <w:t xml:space="preserve">s based on </w:t>
      </w:r>
      <w:r w:rsidR="003A0C89" w:rsidRPr="00605035">
        <w:t>an indirect comparison of fentanyl sublingual</w:t>
      </w:r>
      <w:r w:rsidR="00D434D5" w:rsidRPr="00605035">
        <w:t xml:space="preserve"> (n=61)</w:t>
      </w:r>
      <w:r w:rsidR="003A0C89" w:rsidRPr="00605035">
        <w:t xml:space="preserve"> and fentanyl lozenges</w:t>
      </w:r>
      <w:r w:rsidR="00D434D5" w:rsidRPr="00605035">
        <w:t xml:space="preserve"> (n=89)</w:t>
      </w:r>
      <w:r w:rsidR="003A0C89" w:rsidRPr="00605035">
        <w:t xml:space="preserve">, with placebo as common comparator. The trials used </w:t>
      </w:r>
      <w:r w:rsidR="001E6A16" w:rsidRPr="00605035">
        <w:t>in</w:t>
      </w:r>
      <w:r w:rsidR="00D434D5" w:rsidRPr="00605035">
        <w:t xml:space="preserve"> the indirect comparison </w:t>
      </w:r>
      <w:r w:rsidR="003A0C89" w:rsidRPr="00605035">
        <w:t xml:space="preserve">were the same as </w:t>
      </w:r>
      <w:r w:rsidR="00C96AE1" w:rsidRPr="00605035">
        <w:t xml:space="preserve">in </w:t>
      </w:r>
      <w:r w:rsidR="003A0C89" w:rsidRPr="00605035">
        <w:t xml:space="preserve">the previous submission but </w:t>
      </w:r>
      <w:r w:rsidR="00C96AE1" w:rsidRPr="00605035">
        <w:t>different outcomes were used</w:t>
      </w:r>
      <w:r w:rsidR="00986213" w:rsidRPr="00605035">
        <w:t xml:space="preserve"> in the </w:t>
      </w:r>
      <w:r w:rsidR="00260E2E" w:rsidRPr="00605035">
        <w:t>res</w:t>
      </w:r>
      <w:r w:rsidR="00986213" w:rsidRPr="00605035">
        <w:t>ubmission</w:t>
      </w:r>
      <w:r w:rsidRPr="00605035">
        <w:t>.</w:t>
      </w:r>
      <w:r w:rsidR="00D434D5" w:rsidRPr="00605035">
        <w:t xml:space="preserve"> The </w:t>
      </w:r>
      <w:r w:rsidR="00260E2E" w:rsidRPr="00605035">
        <w:t>res</w:t>
      </w:r>
      <w:r w:rsidR="00D434D5" w:rsidRPr="00605035">
        <w:t>ubmission also included a non-randomised comparison of fentanyl sublingual and immediate-release oral morphine, as a proxy for immediate-release opioids (n=40).</w:t>
      </w:r>
    </w:p>
    <w:p w:rsidR="001B6188" w:rsidRPr="00605035" w:rsidRDefault="001B6188" w:rsidP="001B6188">
      <w:pPr>
        <w:widowControl/>
        <w:rPr>
          <w:szCs w:val="22"/>
        </w:rPr>
      </w:pPr>
    </w:p>
    <w:p w:rsidR="001B6188" w:rsidRPr="00605035" w:rsidRDefault="001B6188" w:rsidP="001B6188">
      <w:pPr>
        <w:pStyle w:val="ListParagraph"/>
        <w:widowControl/>
        <w:numPr>
          <w:ilvl w:val="1"/>
          <w:numId w:val="3"/>
        </w:numPr>
        <w:rPr>
          <w:szCs w:val="22"/>
        </w:rPr>
      </w:pPr>
      <w:r w:rsidRPr="00605035">
        <w:rPr>
          <w:szCs w:val="22"/>
        </w:rPr>
        <w:t xml:space="preserve">Details of the trials presented in the </w:t>
      </w:r>
      <w:r w:rsidR="00260E2E" w:rsidRPr="00605035">
        <w:rPr>
          <w:szCs w:val="22"/>
        </w:rPr>
        <w:t>res</w:t>
      </w:r>
      <w:r w:rsidRPr="00605035">
        <w:rPr>
          <w:szCs w:val="22"/>
        </w:rPr>
        <w:t>ubmission ar</w:t>
      </w:r>
      <w:r w:rsidR="00986213" w:rsidRPr="00605035">
        <w:rPr>
          <w:szCs w:val="22"/>
        </w:rPr>
        <w:t>e provided in the table below.</w:t>
      </w:r>
    </w:p>
    <w:p w:rsidR="00986213" w:rsidRPr="00605035" w:rsidRDefault="00986213" w:rsidP="00986213">
      <w:pPr>
        <w:pStyle w:val="ListParagraph"/>
        <w:rPr>
          <w:szCs w:val="22"/>
        </w:rPr>
      </w:pPr>
    </w:p>
    <w:p w:rsidR="00986213" w:rsidRPr="00605035" w:rsidRDefault="00986213" w:rsidP="00010C62">
      <w:pPr>
        <w:keepNext/>
        <w:ind w:left="709"/>
        <w:rPr>
          <w:rStyle w:val="CommentReference"/>
        </w:rPr>
      </w:pPr>
      <w:r w:rsidRPr="00605035">
        <w:rPr>
          <w:rStyle w:val="CommentReference"/>
        </w:rPr>
        <w:t>Table 1: Trials (and associated reports) presented in the submission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6"/>
        <w:gridCol w:w="5489"/>
        <w:gridCol w:w="1970"/>
      </w:tblGrid>
      <w:tr w:rsidR="00010C62" w:rsidRPr="00870CC8" w:rsidTr="00A5153B">
        <w:trPr>
          <w:cantSplit/>
          <w:tblHeader/>
        </w:trPr>
        <w:tc>
          <w:tcPr>
            <w:tcW w:w="886" w:type="dxa"/>
            <w:tcBorders>
              <w:top w:val="single" w:sz="4" w:space="0" w:color="auto"/>
              <w:left w:val="single" w:sz="4" w:space="0" w:color="auto"/>
              <w:bottom w:val="single" w:sz="4" w:space="0" w:color="auto"/>
              <w:right w:val="single" w:sz="4" w:space="0" w:color="auto"/>
            </w:tcBorders>
          </w:tcPr>
          <w:p w:rsidR="00010C62" w:rsidRPr="00870CC8" w:rsidRDefault="00010C62" w:rsidP="00C46E56">
            <w:pPr>
              <w:pStyle w:val="TableHeading"/>
              <w:spacing w:before="0" w:after="0"/>
              <w:rPr>
                <w:rFonts w:cs="Arial"/>
                <w:lang w:eastAsia="en-AU"/>
              </w:rPr>
            </w:pPr>
            <w:r w:rsidRPr="00870CC8">
              <w:rPr>
                <w:rFonts w:cs="Arial"/>
                <w:lang w:eastAsia="en-AU"/>
              </w:rPr>
              <w:t>Trial</w:t>
            </w:r>
          </w:p>
        </w:tc>
        <w:tc>
          <w:tcPr>
            <w:tcW w:w="0" w:type="auto"/>
            <w:tcBorders>
              <w:top w:val="single" w:sz="4" w:space="0" w:color="auto"/>
              <w:left w:val="single" w:sz="4" w:space="0" w:color="auto"/>
              <w:bottom w:val="single" w:sz="4" w:space="0" w:color="auto"/>
              <w:right w:val="single" w:sz="4" w:space="0" w:color="auto"/>
            </w:tcBorders>
          </w:tcPr>
          <w:p w:rsidR="00010C62" w:rsidRPr="00870CC8" w:rsidRDefault="00C46E56" w:rsidP="00C46E56">
            <w:pPr>
              <w:pStyle w:val="TableHeading"/>
              <w:spacing w:before="0" w:after="0"/>
              <w:rPr>
                <w:rFonts w:cs="Arial"/>
                <w:lang w:eastAsia="en-AU"/>
              </w:rPr>
            </w:pPr>
            <w:r w:rsidRPr="00870CC8">
              <w:t>Protocol title/ Publication title</w:t>
            </w:r>
          </w:p>
        </w:tc>
        <w:tc>
          <w:tcPr>
            <w:tcW w:w="0" w:type="auto"/>
            <w:tcBorders>
              <w:top w:val="single" w:sz="4" w:space="0" w:color="auto"/>
              <w:left w:val="single" w:sz="4" w:space="0" w:color="auto"/>
              <w:bottom w:val="single" w:sz="4" w:space="0" w:color="auto"/>
              <w:right w:val="single" w:sz="4" w:space="0" w:color="auto"/>
            </w:tcBorders>
          </w:tcPr>
          <w:p w:rsidR="00010C62" w:rsidRPr="00870CC8" w:rsidRDefault="00C46E56" w:rsidP="00C46E56">
            <w:pPr>
              <w:pStyle w:val="TableHeading"/>
              <w:spacing w:before="0" w:after="0"/>
              <w:rPr>
                <w:rFonts w:cs="Arial"/>
                <w:lang w:eastAsia="en-AU"/>
              </w:rPr>
            </w:pPr>
            <w:r w:rsidRPr="00870CC8">
              <w:t>Publication citation</w:t>
            </w:r>
          </w:p>
        </w:tc>
      </w:tr>
      <w:tr w:rsidR="00986213" w:rsidRPr="00870CC8" w:rsidTr="00C46E56">
        <w:trPr>
          <w:cantSplit/>
        </w:trPr>
        <w:tc>
          <w:tcPr>
            <w:tcW w:w="8345" w:type="dxa"/>
            <w:gridSpan w:val="3"/>
            <w:tcBorders>
              <w:top w:val="single" w:sz="4" w:space="0" w:color="auto"/>
              <w:left w:val="single" w:sz="4" w:space="0" w:color="auto"/>
              <w:bottom w:val="single" w:sz="4" w:space="0" w:color="auto"/>
              <w:right w:val="single" w:sz="4" w:space="0" w:color="auto"/>
            </w:tcBorders>
          </w:tcPr>
          <w:p w:rsidR="00986213" w:rsidRPr="00870CC8" w:rsidRDefault="00986213" w:rsidP="00C46E56">
            <w:pPr>
              <w:pStyle w:val="TableHeading"/>
              <w:spacing w:before="0" w:after="0"/>
              <w:rPr>
                <w:rFonts w:cs="Arial"/>
                <w:lang w:eastAsia="en-AU"/>
              </w:rPr>
            </w:pPr>
            <w:r w:rsidRPr="00870CC8">
              <w:rPr>
                <w:rFonts w:cs="Arial"/>
                <w:lang w:eastAsia="en-AU"/>
              </w:rPr>
              <w:t>Indirect comparison of fentanyl sublingual and fentanyl lozenges, placebo common comparator</w:t>
            </w:r>
          </w:p>
        </w:tc>
      </w:tr>
      <w:tr w:rsidR="00986213" w:rsidRPr="00870CC8" w:rsidTr="00C46E56">
        <w:trPr>
          <w:cantSplit/>
        </w:trPr>
        <w:tc>
          <w:tcPr>
            <w:tcW w:w="8345" w:type="dxa"/>
            <w:gridSpan w:val="3"/>
            <w:tcBorders>
              <w:top w:val="single" w:sz="4" w:space="0" w:color="auto"/>
              <w:left w:val="single" w:sz="4" w:space="0" w:color="auto"/>
              <w:bottom w:val="single" w:sz="4" w:space="0" w:color="auto"/>
              <w:right w:val="single" w:sz="4" w:space="0" w:color="auto"/>
            </w:tcBorders>
          </w:tcPr>
          <w:p w:rsidR="00986213" w:rsidRPr="00870CC8" w:rsidRDefault="00986213" w:rsidP="00C46E56">
            <w:pPr>
              <w:pStyle w:val="TableText0"/>
              <w:spacing w:before="0" w:after="0"/>
              <w:rPr>
                <w:rFonts w:cs="Arial"/>
                <w:iCs/>
                <w:lang w:eastAsia="en-AU"/>
              </w:rPr>
            </w:pPr>
            <w:r w:rsidRPr="00870CC8">
              <w:rPr>
                <w:rFonts w:cs="Arial"/>
                <w:iCs/>
                <w:lang w:eastAsia="en-AU"/>
              </w:rPr>
              <w:t>Fentanyl sublingual</w:t>
            </w:r>
          </w:p>
        </w:tc>
      </w:tr>
      <w:tr w:rsidR="00C46E56" w:rsidRPr="00870CC8" w:rsidTr="00C46E56">
        <w:trPr>
          <w:cantSplit/>
          <w:trHeight w:val="992"/>
        </w:trPr>
        <w:tc>
          <w:tcPr>
            <w:tcW w:w="886" w:type="dxa"/>
            <w:tcBorders>
              <w:top w:val="single" w:sz="4" w:space="0" w:color="auto"/>
              <w:left w:val="single" w:sz="4" w:space="0" w:color="auto"/>
              <w:bottom w:val="nil"/>
              <w:right w:val="single" w:sz="4" w:space="0" w:color="auto"/>
            </w:tcBorders>
          </w:tcPr>
          <w:p w:rsidR="00C46E56" w:rsidRPr="00870CC8" w:rsidRDefault="00C46E56" w:rsidP="00C46E56">
            <w:pPr>
              <w:jc w:val="left"/>
              <w:rPr>
                <w:rFonts w:ascii="Arial Narrow" w:hAnsi="Arial Narrow" w:cs="Times New Roman"/>
                <w:sz w:val="20"/>
                <w:lang w:eastAsia="en-AU"/>
              </w:rPr>
            </w:pPr>
            <w:r w:rsidRPr="00870CC8">
              <w:rPr>
                <w:rFonts w:ascii="Arial Narrow" w:hAnsi="Arial Narrow" w:cs="Times New Roman"/>
                <w:sz w:val="20"/>
                <w:lang w:eastAsia="en-AU"/>
              </w:rPr>
              <w:t>EN005</w:t>
            </w:r>
          </w:p>
          <w:p w:rsidR="00C46E56" w:rsidRPr="00870CC8" w:rsidRDefault="00C46E56" w:rsidP="00C46E56">
            <w:pPr>
              <w:jc w:val="left"/>
              <w:rPr>
                <w:rFonts w:ascii="Arial Narrow" w:hAnsi="Arial Narrow" w:cs="Times New Roman"/>
                <w:sz w:val="20"/>
                <w:lang w:eastAsia="en-AU"/>
              </w:rPr>
            </w:pPr>
          </w:p>
        </w:tc>
        <w:tc>
          <w:tcPr>
            <w:tcW w:w="0" w:type="auto"/>
            <w:tcBorders>
              <w:top w:val="single" w:sz="4" w:space="0" w:color="auto"/>
              <w:left w:val="single" w:sz="4" w:space="0" w:color="auto"/>
              <w:bottom w:val="nil"/>
              <w:right w:val="single" w:sz="4" w:space="0" w:color="auto"/>
            </w:tcBorders>
          </w:tcPr>
          <w:p w:rsidR="00C46E56" w:rsidRDefault="00C46E56" w:rsidP="00870CC8">
            <w:pPr>
              <w:pStyle w:val="TableText0"/>
              <w:rPr>
                <w:rFonts w:cs="Arial"/>
                <w:lang w:eastAsia="en-AU"/>
              </w:rPr>
            </w:pPr>
            <w:r w:rsidRPr="00870CC8">
              <w:rPr>
                <w:rFonts w:cs="Arial"/>
                <w:lang w:eastAsia="en-AU"/>
              </w:rPr>
              <w:t>A double-blind, randomized, placebo-controlled multicentre study to evaluate the efficacy and safety of EN3267 for the treatment of breakthrough pain in opioid tolerant cancer patients followed by an up to 12 month non-randomized, open-label extension to assess long-term safety. NCT: 00262678</w:t>
            </w:r>
          </w:p>
          <w:p w:rsidR="00870CC8" w:rsidRPr="00870CC8" w:rsidRDefault="00870CC8" w:rsidP="00870CC8">
            <w:pPr>
              <w:pStyle w:val="TableText0"/>
              <w:rPr>
                <w:rFonts w:cs="Arial"/>
                <w:lang w:eastAsia="en-AU"/>
              </w:rPr>
            </w:pPr>
          </w:p>
        </w:tc>
        <w:tc>
          <w:tcPr>
            <w:tcW w:w="0" w:type="auto"/>
            <w:tcBorders>
              <w:top w:val="single" w:sz="4" w:space="0" w:color="auto"/>
              <w:left w:val="single" w:sz="4" w:space="0" w:color="auto"/>
              <w:bottom w:val="nil"/>
              <w:right w:val="single" w:sz="4" w:space="0" w:color="auto"/>
            </w:tcBorders>
          </w:tcPr>
          <w:p w:rsidR="00C46E56" w:rsidRPr="00870CC8" w:rsidRDefault="00C46E56" w:rsidP="00870CC8">
            <w:pPr>
              <w:pStyle w:val="TableText0"/>
              <w:rPr>
                <w:rFonts w:cs="Arial"/>
                <w:lang w:eastAsia="en-AU"/>
              </w:rPr>
            </w:pPr>
            <w:r w:rsidRPr="00870CC8">
              <w:rPr>
                <w:rFonts w:cs="Arial"/>
                <w:lang w:eastAsia="en-AU"/>
              </w:rPr>
              <w:t>Clinical Study Report, 18 June 2009.</w:t>
            </w:r>
          </w:p>
        </w:tc>
      </w:tr>
      <w:tr w:rsidR="00C46E56" w:rsidRPr="00870CC8" w:rsidTr="00C46E56">
        <w:trPr>
          <w:cantSplit/>
          <w:trHeight w:val="991"/>
        </w:trPr>
        <w:tc>
          <w:tcPr>
            <w:tcW w:w="886" w:type="dxa"/>
            <w:tcBorders>
              <w:top w:val="nil"/>
              <w:left w:val="single" w:sz="4" w:space="0" w:color="auto"/>
              <w:bottom w:val="single" w:sz="4" w:space="0" w:color="auto"/>
              <w:right w:val="single" w:sz="4" w:space="0" w:color="auto"/>
            </w:tcBorders>
          </w:tcPr>
          <w:p w:rsidR="00C46E56" w:rsidRPr="00870CC8" w:rsidRDefault="00C46E56" w:rsidP="00C46E56">
            <w:pPr>
              <w:jc w:val="left"/>
              <w:rPr>
                <w:rFonts w:ascii="Arial Narrow" w:hAnsi="Arial Narrow"/>
                <w:snapToGrid/>
                <w:sz w:val="20"/>
                <w:lang w:eastAsia="en-AU"/>
              </w:rPr>
            </w:pPr>
            <w:proofErr w:type="spellStart"/>
            <w:r w:rsidRPr="00870CC8">
              <w:rPr>
                <w:rFonts w:ascii="Arial Narrow" w:hAnsi="Arial Narrow"/>
                <w:snapToGrid/>
                <w:sz w:val="20"/>
                <w:lang w:eastAsia="en-AU"/>
              </w:rPr>
              <w:t>Rauck</w:t>
            </w:r>
            <w:proofErr w:type="spellEnd"/>
            <w:r w:rsidRPr="00870CC8">
              <w:rPr>
                <w:rFonts w:ascii="Arial Narrow" w:hAnsi="Arial Narrow"/>
                <w:snapToGrid/>
                <w:sz w:val="20"/>
                <w:lang w:eastAsia="en-AU"/>
              </w:rPr>
              <w:t xml:space="preserve"> 2009</w:t>
            </w:r>
          </w:p>
          <w:p w:rsidR="00C46E56" w:rsidRPr="00870CC8" w:rsidRDefault="00C46E56" w:rsidP="00C46E56">
            <w:pPr>
              <w:jc w:val="left"/>
              <w:rPr>
                <w:rFonts w:ascii="Arial Narrow" w:hAnsi="Arial Narrow"/>
                <w:snapToGrid/>
                <w:sz w:val="20"/>
                <w:lang w:eastAsia="en-AU"/>
              </w:rPr>
            </w:pPr>
          </w:p>
        </w:tc>
        <w:tc>
          <w:tcPr>
            <w:tcW w:w="0" w:type="auto"/>
            <w:tcBorders>
              <w:top w:val="nil"/>
              <w:left w:val="single" w:sz="4" w:space="0" w:color="auto"/>
              <w:bottom w:val="single" w:sz="4" w:space="0" w:color="auto"/>
              <w:right w:val="single" w:sz="4" w:space="0" w:color="auto"/>
            </w:tcBorders>
          </w:tcPr>
          <w:p w:rsidR="00C46E56" w:rsidRDefault="00C46E56" w:rsidP="00C46E56">
            <w:pPr>
              <w:pStyle w:val="TableText0"/>
              <w:rPr>
                <w:rFonts w:cs="Arial"/>
                <w:lang w:eastAsia="en-AU"/>
              </w:rPr>
            </w:pPr>
            <w:proofErr w:type="spellStart"/>
            <w:r w:rsidRPr="00870CC8">
              <w:rPr>
                <w:rFonts w:cs="Arial"/>
                <w:lang w:eastAsia="en-AU"/>
              </w:rPr>
              <w:t>Rauck</w:t>
            </w:r>
            <w:proofErr w:type="spellEnd"/>
            <w:r w:rsidRPr="00870CC8">
              <w:rPr>
                <w:rFonts w:cs="Arial"/>
                <w:lang w:eastAsia="en-AU"/>
              </w:rPr>
              <w:t xml:space="preserve"> RL, </w:t>
            </w:r>
            <w:proofErr w:type="spellStart"/>
            <w:r w:rsidRPr="00870CC8">
              <w:rPr>
                <w:rFonts w:cs="Arial"/>
                <w:lang w:eastAsia="en-AU"/>
              </w:rPr>
              <w:t>Tark</w:t>
            </w:r>
            <w:proofErr w:type="spellEnd"/>
            <w:r w:rsidRPr="00870CC8">
              <w:rPr>
                <w:rFonts w:cs="Arial"/>
                <w:lang w:eastAsia="en-AU"/>
              </w:rPr>
              <w:t xml:space="preserve"> M, Reyes, E, et al. Efficacy and long-term tolerability of sublingual fentanyl orally disintegrating tablet in the treatment of breakthrough cancer pain.</w:t>
            </w:r>
          </w:p>
          <w:p w:rsidR="00870CC8" w:rsidRPr="00870CC8" w:rsidRDefault="00870CC8" w:rsidP="00C46E56">
            <w:pPr>
              <w:pStyle w:val="TableText0"/>
              <w:rPr>
                <w:rFonts w:cs="Arial"/>
                <w:lang w:eastAsia="en-AU"/>
              </w:rPr>
            </w:pPr>
          </w:p>
        </w:tc>
        <w:tc>
          <w:tcPr>
            <w:tcW w:w="0" w:type="auto"/>
            <w:tcBorders>
              <w:top w:val="nil"/>
              <w:left w:val="single" w:sz="4" w:space="0" w:color="auto"/>
              <w:bottom w:val="single" w:sz="4" w:space="0" w:color="auto"/>
              <w:right w:val="single" w:sz="4" w:space="0" w:color="auto"/>
            </w:tcBorders>
          </w:tcPr>
          <w:p w:rsidR="00C46E56" w:rsidRDefault="00C46E56" w:rsidP="00C46E56">
            <w:pPr>
              <w:pStyle w:val="TableText0"/>
              <w:rPr>
                <w:rFonts w:cs="Arial"/>
                <w:lang w:eastAsia="en-AU"/>
              </w:rPr>
            </w:pPr>
            <w:r w:rsidRPr="00870CC8">
              <w:rPr>
                <w:rFonts w:cs="Arial"/>
                <w:lang w:eastAsia="en-AU"/>
              </w:rPr>
              <w:t>Current Medical Research &amp; Opinion 2009; 25 (12):2877-2885</w:t>
            </w:r>
          </w:p>
          <w:p w:rsidR="00870CC8" w:rsidRPr="00870CC8" w:rsidRDefault="00870CC8" w:rsidP="00C46E56">
            <w:pPr>
              <w:pStyle w:val="TableText0"/>
              <w:rPr>
                <w:rFonts w:cs="Arial"/>
                <w:lang w:eastAsia="en-AU"/>
              </w:rPr>
            </w:pPr>
          </w:p>
        </w:tc>
      </w:tr>
      <w:tr w:rsidR="00C46E56" w:rsidRPr="00870CC8" w:rsidTr="00C46E56">
        <w:trPr>
          <w:cantSplit/>
          <w:trHeight w:val="727"/>
        </w:trPr>
        <w:tc>
          <w:tcPr>
            <w:tcW w:w="886" w:type="dxa"/>
            <w:tcBorders>
              <w:top w:val="single" w:sz="4" w:space="0" w:color="auto"/>
              <w:left w:val="single" w:sz="4" w:space="0" w:color="auto"/>
              <w:bottom w:val="nil"/>
              <w:right w:val="single" w:sz="4" w:space="0" w:color="auto"/>
            </w:tcBorders>
          </w:tcPr>
          <w:p w:rsidR="00C46E56" w:rsidRPr="00870CC8" w:rsidRDefault="00C46E56" w:rsidP="00C46E56">
            <w:pPr>
              <w:pStyle w:val="TableText0"/>
              <w:spacing w:before="0" w:after="0"/>
            </w:pPr>
            <w:r w:rsidRPr="00870CC8">
              <w:lastRenderedPageBreak/>
              <w:t>EN007</w:t>
            </w:r>
          </w:p>
          <w:p w:rsidR="00C46E56" w:rsidRPr="00870CC8" w:rsidRDefault="00C46E56" w:rsidP="00C46E56">
            <w:pPr>
              <w:pStyle w:val="TableText0"/>
              <w:spacing w:before="0" w:after="0"/>
              <w:rPr>
                <w:rFonts w:cs="Arial"/>
                <w:lang w:eastAsia="en-AU"/>
              </w:rPr>
            </w:pPr>
          </w:p>
        </w:tc>
        <w:tc>
          <w:tcPr>
            <w:tcW w:w="0" w:type="auto"/>
            <w:tcBorders>
              <w:top w:val="single" w:sz="4" w:space="0" w:color="auto"/>
              <w:left w:val="single" w:sz="4" w:space="0" w:color="auto"/>
              <w:bottom w:val="nil"/>
              <w:right w:val="single" w:sz="4" w:space="0" w:color="auto"/>
            </w:tcBorders>
          </w:tcPr>
          <w:p w:rsidR="00C46E56" w:rsidRDefault="00C46E56" w:rsidP="00870CC8">
            <w:pPr>
              <w:widowControl/>
              <w:autoSpaceDE w:val="0"/>
              <w:autoSpaceDN w:val="0"/>
              <w:adjustRightInd w:val="0"/>
              <w:jc w:val="left"/>
              <w:rPr>
                <w:rFonts w:ascii="Arial Narrow" w:hAnsi="Arial Narrow"/>
                <w:sz w:val="20"/>
                <w:lang w:val="en-US"/>
              </w:rPr>
            </w:pPr>
            <w:r w:rsidRPr="00870CC8">
              <w:rPr>
                <w:rFonts w:ascii="Arial Narrow" w:hAnsi="Arial Narrow" w:cs="TimesNewRomanPS-BoldMT"/>
                <w:bCs/>
                <w:snapToGrid/>
                <w:sz w:val="20"/>
                <w:lang w:eastAsia="en-AU"/>
              </w:rPr>
              <w:t>A multiple-dose, non-randomized, open-label, multicentre study to evaluate the long-term safety and effectiveness of EN3267 in the treatment of breakthrough pain in cancer patients.</w:t>
            </w:r>
            <w:r w:rsidRPr="00870CC8">
              <w:rPr>
                <w:rFonts w:ascii="Arial Narrow" w:hAnsi="Arial Narrow"/>
                <w:sz w:val="20"/>
              </w:rPr>
              <w:t xml:space="preserve"> NCT: </w:t>
            </w:r>
            <w:r w:rsidRPr="00870CC8">
              <w:rPr>
                <w:rFonts w:ascii="Arial Narrow" w:hAnsi="Arial Narrow"/>
                <w:sz w:val="20"/>
                <w:lang w:val="en-US"/>
              </w:rPr>
              <w:t>00263575.</w:t>
            </w:r>
          </w:p>
          <w:p w:rsidR="00870CC8" w:rsidRPr="00870CC8" w:rsidRDefault="00870CC8" w:rsidP="00870CC8">
            <w:pPr>
              <w:widowControl/>
              <w:autoSpaceDE w:val="0"/>
              <w:autoSpaceDN w:val="0"/>
              <w:adjustRightInd w:val="0"/>
              <w:jc w:val="left"/>
              <w:rPr>
                <w:rFonts w:ascii="Arial Narrow" w:hAnsi="Arial Narrow"/>
                <w:sz w:val="20"/>
                <w:lang w:eastAsia="en-AU"/>
              </w:rPr>
            </w:pPr>
          </w:p>
        </w:tc>
        <w:tc>
          <w:tcPr>
            <w:tcW w:w="0" w:type="auto"/>
            <w:tcBorders>
              <w:top w:val="single" w:sz="4" w:space="0" w:color="auto"/>
              <w:left w:val="single" w:sz="4" w:space="0" w:color="auto"/>
              <w:bottom w:val="nil"/>
              <w:right w:val="single" w:sz="4" w:space="0" w:color="auto"/>
            </w:tcBorders>
          </w:tcPr>
          <w:p w:rsidR="00C46E56" w:rsidRPr="00870CC8" w:rsidRDefault="00C46E56" w:rsidP="00C46E56">
            <w:pPr>
              <w:pStyle w:val="TableText0"/>
              <w:spacing w:before="0" w:after="0"/>
              <w:rPr>
                <w:rFonts w:cs="Arial"/>
                <w:lang w:eastAsia="en-AU"/>
              </w:rPr>
            </w:pPr>
            <w:r w:rsidRPr="00870CC8">
              <w:rPr>
                <w:rFonts w:cs="Arial"/>
                <w:lang w:eastAsia="en-AU"/>
              </w:rPr>
              <w:t>Clinical Study Report, 18 June 2009</w:t>
            </w:r>
          </w:p>
        </w:tc>
      </w:tr>
      <w:tr w:rsidR="00C46E56" w:rsidRPr="00870CC8" w:rsidTr="00C46E56">
        <w:trPr>
          <w:cantSplit/>
          <w:trHeight w:val="727"/>
        </w:trPr>
        <w:tc>
          <w:tcPr>
            <w:tcW w:w="886" w:type="dxa"/>
            <w:tcBorders>
              <w:top w:val="nil"/>
              <w:left w:val="single" w:sz="4" w:space="0" w:color="auto"/>
              <w:bottom w:val="single" w:sz="4" w:space="0" w:color="auto"/>
              <w:right w:val="single" w:sz="4" w:space="0" w:color="auto"/>
            </w:tcBorders>
          </w:tcPr>
          <w:p w:rsidR="00C46E56" w:rsidRPr="00870CC8" w:rsidRDefault="00C46E56" w:rsidP="00C46E56">
            <w:pPr>
              <w:pStyle w:val="TableText0"/>
              <w:spacing w:before="0" w:after="0"/>
              <w:rPr>
                <w:rFonts w:cs="TimesNewRomanPS-BoldMT"/>
                <w:bCs/>
                <w:lang w:eastAsia="en-AU"/>
              </w:rPr>
            </w:pPr>
            <w:proofErr w:type="spellStart"/>
            <w:r w:rsidRPr="00870CC8">
              <w:rPr>
                <w:rFonts w:cs="TimesNewRomanPS-BoldMT"/>
                <w:bCs/>
                <w:lang w:eastAsia="en-AU"/>
              </w:rPr>
              <w:t>Nalamachu</w:t>
            </w:r>
            <w:proofErr w:type="spellEnd"/>
            <w:r w:rsidRPr="00870CC8">
              <w:rPr>
                <w:rFonts w:cs="TimesNewRomanPS-BoldMT"/>
                <w:bCs/>
                <w:lang w:eastAsia="en-AU"/>
              </w:rPr>
              <w:t xml:space="preserve"> 2011</w:t>
            </w:r>
          </w:p>
          <w:p w:rsidR="00C46E56" w:rsidRPr="00870CC8" w:rsidRDefault="00C46E56" w:rsidP="00C46E56">
            <w:pPr>
              <w:pStyle w:val="TableText0"/>
              <w:spacing w:before="0" w:after="0"/>
              <w:rPr>
                <w:rFonts w:cs="TimesNewRomanPS-BoldMT"/>
                <w:bCs/>
                <w:lang w:eastAsia="en-AU"/>
              </w:rPr>
            </w:pPr>
          </w:p>
        </w:tc>
        <w:tc>
          <w:tcPr>
            <w:tcW w:w="0" w:type="auto"/>
            <w:tcBorders>
              <w:top w:val="nil"/>
              <w:left w:val="single" w:sz="4" w:space="0" w:color="auto"/>
              <w:bottom w:val="single" w:sz="4" w:space="0" w:color="auto"/>
              <w:right w:val="single" w:sz="4" w:space="0" w:color="auto"/>
            </w:tcBorders>
          </w:tcPr>
          <w:p w:rsidR="00C46E56" w:rsidRDefault="00C46E56" w:rsidP="00C46E56">
            <w:pPr>
              <w:widowControl/>
              <w:autoSpaceDE w:val="0"/>
              <w:autoSpaceDN w:val="0"/>
              <w:adjustRightInd w:val="0"/>
              <w:jc w:val="left"/>
              <w:rPr>
                <w:rFonts w:ascii="Arial Narrow" w:hAnsi="Arial Narrow" w:cs="TimesNewRomanPS-BoldMT"/>
                <w:bCs/>
                <w:snapToGrid/>
                <w:sz w:val="20"/>
                <w:lang w:eastAsia="en-AU"/>
              </w:rPr>
            </w:pPr>
            <w:proofErr w:type="spellStart"/>
            <w:r w:rsidRPr="00870CC8">
              <w:rPr>
                <w:rFonts w:ascii="Arial Narrow" w:hAnsi="Arial Narrow" w:cs="TimesNewRomanPS-BoldMT"/>
                <w:bCs/>
                <w:snapToGrid/>
                <w:sz w:val="20"/>
                <w:lang w:eastAsia="en-AU"/>
              </w:rPr>
              <w:t>Nalamachu</w:t>
            </w:r>
            <w:proofErr w:type="spellEnd"/>
            <w:r w:rsidRPr="00870CC8">
              <w:rPr>
                <w:rFonts w:ascii="Arial Narrow" w:hAnsi="Arial Narrow" w:cs="TimesNewRomanPS-BoldMT"/>
                <w:bCs/>
                <w:snapToGrid/>
                <w:sz w:val="20"/>
                <w:lang w:eastAsia="en-AU"/>
              </w:rPr>
              <w:t xml:space="preserve">, </w:t>
            </w:r>
            <w:proofErr w:type="spellStart"/>
            <w:r w:rsidRPr="00870CC8">
              <w:rPr>
                <w:rFonts w:ascii="Arial Narrow" w:hAnsi="Arial Narrow" w:cs="TimesNewRomanPS-BoldMT"/>
                <w:bCs/>
                <w:snapToGrid/>
                <w:sz w:val="20"/>
                <w:lang w:eastAsia="en-AU"/>
              </w:rPr>
              <w:t>Hassman</w:t>
            </w:r>
            <w:proofErr w:type="spellEnd"/>
            <w:r w:rsidRPr="00870CC8">
              <w:rPr>
                <w:rFonts w:ascii="Arial Narrow" w:hAnsi="Arial Narrow" w:cs="TimesNewRomanPS-BoldMT"/>
                <w:bCs/>
                <w:snapToGrid/>
                <w:sz w:val="20"/>
                <w:lang w:eastAsia="en-AU"/>
              </w:rPr>
              <w:t>, Wallace et al. Long term effectiveness and tolerability of sublingual fentanyl orally disintegrating tablet for the treatment of breakthrough cancer pain.</w:t>
            </w:r>
          </w:p>
          <w:p w:rsidR="00870CC8" w:rsidRPr="00870CC8" w:rsidRDefault="00870CC8" w:rsidP="00C46E56">
            <w:pPr>
              <w:widowControl/>
              <w:autoSpaceDE w:val="0"/>
              <w:autoSpaceDN w:val="0"/>
              <w:adjustRightInd w:val="0"/>
              <w:jc w:val="left"/>
              <w:rPr>
                <w:rFonts w:ascii="Arial Narrow" w:hAnsi="Arial Narrow" w:cs="TimesNewRomanPS-BoldMT"/>
                <w:bCs/>
                <w:snapToGrid/>
                <w:sz w:val="20"/>
                <w:lang w:eastAsia="en-AU"/>
              </w:rPr>
            </w:pPr>
          </w:p>
        </w:tc>
        <w:tc>
          <w:tcPr>
            <w:tcW w:w="0" w:type="auto"/>
            <w:tcBorders>
              <w:top w:val="nil"/>
              <w:left w:val="single" w:sz="4" w:space="0" w:color="auto"/>
              <w:bottom w:val="single" w:sz="4" w:space="0" w:color="auto"/>
              <w:right w:val="single" w:sz="4" w:space="0" w:color="auto"/>
            </w:tcBorders>
          </w:tcPr>
          <w:p w:rsidR="00C46E56" w:rsidRPr="00870CC8" w:rsidRDefault="00C46E56" w:rsidP="00C46E56">
            <w:pPr>
              <w:pStyle w:val="TableText0"/>
              <w:spacing w:before="0" w:after="0"/>
              <w:rPr>
                <w:rFonts w:cs="TimesNewRomanPS-BoldMT"/>
                <w:bCs/>
                <w:lang w:eastAsia="en-AU"/>
              </w:rPr>
            </w:pPr>
            <w:r w:rsidRPr="00870CC8">
              <w:rPr>
                <w:rFonts w:cs="Arial"/>
                <w:lang w:eastAsia="en-AU"/>
              </w:rPr>
              <w:t>Current Medical Research &amp; Opinion 2011; 27(3):519-530</w:t>
            </w:r>
          </w:p>
        </w:tc>
      </w:tr>
      <w:tr w:rsidR="00986213" w:rsidRPr="00870CC8" w:rsidTr="00C46E56">
        <w:trPr>
          <w:cantSplit/>
        </w:trPr>
        <w:tc>
          <w:tcPr>
            <w:tcW w:w="8345" w:type="dxa"/>
            <w:gridSpan w:val="3"/>
            <w:tcBorders>
              <w:top w:val="single" w:sz="4" w:space="0" w:color="auto"/>
              <w:left w:val="single" w:sz="4" w:space="0" w:color="auto"/>
              <w:bottom w:val="single" w:sz="4" w:space="0" w:color="auto"/>
              <w:right w:val="single" w:sz="4" w:space="0" w:color="auto"/>
            </w:tcBorders>
          </w:tcPr>
          <w:p w:rsidR="00986213" w:rsidRPr="00870CC8" w:rsidRDefault="00986213" w:rsidP="00C46E56">
            <w:pPr>
              <w:pStyle w:val="TableText0"/>
              <w:spacing w:before="0" w:after="0"/>
              <w:rPr>
                <w:rFonts w:cs="Arial"/>
                <w:iCs/>
                <w:lang w:eastAsia="en-AU"/>
              </w:rPr>
            </w:pPr>
            <w:r w:rsidRPr="00870CC8">
              <w:rPr>
                <w:rFonts w:cs="Arial"/>
                <w:iCs/>
                <w:lang w:eastAsia="en-AU"/>
              </w:rPr>
              <w:t>Fentanyl lozenges</w:t>
            </w:r>
          </w:p>
        </w:tc>
      </w:tr>
      <w:tr w:rsidR="00010C62" w:rsidRPr="00870CC8" w:rsidTr="00C46E56">
        <w:trPr>
          <w:cantSplit/>
        </w:trPr>
        <w:tc>
          <w:tcPr>
            <w:tcW w:w="886" w:type="dxa"/>
            <w:tcBorders>
              <w:top w:val="single" w:sz="4" w:space="0" w:color="auto"/>
              <w:left w:val="single" w:sz="4" w:space="0" w:color="auto"/>
              <w:bottom w:val="single" w:sz="4" w:space="0" w:color="auto"/>
              <w:right w:val="single" w:sz="4" w:space="0" w:color="auto"/>
            </w:tcBorders>
          </w:tcPr>
          <w:p w:rsidR="00010C62" w:rsidRPr="00870CC8" w:rsidRDefault="00010C62" w:rsidP="00C46E56">
            <w:pPr>
              <w:pStyle w:val="TableText0"/>
              <w:spacing w:before="0" w:after="0"/>
              <w:rPr>
                <w:rFonts w:cs="Arial"/>
                <w:lang w:eastAsia="en-AU"/>
              </w:rPr>
            </w:pPr>
            <w:r w:rsidRPr="00870CC8">
              <w:t>Farrar 1998</w:t>
            </w:r>
          </w:p>
        </w:tc>
        <w:tc>
          <w:tcPr>
            <w:tcW w:w="0" w:type="auto"/>
            <w:tcBorders>
              <w:top w:val="single" w:sz="4" w:space="0" w:color="auto"/>
              <w:left w:val="single" w:sz="4" w:space="0" w:color="auto"/>
              <w:bottom w:val="single" w:sz="4" w:space="0" w:color="auto"/>
              <w:right w:val="single" w:sz="4" w:space="0" w:color="auto"/>
            </w:tcBorders>
          </w:tcPr>
          <w:p w:rsidR="00010C62" w:rsidRDefault="00010C62" w:rsidP="00C46E56">
            <w:pPr>
              <w:pStyle w:val="TableText0"/>
              <w:spacing w:before="0" w:after="0"/>
            </w:pPr>
            <w:r w:rsidRPr="00870CC8">
              <w:t xml:space="preserve">Farrar JT, Cleary J, </w:t>
            </w:r>
            <w:proofErr w:type="spellStart"/>
            <w:r w:rsidRPr="00870CC8">
              <w:t>Rauck</w:t>
            </w:r>
            <w:proofErr w:type="spellEnd"/>
            <w:r w:rsidRPr="00870CC8">
              <w:t xml:space="preserve"> R, Busch M, </w:t>
            </w:r>
            <w:proofErr w:type="spellStart"/>
            <w:r w:rsidRPr="00870CC8">
              <w:t>Nordbrock</w:t>
            </w:r>
            <w:proofErr w:type="spellEnd"/>
            <w:r w:rsidRPr="00870CC8">
              <w:t xml:space="preserve"> E. Oral </w:t>
            </w:r>
            <w:proofErr w:type="spellStart"/>
            <w:r w:rsidRPr="00870CC8">
              <w:t>transmucosal</w:t>
            </w:r>
            <w:proofErr w:type="spellEnd"/>
            <w:r w:rsidRPr="00870CC8">
              <w:t xml:space="preserve"> fentanyl citrate: Randomized, double-blinded, placebo-controlled trial for treatment of breakthrough pain in cancer patients.</w:t>
            </w:r>
          </w:p>
          <w:p w:rsidR="00870CC8" w:rsidRPr="00870CC8" w:rsidRDefault="00870CC8" w:rsidP="00C46E56">
            <w:pPr>
              <w:pStyle w:val="TableText0"/>
              <w:spacing w:before="0" w:after="0"/>
              <w:rPr>
                <w:rFonts w:cs="Arial"/>
                <w:lang w:eastAsia="en-AU"/>
              </w:rPr>
            </w:pPr>
          </w:p>
        </w:tc>
        <w:tc>
          <w:tcPr>
            <w:tcW w:w="0" w:type="auto"/>
            <w:tcBorders>
              <w:top w:val="single" w:sz="4" w:space="0" w:color="auto"/>
              <w:left w:val="single" w:sz="4" w:space="0" w:color="auto"/>
              <w:bottom w:val="single" w:sz="4" w:space="0" w:color="auto"/>
              <w:right w:val="single" w:sz="4" w:space="0" w:color="auto"/>
            </w:tcBorders>
          </w:tcPr>
          <w:p w:rsidR="00010C62" w:rsidRPr="00870CC8" w:rsidRDefault="00010C62" w:rsidP="00C46E56">
            <w:pPr>
              <w:pStyle w:val="TableText0"/>
              <w:spacing w:before="0" w:after="0"/>
              <w:rPr>
                <w:rFonts w:cs="Arial"/>
                <w:lang w:eastAsia="en-AU"/>
              </w:rPr>
            </w:pPr>
            <w:r w:rsidRPr="00870CC8">
              <w:t>Journal of the National Cancer Institute 1998; 90 (8):611-616</w:t>
            </w:r>
          </w:p>
        </w:tc>
      </w:tr>
      <w:tr w:rsidR="00010C62" w:rsidRPr="00870CC8" w:rsidTr="00C46E56">
        <w:trPr>
          <w:cantSplit/>
        </w:trPr>
        <w:tc>
          <w:tcPr>
            <w:tcW w:w="886" w:type="dxa"/>
            <w:tcBorders>
              <w:top w:val="single" w:sz="4" w:space="0" w:color="auto"/>
              <w:left w:val="single" w:sz="4" w:space="0" w:color="auto"/>
              <w:bottom w:val="single" w:sz="4" w:space="0" w:color="auto"/>
              <w:right w:val="single" w:sz="4" w:space="0" w:color="auto"/>
            </w:tcBorders>
          </w:tcPr>
          <w:p w:rsidR="00010C62" w:rsidRPr="00870CC8" w:rsidRDefault="00010C62" w:rsidP="00C46E56">
            <w:pPr>
              <w:pStyle w:val="TableText0"/>
              <w:spacing w:before="0" w:after="0"/>
              <w:rPr>
                <w:rFonts w:cs="Arial"/>
                <w:lang w:eastAsia="en-AU"/>
              </w:rPr>
            </w:pPr>
            <w:r w:rsidRPr="00870CC8">
              <w:t>Payne 2001</w:t>
            </w:r>
          </w:p>
        </w:tc>
        <w:tc>
          <w:tcPr>
            <w:tcW w:w="0" w:type="auto"/>
            <w:tcBorders>
              <w:top w:val="single" w:sz="4" w:space="0" w:color="auto"/>
              <w:left w:val="single" w:sz="4" w:space="0" w:color="auto"/>
              <w:bottom w:val="single" w:sz="4" w:space="0" w:color="auto"/>
              <w:right w:val="single" w:sz="4" w:space="0" w:color="auto"/>
            </w:tcBorders>
          </w:tcPr>
          <w:p w:rsidR="00010C62" w:rsidRDefault="00010C62" w:rsidP="00C46E56">
            <w:pPr>
              <w:pStyle w:val="TableText0"/>
              <w:spacing w:before="0" w:after="0"/>
            </w:pPr>
            <w:r w:rsidRPr="00870CC8">
              <w:t xml:space="preserve">Payne R, et al. Long term safety of oral </w:t>
            </w:r>
            <w:proofErr w:type="spellStart"/>
            <w:r w:rsidRPr="00870CC8">
              <w:t>transmucosal</w:t>
            </w:r>
            <w:proofErr w:type="spellEnd"/>
            <w:r w:rsidRPr="00870CC8">
              <w:t xml:space="preserve"> fentanyl citrate for breakthrough cancer pain.</w:t>
            </w:r>
          </w:p>
          <w:p w:rsidR="00870CC8" w:rsidRPr="00870CC8" w:rsidRDefault="00870CC8" w:rsidP="00C46E56">
            <w:pPr>
              <w:pStyle w:val="TableText0"/>
              <w:spacing w:before="0" w:after="0"/>
              <w:rPr>
                <w:rFonts w:cs="Arial"/>
                <w:lang w:eastAsia="en-AU"/>
              </w:rPr>
            </w:pPr>
          </w:p>
        </w:tc>
        <w:tc>
          <w:tcPr>
            <w:tcW w:w="0" w:type="auto"/>
            <w:tcBorders>
              <w:top w:val="single" w:sz="4" w:space="0" w:color="auto"/>
              <w:left w:val="single" w:sz="4" w:space="0" w:color="auto"/>
              <w:bottom w:val="single" w:sz="4" w:space="0" w:color="auto"/>
              <w:right w:val="single" w:sz="4" w:space="0" w:color="auto"/>
            </w:tcBorders>
          </w:tcPr>
          <w:p w:rsidR="00010C62" w:rsidRPr="00870CC8" w:rsidRDefault="00010C62" w:rsidP="00C46E56">
            <w:pPr>
              <w:pStyle w:val="TableText0"/>
              <w:spacing w:before="0" w:after="0"/>
              <w:rPr>
                <w:rFonts w:cs="Arial"/>
                <w:lang w:eastAsia="en-AU"/>
              </w:rPr>
            </w:pPr>
            <w:r w:rsidRPr="00870CC8">
              <w:t>Journal of Pain and Symptom Management 2001; 22(1):575-583</w:t>
            </w:r>
          </w:p>
        </w:tc>
      </w:tr>
      <w:tr w:rsidR="00986213" w:rsidRPr="00870CC8" w:rsidTr="00C46E56">
        <w:trPr>
          <w:cantSplit/>
        </w:trPr>
        <w:tc>
          <w:tcPr>
            <w:tcW w:w="8345" w:type="dxa"/>
            <w:gridSpan w:val="3"/>
            <w:tcBorders>
              <w:top w:val="single" w:sz="4" w:space="0" w:color="auto"/>
              <w:left w:val="single" w:sz="4" w:space="0" w:color="auto"/>
              <w:bottom w:val="single" w:sz="4" w:space="0" w:color="auto"/>
            </w:tcBorders>
          </w:tcPr>
          <w:p w:rsidR="00986213" w:rsidRPr="00870CC8" w:rsidRDefault="00986213" w:rsidP="00C46E56">
            <w:pPr>
              <w:pStyle w:val="TableText0"/>
              <w:spacing w:before="0" w:after="0"/>
              <w:rPr>
                <w:rFonts w:cs="Arial"/>
                <w:lang w:eastAsia="en-AU"/>
              </w:rPr>
            </w:pPr>
            <w:r w:rsidRPr="00870CC8">
              <w:rPr>
                <w:rFonts w:cs="Arial"/>
                <w:iCs/>
                <w:lang w:eastAsia="en-AU"/>
              </w:rPr>
              <w:t>Supplementary meta-analyses</w:t>
            </w:r>
          </w:p>
        </w:tc>
      </w:tr>
      <w:tr w:rsidR="00010C62" w:rsidRPr="00870CC8" w:rsidTr="00C46E56">
        <w:trPr>
          <w:cantSplit/>
        </w:trPr>
        <w:tc>
          <w:tcPr>
            <w:tcW w:w="886" w:type="dxa"/>
            <w:tcBorders>
              <w:top w:val="single" w:sz="4" w:space="0" w:color="auto"/>
              <w:left w:val="single" w:sz="4" w:space="0" w:color="auto"/>
              <w:bottom w:val="single" w:sz="4" w:space="0" w:color="auto"/>
              <w:right w:val="single" w:sz="4" w:space="0" w:color="auto"/>
            </w:tcBorders>
          </w:tcPr>
          <w:p w:rsidR="00010C62" w:rsidRPr="00870CC8" w:rsidRDefault="00010C62" w:rsidP="00C46E56">
            <w:pPr>
              <w:pStyle w:val="TableText0"/>
              <w:spacing w:before="0" w:after="0"/>
            </w:pPr>
            <w:proofErr w:type="spellStart"/>
            <w:r w:rsidRPr="00870CC8">
              <w:t>Zeppetella</w:t>
            </w:r>
            <w:proofErr w:type="spellEnd"/>
            <w:r w:rsidRPr="00870CC8">
              <w:t xml:space="preserve"> 2014</w:t>
            </w:r>
          </w:p>
        </w:tc>
        <w:tc>
          <w:tcPr>
            <w:tcW w:w="0" w:type="auto"/>
            <w:tcBorders>
              <w:top w:val="single" w:sz="4" w:space="0" w:color="auto"/>
              <w:left w:val="single" w:sz="4" w:space="0" w:color="auto"/>
              <w:bottom w:val="single" w:sz="4" w:space="0" w:color="auto"/>
              <w:right w:val="single" w:sz="4" w:space="0" w:color="auto"/>
            </w:tcBorders>
          </w:tcPr>
          <w:p w:rsidR="00010C62" w:rsidRDefault="00010C62" w:rsidP="00C46E56">
            <w:pPr>
              <w:pStyle w:val="TableText0"/>
              <w:spacing w:before="0" w:after="0"/>
            </w:pPr>
            <w:proofErr w:type="spellStart"/>
            <w:r w:rsidRPr="00870CC8">
              <w:t>Zeppetella</w:t>
            </w:r>
            <w:proofErr w:type="spellEnd"/>
            <w:r w:rsidRPr="00870CC8">
              <w:t xml:space="preserve"> G, Davies A, </w:t>
            </w:r>
            <w:proofErr w:type="spellStart"/>
            <w:r w:rsidRPr="00870CC8">
              <w:t>Eijgelshoven</w:t>
            </w:r>
            <w:proofErr w:type="spellEnd"/>
            <w:r w:rsidRPr="00870CC8">
              <w:t xml:space="preserve"> I, Jansen JP. A network meta-analysis of the efficacy of opioid analgesics for the management of breakthrough cancer pain episodes.</w:t>
            </w:r>
          </w:p>
          <w:p w:rsidR="00870CC8" w:rsidRPr="00870CC8" w:rsidRDefault="00870CC8" w:rsidP="00C46E56">
            <w:pPr>
              <w:pStyle w:val="TableText0"/>
              <w:spacing w:before="0" w:after="0"/>
            </w:pPr>
          </w:p>
        </w:tc>
        <w:tc>
          <w:tcPr>
            <w:tcW w:w="0" w:type="auto"/>
            <w:tcBorders>
              <w:top w:val="single" w:sz="4" w:space="0" w:color="auto"/>
              <w:left w:val="single" w:sz="4" w:space="0" w:color="auto"/>
              <w:bottom w:val="single" w:sz="4" w:space="0" w:color="auto"/>
              <w:right w:val="single" w:sz="4" w:space="0" w:color="auto"/>
            </w:tcBorders>
          </w:tcPr>
          <w:p w:rsidR="00010C62" w:rsidRPr="00870CC8" w:rsidRDefault="00010C62" w:rsidP="00C46E56">
            <w:pPr>
              <w:pStyle w:val="TableText0"/>
              <w:spacing w:before="0" w:after="0"/>
              <w:rPr>
                <w:rFonts w:cs="Arial"/>
                <w:lang w:eastAsia="en-AU"/>
              </w:rPr>
            </w:pPr>
            <w:r w:rsidRPr="00870CC8">
              <w:t>Journal of Pain and Symptom Management 2014; 47(4):772-785.</w:t>
            </w:r>
          </w:p>
        </w:tc>
      </w:tr>
      <w:tr w:rsidR="00010C62" w:rsidRPr="00870CC8" w:rsidTr="00C46E56">
        <w:trPr>
          <w:cantSplit/>
        </w:trPr>
        <w:tc>
          <w:tcPr>
            <w:tcW w:w="886" w:type="dxa"/>
            <w:tcBorders>
              <w:top w:val="single" w:sz="4" w:space="0" w:color="auto"/>
              <w:left w:val="single" w:sz="4" w:space="0" w:color="auto"/>
              <w:bottom w:val="single" w:sz="4" w:space="0" w:color="auto"/>
              <w:right w:val="single" w:sz="4" w:space="0" w:color="auto"/>
            </w:tcBorders>
          </w:tcPr>
          <w:p w:rsidR="00010C62" w:rsidRPr="00870CC8" w:rsidRDefault="00010C62" w:rsidP="00C46E56">
            <w:pPr>
              <w:pStyle w:val="TableText0"/>
              <w:spacing w:before="0" w:after="0"/>
            </w:pPr>
            <w:proofErr w:type="spellStart"/>
            <w:r w:rsidRPr="00870CC8">
              <w:t>Jandhyala</w:t>
            </w:r>
            <w:proofErr w:type="spellEnd"/>
            <w:r w:rsidRPr="00870CC8">
              <w:t xml:space="preserve"> 2013</w:t>
            </w:r>
          </w:p>
        </w:tc>
        <w:tc>
          <w:tcPr>
            <w:tcW w:w="0" w:type="auto"/>
            <w:tcBorders>
              <w:top w:val="single" w:sz="4" w:space="0" w:color="auto"/>
              <w:left w:val="single" w:sz="4" w:space="0" w:color="auto"/>
              <w:bottom w:val="single" w:sz="4" w:space="0" w:color="auto"/>
              <w:right w:val="single" w:sz="4" w:space="0" w:color="auto"/>
            </w:tcBorders>
          </w:tcPr>
          <w:p w:rsidR="00010C62" w:rsidRDefault="00010C62" w:rsidP="00C46E56">
            <w:pPr>
              <w:pStyle w:val="TableText0"/>
              <w:spacing w:before="0" w:after="0"/>
            </w:pPr>
            <w:proofErr w:type="spellStart"/>
            <w:r w:rsidRPr="00870CC8">
              <w:t>Jandhyala</w:t>
            </w:r>
            <w:proofErr w:type="spellEnd"/>
            <w:r w:rsidRPr="00870CC8">
              <w:t xml:space="preserve"> R, Fullarton JR, Bennett M. Efficacy of rapid-onset oral fentanyl formulations vs. oral morphine for cancer-related breakthrough pain: A meta-analysis of comparative trials. </w:t>
            </w:r>
          </w:p>
          <w:p w:rsidR="00870CC8" w:rsidRPr="00870CC8" w:rsidRDefault="00870CC8" w:rsidP="00C46E56">
            <w:pPr>
              <w:pStyle w:val="TableText0"/>
              <w:spacing w:before="0" w:after="0"/>
            </w:pPr>
          </w:p>
        </w:tc>
        <w:tc>
          <w:tcPr>
            <w:tcW w:w="0" w:type="auto"/>
            <w:tcBorders>
              <w:top w:val="single" w:sz="4" w:space="0" w:color="auto"/>
              <w:left w:val="single" w:sz="4" w:space="0" w:color="auto"/>
              <w:bottom w:val="single" w:sz="4" w:space="0" w:color="auto"/>
              <w:right w:val="single" w:sz="4" w:space="0" w:color="auto"/>
            </w:tcBorders>
          </w:tcPr>
          <w:p w:rsidR="00010C62" w:rsidRPr="00870CC8" w:rsidRDefault="00010C62" w:rsidP="00C46E56">
            <w:pPr>
              <w:pStyle w:val="TableText0"/>
              <w:spacing w:before="0" w:after="0"/>
              <w:rPr>
                <w:rFonts w:cs="Arial"/>
                <w:lang w:eastAsia="en-AU"/>
              </w:rPr>
            </w:pPr>
            <w:r w:rsidRPr="00870CC8">
              <w:t>Journal of Pain and Symptom Management 2013; 46(4):573-580</w:t>
            </w:r>
          </w:p>
        </w:tc>
      </w:tr>
      <w:tr w:rsidR="00010C62" w:rsidRPr="00870CC8" w:rsidTr="00C46E56">
        <w:trPr>
          <w:cantSplit/>
        </w:trPr>
        <w:tc>
          <w:tcPr>
            <w:tcW w:w="886" w:type="dxa"/>
            <w:tcBorders>
              <w:top w:val="single" w:sz="4" w:space="0" w:color="auto"/>
              <w:left w:val="single" w:sz="4" w:space="0" w:color="auto"/>
              <w:bottom w:val="single" w:sz="4" w:space="0" w:color="auto"/>
              <w:right w:val="single" w:sz="4" w:space="0" w:color="auto"/>
            </w:tcBorders>
          </w:tcPr>
          <w:p w:rsidR="00010C62" w:rsidRPr="00870CC8" w:rsidRDefault="00010C62" w:rsidP="00C46E56">
            <w:pPr>
              <w:pStyle w:val="TableText0"/>
              <w:spacing w:before="0" w:after="0"/>
            </w:pPr>
            <w:proofErr w:type="spellStart"/>
            <w:r w:rsidRPr="00870CC8">
              <w:t>Zeppetella</w:t>
            </w:r>
            <w:proofErr w:type="spellEnd"/>
            <w:r w:rsidRPr="00870CC8">
              <w:t xml:space="preserve"> 2013</w:t>
            </w:r>
          </w:p>
        </w:tc>
        <w:tc>
          <w:tcPr>
            <w:tcW w:w="0" w:type="auto"/>
            <w:tcBorders>
              <w:top w:val="single" w:sz="4" w:space="0" w:color="auto"/>
              <w:left w:val="single" w:sz="4" w:space="0" w:color="auto"/>
              <w:bottom w:val="single" w:sz="4" w:space="0" w:color="auto"/>
              <w:right w:val="single" w:sz="4" w:space="0" w:color="auto"/>
            </w:tcBorders>
          </w:tcPr>
          <w:p w:rsidR="00010C62" w:rsidRDefault="00010C62" w:rsidP="00C46E56">
            <w:pPr>
              <w:pStyle w:val="TableText0"/>
              <w:spacing w:before="0" w:after="0"/>
            </w:pPr>
            <w:proofErr w:type="spellStart"/>
            <w:r w:rsidRPr="00870CC8">
              <w:t>Zeppetella</w:t>
            </w:r>
            <w:proofErr w:type="spellEnd"/>
            <w:r w:rsidRPr="00870CC8">
              <w:t xml:space="preserve"> G, Davies AN. Opioids for the management of breakthrough pain in cancer patients.</w:t>
            </w:r>
          </w:p>
          <w:p w:rsidR="00870CC8" w:rsidRPr="00870CC8" w:rsidRDefault="00870CC8" w:rsidP="00C46E56">
            <w:pPr>
              <w:pStyle w:val="TableText0"/>
              <w:spacing w:before="0" w:after="0"/>
            </w:pPr>
          </w:p>
        </w:tc>
        <w:tc>
          <w:tcPr>
            <w:tcW w:w="0" w:type="auto"/>
            <w:tcBorders>
              <w:top w:val="single" w:sz="4" w:space="0" w:color="auto"/>
              <w:left w:val="single" w:sz="4" w:space="0" w:color="auto"/>
              <w:bottom w:val="single" w:sz="4" w:space="0" w:color="auto"/>
              <w:right w:val="single" w:sz="4" w:space="0" w:color="auto"/>
            </w:tcBorders>
          </w:tcPr>
          <w:p w:rsidR="00010C62" w:rsidRPr="00870CC8" w:rsidRDefault="00010C62" w:rsidP="00C46E56">
            <w:pPr>
              <w:pStyle w:val="TableText0"/>
              <w:spacing w:before="0" w:after="0"/>
              <w:rPr>
                <w:rFonts w:cs="Arial"/>
                <w:lang w:eastAsia="en-AU"/>
              </w:rPr>
            </w:pPr>
            <w:r w:rsidRPr="00870CC8">
              <w:t>Cochrane Database of Systematic Reviews 2013 (online) (10): CD004311</w:t>
            </w:r>
          </w:p>
        </w:tc>
      </w:tr>
      <w:tr w:rsidR="00986213" w:rsidRPr="00870CC8" w:rsidTr="00C46E56">
        <w:trPr>
          <w:cantSplit/>
        </w:trPr>
        <w:tc>
          <w:tcPr>
            <w:tcW w:w="8345" w:type="dxa"/>
            <w:gridSpan w:val="3"/>
            <w:tcBorders>
              <w:top w:val="single" w:sz="4" w:space="0" w:color="auto"/>
              <w:left w:val="single" w:sz="4" w:space="0" w:color="auto"/>
              <w:bottom w:val="single" w:sz="4" w:space="0" w:color="auto"/>
              <w:right w:val="single" w:sz="4" w:space="0" w:color="auto"/>
            </w:tcBorders>
          </w:tcPr>
          <w:p w:rsidR="00986213" w:rsidRPr="00870CC8" w:rsidRDefault="00986213" w:rsidP="00C46E56">
            <w:pPr>
              <w:pStyle w:val="TableText0"/>
              <w:spacing w:before="0" w:after="0"/>
              <w:rPr>
                <w:rFonts w:cs="Arial"/>
                <w:b/>
                <w:bCs/>
                <w:lang w:eastAsia="en-AU"/>
              </w:rPr>
            </w:pPr>
            <w:r w:rsidRPr="00870CC8">
              <w:rPr>
                <w:rFonts w:cs="Arial"/>
                <w:b/>
                <w:bCs/>
                <w:lang w:eastAsia="en-AU"/>
              </w:rPr>
              <w:t>Fentanyl sublingual vs immediate-release opioids</w:t>
            </w:r>
          </w:p>
        </w:tc>
      </w:tr>
      <w:tr w:rsidR="00010C62" w:rsidRPr="00870CC8" w:rsidTr="00C46E56">
        <w:trPr>
          <w:cantSplit/>
        </w:trPr>
        <w:tc>
          <w:tcPr>
            <w:tcW w:w="886" w:type="dxa"/>
            <w:tcBorders>
              <w:top w:val="single" w:sz="4" w:space="0" w:color="auto"/>
              <w:left w:val="single" w:sz="4" w:space="0" w:color="auto"/>
              <w:bottom w:val="single" w:sz="4" w:space="0" w:color="auto"/>
              <w:right w:val="single" w:sz="4" w:space="0" w:color="auto"/>
            </w:tcBorders>
          </w:tcPr>
          <w:p w:rsidR="00010C62" w:rsidRPr="00870CC8" w:rsidRDefault="00010C62" w:rsidP="00C46E56">
            <w:pPr>
              <w:pStyle w:val="TableText0"/>
              <w:spacing w:before="0" w:after="0"/>
              <w:rPr>
                <w:rFonts w:cs="Arial"/>
                <w:lang w:eastAsia="en-AU"/>
              </w:rPr>
            </w:pPr>
            <w:r w:rsidRPr="00870CC8">
              <w:rPr>
                <w:rFonts w:cs="Arial"/>
                <w:lang w:eastAsia="en-AU"/>
              </w:rPr>
              <w:t>Velazquez Rivera 2014</w:t>
            </w:r>
          </w:p>
        </w:tc>
        <w:tc>
          <w:tcPr>
            <w:tcW w:w="0" w:type="auto"/>
            <w:tcBorders>
              <w:top w:val="single" w:sz="4" w:space="0" w:color="auto"/>
              <w:left w:val="single" w:sz="4" w:space="0" w:color="auto"/>
              <w:bottom w:val="single" w:sz="4" w:space="0" w:color="auto"/>
              <w:right w:val="single" w:sz="4" w:space="0" w:color="auto"/>
            </w:tcBorders>
          </w:tcPr>
          <w:p w:rsidR="00010C62" w:rsidRDefault="00010C62" w:rsidP="00C46E56">
            <w:pPr>
              <w:pStyle w:val="TableText0"/>
              <w:spacing w:before="0" w:after="0"/>
              <w:rPr>
                <w:rFonts w:cs="Arial"/>
                <w:lang w:eastAsia="en-AU"/>
              </w:rPr>
            </w:pPr>
            <w:r w:rsidRPr="00870CC8">
              <w:rPr>
                <w:rFonts w:cs="Arial"/>
                <w:lang w:eastAsia="en-AU"/>
              </w:rPr>
              <w:t xml:space="preserve">Velazquez Rivera I, Munoz </w:t>
            </w:r>
            <w:proofErr w:type="spellStart"/>
            <w:r w:rsidRPr="00870CC8">
              <w:rPr>
                <w:rFonts w:cs="Arial"/>
                <w:lang w:eastAsia="en-AU"/>
              </w:rPr>
              <w:t>Garrido</w:t>
            </w:r>
            <w:proofErr w:type="spellEnd"/>
            <w:r w:rsidRPr="00870CC8">
              <w:rPr>
                <w:rFonts w:cs="Arial"/>
                <w:lang w:eastAsia="en-AU"/>
              </w:rPr>
              <w:t xml:space="preserve"> JC, Garcia Velasco P, de </w:t>
            </w:r>
            <w:proofErr w:type="spellStart"/>
            <w:r w:rsidRPr="00870CC8">
              <w:rPr>
                <w:rFonts w:cs="Arial"/>
                <w:lang w:eastAsia="en-AU"/>
              </w:rPr>
              <w:t>Enciso</w:t>
            </w:r>
            <w:proofErr w:type="spellEnd"/>
            <w:r w:rsidRPr="00870CC8">
              <w:rPr>
                <w:rFonts w:cs="Arial"/>
                <w:lang w:eastAsia="en-AU"/>
              </w:rPr>
              <w:t xml:space="preserve"> I, </w:t>
            </w:r>
            <w:proofErr w:type="spellStart"/>
            <w:r w:rsidRPr="00870CC8">
              <w:rPr>
                <w:rFonts w:cs="Arial"/>
                <w:lang w:eastAsia="en-AU"/>
              </w:rPr>
              <w:t>Clavarana</w:t>
            </w:r>
            <w:proofErr w:type="spellEnd"/>
            <w:r w:rsidRPr="00870CC8">
              <w:rPr>
                <w:rFonts w:cs="Arial"/>
                <w:lang w:eastAsia="en-AU"/>
              </w:rPr>
              <w:t xml:space="preserve"> L. Efficacy of sublingual fentanyl vs. oral morphine for cancer-related breakthrough pain.</w:t>
            </w:r>
          </w:p>
          <w:p w:rsidR="00870CC8" w:rsidRPr="00870CC8" w:rsidRDefault="00870CC8" w:rsidP="00C46E56">
            <w:pPr>
              <w:pStyle w:val="TableText0"/>
              <w:spacing w:before="0" w:after="0"/>
              <w:rPr>
                <w:rFonts w:cs="Arial"/>
                <w:lang w:eastAsia="en-AU"/>
              </w:rPr>
            </w:pPr>
          </w:p>
        </w:tc>
        <w:tc>
          <w:tcPr>
            <w:tcW w:w="0" w:type="auto"/>
            <w:tcBorders>
              <w:top w:val="single" w:sz="4" w:space="0" w:color="auto"/>
              <w:left w:val="single" w:sz="4" w:space="0" w:color="auto"/>
              <w:bottom w:val="single" w:sz="4" w:space="0" w:color="auto"/>
              <w:right w:val="single" w:sz="4" w:space="0" w:color="auto"/>
            </w:tcBorders>
          </w:tcPr>
          <w:p w:rsidR="00010C62" w:rsidRPr="00870CC8" w:rsidRDefault="00010C62" w:rsidP="00C46E56">
            <w:pPr>
              <w:pStyle w:val="TableText0"/>
              <w:spacing w:before="0" w:after="0"/>
              <w:rPr>
                <w:rFonts w:cs="Arial"/>
                <w:lang w:eastAsia="en-AU"/>
              </w:rPr>
            </w:pPr>
            <w:r w:rsidRPr="00870CC8">
              <w:rPr>
                <w:rFonts w:cs="Arial"/>
                <w:lang w:eastAsia="en-AU"/>
              </w:rPr>
              <w:t>Advanced Therapeutics 2014; 31:107-117</w:t>
            </w:r>
          </w:p>
        </w:tc>
      </w:tr>
    </w:tbl>
    <w:p w:rsidR="00986213" w:rsidRPr="00605035" w:rsidRDefault="00986213" w:rsidP="00010C62">
      <w:pPr>
        <w:pStyle w:val="TableFooter"/>
        <w:ind w:left="709"/>
      </w:pPr>
      <w:r w:rsidRPr="00605035">
        <w:t xml:space="preserve">Source: Table B-6, pp60-61 of the </w:t>
      </w:r>
      <w:r w:rsidR="00260E2E" w:rsidRPr="00605035">
        <w:t>res</w:t>
      </w:r>
      <w:r w:rsidRPr="00605035">
        <w:t>ubmission</w:t>
      </w:r>
    </w:p>
    <w:p w:rsidR="00986213" w:rsidRPr="00605035" w:rsidRDefault="00986213" w:rsidP="001B6188">
      <w:pPr>
        <w:widowControl/>
        <w:rPr>
          <w:szCs w:val="22"/>
        </w:rPr>
      </w:pPr>
    </w:p>
    <w:p w:rsidR="007F1017" w:rsidRPr="00605035" w:rsidRDefault="00961AF9" w:rsidP="007F1017">
      <w:pPr>
        <w:pStyle w:val="ListParagraph"/>
        <w:widowControl/>
        <w:numPr>
          <w:ilvl w:val="1"/>
          <w:numId w:val="3"/>
        </w:numPr>
        <w:rPr>
          <w:szCs w:val="22"/>
        </w:rPr>
      </w:pPr>
      <w:r w:rsidRPr="00605035">
        <w:rPr>
          <w:szCs w:val="22"/>
        </w:rPr>
        <w:t xml:space="preserve">The key features of the </w:t>
      </w:r>
      <w:r w:rsidR="00113D3D" w:rsidRPr="00605035">
        <w:rPr>
          <w:szCs w:val="22"/>
        </w:rPr>
        <w:t>included trials</w:t>
      </w:r>
      <w:r w:rsidRPr="00605035">
        <w:rPr>
          <w:szCs w:val="22"/>
        </w:rPr>
        <w:t xml:space="preserve"> are summarised in the table below.</w:t>
      </w:r>
    </w:p>
    <w:p w:rsidR="00B77D63" w:rsidRPr="00605035" w:rsidRDefault="00B77D63" w:rsidP="00B77D63">
      <w:pPr>
        <w:widowControl/>
        <w:rPr>
          <w:szCs w:val="22"/>
        </w:rPr>
      </w:pPr>
    </w:p>
    <w:p w:rsidR="007F1017" w:rsidRPr="00605035" w:rsidRDefault="007F1017" w:rsidP="00E651AD">
      <w:pPr>
        <w:keepNext/>
        <w:ind w:firstLine="720"/>
        <w:rPr>
          <w:rStyle w:val="CommentReference"/>
        </w:rPr>
      </w:pPr>
      <w:r w:rsidRPr="00605035">
        <w:rPr>
          <w:rStyle w:val="CommentReference"/>
        </w:rPr>
        <w:lastRenderedPageBreak/>
        <w:t xml:space="preserve">Table </w:t>
      </w:r>
      <w:r w:rsidR="00E07B74" w:rsidRPr="00605035">
        <w:rPr>
          <w:rStyle w:val="CommentReference"/>
        </w:rPr>
        <w:t>2</w:t>
      </w:r>
      <w:r w:rsidRPr="00605035">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711"/>
        <w:gridCol w:w="1843"/>
        <w:gridCol w:w="991"/>
        <w:gridCol w:w="1417"/>
        <w:gridCol w:w="2250"/>
      </w:tblGrid>
      <w:tr w:rsidR="000B0D83" w:rsidRPr="00605035" w:rsidTr="000B0D83">
        <w:tc>
          <w:tcPr>
            <w:tcW w:w="679" w:type="pct"/>
            <w:shd w:val="clear" w:color="auto" w:fill="auto"/>
            <w:vAlign w:val="center"/>
          </w:tcPr>
          <w:p w:rsidR="000B0D83" w:rsidRPr="00605035" w:rsidRDefault="000B0D83" w:rsidP="00E651AD">
            <w:pPr>
              <w:keepNext/>
              <w:jc w:val="left"/>
              <w:rPr>
                <w:rFonts w:ascii="Arial Narrow" w:hAnsi="Arial Narrow"/>
                <w:b/>
                <w:sz w:val="20"/>
              </w:rPr>
            </w:pPr>
            <w:r w:rsidRPr="00605035">
              <w:rPr>
                <w:rFonts w:ascii="Arial Narrow" w:hAnsi="Arial Narrow"/>
                <w:b/>
                <w:sz w:val="20"/>
              </w:rPr>
              <w:t>Trial</w:t>
            </w:r>
          </w:p>
        </w:tc>
        <w:tc>
          <w:tcPr>
            <w:tcW w:w="426" w:type="pct"/>
            <w:shd w:val="clear" w:color="auto" w:fill="auto"/>
            <w:vAlign w:val="center"/>
          </w:tcPr>
          <w:p w:rsidR="000B0D83" w:rsidRPr="00605035" w:rsidRDefault="000B0D83" w:rsidP="00E651AD">
            <w:pPr>
              <w:keepNext/>
              <w:jc w:val="center"/>
              <w:rPr>
                <w:rFonts w:ascii="Arial Narrow" w:hAnsi="Arial Narrow"/>
                <w:b/>
                <w:sz w:val="20"/>
              </w:rPr>
            </w:pPr>
            <w:r w:rsidRPr="00605035">
              <w:rPr>
                <w:rFonts w:ascii="Arial Narrow" w:hAnsi="Arial Narrow"/>
                <w:b/>
                <w:sz w:val="20"/>
              </w:rPr>
              <w:t>N</w:t>
            </w:r>
          </w:p>
        </w:tc>
        <w:tc>
          <w:tcPr>
            <w:tcW w:w="1104" w:type="pct"/>
            <w:shd w:val="clear" w:color="auto" w:fill="auto"/>
            <w:vAlign w:val="center"/>
          </w:tcPr>
          <w:p w:rsidR="000B0D83" w:rsidRPr="00605035" w:rsidRDefault="000B0D83" w:rsidP="00E651AD">
            <w:pPr>
              <w:keepNext/>
              <w:jc w:val="center"/>
              <w:rPr>
                <w:rFonts w:ascii="Arial Narrow" w:hAnsi="Arial Narrow"/>
                <w:b/>
                <w:sz w:val="20"/>
              </w:rPr>
            </w:pPr>
            <w:r w:rsidRPr="00605035">
              <w:rPr>
                <w:rFonts w:ascii="Arial Narrow" w:hAnsi="Arial Narrow"/>
                <w:b/>
                <w:sz w:val="20"/>
              </w:rPr>
              <w:t>Design/ duration</w:t>
            </w:r>
          </w:p>
        </w:tc>
        <w:tc>
          <w:tcPr>
            <w:tcW w:w="594" w:type="pct"/>
            <w:shd w:val="clear" w:color="auto" w:fill="auto"/>
            <w:vAlign w:val="center"/>
          </w:tcPr>
          <w:p w:rsidR="000B0D83" w:rsidRPr="00605035" w:rsidRDefault="000B0D83" w:rsidP="00E651AD">
            <w:pPr>
              <w:keepNext/>
              <w:jc w:val="center"/>
              <w:rPr>
                <w:rFonts w:ascii="Arial Narrow" w:hAnsi="Arial Narrow"/>
                <w:b/>
                <w:sz w:val="20"/>
              </w:rPr>
            </w:pPr>
            <w:r w:rsidRPr="00605035">
              <w:rPr>
                <w:rFonts w:ascii="Arial Narrow" w:hAnsi="Arial Narrow"/>
                <w:b/>
                <w:sz w:val="20"/>
              </w:rPr>
              <w:t>Risk of bias</w:t>
            </w:r>
          </w:p>
        </w:tc>
        <w:tc>
          <w:tcPr>
            <w:tcW w:w="849" w:type="pct"/>
            <w:shd w:val="clear" w:color="auto" w:fill="auto"/>
            <w:vAlign w:val="center"/>
          </w:tcPr>
          <w:p w:rsidR="000B0D83" w:rsidRPr="00605035" w:rsidRDefault="000B0D83" w:rsidP="00E651AD">
            <w:pPr>
              <w:keepNext/>
              <w:jc w:val="center"/>
              <w:rPr>
                <w:rFonts w:ascii="Arial Narrow" w:hAnsi="Arial Narrow"/>
                <w:b/>
                <w:sz w:val="20"/>
              </w:rPr>
            </w:pPr>
            <w:r w:rsidRPr="00605035">
              <w:rPr>
                <w:rFonts w:ascii="Arial Narrow" w:hAnsi="Arial Narrow"/>
                <w:b/>
                <w:sz w:val="20"/>
              </w:rPr>
              <w:t>Patient population</w:t>
            </w:r>
          </w:p>
        </w:tc>
        <w:tc>
          <w:tcPr>
            <w:tcW w:w="1348" w:type="pct"/>
            <w:shd w:val="clear" w:color="auto" w:fill="auto"/>
            <w:vAlign w:val="center"/>
          </w:tcPr>
          <w:p w:rsidR="000B0D83" w:rsidRPr="00605035" w:rsidRDefault="000B0D83" w:rsidP="00E651AD">
            <w:pPr>
              <w:keepNext/>
              <w:jc w:val="center"/>
              <w:rPr>
                <w:rFonts w:ascii="Arial Narrow" w:hAnsi="Arial Narrow"/>
                <w:b/>
                <w:sz w:val="20"/>
              </w:rPr>
            </w:pPr>
            <w:r w:rsidRPr="00605035">
              <w:rPr>
                <w:rFonts w:ascii="Arial Narrow" w:hAnsi="Arial Narrow"/>
                <w:b/>
                <w:sz w:val="20"/>
              </w:rPr>
              <w:t>Outcome(s)</w:t>
            </w:r>
          </w:p>
        </w:tc>
      </w:tr>
      <w:tr w:rsidR="00D06FD4" w:rsidRPr="00605035" w:rsidTr="00D06FD4">
        <w:tc>
          <w:tcPr>
            <w:tcW w:w="5000" w:type="pct"/>
            <w:gridSpan w:val="6"/>
            <w:shd w:val="clear" w:color="auto" w:fill="auto"/>
            <w:vAlign w:val="center"/>
          </w:tcPr>
          <w:p w:rsidR="00D06FD4" w:rsidRPr="00C66F0A" w:rsidRDefault="000B0D83" w:rsidP="00E651AD">
            <w:pPr>
              <w:keepNext/>
              <w:jc w:val="left"/>
              <w:rPr>
                <w:rFonts w:ascii="Arial Narrow" w:hAnsi="Arial Narrow"/>
                <w:b/>
                <w:sz w:val="20"/>
              </w:rPr>
            </w:pPr>
            <w:r w:rsidRPr="00C66F0A">
              <w:rPr>
                <w:rFonts w:ascii="Arial Narrow" w:hAnsi="Arial Narrow"/>
                <w:b/>
                <w:sz w:val="20"/>
              </w:rPr>
              <w:t xml:space="preserve">Fentanyl sublingual vs </w:t>
            </w:r>
            <w:r w:rsidR="00F84CA7" w:rsidRPr="00C66F0A">
              <w:rPr>
                <w:rFonts w:ascii="Arial Narrow" w:hAnsi="Arial Narrow"/>
                <w:b/>
                <w:sz w:val="20"/>
              </w:rPr>
              <w:t>placebo</w:t>
            </w:r>
          </w:p>
        </w:tc>
      </w:tr>
      <w:tr w:rsidR="00B710CF" w:rsidRPr="00605035" w:rsidTr="008F73B5">
        <w:tc>
          <w:tcPr>
            <w:tcW w:w="679" w:type="pct"/>
            <w:shd w:val="clear" w:color="auto" w:fill="auto"/>
            <w:vAlign w:val="center"/>
          </w:tcPr>
          <w:p w:rsidR="00B710CF" w:rsidRPr="00605035" w:rsidRDefault="00B710CF" w:rsidP="00E651AD">
            <w:pPr>
              <w:keepNext/>
              <w:jc w:val="left"/>
              <w:rPr>
                <w:rFonts w:ascii="Arial Narrow" w:hAnsi="Arial Narrow"/>
                <w:sz w:val="20"/>
              </w:rPr>
            </w:pPr>
            <w:r w:rsidRPr="00605035">
              <w:rPr>
                <w:rFonts w:ascii="Arial Narrow" w:hAnsi="Arial Narrow"/>
                <w:sz w:val="20"/>
              </w:rPr>
              <w:t>EN005</w:t>
            </w:r>
          </w:p>
        </w:tc>
        <w:tc>
          <w:tcPr>
            <w:tcW w:w="426" w:type="pct"/>
            <w:shd w:val="clear" w:color="auto" w:fill="auto"/>
            <w:vAlign w:val="center"/>
          </w:tcPr>
          <w:p w:rsidR="00B710CF" w:rsidRPr="00605035" w:rsidRDefault="00B710CF" w:rsidP="00E651AD">
            <w:pPr>
              <w:keepNext/>
              <w:jc w:val="center"/>
              <w:rPr>
                <w:rFonts w:ascii="Arial Narrow" w:hAnsi="Arial Narrow"/>
                <w:sz w:val="20"/>
              </w:rPr>
            </w:pPr>
            <w:r w:rsidRPr="00605035">
              <w:rPr>
                <w:rFonts w:ascii="Arial Narrow" w:hAnsi="Arial Narrow"/>
                <w:sz w:val="20"/>
              </w:rPr>
              <w:t>6</w:t>
            </w:r>
            <w:r w:rsidR="008F73B5" w:rsidRPr="00605035">
              <w:rPr>
                <w:rFonts w:ascii="Arial Narrow" w:hAnsi="Arial Narrow"/>
                <w:sz w:val="20"/>
              </w:rPr>
              <w:t>1</w:t>
            </w:r>
          </w:p>
        </w:tc>
        <w:tc>
          <w:tcPr>
            <w:tcW w:w="1104" w:type="pct"/>
            <w:shd w:val="clear" w:color="auto" w:fill="auto"/>
            <w:vAlign w:val="center"/>
          </w:tcPr>
          <w:p w:rsidR="00B710CF" w:rsidRPr="00605035" w:rsidRDefault="00B710CF" w:rsidP="00E651AD">
            <w:pPr>
              <w:keepNext/>
              <w:jc w:val="center"/>
              <w:rPr>
                <w:rFonts w:ascii="Arial Narrow" w:hAnsi="Arial Narrow"/>
                <w:sz w:val="20"/>
              </w:rPr>
            </w:pPr>
            <w:r w:rsidRPr="00605035">
              <w:rPr>
                <w:rFonts w:ascii="Arial Narrow" w:hAnsi="Arial Narrow"/>
                <w:sz w:val="20"/>
              </w:rPr>
              <w:t xml:space="preserve">R, DB, MC, ≤2 weeks; ≤12 </w:t>
            </w:r>
            <w:proofErr w:type="spellStart"/>
            <w:r w:rsidRPr="00605035">
              <w:rPr>
                <w:rFonts w:ascii="Arial Narrow" w:hAnsi="Arial Narrow"/>
                <w:sz w:val="20"/>
              </w:rPr>
              <w:t>mth</w:t>
            </w:r>
            <w:proofErr w:type="spellEnd"/>
            <w:r w:rsidRPr="00605035">
              <w:rPr>
                <w:rFonts w:ascii="Arial Narrow" w:hAnsi="Arial Narrow"/>
                <w:sz w:val="20"/>
              </w:rPr>
              <w:t xml:space="preserve"> extension</w:t>
            </w:r>
          </w:p>
        </w:tc>
        <w:tc>
          <w:tcPr>
            <w:tcW w:w="594" w:type="pct"/>
            <w:shd w:val="clear" w:color="auto" w:fill="auto"/>
            <w:vAlign w:val="center"/>
          </w:tcPr>
          <w:p w:rsidR="00B710CF" w:rsidRPr="00605035" w:rsidRDefault="00B710CF" w:rsidP="00E651AD">
            <w:pPr>
              <w:keepNext/>
              <w:jc w:val="center"/>
              <w:rPr>
                <w:rFonts w:ascii="Arial Narrow" w:hAnsi="Arial Narrow"/>
                <w:sz w:val="20"/>
              </w:rPr>
            </w:pPr>
            <w:r w:rsidRPr="00605035">
              <w:rPr>
                <w:rFonts w:ascii="Arial Narrow" w:hAnsi="Arial Narrow"/>
                <w:sz w:val="20"/>
              </w:rPr>
              <w:t>Unclear</w:t>
            </w:r>
          </w:p>
        </w:tc>
        <w:tc>
          <w:tcPr>
            <w:tcW w:w="849" w:type="pct"/>
            <w:shd w:val="clear" w:color="auto" w:fill="auto"/>
            <w:vAlign w:val="center"/>
          </w:tcPr>
          <w:p w:rsidR="00B710CF" w:rsidRPr="00605035" w:rsidRDefault="00B710CF" w:rsidP="00E651AD">
            <w:pPr>
              <w:keepNext/>
              <w:jc w:val="center"/>
              <w:rPr>
                <w:rFonts w:ascii="Arial Narrow" w:hAnsi="Arial Narrow"/>
                <w:sz w:val="20"/>
              </w:rPr>
            </w:pPr>
            <w:r w:rsidRPr="00605035">
              <w:rPr>
                <w:rFonts w:ascii="Arial Narrow" w:hAnsi="Arial Narrow"/>
                <w:sz w:val="20"/>
              </w:rPr>
              <w:t>Adult cancer patients w/ BTCP</w:t>
            </w:r>
          </w:p>
        </w:tc>
        <w:tc>
          <w:tcPr>
            <w:tcW w:w="1348" w:type="pct"/>
            <w:shd w:val="clear" w:color="auto" w:fill="auto"/>
            <w:vAlign w:val="center"/>
          </w:tcPr>
          <w:p w:rsidR="00B710CF" w:rsidRPr="00C66F0A" w:rsidRDefault="00B710CF" w:rsidP="00E651AD">
            <w:pPr>
              <w:keepNext/>
              <w:jc w:val="center"/>
              <w:rPr>
                <w:rFonts w:ascii="Arial Narrow" w:hAnsi="Arial Narrow"/>
                <w:sz w:val="20"/>
              </w:rPr>
            </w:pPr>
            <w:r w:rsidRPr="00C66F0A">
              <w:rPr>
                <w:rFonts w:ascii="Arial Narrow" w:hAnsi="Arial Narrow"/>
                <w:sz w:val="20"/>
              </w:rPr>
              <w:t xml:space="preserve">SPID, PID, PR, </w:t>
            </w:r>
            <w:r w:rsidR="002605CA">
              <w:rPr>
                <w:rFonts w:ascii="Arial Narrow" w:hAnsi="Arial Narrow"/>
                <w:noProof/>
                <w:color w:val="000000"/>
                <w:sz w:val="20"/>
                <w:highlight w:val="black"/>
              </w:rPr>
              <w:t>'''''''''''''''''''''</w:t>
            </w:r>
            <w:r w:rsidRPr="00C66F0A">
              <w:rPr>
                <w:rFonts w:ascii="Arial Narrow" w:hAnsi="Arial Narrow"/>
                <w:sz w:val="20"/>
              </w:rPr>
              <w:t xml:space="preserve">, </w:t>
            </w:r>
            <w:r w:rsidR="002605CA">
              <w:rPr>
                <w:rFonts w:ascii="Arial Narrow" w:hAnsi="Arial Narrow"/>
                <w:noProof/>
                <w:color w:val="000000"/>
                <w:sz w:val="20"/>
                <w:highlight w:val="black"/>
              </w:rPr>
              <w:t>'''''''</w:t>
            </w:r>
            <w:r w:rsidRPr="00C66F0A">
              <w:rPr>
                <w:rFonts w:ascii="Arial Narrow" w:hAnsi="Arial Narrow"/>
                <w:sz w:val="20"/>
              </w:rPr>
              <w:t xml:space="preserve">, </w:t>
            </w:r>
            <w:r w:rsidR="002605CA">
              <w:rPr>
                <w:rFonts w:ascii="Arial Narrow" w:hAnsi="Arial Narrow"/>
                <w:noProof/>
                <w:color w:val="000000"/>
                <w:sz w:val="20"/>
                <w:highlight w:val="black"/>
              </w:rPr>
              <w:t>'''''''''''''''''''''' ''''''''''</w:t>
            </w:r>
            <w:r w:rsidRPr="00C66F0A">
              <w:rPr>
                <w:rFonts w:ascii="Arial Narrow" w:hAnsi="Arial Narrow"/>
                <w:sz w:val="20"/>
              </w:rPr>
              <w:t xml:space="preserve">, </w:t>
            </w:r>
            <w:r w:rsidR="002605CA">
              <w:rPr>
                <w:rFonts w:ascii="Arial Narrow" w:hAnsi="Arial Narrow"/>
                <w:noProof/>
                <w:color w:val="000000"/>
                <w:sz w:val="20"/>
                <w:highlight w:val="black"/>
              </w:rPr>
              <w:t>'''''''''''</w:t>
            </w:r>
          </w:p>
        </w:tc>
      </w:tr>
      <w:tr w:rsidR="000B0D83" w:rsidRPr="00605035" w:rsidTr="000B0D83">
        <w:tc>
          <w:tcPr>
            <w:tcW w:w="679" w:type="pct"/>
            <w:shd w:val="clear" w:color="auto" w:fill="auto"/>
            <w:vAlign w:val="center"/>
          </w:tcPr>
          <w:p w:rsidR="000B0D83" w:rsidRPr="00605035" w:rsidRDefault="00B77D63" w:rsidP="00E651AD">
            <w:pPr>
              <w:keepNext/>
              <w:jc w:val="left"/>
              <w:rPr>
                <w:rFonts w:ascii="Arial Narrow" w:hAnsi="Arial Narrow"/>
                <w:sz w:val="20"/>
              </w:rPr>
            </w:pPr>
            <w:r w:rsidRPr="00605035">
              <w:rPr>
                <w:rFonts w:ascii="Arial Narrow" w:hAnsi="Arial Narrow"/>
                <w:sz w:val="20"/>
              </w:rPr>
              <w:t>EN007</w:t>
            </w:r>
          </w:p>
        </w:tc>
        <w:tc>
          <w:tcPr>
            <w:tcW w:w="426" w:type="pct"/>
            <w:shd w:val="clear" w:color="auto" w:fill="auto"/>
            <w:vAlign w:val="center"/>
          </w:tcPr>
          <w:p w:rsidR="000B0D83" w:rsidRPr="00605035" w:rsidRDefault="008F73B5" w:rsidP="00E651AD">
            <w:pPr>
              <w:keepNext/>
              <w:jc w:val="center"/>
              <w:rPr>
                <w:rFonts w:ascii="Arial Narrow" w:hAnsi="Arial Narrow"/>
                <w:sz w:val="20"/>
              </w:rPr>
            </w:pPr>
            <w:r w:rsidRPr="00605035">
              <w:rPr>
                <w:rFonts w:ascii="Arial Narrow" w:hAnsi="Arial Narrow"/>
                <w:sz w:val="20"/>
              </w:rPr>
              <w:t>96</w:t>
            </w:r>
          </w:p>
        </w:tc>
        <w:tc>
          <w:tcPr>
            <w:tcW w:w="1104" w:type="pct"/>
            <w:shd w:val="clear" w:color="auto" w:fill="auto"/>
            <w:vAlign w:val="center"/>
          </w:tcPr>
          <w:p w:rsidR="000B0D83" w:rsidRPr="00605035" w:rsidRDefault="008F73B5" w:rsidP="00E651AD">
            <w:pPr>
              <w:keepNext/>
              <w:jc w:val="center"/>
              <w:rPr>
                <w:rFonts w:ascii="Arial Narrow" w:hAnsi="Arial Narrow"/>
                <w:sz w:val="20"/>
              </w:rPr>
            </w:pPr>
            <w:r w:rsidRPr="00605035">
              <w:rPr>
                <w:rFonts w:ascii="Arial Narrow" w:hAnsi="Arial Narrow"/>
                <w:sz w:val="20"/>
              </w:rPr>
              <w:t xml:space="preserve">OL, MC, single arm, ≤12 </w:t>
            </w:r>
            <w:proofErr w:type="spellStart"/>
            <w:r w:rsidRPr="00605035">
              <w:rPr>
                <w:rFonts w:ascii="Arial Narrow" w:hAnsi="Arial Narrow"/>
                <w:sz w:val="20"/>
              </w:rPr>
              <w:t>mth</w:t>
            </w:r>
            <w:proofErr w:type="spellEnd"/>
            <w:r w:rsidRPr="00605035">
              <w:rPr>
                <w:rFonts w:ascii="Arial Narrow" w:hAnsi="Arial Narrow"/>
                <w:sz w:val="20"/>
              </w:rPr>
              <w:t xml:space="preserve"> extension</w:t>
            </w:r>
          </w:p>
        </w:tc>
        <w:tc>
          <w:tcPr>
            <w:tcW w:w="594" w:type="pct"/>
            <w:shd w:val="clear" w:color="auto" w:fill="auto"/>
            <w:vAlign w:val="center"/>
          </w:tcPr>
          <w:p w:rsidR="000B0D83" w:rsidRPr="00605035" w:rsidRDefault="00E07B74" w:rsidP="00E651AD">
            <w:pPr>
              <w:keepNext/>
              <w:jc w:val="center"/>
              <w:rPr>
                <w:rFonts w:ascii="Arial Narrow" w:hAnsi="Arial Narrow"/>
                <w:sz w:val="20"/>
              </w:rPr>
            </w:pPr>
            <w:r w:rsidRPr="00605035">
              <w:rPr>
                <w:rFonts w:ascii="Arial Narrow" w:hAnsi="Arial Narrow"/>
                <w:sz w:val="20"/>
              </w:rPr>
              <w:t>Unclear</w:t>
            </w:r>
          </w:p>
        </w:tc>
        <w:tc>
          <w:tcPr>
            <w:tcW w:w="849" w:type="pct"/>
            <w:shd w:val="clear" w:color="auto" w:fill="auto"/>
            <w:vAlign w:val="center"/>
          </w:tcPr>
          <w:p w:rsidR="000B0D83" w:rsidRPr="00605035" w:rsidRDefault="00E07B74" w:rsidP="00E651AD">
            <w:pPr>
              <w:keepNext/>
              <w:jc w:val="center"/>
              <w:rPr>
                <w:rFonts w:ascii="Arial Narrow" w:hAnsi="Arial Narrow"/>
                <w:sz w:val="20"/>
              </w:rPr>
            </w:pPr>
            <w:r w:rsidRPr="00605035">
              <w:rPr>
                <w:rFonts w:ascii="Arial Narrow" w:hAnsi="Arial Narrow"/>
                <w:sz w:val="20"/>
              </w:rPr>
              <w:t>Adult cancer patients w/ BTCP naïve to fentanyl sublingual</w:t>
            </w:r>
          </w:p>
        </w:tc>
        <w:tc>
          <w:tcPr>
            <w:tcW w:w="1348" w:type="pct"/>
            <w:shd w:val="clear" w:color="auto" w:fill="auto"/>
            <w:vAlign w:val="center"/>
          </w:tcPr>
          <w:p w:rsidR="000B0D83" w:rsidRPr="00C66F0A" w:rsidRDefault="002605CA" w:rsidP="00E651AD">
            <w:pPr>
              <w:keepNext/>
              <w:jc w:val="center"/>
              <w:rPr>
                <w:rFonts w:ascii="Arial Narrow" w:hAnsi="Arial Narrow"/>
                <w:sz w:val="20"/>
              </w:rPr>
            </w:pPr>
            <w:r>
              <w:rPr>
                <w:rFonts w:ascii="Arial Narrow" w:hAnsi="Arial Narrow"/>
                <w:noProof/>
                <w:color w:val="000000"/>
                <w:sz w:val="20"/>
                <w:highlight w:val="black"/>
              </w:rPr>
              <w:t>''''''''</w:t>
            </w:r>
            <w:r w:rsidR="00E07B74" w:rsidRPr="00C66F0A">
              <w:rPr>
                <w:rFonts w:ascii="Arial Narrow" w:hAnsi="Arial Narrow"/>
                <w:sz w:val="20"/>
              </w:rPr>
              <w:t xml:space="preserve">, </w:t>
            </w:r>
            <w:proofErr w:type="spellStart"/>
            <w:r w:rsidR="00E07B74" w:rsidRPr="00C66F0A">
              <w:rPr>
                <w:rFonts w:ascii="Arial Narrow" w:hAnsi="Arial Narrow"/>
                <w:sz w:val="20"/>
              </w:rPr>
              <w:t>QoL</w:t>
            </w:r>
            <w:proofErr w:type="spellEnd"/>
          </w:p>
        </w:tc>
      </w:tr>
      <w:tr w:rsidR="00F84CA7" w:rsidRPr="00605035" w:rsidTr="00F84CA7">
        <w:tc>
          <w:tcPr>
            <w:tcW w:w="5000" w:type="pct"/>
            <w:gridSpan w:val="6"/>
            <w:shd w:val="clear" w:color="auto" w:fill="auto"/>
            <w:vAlign w:val="center"/>
          </w:tcPr>
          <w:p w:rsidR="00F84CA7" w:rsidRPr="00605035" w:rsidRDefault="00F84CA7" w:rsidP="00E651AD">
            <w:pPr>
              <w:keepNext/>
              <w:jc w:val="left"/>
              <w:rPr>
                <w:rFonts w:ascii="Arial Narrow" w:hAnsi="Arial Narrow"/>
                <w:sz w:val="20"/>
              </w:rPr>
            </w:pPr>
            <w:r w:rsidRPr="00605035">
              <w:rPr>
                <w:rFonts w:ascii="Arial Narrow" w:hAnsi="Arial Narrow"/>
                <w:b/>
                <w:sz w:val="20"/>
              </w:rPr>
              <w:t>Fentanyl lozenges vs placebo</w:t>
            </w:r>
          </w:p>
        </w:tc>
      </w:tr>
      <w:tr w:rsidR="00B710CF" w:rsidRPr="00605035" w:rsidTr="008F73B5">
        <w:tc>
          <w:tcPr>
            <w:tcW w:w="679" w:type="pct"/>
            <w:shd w:val="clear" w:color="auto" w:fill="auto"/>
            <w:vAlign w:val="center"/>
          </w:tcPr>
          <w:p w:rsidR="00B710CF" w:rsidRPr="00605035" w:rsidRDefault="00B710CF" w:rsidP="00E651AD">
            <w:pPr>
              <w:keepNext/>
              <w:jc w:val="left"/>
              <w:rPr>
                <w:rFonts w:ascii="Arial Narrow" w:hAnsi="Arial Narrow"/>
                <w:sz w:val="20"/>
              </w:rPr>
            </w:pPr>
            <w:r w:rsidRPr="00605035">
              <w:rPr>
                <w:rFonts w:ascii="Arial Narrow" w:hAnsi="Arial Narrow"/>
                <w:sz w:val="20"/>
              </w:rPr>
              <w:t>Farrar 1998</w:t>
            </w:r>
            <w:r w:rsidR="00E07B74" w:rsidRPr="00605035">
              <w:rPr>
                <w:rFonts w:ascii="Arial Narrow" w:hAnsi="Arial Narrow"/>
                <w:sz w:val="20"/>
              </w:rPr>
              <w:t xml:space="preserve"> / Payne 2001</w:t>
            </w:r>
          </w:p>
        </w:tc>
        <w:tc>
          <w:tcPr>
            <w:tcW w:w="426" w:type="pct"/>
            <w:shd w:val="clear" w:color="auto" w:fill="auto"/>
            <w:vAlign w:val="center"/>
          </w:tcPr>
          <w:p w:rsidR="00B710CF" w:rsidRPr="00605035" w:rsidRDefault="00B710CF" w:rsidP="00E651AD">
            <w:pPr>
              <w:keepNext/>
              <w:jc w:val="center"/>
              <w:rPr>
                <w:rFonts w:ascii="Arial Narrow" w:hAnsi="Arial Narrow"/>
                <w:sz w:val="20"/>
              </w:rPr>
            </w:pPr>
            <w:r w:rsidRPr="00605035">
              <w:rPr>
                <w:rFonts w:ascii="Arial Narrow" w:hAnsi="Arial Narrow"/>
                <w:sz w:val="20"/>
              </w:rPr>
              <w:t>92</w:t>
            </w:r>
          </w:p>
        </w:tc>
        <w:tc>
          <w:tcPr>
            <w:tcW w:w="1104" w:type="pct"/>
            <w:shd w:val="clear" w:color="auto" w:fill="auto"/>
            <w:vAlign w:val="center"/>
          </w:tcPr>
          <w:p w:rsidR="00B710CF" w:rsidRPr="00605035" w:rsidRDefault="00B710CF" w:rsidP="00E651AD">
            <w:pPr>
              <w:keepNext/>
              <w:jc w:val="center"/>
              <w:rPr>
                <w:rFonts w:ascii="Arial Narrow" w:hAnsi="Arial Narrow"/>
                <w:sz w:val="20"/>
              </w:rPr>
            </w:pPr>
            <w:r w:rsidRPr="00605035">
              <w:rPr>
                <w:rFonts w:ascii="Arial Narrow" w:hAnsi="Arial Narrow"/>
                <w:sz w:val="20"/>
              </w:rPr>
              <w:t>R, DB, MC, &lt;2 weeks</w:t>
            </w:r>
          </w:p>
        </w:tc>
        <w:tc>
          <w:tcPr>
            <w:tcW w:w="594" w:type="pct"/>
            <w:shd w:val="clear" w:color="auto" w:fill="auto"/>
            <w:vAlign w:val="center"/>
          </w:tcPr>
          <w:p w:rsidR="00B710CF" w:rsidRPr="00605035" w:rsidRDefault="00B710CF" w:rsidP="00E651AD">
            <w:pPr>
              <w:keepNext/>
              <w:jc w:val="center"/>
              <w:rPr>
                <w:rFonts w:ascii="Arial Narrow" w:hAnsi="Arial Narrow"/>
                <w:sz w:val="20"/>
              </w:rPr>
            </w:pPr>
            <w:r w:rsidRPr="00605035">
              <w:rPr>
                <w:rFonts w:ascii="Arial Narrow" w:hAnsi="Arial Narrow"/>
                <w:sz w:val="20"/>
              </w:rPr>
              <w:t>Unclear</w:t>
            </w:r>
          </w:p>
        </w:tc>
        <w:tc>
          <w:tcPr>
            <w:tcW w:w="849" w:type="pct"/>
            <w:shd w:val="clear" w:color="auto" w:fill="auto"/>
            <w:vAlign w:val="center"/>
          </w:tcPr>
          <w:p w:rsidR="00B710CF" w:rsidRPr="00605035" w:rsidRDefault="00B710CF" w:rsidP="00E651AD">
            <w:pPr>
              <w:keepNext/>
              <w:jc w:val="center"/>
              <w:rPr>
                <w:rFonts w:ascii="Arial Narrow" w:hAnsi="Arial Narrow"/>
                <w:sz w:val="20"/>
              </w:rPr>
            </w:pPr>
            <w:r w:rsidRPr="00605035">
              <w:rPr>
                <w:rFonts w:ascii="Arial Narrow" w:hAnsi="Arial Narrow"/>
                <w:sz w:val="20"/>
              </w:rPr>
              <w:t>Adult cancer patients w/ BTCP</w:t>
            </w:r>
          </w:p>
        </w:tc>
        <w:tc>
          <w:tcPr>
            <w:tcW w:w="1348" w:type="pct"/>
            <w:shd w:val="clear" w:color="auto" w:fill="auto"/>
            <w:vAlign w:val="center"/>
          </w:tcPr>
          <w:p w:rsidR="00B710CF" w:rsidRPr="00605035" w:rsidRDefault="00B710CF" w:rsidP="00E651AD">
            <w:pPr>
              <w:keepNext/>
              <w:jc w:val="center"/>
              <w:rPr>
                <w:rFonts w:ascii="Arial Narrow" w:hAnsi="Arial Narrow"/>
                <w:sz w:val="20"/>
              </w:rPr>
            </w:pPr>
            <w:r w:rsidRPr="00605035">
              <w:rPr>
                <w:rFonts w:ascii="Arial Narrow" w:hAnsi="Arial Narrow"/>
                <w:sz w:val="20"/>
              </w:rPr>
              <w:t>SPID, PID, PR, TOTPAR, GP, response rate</w:t>
            </w:r>
          </w:p>
        </w:tc>
      </w:tr>
      <w:tr w:rsidR="000B0D83" w:rsidRPr="00605035" w:rsidTr="000B0D83">
        <w:tc>
          <w:tcPr>
            <w:tcW w:w="5000" w:type="pct"/>
            <w:gridSpan w:val="6"/>
            <w:shd w:val="clear" w:color="auto" w:fill="auto"/>
            <w:vAlign w:val="center"/>
          </w:tcPr>
          <w:p w:rsidR="000B0D83" w:rsidRPr="00605035" w:rsidRDefault="000B0D83" w:rsidP="00E651AD">
            <w:pPr>
              <w:keepNext/>
              <w:jc w:val="left"/>
              <w:rPr>
                <w:rFonts w:ascii="Arial Narrow" w:hAnsi="Arial Narrow"/>
                <w:sz w:val="20"/>
              </w:rPr>
            </w:pPr>
            <w:r w:rsidRPr="00605035">
              <w:rPr>
                <w:rFonts w:ascii="Arial Narrow" w:hAnsi="Arial Narrow"/>
                <w:b/>
                <w:sz w:val="20"/>
              </w:rPr>
              <w:t>Fentanyl sublingual vs immediate-release oral morphine</w:t>
            </w:r>
          </w:p>
        </w:tc>
      </w:tr>
      <w:tr w:rsidR="000B0D83" w:rsidRPr="00605035" w:rsidTr="000B0D83">
        <w:tc>
          <w:tcPr>
            <w:tcW w:w="679" w:type="pct"/>
            <w:shd w:val="clear" w:color="auto" w:fill="auto"/>
            <w:vAlign w:val="center"/>
          </w:tcPr>
          <w:p w:rsidR="000B0D83" w:rsidRPr="00605035" w:rsidRDefault="00B77D63" w:rsidP="00E651AD">
            <w:pPr>
              <w:keepNext/>
              <w:jc w:val="left"/>
              <w:rPr>
                <w:rFonts w:ascii="Arial Narrow" w:hAnsi="Arial Narrow"/>
                <w:sz w:val="20"/>
              </w:rPr>
            </w:pPr>
            <w:r w:rsidRPr="00605035">
              <w:rPr>
                <w:rFonts w:ascii="Arial Narrow" w:hAnsi="Arial Narrow"/>
                <w:sz w:val="20"/>
              </w:rPr>
              <w:t>Velazquez Rivera 2014</w:t>
            </w:r>
          </w:p>
        </w:tc>
        <w:tc>
          <w:tcPr>
            <w:tcW w:w="426" w:type="pct"/>
            <w:shd w:val="clear" w:color="auto" w:fill="auto"/>
            <w:vAlign w:val="center"/>
          </w:tcPr>
          <w:p w:rsidR="000B0D83" w:rsidRPr="00605035" w:rsidRDefault="00E07B74" w:rsidP="00E651AD">
            <w:pPr>
              <w:keepNext/>
              <w:jc w:val="center"/>
              <w:rPr>
                <w:rFonts w:ascii="Arial Narrow" w:hAnsi="Arial Narrow"/>
                <w:sz w:val="20"/>
              </w:rPr>
            </w:pPr>
            <w:r w:rsidRPr="00605035">
              <w:rPr>
                <w:rFonts w:ascii="Arial Narrow" w:hAnsi="Arial Narrow"/>
                <w:sz w:val="20"/>
              </w:rPr>
              <w:t>40</w:t>
            </w:r>
          </w:p>
        </w:tc>
        <w:tc>
          <w:tcPr>
            <w:tcW w:w="1104" w:type="pct"/>
            <w:shd w:val="clear" w:color="auto" w:fill="auto"/>
            <w:vAlign w:val="center"/>
          </w:tcPr>
          <w:p w:rsidR="000B0D83" w:rsidRPr="00605035" w:rsidRDefault="00E07B74" w:rsidP="00E651AD">
            <w:pPr>
              <w:keepNext/>
              <w:jc w:val="center"/>
              <w:rPr>
                <w:rFonts w:ascii="Arial Narrow" w:hAnsi="Arial Narrow"/>
                <w:sz w:val="20"/>
              </w:rPr>
            </w:pPr>
            <w:r w:rsidRPr="00605035">
              <w:rPr>
                <w:rFonts w:ascii="Arial Narrow" w:hAnsi="Arial Narrow"/>
                <w:sz w:val="20"/>
              </w:rPr>
              <w:t>DB, SC, non-randomised, 30 days</w:t>
            </w:r>
          </w:p>
        </w:tc>
        <w:tc>
          <w:tcPr>
            <w:tcW w:w="594" w:type="pct"/>
            <w:shd w:val="clear" w:color="auto" w:fill="auto"/>
            <w:vAlign w:val="center"/>
          </w:tcPr>
          <w:p w:rsidR="000B0D83" w:rsidRPr="00605035" w:rsidRDefault="00B77D63" w:rsidP="00E651AD">
            <w:pPr>
              <w:keepNext/>
              <w:jc w:val="center"/>
              <w:rPr>
                <w:rFonts w:ascii="Arial Narrow" w:hAnsi="Arial Narrow"/>
                <w:sz w:val="20"/>
              </w:rPr>
            </w:pPr>
            <w:r w:rsidRPr="00605035">
              <w:rPr>
                <w:rFonts w:ascii="Arial Narrow" w:hAnsi="Arial Narrow"/>
                <w:sz w:val="20"/>
              </w:rPr>
              <w:t>High</w:t>
            </w:r>
          </w:p>
        </w:tc>
        <w:tc>
          <w:tcPr>
            <w:tcW w:w="849" w:type="pct"/>
            <w:shd w:val="clear" w:color="auto" w:fill="auto"/>
            <w:vAlign w:val="center"/>
          </w:tcPr>
          <w:p w:rsidR="000B0D83" w:rsidRPr="00605035" w:rsidRDefault="00E07B74" w:rsidP="00E651AD">
            <w:pPr>
              <w:keepNext/>
              <w:jc w:val="center"/>
              <w:rPr>
                <w:rFonts w:ascii="Arial Narrow" w:hAnsi="Arial Narrow"/>
                <w:sz w:val="20"/>
              </w:rPr>
            </w:pPr>
            <w:r w:rsidRPr="00605035">
              <w:rPr>
                <w:rFonts w:ascii="Arial Narrow" w:hAnsi="Arial Narrow"/>
                <w:sz w:val="20"/>
              </w:rPr>
              <w:t>Adult cancer patients w/ BTCP</w:t>
            </w:r>
          </w:p>
        </w:tc>
        <w:tc>
          <w:tcPr>
            <w:tcW w:w="1348" w:type="pct"/>
            <w:shd w:val="clear" w:color="auto" w:fill="auto"/>
            <w:vAlign w:val="center"/>
          </w:tcPr>
          <w:p w:rsidR="000B0D83" w:rsidRPr="00605035" w:rsidRDefault="00E07B74" w:rsidP="00E651AD">
            <w:pPr>
              <w:keepNext/>
              <w:jc w:val="center"/>
              <w:rPr>
                <w:rFonts w:ascii="Arial Narrow" w:hAnsi="Arial Narrow"/>
                <w:sz w:val="20"/>
              </w:rPr>
            </w:pPr>
            <w:r w:rsidRPr="00605035">
              <w:rPr>
                <w:rFonts w:ascii="Arial Narrow" w:hAnsi="Arial Narrow"/>
                <w:sz w:val="20"/>
              </w:rPr>
              <w:t>Pain intensity, frequency of BTCP, time to onset of pain relief</w:t>
            </w:r>
          </w:p>
        </w:tc>
      </w:tr>
    </w:tbl>
    <w:p w:rsidR="00D06FD4" w:rsidRPr="00605035" w:rsidRDefault="00B77D63" w:rsidP="008F73B5">
      <w:pPr>
        <w:pStyle w:val="TableFooter"/>
        <w:ind w:left="709"/>
      </w:pPr>
      <w:r w:rsidRPr="00605035">
        <w:t xml:space="preserve">Abbreviations: </w:t>
      </w:r>
      <w:r w:rsidR="008F73B5" w:rsidRPr="00605035">
        <w:t xml:space="preserve">BTCP, breakthrough cancer pain; </w:t>
      </w:r>
      <w:r w:rsidR="00D06FD4" w:rsidRPr="00605035">
        <w:t>DB</w:t>
      </w:r>
      <w:r w:rsidRPr="00605035">
        <w:t xml:space="preserve">, </w:t>
      </w:r>
      <w:r w:rsidR="00D06FD4" w:rsidRPr="00605035">
        <w:t xml:space="preserve">double blind; </w:t>
      </w:r>
      <w:r w:rsidR="008F73B5" w:rsidRPr="00605035">
        <w:t xml:space="preserve">GP, global performance of medication; </w:t>
      </w:r>
      <w:r w:rsidR="00D06FD4" w:rsidRPr="00605035">
        <w:t>MC</w:t>
      </w:r>
      <w:r w:rsidRPr="00605035">
        <w:t xml:space="preserve">, </w:t>
      </w:r>
      <w:r w:rsidR="00D06FD4" w:rsidRPr="00605035">
        <w:t>multi-centre;</w:t>
      </w:r>
      <w:r w:rsidR="008F73B5" w:rsidRPr="00605035">
        <w:t xml:space="preserve"> </w:t>
      </w:r>
      <w:proofErr w:type="spellStart"/>
      <w:r w:rsidR="008F73B5" w:rsidRPr="00605035">
        <w:t>mth</w:t>
      </w:r>
      <w:proofErr w:type="spellEnd"/>
      <w:r w:rsidR="008F73B5" w:rsidRPr="00605035">
        <w:t>, month;</w:t>
      </w:r>
      <w:r w:rsidR="00D06FD4" w:rsidRPr="00605035">
        <w:t xml:space="preserve"> OL</w:t>
      </w:r>
      <w:r w:rsidRPr="00605035">
        <w:t xml:space="preserve">, </w:t>
      </w:r>
      <w:r w:rsidR="00D06FD4" w:rsidRPr="00605035">
        <w:t xml:space="preserve">open label; </w:t>
      </w:r>
      <w:r w:rsidR="008F73B5" w:rsidRPr="00605035">
        <w:t xml:space="preserve">PID, pain intensity difference; PR, pain relief; </w:t>
      </w:r>
      <w:proofErr w:type="spellStart"/>
      <w:r w:rsidR="008F73B5" w:rsidRPr="00605035">
        <w:t>QoL</w:t>
      </w:r>
      <w:proofErr w:type="spellEnd"/>
      <w:r w:rsidR="008F73B5" w:rsidRPr="00605035">
        <w:t xml:space="preserve">, quality of life; </w:t>
      </w:r>
      <w:r w:rsidR="00D06FD4" w:rsidRPr="00605035">
        <w:t>R</w:t>
      </w:r>
      <w:r w:rsidRPr="00605035">
        <w:t xml:space="preserve">, </w:t>
      </w:r>
      <w:r w:rsidR="00D06FD4" w:rsidRPr="00605035">
        <w:t>randomised</w:t>
      </w:r>
      <w:r w:rsidR="008F73B5" w:rsidRPr="00605035">
        <w:t xml:space="preserve">; </w:t>
      </w:r>
      <w:r w:rsidR="00E07B74" w:rsidRPr="00605035">
        <w:t xml:space="preserve">SC, single-centre; </w:t>
      </w:r>
      <w:r w:rsidR="008F73B5" w:rsidRPr="00605035">
        <w:t>SPID, sum of pain intensity difference; TOTPAR, total pain relief</w:t>
      </w:r>
      <w:r w:rsidR="00D06FD4" w:rsidRPr="00605035">
        <w:t>.</w:t>
      </w:r>
    </w:p>
    <w:p w:rsidR="00D06FD4" w:rsidRPr="00605035" w:rsidRDefault="00D06FD4" w:rsidP="008F73B5">
      <w:pPr>
        <w:pStyle w:val="TableFooter"/>
        <w:ind w:left="709"/>
      </w:pPr>
      <w:r w:rsidRPr="00605035">
        <w:t>Source: compiled during the evaluation</w:t>
      </w:r>
    </w:p>
    <w:p w:rsidR="008F73B5" w:rsidRPr="00605035" w:rsidRDefault="008F73B5" w:rsidP="00E07B74">
      <w:pPr>
        <w:ind w:left="709"/>
      </w:pPr>
    </w:p>
    <w:p w:rsidR="00B60939" w:rsidRPr="00605035" w:rsidRDefault="00B60939" w:rsidP="00497F10">
      <w:pPr>
        <w:pStyle w:val="Heading2"/>
      </w:pPr>
      <w:bookmarkStart w:id="8" w:name="_Toc419711187"/>
      <w:r w:rsidRPr="00605035">
        <w:t>Comparative effectiveness</w:t>
      </w:r>
      <w:bookmarkEnd w:id="8"/>
    </w:p>
    <w:p w:rsidR="00B60939" w:rsidRPr="00605035" w:rsidRDefault="00B60939" w:rsidP="00B60939">
      <w:pPr>
        <w:rPr>
          <w:szCs w:val="22"/>
        </w:rPr>
      </w:pPr>
    </w:p>
    <w:p w:rsidR="001363D0" w:rsidRPr="00605035" w:rsidRDefault="001363D0" w:rsidP="007E1DC9">
      <w:pPr>
        <w:pStyle w:val="ListParagraph"/>
        <w:widowControl/>
        <w:numPr>
          <w:ilvl w:val="1"/>
          <w:numId w:val="3"/>
        </w:numPr>
      </w:pPr>
      <w:r w:rsidRPr="00605035">
        <w:rPr>
          <w:szCs w:val="22"/>
        </w:rPr>
        <w:t xml:space="preserve">The previous submission </w:t>
      </w:r>
      <w:r w:rsidR="00EC5D34" w:rsidRPr="00605035">
        <w:rPr>
          <w:szCs w:val="22"/>
        </w:rPr>
        <w:t>presented an i</w:t>
      </w:r>
      <w:r w:rsidRPr="00605035">
        <w:rPr>
          <w:szCs w:val="22"/>
        </w:rPr>
        <w:t>ndirect comparison of responder rates using episode</w:t>
      </w:r>
      <w:r w:rsidR="00EC5D34" w:rsidRPr="00605035">
        <w:rPr>
          <w:szCs w:val="22"/>
        </w:rPr>
        <w:t>-</w:t>
      </w:r>
      <w:r w:rsidRPr="00605035">
        <w:rPr>
          <w:szCs w:val="22"/>
        </w:rPr>
        <w:t xml:space="preserve">level data for fentanyl sublingual and fentanyl lozenges. </w:t>
      </w:r>
      <w:r w:rsidR="00EC5D34" w:rsidRPr="00605035">
        <w:rPr>
          <w:szCs w:val="22"/>
        </w:rPr>
        <w:t xml:space="preserve">The </w:t>
      </w:r>
      <w:r w:rsidR="00E651AD" w:rsidRPr="00605035">
        <w:rPr>
          <w:szCs w:val="22"/>
        </w:rPr>
        <w:t xml:space="preserve">current </w:t>
      </w:r>
      <w:r w:rsidR="00260E2E" w:rsidRPr="00605035">
        <w:rPr>
          <w:szCs w:val="22"/>
        </w:rPr>
        <w:t>res</w:t>
      </w:r>
      <w:r w:rsidR="00EC5D34" w:rsidRPr="00605035">
        <w:rPr>
          <w:szCs w:val="22"/>
        </w:rPr>
        <w:t>ubmission presented a f</w:t>
      </w:r>
      <w:r w:rsidRPr="00605035">
        <w:rPr>
          <w:szCs w:val="22"/>
        </w:rPr>
        <w:t>ormal</w:t>
      </w:r>
      <w:r w:rsidR="00EC5D34" w:rsidRPr="00605035">
        <w:rPr>
          <w:szCs w:val="22"/>
        </w:rPr>
        <w:t xml:space="preserve"> indirect comparison of patient-</w:t>
      </w:r>
      <w:r w:rsidRPr="00605035">
        <w:rPr>
          <w:szCs w:val="22"/>
        </w:rPr>
        <w:t xml:space="preserve">level data for fentanyl sublingual and fentanyl lozenges on </w:t>
      </w:r>
      <w:r w:rsidR="00EC5D34" w:rsidRPr="00605035">
        <w:rPr>
          <w:szCs w:val="22"/>
        </w:rPr>
        <w:t>p</w:t>
      </w:r>
      <w:r w:rsidRPr="00605035">
        <w:rPr>
          <w:szCs w:val="22"/>
        </w:rPr>
        <w:t xml:space="preserve">ain </w:t>
      </w:r>
      <w:r w:rsidR="00EC5D34" w:rsidRPr="00605035">
        <w:rPr>
          <w:szCs w:val="22"/>
        </w:rPr>
        <w:t>i</w:t>
      </w:r>
      <w:r w:rsidRPr="00605035">
        <w:rPr>
          <w:szCs w:val="22"/>
        </w:rPr>
        <w:t xml:space="preserve">ntensity </w:t>
      </w:r>
      <w:r w:rsidR="00EC5D34" w:rsidRPr="00605035">
        <w:rPr>
          <w:szCs w:val="22"/>
        </w:rPr>
        <w:t>d</w:t>
      </w:r>
      <w:r w:rsidRPr="00605035">
        <w:rPr>
          <w:szCs w:val="22"/>
        </w:rPr>
        <w:t xml:space="preserve">ifference and </w:t>
      </w:r>
      <w:r w:rsidR="00EC5D34" w:rsidRPr="00605035">
        <w:rPr>
          <w:szCs w:val="22"/>
        </w:rPr>
        <w:t>p</w:t>
      </w:r>
      <w:r w:rsidRPr="00605035">
        <w:rPr>
          <w:szCs w:val="22"/>
        </w:rPr>
        <w:t xml:space="preserve">ain </w:t>
      </w:r>
      <w:r w:rsidR="00EC5D34" w:rsidRPr="00605035">
        <w:rPr>
          <w:szCs w:val="22"/>
        </w:rPr>
        <w:t>r</w:t>
      </w:r>
      <w:r w:rsidRPr="00605035">
        <w:rPr>
          <w:szCs w:val="22"/>
        </w:rPr>
        <w:t>elief measures.</w:t>
      </w:r>
      <w:r w:rsidR="00746509" w:rsidRPr="00605035">
        <w:rPr>
          <w:szCs w:val="22"/>
        </w:rPr>
        <w:t xml:space="preserve"> There were no statistically significant differences demonstrated between fentanyl sublingual and fentanyl lozenges for the pain intensity difference and pain relief outcomes at the 15, 30 or 60 minute time points.</w:t>
      </w:r>
      <w:r w:rsidR="00777786" w:rsidRPr="00605035">
        <w:rPr>
          <w:szCs w:val="22"/>
        </w:rPr>
        <w:t xml:space="preserve"> </w:t>
      </w:r>
      <w:r w:rsidR="00746509" w:rsidRPr="00605035">
        <w:t xml:space="preserve">The </w:t>
      </w:r>
      <w:r w:rsidR="00260E2E" w:rsidRPr="00605035">
        <w:t>res</w:t>
      </w:r>
      <w:r w:rsidR="00746509" w:rsidRPr="00605035">
        <w:t xml:space="preserve">ubmission claimed non-inferiority of fentanyl sublingual over fentanyl lozenges based on a lack of </w:t>
      </w:r>
      <w:r w:rsidR="00E651AD" w:rsidRPr="00605035">
        <w:t xml:space="preserve">statistically </w:t>
      </w:r>
      <w:r w:rsidR="00746509" w:rsidRPr="00605035">
        <w:t xml:space="preserve">significant differences between the two treatments on measures of pain intensity difference and pain relief. </w:t>
      </w:r>
      <w:r w:rsidR="00E651AD" w:rsidRPr="00605035">
        <w:t xml:space="preserve">There are no established non-inferiority margins for pain outcomes. </w:t>
      </w:r>
      <w:r w:rsidR="00746509" w:rsidRPr="00605035">
        <w:t>However, the mean pain scores and confidence intervals for each treatment overlap considerably, indicating that results for the two treatments were very similar for these outcome measures.</w:t>
      </w:r>
      <w:r w:rsidR="00C854F0" w:rsidRPr="00605035">
        <w:t xml:space="preserve">  However, </w:t>
      </w:r>
      <w:r w:rsidR="006A1133" w:rsidRPr="00605035">
        <w:t xml:space="preserve">the ESC considered </w:t>
      </w:r>
      <w:r w:rsidR="00C854F0" w:rsidRPr="00605035">
        <w:t>the reliability of this comparison is limited by the indirect comparison.</w:t>
      </w:r>
    </w:p>
    <w:p w:rsidR="00EC5D34" w:rsidRPr="00605035" w:rsidRDefault="00EC5D34" w:rsidP="00A602DD">
      <w:pPr>
        <w:widowControl/>
        <w:rPr>
          <w:szCs w:val="22"/>
        </w:rPr>
      </w:pPr>
    </w:p>
    <w:p w:rsidR="00EC5D34" w:rsidRPr="00605035" w:rsidRDefault="00EC5D34" w:rsidP="00D23902">
      <w:pPr>
        <w:pStyle w:val="COMtblcap"/>
        <w:ind w:left="709"/>
        <w:rPr>
          <w:rFonts w:ascii="Arial Narrow" w:hAnsi="Arial Narrow"/>
        </w:rPr>
      </w:pPr>
      <w:r w:rsidRPr="00605035">
        <w:rPr>
          <w:rFonts w:ascii="Arial Narrow" w:hAnsi="Arial Narrow"/>
        </w:rPr>
        <w:t>Table 3: Indirect treatment comparison on Mean Difference PID and PR</w:t>
      </w:r>
    </w:p>
    <w:tbl>
      <w:tblPr>
        <w:tblW w:w="8363"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1417"/>
        <w:gridCol w:w="993"/>
        <w:gridCol w:w="51"/>
        <w:gridCol w:w="941"/>
        <w:gridCol w:w="972"/>
        <w:gridCol w:w="31"/>
        <w:gridCol w:w="891"/>
        <w:gridCol w:w="1224"/>
        <w:gridCol w:w="1134"/>
      </w:tblGrid>
      <w:tr w:rsidR="00EC5D34" w:rsidRPr="00605035" w:rsidTr="001E6A16">
        <w:trPr>
          <w:cantSplit/>
          <w:tblHeader/>
        </w:trPr>
        <w:tc>
          <w:tcPr>
            <w:tcW w:w="709" w:type="dxa"/>
            <w:vMerge w:val="restart"/>
            <w:tcBorders>
              <w:top w:val="single" w:sz="4" w:space="0" w:color="auto"/>
              <w:left w:val="single" w:sz="4" w:space="0" w:color="auto"/>
              <w:right w:val="single" w:sz="4" w:space="0" w:color="auto"/>
            </w:tcBorders>
            <w:shd w:val="clear" w:color="auto" w:fill="auto"/>
            <w:vAlign w:val="center"/>
          </w:tcPr>
          <w:p w:rsidR="00EC5D34" w:rsidRPr="00605035" w:rsidRDefault="00D23902" w:rsidP="00BB50EC">
            <w:pPr>
              <w:rPr>
                <w:rFonts w:ascii="Arial Narrow" w:hAnsi="Arial Narrow"/>
                <w:b/>
                <w:sz w:val="20"/>
              </w:rPr>
            </w:pPr>
            <w:r w:rsidRPr="00605035">
              <w:rPr>
                <w:rFonts w:ascii="Arial Narrow" w:hAnsi="Arial Narrow"/>
                <w:b/>
                <w:sz w:val="20"/>
              </w:rPr>
              <w:t>Time-point</w:t>
            </w:r>
          </w:p>
        </w:tc>
        <w:tc>
          <w:tcPr>
            <w:tcW w:w="3402" w:type="dxa"/>
            <w:gridSpan w:val="4"/>
            <w:tcBorders>
              <w:top w:val="single" w:sz="4" w:space="0" w:color="auto"/>
              <w:left w:val="single" w:sz="4" w:space="0" w:color="auto"/>
              <w:right w:val="single" w:sz="4" w:space="0" w:color="auto"/>
            </w:tcBorders>
          </w:tcPr>
          <w:p w:rsidR="00EC5D34" w:rsidRPr="00605035" w:rsidRDefault="00EC5D34" w:rsidP="00BB50EC">
            <w:pPr>
              <w:jc w:val="center"/>
              <w:rPr>
                <w:rFonts w:ascii="Arial Narrow" w:hAnsi="Arial Narrow"/>
                <w:b/>
                <w:sz w:val="20"/>
              </w:rPr>
            </w:pPr>
            <w:r w:rsidRPr="00605035">
              <w:rPr>
                <w:rFonts w:ascii="Arial Narrow" w:hAnsi="Arial Narrow"/>
                <w:b/>
                <w:sz w:val="20"/>
              </w:rPr>
              <w:t xml:space="preserve">Sublingual fentanyl </w:t>
            </w:r>
          </w:p>
          <w:p w:rsidR="00EC5D34" w:rsidRPr="00605035" w:rsidRDefault="00EC5D34" w:rsidP="00BB50EC">
            <w:pPr>
              <w:jc w:val="center"/>
              <w:rPr>
                <w:rFonts w:ascii="Arial Narrow" w:hAnsi="Arial Narrow"/>
                <w:b/>
                <w:sz w:val="20"/>
              </w:rPr>
            </w:pPr>
            <w:r w:rsidRPr="00605035">
              <w:rPr>
                <w:rFonts w:ascii="Arial Narrow" w:hAnsi="Arial Narrow"/>
                <w:b/>
                <w:sz w:val="20"/>
              </w:rPr>
              <w:t>(EN005) n = 61</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C5D34" w:rsidRPr="00605035" w:rsidRDefault="00EC5D34" w:rsidP="00BB50EC">
            <w:pPr>
              <w:jc w:val="center"/>
              <w:rPr>
                <w:rFonts w:ascii="Arial Narrow" w:hAnsi="Arial Narrow"/>
                <w:b/>
                <w:sz w:val="20"/>
              </w:rPr>
            </w:pPr>
            <w:r w:rsidRPr="00605035">
              <w:rPr>
                <w:rFonts w:ascii="Arial Narrow" w:hAnsi="Arial Narrow"/>
                <w:b/>
                <w:sz w:val="20"/>
              </w:rPr>
              <w:t xml:space="preserve">Fentanyl lozenge </w:t>
            </w:r>
          </w:p>
          <w:p w:rsidR="00EC5D34" w:rsidRPr="00605035" w:rsidRDefault="00EC5D34" w:rsidP="00BB50EC">
            <w:pPr>
              <w:jc w:val="center"/>
              <w:rPr>
                <w:rFonts w:ascii="Arial Narrow" w:hAnsi="Arial Narrow"/>
                <w:b/>
                <w:sz w:val="20"/>
              </w:rPr>
            </w:pPr>
            <w:r w:rsidRPr="00605035">
              <w:rPr>
                <w:rFonts w:ascii="Arial Narrow" w:hAnsi="Arial Narrow"/>
                <w:b/>
                <w:sz w:val="20"/>
              </w:rPr>
              <w:t>(Farrar 1998) n = 89</w:t>
            </w:r>
          </w:p>
        </w:tc>
        <w:tc>
          <w:tcPr>
            <w:tcW w:w="1134" w:type="dxa"/>
            <w:tcBorders>
              <w:top w:val="single" w:sz="4" w:space="0" w:color="auto"/>
              <w:left w:val="single" w:sz="4" w:space="0" w:color="auto"/>
              <w:bottom w:val="single" w:sz="4" w:space="0" w:color="auto"/>
              <w:right w:val="single" w:sz="4" w:space="0" w:color="auto"/>
            </w:tcBorders>
          </w:tcPr>
          <w:p w:rsidR="00EC5D34" w:rsidRPr="00605035" w:rsidRDefault="00EC5D34" w:rsidP="00BB50EC">
            <w:pPr>
              <w:jc w:val="center"/>
              <w:rPr>
                <w:rFonts w:ascii="Arial Narrow" w:hAnsi="Arial Narrow"/>
                <w:b/>
                <w:sz w:val="20"/>
              </w:rPr>
            </w:pPr>
            <w:r w:rsidRPr="00605035">
              <w:rPr>
                <w:rFonts w:ascii="Arial Narrow" w:hAnsi="Arial Narrow"/>
                <w:b/>
                <w:sz w:val="20"/>
              </w:rPr>
              <w:t>Indirect Comparison</w:t>
            </w:r>
          </w:p>
        </w:tc>
      </w:tr>
      <w:tr w:rsidR="00EC5D34" w:rsidRPr="00605035" w:rsidTr="001E6A16">
        <w:trPr>
          <w:cantSplit/>
        </w:trPr>
        <w:tc>
          <w:tcPr>
            <w:tcW w:w="709" w:type="dxa"/>
            <w:vMerge/>
            <w:tcBorders>
              <w:left w:val="single" w:sz="4" w:space="0" w:color="auto"/>
              <w:bottom w:val="single" w:sz="4" w:space="0" w:color="auto"/>
              <w:right w:val="single" w:sz="4" w:space="0" w:color="auto"/>
            </w:tcBorders>
            <w:shd w:val="clear" w:color="auto" w:fill="auto"/>
            <w:vAlign w:val="center"/>
          </w:tcPr>
          <w:p w:rsidR="00EC5D34" w:rsidRPr="00605035" w:rsidRDefault="00EC5D34" w:rsidP="00BB50EC">
            <w:pPr>
              <w:rPr>
                <w:rFonts w:ascii="Arial Narrow" w:hAnsi="Arial Narrow"/>
                <w:sz w:val="20"/>
              </w:rPr>
            </w:pPr>
          </w:p>
        </w:tc>
        <w:tc>
          <w:tcPr>
            <w:tcW w:w="1417" w:type="dxa"/>
            <w:tcBorders>
              <w:left w:val="single" w:sz="4" w:space="0" w:color="auto"/>
              <w:bottom w:val="single" w:sz="4" w:space="0" w:color="auto"/>
              <w:right w:val="single" w:sz="4" w:space="0" w:color="auto"/>
            </w:tcBorders>
            <w:vAlign w:val="center"/>
          </w:tcPr>
          <w:p w:rsidR="00EC5D34" w:rsidRPr="00605035" w:rsidRDefault="00EC5D34" w:rsidP="00BB50EC">
            <w:pPr>
              <w:jc w:val="center"/>
              <w:rPr>
                <w:rFonts w:ascii="Arial Narrow" w:hAnsi="Arial Narrow"/>
                <w:b/>
                <w:sz w:val="20"/>
              </w:rPr>
            </w:pPr>
            <w:r w:rsidRPr="00605035">
              <w:rPr>
                <w:rFonts w:ascii="Arial Narrow" w:hAnsi="Arial Narrow"/>
                <w:b/>
                <w:sz w:val="20"/>
              </w:rPr>
              <w:t xml:space="preserve">Mean diff </w:t>
            </w:r>
          </w:p>
          <w:p w:rsidR="00EC5D34" w:rsidRPr="00605035" w:rsidRDefault="00EC5D34" w:rsidP="00BB50EC">
            <w:pPr>
              <w:jc w:val="center"/>
              <w:rPr>
                <w:rFonts w:ascii="Arial Narrow" w:hAnsi="Arial Narrow"/>
                <w:b/>
                <w:sz w:val="20"/>
              </w:rPr>
            </w:pPr>
            <w:r w:rsidRPr="00605035">
              <w:rPr>
                <w:rFonts w:ascii="Arial Narrow" w:hAnsi="Arial Narrow"/>
                <w:b/>
                <w:sz w:val="20"/>
              </w:rPr>
              <w:t>(95% CI)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D34" w:rsidRPr="00605035" w:rsidRDefault="00EC5D34" w:rsidP="00BB50EC">
            <w:pPr>
              <w:jc w:val="center"/>
              <w:rPr>
                <w:rFonts w:ascii="Arial Narrow" w:hAnsi="Arial Narrow"/>
                <w:b/>
                <w:sz w:val="20"/>
              </w:rPr>
            </w:pPr>
            <w:r w:rsidRPr="00605035">
              <w:rPr>
                <w:rFonts w:ascii="Arial Narrow" w:hAnsi="Arial Narrow"/>
                <w:b/>
                <w:sz w:val="20"/>
              </w:rPr>
              <w:t>Fentanyl</w:t>
            </w:r>
          </w:p>
          <w:p w:rsidR="00EC5D34" w:rsidRPr="00605035" w:rsidRDefault="00EC5D34" w:rsidP="00BB50EC">
            <w:pPr>
              <w:jc w:val="center"/>
              <w:rPr>
                <w:rFonts w:ascii="Arial Narrow" w:hAnsi="Arial Narrow"/>
                <w:b/>
                <w:sz w:val="20"/>
              </w:rPr>
            </w:pPr>
            <w:r w:rsidRPr="00605035">
              <w:rPr>
                <w:rFonts w:ascii="Arial Narrow" w:hAnsi="Arial Narrow"/>
                <w:b/>
                <w:sz w:val="20"/>
              </w:rPr>
              <w:t>Mean (SD)</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D34" w:rsidRPr="00605035" w:rsidRDefault="00EC5D34" w:rsidP="00BB50EC">
            <w:pPr>
              <w:jc w:val="center"/>
              <w:rPr>
                <w:rFonts w:ascii="Arial Narrow" w:hAnsi="Arial Narrow"/>
                <w:b/>
                <w:sz w:val="20"/>
              </w:rPr>
            </w:pPr>
            <w:r w:rsidRPr="00605035">
              <w:rPr>
                <w:rFonts w:ascii="Arial Narrow" w:hAnsi="Arial Narrow"/>
                <w:b/>
                <w:sz w:val="20"/>
              </w:rPr>
              <w:t>Placebo</w:t>
            </w:r>
          </w:p>
          <w:p w:rsidR="00EC5D34" w:rsidRPr="00605035" w:rsidRDefault="00EC5D34" w:rsidP="00BB50EC">
            <w:pPr>
              <w:jc w:val="center"/>
              <w:rPr>
                <w:rFonts w:ascii="Arial Narrow" w:hAnsi="Arial Narrow"/>
                <w:b/>
                <w:sz w:val="20"/>
              </w:rPr>
            </w:pPr>
            <w:r w:rsidRPr="00605035">
              <w:rPr>
                <w:rFonts w:ascii="Arial Narrow" w:hAnsi="Arial Narrow"/>
                <w:b/>
                <w:sz w:val="20"/>
              </w:rPr>
              <w:t>Mean (SD)</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D34" w:rsidRPr="00605035" w:rsidRDefault="00EC5D34" w:rsidP="00BB50EC">
            <w:pPr>
              <w:jc w:val="center"/>
              <w:rPr>
                <w:rFonts w:ascii="Arial Narrow" w:hAnsi="Arial Narrow"/>
                <w:b/>
                <w:sz w:val="20"/>
              </w:rPr>
            </w:pPr>
            <w:r w:rsidRPr="00605035">
              <w:rPr>
                <w:rFonts w:ascii="Arial Narrow" w:hAnsi="Arial Narrow"/>
                <w:b/>
                <w:sz w:val="20"/>
              </w:rPr>
              <w:t>Placebo</w:t>
            </w:r>
          </w:p>
          <w:p w:rsidR="00EC5D34" w:rsidRPr="00605035" w:rsidRDefault="00EC5D34" w:rsidP="00BB50EC">
            <w:pPr>
              <w:jc w:val="center"/>
              <w:rPr>
                <w:rFonts w:ascii="Arial Narrow" w:hAnsi="Arial Narrow"/>
                <w:b/>
                <w:sz w:val="20"/>
              </w:rPr>
            </w:pPr>
            <w:r w:rsidRPr="00605035">
              <w:rPr>
                <w:rFonts w:ascii="Arial Narrow" w:hAnsi="Arial Narrow"/>
                <w:b/>
                <w:sz w:val="20"/>
              </w:rPr>
              <w:t>Mean (SD)</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D34" w:rsidRPr="00605035" w:rsidRDefault="00EC5D34" w:rsidP="00BB50EC">
            <w:pPr>
              <w:jc w:val="center"/>
              <w:rPr>
                <w:rFonts w:ascii="Arial Narrow" w:hAnsi="Arial Narrow"/>
                <w:b/>
                <w:sz w:val="20"/>
              </w:rPr>
            </w:pPr>
            <w:r w:rsidRPr="00605035">
              <w:rPr>
                <w:rFonts w:ascii="Arial Narrow" w:hAnsi="Arial Narrow"/>
                <w:b/>
                <w:sz w:val="20"/>
              </w:rPr>
              <w:t>Fentanyl</w:t>
            </w:r>
          </w:p>
          <w:p w:rsidR="00EC5D34" w:rsidRPr="00605035" w:rsidRDefault="00EC5D34" w:rsidP="00BB50EC">
            <w:pPr>
              <w:jc w:val="center"/>
              <w:rPr>
                <w:rFonts w:ascii="Arial Narrow" w:hAnsi="Arial Narrow"/>
                <w:b/>
                <w:sz w:val="20"/>
              </w:rPr>
            </w:pPr>
            <w:r w:rsidRPr="00605035">
              <w:rPr>
                <w:rFonts w:ascii="Arial Narrow" w:hAnsi="Arial Narrow"/>
                <w:b/>
                <w:sz w:val="20"/>
              </w:rPr>
              <w:t>Mean (SD)</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EC5D34" w:rsidRPr="00605035" w:rsidRDefault="00EC5D34" w:rsidP="00BB50EC">
            <w:pPr>
              <w:jc w:val="center"/>
              <w:rPr>
                <w:rFonts w:ascii="Arial Narrow" w:hAnsi="Arial Narrow"/>
                <w:b/>
                <w:sz w:val="20"/>
              </w:rPr>
            </w:pPr>
            <w:r w:rsidRPr="00605035">
              <w:rPr>
                <w:rFonts w:ascii="Arial Narrow" w:hAnsi="Arial Narrow"/>
                <w:b/>
                <w:sz w:val="20"/>
              </w:rPr>
              <w:t>Mean diff (95% CI)</w:t>
            </w:r>
          </w:p>
        </w:tc>
        <w:tc>
          <w:tcPr>
            <w:tcW w:w="1134" w:type="dxa"/>
            <w:tcBorders>
              <w:top w:val="single" w:sz="4" w:space="0" w:color="auto"/>
              <w:left w:val="single" w:sz="4" w:space="0" w:color="auto"/>
              <w:bottom w:val="single" w:sz="4" w:space="0" w:color="auto"/>
              <w:right w:val="single" w:sz="4" w:space="0" w:color="auto"/>
            </w:tcBorders>
          </w:tcPr>
          <w:p w:rsidR="00EC5D34" w:rsidRPr="00605035" w:rsidRDefault="00EC5D34" w:rsidP="00BB50EC">
            <w:pPr>
              <w:jc w:val="center"/>
              <w:rPr>
                <w:rFonts w:ascii="Arial Narrow" w:hAnsi="Arial Narrow"/>
                <w:b/>
                <w:sz w:val="20"/>
              </w:rPr>
            </w:pPr>
            <w:r w:rsidRPr="00605035">
              <w:rPr>
                <w:rFonts w:ascii="Arial Narrow" w:hAnsi="Arial Narrow"/>
                <w:b/>
                <w:sz w:val="20"/>
              </w:rPr>
              <w:t>Mean difference (95%CI)</w:t>
            </w:r>
          </w:p>
        </w:tc>
      </w:tr>
      <w:tr w:rsidR="00EC5D34" w:rsidRPr="00C66F0A" w:rsidTr="001E6A16">
        <w:trPr>
          <w:cantSplit/>
        </w:trPr>
        <w:tc>
          <w:tcPr>
            <w:tcW w:w="8363" w:type="dxa"/>
            <w:gridSpan w:val="10"/>
            <w:tcBorders>
              <w:top w:val="single" w:sz="4" w:space="0" w:color="auto"/>
              <w:left w:val="single" w:sz="4" w:space="0" w:color="auto"/>
              <w:bottom w:val="single" w:sz="4" w:space="0" w:color="auto"/>
            </w:tcBorders>
          </w:tcPr>
          <w:p w:rsidR="00EC5D34" w:rsidRPr="00C66F0A" w:rsidRDefault="00EC5D34" w:rsidP="00BB50EC">
            <w:pPr>
              <w:jc w:val="left"/>
              <w:rPr>
                <w:rFonts w:ascii="Arial Narrow" w:hAnsi="Arial Narrow"/>
                <w:b/>
                <w:sz w:val="20"/>
              </w:rPr>
            </w:pPr>
            <w:r w:rsidRPr="00C66F0A">
              <w:rPr>
                <w:rFonts w:ascii="Arial Narrow" w:hAnsi="Arial Narrow"/>
                <w:b/>
                <w:sz w:val="20"/>
              </w:rPr>
              <w:t>Pain intensity difference (PID, using 11-point rating scale)</w:t>
            </w:r>
          </w:p>
        </w:tc>
      </w:tr>
      <w:tr w:rsidR="00EC5D34" w:rsidRPr="00C66F0A" w:rsidTr="001E6A1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rPr>
                <w:rFonts w:ascii="Arial Narrow" w:hAnsi="Arial Narrow"/>
                <w:sz w:val="20"/>
              </w:rPr>
            </w:pPr>
            <w:r w:rsidRPr="00C66F0A">
              <w:rPr>
                <w:rFonts w:ascii="Arial Narrow" w:hAnsi="Arial Narrow"/>
                <w:sz w:val="20"/>
              </w:rPr>
              <w:t>15 min</w:t>
            </w:r>
          </w:p>
        </w:tc>
        <w:tc>
          <w:tcPr>
            <w:tcW w:w="1417" w:type="dxa"/>
            <w:tcBorders>
              <w:top w:val="single" w:sz="4" w:space="0" w:color="auto"/>
              <w:left w:val="single" w:sz="4" w:space="0" w:color="auto"/>
              <w:bottom w:val="single" w:sz="4" w:space="0" w:color="auto"/>
              <w:right w:val="single" w:sz="4" w:space="0" w:color="auto"/>
            </w:tcBorders>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0.55 (0.23, 0.87)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2.0 (1.4)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1.5 (1.6)</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1.1 (NR)</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1.7 (NR)</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jc w:val="center"/>
              <w:rPr>
                <w:rFonts w:ascii="Arial Narrow" w:hAnsi="Arial Narrow"/>
                <w:sz w:val="20"/>
              </w:rPr>
            </w:pPr>
            <w:r w:rsidRPr="00C66F0A">
              <w:rPr>
                <w:rFonts w:ascii="Arial Narrow" w:hAnsi="Arial Narrow"/>
                <w:sz w:val="20"/>
              </w:rPr>
              <w:t>0.58 (0.3, 0.9)</w:t>
            </w:r>
          </w:p>
        </w:tc>
        <w:tc>
          <w:tcPr>
            <w:tcW w:w="1134" w:type="dxa"/>
            <w:tcBorders>
              <w:top w:val="single" w:sz="4" w:space="0" w:color="auto"/>
              <w:left w:val="single" w:sz="4" w:space="0" w:color="auto"/>
              <w:bottom w:val="single" w:sz="4" w:space="0" w:color="auto"/>
              <w:right w:val="single" w:sz="4" w:space="0" w:color="auto"/>
            </w:tcBorders>
            <w:vAlign w:val="center"/>
          </w:tcPr>
          <w:p w:rsidR="00EC5D34" w:rsidRPr="00C66F0A" w:rsidRDefault="00EC5D34" w:rsidP="00BB50EC">
            <w:pPr>
              <w:jc w:val="center"/>
              <w:rPr>
                <w:rFonts w:ascii="Arial Narrow" w:hAnsi="Arial Narrow"/>
                <w:sz w:val="20"/>
              </w:rPr>
            </w:pPr>
            <w:r w:rsidRPr="00C66F0A">
              <w:rPr>
                <w:rFonts w:ascii="Arial Narrow" w:hAnsi="Arial Narrow"/>
                <w:sz w:val="20"/>
              </w:rPr>
              <w:t>0 (-0.5, 0.5)</w:t>
            </w:r>
          </w:p>
        </w:tc>
      </w:tr>
      <w:tr w:rsidR="00EC5D34" w:rsidRPr="00C66F0A" w:rsidTr="001E6A1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D34" w:rsidRPr="00C66F0A" w:rsidRDefault="00EC5D34" w:rsidP="00BB50EC">
            <w:pPr>
              <w:rPr>
                <w:rFonts w:ascii="Arial Narrow" w:hAnsi="Arial Narrow"/>
                <w:sz w:val="20"/>
              </w:rPr>
            </w:pPr>
            <w:r w:rsidRPr="00C66F0A">
              <w:rPr>
                <w:rFonts w:ascii="Arial Narrow" w:hAnsi="Arial Narrow"/>
                <w:sz w:val="20"/>
              </w:rPr>
              <w:t>30 min</w:t>
            </w:r>
          </w:p>
        </w:tc>
        <w:tc>
          <w:tcPr>
            <w:tcW w:w="1417" w:type="dxa"/>
            <w:tcBorders>
              <w:top w:val="single" w:sz="4" w:space="0" w:color="auto"/>
              <w:left w:val="single" w:sz="4" w:space="0" w:color="auto"/>
              <w:bottom w:val="single" w:sz="4" w:space="0" w:color="auto"/>
              <w:right w:val="single" w:sz="4" w:space="0" w:color="auto"/>
            </w:tcBorders>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0.87 (0.43, 1.30)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D34" w:rsidRPr="00C66F0A" w:rsidRDefault="00EC5D34" w:rsidP="00BB50EC">
            <w:pPr>
              <w:snapToGrid w:val="0"/>
              <w:jc w:val="center"/>
              <w:rPr>
                <w:rFonts w:ascii="Arial Narrow" w:hAnsi="Arial Narrow"/>
                <w:sz w:val="20"/>
              </w:rPr>
            </w:pPr>
            <w:r w:rsidRPr="00C66F0A">
              <w:rPr>
                <w:rFonts w:ascii="Arial Narrow" w:hAnsi="Arial Narrow"/>
                <w:sz w:val="20"/>
              </w:rPr>
              <w:t>2.9 (1.7)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2.0 (2.1)</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1.6 (NR)</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2.5 (NR)</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jc w:val="center"/>
              <w:rPr>
                <w:rFonts w:ascii="Arial Narrow" w:hAnsi="Arial Narrow"/>
                <w:sz w:val="20"/>
              </w:rPr>
            </w:pPr>
            <w:r w:rsidRPr="00C66F0A">
              <w:rPr>
                <w:rFonts w:ascii="Arial Narrow" w:hAnsi="Arial Narrow"/>
                <w:sz w:val="20"/>
              </w:rPr>
              <w:t>0.87 (0.5, 1.2)</w:t>
            </w:r>
          </w:p>
        </w:tc>
        <w:tc>
          <w:tcPr>
            <w:tcW w:w="1134" w:type="dxa"/>
            <w:tcBorders>
              <w:top w:val="single" w:sz="4" w:space="0" w:color="auto"/>
              <w:left w:val="single" w:sz="4" w:space="0" w:color="auto"/>
              <w:bottom w:val="single" w:sz="4" w:space="0" w:color="auto"/>
              <w:right w:val="single" w:sz="4" w:space="0" w:color="auto"/>
            </w:tcBorders>
            <w:vAlign w:val="center"/>
          </w:tcPr>
          <w:p w:rsidR="00EC5D34" w:rsidRPr="00C66F0A" w:rsidRDefault="00EC5D34" w:rsidP="00BB50EC">
            <w:pPr>
              <w:jc w:val="center"/>
              <w:rPr>
                <w:rFonts w:ascii="Arial Narrow" w:hAnsi="Arial Narrow"/>
                <w:sz w:val="20"/>
              </w:rPr>
            </w:pPr>
            <w:r w:rsidRPr="00C66F0A">
              <w:rPr>
                <w:rFonts w:ascii="Arial Narrow" w:hAnsi="Arial Narrow"/>
                <w:sz w:val="20"/>
              </w:rPr>
              <w:t>0 (-0.6, 0.6)</w:t>
            </w:r>
          </w:p>
        </w:tc>
      </w:tr>
      <w:tr w:rsidR="00EC5D34" w:rsidRPr="00C66F0A" w:rsidTr="001E6A1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D34" w:rsidRPr="00C66F0A" w:rsidRDefault="00EC5D34" w:rsidP="00BB50EC">
            <w:pPr>
              <w:rPr>
                <w:rFonts w:ascii="Arial Narrow" w:hAnsi="Arial Narrow"/>
                <w:sz w:val="20"/>
              </w:rPr>
            </w:pPr>
            <w:r w:rsidRPr="00C66F0A">
              <w:rPr>
                <w:rFonts w:ascii="Arial Narrow" w:hAnsi="Arial Narrow"/>
                <w:sz w:val="20"/>
              </w:rPr>
              <w:t>60 min</w:t>
            </w:r>
          </w:p>
        </w:tc>
        <w:tc>
          <w:tcPr>
            <w:tcW w:w="1417" w:type="dxa"/>
            <w:tcBorders>
              <w:top w:val="single" w:sz="4" w:space="0" w:color="auto"/>
              <w:left w:val="single" w:sz="4" w:space="0" w:color="auto"/>
              <w:bottom w:val="single" w:sz="4" w:space="0" w:color="auto"/>
              <w:right w:val="single" w:sz="4" w:space="0" w:color="auto"/>
            </w:tcBorders>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0.98 (0.46, 1.50)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D34" w:rsidRPr="00C66F0A" w:rsidRDefault="00EC5D34" w:rsidP="00BB50EC">
            <w:pPr>
              <w:snapToGrid w:val="0"/>
              <w:jc w:val="center"/>
              <w:rPr>
                <w:rFonts w:ascii="Arial Narrow" w:hAnsi="Arial Narrow"/>
                <w:sz w:val="20"/>
              </w:rPr>
            </w:pPr>
            <w:r w:rsidRPr="00C66F0A">
              <w:rPr>
                <w:rFonts w:ascii="Arial Narrow" w:hAnsi="Arial Narrow"/>
                <w:sz w:val="20"/>
              </w:rPr>
              <w:t>3.4 (1.9)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2.5 (2.4)</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2.8 (NR)</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3.5 (NR)</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jc w:val="center"/>
              <w:rPr>
                <w:rFonts w:ascii="Arial Narrow" w:hAnsi="Arial Narrow"/>
                <w:sz w:val="20"/>
              </w:rPr>
            </w:pPr>
            <w:r w:rsidRPr="00C66F0A">
              <w:rPr>
                <w:rFonts w:ascii="Arial Narrow" w:hAnsi="Arial Narrow"/>
                <w:sz w:val="20"/>
              </w:rPr>
              <w:t>0.66 (0.2, 1.1)</w:t>
            </w:r>
          </w:p>
        </w:tc>
        <w:tc>
          <w:tcPr>
            <w:tcW w:w="1134" w:type="dxa"/>
            <w:tcBorders>
              <w:top w:val="single" w:sz="4" w:space="0" w:color="auto"/>
              <w:left w:val="single" w:sz="4" w:space="0" w:color="auto"/>
              <w:bottom w:val="single" w:sz="4" w:space="0" w:color="auto"/>
              <w:right w:val="single" w:sz="4" w:space="0" w:color="auto"/>
            </w:tcBorders>
            <w:vAlign w:val="center"/>
          </w:tcPr>
          <w:p w:rsidR="00EC5D34" w:rsidRPr="00C66F0A" w:rsidRDefault="00EC5D34" w:rsidP="00BB50EC">
            <w:pPr>
              <w:jc w:val="center"/>
              <w:rPr>
                <w:rFonts w:ascii="Arial Narrow" w:hAnsi="Arial Narrow"/>
                <w:sz w:val="20"/>
              </w:rPr>
            </w:pPr>
            <w:r w:rsidRPr="00C66F0A">
              <w:rPr>
                <w:rFonts w:ascii="Arial Narrow" w:hAnsi="Arial Narrow"/>
                <w:sz w:val="20"/>
              </w:rPr>
              <w:t>0.3 (-0.4, 1.1)</w:t>
            </w:r>
          </w:p>
        </w:tc>
      </w:tr>
      <w:tr w:rsidR="00EC5D34" w:rsidRPr="00C66F0A" w:rsidTr="001E6A16">
        <w:trPr>
          <w:cantSplit/>
        </w:trPr>
        <w:tc>
          <w:tcPr>
            <w:tcW w:w="8363" w:type="dxa"/>
            <w:gridSpan w:val="10"/>
            <w:tcBorders>
              <w:top w:val="single" w:sz="4" w:space="0" w:color="auto"/>
              <w:left w:val="single" w:sz="4" w:space="0" w:color="auto"/>
              <w:bottom w:val="single" w:sz="4" w:space="0" w:color="auto"/>
            </w:tcBorders>
          </w:tcPr>
          <w:p w:rsidR="00EC5D34" w:rsidRPr="00C66F0A" w:rsidRDefault="00EC5D34" w:rsidP="00BB50EC">
            <w:pPr>
              <w:jc w:val="left"/>
              <w:rPr>
                <w:rFonts w:ascii="Arial Narrow" w:hAnsi="Arial Narrow"/>
                <w:b/>
                <w:sz w:val="20"/>
              </w:rPr>
            </w:pPr>
            <w:r w:rsidRPr="00C66F0A">
              <w:rPr>
                <w:rFonts w:ascii="Arial Narrow" w:hAnsi="Arial Narrow"/>
                <w:b/>
                <w:sz w:val="20"/>
              </w:rPr>
              <w:t>Pain relief (PR, using 5-point rating scale)</w:t>
            </w:r>
          </w:p>
        </w:tc>
      </w:tr>
      <w:tr w:rsidR="00EC5D34" w:rsidRPr="00C66F0A" w:rsidTr="001E6A1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rPr>
                <w:rFonts w:ascii="Arial Narrow" w:hAnsi="Arial Narrow"/>
                <w:sz w:val="20"/>
              </w:rPr>
            </w:pPr>
            <w:r w:rsidRPr="00C66F0A">
              <w:rPr>
                <w:rFonts w:ascii="Arial Narrow" w:hAnsi="Arial Narrow"/>
                <w:sz w:val="20"/>
              </w:rPr>
              <w:t>15 min</w:t>
            </w:r>
          </w:p>
        </w:tc>
        <w:tc>
          <w:tcPr>
            <w:tcW w:w="1417" w:type="dxa"/>
            <w:tcBorders>
              <w:top w:val="single" w:sz="4" w:space="0" w:color="auto"/>
              <w:left w:val="single" w:sz="4" w:space="0" w:color="auto"/>
              <w:bottom w:val="single" w:sz="4" w:space="0" w:color="auto"/>
              <w:right w:val="single" w:sz="4" w:space="0" w:color="auto"/>
            </w:tcBorders>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0.36 (0.16, 0.56)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1.4 (0.7)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1.0 (0.8)</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1.0 (NR)</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1.5 (NR)</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jc w:val="center"/>
              <w:rPr>
                <w:rFonts w:ascii="Arial Narrow" w:hAnsi="Arial Narrow"/>
                <w:sz w:val="20"/>
              </w:rPr>
            </w:pPr>
            <w:r w:rsidRPr="00C66F0A">
              <w:rPr>
                <w:rFonts w:ascii="Arial Narrow" w:hAnsi="Arial Narrow"/>
                <w:sz w:val="20"/>
              </w:rPr>
              <w:t>0.47 (0.2, 0.7)</w:t>
            </w:r>
          </w:p>
        </w:tc>
        <w:tc>
          <w:tcPr>
            <w:tcW w:w="1134" w:type="dxa"/>
            <w:tcBorders>
              <w:top w:val="single" w:sz="4" w:space="0" w:color="auto"/>
              <w:left w:val="single" w:sz="4" w:space="0" w:color="auto"/>
              <w:bottom w:val="single" w:sz="4" w:space="0" w:color="auto"/>
              <w:right w:val="single" w:sz="4" w:space="0" w:color="auto"/>
            </w:tcBorders>
            <w:vAlign w:val="center"/>
          </w:tcPr>
          <w:p w:rsidR="00EC5D34" w:rsidRPr="00C66F0A" w:rsidRDefault="00EC5D34" w:rsidP="00BB50EC">
            <w:pPr>
              <w:jc w:val="center"/>
              <w:rPr>
                <w:rFonts w:ascii="Arial Narrow" w:hAnsi="Arial Narrow"/>
                <w:sz w:val="20"/>
              </w:rPr>
            </w:pPr>
            <w:r w:rsidRPr="00C66F0A">
              <w:rPr>
                <w:rFonts w:ascii="Arial Narrow" w:hAnsi="Arial Narrow"/>
                <w:sz w:val="20"/>
              </w:rPr>
              <w:t>-0.1 (-0.5, 0.2)</w:t>
            </w:r>
          </w:p>
        </w:tc>
      </w:tr>
      <w:tr w:rsidR="00EC5D34" w:rsidRPr="00C66F0A" w:rsidTr="001E6A1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D34" w:rsidRPr="00C66F0A" w:rsidRDefault="00EC5D34" w:rsidP="00BB50EC">
            <w:pPr>
              <w:rPr>
                <w:rFonts w:ascii="Arial Narrow" w:hAnsi="Arial Narrow"/>
                <w:sz w:val="20"/>
              </w:rPr>
            </w:pPr>
            <w:r w:rsidRPr="00C66F0A">
              <w:rPr>
                <w:rFonts w:ascii="Arial Narrow" w:hAnsi="Arial Narrow"/>
                <w:sz w:val="20"/>
              </w:rPr>
              <w:t>30 min</w:t>
            </w:r>
          </w:p>
        </w:tc>
        <w:tc>
          <w:tcPr>
            <w:tcW w:w="1417" w:type="dxa"/>
            <w:tcBorders>
              <w:top w:val="single" w:sz="4" w:space="0" w:color="auto"/>
              <w:left w:val="single" w:sz="4" w:space="0" w:color="auto"/>
              <w:bottom w:val="single" w:sz="4" w:space="0" w:color="auto"/>
              <w:right w:val="single" w:sz="4" w:space="0" w:color="auto"/>
            </w:tcBorders>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0.54 (0.27, 0.82)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D34" w:rsidRPr="00C66F0A" w:rsidRDefault="00EC5D34" w:rsidP="00BB50EC">
            <w:pPr>
              <w:snapToGrid w:val="0"/>
              <w:jc w:val="center"/>
              <w:rPr>
                <w:rFonts w:ascii="Arial Narrow" w:hAnsi="Arial Narrow"/>
                <w:sz w:val="20"/>
              </w:rPr>
            </w:pPr>
            <w:r w:rsidRPr="00C66F0A">
              <w:rPr>
                <w:rFonts w:ascii="Arial Narrow" w:hAnsi="Arial Narrow"/>
                <w:sz w:val="20"/>
              </w:rPr>
              <w:t>1.8 (0.7)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1.3 (1.0)</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1.2 (NR)</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1.9 (NR)</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jc w:val="center"/>
              <w:rPr>
                <w:rFonts w:ascii="Arial Narrow" w:hAnsi="Arial Narrow"/>
                <w:sz w:val="20"/>
              </w:rPr>
            </w:pPr>
            <w:r w:rsidRPr="00C66F0A">
              <w:rPr>
                <w:rFonts w:ascii="Arial Narrow" w:hAnsi="Arial Narrow"/>
                <w:sz w:val="20"/>
              </w:rPr>
              <w:t>0.66 (0.4, 0.9)</w:t>
            </w:r>
          </w:p>
        </w:tc>
        <w:tc>
          <w:tcPr>
            <w:tcW w:w="1134" w:type="dxa"/>
            <w:tcBorders>
              <w:top w:val="single" w:sz="4" w:space="0" w:color="auto"/>
              <w:left w:val="single" w:sz="4" w:space="0" w:color="auto"/>
              <w:bottom w:val="single" w:sz="4" w:space="0" w:color="auto"/>
              <w:right w:val="single" w:sz="4" w:space="0" w:color="auto"/>
            </w:tcBorders>
            <w:vAlign w:val="center"/>
          </w:tcPr>
          <w:p w:rsidR="00EC5D34" w:rsidRPr="00C66F0A" w:rsidRDefault="00EC5D34" w:rsidP="00BB50EC">
            <w:pPr>
              <w:jc w:val="center"/>
              <w:rPr>
                <w:rFonts w:ascii="Arial Narrow" w:hAnsi="Arial Narrow"/>
                <w:sz w:val="20"/>
              </w:rPr>
            </w:pPr>
            <w:r w:rsidRPr="00C66F0A">
              <w:rPr>
                <w:rFonts w:ascii="Arial Narrow" w:hAnsi="Arial Narrow"/>
                <w:sz w:val="20"/>
              </w:rPr>
              <w:t>-0.1 (-0.5, 0.3)</w:t>
            </w:r>
          </w:p>
        </w:tc>
      </w:tr>
      <w:tr w:rsidR="00EC5D34" w:rsidRPr="00C66F0A" w:rsidTr="001E6A16">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D34" w:rsidRPr="00C66F0A" w:rsidRDefault="00EC5D34" w:rsidP="00BB50EC">
            <w:pPr>
              <w:rPr>
                <w:rFonts w:ascii="Arial Narrow" w:hAnsi="Arial Narrow"/>
                <w:sz w:val="20"/>
              </w:rPr>
            </w:pPr>
            <w:r w:rsidRPr="00C66F0A">
              <w:rPr>
                <w:rFonts w:ascii="Arial Narrow" w:hAnsi="Arial Narrow"/>
                <w:sz w:val="20"/>
              </w:rPr>
              <w:t>60 min</w:t>
            </w:r>
          </w:p>
        </w:tc>
        <w:tc>
          <w:tcPr>
            <w:tcW w:w="1417" w:type="dxa"/>
            <w:tcBorders>
              <w:top w:val="single" w:sz="4" w:space="0" w:color="auto"/>
              <w:left w:val="single" w:sz="4" w:space="0" w:color="auto"/>
              <w:bottom w:val="single" w:sz="4" w:space="0" w:color="auto"/>
              <w:right w:val="single" w:sz="4" w:space="0" w:color="auto"/>
            </w:tcBorders>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0.53 (0.20, 0.86)</w:t>
            </w:r>
          </w:p>
        </w:tc>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5D34" w:rsidRPr="00C66F0A" w:rsidRDefault="00EC5D34" w:rsidP="00BB50EC">
            <w:pPr>
              <w:snapToGrid w:val="0"/>
              <w:jc w:val="center"/>
              <w:rPr>
                <w:rFonts w:ascii="Arial Narrow" w:hAnsi="Arial Narrow"/>
                <w:sz w:val="20"/>
              </w:rPr>
            </w:pPr>
            <w:r w:rsidRPr="00C66F0A">
              <w:rPr>
                <w:rFonts w:ascii="Arial Narrow" w:hAnsi="Arial Narrow"/>
                <w:sz w:val="20"/>
              </w:rPr>
              <w:t>2.0 (0.9)</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1.5 (1.2)</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1.7 (NR)</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snapToGrid w:val="0"/>
              <w:jc w:val="center"/>
              <w:rPr>
                <w:rFonts w:ascii="Arial Narrow" w:hAnsi="Arial Narrow"/>
                <w:sz w:val="20"/>
              </w:rPr>
            </w:pPr>
            <w:r w:rsidRPr="00C66F0A">
              <w:rPr>
                <w:rFonts w:ascii="Arial Narrow" w:hAnsi="Arial Narrow"/>
                <w:sz w:val="20"/>
              </w:rPr>
              <w:t>2.3 (NR)</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EC5D34" w:rsidRPr="00C66F0A" w:rsidRDefault="00EC5D34" w:rsidP="00BB50EC">
            <w:pPr>
              <w:jc w:val="center"/>
              <w:rPr>
                <w:rFonts w:ascii="Arial Narrow" w:hAnsi="Arial Narrow"/>
                <w:sz w:val="20"/>
              </w:rPr>
            </w:pPr>
            <w:r w:rsidRPr="00C66F0A">
              <w:rPr>
                <w:rFonts w:ascii="Arial Narrow" w:hAnsi="Arial Narrow"/>
                <w:sz w:val="20"/>
              </w:rPr>
              <w:t>0.61 (0.3, 0.9)</w:t>
            </w:r>
          </w:p>
        </w:tc>
        <w:tc>
          <w:tcPr>
            <w:tcW w:w="1134" w:type="dxa"/>
            <w:tcBorders>
              <w:top w:val="single" w:sz="4" w:space="0" w:color="auto"/>
              <w:left w:val="single" w:sz="4" w:space="0" w:color="auto"/>
              <w:bottom w:val="single" w:sz="4" w:space="0" w:color="auto"/>
              <w:right w:val="single" w:sz="4" w:space="0" w:color="auto"/>
            </w:tcBorders>
            <w:vAlign w:val="center"/>
          </w:tcPr>
          <w:p w:rsidR="00EC5D34" w:rsidRPr="00C66F0A" w:rsidRDefault="00EC5D34" w:rsidP="00BB50EC">
            <w:pPr>
              <w:jc w:val="center"/>
              <w:rPr>
                <w:rFonts w:ascii="Arial Narrow" w:hAnsi="Arial Narrow"/>
                <w:sz w:val="20"/>
              </w:rPr>
            </w:pPr>
            <w:r w:rsidRPr="00C66F0A">
              <w:rPr>
                <w:rFonts w:ascii="Arial Narrow" w:hAnsi="Arial Narrow"/>
                <w:sz w:val="20"/>
              </w:rPr>
              <w:t>-0.1 (-0.5, 0.4)</w:t>
            </w:r>
          </w:p>
        </w:tc>
      </w:tr>
    </w:tbl>
    <w:p w:rsidR="00EC5D34" w:rsidRPr="00605035" w:rsidRDefault="00EC5D34" w:rsidP="00D23902">
      <w:pPr>
        <w:pStyle w:val="COMBody"/>
        <w:ind w:left="709"/>
        <w:rPr>
          <w:rFonts w:ascii="Arial Narrow" w:hAnsi="Arial Narrow"/>
          <w:sz w:val="18"/>
          <w:szCs w:val="18"/>
          <w:lang w:val="en-AU"/>
        </w:rPr>
      </w:pPr>
      <w:r w:rsidRPr="00605035">
        <w:rPr>
          <w:rFonts w:ascii="Arial Narrow" w:hAnsi="Arial Narrow"/>
          <w:sz w:val="18"/>
          <w:szCs w:val="18"/>
          <w:lang w:val="en-AU"/>
        </w:rPr>
        <w:t xml:space="preserve">Abbreviations: CI, confidence intervals; </w:t>
      </w:r>
      <w:proofErr w:type="gramStart"/>
      <w:r w:rsidRPr="00605035">
        <w:rPr>
          <w:rFonts w:ascii="Arial Narrow" w:hAnsi="Arial Narrow"/>
          <w:sz w:val="18"/>
          <w:szCs w:val="18"/>
          <w:lang w:val="en-AU"/>
        </w:rPr>
        <w:t>Mean</w:t>
      </w:r>
      <w:proofErr w:type="gramEnd"/>
      <w:r w:rsidRPr="00605035">
        <w:rPr>
          <w:rFonts w:ascii="Arial Narrow" w:hAnsi="Arial Narrow"/>
          <w:sz w:val="18"/>
          <w:szCs w:val="18"/>
          <w:lang w:val="en-AU"/>
        </w:rPr>
        <w:t xml:space="preserve"> diff, mean difference; min, minutes; NR, not reported; SD, standard deviation</w:t>
      </w:r>
    </w:p>
    <w:p w:rsidR="00EC5D34" w:rsidRPr="00605035" w:rsidRDefault="00EC5D34" w:rsidP="00D23902">
      <w:pPr>
        <w:widowControl/>
        <w:ind w:left="709"/>
        <w:rPr>
          <w:szCs w:val="22"/>
        </w:rPr>
      </w:pPr>
      <w:r w:rsidRPr="00605035">
        <w:rPr>
          <w:rFonts w:ascii="Arial Narrow" w:hAnsi="Arial Narrow"/>
          <w:sz w:val="18"/>
          <w:szCs w:val="18"/>
        </w:rPr>
        <w:lastRenderedPageBreak/>
        <w:t xml:space="preserve">Source: Table B-38, p95; Table B-39, p96; Table B-40, p97 of the </w:t>
      </w:r>
      <w:r w:rsidR="00260E2E" w:rsidRPr="00605035">
        <w:rPr>
          <w:rFonts w:ascii="Arial Narrow" w:hAnsi="Arial Narrow"/>
          <w:sz w:val="18"/>
          <w:szCs w:val="18"/>
        </w:rPr>
        <w:t>res</w:t>
      </w:r>
      <w:r w:rsidRPr="00605035">
        <w:rPr>
          <w:rFonts w:ascii="Arial Narrow" w:hAnsi="Arial Narrow"/>
          <w:sz w:val="18"/>
          <w:szCs w:val="18"/>
        </w:rPr>
        <w:t>ubmission</w:t>
      </w:r>
    </w:p>
    <w:p w:rsidR="005419E0" w:rsidRPr="00605035" w:rsidRDefault="005419E0" w:rsidP="00A602DD">
      <w:pPr>
        <w:widowControl/>
        <w:rPr>
          <w:szCs w:val="22"/>
        </w:rPr>
      </w:pPr>
    </w:p>
    <w:p w:rsidR="004E25EC" w:rsidRPr="00605035" w:rsidRDefault="00310CC2" w:rsidP="007E1DC9">
      <w:pPr>
        <w:pStyle w:val="ListParagraph"/>
        <w:widowControl/>
        <w:numPr>
          <w:ilvl w:val="1"/>
          <w:numId w:val="3"/>
        </w:numPr>
      </w:pPr>
      <w:r w:rsidRPr="00605035">
        <w:t xml:space="preserve">The </w:t>
      </w:r>
      <w:r w:rsidR="00260E2E" w:rsidRPr="00605035">
        <w:t>res</w:t>
      </w:r>
      <w:r w:rsidRPr="00605035">
        <w:t>ubmission also presented the results of a non-randomised double blind study comparing fentanyl sublingual with immediate-release oral morphine in patients with breakthrough cancer pain</w:t>
      </w:r>
      <w:r w:rsidR="004E25EC" w:rsidRPr="00605035">
        <w:t xml:space="preserve"> (Velazquez Rivera 2014)</w:t>
      </w:r>
      <w:r w:rsidRPr="00605035">
        <w:t>.</w:t>
      </w:r>
      <w:r w:rsidR="004E25EC" w:rsidRPr="00605035">
        <w:t xml:space="preserve"> Outcomes were reported as difference in pain intensity from baseline on days 3,7,15 and 30. Results from this study were unable to be interpreted in the context of breakthrough cancer pain relief. </w:t>
      </w:r>
      <w:r w:rsidR="005419E0" w:rsidRPr="00605035">
        <w:t>For each assessment day, it is unclear which patients were included, what episodes were counted, and which time point was used to measure pain intensity.</w:t>
      </w:r>
    </w:p>
    <w:p w:rsidR="004E25EC" w:rsidRPr="00605035" w:rsidRDefault="004E25EC" w:rsidP="004E25EC">
      <w:pPr>
        <w:widowControl/>
      </w:pPr>
    </w:p>
    <w:p w:rsidR="00B60939" w:rsidRPr="00605035" w:rsidRDefault="00B60939" w:rsidP="00497F10">
      <w:pPr>
        <w:pStyle w:val="Heading2"/>
      </w:pPr>
      <w:bookmarkStart w:id="9" w:name="_Toc419711188"/>
      <w:r w:rsidRPr="00605035">
        <w:t>Comparative harms</w:t>
      </w:r>
      <w:bookmarkEnd w:id="9"/>
    </w:p>
    <w:p w:rsidR="004E25EC" w:rsidRPr="00605035" w:rsidRDefault="004E25EC" w:rsidP="004E25EC">
      <w:pPr>
        <w:widowControl/>
        <w:rPr>
          <w:szCs w:val="22"/>
        </w:rPr>
      </w:pPr>
    </w:p>
    <w:p w:rsidR="00D23902" w:rsidRPr="00C66F0A" w:rsidRDefault="00A505AB" w:rsidP="007E1DC9">
      <w:pPr>
        <w:pStyle w:val="ListParagraph"/>
        <w:widowControl/>
        <w:numPr>
          <w:ilvl w:val="1"/>
          <w:numId w:val="3"/>
        </w:numPr>
        <w:rPr>
          <w:szCs w:val="22"/>
        </w:rPr>
      </w:pPr>
      <w:r w:rsidRPr="00605035">
        <w:t xml:space="preserve">Adverse events from trials EN005 and Farrar 1998 were not re-presented from the previous submission. </w:t>
      </w:r>
      <w:r w:rsidR="00D23902" w:rsidRPr="00605035">
        <w:t>Long-term safety</w:t>
      </w:r>
      <w:r w:rsidRPr="00605035">
        <w:t xml:space="preserve"> data presented from </w:t>
      </w:r>
      <w:r w:rsidR="00D23902" w:rsidRPr="00605035">
        <w:t xml:space="preserve">the </w:t>
      </w:r>
      <w:r w:rsidRPr="00605035">
        <w:t xml:space="preserve">fentanyl sublingual trial EN007 and fentanyl lozenge trial Payne 2001 were similar and consistent with </w:t>
      </w:r>
      <w:r w:rsidRPr="00C66F0A">
        <w:t xml:space="preserve">the established safety profile of fentanyl </w:t>
      </w:r>
      <w:r w:rsidRPr="00C66F0A">
        <w:rPr>
          <w:bCs/>
        </w:rPr>
        <w:t>(e.g. nausea, vomiting, constipation, somnolence, dizziness, and headache)</w:t>
      </w:r>
      <w:r w:rsidRPr="00C66F0A">
        <w:t xml:space="preserve">. Safety data reported in the fentanyl sublingual vs </w:t>
      </w:r>
      <w:r w:rsidR="009B3F3B" w:rsidRPr="00C66F0A">
        <w:t>immediate-release</w:t>
      </w:r>
      <w:r w:rsidRPr="00C66F0A">
        <w:t xml:space="preserve"> morphine study (Velazquez Rivera 2014) were also consistent with the </w:t>
      </w:r>
      <w:r w:rsidR="000E7E80" w:rsidRPr="00C66F0A">
        <w:t xml:space="preserve">established </w:t>
      </w:r>
      <w:r w:rsidRPr="00C66F0A">
        <w:t>safety profile of other opioid agents.</w:t>
      </w:r>
      <w:r w:rsidR="00D23902" w:rsidRPr="00C66F0A">
        <w:t xml:space="preserve"> </w:t>
      </w:r>
    </w:p>
    <w:p w:rsidR="00D23902" w:rsidRPr="00C66F0A" w:rsidRDefault="00D23902" w:rsidP="00D23902">
      <w:pPr>
        <w:widowControl/>
        <w:rPr>
          <w:szCs w:val="22"/>
        </w:rPr>
      </w:pPr>
    </w:p>
    <w:p w:rsidR="00B60939" w:rsidRPr="00C66F0A" w:rsidRDefault="00D23902" w:rsidP="007E1DC9">
      <w:pPr>
        <w:pStyle w:val="ListParagraph"/>
        <w:widowControl/>
        <w:numPr>
          <w:ilvl w:val="1"/>
          <w:numId w:val="3"/>
        </w:numPr>
        <w:rPr>
          <w:szCs w:val="22"/>
        </w:rPr>
      </w:pPr>
      <w:r w:rsidRPr="00C66F0A">
        <w:t>In regard to adverse events related to the mode of administration, both fentanyl sublingual tablets (</w:t>
      </w:r>
      <w:r w:rsidR="002605CA">
        <w:rPr>
          <w:noProof/>
          <w:color w:val="000000"/>
          <w:highlight w:val="black"/>
        </w:rPr>
        <w:t>''''''</w:t>
      </w:r>
      <w:r w:rsidRPr="00C66F0A">
        <w:t>.</w:t>
      </w:r>
      <w:r w:rsidR="002605CA">
        <w:rPr>
          <w:noProof/>
          <w:color w:val="000000"/>
          <w:highlight w:val="black"/>
        </w:rPr>
        <w:t>'''</w:t>
      </w:r>
      <w:r w:rsidRPr="00C66F0A">
        <w:t>% of patients from Trial EN005) and fentanyl lozenges (approximately 1-10% of patients based on product information) are associated with mucosal irritation (including bleeding, pain and ulceration).</w:t>
      </w:r>
      <w:r w:rsidR="002D0605" w:rsidRPr="00C66F0A">
        <w:t xml:space="preserve">  </w:t>
      </w:r>
      <w:r w:rsidR="004F30E6" w:rsidRPr="00C66F0A">
        <w:t xml:space="preserve">The ESC noted </w:t>
      </w:r>
      <w:r w:rsidR="00D75FDE" w:rsidRPr="00C66F0A">
        <w:t xml:space="preserve">the </w:t>
      </w:r>
      <w:r w:rsidR="000669B0" w:rsidRPr="00C66F0A">
        <w:t xml:space="preserve">theoretical </w:t>
      </w:r>
      <w:r w:rsidR="00D75FDE" w:rsidRPr="00C66F0A">
        <w:t xml:space="preserve">potential for </w:t>
      </w:r>
      <w:r w:rsidR="002D0605" w:rsidRPr="00C66F0A">
        <w:t xml:space="preserve">a higher prevalence of </w:t>
      </w:r>
      <w:proofErr w:type="spellStart"/>
      <w:r w:rsidR="002D0605" w:rsidRPr="00C66F0A">
        <w:t>mucositis</w:t>
      </w:r>
      <w:proofErr w:type="spellEnd"/>
      <w:r w:rsidR="002D0605" w:rsidRPr="00C66F0A">
        <w:t xml:space="preserve"> </w:t>
      </w:r>
      <w:r w:rsidR="004F30E6" w:rsidRPr="00C66F0A">
        <w:t xml:space="preserve">or mucosal irritation </w:t>
      </w:r>
      <w:r w:rsidR="00D75FDE" w:rsidRPr="00C66F0A">
        <w:t xml:space="preserve">with fentanyl sublingual tablets </w:t>
      </w:r>
      <w:r w:rsidR="00DB3473" w:rsidRPr="00C66F0A">
        <w:t xml:space="preserve">when compared with fentanyl lozenges </w:t>
      </w:r>
      <w:r w:rsidR="004F30E6" w:rsidRPr="00C66F0A">
        <w:t>due to more localised administration</w:t>
      </w:r>
      <w:r w:rsidR="00DB3473" w:rsidRPr="00C66F0A">
        <w:t>.</w:t>
      </w:r>
      <w:r w:rsidR="002D0605" w:rsidRPr="00C66F0A">
        <w:t xml:space="preserve"> </w:t>
      </w:r>
    </w:p>
    <w:p w:rsidR="00260E2E" w:rsidRDefault="00260E2E" w:rsidP="00260E2E">
      <w:pPr>
        <w:pStyle w:val="ListParagraph"/>
        <w:rPr>
          <w:szCs w:val="22"/>
        </w:rPr>
      </w:pPr>
    </w:p>
    <w:p w:rsidR="00B60939" w:rsidRPr="00605035" w:rsidRDefault="00B60939" w:rsidP="00D06FD4">
      <w:pPr>
        <w:pStyle w:val="Heading2"/>
      </w:pPr>
      <w:bookmarkStart w:id="10" w:name="_Toc419711189"/>
      <w:r w:rsidRPr="00605035">
        <w:t>Clinical claim</w:t>
      </w:r>
      <w:bookmarkEnd w:id="10"/>
    </w:p>
    <w:p w:rsidR="00B60939" w:rsidRPr="00605035" w:rsidRDefault="00B60939" w:rsidP="00D06FD4">
      <w:pPr>
        <w:pStyle w:val="BodyText"/>
      </w:pPr>
    </w:p>
    <w:p w:rsidR="00D23902" w:rsidRPr="00605035" w:rsidRDefault="00A248DF" w:rsidP="005B47A0">
      <w:pPr>
        <w:pStyle w:val="ListParagraph"/>
        <w:widowControl/>
        <w:numPr>
          <w:ilvl w:val="1"/>
          <w:numId w:val="3"/>
        </w:numPr>
      </w:pPr>
      <w:r w:rsidRPr="00605035">
        <w:t xml:space="preserve">The </w:t>
      </w:r>
      <w:r w:rsidR="00260E2E" w:rsidRPr="00605035">
        <w:t>res</w:t>
      </w:r>
      <w:r w:rsidRPr="00605035">
        <w:t xml:space="preserve">ubmission described fentanyl sublingual as non-inferior in terms of comparative effectiveness and non-inferior in terms of comparative safety over fentanyl lozenges. </w:t>
      </w:r>
      <w:r w:rsidR="00D23902" w:rsidRPr="00605035">
        <w:t xml:space="preserve">The body of evidence supporting the claim of non-inferiority between fentanyl sublingual tablets and fentanyl lozenges </w:t>
      </w:r>
      <w:r w:rsidR="007A6A59">
        <w:t xml:space="preserve">was </w:t>
      </w:r>
      <w:r w:rsidR="007A6A59" w:rsidRPr="00605035">
        <w:t>weak</w:t>
      </w:r>
      <w:r w:rsidR="007A6A59">
        <w:t>:</w:t>
      </w:r>
      <w:r w:rsidR="007A6A59" w:rsidRPr="00605035">
        <w:t xml:space="preserve"> </w:t>
      </w:r>
      <w:r w:rsidR="00D23902" w:rsidRPr="00605035">
        <w:t>indirect comparison of trials with uncertain risk of bias and limited applicability to the PBS population, subjective and highly variable outcomes, no widely accepted non-inferiority margins</w:t>
      </w:r>
      <w:r w:rsidR="002D0605" w:rsidRPr="00605035">
        <w:t xml:space="preserve"> </w:t>
      </w:r>
      <w:r w:rsidR="004F30E6" w:rsidRPr="00605035">
        <w:t xml:space="preserve">and the </w:t>
      </w:r>
      <w:r w:rsidR="002D0605" w:rsidRPr="00605035">
        <w:t>possibility of higher prevalence of adverse local and systemic effects with fentanyl sublingual, especially in the PBS population.</w:t>
      </w:r>
    </w:p>
    <w:p w:rsidR="00D23902" w:rsidRPr="00605035" w:rsidRDefault="00D23902" w:rsidP="00D23902">
      <w:pPr>
        <w:widowControl/>
      </w:pPr>
    </w:p>
    <w:p w:rsidR="00B60939" w:rsidRPr="00605035" w:rsidRDefault="00A248DF" w:rsidP="005B47A0">
      <w:pPr>
        <w:pStyle w:val="ListParagraph"/>
        <w:widowControl/>
        <w:numPr>
          <w:ilvl w:val="1"/>
          <w:numId w:val="3"/>
        </w:numPr>
      </w:pPr>
      <w:r w:rsidRPr="00605035">
        <w:t>The resubmission did not make a clinical claim for fentanyl sublingual over immediate-release opioids</w:t>
      </w:r>
      <w:r w:rsidR="00B23C77">
        <w:t>.</w:t>
      </w:r>
      <w:r w:rsidRPr="00605035">
        <w:t xml:space="preserve"> </w:t>
      </w:r>
      <w:r w:rsidR="004F30E6" w:rsidRPr="00605035">
        <w:t>T</w:t>
      </w:r>
      <w:r w:rsidRPr="00605035">
        <w:t xml:space="preserve">he </w:t>
      </w:r>
      <w:r w:rsidR="00260E2E" w:rsidRPr="00605035">
        <w:t>res</w:t>
      </w:r>
      <w:r w:rsidRPr="00605035">
        <w:t xml:space="preserve">ubmission claimed that fentanyl sublingual is non-inferior to the reference treatments, immediate-release opioids, in treating an episode of breakthrough cancer pain. </w:t>
      </w:r>
      <w:r w:rsidR="00006886">
        <w:t>The</w:t>
      </w:r>
      <w:r w:rsidRPr="00605035">
        <w:t xml:space="preserve"> </w:t>
      </w:r>
      <w:r w:rsidR="00503C2A">
        <w:t xml:space="preserve">evaluation considered that </w:t>
      </w:r>
      <w:r w:rsidR="00F53A6C">
        <w:t>the</w:t>
      </w:r>
      <w:r w:rsidR="00503C2A">
        <w:t xml:space="preserve"> </w:t>
      </w:r>
      <w:r w:rsidRPr="00605035">
        <w:t>claim was not adequately supported.</w:t>
      </w:r>
      <w:r w:rsidR="00260E2E" w:rsidRPr="00605035">
        <w:t xml:space="preserve"> The ESC agreed with the commentary that the data comparing fentanyl to immediate release opioids cannot be reliably applied.</w:t>
      </w:r>
    </w:p>
    <w:p w:rsidR="00870CC8" w:rsidRDefault="00870CC8" w:rsidP="007A6A59">
      <w:pPr>
        <w:rPr>
          <w:szCs w:val="22"/>
        </w:rPr>
      </w:pPr>
    </w:p>
    <w:p w:rsidR="0001635E" w:rsidRPr="00E55A9F" w:rsidRDefault="00503C2A" w:rsidP="0001635E">
      <w:pPr>
        <w:numPr>
          <w:ilvl w:val="1"/>
          <w:numId w:val="3"/>
        </w:numPr>
        <w:contextualSpacing/>
        <w:rPr>
          <w:bCs/>
          <w:szCs w:val="22"/>
          <w:lang w:val="en-GB"/>
        </w:rPr>
      </w:pPr>
      <w:r>
        <w:rPr>
          <w:bCs/>
          <w:szCs w:val="22"/>
          <w:lang w:val="en-GB"/>
        </w:rPr>
        <w:t>T</w:t>
      </w:r>
      <w:r w:rsidR="0001635E" w:rsidRPr="00E55A9F">
        <w:rPr>
          <w:bCs/>
          <w:szCs w:val="22"/>
          <w:lang w:val="en-GB"/>
        </w:rPr>
        <w:t xml:space="preserve">he PBAC noted the weak body of evidence </w:t>
      </w:r>
      <w:r>
        <w:rPr>
          <w:bCs/>
          <w:szCs w:val="22"/>
          <w:lang w:val="en-GB"/>
        </w:rPr>
        <w:t xml:space="preserve">for comparison of </w:t>
      </w:r>
      <w:r w:rsidR="0001635E" w:rsidRPr="00E55A9F">
        <w:rPr>
          <w:bCs/>
          <w:szCs w:val="22"/>
          <w:lang w:val="en-GB"/>
        </w:rPr>
        <w:t>fentanyl sublingual</w:t>
      </w:r>
      <w:r>
        <w:rPr>
          <w:bCs/>
          <w:szCs w:val="22"/>
          <w:lang w:val="en-GB"/>
        </w:rPr>
        <w:t xml:space="preserve"> tablets</w:t>
      </w:r>
      <w:r w:rsidR="0001635E" w:rsidRPr="00E55A9F">
        <w:rPr>
          <w:bCs/>
          <w:szCs w:val="22"/>
          <w:lang w:val="en-GB"/>
        </w:rPr>
        <w:t xml:space="preserve"> with fentanyl lozenge and immediate-release </w:t>
      </w:r>
      <w:r w:rsidR="00E410B3">
        <w:rPr>
          <w:bCs/>
          <w:szCs w:val="22"/>
          <w:lang w:val="en-GB"/>
        </w:rPr>
        <w:t>opioids</w:t>
      </w:r>
      <w:r>
        <w:rPr>
          <w:bCs/>
          <w:szCs w:val="22"/>
          <w:lang w:val="en-GB"/>
        </w:rPr>
        <w:t xml:space="preserve">. In the context of a clinical need in the palliative </w:t>
      </w:r>
      <w:r w:rsidR="00357F0F">
        <w:rPr>
          <w:bCs/>
          <w:szCs w:val="22"/>
          <w:lang w:val="en-GB"/>
        </w:rPr>
        <w:t xml:space="preserve">care </w:t>
      </w:r>
      <w:r>
        <w:rPr>
          <w:bCs/>
          <w:szCs w:val="22"/>
          <w:lang w:val="en-GB"/>
        </w:rPr>
        <w:t>population for a non-parenteral opioid formulation with a faster onset of action and short duration</w:t>
      </w:r>
      <w:r w:rsidR="0001635E" w:rsidRPr="00E55A9F">
        <w:rPr>
          <w:bCs/>
          <w:szCs w:val="22"/>
          <w:lang w:val="en-GB"/>
        </w:rPr>
        <w:t>,</w:t>
      </w:r>
      <w:r>
        <w:rPr>
          <w:bCs/>
          <w:szCs w:val="22"/>
          <w:lang w:val="en-GB"/>
        </w:rPr>
        <w:t xml:space="preserve"> the PBAC accepted </w:t>
      </w:r>
      <w:r w:rsidR="0001635E" w:rsidRPr="00E55A9F">
        <w:rPr>
          <w:bCs/>
          <w:szCs w:val="22"/>
          <w:lang w:val="en-GB"/>
        </w:rPr>
        <w:t>non-inferior comparative effectiveness and non-inferior comparative safety.</w:t>
      </w:r>
    </w:p>
    <w:p w:rsidR="00870CC8" w:rsidRPr="00605035" w:rsidRDefault="00870CC8" w:rsidP="00B60939">
      <w:pPr>
        <w:ind w:left="720" w:hanging="720"/>
        <w:rPr>
          <w:szCs w:val="22"/>
        </w:rPr>
      </w:pPr>
    </w:p>
    <w:p w:rsidR="00B60939" w:rsidRPr="00605035" w:rsidRDefault="00B60939" w:rsidP="00497F10">
      <w:pPr>
        <w:pStyle w:val="Heading2"/>
      </w:pPr>
      <w:bookmarkStart w:id="11" w:name="_Toc419711190"/>
      <w:r w:rsidRPr="00605035">
        <w:t>Economic analysis</w:t>
      </w:r>
      <w:bookmarkEnd w:id="11"/>
    </w:p>
    <w:p w:rsidR="00B60939" w:rsidRPr="00605035" w:rsidRDefault="00B60939" w:rsidP="00B60939">
      <w:pPr>
        <w:ind w:left="720" w:hanging="720"/>
        <w:rPr>
          <w:szCs w:val="22"/>
        </w:rPr>
      </w:pPr>
    </w:p>
    <w:p w:rsidR="00B60939" w:rsidRPr="00605035" w:rsidRDefault="00B961CC" w:rsidP="005B47A0">
      <w:pPr>
        <w:pStyle w:val="ListParagraph"/>
        <w:widowControl/>
        <w:numPr>
          <w:ilvl w:val="1"/>
          <w:numId w:val="3"/>
        </w:numPr>
        <w:rPr>
          <w:szCs w:val="22"/>
        </w:rPr>
      </w:pPr>
      <w:r w:rsidRPr="00C66F0A">
        <w:t>The resubmission presented a c</w:t>
      </w:r>
      <w:r w:rsidR="008B0F81" w:rsidRPr="00C66F0A">
        <w:t>ost-minimisation analysis</w:t>
      </w:r>
      <w:r w:rsidR="00674A68" w:rsidRPr="00C66F0A">
        <w:t xml:space="preserve">, adjusted for a proportion of use substituting </w:t>
      </w:r>
      <w:r w:rsidR="006C279F" w:rsidRPr="00C66F0A">
        <w:t xml:space="preserve">for </w:t>
      </w:r>
      <w:r w:rsidR="00674A68" w:rsidRPr="00C66F0A">
        <w:t xml:space="preserve">immediate-release opioids (offered as a </w:t>
      </w:r>
      <w:r w:rsidR="002605CA">
        <w:rPr>
          <w:noProof/>
          <w:color w:val="000000"/>
          <w:highlight w:val="black"/>
        </w:rPr>
        <w:t>''''''</w:t>
      </w:r>
      <w:r w:rsidR="00674A68" w:rsidRPr="00C66F0A">
        <w:t xml:space="preserve">% discount on the price of </w:t>
      </w:r>
      <w:r w:rsidR="00674A68" w:rsidRPr="00726802">
        <w:t>fentanyl lozenges</w:t>
      </w:r>
      <w:r w:rsidR="00674A68" w:rsidRPr="00C66F0A">
        <w:t>)</w:t>
      </w:r>
      <w:r w:rsidR="008B0F81" w:rsidRPr="00C66F0A">
        <w:t>.</w:t>
      </w:r>
      <w:r w:rsidR="00674A68" w:rsidRPr="00C66F0A">
        <w:t xml:space="preserve"> The previous submission also presented a cost-minimisation analysis with a </w:t>
      </w:r>
      <w:r w:rsidR="002605CA">
        <w:rPr>
          <w:noProof/>
          <w:color w:val="000000"/>
          <w:highlight w:val="black"/>
        </w:rPr>
        <w:t>'''''</w:t>
      </w:r>
      <w:r w:rsidR="00674A68" w:rsidRPr="00C66F0A">
        <w:t>% discount</w:t>
      </w:r>
      <w:r w:rsidR="00674A68" w:rsidRPr="00BB6798">
        <w:t xml:space="preserve"> on the price of fentanyl lozenges.</w:t>
      </w:r>
      <w:r w:rsidR="00132AB2" w:rsidRPr="00BB6798">
        <w:t xml:space="preserve"> No additional costs or offsets were included in the economic analysis.</w:t>
      </w:r>
    </w:p>
    <w:p w:rsidR="00275C5A" w:rsidRPr="00605035" w:rsidRDefault="00275C5A" w:rsidP="00275C5A">
      <w:pPr>
        <w:widowControl/>
        <w:rPr>
          <w:szCs w:val="22"/>
        </w:rPr>
      </w:pPr>
    </w:p>
    <w:p w:rsidR="00A86E8B" w:rsidRPr="00605035" w:rsidRDefault="001A1F08" w:rsidP="005B47A0">
      <w:pPr>
        <w:pStyle w:val="ListParagraph"/>
        <w:widowControl/>
        <w:numPr>
          <w:ilvl w:val="1"/>
          <w:numId w:val="3"/>
        </w:numPr>
        <w:rPr>
          <w:szCs w:val="22"/>
        </w:rPr>
      </w:pPr>
      <w:proofErr w:type="spellStart"/>
      <w:r w:rsidRPr="00605035">
        <w:t>E</w:t>
      </w:r>
      <w:r w:rsidR="00A86E8B" w:rsidRPr="00605035">
        <w:t>qui</w:t>
      </w:r>
      <w:proofErr w:type="spellEnd"/>
      <w:r w:rsidR="00A86E8B" w:rsidRPr="00605035">
        <w:t>-effective doses</w:t>
      </w:r>
      <w:r w:rsidRPr="00605035">
        <w:t xml:space="preserve"> for fentanyl sublingual and fentanyl lozenges</w:t>
      </w:r>
      <w:r w:rsidR="00A86E8B" w:rsidRPr="00605035">
        <w:t xml:space="preserve"> </w:t>
      </w:r>
      <w:r w:rsidRPr="00605035">
        <w:t>were not</w:t>
      </w:r>
      <w:r w:rsidR="00A86E8B" w:rsidRPr="00605035">
        <w:t xml:space="preserve"> estimated</w:t>
      </w:r>
      <w:r w:rsidR="0037724F" w:rsidRPr="00605035">
        <w:t xml:space="preserve">, but the </w:t>
      </w:r>
      <w:r w:rsidR="00260E2E" w:rsidRPr="00605035">
        <w:t>res</w:t>
      </w:r>
      <w:r w:rsidR="0037724F" w:rsidRPr="00605035">
        <w:t>ubmission</w:t>
      </w:r>
      <w:r w:rsidR="00B961CC" w:rsidRPr="00605035">
        <w:t>’</w:t>
      </w:r>
      <w:r w:rsidR="0037724F" w:rsidRPr="00605035">
        <w:t>s economic analysis assumed that each pain episode would be treated with one sublingual tablet or one lozenge</w:t>
      </w:r>
      <w:r w:rsidR="00A86E8B" w:rsidRPr="00605035">
        <w:t xml:space="preserve">. </w:t>
      </w:r>
      <w:r w:rsidRPr="00605035">
        <w:t>The sponsor’s decision to apply to the TGA for registration of three further dose strengths (300, 600 and 800mcg) means that the previous submission’s concerns that patients may require two sublingual tablets to achieve similar doses to one lozenge, may no longer be applicable</w:t>
      </w:r>
      <w:r w:rsidR="00132AB2" w:rsidRPr="00605035">
        <w:t>.</w:t>
      </w:r>
      <w:r w:rsidR="00B961CC" w:rsidRPr="00605035">
        <w:t xml:space="preserve">  The ESC considered that the registration of the additional strengths adequately addressed this issue</w:t>
      </w:r>
      <w:r w:rsidR="00E954D5" w:rsidRPr="00605035">
        <w:t xml:space="preserve"> for this case of short acting fentanyl for breakthrough cancer pain, where only one dose is used per episode and dose is titrated to effect in each patient and is highly variable</w:t>
      </w:r>
      <w:r w:rsidR="00B961CC" w:rsidRPr="00605035">
        <w:t>.</w:t>
      </w:r>
    </w:p>
    <w:p w:rsidR="002D0605" w:rsidRPr="00605035" w:rsidRDefault="002D0605" w:rsidP="00C25D9C">
      <w:pPr>
        <w:widowControl/>
        <w:rPr>
          <w:szCs w:val="22"/>
        </w:rPr>
      </w:pPr>
    </w:p>
    <w:p w:rsidR="007E1DC9" w:rsidRPr="00C66F0A" w:rsidRDefault="007E1DC9" w:rsidP="00497F10">
      <w:pPr>
        <w:pStyle w:val="Heading2"/>
      </w:pPr>
      <w:bookmarkStart w:id="12" w:name="_Toc419711191"/>
      <w:r w:rsidRPr="00C66F0A">
        <w:t>C</w:t>
      </w:r>
      <w:r w:rsidR="008B12B3" w:rsidRPr="00C66F0A">
        <w:t>ost</w:t>
      </w:r>
      <w:r w:rsidR="004E25EC" w:rsidRPr="00C66F0A">
        <w:t>/patient/</w:t>
      </w:r>
      <w:r w:rsidR="000409EC" w:rsidRPr="00C66F0A">
        <w:t>90 days</w:t>
      </w:r>
      <w:bookmarkEnd w:id="12"/>
    </w:p>
    <w:p w:rsidR="007E1DC9" w:rsidRPr="00C66F0A" w:rsidRDefault="007E1DC9" w:rsidP="007E1DC9">
      <w:pPr>
        <w:pStyle w:val="BodyText"/>
      </w:pPr>
    </w:p>
    <w:p w:rsidR="00C25D9C" w:rsidRPr="00C66F0A" w:rsidRDefault="00C25D9C" w:rsidP="007E1DC9">
      <w:pPr>
        <w:pStyle w:val="ListParagraph"/>
        <w:widowControl/>
        <w:numPr>
          <w:ilvl w:val="1"/>
          <w:numId w:val="3"/>
        </w:numPr>
        <w:rPr>
          <w:b/>
        </w:rPr>
      </w:pPr>
      <w:r w:rsidRPr="00C66F0A">
        <w:t>$</w:t>
      </w:r>
      <w:r w:rsidR="002605CA">
        <w:rPr>
          <w:noProof/>
          <w:color w:val="000000"/>
          <w:highlight w:val="black"/>
        </w:rPr>
        <w:t>'''''''''''''''</w:t>
      </w:r>
      <w:r w:rsidR="0037724F" w:rsidRPr="00C66F0A">
        <w:rPr>
          <w:b/>
        </w:rPr>
        <w:t xml:space="preserve"> </w:t>
      </w:r>
      <w:r w:rsidR="0037724F" w:rsidRPr="00C66F0A">
        <w:t>(DPMQ $</w:t>
      </w:r>
      <w:r w:rsidR="002605CA">
        <w:rPr>
          <w:noProof/>
          <w:color w:val="000000"/>
          <w:highlight w:val="black"/>
        </w:rPr>
        <w:t>''''''''''''''''''</w:t>
      </w:r>
      <w:r w:rsidR="0037724F" w:rsidRPr="00C66F0A">
        <w:t xml:space="preserve"> for 60 tablets; 3 tablets/</w:t>
      </w:r>
      <w:r w:rsidR="001E6A16" w:rsidRPr="00C66F0A">
        <w:t xml:space="preserve"> </w:t>
      </w:r>
      <w:r w:rsidR="0037724F" w:rsidRPr="00C66F0A">
        <w:t>day x 4.5 packs for 90 days)</w:t>
      </w:r>
    </w:p>
    <w:p w:rsidR="008B12B3" w:rsidRPr="00C66F0A" w:rsidRDefault="008B12B3" w:rsidP="007E1DC9">
      <w:pPr>
        <w:ind w:left="709"/>
      </w:pPr>
      <w:r w:rsidRPr="00C66F0A">
        <w:t>Fentanyl lozenge cost/patient/</w:t>
      </w:r>
      <w:r w:rsidR="000409EC" w:rsidRPr="00C66F0A">
        <w:t>90 days</w:t>
      </w:r>
      <w:r w:rsidRPr="00C66F0A">
        <w:t xml:space="preserve">: </w:t>
      </w:r>
      <w:r w:rsidR="000409EC" w:rsidRPr="00C66F0A">
        <w:t>$</w:t>
      </w:r>
      <w:r w:rsidR="002605CA">
        <w:rPr>
          <w:noProof/>
          <w:color w:val="000000"/>
          <w:highlight w:val="black"/>
        </w:rPr>
        <w:t>'''''''''''''''</w:t>
      </w:r>
      <w:r w:rsidR="0037724F" w:rsidRPr="00C66F0A">
        <w:t xml:space="preserve"> (DPMQ $</w:t>
      </w:r>
      <w:r w:rsidR="002605CA">
        <w:rPr>
          <w:noProof/>
          <w:color w:val="000000"/>
          <w:highlight w:val="black"/>
        </w:rPr>
        <w:t>'''''''''''''''</w:t>
      </w:r>
      <w:r w:rsidR="0037724F" w:rsidRPr="00C66F0A">
        <w:t xml:space="preserve"> for 60 lozenges; 3 lozenges/</w:t>
      </w:r>
      <w:r w:rsidR="001E6A16" w:rsidRPr="00C66F0A">
        <w:t xml:space="preserve"> </w:t>
      </w:r>
      <w:r w:rsidR="0037724F" w:rsidRPr="00C66F0A">
        <w:t>day x 4.5 packs for 90 days)</w:t>
      </w:r>
    </w:p>
    <w:p w:rsidR="008B12B3" w:rsidRPr="00605035" w:rsidRDefault="008B12B3" w:rsidP="007E1DC9">
      <w:pPr>
        <w:ind w:left="709"/>
      </w:pPr>
      <w:r w:rsidRPr="00C66F0A">
        <w:t>Ox</w:t>
      </w:r>
      <w:r w:rsidR="000409EC" w:rsidRPr="00C66F0A">
        <w:t>y</w:t>
      </w:r>
      <w:r w:rsidRPr="00C66F0A">
        <w:t>codone immediate-release tablet cost/patient/</w:t>
      </w:r>
      <w:r w:rsidR="000409EC" w:rsidRPr="00C66F0A">
        <w:t>90 days</w:t>
      </w:r>
      <w:r w:rsidRPr="00C66F0A">
        <w:t xml:space="preserve">: </w:t>
      </w:r>
      <w:r w:rsidR="008931DC" w:rsidRPr="00C66F0A">
        <w:t>$</w:t>
      </w:r>
      <w:r w:rsidR="002605CA">
        <w:rPr>
          <w:noProof/>
          <w:color w:val="000000"/>
          <w:highlight w:val="black"/>
        </w:rPr>
        <w:t>''''''''''</w:t>
      </w:r>
      <w:r w:rsidR="00D66018" w:rsidRPr="00C66F0A">
        <w:t>.</w:t>
      </w:r>
    </w:p>
    <w:p w:rsidR="00C25D9C" w:rsidRPr="00605035" w:rsidRDefault="00C25D9C" w:rsidP="007E1DC9">
      <w:pPr>
        <w:widowControl/>
        <w:ind w:left="709"/>
        <w:rPr>
          <w:szCs w:val="22"/>
        </w:rPr>
      </w:pPr>
    </w:p>
    <w:p w:rsidR="00472359" w:rsidRPr="00605035" w:rsidRDefault="003E3DAF" w:rsidP="007E1DC9">
      <w:pPr>
        <w:pStyle w:val="ListParagraph"/>
        <w:widowControl/>
        <w:numPr>
          <w:ilvl w:val="1"/>
          <w:numId w:val="3"/>
        </w:numPr>
        <w:rPr>
          <w:szCs w:val="22"/>
        </w:rPr>
      </w:pPr>
      <w:r w:rsidRPr="00605035">
        <w:rPr>
          <w:szCs w:val="22"/>
        </w:rPr>
        <w:t>The costs presented above are estimates and represent approximate costs given certain assumptions:</w:t>
      </w:r>
    </w:p>
    <w:p w:rsidR="008B12B3" w:rsidRPr="00605035" w:rsidRDefault="008B12B3" w:rsidP="00372677">
      <w:pPr>
        <w:pStyle w:val="ListParagraph"/>
        <w:widowControl/>
        <w:numPr>
          <w:ilvl w:val="0"/>
          <w:numId w:val="16"/>
        </w:numPr>
        <w:snapToGrid w:val="0"/>
        <w:ind w:left="1418"/>
        <w:rPr>
          <w:szCs w:val="22"/>
        </w:rPr>
      </w:pPr>
      <w:r w:rsidRPr="00605035">
        <w:rPr>
          <w:szCs w:val="22"/>
        </w:rPr>
        <w:t>Costs</w:t>
      </w:r>
      <w:r w:rsidR="008931DC" w:rsidRPr="00605035">
        <w:rPr>
          <w:szCs w:val="22"/>
        </w:rPr>
        <w:t xml:space="preserve"> for fentanyl sublingual and fentanyl lozenges</w:t>
      </w:r>
      <w:r w:rsidRPr="00605035">
        <w:rPr>
          <w:szCs w:val="22"/>
        </w:rPr>
        <w:t xml:space="preserve"> are based on the DPMQ for a continuation script (60 tablets), disregarding dose titration period</w:t>
      </w:r>
    </w:p>
    <w:p w:rsidR="008931DC" w:rsidRPr="00605035" w:rsidRDefault="008931DC" w:rsidP="00372677">
      <w:pPr>
        <w:pStyle w:val="ListParagraph"/>
        <w:widowControl/>
        <w:numPr>
          <w:ilvl w:val="0"/>
          <w:numId w:val="16"/>
        </w:numPr>
        <w:snapToGrid w:val="0"/>
        <w:ind w:left="1418"/>
        <w:rPr>
          <w:szCs w:val="22"/>
        </w:rPr>
      </w:pPr>
      <w:r w:rsidRPr="00605035">
        <w:rPr>
          <w:szCs w:val="22"/>
        </w:rPr>
        <w:t xml:space="preserve">Costs for immediate-release oxycodone tablets, used as a proxy for all other oral immediate-release opioids, were estimated in using a </w:t>
      </w:r>
      <w:r w:rsidR="000142DC" w:rsidRPr="00605035">
        <w:rPr>
          <w:szCs w:val="22"/>
        </w:rPr>
        <w:t>“</w:t>
      </w:r>
      <w:r w:rsidRPr="00605035">
        <w:rPr>
          <w:szCs w:val="22"/>
        </w:rPr>
        <w:t>theoretical pack</w:t>
      </w:r>
      <w:r w:rsidR="000142DC" w:rsidRPr="00605035">
        <w:rPr>
          <w:szCs w:val="22"/>
        </w:rPr>
        <w:t>”</w:t>
      </w:r>
      <w:r w:rsidRPr="00605035">
        <w:rPr>
          <w:szCs w:val="22"/>
        </w:rPr>
        <w:t xml:space="preserve"> of oxycodone to treat the equivalent number of episodes as one pack of fentanyl sublingual.</w:t>
      </w:r>
    </w:p>
    <w:p w:rsidR="00372677" w:rsidRPr="00605035" w:rsidRDefault="00372677" w:rsidP="00372677">
      <w:pPr>
        <w:pStyle w:val="ListParagraph"/>
        <w:widowControl/>
        <w:numPr>
          <w:ilvl w:val="0"/>
          <w:numId w:val="16"/>
        </w:numPr>
        <w:snapToGrid w:val="0"/>
        <w:ind w:left="1418"/>
        <w:rPr>
          <w:szCs w:val="22"/>
        </w:rPr>
      </w:pPr>
      <w:r w:rsidRPr="00605035">
        <w:rPr>
          <w:szCs w:val="22"/>
        </w:rPr>
        <w:t xml:space="preserve">Treatment duration for each patient is </w:t>
      </w:r>
      <w:r w:rsidR="0037724F" w:rsidRPr="00605035">
        <w:rPr>
          <w:szCs w:val="22"/>
        </w:rPr>
        <w:t>90 days</w:t>
      </w:r>
      <w:r w:rsidR="00AD1C48" w:rsidRPr="00605035">
        <w:rPr>
          <w:szCs w:val="22"/>
        </w:rPr>
        <w:t>.</w:t>
      </w:r>
    </w:p>
    <w:p w:rsidR="008931DC" w:rsidRPr="00605035" w:rsidRDefault="00372677" w:rsidP="008931DC">
      <w:pPr>
        <w:pStyle w:val="ListParagraph"/>
        <w:widowControl/>
        <w:numPr>
          <w:ilvl w:val="0"/>
          <w:numId w:val="16"/>
        </w:numPr>
        <w:snapToGrid w:val="0"/>
        <w:ind w:left="1418"/>
        <w:rPr>
          <w:szCs w:val="22"/>
        </w:rPr>
      </w:pPr>
      <w:r w:rsidRPr="00605035">
        <w:rPr>
          <w:szCs w:val="22"/>
        </w:rPr>
        <w:t xml:space="preserve">Each patient </w:t>
      </w:r>
      <w:r w:rsidR="008B12B3" w:rsidRPr="00605035">
        <w:rPr>
          <w:szCs w:val="22"/>
        </w:rPr>
        <w:t>receives treatment with one tablet or lozenge</w:t>
      </w:r>
      <w:r w:rsidR="008931DC" w:rsidRPr="00605035">
        <w:rPr>
          <w:szCs w:val="22"/>
        </w:rPr>
        <w:t xml:space="preserve"> or equivalent oxycodone tablet dose</w:t>
      </w:r>
      <w:r w:rsidR="008B12B3" w:rsidRPr="00605035">
        <w:rPr>
          <w:szCs w:val="22"/>
        </w:rPr>
        <w:t xml:space="preserve"> for each of </w:t>
      </w:r>
      <w:r w:rsidRPr="00605035">
        <w:rPr>
          <w:szCs w:val="22"/>
        </w:rPr>
        <w:t>3 breakthrough pain episodes/day (based on patients in the key included fentanyl sublingual trial)</w:t>
      </w:r>
      <w:r w:rsidR="008931DC" w:rsidRPr="00605035">
        <w:rPr>
          <w:szCs w:val="22"/>
        </w:rPr>
        <w:t>.</w:t>
      </w:r>
    </w:p>
    <w:p w:rsidR="00B60939" w:rsidRPr="00605035" w:rsidRDefault="00B60939" w:rsidP="001456B0">
      <w:pPr>
        <w:rPr>
          <w:szCs w:val="22"/>
        </w:rPr>
      </w:pPr>
    </w:p>
    <w:p w:rsidR="00B60939" w:rsidRPr="00605035" w:rsidRDefault="00B60939" w:rsidP="00497F10">
      <w:pPr>
        <w:pStyle w:val="Heading2"/>
      </w:pPr>
      <w:bookmarkStart w:id="13" w:name="_Toc419711192"/>
      <w:r w:rsidRPr="00605035">
        <w:t>Estimated PBS usage &amp; financial implications</w:t>
      </w:r>
      <w:bookmarkEnd w:id="13"/>
    </w:p>
    <w:p w:rsidR="00B60939" w:rsidRPr="00605035" w:rsidRDefault="00B60939" w:rsidP="00497F10"/>
    <w:p w:rsidR="00C25D9C" w:rsidRPr="00605035" w:rsidRDefault="00C25D9C" w:rsidP="005B47A0">
      <w:pPr>
        <w:pStyle w:val="ListParagraph"/>
        <w:widowControl/>
        <w:numPr>
          <w:ilvl w:val="1"/>
          <w:numId w:val="3"/>
        </w:numPr>
        <w:ind w:left="709"/>
        <w:rPr>
          <w:szCs w:val="22"/>
        </w:rPr>
      </w:pPr>
      <w:r w:rsidRPr="00605035">
        <w:t xml:space="preserve">This </w:t>
      </w:r>
      <w:r w:rsidR="00260E2E" w:rsidRPr="00605035">
        <w:t>res</w:t>
      </w:r>
      <w:r w:rsidR="00577235" w:rsidRPr="00605035">
        <w:t xml:space="preserve">ubmission </w:t>
      </w:r>
      <w:r w:rsidR="00D66018" w:rsidRPr="00605035">
        <w:t>was</w:t>
      </w:r>
      <w:r w:rsidR="00577235" w:rsidRPr="00605035">
        <w:t xml:space="preserve"> </w:t>
      </w:r>
      <w:r w:rsidRPr="00605035">
        <w:t>not considered by DUSC</w:t>
      </w:r>
      <w:r w:rsidR="00577235" w:rsidRPr="00605035">
        <w:t xml:space="preserve">. An epidemiological approach was taken in the </w:t>
      </w:r>
      <w:r w:rsidR="00260E2E" w:rsidRPr="00605035">
        <w:t>res</w:t>
      </w:r>
      <w:r w:rsidR="00577235" w:rsidRPr="00605035">
        <w:t xml:space="preserve">ubmission compared to a market-share approach in the previous submission. The </w:t>
      </w:r>
      <w:r w:rsidR="000142DC" w:rsidRPr="00605035">
        <w:t>March 2014</w:t>
      </w:r>
      <w:r w:rsidR="00577235" w:rsidRPr="00605035">
        <w:t xml:space="preserve"> submission did not consider uptake of fentanyl sublingual outside of the fentanyl lozenge market. The </w:t>
      </w:r>
      <w:r w:rsidR="000142DC" w:rsidRPr="00605035">
        <w:t xml:space="preserve">current </w:t>
      </w:r>
      <w:r w:rsidR="00260E2E" w:rsidRPr="00605035">
        <w:t>res</w:t>
      </w:r>
      <w:r w:rsidR="00577235" w:rsidRPr="00605035">
        <w:t>ubmission estimated the extent of use from patients switching from fentanyl lozenges to fentanyl sublingual and from eligible patients not currently treated with fentanyl lozenges.</w:t>
      </w:r>
      <w:r w:rsidR="00E172B0" w:rsidRPr="00605035">
        <w:t xml:space="preserve"> </w:t>
      </w:r>
    </w:p>
    <w:p w:rsidR="00C25D9C" w:rsidRPr="00605035" w:rsidRDefault="00C25D9C" w:rsidP="00C25D9C">
      <w:pPr>
        <w:widowControl/>
        <w:rPr>
          <w:szCs w:val="22"/>
        </w:rPr>
      </w:pPr>
    </w:p>
    <w:p w:rsidR="0004231D" w:rsidRPr="00605035" w:rsidRDefault="0004231D" w:rsidP="00A5153B">
      <w:pPr>
        <w:keepNext/>
        <w:ind w:firstLine="709"/>
        <w:rPr>
          <w:rStyle w:val="CommentReference"/>
        </w:rPr>
      </w:pPr>
      <w:r w:rsidRPr="00605035">
        <w:rPr>
          <w:rStyle w:val="CommentReference"/>
        </w:rPr>
        <w:lastRenderedPageBreak/>
        <w:t xml:space="preserve">Table </w:t>
      </w:r>
      <w:r w:rsidR="00F84586" w:rsidRPr="00605035">
        <w:rPr>
          <w:rStyle w:val="CommentReference"/>
        </w:rPr>
        <w:t>4</w:t>
      </w:r>
      <w:r w:rsidRPr="00605035">
        <w:rPr>
          <w:rStyle w:val="CommentReference"/>
        </w:rPr>
        <w:t>: Estimated use and financial implications</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61"/>
        <w:gridCol w:w="993"/>
        <w:gridCol w:w="992"/>
        <w:gridCol w:w="1134"/>
        <w:gridCol w:w="993"/>
        <w:gridCol w:w="1131"/>
      </w:tblGrid>
      <w:tr w:rsidR="00B608CF" w:rsidRPr="00605035" w:rsidTr="001E6A16">
        <w:trPr>
          <w:tblHeader/>
        </w:trPr>
        <w:tc>
          <w:tcPr>
            <w:tcW w:w="1917" w:type="pct"/>
            <w:shd w:val="clear" w:color="auto" w:fill="auto"/>
            <w:vAlign w:val="center"/>
          </w:tcPr>
          <w:p w:rsidR="0004231D" w:rsidRPr="00605035" w:rsidRDefault="0004231D" w:rsidP="00A5153B">
            <w:pPr>
              <w:keepNext/>
              <w:tabs>
                <w:tab w:val="left" w:pos="142"/>
              </w:tabs>
              <w:ind w:right="91"/>
              <w:jc w:val="left"/>
              <w:rPr>
                <w:rFonts w:ascii="Arial Narrow" w:hAnsi="Arial Narrow"/>
                <w:b/>
                <w:sz w:val="20"/>
              </w:rPr>
            </w:pPr>
          </w:p>
        </w:tc>
        <w:tc>
          <w:tcPr>
            <w:tcW w:w="584" w:type="pct"/>
            <w:shd w:val="clear" w:color="auto" w:fill="auto"/>
            <w:vAlign w:val="center"/>
          </w:tcPr>
          <w:p w:rsidR="0004231D" w:rsidRPr="00605035" w:rsidRDefault="0004231D" w:rsidP="00A5153B">
            <w:pPr>
              <w:keepNext/>
              <w:ind w:right="93"/>
              <w:jc w:val="center"/>
              <w:rPr>
                <w:rFonts w:ascii="Arial Narrow" w:hAnsi="Arial Narrow"/>
                <w:b/>
                <w:sz w:val="20"/>
              </w:rPr>
            </w:pPr>
            <w:r w:rsidRPr="00605035">
              <w:rPr>
                <w:rFonts w:ascii="Arial Narrow" w:hAnsi="Arial Narrow"/>
                <w:b/>
                <w:sz w:val="20"/>
              </w:rPr>
              <w:t>Year 1</w:t>
            </w:r>
          </w:p>
        </w:tc>
        <w:tc>
          <w:tcPr>
            <w:tcW w:w="583" w:type="pct"/>
            <w:shd w:val="clear" w:color="auto" w:fill="auto"/>
            <w:vAlign w:val="center"/>
          </w:tcPr>
          <w:p w:rsidR="0004231D" w:rsidRPr="00605035" w:rsidRDefault="0004231D" w:rsidP="00A5153B">
            <w:pPr>
              <w:keepNext/>
              <w:ind w:right="93"/>
              <w:jc w:val="center"/>
              <w:rPr>
                <w:rFonts w:ascii="Arial Narrow" w:hAnsi="Arial Narrow"/>
                <w:b/>
                <w:sz w:val="20"/>
              </w:rPr>
            </w:pPr>
            <w:r w:rsidRPr="00605035">
              <w:rPr>
                <w:rFonts w:ascii="Arial Narrow" w:hAnsi="Arial Narrow"/>
                <w:b/>
                <w:sz w:val="20"/>
              </w:rPr>
              <w:t>Year 2</w:t>
            </w:r>
          </w:p>
        </w:tc>
        <w:tc>
          <w:tcPr>
            <w:tcW w:w="667" w:type="pct"/>
            <w:shd w:val="clear" w:color="auto" w:fill="auto"/>
            <w:vAlign w:val="center"/>
          </w:tcPr>
          <w:p w:rsidR="0004231D" w:rsidRPr="00605035" w:rsidRDefault="0004231D" w:rsidP="00A5153B">
            <w:pPr>
              <w:keepNext/>
              <w:ind w:right="93"/>
              <w:jc w:val="center"/>
              <w:rPr>
                <w:rFonts w:ascii="Arial Narrow" w:hAnsi="Arial Narrow"/>
                <w:b/>
                <w:sz w:val="20"/>
              </w:rPr>
            </w:pPr>
            <w:r w:rsidRPr="00605035">
              <w:rPr>
                <w:rFonts w:ascii="Arial Narrow" w:hAnsi="Arial Narrow"/>
                <w:b/>
                <w:sz w:val="20"/>
              </w:rPr>
              <w:t>Year 3</w:t>
            </w:r>
          </w:p>
        </w:tc>
        <w:tc>
          <w:tcPr>
            <w:tcW w:w="584" w:type="pct"/>
            <w:shd w:val="clear" w:color="auto" w:fill="auto"/>
            <w:vAlign w:val="center"/>
          </w:tcPr>
          <w:p w:rsidR="0004231D" w:rsidRPr="00605035" w:rsidRDefault="0004231D" w:rsidP="00A5153B">
            <w:pPr>
              <w:keepNext/>
              <w:ind w:right="93"/>
              <w:jc w:val="center"/>
              <w:rPr>
                <w:rFonts w:ascii="Arial Narrow" w:hAnsi="Arial Narrow"/>
                <w:b/>
                <w:sz w:val="20"/>
              </w:rPr>
            </w:pPr>
            <w:r w:rsidRPr="00605035">
              <w:rPr>
                <w:rFonts w:ascii="Arial Narrow" w:hAnsi="Arial Narrow"/>
                <w:b/>
                <w:sz w:val="20"/>
              </w:rPr>
              <w:t>Year 4</w:t>
            </w:r>
          </w:p>
        </w:tc>
        <w:tc>
          <w:tcPr>
            <w:tcW w:w="666" w:type="pct"/>
            <w:shd w:val="clear" w:color="auto" w:fill="auto"/>
            <w:vAlign w:val="center"/>
          </w:tcPr>
          <w:p w:rsidR="0004231D" w:rsidRPr="00605035" w:rsidRDefault="0004231D" w:rsidP="00A5153B">
            <w:pPr>
              <w:keepNext/>
              <w:ind w:right="93"/>
              <w:jc w:val="center"/>
              <w:rPr>
                <w:rFonts w:ascii="Arial Narrow" w:hAnsi="Arial Narrow"/>
                <w:b/>
                <w:sz w:val="20"/>
              </w:rPr>
            </w:pPr>
            <w:r w:rsidRPr="00605035">
              <w:rPr>
                <w:rFonts w:ascii="Arial Narrow" w:hAnsi="Arial Narrow"/>
                <w:b/>
                <w:sz w:val="20"/>
              </w:rPr>
              <w:t>Year 5</w:t>
            </w:r>
          </w:p>
        </w:tc>
      </w:tr>
      <w:tr w:rsidR="0004231D" w:rsidRPr="00605035" w:rsidTr="001E6A16">
        <w:tc>
          <w:tcPr>
            <w:tcW w:w="5000" w:type="pct"/>
            <w:gridSpan w:val="6"/>
            <w:shd w:val="clear" w:color="auto" w:fill="auto"/>
            <w:vAlign w:val="center"/>
          </w:tcPr>
          <w:p w:rsidR="0004231D" w:rsidRPr="00605035" w:rsidRDefault="0004231D" w:rsidP="00A5153B">
            <w:pPr>
              <w:keepNext/>
              <w:ind w:right="91"/>
              <w:jc w:val="left"/>
              <w:rPr>
                <w:rFonts w:ascii="Arial Narrow" w:hAnsi="Arial Narrow"/>
                <w:b/>
                <w:bCs/>
                <w:color w:val="000000"/>
                <w:sz w:val="20"/>
              </w:rPr>
            </w:pPr>
            <w:r w:rsidRPr="00605035">
              <w:rPr>
                <w:rFonts w:ascii="Arial Narrow" w:hAnsi="Arial Narrow"/>
                <w:b/>
                <w:bCs/>
                <w:color w:val="000000"/>
                <w:sz w:val="20"/>
              </w:rPr>
              <w:t>Estimated extent of use</w:t>
            </w:r>
          </w:p>
        </w:tc>
      </w:tr>
      <w:tr w:rsidR="00760715" w:rsidRPr="00605035" w:rsidTr="001E6A16">
        <w:tc>
          <w:tcPr>
            <w:tcW w:w="1917" w:type="pct"/>
            <w:shd w:val="clear" w:color="auto" w:fill="auto"/>
            <w:vAlign w:val="center"/>
          </w:tcPr>
          <w:p w:rsidR="00760715" w:rsidRPr="00605035" w:rsidRDefault="00760715" w:rsidP="00A5153B">
            <w:pPr>
              <w:keepNext/>
              <w:tabs>
                <w:tab w:val="left" w:pos="142"/>
              </w:tabs>
              <w:ind w:right="91"/>
              <w:jc w:val="left"/>
              <w:rPr>
                <w:rFonts w:ascii="Arial Narrow" w:hAnsi="Arial Narrow"/>
                <w:sz w:val="20"/>
              </w:rPr>
            </w:pPr>
            <w:r w:rsidRPr="00605035">
              <w:rPr>
                <w:rFonts w:ascii="Arial Narrow" w:hAnsi="Arial Narrow"/>
                <w:sz w:val="20"/>
              </w:rPr>
              <w:t>Number treated</w:t>
            </w:r>
          </w:p>
        </w:tc>
        <w:tc>
          <w:tcPr>
            <w:tcW w:w="584" w:type="pct"/>
            <w:shd w:val="clear" w:color="auto" w:fill="auto"/>
            <w:vAlign w:val="center"/>
          </w:tcPr>
          <w:p w:rsidR="00760715" w:rsidRPr="002605CA" w:rsidRDefault="002605CA" w:rsidP="00A5153B">
            <w:pPr>
              <w:keepNext/>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83" w:type="pct"/>
            <w:shd w:val="clear" w:color="auto" w:fill="auto"/>
            <w:vAlign w:val="center"/>
          </w:tcPr>
          <w:p w:rsidR="00760715" w:rsidRPr="002605CA" w:rsidRDefault="002605CA" w:rsidP="00A5153B">
            <w:pPr>
              <w:keepNext/>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67" w:type="pct"/>
            <w:shd w:val="clear" w:color="auto" w:fill="auto"/>
            <w:vAlign w:val="center"/>
          </w:tcPr>
          <w:p w:rsidR="00760715" w:rsidRPr="002605CA" w:rsidRDefault="002605CA" w:rsidP="00A5153B">
            <w:pPr>
              <w:keepNext/>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84" w:type="pct"/>
            <w:shd w:val="clear" w:color="auto" w:fill="auto"/>
            <w:vAlign w:val="center"/>
          </w:tcPr>
          <w:p w:rsidR="00760715" w:rsidRPr="002605CA" w:rsidRDefault="002605CA" w:rsidP="00A5153B">
            <w:pPr>
              <w:keepNext/>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66" w:type="pct"/>
            <w:shd w:val="clear" w:color="auto" w:fill="auto"/>
            <w:vAlign w:val="center"/>
          </w:tcPr>
          <w:p w:rsidR="00760715" w:rsidRPr="002605CA" w:rsidRDefault="002605CA" w:rsidP="00A5153B">
            <w:pPr>
              <w:keepNext/>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983DB5" w:rsidRPr="00605035" w:rsidTr="001E6A16">
        <w:tc>
          <w:tcPr>
            <w:tcW w:w="1917" w:type="pct"/>
            <w:shd w:val="clear" w:color="auto" w:fill="auto"/>
            <w:vAlign w:val="center"/>
          </w:tcPr>
          <w:p w:rsidR="00983DB5" w:rsidRPr="00605035" w:rsidRDefault="00875A9D" w:rsidP="00A5153B">
            <w:pPr>
              <w:keepNext/>
              <w:tabs>
                <w:tab w:val="left" w:pos="142"/>
              </w:tabs>
              <w:ind w:right="91"/>
              <w:jc w:val="left"/>
              <w:rPr>
                <w:rFonts w:ascii="Arial Narrow" w:hAnsi="Arial Narrow"/>
                <w:sz w:val="20"/>
              </w:rPr>
            </w:pPr>
            <w:r w:rsidRPr="00605035">
              <w:rPr>
                <w:rFonts w:ascii="Arial Narrow" w:hAnsi="Arial Narrow"/>
                <w:sz w:val="20"/>
              </w:rPr>
              <w:t>Number treated</w:t>
            </w:r>
            <w:r w:rsidR="00983DB5" w:rsidRPr="00605035">
              <w:rPr>
                <w:rFonts w:ascii="Arial Narrow" w:hAnsi="Arial Narrow"/>
                <w:sz w:val="20"/>
              </w:rPr>
              <w:t xml:space="preserve"> March 2014</w:t>
            </w:r>
          </w:p>
        </w:tc>
        <w:tc>
          <w:tcPr>
            <w:tcW w:w="584" w:type="pct"/>
            <w:shd w:val="clear" w:color="auto" w:fill="auto"/>
            <w:vAlign w:val="center"/>
          </w:tcPr>
          <w:p w:rsidR="00983DB5" w:rsidRPr="00110A9D" w:rsidRDefault="00110A9D" w:rsidP="00A5153B">
            <w:pPr>
              <w:keepNext/>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583" w:type="pct"/>
            <w:shd w:val="clear" w:color="auto" w:fill="auto"/>
            <w:vAlign w:val="center"/>
          </w:tcPr>
          <w:p w:rsidR="00983DB5" w:rsidRPr="00110A9D" w:rsidRDefault="00110A9D" w:rsidP="00A5153B">
            <w:pPr>
              <w:keepNext/>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667" w:type="pct"/>
            <w:shd w:val="clear" w:color="auto" w:fill="auto"/>
            <w:vAlign w:val="center"/>
          </w:tcPr>
          <w:p w:rsidR="00983DB5" w:rsidRPr="00110A9D" w:rsidRDefault="00110A9D" w:rsidP="00A5153B">
            <w:pPr>
              <w:keepNext/>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584" w:type="pct"/>
            <w:shd w:val="clear" w:color="auto" w:fill="auto"/>
            <w:vAlign w:val="center"/>
          </w:tcPr>
          <w:p w:rsidR="00983DB5" w:rsidRPr="00110A9D" w:rsidRDefault="00110A9D" w:rsidP="00A5153B">
            <w:pPr>
              <w:keepNext/>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666" w:type="pct"/>
            <w:shd w:val="clear" w:color="auto" w:fill="auto"/>
            <w:vAlign w:val="center"/>
          </w:tcPr>
          <w:p w:rsidR="00983DB5" w:rsidRPr="00110A9D" w:rsidRDefault="00110A9D" w:rsidP="00A5153B">
            <w:pPr>
              <w:keepNext/>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r>
      <w:tr w:rsidR="00983DB5" w:rsidRPr="00605035" w:rsidTr="001E6A16">
        <w:tc>
          <w:tcPr>
            <w:tcW w:w="1917" w:type="pct"/>
            <w:shd w:val="clear" w:color="auto" w:fill="auto"/>
            <w:vAlign w:val="center"/>
          </w:tcPr>
          <w:p w:rsidR="00983DB5" w:rsidRPr="00605035" w:rsidRDefault="00983DB5" w:rsidP="001E6A16">
            <w:pPr>
              <w:tabs>
                <w:tab w:val="left" w:pos="142"/>
              </w:tabs>
              <w:ind w:right="91"/>
              <w:jc w:val="left"/>
              <w:rPr>
                <w:rFonts w:ascii="Arial Narrow" w:hAnsi="Arial Narrow"/>
                <w:sz w:val="20"/>
              </w:rPr>
            </w:pPr>
            <w:r w:rsidRPr="00605035">
              <w:rPr>
                <w:rFonts w:ascii="Arial Narrow" w:hAnsi="Arial Narrow"/>
                <w:sz w:val="20"/>
              </w:rPr>
              <w:t>Uptake from fentanyl lozenge</w:t>
            </w:r>
          </w:p>
        </w:tc>
        <w:tc>
          <w:tcPr>
            <w:tcW w:w="584"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hAnsi="Arial Narrow"/>
                <w:noProof/>
                <w:color w:val="000000"/>
                <w:sz w:val="20"/>
                <w:highlight w:val="black"/>
              </w:rPr>
              <w:t>'''''</w:t>
            </w:r>
            <w:r w:rsidR="00983DB5" w:rsidRPr="002605CA">
              <w:rPr>
                <w:rFonts w:ascii="Arial Narrow" w:hAnsi="Arial Narrow"/>
                <w:sz w:val="20"/>
              </w:rPr>
              <w:t>%</w:t>
            </w:r>
          </w:p>
        </w:tc>
        <w:tc>
          <w:tcPr>
            <w:tcW w:w="583"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hAnsi="Arial Narrow"/>
                <w:noProof/>
                <w:color w:val="000000"/>
                <w:sz w:val="20"/>
                <w:highlight w:val="black"/>
              </w:rPr>
              <w:t>'''''</w:t>
            </w:r>
            <w:r w:rsidR="00983DB5" w:rsidRPr="002605CA">
              <w:rPr>
                <w:rFonts w:ascii="Arial Narrow" w:hAnsi="Arial Narrow"/>
                <w:sz w:val="20"/>
              </w:rPr>
              <w:t>%</w:t>
            </w:r>
          </w:p>
        </w:tc>
        <w:tc>
          <w:tcPr>
            <w:tcW w:w="667"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hAnsi="Arial Narrow"/>
                <w:noProof/>
                <w:color w:val="000000"/>
                <w:sz w:val="20"/>
                <w:highlight w:val="black"/>
              </w:rPr>
              <w:t>''''''</w:t>
            </w:r>
            <w:r w:rsidR="00983DB5" w:rsidRPr="002605CA">
              <w:rPr>
                <w:rFonts w:ascii="Arial Narrow" w:hAnsi="Arial Narrow"/>
                <w:sz w:val="20"/>
              </w:rPr>
              <w:t>%</w:t>
            </w:r>
          </w:p>
        </w:tc>
        <w:tc>
          <w:tcPr>
            <w:tcW w:w="584"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hAnsi="Arial Narrow"/>
                <w:noProof/>
                <w:color w:val="000000"/>
                <w:sz w:val="20"/>
                <w:highlight w:val="black"/>
              </w:rPr>
              <w:t>'''''''</w:t>
            </w:r>
            <w:r w:rsidR="00983DB5" w:rsidRPr="002605CA">
              <w:rPr>
                <w:rFonts w:ascii="Arial Narrow" w:hAnsi="Arial Narrow"/>
                <w:sz w:val="20"/>
              </w:rPr>
              <w:t>%</w:t>
            </w:r>
          </w:p>
        </w:tc>
        <w:tc>
          <w:tcPr>
            <w:tcW w:w="666"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hAnsi="Arial Narrow"/>
                <w:noProof/>
                <w:color w:val="000000"/>
                <w:sz w:val="20"/>
                <w:highlight w:val="black"/>
              </w:rPr>
              <w:t>''''''</w:t>
            </w:r>
            <w:r w:rsidR="00983DB5" w:rsidRPr="002605CA">
              <w:rPr>
                <w:rFonts w:ascii="Arial Narrow" w:hAnsi="Arial Narrow"/>
                <w:sz w:val="20"/>
              </w:rPr>
              <w:t>%</w:t>
            </w:r>
          </w:p>
        </w:tc>
      </w:tr>
      <w:tr w:rsidR="00983DB5" w:rsidRPr="00605035" w:rsidTr="001E6A16">
        <w:tc>
          <w:tcPr>
            <w:tcW w:w="1917" w:type="pct"/>
            <w:shd w:val="clear" w:color="auto" w:fill="auto"/>
            <w:vAlign w:val="center"/>
          </w:tcPr>
          <w:p w:rsidR="00983DB5" w:rsidRPr="00605035" w:rsidRDefault="00983DB5" w:rsidP="001E6A16">
            <w:pPr>
              <w:tabs>
                <w:tab w:val="left" w:pos="142"/>
              </w:tabs>
              <w:ind w:right="91"/>
              <w:jc w:val="left"/>
              <w:rPr>
                <w:rFonts w:ascii="Arial Narrow" w:hAnsi="Arial Narrow"/>
                <w:sz w:val="20"/>
              </w:rPr>
            </w:pPr>
            <w:r w:rsidRPr="00605035">
              <w:rPr>
                <w:rFonts w:ascii="Arial Narrow" w:hAnsi="Arial Narrow"/>
                <w:sz w:val="20"/>
              </w:rPr>
              <w:t xml:space="preserve">Uptake </w:t>
            </w:r>
            <w:r w:rsidR="000142DC" w:rsidRPr="00605035">
              <w:rPr>
                <w:rFonts w:ascii="Arial Narrow" w:hAnsi="Arial Narrow"/>
                <w:sz w:val="20"/>
              </w:rPr>
              <w:t>from fentanyl lozenge</w:t>
            </w:r>
            <w:r w:rsidRPr="00605035">
              <w:rPr>
                <w:rFonts w:ascii="Arial Narrow" w:hAnsi="Arial Narrow"/>
                <w:sz w:val="20"/>
              </w:rPr>
              <w:t xml:space="preserve"> March 2014</w:t>
            </w:r>
          </w:p>
        </w:tc>
        <w:tc>
          <w:tcPr>
            <w:tcW w:w="584"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hAnsi="Arial Narrow"/>
                <w:noProof/>
                <w:color w:val="000000"/>
                <w:sz w:val="20"/>
                <w:highlight w:val="black"/>
              </w:rPr>
              <w:t>''''''</w:t>
            </w:r>
            <w:r w:rsidR="00983DB5" w:rsidRPr="002605CA">
              <w:rPr>
                <w:rFonts w:ascii="Arial Narrow" w:hAnsi="Arial Narrow"/>
                <w:sz w:val="20"/>
              </w:rPr>
              <w:t>%</w:t>
            </w:r>
          </w:p>
        </w:tc>
        <w:tc>
          <w:tcPr>
            <w:tcW w:w="583"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hAnsi="Arial Narrow"/>
                <w:noProof/>
                <w:color w:val="000000"/>
                <w:sz w:val="20"/>
                <w:highlight w:val="black"/>
              </w:rPr>
              <w:t>'''''</w:t>
            </w:r>
            <w:r w:rsidR="00983DB5" w:rsidRPr="002605CA">
              <w:rPr>
                <w:rFonts w:ascii="Arial Narrow" w:hAnsi="Arial Narrow"/>
                <w:sz w:val="20"/>
              </w:rPr>
              <w:t>%</w:t>
            </w:r>
          </w:p>
        </w:tc>
        <w:tc>
          <w:tcPr>
            <w:tcW w:w="667"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hAnsi="Arial Narrow"/>
                <w:noProof/>
                <w:color w:val="000000"/>
                <w:sz w:val="20"/>
                <w:highlight w:val="black"/>
              </w:rPr>
              <w:t>''''''</w:t>
            </w:r>
            <w:r w:rsidR="00983DB5" w:rsidRPr="002605CA">
              <w:rPr>
                <w:rFonts w:ascii="Arial Narrow" w:hAnsi="Arial Narrow"/>
                <w:sz w:val="20"/>
              </w:rPr>
              <w:t>%</w:t>
            </w:r>
          </w:p>
        </w:tc>
        <w:tc>
          <w:tcPr>
            <w:tcW w:w="584"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hAnsi="Arial Narrow"/>
                <w:noProof/>
                <w:color w:val="000000"/>
                <w:sz w:val="20"/>
                <w:highlight w:val="black"/>
              </w:rPr>
              <w:t>''''''</w:t>
            </w:r>
            <w:r w:rsidR="00983DB5" w:rsidRPr="002605CA">
              <w:rPr>
                <w:rFonts w:ascii="Arial Narrow" w:hAnsi="Arial Narrow"/>
                <w:sz w:val="20"/>
              </w:rPr>
              <w:t>%</w:t>
            </w:r>
          </w:p>
        </w:tc>
        <w:tc>
          <w:tcPr>
            <w:tcW w:w="666"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hAnsi="Arial Narrow"/>
                <w:noProof/>
                <w:color w:val="000000"/>
                <w:sz w:val="20"/>
                <w:highlight w:val="black"/>
              </w:rPr>
              <w:t>'''''''</w:t>
            </w:r>
            <w:r w:rsidR="00983DB5" w:rsidRPr="002605CA">
              <w:rPr>
                <w:rFonts w:ascii="Arial Narrow" w:hAnsi="Arial Narrow"/>
                <w:sz w:val="20"/>
              </w:rPr>
              <w:t>%</w:t>
            </w:r>
          </w:p>
        </w:tc>
      </w:tr>
      <w:tr w:rsidR="00343581" w:rsidRPr="00605035" w:rsidTr="001E6A16">
        <w:tc>
          <w:tcPr>
            <w:tcW w:w="1917" w:type="pct"/>
            <w:shd w:val="clear" w:color="auto" w:fill="auto"/>
            <w:vAlign w:val="center"/>
          </w:tcPr>
          <w:p w:rsidR="00983DB5" w:rsidRPr="00605035" w:rsidRDefault="000142DC" w:rsidP="001E6A16">
            <w:pPr>
              <w:tabs>
                <w:tab w:val="left" w:pos="142"/>
              </w:tabs>
              <w:ind w:right="91"/>
              <w:jc w:val="left"/>
              <w:rPr>
                <w:rFonts w:ascii="Arial Narrow" w:hAnsi="Arial Narrow"/>
                <w:sz w:val="20"/>
              </w:rPr>
            </w:pPr>
            <w:r w:rsidRPr="00605035">
              <w:rPr>
                <w:rFonts w:ascii="Arial Narrow" w:hAnsi="Arial Narrow"/>
                <w:sz w:val="20"/>
              </w:rPr>
              <w:t xml:space="preserve">Uptake </w:t>
            </w:r>
            <w:r w:rsidR="00983DB5" w:rsidRPr="00605035">
              <w:rPr>
                <w:rFonts w:ascii="Arial Narrow" w:hAnsi="Arial Narrow"/>
                <w:sz w:val="20"/>
              </w:rPr>
              <w:t xml:space="preserve"> from </w:t>
            </w:r>
            <w:r w:rsidRPr="00605035">
              <w:rPr>
                <w:rFonts w:ascii="Arial Narrow" w:hAnsi="Arial Narrow"/>
                <w:sz w:val="20"/>
              </w:rPr>
              <w:t>IR</w:t>
            </w:r>
            <w:r w:rsidR="00983DB5" w:rsidRPr="00605035">
              <w:rPr>
                <w:rFonts w:ascii="Arial Narrow" w:hAnsi="Arial Narrow"/>
                <w:sz w:val="20"/>
              </w:rPr>
              <w:t xml:space="preserve"> opioids</w:t>
            </w:r>
          </w:p>
        </w:tc>
        <w:tc>
          <w:tcPr>
            <w:tcW w:w="584"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hAnsi="Arial Narrow"/>
                <w:noProof/>
                <w:color w:val="000000"/>
                <w:sz w:val="20"/>
                <w:highlight w:val="black"/>
              </w:rPr>
              <w:t>''''''</w:t>
            </w:r>
            <w:r w:rsidR="00983DB5" w:rsidRPr="002605CA">
              <w:rPr>
                <w:rFonts w:ascii="Arial Narrow" w:hAnsi="Arial Narrow"/>
                <w:sz w:val="20"/>
              </w:rPr>
              <w:t>%</w:t>
            </w:r>
          </w:p>
        </w:tc>
        <w:tc>
          <w:tcPr>
            <w:tcW w:w="583"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hAnsi="Arial Narrow"/>
                <w:noProof/>
                <w:color w:val="000000"/>
                <w:sz w:val="20"/>
                <w:highlight w:val="black"/>
              </w:rPr>
              <w:t>'''''</w:t>
            </w:r>
            <w:r w:rsidRPr="002605CA">
              <w:rPr>
                <w:rFonts w:ascii="Arial Narrow" w:hAnsi="Arial Narrow"/>
                <w:noProof/>
                <w:color w:val="000000"/>
                <w:sz w:val="20"/>
              </w:rPr>
              <w:t>'</w:t>
            </w:r>
            <w:r w:rsidR="00983DB5" w:rsidRPr="002605CA">
              <w:rPr>
                <w:rFonts w:ascii="Arial Narrow" w:hAnsi="Arial Narrow"/>
                <w:sz w:val="20"/>
              </w:rPr>
              <w:t>%</w:t>
            </w:r>
          </w:p>
        </w:tc>
        <w:tc>
          <w:tcPr>
            <w:tcW w:w="667"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hAnsi="Arial Narrow"/>
                <w:noProof/>
                <w:color w:val="000000"/>
                <w:sz w:val="20"/>
                <w:highlight w:val="black"/>
              </w:rPr>
              <w:t>''''''</w:t>
            </w:r>
            <w:r w:rsidR="00983DB5" w:rsidRPr="002605CA">
              <w:rPr>
                <w:rFonts w:ascii="Arial Narrow" w:hAnsi="Arial Narrow"/>
                <w:sz w:val="20"/>
              </w:rPr>
              <w:t>%</w:t>
            </w:r>
          </w:p>
        </w:tc>
        <w:tc>
          <w:tcPr>
            <w:tcW w:w="584"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hAnsi="Arial Narrow"/>
                <w:noProof/>
                <w:color w:val="000000"/>
                <w:sz w:val="20"/>
                <w:highlight w:val="black"/>
              </w:rPr>
              <w:t>'''''''</w:t>
            </w:r>
            <w:r w:rsidR="00983DB5" w:rsidRPr="002605CA">
              <w:rPr>
                <w:rFonts w:ascii="Arial Narrow" w:hAnsi="Arial Narrow"/>
                <w:sz w:val="20"/>
              </w:rPr>
              <w:t>%</w:t>
            </w:r>
          </w:p>
        </w:tc>
        <w:tc>
          <w:tcPr>
            <w:tcW w:w="666"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hAnsi="Arial Narrow"/>
                <w:noProof/>
                <w:color w:val="000000"/>
                <w:sz w:val="20"/>
                <w:highlight w:val="black"/>
              </w:rPr>
              <w:t>'''''''</w:t>
            </w:r>
            <w:r w:rsidR="00983DB5" w:rsidRPr="002605CA">
              <w:rPr>
                <w:rFonts w:ascii="Arial Narrow" w:hAnsi="Arial Narrow"/>
                <w:sz w:val="20"/>
              </w:rPr>
              <w:t>%</w:t>
            </w:r>
          </w:p>
        </w:tc>
      </w:tr>
      <w:tr w:rsidR="00343581" w:rsidRPr="00605035" w:rsidTr="001E6A16">
        <w:tc>
          <w:tcPr>
            <w:tcW w:w="1917" w:type="pct"/>
            <w:shd w:val="clear" w:color="auto" w:fill="auto"/>
            <w:vAlign w:val="center"/>
          </w:tcPr>
          <w:p w:rsidR="00983DB5" w:rsidRPr="00605035" w:rsidRDefault="00983DB5" w:rsidP="001E6A16">
            <w:pPr>
              <w:tabs>
                <w:tab w:val="left" w:pos="142"/>
              </w:tabs>
              <w:ind w:right="91"/>
              <w:jc w:val="left"/>
              <w:rPr>
                <w:rFonts w:ascii="Arial Narrow" w:hAnsi="Arial Narrow"/>
                <w:sz w:val="20"/>
              </w:rPr>
            </w:pPr>
            <w:r w:rsidRPr="00605035">
              <w:rPr>
                <w:rFonts w:ascii="Arial Narrow" w:hAnsi="Arial Narrow"/>
                <w:sz w:val="20"/>
              </w:rPr>
              <w:t xml:space="preserve">Uptake from </w:t>
            </w:r>
            <w:r w:rsidR="000142DC" w:rsidRPr="00605035">
              <w:rPr>
                <w:rFonts w:ascii="Arial Narrow" w:hAnsi="Arial Narrow"/>
                <w:sz w:val="20"/>
              </w:rPr>
              <w:t>IR</w:t>
            </w:r>
            <w:r w:rsidRPr="00605035">
              <w:rPr>
                <w:rFonts w:ascii="Arial Narrow" w:hAnsi="Arial Narrow"/>
                <w:sz w:val="20"/>
              </w:rPr>
              <w:t xml:space="preserve"> opioids March 2014</w:t>
            </w:r>
          </w:p>
        </w:tc>
        <w:tc>
          <w:tcPr>
            <w:tcW w:w="584"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eastAsia="SimSun" w:hAnsi="Arial Narrow"/>
                <w:bCs/>
                <w:noProof/>
                <w:color w:val="000000"/>
                <w:sz w:val="20"/>
                <w:highlight w:val="black"/>
                <w:lang w:eastAsia="en-AU"/>
              </w:rPr>
              <w:t>'''</w:t>
            </w:r>
            <w:r w:rsidR="005B5705" w:rsidRPr="002605CA">
              <w:rPr>
                <w:rFonts w:ascii="Arial Narrow" w:eastAsia="SimSun" w:hAnsi="Arial Narrow"/>
                <w:bCs/>
                <w:sz w:val="20"/>
                <w:lang w:eastAsia="en-AU"/>
              </w:rPr>
              <w:t>%</w:t>
            </w:r>
          </w:p>
        </w:tc>
        <w:tc>
          <w:tcPr>
            <w:tcW w:w="583"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eastAsia="SimSun" w:hAnsi="Arial Narrow"/>
                <w:bCs/>
                <w:noProof/>
                <w:color w:val="000000"/>
                <w:sz w:val="20"/>
                <w:highlight w:val="black"/>
                <w:lang w:eastAsia="en-AU"/>
              </w:rPr>
              <w:t>'''</w:t>
            </w:r>
            <w:r w:rsidR="005B5705" w:rsidRPr="002605CA">
              <w:rPr>
                <w:rFonts w:ascii="Arial Narrow" w:eastAsia="SimSun" w:hAnsi="Arial Narrow"/>
                <w:bCs/>
                <w:sz w:val="20"/>
                <w:lang w:eastAsia="en-AU"/>
              </w:rPr>
              <w:t>%</w:t>
            </w:r>
          </w:p>
        </w:tc>
        <w:tc>
          <w:tcPr>
            <w:tcW w:w="667"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eastAsia="SimSun" w:hAnsi="Arial Narrow"/>
                <w:bCs/>
                <w:noProof/>
                <w:color w:val="000000"/>
                <w:sz w:val="20"/>
                <w:highlight w:val="black"/>
                <w:lang w:eastAsia="en-AU"/>
              </w:rPr>
              <w:t>''''</w:t>
            </w:r>
            <w:r w:rsidR="005B5705" w:rsidRPr="002605CA">
              <w:rPr>
                <w:rFonts w:ascii="Arial Narrow" w:eastAsia="SimSun" w:hAnsi="Arial Narrow"/>
                <w:bCs/>
                <w:sz w:val="20"/>
                <w:lang w:eastAsia="en-AU"/>
              </w:rPr>
              <w:t>%</w:t>
            </w:r>
          </w:p>
        </w:tc>
        <w:tc>
          <w:tcPr>
            <w:tcW w:w="584"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eastAsia="SimSun" w:hAnsi="Arial Narrow"/>
                <w:bCs/>
                <w:noProof/>
                <w:color w:val="000000"/>
                <w:sz w:val="20"/>
                <w:highlight w:val="black"/>
                <w:lang w:eastAsia="en-AU"/>
              </w:rPr>
              <w:t>'''</w:t>
            </w:r>
            <w:r w:rsidR="005B5705" w:rsidRPr="002605CA">
              <w:rPr>
                <w:rFonts w:ascii="Arial Narrow" w:eastAsia="SimSun" w:hAnsi="Arial Narrow"/>
                <w:bCs/>
                <w:sz w:val="20"/>
                <w:lang w:eastAsia="en-AU"/>
              </w:rPr>
              <w:t>%</w:t>
            </w:r>
          </w:p>
        </w:tc>
        <w:tc>
          <w:tcPr>
            <w:tcW w:w="666" w:type="pct"/>
            <w:shd w:val="clear" w:color="auto" w:fill="auto"/>
            <w:vAlign w:val="center"/>
          </w:tcPr>
          <w:p w:rsidR="00983DB5" w:rsidRPr="00DF12C7" w:rsidRDefault="002605CA" w:rsidP="005B5705">
            <w:pPr>
              <w:ind w:right="93"/>
              <w:jc w:val="center"/>
              <w:rPr>
                <w:rFonts w:ascii="Arial Narrow" w:hAnsi="Arial Narrow"/>
                <w:sz w:val="20"/>
                <w:highlight w:val="lightGray"/>
              </w:rPr>
            </w:pPr>
            <w:r>
              <w:rPr>
                <w:rFonts w:ascii="Arial Narrow" w:eastAsia="SimSun" w:hAnsi="Arial Narrow"/>
                <w:bCs/>
                <w:noProof/>
                <w:color w:val="000000"/>
                <w:sz w:val="20"/>
                <w:highlight w:val="black"/>
                <w:lang w:eastAsia="en-AU"/>
              </w:rPr>
              <w:t>''''</w:t>
            </w:r>
            <w:r w:rsidR="005B5705" w:rsidRPr="002605CA">
              <w:rPr>
                <w:rFonts w:ascii="Arial Narrow" w:eastAsia="SimSun" w:hAnsi="Arial Narrow"/>
                <w:bCs/>
                <w:sz w:val="20"/>
                <w:lang w:eastAsia="en-AU"/>
              </w:rPr>
              <w:t>%</w:t>
            </w:r>
          </w:p>
        </w:tc>
      </w:tr>
      <w:tr w:rsidR="00343581" w:rsidRPr="00605035" w:rsidTr="001E6A16">
        <w:tc>
          <w:tcPr>
            <w:tcW w:w="1917" w:type="pct"/>
            <w:shd w:val="clear" w:color="auto" w:fill="auto"/>
            <w:vAlign w:val="center"/>
          </w:tcPr>
          <w:p w:rsidR="00875A9D" w:rsidRPr="00605035" w:rsidRDefault="00875A9D" w:rsidP="001E6A16">
            <w:pPr>
              <w:tabs>
                <w:tab w:val="left" w:pos="142"/>
              </w:tabs>
              <w:ind w:right="91"/>
              <w:jc w:val="left"/>
              <w:rPr>
                <w:rFonts w:ascii="Arial Narrow" w:hAnsi="Arial Narrow"/>
                <w:sz w:val="20"/>
              </w:rPr>
            </w:pPr>
            <w:r w:rsidRPr="00605035">
              <w:rPr>
                <w:rFonts w:ascii="Arial Narrow" w:hAnsi="Arial Narrow"/>
                <w:sz w:val="20"/>
              </w:rPr>
              <w:t>Total initiation scripts</w:t>
            </w:r>
          </w:p>
        </w:tc>
        <w:tc>
          <w:tcPr>
            <w:tcW w:w="584" w:type="pct"/>
            <w:shd w:val="clear" w:color="auto" w:fill="auto"/>
            <w:vAlign w:val="center"/>
          </w:tcPr>
          <w:p w:rsidR="00875A9D" w:rsidRPr="002605CA" w:rsidRDefault="002605CA" w:rsidP="005B5705">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583" w:type="pct"/>
            <w:shd w:val="clear" w:color="auto" w:fill="auto"/>
            <w:vAlign w:val="center"/>
          </w:tcPr>
          <w:p w:rsidR="00875A9D" w:rsidRPr="002605CA" w:rsidRDefault="002605CA" w:rsidP="005B5705">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67" w:type="pct"/>
            <w:shd w:val="clear" w:color="auto" w:fill="auto"/>
            <w:vAlign w:val="center"/>
          </w:tcPr>
          <w:p w:rsidR="00875A9D" w:rsidRPr="002605CA" w:rsidRDefault="002605CA" w:rsidP="005B5705">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584" w:type="pct"/>
            <w:shd w:val="clear" w:color="auto" w:fill="auto"/>
            <w:vAlign w:val="center"/>
          </w:tcPr>
          <w:p w:rsidR="00875A9D" w:rsidRPr="002605CA" w:rsidRDefault="002605CA" w:rsidP="005B5705">
            <w:pPr>
              <w:ind w:right="93"/>
              <w:jc w:val="center"/>
              <w:rPr>
                <w:rFonts w:ascii="Arial Narrow" w:hAnsi="Arial Narrow"/>
                <w:bCs/>
                <w:sz w:val="20"/>
                <w:highlight w:val="black"/>
              </w:rPr>
            </w:pPr>
            <w:r>
              <w:rPr>
                <w:rFonts w:ascii="Arial Narrow" w:hAnsi="Arial Narrow"/>
                <w:noProof/>
                <w:color w:val="000000"/>
                <w:sz w:val="20"/>
                <w:highlight w:val="black"/>
              </w:rPr>
              <w:t>''''''''''''''''</w:t>
            </w:r>
          </w:p>
        </w:tc>
        <w:tc>
          <w:tcPr>
            <w:tcW w:w="666" w:type="pct"/>
            <w:shd w:val="clear" w:color="auto" w:fill="auto"/>
            <w:vAlign w:val="center"/>
          </w:tcPr>
          <w:p w:rsidR="00875A9D" w:rsidRPr="002605CA" w:rsidRDefault="002605CA" w:rsidP="005B5705">
            <w:pPr>
              <w:ind w:right="93"/>
              <w:jc w:val="center"/>
              <w:rPr>
                <w:rFonts w:ascii="Arial Narrow" w:hAnsi="Arial Narrow"/>
                <w:bCs/>
                <w:sz w:val="20"/>
                <w:highlight w:val="black"/>
              </w:rPr>
            </w:pPr>
            <w:r>
              <w:rPr>
                <w:rFonts w:ascii="Arial Narrow" w:hAnsi="Arial Narrow"/>
                <w:noProof/>
                <w:color w:val="000000"/>
                <w:sz w:val="20"/>
                <w:highlight w:val="black"/>
              </w:rPr>
              <w:t>''''''''''''''''</w:t>
            </w:r>
          </w:p>
        </w:tc>
      </w:tr>
      <w:tr w:rsidR="00343581" w:rsidRPr="00605035" w:rsidTr="001E6A16">
        <w:tc>
          <w:tcPr>
            <w:tcW w:w="1917" w:type="pct"/>
            <w:shd w:val="clear" w:color="auto" w:fill="auto"/>
            <w:vAlign w:val="center"/>
          </w:tcPr>
          <w:p w:rsidR="00875A9D" w:rsidRPr="00605035" w:rsidRDefault="00875A9D" w:rsidP="001E6A16">
            <w:pPr>
              <w:tabs>
                <w:tab w:val="left" w:pos="142"/>
              </w:tabs>
              <w:ind w:right="91"/>
              <w:jc w:val="left"/>
              <w:rPr>
                <w:rFonts w:ascii="Arial Narrow" w:hAnsi="Arial Narrow"/>
                <w:sz w:val="20"/>
              </w:rPr>
            </w:pPr>
            <w:r w:rsidRPr="00605035">
              <w:rPr>
                <w:rFonts w:ascii="Arial Narrow" w:hAnsi="Arial Narrow"/>
                <w:sz w:val="20"/>
              </w:rPr>
              <w:t>Total initiation scripts March 2014</w:t>
            </w:r>
          </w:p>
        </w:tc>
        <w:tc>
          <w:tcPr>
            <w:tcW w:w="584" w:type="pct"/>
            <w:shd w:val="clear" w:color="auto" w:fill="auto"/>
            <w:vAlign w:val="center"/>
          </w:tcPr>
          <w:p w:rsidR="00875A9D" w:rsidRPr="00110A9D" w:rsidRDefault="00110A9D" w:rsidP="005B5705">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583" w:type="pct"/>
            <w:shd w:val="clear" w:color="auto" w:fill="auto"/>
            <w:vAlign w:val="center"/>
          </w:tcPr>
          <w:p w:rsidR="00875A9D" w:rsidRPr="00110A9D" w:rsidRDefault="00110A9D" w:rsidP="005B5705">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667" w:type="pct"/>
            <w:shd w:val="clear" w:color="auto" w:fill="auto"/>
            <w:vAlign w:val="center"/>
          </w:tcPr>
          <w:p w:rsidR="00875A9D" w:rsidRPr="00110A9D" w:rsidRDefault="00110A9D" w:rsidP="005B5705">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584" w:type="pct"/>
            <w:shd w:val="clear" w:color="auto" w:fill="auto"/>
            <w:vAlign w:val="center"/>
          </w:tcPr>
          <w:p w:rsidR="00875A9D" w:rsidRPr="00110A9D" w:rsidRDefault="00110A9D" w:rsidP="005B5705">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c>
          <w:tcPr>
            <w:tcW w:w="666" w:type="pct"/>
            <w:shd w:val="clear" w:color="auto" w:fill="auto"/>
            <w:vAlign w:val="center"/>
          </w:tcPr>
          <w:p w:rsidR="00875A9D" w:rsidRPr="00110A9D" w:rsidRDefault="00110A9D" w:rsidP="005B5705">
            <w:pPr>
              <w:ind w:right="93"/>
              <w:jc w:val="center"/>
              <w:rPr>
                <w:rFonts w:ascii="Arial Narrow" w:hAnsi="Arial Narrow"/>
                <w:bCs/>
                <w:sz w:val="20"/>
                <w:highlight w:val="black"/>
              </w:rPr>
            </w:pPr>
            <w:r>
              <w:rPr>
                <w:rFonts w:ascii="Arial Narrow" w:eastAsia="SimSun" w:hAnsi="Arial Narrow"/>
                <w:bCs/>
                <w:noProof/>
                <w:color w:val="000000"/>
                <w:sz w:val="20"/>
                <w:highlight w:val="black"/>
                <w:lang w:eastAsia="en-AU"/>
              </w:rPr>
              <w:t>'''''''''</w:t>
            </w:r>
          </w:p>
        </w:tc>
      </w:tr>
      <w:tr w:rsidR="00875A9D" w:rsidRPr="00605035" w:rsidTr="001E6A16">
        <w:tc>
          <w:tcPr>
            <w:tcW w:w="1917" w:type="pct"/>
            <w:shd w:val="clear" w:color="auto" w:fill="auto"/>
            <w:vAlign w:val="center"/>
          </w:tcPr>
          <w:p w:rsidR="00875A9D" w:rsidRPr="00605035" w:rsidRDefault="00875A9D" w:rsidP="001E6A16">
            <w:pPr>
              <w:tabs>
                <w:tab w:val="left" w:pos="142"/>
              </w:tabs>
              <w:ind w:right="91"/>
              <w:jc w:val="left"/>
              <w:rPr>
                <w:rFonts w:ascii="Arial Narrow" w:hAnsi="Arial Narrow"/>
                <w:sz w:val="20"/>
              </w:rPr>
            </w:pPr>
            <w:r w:rsidRPr="00605035">
              <w:rPr>
                <w:rFonts w:ascii="Arial Narrow" w:hAnsi="Arial Narrow"/>
                <w:sz w:val="20"/>
              </w:rPr>
              <w:t>Total continuation scripts</w:t>
            </w:r>
          </w:p>
        </w:tc>
        <w:tc>
          <w:tcPr>
            <w:tcW w:w="584" w:type="pct"/>
            <w:shd w:val="clear" w:color="auto" w:fill="auto"/>
            <w:vAlign w:val="center"/>
          </w:tcPr>
          <w:p w:rsidR="00875A9D" w:rsidRPr="002605CA" w:rsidRDefault="002605CA" w:rsidP="005B5705">
            <w:pPr>
              <w:ind w:right="93"/>
              <w:jc w:val="center"/>
              <w:rPr>
                <w:rFonts w:ascii="Arial Narrow" w:hAnsi="Arial Narrow"/>
                <w:sz w:val="20"/>
                <w:highlight w:val="black"/>
              </w:rPr>
            </w:pPr>
            <w:r>
              <w:rPr>
                <w:rFonts w:ascii="Arial Narrow" w:hAnsi="Arial Narrow"/>
                <w:noProof/>
                <w:color w:val="000000"/>
                <w:sz w:val="20"/>
                <w:highlight w:val="black"/>
              </w:rPr>
              <w:t>'''''''''''''''</w:t>
            </w:r>
          </w:p>
        </w:tc>
        <w:tc>
          <w:tcPr>
            <w:tcW w:w="583" w:type="pct"/>
            <w:shd w:val="clear" w:color="auto" w:fill="auto"/>
            <w:vAlign w:val="center"/>
          </w:tcPr>
          <w:p w:rsidR="00875A9D" w:rsidRPr="002605CA" w:rsidRDefault="002605CA" w:rsidP="005B5705">
            <w:pPr>
              <w:ind w:right="93"/>
              <w:jc w:val="center"/>
              <w:rPr>
                <w:rFonts w:ascii="Arial Narrow" w:hAnsi="Arial Narrow"/>
                <w:sz w:val="20"/>
                <w:highlight w:val="black"/>
              </w:rPr>
            </w:pPr>
            <w:r>
              <w:rPr>
                <w:rFonts w:ascii="Arial Narrow" w:hAnsi="Arial Narrow"/>
                <w:noProof/>
                <w:color w:val="000000"/>
                <w:sz w:val="20"/>
                <w:highlight w:val="black"/>
              </w:rPr>
              <w:t>''''''''''''''''''</w:t>
            </w:r>
          </w:p>
        </w:tc>
        <w:tc>
          <w:tcPr>
            <w:tcW w:w="667" w:type="pct"/>
            <w:shd w:val="clear" w:color="auto" w:fill="auto"/>
            <w:vAlign w:val="center"/>
          </w:tcPr>
          <w:p w:rsidR="00875A9D" w:rsidRPr="002605CA" w:rsidRDefault="002605CA" w:rsidP="005B5705">
            <w:pPr>
              <w:ind w:right="93"/>
              <w:jc w:val="center"/>
              <w:rPr>
                <w:rFonts w:ascii="Arial Narrow" w:hAnsi="Arial Narrow"/>
                <w:sz w:val="20"/>
                <w:highlight w:val="black"/>
              </w:rPr>
            </w:pPr>
            <w:r>
              <w:rPr>
                <w:rFonts w:ascii="Arial Narrow" w:hAnsi="Arial Narrow"/>
                <w:noProof/>
                <w:color w:val="000000"/>
                <w:sz w:val="20"/>
                <w:highlight w:val="black"/>
              </w:rPr>
              <w:t>''''''''''''''''</w:t>
            </w:r>
          </w:p>
        </w:tc>
        <w:tc>
          <w:tcPr>
            <w:tcW w:w="584" w:type="pct"/>
            <w:shd w:val="clear" w:color="auto" w:fill="auto"/>
            <w:vAlign w:val="center"/>
          </w:tcPr>
          <w:p w:rsidR="00875A9D" w:rsidRPr="002605CA" w:rsidRDefault="002605CA" w:rsidP="005B5705">
            <w:pPr>
              <w:ind w:right="93"/>
              <w:jc w:val="center"/>
              <w:rPr>
                <w:rFonts w:ascii="Arial Narrow" w:hAnsi="Arial Narrow"/>
                <w:sz w:val="20"/>
                <w:highlight w:val="black"/>
              </w:rPr>
            </w:pPr>
            <w:r>
              <w:rPr>
                <w:rFonts w:ascii="Arial Narrow" w:hAnsi="Arial Narrow"/>
                <w:noProof/>
                <w:color w:val="000000"/>
                <w:sz w:val="20"/>
                <w:highlight w:val="black"/>
              </w:rPr>
              <w:t>'''''''''''''''''</w:t>
            </w:r>
          </w:p>
        </w:tc>
        <w:tc>
          <w:tcPr>
            <w:tcW w:w="666" w:type="pct"/>
            <w:shd w:val="clear" w:color="auto" w:fill="auto"/>
            <w:vAlign w:val="center"/>
          </w:tcPr>
          <w:p w:rsidR="00875A9D" w:rsidRPr="002605CA" w:rsidRDefault="002605CA" w:rsidP="005B5705">
            <w:pPr>
              <w:ind w:right="93"/>
              <w:jc w:val="center"/>
              <w:rPr>
                <w:rFonts w:ascii="Arial Narrow" w:hAnsi="Arial Narrow"/>
                <w:sz w:val="20"/>
                <w:highlight w:val="black"/>
              </w:rPr>
            </w:pPr>
            <w:r>
              <w:rPr>
                <w:rFonts w:ascii="Arial Narrow" w:hAnsi="Arial Narrow"/>
                <w:noProof/>
                <w:color w:val="000000"/>
                <w:sz w:val="20"/>
                <w:highlight w:val="black"/>
              </w:rPr>
              <w:t>'''''''''''''''</w:t>
            </w:r>
          </w:p>
        </w:tc>
      </w:tr>
      <w:tr w:rsidR="00875A9D" w:rsidRPr="00605035" w:rsidTr="001E6A16">
        <w:tc>
          <w:tcPr>
            <w:tcW w:w="1917" w:type="pct"/>
            <w:shd w:val="clear" w:color="auto" w:fill="auto"/>
            <w:vAlign w:val="center"/>
          </w:tcPr>
          <w:p w:rsidR="00875A9D" w:rsidRPr="00605035" w:rsidRDefault="00875A9D" w:rsidP="001E6A16">
            <w:pPr>
              <w:tabs>
                <w:tab w:val="left" w:pos="142"/>
              </w:tabs>
              <w:ind w:right="91"/>
              <w:jc w:val="left"/>
              <w:rPr>
                <w:rFonts w:ascii="Arial Narrow" w:hAnsi="Arial Narrow"/>
                <w:sz w:val="20"/>
              </w:rPr>
            </w:pPr>
            <w:r w:rsidRPr="00605035">
              <w:rPr>
                <w:rFonts w:ascii="Arial Narrow" w:hAnsi="Arial Narrow"/>
                <w:sz w:val="20"/>
              </w:rPr>
              <w:t>Total continuation scripts March 2014</w:t>
            </w:r>
          </w:p>
        </w:tc>
        <w:tc>
          <w:tcPr>
            <w:tcW w:w="584" w:type="pct"/>
            <w:shd w:val="clear" w:color="auto" w:fill="auto"/>
            <w:vAlign w:val="center"/>
          </w:tcPr>
          <w:p w:rsidR="00875A9D" w:rsidRPr="00110A9D" w:rsidRDefault="00110A9D" w:rsidP="005B5705">
            <w:pPr>
              <w:ind w:right="93"/>
              <w:jc w:val="center"/>
              <w:rPr>
                <w:rFonts w:ascii="Arial Narrow" w:hAnsi="Arial Narrow"/>
                <w:sz w:val="20"/>
                <w:highlight w:val="black"/>
              </w:rPr>
            </w:pPr>
            <w:r>
              <w:rPr>
                <w:rFonts w:ascii="Arial Narrow" w:eastAsia="SimSun" w:hAnsi="Arial Narrow"/>
                <w:bCs/>
                <w:noProof/>
                <w:color w:val="000000"/>
                <w:sz w:val="20"/>
                <w:highlight w:val="black"/>
                <w:lang w:eastAsia="en-AU"/>
              </w:rPr>
              <w:t>'''''''</w:t>
            </w:r>
          </w:p>
        </w:tc>
        <w:tc>
          <w:tcPr>
            <w:tcW w:w="583" w:type="pct"/>
            <w:shd w:val="clear" w:color="auto" w:fill="auto"/>
            <w:vAlign w:val="center"/>
          </w:tcPr>
          <w:p w:rsidR="00875A9D" w:rsidRPr="00110A9D" w:rsidRDefault="00110A9D" w:rsidP="005B5705">
            <w:pPr>
              <w:ind w:right="93"/>
              <w:jc w:val="center"/>
              <w:rPr>
                <w:rFonts w:ascii="Arial Narrow" w:hAnsi="Arial Narrow"/>
                <w:sz w:val="20"/>
                <w:highlight w:val="black"/>
              </w:rPr>
            </w:pPr>
            <w:r>
              <w:rPr>
                <w:rFonts w:ascii="Arial Narrow" w:eastAsia="SimSun" w:hAnsi="Arial Narrow"/>
                <w:bCs/>
                <w:noProof/>
                <w:color w:val="000000"/>
                <w:sz w:val="20"/>
                <w:highlight w:val="black"/>
                <w:lang w:eastAsia="en-AU"/>
              </w:rPr>
              <w:t>'''''''''</w:t>
            </w:r>
          </w:p>
        </w:tc>
        <w:tc>
          <w:tcPr>
            <w:tcW w:w="667" w:type="pct"/>
            <w:shd w:val="clear" w:color="auto" w:fill="auto"/>
            <w:vAlign w:val="center"/>
          </w:tcPr>
          <w:p w:rsidR="00875A9D" w:rsidRPr="00110A9D" w:rsidRDefault="00110A9D" w:rsidP="005B5705">
            <w:pPr>
              <w:ind w:right="93"/>
              <w:jc w:val="center"/>
              <w:rPr>
                <w:rFonts w:ascii="Arial Narrow" w:hAnsi="Arial Narrow"/>
                <w:sz w:val="20"/>
                <w:highlight w:val="black"/>
              </w:rPr>
            </w:pPr>
            <w:r>
              <w:rPr>
                <w:rFonts w:ascii="Arial Narrow" w:eastAsia="SimSun" w:hAnsi="Arial Narrow"/>
                <w:bCs/>
                <w:noProof/>
                <w:color w:val="000000"/>
                <w:sz w:val="20"/>
                <w:highlight w:val="black"/>
                <w:lang w:eastAsia="en-AU"/>
              </w:rPr>
              <w:t>''''''''</w:t>
            </w:r>
          </w:p>
        </w:tc>
        <w:tc>
          <w:tcPr>
            <w:tcW w:w="584" w:type="pct"/>
            <w:shd w:val="clear" w:color="auto" w:fill="auto"/>
            <w:vAlign w:val="center"/>
          </w:tcPr>
          <w:p w:rsidR="00875A9D" w:rsidRPr="00110A9D" w:rsidRDefault="00110A9D" w:rsidP="005B5705">
            <w:pPr>
              <w:ind w:right="93"/>
              <w:jc w:val="center"/>
              <w:rPr>
                <w:rFonts w:ascii="Arial Narrow" w:hAnsi="Arial Narrow"/>
                <w:sz w:val="20"/>
                <w:highlight w:val="black"/>
              </w:rPr>
            </w:pPr>
            <w:r>
              <w:rPr>
                <w:rFonts w:ascii="Arial Narrow" w:eastAsia="SimSun" w:hAnsi="Arial Narrow"/>
                <w:bCs/>
                <w:noProof/>
                <w:color w:val="000000"/>
                <w:sz w:val="20"/>
                <w:highlight w:val="black"/>
                <w:lang w:eastAsia="en-AU"/>
              </w:rPr>
              <w:t>'''''''''</w:t>
            </w:r>
          </w:p>
        </w:tc>
        <w:tc>
          <w:tcPr>
            <w:tcW w:w="666" w:type="pct"/>
            <w:shd w:val="clear" w:color="auto" w:fill="auto"/>
            <w:vAlign w:val="center"/>
          </w:tcPr>
          <w:p w:rsidR="00875A9D" w:rsidRPr="00110A9D" w:rsidRDefault="00110A9D" w:rsidP="005B5705">
            <w:pPr>
              <w:ind w:right="93"/>
              <w:jc w:val="center"/>
              <w:rPr>
                <w:rFonts w:ascii="Arial Narrow" w:hAnsi="Arial Narrow"/>
                <w:sz w:val="20"/>
                <w:highlight w:val="black"/>
              </w:rPr>
            </w:pPr>
            <w:r>
              <w:rPr>
                <w:rFonts w:ascii="Arial Narrow" w:eastAsia="SimSun" w:hAnsi="Arial Narrow"/>
                <w:bCs/>
                <w:noProof/>
                <w:color w:val="000000"/>
                <w:sz w:val="20"/>
                <w:highlight w:val="black"/>
                <w:lang w:eastAsia="en-AU"/>
              </w:rPr>
              <w:t>''''''''</w:t>
            </w:r>
          </w:p>
        </w:tc>
      </w:tr>
      <w:tr w:rsidR="0004231D" w:rsidRPr="00605035" w:rsidTr="001E6A16">
        <w:tc>
          <w:tcPr>
            <w:tcW w:w="5000" w:type="pct"/>
            <w:gridSpan w:val="6"/>
            <w:shd w:val="clear" w:color="auto" w:fill="auto"/>
            <w:vAlign w:val="center"/>
          </w:tcPr>
          <w:p w:rsidR="0004231D" w:rsidRPr="00605035" w:rsidRDefault="00F84586" w:rsidP="001E6A16">
            <w:pPr>
              <w:ind w:right="91"/>
              <w:jc w:val="left"/>
              <w:rPr>
                <w:rFonts w:ascii="Arial Narrow" w:hAnsi="Arial Narrow"/>
                <w:b/>
                <w:bCs/>
                <w:sz w:val="20"/>
              </w:rPr>
            </w:pPr>
            <w:r w:rsidRPr="00605035">
              <w:rPr>
                <w:rFonts w:ascii="Arial Narrow" w:hAnsi="Arial Narrow"/>
                <w:b/>
                <w:bCs/>
                <w:sz w:val="20"/>
              </w:rPr>
              <w:t>Estimated net cost to PBS</w:t>
            </w:r>
          </w:p>
        </w:tc>
      </w:tr>
      <w:tr w:rsidR="00875A9D" w:rsidRPr="00605035" w:rsidTr="001E6A16">
        <w:tc>
          <w:tcPr>
            <w:tcW w:w="1917" w:type="pct"/>
            <w:shd w:val="clear" w:color="auto" w:fill="auto"/>
            <w:vAlign w:val="center"/>
          </w:tcPr>
          <w:p w:rsidR="00875A9D" w:rsidRPr="00605035" w:rsidRDefault="00875A9D" w:rsidP="001E6A16">
            <w:pPr>
              <w:tabs>
                <w:tab w:val="left" w:pos="142"/>
              </w:tabs>
              <w:ind w:right="91"/>
              <w:jc w:val="left"/>
              <w:rPr>
                <w:rFonts w:ascii="Arial Narrow" w:hAnsi="Arial Narrow"/>
                <w:sz w:val="20"/>
              </w:rPr>
            </w:pPr>
            <w:r w:rsidRPr="00605035">
              <w:rPr>
                <w:rFonts w:ascii="Arial Narrow" w:hAnsi="Arial Narrow"/>
                <w:sz w:val="20"/>
              </w:rPr>
              <w:t xml:space="preserve">Net cost to PBS </w:t>
            </w:r>
          </w:p>
        </w:tc>
        <w:tc>
          <w:tcPr>
            <w:tcW w:w="584" w:type="pct"/>
            <w:shd w:val="clear" w:color="auto" w:fill="auto"/>
            <w:vAlign w:val="center"/>
          </w:tcPr>
          <w:p w:rsidR="00875A9D" w:rsidRPr="00DF12C7" w:rsidRDefault="00875A9D" w:rsidP="005B5705">
            <w:pPr>
              <w:ind w:right="93"/>
              <w:jc w:val="center"/>
              <w:rPr>
                <w:rFonts w:ascii="Arial Narrow" w:hAnsi="Arial Narrow"/>
                <w:bCs/>
                <w:sz w:val="20"/>
                <w:highlight w:val="lightGray"/>
              </w:rPr>
            </w:pPr>
            <w:r w:rsidRPr="00D8332B">
              <w:rPr>
                <w:rFonts w:ascii="Arial Narrow" w:hAnsi="Arial Narrow"/>
                <w:sz w:val="20"/>
              </w:rPr>
              <w:t>$</w:t>
            </w:r>
            <w:r w:rsidR="00552C67">
              <w:rPr>
                <w:rFonts w:ascii="Arial Narrow" w:hAnsi="Arial Narrow"/>
                <w:noProof/>
                <w:color w:val="000000"/>
                <w:sz w:val="20"/>
                <w:highlight w:val="black"/>
              </w:rPr>
              <w:t>'''''''''''''''''''''''</w:t>
            </w:r>
          </w:p>
        </w:tc>
        <w:tc>
          <w:tcPr>
            <w:tcW w:w="583" w:type="pct"/>
            <w:shd w:val="clear" w:color="auto" w:fill="auto"/>
            <w:vAlign w:val="center"/>
          </w:tcPr>
          <w:p w:rsidR="00875A9D" w:rsidRPr="00DF12C7" w:rsidRDefault="00875A9D" w:rsidP="005B5705">
            <w:pPr>
              <w:ind w:right="93"/>
              <w:jc w:val="center"/>
              <w:rPr>
                <w:rFonts w:ascii="Arial Narrow" w:hAnsi="Arial Narrow"/>
                <w:bCs/>
                <w:sz w:val="20"/>
                <w:highlight w:val="lightGray"/>
              </w:rPr>
            </w:pPr>
            <w:r w:rsidRPr="002605CA">
              <w:rPr>
                <w:rFonts w:ascii="Arial Narrow" w:hAnsi="Arial Narrow"/>
                <w:sz w:val="20"/>
              </w:rPr>
              <w:t>$</w:t>
            </w:r>
            <w:r w:rsidR="002605CA">
              <w:rPr>
                <w:rFonts w:ascii="Arial Narrow" w:hAnsi="Arial Narrow"/>
                <w:noProof/>
                <w:color w:val="000000"/>
                <w:sz w:val="20"/>
                <w:highlight w:val="black"/>
              </w:rPr>
              <w:t>''''''''''''''''''''''</w:t>
            </w:r>
          </w:p>
        </w:tc>
        <w:tc>
          <w:tcPr>
            <w:tcW w:w="667" w:type="pct"/>
            <w:shd w:val="clear" w:color="auto" w:fill="auto"/>
            <w:vAlign w:val="center"/>
          </w:tcPr>
          <w:p w:rsidR="00875A9D" w:rsidRPr="00DF12C7" w:rsidRDefault="00875A9D" w:rsidP="005B5705">
            <w:pPr>
              <w:ind w:right="93"/>
              <w:jc w:val="center"/>
              <w:rPr>
                <w:rFonts w:ascii="Arial Narrow" w:hAnsi="Arial Narrow"/>
                <w:bCs/>
                <w:sz w:val="20"/>
                <w:highlight w:val="lightGray"/>
              </w:rPr>
            </w:pPr>
            <w:r w:rsidRPr="002605CA">
              <w:rPr>
                <w:rFonts w:ascii="Arial Narrow" w:hAnsi="Arial Narrow"/>
                <w:sz w:val="20"/>
              </w:rPr>
              <w:t>$</w:t>
            </w:r>
            <w:r w:rsidR="002605CA">
              <w:rPr>
                <w:rFonts w:ascii="Arial Narrow" w:hAnsi="Arial Narrow"/>
                <w:noProof/>
                <w:color w:val="000000"/>
                <w:sz w:val="20"/>
                <w:highlight w:val="black"/>
              </w:rPr>
              <w:t>'''''''''''''''''''''</w:t>
            </w:r>
          </w:p>
        </w:tc>
        <w:tc>
          <w:tcPr>
            <w:tcW w:w="584" w:type="pct"/>
            <w:shd w:val="clear" w:color="auto" w:fill="auto"/>
            <w:vAlign w:val="center"/>
          </w:tcPr>
          <w:p w:rsidR="00875A9D" w:rsidRPr="00DF12C7" w:rsidRDefault="00875A9D" w:rsidP="005B5705">
            <w:pPr>
              <w:ind w:right="93"/>
              <w:jc w:val="center"/>
              <w:rPr>
                <w:rFonts w:ascii="Arial Narrow" w:hAnsi="Arial Narrow"/>
                <w:bCs/>
                <w:sz w:val="20"/>
                <w:highlight w:val="lightGray"/>
              </w:rPr>
            </w:pPr>
            <w:r w:rsidRPr="002605CA">
              <w:rPr>
                <w:rFonts w:ascii="Arial Narrow" w:hAnsi="Arial Narrow"/>
                <w:sz w:val="20"/>
              </w:rPr>
              <w:t>$</w:t>
            </w:r>
            <w:r w:rsidR="002605CA">
              <w:rPr>
                <w:rFonts w:ascii="Arial Narrow" w:hAnsi="Arial Narrow"/>
                <w:noProof/>
                <w:color w:val="000000"/>
                <w:sz w:val="20"/>
                <w:highlight w:val="black"/>
              </w:rPr>
              <w:t>'''''''''''''''''''''''</w:t>
            </w:r>
          </w:p>
        </w:tc>
        <w:tc>
          <w:tcPr>
            <w:tcW w:w="666" w:type="pct"/>
            <w:shd w:val="clear" w:color="auto" w:fill="auto"/>
            <w:vAlign w:val="center"/>
          </w:tcPr>
          <w:p w:rsidR="00875A9D" w:rsidRPr="00DF12C7" w:rsidRDefault="00875A9D" w:rsidP="005B5705">
            <w:pPr>
              <w:ind w:right="93"/>
              <w:jc w:val="center"/>
              <w:rPr>
                <w:rFonts w:ascii="Arial Narrow" w:hAnsi="Arial Narrow"/>
                <w:bCs/>
                <w:sz w:val="20"/>
                <w:highlight w:val="lightGray"/>
              </w:rPr>
            </w:pPr>
            <w:r w:rsidRPr="002605CA">
              <w:rPr>
                <w:rFonts w:ascii="Arial Narrow" w:hAnsi="Arial Narrow"/>
                <w:sz w:val="20"/>
              </w:rPr>
              <w:t>$</w:t>
            </w:r>
            <w:r w:rsidR="002605CA">
              <w:rPr>
                <w:rFonts w:ascii="Arial Narrow" w:hAnsi="Arial Narrow"/>
                <w:noProof/>
                <w:color w:val="000000"/>
                <w:sz w:val="20"/>
                <w:highlight w:val="black"/>
              </w:rPr>
              <w:t>''''''''''''''''''''''''''</w:t>
            </w:r>
          </w:p>
        </w:tc>
      </w:tr>
      <w:tr w:rsidR="00875A9D" w:rsidRPr="00605035" w:rsidTr="001E6A16">
        <w:tc>
          <w:tcPr>
            <w:tcW w:w="1917" w:type="pct"/>
            <w:shd w:val="clear" w:color="auto" w:fill="auto"/>
            <w:vAlign w:val="center"/>
          </w:tcPr>
          <w:p w:rsidR="00875A9D" w:rsidRPr="00605035" w:rsidRDefault="00875A9D" w:rsidP="001E6A16">
            <w:pPr>
              <w:tabs>
                <w:tab w:val="left" w:pos="142"/>
              </w:tabs>
              <w:ind w:right="91"/>
              <w:jc w:val="left"/>
              <w:rPr>
                <w:rFonts w:ascii="Arial Narrow" w:hAnsi="Arial Narrow"/>
                <w:sz w:val="20"/>
              </w:rPr>
            </w:pPr>
            <w:r w:rsidRPr="00605035">
              <w:rPr>
                <w:rFonts w:ascii="Arial Narrow" w:hAnsi="Arial Narrow"/>
                <w:sz w:val="20"/>
              </w:rPr>
              <w:t>Net cost to PBS March 2014</w:t>
            </w:r>
          </w:p>
        </w:tc>
        <w:tc>
          <w:tcPr>
            <w:tcW w:w="584" w:type="pct"/>
            <w:shd w:val="clear" w:color="auto" w:fill="auto"/>
            <w:vAlign w:val="center"/>
          </w:tcPr>
          <w:p w:rsidR="00875A9D" w:rsidRPr="00DF12C7" w:rsidRDefault="00875A9D" w:rsidP="005B5705">
            <w:pPr>
              <w:ind w:right="93"/>
              <w:jc w:val="center"/>
              <w:rPr>
                <w:rFonts w:ascii="Arial Narrow" w:hAnsi="Arial Narrow"/>
                <w:sz w:val="20"/>
                <w:highlight w:val="lightGray"/>
              </w:rPr>
            </w:pPr>
            <w:r w:rsidRPr="002605CA">
              <w:rPr>
                <w:rFonts w:ascii="Arial Narrow" w:hAnsi="Arial Narrow"/>
                <w:sz w:val="20"/>
              </w:rPr>
              <w:t>-$</w:t>
            </w:r>
            <w:r w:rsidR="002605CA">
              <w:rPr>
                <w:rFonts w:ascii="Arial Narrow" w:hAnsi="Arial Narrow"/>
                <w:noProof/>
                <w:color w:val="000000"/>
                <w:sz w:val="20"/>
                <w:highlight w:val="black"/>
              </w:rPr>
              <w:t>''''''''''''''''''''</w:t>
            </w:r>
          </w:p>
        </w:tc>
        <w:tc>
          <w:tcPr>
            <w:tcW w:w="583" w:type="pct"/>
            <w:shd w:val="clear" w:color="auto" w:fill="auto"/>
            <w:vAlign w:val="center"/>
          </w:tcPr>
          <w:p w:rsidR="00875A9D" w:rsidRPr="00DF12C7" w:rsidRDefault="00875A9D" w:rsidP="005B5705">
            <w:pPr>
              <w:ind w:right="93"/>
              <w:jc w:val="center"/>
              <w:rPr>
                <w:rFonts w:ascii="Arial Narrow" w:hAnsi="Arial Narrow"/>
                <w:sz w:val="20"/>
                <w:highlight w:val="lightGray"/>
              </w:rPr>
            </w:pPr>
            <w:r w:rsidRPr="00D8332B">
              <w:rPr>
                <w:rFonts w:ascii="Arial Narrow" w:hAnsi="Arial Narrow"/>
                <w:sz w:val="20"/>
              </w:rPr>
              <w:t>-</w:t>
            </w:r>
            <w:r w:rsidRPr="002605CA">
              <w:rPr>
                <w:rFonts w:ascii="Arial Narrow" w:hAnsi="Arial Narrow"/>
                <w:sz w:val="20"/>
              </w:rPr>
              <w:t>$</w:t>
            </w:r>
            <w:r w:rsidR="002605CA">
              <w:rPr>
                <w:rFonts w:ascii="Arial Narrow" w:hAnsi="Arial Narrow"/>
                <w:noProof/>
                <w:color w:val="000000"/>
                <w:sz w:val="20"/>
                <w:highlight w:val="black"/>
              </w:rPr>
              <w:t>'''''''''''''''''''</w:t>
            </w:r>
          </w:p>
        </w:tc>
        <w:tc>
          <w:tcPr>
            <w:tcW w:w="667" w:type="pct"/>
            <w:shd w:val="clear" w:color="auto" w:fill="auto"/>
            <w:vAlign w:val="center"/>
          </w:tcPr>
          <w:p w:rsidR="00875A9D" w:rsidRPr="00DF12C7" w:rsidRDefault="00875A9D" w:rsidP="005B5705">
            <w:pPr>
              <w:ind w:right="93"/>
              <w:jc w:val="center"/>
              <w:rPr>
                <w:rFonts w:ascii="Arial Narrow" w:hAnsi="Arial Narrow"/>
                <w:sz w:val="20"/>
                <w:highlight w:val="lightGray"/>
              </w:rPr>
            </w:pPr>
            <w:r w:rsidRPr="002605CA">
              <w:rPr>
                <w:rFonts w:ascii="Arial Narrow" w:hAnsi="Arial Narrow"/>
                <w:sz w:val="20"/>
              </w:rPr>
              <w:t>-$</w:t>
            </w:r>
            <w:r w:rsidR="002605CA">
              <w:rPr>
                <w:rFonts w:ascii="Arial Narrow" w:hAnsi="Arial Narrow"/>
                <w:noProof/>
                <w:color w:val="000000"/>
                <w:sz w:val="20"/>
                <w:highlight w:val="black"/>
              </w:rPr>
              <w:t>''''''''''''''''''</w:t>
            </w:r>
          </w:p>
        </w:tc>
        <w:tc>
          <w:tcPr>
            <w:tcW w:w="584" w:type="pct"/>
            <w:shd w:val="clear" w:color="auto" w:fill="auto"/>
            <w:vAlign w:val="center"/>
          </w:tcPr>
          <w:p w:rsidR="00875A9D" w:rsidRPr="00DF12C7" w:rsidRDefault="00875A9D" w:rsidP="005B5705">
            <w:pPr>
              <w:ind w:right="93"/>
              <w:jc w:val="center"/>
              <w:rPr>
                <w:rFonts w:ascii="Arial Narrow" w:hAnsi="Arial Narrow"/>
                <w:sz w:val="20"/>
                <w:highlight w:val="lightGray"/>
              </w:rPr>
            </w:pPr>
            <w:r w:rsidRPr="002605CA">
              <w:rPr>
                <w:rFonts w:ascii="Arial Narrow" w:hAnsi="Arial Narrow"/>
                <w:sz w:val="20"/>
              </w:rPr>
              <w:t>-$</w:t>
            </w:r>
            <w:r w:rsidR="002605CA">
              <w:rPr>
                <w:rFonts w:ascii="Arial Narrow" w:hAnsi="Arial Narrow"/>
                <w:noProof/>
                <w:color w:val="000000"/>
                <w:sz w:val="20"/>
                <w:highlight w:val="black"/>
              </w:rPr>
              <w:t>''''''''''''''''''</w:t>
            </w:r>
          </w:p>
        </w:tc>
        <w:tc>
          <w:tcPr>
            <w:tcW w:w="666" w:type="pct"/>
            <w:shd w:val="clear" w:color="auto" w:fill="auto"/>
            <w:vAlign w:val="center"/>
          </w:tcPr>
          <w:p w:rsidR="00875A9D" w:rsidRPr="00DF12C7" w:rsidRDefault="00875A9D" w:rsidP="005B5705">
            <w:pPr>
              <w:ind w:right="93"/>
              <w:jc w:val="center"/>
              <w:rPr>
                <w:rFonts w:ascii="Arial Narrow" w:hAnsi="Arial Narrow"/>
                <w:sz w:val="20"/>
                <w:highlight w:val="lightGray"/>
              </w:rPr>
            </w:pPr>
            <w:r w:rsidRPr="002605CA">
              <w:rPr>
                <w:rFonts w:ascii="Arial Narrow" w:hAnsi="Arial Narrow"/>
                <w:sz w:val="20"/>
              </w:rPr>
              <w:t>-$</w:t>
            </w:r>
            <w:r w:rsidR="002605CA">
              <w:rPr>
                <w:rFonts w:ascii="Arial Narrow" w:hAnsi="Arial Narrow"/>
                <w:noProof/>
                <w:color w:val="000000"/>
                <w:sz w:val="20"/>
                <w:highlight w:val="black"/>
              </w:rPr>
              <w:t>'''''''''''''''''''''</w:t>
            </w:r>
          </w:p>
        </w:tc>
      </w:tr>
    </w:tbl>
    <w:p w:rsidR="00F84586" w:rsidRPr="00605035" w:rsidRDefault="00F84586" w:rsidP="00F84586">
      <w:pPr>
        <w:pStyle w:val="TableFooter"/>
        <w:ind w:left="709"/>
      </w:pPr>
      <w:r w:rsidRPr="00605035">
        <w:t>Note: patients were estimated to experience 3 breakthrough pain episodes per day, each episode treated with one sublingual fentanyl tablet. Treatment duration was estimated at 109 days.</w:t>
      </w:r>
    </w:p>
    <w:p w:rsidR="0004231D" w:rsidRPr="00605035" w:rsidRDefault="00983DB5" w:rsidP="00B608CF">
      <w:pPr>
        <w:pStyle w:val="TableFooter"/>
        <w:ind w:firstLine="709"/>
        <w:rPr>
          <w:szCs w:val="22"/>
        </w:rPr>
      </w:pPr>
      <w:r w:rsidRPr="00605035">
        <w:t xml:space="preserve">Abbreviations: </w:t>
      </w:r>
      <w:r w:rsidR="000142DC" w:rsidRPr="00605035">
        <w:t xml:space="preserve">IR, immediate-release; </w:t>
      </w:r>
      <w:r w:rsidRPr="00605035">
        <w:t>NE, not estimated</w:t>
      </w:r>
      <w:r w:rsidR="004A428D" w:rsidRPr="00605035">
        <w:t xml:space="preserve">. </w:t>
      </w:r>
      <w:r w:rsidR="0004231D" w:rsidRPr="00605035">
        <w:t>Source: Compiled during the evaluation</w:t>
      </w:r>
    </w:p>
    <w:p w:rsidR="00C25D9C" w:rsidRDefault="00C25D9C" w:rsidP="00C25D9C">
      <w:pPr>
        <w:widowControl/>
        <w:rPr>
          <w:szCs w:val="22"/>
        </w:rPr>
      </w:pPr>
    </w:p>
    <w:p w:rsidR="00365BEC" w:rsidRPr="00365BEC" w:rsidRDefault="00C03F67" w:rsidP="00365BEC">
      <w:pPr>
        <w:pStyle w:val="ListParagraph"/>
        <w:widowControl/>
        <w:numPr>
          <w:ilvl w:val="1"/>
          <w:numId w:val="3"/>
        </w:numPr>
        <w:rPr>
          <w:szCs w:val="22"/>
        </w:rPr>
      </w:pPr>
      <w:r>
        <w:rPr>
          <w:bCs/>
          <w:szCs w:val="22"/>
        </w:rPr>
        <w:t>The redacted table above shows that at</w:t>
      </w:r>
      <w:r w:rsidR="00365BEC" w:rsidRPr="00365BEC">
        <w:rPr>
          <w:bCs/>
          <w:szCs w:val="22"/>
        </w:rPr>
        <w:t xml:space="preserve"> year 1, the estimated number of patients was </w:t>
      </w:r>
      <w:r w:rsidR="00AF0E6F">
        <w:rPr>
          <w:bCs/>
          <w:szCs w:val="22"/>
        </w:rPr>
        <w:t xml:space="preserve">less than 10,000 </w:t>
      </w:r>
      <w:r w:rsidR="00365BEC" w:rsidRPr="00365BEC">
        <w:rPr>
          <w:bCs/>
          <w:szCs w:val="22"/>
        </w:rPr>
        <w:t>and the net cost to the PBS would be</w:t>
      </w:r>
      <w:r w:rsidR="005D796D" w:rsidRPr="005D796D">
        <w:rPr>
          <w:bCs/>
          <w:szCs w:val="22"/>
        </w:rPr>
        <w:t xml:space="preserve"> </w:t>
      </w:r>
      <w:r w:rsidR="005D796D">
        <w:rPr>
          <w:bCs/>
          <w:szCs w:val="22"/>
        </w:rPr>
        <w:t xml:space="preserve">less than </w:t>
      </w:r>
      <w:r w:rsidR="005D796D" w:rsidRPr="00365BEC">
        <w:rPr>
          <w:bCs/>
          <w:szCs w:val="22"/>
        </w:rPr>
        <w:t>$</w:t>
      </w:r>
      <w:r w:rsidR="005D796D">
        <w:rPr>
          <w:bCs/>
          <w:szCs w:val="22"/>
        </w:rPr>
        <w:t xml:space="preserve">10 million. </w:t>
      </w:r>
      <w:r w:rsidR="00365BEC" w:rsidRPr="00365BEC">
        <w:rPr>
          <w:bCs/>
          <w:szCs w:val="22"/>
        </w:rPr>
        <w:t>At year</w:t>
      </w:r>
      <w:r w:rsidR="00A5153B">
        <w:rPr>
          <w:bCs/>
          <w:szCs w:val="22"/>
        </w:rPr>
        <w:t> </w:t>
      </w:r>
      <w:r w:rsidR="00365BEC" w:rsidRPr="00365BEC">
        <w:rPr>
          <w:bCs/>
          <w:szCs w:val="22"/>
        </w:rPr>
        <w:t xml:space="preserve">5, the estimated number of patients </w:t>
      </w:r>
      <w:r w:rsidR="00365BEC" w:rsidRPr="00AF0E6F">
        <w:rPr>
          <w:bCs/>
          <w:szCs w:val="22"/>
        </w:rPr>
        <w:t xml:space="preserve">was </w:t>
      </w:r>
      <w:r w:rsidR="00AF0E6F">
        <w:rPr>
          <w:bCs/>
          <w:szCs w:val="22"/>
        </w:rPr>
        <w:t xml:space="preserve">less than 10,000 </w:t>
      </w:r>
      <w:r w:rsidR="00365BEC" w:rsidRPr="00365BEC">
        <w:rPr>
          <w:bCs/>
          <w:szCs w:val="22"/>
        </w:rPr>
        <w:t xml:space="preserve">and the net cost to the PBS would be </w:t>
      </w:r>
      <w:r w:rsidR="005D796D" w:rsidRPr="005D796D">
        <w:rPr>
          <w:bCs/>
          <w:szCs w:val="22"/>
        </w:rPr>
        <w:t>$</w:t>
      </w:r>
      <w:r w:rsidR="00AF0E6F">
        <w:rPr>
          <w:bCs/>
          <w:szCs w:val="22"/>
        </w:rPr>
        <w:t>10 – 20 million</w:t>
      </w:r>
      <w:r w:rsidR="00365BEC" w:rsidRPr="00365BEC">
        <w:rPr>
          <w:bCs/>
          <w:szCs w:val="22"/>
        </w:rPr>
        <w:t xml:space="preserve">. </w:t>
      </w:r>
      <w:bookmarkStart w:id="14" w:name="_GoBack"/>
      <w:bookmarkEnd w:id="14"/>
    </w:p>
    <w:p w:rsidR="00870CC8" w:rsidRPr="00605035" w:rsidRDefault="00870CC8" w:rsidP="00C25D9C">
      <w:pPr>
        <w:widowControl/>
        <w:rPr>
          <w:szCs w:val="22"/>
        </w:rPr>
      </w:pPr>
    </w:p>
    <w:p w:rsidR="00C25D9C" w:rsidRPr="00605035" w:rsidRDefault="000142DC" w:rsidP="00343581">
      <w:pPr>
        <w:pStyle w:val="ListParagraph"/>
        <w:widowControl/>
        <w:numPr>
          <w:ilvl w:val="1"/>
          <w:numId w:val="3"/>
        </w:numPr>
        <w:rPr>
          <w:szCs w:val="22"/>
        </w:rPr>
      </w:pPr>
      <w:r w:rsidRPr="00605035">
        <w:t xml:space="preserve">The submission’s estimate of the net cost of listing fentanyl sublingual is </w:t>
      </w:r>
      <w:r w:rsidRPr="00605035">
        <w:rPr>
          <w:szCs w:val="24"/>
        </w:rPr>
        <w:t>based on the total cost of fentanyl sublingual, with cost offsets from substitution of fentanyl lozenges and immediate-release opioids. Whether this is an over</w:t>
      </w:r>
      <w:r w:rsidR="001E6A16" w:rsidRPr="00605035">
        <w:rPr>
          <w:szCs w:val="24"/>
        </w:rPr>
        <w:t>-</w:t>
      </w:r>
      <w:r w:rsidRPr="00605035">
        <w:rPr>
          <w:szCs w:val="24"/>
        </w:rPr>
        <w:t xml:space="preserve"> or under</w:t>
      </w:r>
      <w:r w:rsidR="001E6A16" w:rsidRPr="00605035">
        <w:rPr>
          <w:szCs w:val="24"/>
        </w:rPr>
        <w:t>-</w:t>
      </w:r>
      <w:r w:rsidRPr="00605035">
        <w:rPr>
          <w:szCs w:val="24"/>
        </w:rPr>
        <w:t>estimate is unknown because of uncertainties around assumptions of uptake from the eligible patient groups.</w:t>
      </w:r>
      <w:r w:rsidRPr="00605035">
        <w:rPr>
          <w:szCs w:val="22"/>
        </w:rPr>
        <w:t xml:space="preserve"> </w:t>
      </w:r>
      <w:r w:rsidR="0036002A" w:rsidRPr="00605035">
        <w:rPr>
          <w:szCs w:val="22"/>
        </w:rPr>
        <w:t xml:space="preserve">The ESC considered that </w:t>
      </w:r>
      <w:r w:rsidR="0036002A" w:rsidRPr="00605035">
        <w:rPr>
          <w:szCs w:val="24"/>
        </w:rPr>
        <w:t>t</w:t>
      </w:r>
      <w:r w:rsidR="00C83F8B" w:rsidRPr="00605035">
        <w:rPr>
          <w:szCs w:val="24"/>
        </w:rPr>
        <w:t xml:space="preserve">he </w:t>
      </w:r>
      <w:r w:rsidR="00260E2E" w:rsidRPr="00605035">
        <w:rPr>
          <w:szCs w:val="24"/>
        </w:rPr>
        <w:t>res</w:t>
      </w:r>
      <w:r w:rsidR="00C83F8B" w:rsidRPr="00605035">
        <w:rPr>
          <w:szCs w:val="24"/>
        </w:rPr>
        <w:t>ubmission’s financial estimates were most sensitive to changes in the eligible patient population (proportion of patients with breakthrough cancer pain, proportion treated with an opioid, and proportion intolerant or unresponsive to first line agent), and the length of therapy.</w:t>
      </w:r>
    </w:p>
    <w:p w:rsidR="00DB3473" w:rsidRPr="007A6A59" w:rsidRDefault="00DB3473" w:rsidP="00576972">
      <w:pPr>
        <w:widowControl/>
        <w:rPr>
          <w:szCs w:val="22"/>
        </w:rPr>
      </w:pPr>
    </w:p>
    <w:p w:rsidR="006B6F1B" w:rsidRPr="007A6A59" w:rsidRDefault="006B6F1B" w:rsidP="006B6F1B">
      <w:pPr>
        <w:pStyle w:val="ListParagraph"/>
        <w:widowControl/>
        <w:numPr>
          <w:ilvl w:val="1"/>
          <w:numId w:val="3"/>
        </w:numPr>
        <w:rPr>
          <w:bCs/>
          <w:szCs w:val="22"/>
          <w:lang w:val="en-GB"/>
        </w:rPr>
      </w:pPr>
      <w:r>
        <w:rPr>
          <w:bCs/>
          <w:szCs w:val="22"/>
        </w:rPr>
        <w:t>The PBAC noted that the submission had appropriately taken an epidemiological approach rather than a market share approach as in the previous submission. The PBAC agreed with the resubmission that the size of the eligible population remains uncertain g</w:t>
      </w:r>
      <w:r w:rsidRPr="00463E69">
        <w:rPr>
          <w:bCs/>
          <w:szCs w:val="22"/>
        </w:rPr>
        <w:t xml:space="preserve">iven the wide ranges in the published </w:t>
      </w:r>
      <w:r w:rsidRPr="00BB6798">
        <w:rPr>
          <w:bCs/>
          <w:szCs w:val="22"/>
        </w:rPr>
        <w:t>literature and the paucity of evidence underpinning a number of key assumptions. The PBAC considered that a risk share arrangement would be needed to address this uncertainty as well as manage the financial implications for any use beyond the restriction including into the first-line treatment of breakthrough pain in cancer patients.</w:t>
      </w:r>
    </w:p>
    <w:p w:rsidR="00B63BEA" w:rsidRPr="00605035" w:rsidRDefault="00B63BEA" w:rsidP="00576972">
      <w:pPr>
        <w:widowControl/>
        <w:rPr>
          <w:szCs w:val="22"/>
        </w:rPr>
      </w:pPr>
    </w:p>
    <w:p w:rsidR="00576972" w:rsidRPr="00605035" w:rsidRDefault="00576972" w:rsidP="00497F10">
      <w:pPr>
        <w:pStyle w:val="Heading2"/>
      </w:pPr>
      <w:bookmarkStart w:id="15" w:name="_Toc419711193"/>
      <w:r w:rsidRPr="00605035">
        <w:t>Quality Use of Medicines</w:t>
      </w:r>
      <w:bookmarkEnd w:id="15"/>
    </w:p>
    <w:p w:rsidR="00576972" w:rsidRPr="00605035" w:rsidRDefault="00576972" w:rsidP="00576972">
      <w:pPr>
        <w:widowControl/>
        <w:rPr>
          <w:szCs w:val="22"/>
        </w:rPr>
      </w:pPr>
    </w:p>
    <w:p w:rsidR="00576972" w:rsidRPr="00E410B3" w:rsidRDefault="00343581" w:rsidP="005B47A0">
      <w:pPr>
        <w:pStyle w:val="ListParagraph"/>
        <w:widowControl/>
        <w:numPr>
          <w:ilvl w:val="1"/>
          <w:numId w:val="3"/>
        </w:numPr>
        <w:rPr>
          <w:szCs w:val="22"/>
        </w:rPr>
      </w:pPr>
      <w:r w:rsidRPr="00605035">
        <w:t xml:space="preserve">The </w:t>
      </w:r>
      <w:r w:rsidR="00260E2E" w:rsidRPr="00605035">
        <w:t>res</w:t>
      </w:r>
      <w:r w:rsidRPr="00605035">
        <w:t>ubmiss</w:t>
      </w:r>
      <w:r w:rsidR="007A6A59">
        <w:t>ion presented a summary of the s</w:t>
      </w:r>
      <w:r w:rsidRPr="00605035">
        <w:t>ponsor’s fentanyl sublingual educational program, mandatory for prescribers and dispensers of fentanyl sublingual, with additional information for patients and carers.</w:t>
      </w:r>
    </w:p>
    <w:p w:rsidR="00E410B3" w:rsidRPr="00B6650E" w:rsidRDefault="00E410B3" w:rsidP="00E410B3">
      <w:pPr>
        <w:pStyle w:val="ListParagraph"/>
        <w:widowControl/>
        <w:rPr>
          <w:szCs w:val="22"/>
        </w:rPr>
      </w:pPr>
    </w:p>
    <w:p w:rsidR="006B6F1B" w:rsidRPr="00605035" w:rsidRDefault="006B6F1B" w:rsidP="006B6F1B">
      <w:pPr>
        <w:pStyle w:val="ListParagraph"/>
        <w:widowControl/>
        <w:numPr>
          <w:ilvl w:val="1"/>
          <w:numId w:val="3"/>
        </w:numPr>
        <w:rPr>
          <w:szCs w:val="22"/>
        </w:rPr>
      </w:pPr>
      <w:r>
        <w:t xml:space="preserve">The PBAC recalled it has previously raised concern about potential for misuse and diversion of opioids. The PBAC considered that a telephone authority required listing may help to mitigate this risk. The PBAC noted that it will be considering the </w:t>
      </w:r>
      <w:r>
        <w:lastRenderedPageBreak/>
        <w:t>Post</w:t>
      </w:r>
      <w:r w:rsidR="00EF7F16">
        <w:noBreakHyphen/>
      </w:r>
      <w:r>
        <w:t>Market Review of Authority required listings, including opioids and the outcomes of an opioid stakeholder meeting.</w:t>
      </w:r>
    </w:p>
    <w:p w:rsidR="00576972" w:rsidRPr="00605035" w:rsidRDefault="00576972" w:rsidP="00576972">
      <w:pPr>
        <w:widowControl/>
        <w:rPr>
          <w:szCs w:val="22"/>
        </w:rPr>
      </w:pPr>
    </w:p>
    <w:p w:rsidR="00576972" w:rsidRPr="00995E2C" w:rsidRDefault="00576972" w:rsidP="00497F10">
      <w:pPr>
        <w:pStyle w:val="Heading2"/>
        <w:rPr>
          <w:szCs w:val="22"/>
        </w:rPr>
      </w:pPr>
      <w:bookmarkStart w:id="16" w:name="_Toc419711194"/>
      <w:r w:rsidRPr="00995E2C">
        <w:t>Financial Management – Risk Sharing Arrangements</w:t>
      </w:r>
      <w:bookmarkEnd w:id="16"/>
    </w:p>
    <w:p w:rsidR="00C25D9C" w:rsidRPr="00995E2C" w:rsidRDefault="00C25D9C" w:rsidP="00576972">
      <w:pPr>
        <w:widowControl/>
        <w:rPr>
          <w:szCs w:val="22"/>
        </w:rPr>
      </w:pPr>
    </w:p>
    <w:p w:rsidR="00431F70" w:rsidRPr="00995E2C" w:rsidRDefault="003F499E" w:rsidP="006B6F1B">
      <w:pPr>
        <w:pStyle w:val="ListParagraph"/>
        <w:widowControl/>
        <w:numPr>
          <w:ilvl w:val="1"/>
          <w:numId w:val="3"/>
        </w:numPr>
        <w:rPr>
          <w:szCs w:val="22"/>
        </w:rPr>
      </w:pPr>
      <w:r w:rsidRPr="00995E2C">
        <w:t xml:space="preserve">The sponsor indicated </w:t>
      </w:r>
      <w:r w:rsidR="000142DC" w:rsidRPr="00995E2C">
        <w:t xml:space="preserve">a willingness </w:t>
      </w:r>
      <w:r w:rsidRPr="00995E2C">
        <w:t>to enter into a Risk Share Arrangement</w:t>
      </w:r>
      <w:r w:rsidR="006C0B3D" w:rsidRPr="00995E2C">
        <w:t xml:space="preserve"> (RSA)</w:t>
      </w:r>
      <w:r w:rsidRPr="00995E2C">
        <w:t xml:space="preserve">. No details were provided in the </w:t>
      </w:r>
      <w:r w:rsidR="00260E2E" w:rsidRPr="00995E2C">
        <w:t>res</w:t>
      </w:r>
      <w:r w:rsidRPr="00995E2C">
        <w:t>ubmission.</w:t>
      </w:r>
      <w:r w:rsidR="00365BEC" w:rsidRPr="00995E2C">
        <w:t xml:space="preserve"> </w:t>
      </w:r>
    </w:p>
    <w:p w:rsidR="00431F70" w:rsidRPr="00995E2C" w:rsidRDefault="00431F70" w:rsidP="00431F70">
      <w:pPr>
        <w:pStyle w:val="ListParagraph"/>
        <w:widowControl/>
        <w:rPr>
          <w:szCs w:val="22"/>
        </w:rPr>
      </w:pPr>
    </w:p>
    <w:p w:rsidR="006B6F1B" w:rsidRPr="00995E2C" w:rsidRDefault="006B6F1B" w:rsidP="006B6F1B">
      <w:pPr>
        <w:pStyle w:val="ListParagraph"/>
        <w:widowControl/>
        <w:numPr>
          <w:ilvl w:val="1"/>
          <w:numId w:val="3"/>
        </w:numPr>
        <w:rPr>
          <w:szCs w:val="22"/>
        </w:rPr>
      </w:pPr>
      <w:r w:rsidRPr="00995E2C">
        <w:rPr>
          <w:szCs w:val="22"/>
        </w:rPr>
        <w:t>The PBAC recommended that the RSA would be required to address the following uncertainties:</w:t>
      </w:r>
    </w:p>
    <w:p w:rsidR="006B6F1B" w:rsidRPr="00995E2C" w:rsidRDefault="006B6F1B" w:rsidP="006B6F1B">
      <w:pPr>
        <w:pStyle w:val="ListParagraph"/>
        <w:widowControl/>
        <w:numPr>
          <w:ilvl w:val="0"/>
          <w:numId w:val="25"/>
        </w:numPr>
        <w:spacing w:after="200" w:line="276" w:lineRule="auto"/>
        <w:jc w:val="left"/>
        <w:rPr>
          <w:bCs/>
          <w:szCs w:val="22"/>
        </w:rPr>
      </w:pPr>
      <w:r w:rsidRPr="00995E2C">
        <w:rPr>
          <w:bCs/>
          <w:szCs w:val="22"/>
        </w:rPr>
        <w:t>Uncertain size of patient population, duration of treatment and uptake of use.</w:t>
      </w:r>
    </w:p>
    <w:p w:rsidR="006B6F1B" w:rsidRPr="00995E2C" w:rsidRDefault="006B6F1B" w:rsidP="006B6F1B">
      <w:pPr>
        <w:pStyle w:val="ListParagraph"/>
        <w:widowControl/>
        <w:numPr>
          <w:ilvl w:val="0"/>
          <w:numId w:val="25"/>
        </w:numPr>
        <w:spacing w:after="200" w:line="276" w:lineRule="auto"/>
        <w:jc w:val="left"/>
        <w:rPr>
          <w:bCs/>
          <w:szCs w:val="22"/>
        </w:rPr>
      </w:pPr>
      <w:r w:rsidRPr="00995E2C">
        <w:rPr>
          <w:bCs/>
          <w:szCs w:val="22"/>
        </w:rPr>
        <w:t>Further use beyond the restriction including outside of the palliative care breakthrough pain cancer population.</w:t>
      </w:r>
    </w:p>
    <w:p w:rsidR="007A6A59" w:rsidRPr="00995E2C" w:rsidRDefault="007A6A59" w:rsidP="006B6F1B">
      <w:pPr>
        <w:pStyle w:val="ListParagraph"/>
        <w:widowControl/>
        <w:rPr>
          <w:szCs w:val="22"/>
        </w:rPr>
      </w:pPr>
    </w:p>
    <w:p w:rsidR="00B65368" w:rsidRPr="00995E2C" w:rsidRDefault="006B6F1B" w:rsidP="006B6F1B">
      <w:pPr>
        <w:pStyle w:val="ListParagraph"/>
        <w:widowControl/>
        <w:numPr>
          <w:ilvl w:val="1"/>
          <w:numId w:val="3"/>
        </w:numPr>
      </w:pPr>
      <w:r w:rsidRPr="00995E2C">
        <w:rPr>
          <w:bCs/>
          <w:szCs w:val="22"/>
        </w:rPr>
        <w:t xml:space="preserve">The PBAC considered that the main risk of higher than expected expenditure stems from fentanyl substituting for oral immediate-release opioids in patients able to tolerate immediate-release opioids. The Committee advised that the RSA should therefore include a </w:t>
      </w:r>
      <w:r w:rsidR="002605CA">
        <w:rPr>
          <w:bCs/>
          <w:noProof/>
          <w:color w:val="000000"/>
          <w:szCs w:val="22"/>
          <w:highlight w:val="black"/>
        </w:rPr>
        <w:t>''''''''''''''''''''''''''''''' '''''''' '''''''''''''''' '''''''''''''''' '''''''''''' ''''''''''''''''''''''' '''''''''' ''''' ''''''''''''''''''' ''''''''''''''''''''''''' ''''''''''''''' ''''''''''''''''''' '''' '''''''' ''''''''''''''''''''''' '''''''''' ''''' '''''''''''''''''' '''''' ''''''''''''''''' ''''' '''''''''''''''''''''''''''' ''''''''''''''''' '''''''''' ''''''''' '''''''''' '''''''''''''''''''''''''''''''''''''''' '''''''''''''''' ''''''''''' '''''' '''''''''''''''''''''''</w:t>
      </w:r>
      <w:r w:rsidRPr="00995E2C">
        <w:t>.</w:t>
      </w:r>
    </w:p>
    <w:p w:rsidR="00B65368" w:rsidRPr="00995E2C" w:rsidRDefault="00B65368" w:rsidP="007A6A59">
      <w:pPr>
        <w:pStyle w:val="PBACheading1"/>
        <w:numPr>
          <w:ilvl w:val="0"/>
          <w:numId w:val="0"/>
        </w:numPr>
        <w:ind w:left="720"/>
      </w:pPr>
    </w:p>
    <w:p w:rsidR="007A6A59" w:rsidRDefault="007A6A59" w:rsidP="007A6A59">
      <w:pPr>
        <w:pStyle w:val="PBACheading1"/>
        <w:numPr>
          <w:ilvl w:val="0"/>
          <w:numId w:val="0"/>
        </w:numPr>
        <w:ind w:left="720"/>
      </w:pPr>
      <w:r w:rsidRPr="00995E2C">
        <w:t>For more detail on PBAC’s view, see section 7 “PBAC outcome”</w:t>
      </w:r>
    </w:p>
    <w:p w:rsidR="00605035" w:rsidRDefault="00605035" w:rsidP="00576972">
      <w:pPr>
        <w:widowControl/>
        <w:rPr>
          <w:szCs w:val="22"/>
        </w:rPr>
      </w:pPr>
    </w:p>
    <w:p w:rsidR="00431F70" w:rsidRDefault="00431F70" w:rsidP="00576972">
      <w:pPr>
        <w:widowControl/>
        <w:rPr>
          <w:szCs w:val="22"/>
        </w:rPr>
      </w:pPr>
    </w:p>
    <w:p w:rsidR="00870CC8" w:rsidRPr="005873D2" w:rsidRDefault="00870CC8" w:rsidP="00A71FD5">
      <w:pPr>
        <w:numPr>
          <w:ilvl w:val="0"/>
          <w:numId w:val="3"/>
        </w:numPr>
        <w:rPr>
          <w:b/>
          <w:bCs/>
          <w:szCs w:val="22"/>
        </w:rPr>
      </w:pPr>
      <w:r w:rsidRPr="005873D2">
        <w:rPr>
          <w:b/>
          <w:bCs/>
          <w:szCs w:val="22"/>
        </w:rPr>
        <w:t>PBAC Outcome</w:t>
      </w:r>
    </w:p>
    <w:p w:rsidR="00870CC8" w:rsidRPr="006C307E" w:rsidRDefault="00870CC8" w:rsidP="00870CC8">
      <w:pPr>
        <w:contextualSpacing/>
        <w:rPr>
          <w:b/>
          <w:bCs/>
          <w:szCs w:val="22"/>
          <w:highlight w:val="yellow"/>
          <w:lang w:val="en-GB"/>
        </w:rPr>
      </w:pPr>
    </w:p>
    <w:p w:rsidR="00F02CC7" w:rsidRPr="00A44CA6" w:rsidRDefault="007E3AE0" w:rsidP="00985AD9">
      <w:pPr>
        <w:numPr>
          <w:ilvl w:val="1"/>
          <w:numId w:val="3"/>
        </w:numPr>
        <w:contextualSpacing/>
        <w:rPr>
          <w:bCs/>
          <w:szCs w:val="22"/>
          <w:lang w:val="en-GB"/>
        </w:rPr>
      </w:pPr>
      <w:r w:rsidRPr="00A44CA6">
        <w:rPr>
          <w:bCs/>
          <w:szCs w:val="22"/>
          <w:lang w:val="en-GB"/>
        </w:rPr>
        <w:t xml:space="preserve">The PBAC recommended listing </w:t>
      </w:r>
      <w:r w:rsidR="003F7FC0" w:rsidRPr="00A44CA6">
        <w:rPr>
          <w:bCs/>
          <w:szCs w:val="22"/>
          <w:lang w:val="en-GB"/>
        </w:rPr>
        <w:t>fentanyl citrate sublingual tablets</w:t>
      </w:r>
      <w:r w:rsidR="0040404F" w:rsidRPr="00A44CA6">
        <w:rPr>
          <w:bCs/>
          <w:szCs w:val="22"/>
          <w:lang w:val="en-GB"/>
        </w:rPr>
        <w:t xml:space="preserve"> as an Authority </w:t>
      </w:r>
      <w:proofErr w:type="gramStart"/>
      <w:r w:rsidR="0040404F" w:rsidRPr="00A44CA6">
        <w:rPr>
          <w:bCs/>
          <w:szCs w:val="22"/>
          <w:lang w:val="en-GB"/>
        </w:rPr>
        <w:t>Required</w:t>
      </w:r>
      <w:proofErr w:type="gramEnd"/>
      <w:r w:rsidR="0040404F" w:rsidRPr="00A44CA6">
        <w:rPr>
          <w:bCs/>
          <w:szCs w:val="22"/>
          <w:lang w:val="en-GB"/>
        </w:rPr>
        <w:t xml:space="preserve"> benefit on the Palliative Care Schedule for the treatment of breakthrough pain in patients undergoing palliative care for cancer. </w:t>
      </w:r>
    </w:p>
    <w:p w:rsidR="00F02CC7" w:rsidRPr="00A44CA6" w:rsidRDefault="00F02CC7" w:rsidP="00F02CC7">
      <w:pPr>
        <w:ind w:left="720"/>
        <w:contextualSpacing/>
        <w:rPr>
          <w:bCs/>
          <w:szCs w:val="22"/>
          <w:lang w:val="en-GB"/>
        </w:rPr>
      </w:pPr>
    </w:p>
    <w:p w:rsidR="007E3AE0" w:rsidRPr="005A14F5" w:rsidRDefault="0040404F" w:rsidP="00985AD9">
      <w:pPr>
        <w:numPr>
          <w:ilvl w:val="1"/>
          <w:numId w:val="3"/>
        </w:numPr>
        <w:contextualSpacing/>
        <w:rPr>
          <w:bCs/>
          <w:szCs w:val="22"/>
          <w:lang w:val="en-GB"/>
        </w:rPr>
      </w:pPr>
      <w:r w:rsidRPr="00A44CA6">
        <w:rPr>
          <w:bCs/>
          <w:szCs w:val="22"/>
          <w:lang w:val="en-GB"/>
        </w:rPr>
        <w:t xml:space="preserve">The recommendation was made on a cost-minimisation basis with </w:t>
      </w:r>
      <w:r w:rsidR="00985AD9" w:rsidRPr="00A44CA6">
        <w:rPr>
          <w:bCs/>
          <w:szCs w:val="22"/>
          <w:lang w:val="en-GB"/>
        </w:rPr>
        <w:t>immediate-release</w:t>
      </w:r>
      <w:r w:rsidR="00F07157">
        <w:rPr>
          <w:bCs/>
          <w:szCs w:val="22"/>
          <w:lang w:val="en-GB"/>
        </w:rPr>
        <w:t xml:space="preserve"> opioids</w:t>
      </w:r>
      <w:r w:rsidR="00985AD9" w:rsidRPr="00A44CA6">
        <w:rPr>
          <w:bCs/>
          <w:szCs w:val="22"/>
          <w:lang w:val="en-GB"/>
        </w:rPr>
        <w:t xml:space="preserve"> </w:t>
      </w:r>
      <w:r w:rsidR="00532669">
        <w:rPr>
          <w:bCs/>
          <w:szCs w:val="22"/>
          <w:lang w:val="en-GB"/>
        </w:rPr>
        <w:t>and</w:t>
      </w:r>
      <w:r w:rsidR="00985AD9" w:rsidRPr="00A44CA6">
        <w:rPr>
          <w:bCs/>
          <w:szCs w:val="22"/>
          <w:lang w:val="en-GB"/>
        </w:rPr>
        <w:t xml:space="preserve"> fentanyl lozenge</w:t>
      </w:r>
      <w:r w:rsidR="00F02CC7" w:rsidRPr="00A44CA6">
        <w:rPr>
          <w:bCs/>
          <w:szCs w:val="22"/>
          <w:lang w:val="en-GB"/>
        </w:rPr>
        <w:t xml:space="preserve"> (</w:t>
      </w:r>
      <w:proofErr w:type="spellStart"/>
      <w:r w:rsidR="00F02CC7" w:rsidRPr="00A44CA6">
        <w:rPr>
          <w:bCs/>
          <w:szCs w:val="22"/>
          <w:lang w:val="en-GB"/>
        </w:rPr>
        <w:t>Actiq</w:t>
      </w:r>
      <w:proofErr w:type="spellEnd"/>
      <w:r w:rsidR="00F02CC7" w:rsidRPr="00A44CA6">
        <w:rPr>
          <w:bCs/>
          <w:szCs w:val="22"/>
          <w:lang w:val="en-GB"/>
        </w:rPr>
        <w:t>)</w:t>
      </w:r>
      <w:r w:rsidR="00985AD9" w:rsidRPr="00A44CA6">
        <w:rPr>
          <w:bCs/>
          <w:szCs w:val="22"/>
          <w:lang w:val="en-GB"/>
        </w:rPr>
        <w:t>.</w:t>
      </w:r>
      <w:r w:rsidR="00F02CC7" w:rsidRPr="00A44CA6">
        <w:rPr>
          <w:bCs/>
          <w:szCs w:val="22"/>
          <w:lang w:val="en-GB"/>
        </w:rPr>
        <w:t xml:space="preserve"> </w:t>
      </w:r>
      <w:proofErr w:type="spellStart"/>
      <w:r w:rsidR="00F02CC7" w:rsidRPr="00A44CA6">
        <w:t>Equi</w:t>
      </w:r>
      <w:proofErr w:type="spellEnd"/>
      <w:r w:rsidR="00F02CC7" w:rsidRPr="00A44CA6">
        <w:t xml:space="preserve">-effective doses were not estimated, but assumptions were made for each pain episode to be treated with one sublingual tablet or one lozenge. </w:t>
      </w:r>
      <w:r w:rsidR="00A44CA6" w:rsidRPr="00A44CA6">
        <w:t>The PBAC considered that the resubmission’s request of flat pricing across dose strengths addressed the</w:t>
      </w:r>
      <w:r w:rsidR="00F02CC7" w:rsidRPr="00A44CA6">
        <w:t xml:space="preserve"> issue of </w:t>
      </w:r>
      <w:r w:rsidR="00A44CA6" w:rsidRPr="00A44CA6">
        <w:t xml:space="preserve">variability during titration of </w:t>
      </w:r>
      <w:r w:rsidR="00F02CC7" w:rsidRPr="00A44CA6">
        <w:t>short acting fentanyl for breakthrough pain</w:t>
      </w:r>
      <w:r w:rsidR="00A44CA6" w:rsidRPr="00A44CA6">
        <w:t>.</w:t>
      </w:r>
    </w:p>
    <w:p w:rsidR="005A14F5" w:rsidRDefault="005A14F5" w:rsidP="005A14F5">
      <w:pPr>
        <w:ind w:left="720"/>
        <w:contextualSpacing/>
        <w:rPr>
          <w:bCs/>
          <w:szCs w:val="22"/>
          <w:lang w:val="en-GB"/>
        </w:rPr>
      </w:pPr>
    </w:p>
    <w:p w:rsidR="005A14F5" w:rsidRPr="00E55A9F" w:rsidRDefault="005A14F5" w:rsidP="005A14F5">
      <w:pPr>
        <w:numPr>
          <w:ilvl w:val="1"/>
          <w:numId w:val="3"/>
        </w:numPr>
        <w:contextualSpacing/>
        <w:rPr>
          <w:bCs/>
          <w:szCs w:val="22"/>
          <w:lang w:val="en-GB"/>
        </w:rPr>
      </w:pPr>
      <w:r w:rsidRPr="00F07157">
        <w:rPr>
          <w:bCs/>
          <w:szCs w:val="22"/>
          <w:lang w:val="en-GB"/>
        </w:rPr>
        <w:t>Based on the data provided,</w:t>
      </w:r>
      <w:r>
        <w:rPr>
          <w:bCs/>
          <w:szCs w:val="22"/>
          <w:lang w:val="en-GB"/>
        </w:rPr>
        <w:t xml:space="preserve"> t</w:t>
      </w:r>
      <w:r w:rsidRPr="00E55A9F">
        <w:rPr>
          <w:bCs/>
          <w:szCs w:val="22"/>
          <w:lang w:val="en-GB"/>
        </w:rPr>
        <w:t xml:space="preserve">he PBAC considered that </w:t>
      </w:r>
      <w:r>
        <w:rPr>
          <w:bCs/>
          <w:szCs w:val="22"/>
          <w:lang w:val="en-GB"/>
        </w:rPr>
        <w:t>in the context of a clinical need in the palliative care population for a non-parenteral opioid formulation with a faster onset of action and short duration</w:t>
      </w:r>
      <w:r w:rsidRPr="00E55A9F">
        <w:rPr>
          <w:bCs/>
          <w:szCs w:val="22"/>
          <w:lang w:val="en-GB"/>
        </w:rPr>
        <w:t>,</w:t>
      </w:r>
      <w:r>
        <w:rPr>
          <w:bCs/>
          <w:szCs w:val="22"/>
          <w:lang w:val="en-GB"/>
        </w:rPr>
        <w:t xml:space="preserve"> a </w:t>
      </w:r>
      <w:r w:rsidRPr="00E55A9F">
        <w:rPr>
          <w:bCs/>
          <w:szCs w:val="22"/>
          <w:lang w:val="en-GB"/>
        </w:rPr>
        <w:t>non-inferior comparative effectiveness and non-inferior comparative safety</w:t>
      </w:r>
      <w:r>
        <w:rPr>
          <w:bCs/>
          <w:szCs w:val="22"/>
          <w:lang w:val="en-GB"/>
        </w:rPr>
        <w:t xml:space="preserve"> may be acceptable.</w:t>
      </w:r>
    </w:p>
    <w:p w:rsidR="00870CC8" w:rsidRDefault="00870CC8" w:rsidP="00870CC8">
      <w:pPr>
        <w:ind w:left="720"/>
        <w:contextualSpacing/>
        <w:rPr>
          <w:bCs/>
          <w:szCs w:val="22"/>
          <w:highlight w:val="yellow"/>
          <w:lang w:val="en-GB"/>
        </w:rPr>
      </w:pPr>
    </w:p>
    <w:p w:rsidR="00BC0359" w:rsidRPr="00BC0359" w:rsidRDefault="0040404F" w:rsidP="00BC0359">
      <w:pPr>
        <w:numPr>
          <w:ilvl w:val="1"/>
          <w:numId w:val="3"/>
        </w:numPr>
        <w:contextualSpacing/>
        <w:rPr>
          <w:szCs w:val="22"/>
        </w:rPr>
      </w:pPr>
      <w:r w:rsidRPr="00BC0359">
        <w:rPr>
          <w:szCs w:val="22"/>
        </w:rPr>
        <w:t>The PBAC</w:t>
      </w:r>
      <w:r w:rsidR="0001635E" w:rsidRPr="00BC0359">
        <w:rPr>
          <w:szCs w:val="22"/>
        </w:rPr>
        <w:t xml:space="preserve"> </w:t>
      </w:r>
      <w:r w:rsidR="00BC0359" w:rsidRPr="00BC0359">
        <w:rPr>
          <w:szCs w:val="22"/>
        </w:rPr>
        <w:t xml:space="preserve">agreed </w:t>
      </w:r>
      <w:r w:rsidR="0001635E" w:rsidRPr="00BC0359">
        <w:rPr>
          <w:szCs w:val="22"/>
        </w:rPr>
        <w:t xml:space="preserve">that the likely clinical place in therapy for fentanyl sublingual </w:t>
      </w:r>
      <w:r w:rsidR="007A6A59">
        <w:rPr>
          <w:szCs w:val="22"/>
        </w:rPr>
        <w:t>would</w:t>
      </w:r>
      <w:r w:rsidR="00BC0359" w:rsidRPr="00BC0359">
        <w:rPr>
          <w:szCs w:val="22"/>
        </w:rPr>
        <w:t xml:space="preserve"> be</w:t>
      </w:r>
      <w:r w:rsidR="0001635E" w:rsidRPr="00BC0359">
        <w:rPr>
          <w:szCs w:val="22"/>
        </w:rPr>
        <w:t xml:space="preserve"> </w:t>
      </w:r>
      <w:r w:rsidR="00BC0359" w:rsidRPr="00BC0359">
        <w:rPr>
          <w:szCs w:val="22"/>
        </w:rPr>
        <w:t xml:space="preserve">a </w:t>
      </w:r>
      <w:r w:rsidR="007A6A59">
        <w:rPr>
          <w:szCs w:val="22"/>
        </w:rPr>
        <w:t>second-</w:t>
      </w:r>
      <w:r w:rsidR="0001635E" w:rsidRPr="00BC0359">
        <w:rPr>
          <w:szCs w:val="22"/>
        </w:rPr>
        <w:t>line</w:t>
      </w:r>
      <w:r w:rsidR="00BC0359" w:rsidRPr="00BC0359">
        <w:rPr>
          <w:szCs w:val="22"/>
        </w:rPr>
        <w:t xml:space="preserve"> listing </w:t>
      </w:r>
      <w:r w:rsidR="007A6A59">
        <w:rPr>
          <w:szCs w:val="22"/>
        </w:rPr>
        <w:t>in</w:t>
      </w:r>
      <w:r w:rsidR="00BC0359" w:rsidRPr="00BC0359">
        <w:rPr>
          <w:szCs w:val="22"/>
        </w:rPr>
        <w:t xml:space="preserve"> a palliative care setting, as </w:t>
      </w:r>
      <w:r w:rsidRPr="00BC0359">
        <w:rPr>
          <w:szCs w:val="22"/>
        </w:rPr>
        <w:t xml:space="preserve">withholding fentanyl sublingual to </w:t>
      </w:r>
      <w:r w:rsidR="007A6A59">
        <w:rPr>
          <w:szCs w:val="22"/>
        </w:rPr>
        <w:t>third-</w:t>
      </w:r>
      <w:r w:rsidRPr="00BC0359">
        <w:rPr>
          <w:szCs w:val="22"/>
        </w:rPr>
        <w:t xml:space="preserve"> and subsequent line</w:t>
      </w:r>
      <w:r w:rsidR="00202A05" w:rsidRPr="00BC0359">
        <w:rPr>
          <w:szCs w:val="22"/>
        </w:rPr>
        <w:t>s</w:t>
      </w:r>
      <w:r w:rsidRPr="00BC0359">
        <w:rPr>
          <w:szCs w:val="22"/>
        </w:rPr>
        <w:t xml:space="preserve"> for breakthrough pain may </w:t>
      </w:r>
      <w:r w:rsidR="00434CC4" w:rsidRPr="00BC0359">
        <w:rPr>
          <w:szCs w:val="22"/>
        </w:rPr>
        <w:t xml:space="preserve">not be </w:t>
      </w:r>
      <w:r w:rsidR="007A6A59">
        <w:rPr>
          <w:szCs w:val="22"/>
        </w:rPr>
        <w:t xml:space="preserve">practical or </w:t>
      </w:r>
      <w:r w:rsidRPr="00BC0359">
        <w:rPr>
          <w:szCs w:val="22"/>
        </w:rPr>
        <w:t xml:space="preserve">reasonable. </w:t>
      </w:r>
      <w:r w:rsidR="00BC0359">
        <w:rPr>
          <w:szCs w:val="22"/>
        </w:rPr>
        <w:t xml:space="preserve">Furthermore, the Committee considered that, in rare circumstances, fentanyl sublingual </w:t>
      </w:r>
      <w:r w:rsidR="007A6A59">
        <w:rPr>
          <w:szCs w:val="22"/>
        </w:rPr>
        <w:t>may be appropriately used</w:t>
      </w:r>
      <w:r w:rsidR="00BC0359">
        <w:rPr>
          <w:szCs w:val="22"/>
        </w:rPr>
        <w:t xml:space="preserve"> in </w:t>
      </w:r>
      <w:r w:rsidR="007A6A59">
        <w:rPr>
          <w:szCs w:val="22"/>
        </w:rPr>
        <w:t>first-</w:t>
      </w:r>
      <w:r w:rsidR="00BC0359">
        <w:rPr>
          <w:szCs w:val="22"/>
        </w:rPr>
        <w:t>line setting for patient</w:t>
      </w:r>
      <w:r w:rsidR="007A6A59">
        <w:rPr>
          <w:szCs w:val="22"/>
        </w:rPr>
        <w:t>s</w:t>
      </w:r>
      <w:r w:rsidR="00BC0359">
        <w:rPr>
          <w:szCs w:val="22"/>
        </w:rPr>
        <w:t xml:space="preserve"> unable to </w:t>
      </w:r>
      <w:r w:rsidR="00F63C34">
        <w:rPr>
          <w:szCs w:val="22"/>
        </w:rPr>
        <w:t xml:space="preserve">swallow </w:t>
      </w:r>
      <w:r w:rsidR="00BC0359">
        <w:rPr>
          <w:szCs w:val="22"/>
        </w:rPr>
        <w:t>oral immediate-release opioids.</w:t>
      </w:r>
    </w:p>
    <w:p w:rsidR="00BC0359" w:rsidRDefault="00BC0359" w:rsidP="00BC0359">
      <w:pPr>
        <w:ind w:left="720"/>
        <w:contextualSpacing/>
        <w:rPr>
          <w:szCs w:val="22"/>
        </w:rPr>
      </w:pPr>
    </w:p>
    <w:p w:rsidR="005A14F5" w:rsidRDefault="005A14F5" w:rsidP="00EF7F16">
      <w:pPr>
        <w:widowControl/>
        <w:numPr>
          <w:ilvl w:val="1"/>
          <w:numId w:val="3"/>
        </w:numPr>
        <w:contextualSpacing/>
      </w:pPr>
      <w:r w:rsidRPr="002876D9">
        <w:rPr>
          <w:bCs/>
          <w:szCs w:val="22"/>
          <w:lang w:val="en-GB"/>
        </w:rPr>
        <w:lastRenderedPageBreak/>
        <w:t xml:space="preserve">The PBAC considered </w:t>
      </w:r>
      <w:r>
        <w:rPr>
          <w:bCs/>
          <w:szCs w:val="22"/>
          <w:lang w:val="en-GB"/>
        </w:rPr>
        <w:t xml:space="preserve">both </w:t>
      </w:r>
      <w:r w:rsidRPr="002876D9">
        <w:rPr>
          <w:bCs/>
          <w:szCs w:val="22"/>
          <w:lang w:val="en-GB"/>
        </w:rPr>
        <w:t xml:space="preserve">immediate-release oral opioids and fentanyl lozenges to be appropriate comparators. </w:t>
      </w:r>
      <w:r>
        <w:rPr>
          <w:bCs/>
          <w:szCs w:val="22"/>
          <w:lang w:val="en-GB"/>
        </w:rPr>
        <w:t xml:space="preserve">In addition, </w:t>
      </w:r>
      <w:r w:rsidRPr="002876D9">
        <w:rPr>
          <w:bCs/>
          <w:szCs w:val="22"/>
          <w:lang w:val="en-GB"/>
        </w:rPr>
        <w:t>for the small group of patients who are unable to swallow oral opioids</w:t>
      </w:r>
      <w:r>
        <w:rPr>
          <w:bCs/>
          <w:szCs w:val="22"/>
          <w:lang w:val="en-GB"/>
        </w:rPr>
        <w:t>, t</w:t>
      </w:r>
      <w:r w:rsidRPr="002876D9">
        <w:rPr>
          <w:bCs/>
          <w:szCs w:val="22"/>
          <w:lang w:val="en-GB"/>
        </w:rPr>
        <w:t xml:space="preserve">he PBAC considered that </w:t>
      </w:r>
      <w:r>
        <w:t>subcutaneous morphine may be an appropriate comparator.</w:t>
      </w:r>
    </w:p>
    <w:p w:rsidR="00431F70" w:rsidRDefault="00431F70" w:rsidP="00BC0359">
      <w:pPr>
        <w:ind w:left="720"/>
        <w:contextualSpacing/>
        <w:rPr>
          <w:szCs w:val="22"/>
        </w:rPr>
      </w:pPr>
    </w:p>
    <w:p w:rsidR="00F63C34" w:rsidRPr="00F63C34" w:rsidRDefault="006C0B3D" w:rsidP="00F63C34">
      <w:pPr>
        <w:pStyle w:val="ListParagraph"/>
        <w:numPr>
          <w:ilvl w:val="1"/>
          <w:numId w:val="3"/>
        </w:numPr>
        <w:rPr>
          <w:szCs w:val="22"/>
        </w:rPr>
      </w:pPr>
      <w:r w:rsidRPr="00F63C34">
        <w:rPr>
          <w:szCs w:val="22"/>
        </w:rPr>
        <w:t>The PBAC noted the comments from health profession</w:t>
      </w:r>
      <w:r w:rsidR="007A6A59" w:rsidRPr="00F63C34">
        <w:rPr>
          <w:szCs w:val="22"/>
        </w:rPr>
        <w:t xml:space="preserve">als regarding the desire for a product with </w:t>
      </w:r>
      <w:r w:rsidRPr="00F63C34">
        <w:rPr>
          <w:szCs w:val="22"/>
        </w:rPr>
        <w:t xml:space="preserve">rapid action and short duration of effect </w:t>
      </w:r>
      <w:r w:rsidR="00F63C34" w:rsidRPr="00F63C34">
        <w:rPr>
          <w:szCs w:val="22"/>
        </w:rPr>
        <w:t>The PBAC acknowledged that a clinical need exists for alternative treatments for break</w:t>
      </w:r>
      <w:r w:rsidR="00006886">
        <w:rPr>
          <w:szCs w:val="22"/>
        </w:rPr>
        <w:t xml:space="preserve">through pain in cancer patients and particularly for treatments which control breakthrough pain without the sedation associated with immediate-release oral </w:t>
      </w:r>
      <w:r w:rsidR="00504599">
        <w:rPr>
          <w:szCs w:val="22"/>
        </w:rPr>
        <w:t>opioids</w:t>
      </w:r>
      <w:r w:rsidR="00006886">
        <w:rPr>
          <w:szCs w:val="22"/>
        </w:rPr>
        <w:t>.</w:t>
      </w:r>
    </w:p>
    <w:p w:rsidR="006C0B3D" w:rsidRDefault="006C0B3D" w:rsidP="006C0B3D">
      <w:pPr>
        <w:pStyle w:val="ListParagraph"/>
        <w:rPr>
          <w:szCs w:val="22"/>
        </w:rPr>
      </w:pPr>
    </w:p>
    <w:p w:rsidR="00F63C34" w:rsidRDefault="006C0B3D" w:rsidP="006C0B3D">
      <w:pPr>
        <w:numPr>
          <w:ilvl w:val="1"/>
          <w:numId w:val="3"/>
        </w:numPr>
        <w:contextualSpacing/>
        <w:rPr>
          <w:szCs w:val="22"/>
        </w:rPr>
      </w:pPr>
      <w:r w:rsidRPr="006C0B3D">
        <w:rPr>
          <w:szCs w:val="22"/>
        </w:rPr>
        <w:t>The PBAC agreed with the ESC that incident pain is a component of breakthrough pain, as supported by the palliative care literature</w:t>
      </w:r>
      <w:r>
        <w:rPr>
          <w:szCs w:val="22"/>
        </w:rPr>
        <w:t xml:space="preserve">. </w:t>
      </w:r>
    </w:p>
    <w:p w:rsidR="00532669" w:rsidRDefault="00532669" w:rsidP="00532669">
      <w:pPr>
        <w:ind w:left="720"/>
        <w:contextualSpacing/>
        <w:rPr>
          <w:szCs w:val="22"/>
        </w:rPr>
      </w:pPr>
    </w:p>
    <w:p w:rsidR="00E410B3" w:rsidRPr="00BB6798" w:rsidRDefault="00E410B3" w:rsidP="00E410B3">
      <w:pPr>
        <w:pStyle w:val="ListParagraph"/>
        <w:widowControl/>
        <w:numPr>
          <w:ilvl w:val="1"/>
          <w:numId w:val="3"/>
        </w:numPr>
        <w:rPr>
          <w:bCs/>
          <w:szCs w:val="22"/>
          <w:lang w:val="en-GB"/>
        </w:rPr>
      </w:pPr>
      <w:r w:rsidRPr="00BB6798">
        <w:rPr>
          <w:bCs/>
          <w:szCs w:val="22"/>
        </w:rPr>
        <w:t xml:space="preserve">The PBAC noted that the </w:t>
      </w:r>
      <w:r w:rsidR="00431F70" w:rsidRPr="00BB6798">
        <w:rPr>
          <w:bCs/>
          <w:szCs w:val="22"/>
        </w:rPr>
        <w:t>re</w:t>
      </w:r>
      <w:r w:rsidRPr="00BB6798">
        <w:rPr>
          <w:bCs/>
          <w:szCs w:val="22"/>
        </w:rPr>
        <w:t>submission had appropriately taken an epidemiological approach rather than a market share approach as in the previous submission. The PBAC agreed with the resubmission that the size of the eligible population remains uncertain given the wide ranges in the published literature and the paucity of evidence underpinning a number of key assumptions. The PBAC considered that a robust risk-sharing arrangement would be needed to address this uncertainty as well as manage the financial implications for any use beyond the restriction including into the first-line treatment of breakthrough pain in cancer patients.</w:t>
      </w:r>
    </w:p>
    <w:p w:rsidR="00532669" w:rsidRDefault="00532669" w:rsidP="00870CC8">
      <w:pPr>
        <w:ind w:left="720"/>
        <w:contextualSpacing/>
        <w:rPr>
          <w:bCs/>
          <w:szCs w:val="22"/>
          <w:lang w:val="en-GB"/>
        </w:rPr>
      </w:pPr>
    </w:p>
    <w:p w:rsidR="00E410B3" w:rsidRPr="00E410B3" w:rsidRDefault="00E410B3" w:rsidP="00870CC8">
      <w:pPr>
        <w:pStyle w:val="ListParagraph"/>
        <w:widowControl/>
        <w:numPr>
          <w:ilvl w:val="1"/>
          <w:numId w:val="3"/>
        </w:numPr>
        <w:rPr>
          <w:bCs/>
          <w:szCs w:val="22"/>
          <w:lang w:val="en-GB"/>
        </w:rPr>
      </w:pPr>
      <w:r>
        <w:t xml:space="preserve">The PBAC considered that a telephone authority required listing may help to mitigate the risk of standing concerns regarding potential for misuse and diversion of opioids. </w:t>
      </w:r>
    </w:p>
    <w:p w:rsidR="00E410B3" w:rsidRPr="00E55A9F" w:rsidRDefault="00E410B3" w:rsidP="00870CC8">
      <w:pPr>
        <w:ind w:left="720"/>
        <w:contextualSpacing/>
        <w:rPr>
          <w:bCs/>
          <w:szCs w:val="22"/>
          <w:lang w:val="en-GB"/>
        </w:rPr>
      </w:pPr>
    </w:p>
    <w:p w:rsidR="0006477A" w:rsidRPr="00624D08" w:rsidRDefault="007A6A59" w:rsidP="0006477A">
      <w:pPr>
        <w:pStyle w:val="ListParagraph"/>
        <w:widowControl/>
        <w:numPr>
          <w:ilvl w:val="1"/>
          <w:numId w:val="3"/>
        </w:numPr>
        <w:rPr>
          <w:szCs w:val="22"/>
        </w:rPr>
      </w:pPr>
      <w:r>
        <w:rPr>
          <w:szCs w:val="22"/>
        </w:rPr>
        <w:t xml:space="preserve">The PBAC requested the Department consult with peak clinical bodies for pain management to define the restriction wording and clinical place in therapy. </w:t>
      </w:r>
      <w:r w:rsidR="00E410B3">
        <w:t>The Committee advised that f</w:t>
      </w:r>
      <w:r>
        <w:t xml:space="preserve">ollowing finalisation of the restriction, </w:t>
      </w:r>
      <w:r w:rsidR="0006477A">
        <w:t xml:space="preserve">any </w:t>
      </w:r>
      <w:r>
        <w:t xml:space="preserve">amendments should </w:t>
      </w:r>
      <w:r w:rsidR="0006477A">
        <w:t xml:space="preserve">be flowed on to the current fentanyl lozenge listing. </w:t>
      </w:r>
    </w:p>
    <w:p w:rsidR="00624D08" w:rsidRPr="00624D08" w:rsidRDefault="00624D08" w:rsidP="00624D08">
      <w:pPr>
        <w:pStyle w:val="ListParagraph"/>
        <w:rPr>
          <w:szCs w:val="22"/>
        </w:rPr>
      </w:pPr>
    </w:p>
    <w:p w:rsidR="00671896" w:rsidRPr="00671896" w:rsidRDefault="00671896" w:rsidP="00671896">
      <w:pPr>
        <w:numPr>
          <w:ilvl w:val="1"/>
          <w:numId w:val="3"/>
        </w:numPr>
        <w:contextualSpacing/>
        <w:rPr>
          <w:bCs/>
          <w:szCs w:val="22"/>
          <w:lang w:val="en-GB"/>
        </w:rPr>
      </w:pPr>
      <w:r w:rsidRPr="00671896">
        <w:rPr>
          <w:bCs/>
          <w:szCs w:val="22"/>
          <w:lang w:val="en-GB"/>
        </w:rPr>
        <w:t>The PBAC recommended that fentanyl citrate sublingual tablets should not be treated as interchangeable on an individual patient basis with any other drugs.</w:t>
      </w:r>
    </w:p>
    <w:p w:rsidR="00671896" w:rsidRPr="00671896" w:rsidRDefault="00671896" w:rsidP="00671896">
      <w:pPr>
        <w:ind w:left="720"/>
        <w:contextualSpacing/>
        <w:rPr>
          <w:bCs/>
          <w:szCs w:val="22"/>
          <w:lang w:val="en-GB"/>
        </w:rPr>
      </w:pPr>
    </w:p>
    <w:p w:rsidR="00671896" w:rsidRPr="00671896" w:rsidRDefault="00671896" w:rsidP="00671896">
      <w:pPr>
        <w:numPr>
          <w:ilvl w:val="1"/>
          <w:numId w:val="3"/>
        </w:numPr>
        <w:contextualSpacing/>
        <w:rPr>
          <w:bCs/>
          <w:szCs w:val="22"/>
          <w:lang w:val="en-GB"/>
        </w:rPr>
      </w:pPr>
      <w:r w:rsidRPr="00671896">
        <w:rPr>
          <w:bCs/>
          <w:szCs w:val="22"/>
          <w:lang w:val="en-GB"/>
        </w:rPr>
        <w:t>The PBAC advised that fentanyl citrate sublingual tablets are suitable for prescribing by nurse practitioners under a Shared Care model.</w:t>
      </w:r>
    </w:p>
    <w:p w:rsidR="0040404F" w:rsidRDefault="0040404F" w:rsidP="00870CC8">
      <w:pPr>
        <w:ind w:left="720"/>
        <w:contextualSpacing/>
        <w:rPr>
          <w:bCs/>
          <w:szCs w:val="22"/>
          <w:highlight w:val="yellow"/>
          <w:lang w:val="en-GB"/>
        </w:rPr>
      </w:pPr>
    </w:p>
    <w:p w:rsidR="00671896" w:rsidRPr="00671896" w:rsidRDefault="00671896" w:rsidP="00671896">
      <w:pPr>
        <w:numPr>
          <w:ilvl w:val="1"/>
          <w:numId w:val="3"/>
        </w:numPr>
        <w:contextualSpacing/>
        <w:rPr>
          <w:bCs/>
          <w:szCs w:val="22"/>
          <w:lang w:val="en-GB"/>
        </w:rPr>
      </w:pPr>
      <w:r w:rsidRPr="00671896">
        <w:rPr>
          <w:bCs/>
          <w:szCs w:val="22"/>
          <w:lang w:val="en-GB"/>
        </w:rPr>
        <w:t>The PBAC recommended that the Safety Net 20 Day Rule should</w:t>
      </w:r>
      <w:r>
        <w:rPr>
          <w:bCs/>
          <w:szCs w:val="22"/>
          <w:lang w:val="en-GB"/>
        </w:rPr>
        <w:t xml:space="preserve"> </w:t>
      </w:r>
      <w:r w:rsidR="00B63BEA">
        <w:rPr>
          <w:bCs/>
          <w:szCs w:val="22"/>
          <w:lang w:val="en-GB"/>
        </w:rPr>
        <w:t xml:space="preserve">not </w:t>
      </w:r>
      <w:r>
        <w:rPr>
          <w:bCs/>
          <w:szCs w:val="22"/>
          <w:lang w:val="en-GB"/>
        </w:rPr>
        <w:t>apply.</w:t>
      </w:r>
    </w:p>
    <w:p w:rsidR="00870CC8" w:rsidRPr="00671896" w:rsidRDefault="00870CC8" w:rsidP="00870CC8">
      <w:pPr>
        <w:pStyle w:val="ListParagraph"/>
        <w:rPr>
          <w:bCs/>
          <w:szCs w:val="22"/>
          <w:lang w:val="en-GB"/>
        </w:rPr>
      </w:pPr>
    </w:p>
    <w:p w:rsidR="00671896" w:rsidRPr="00671896" w:rsidRDefault="00671896" w:rsidP="00671896">
      <w:pPr>
        <w:numPr>
          <w:ilvl w:val="1"/>
          <w:numId w:val="3"/>
        </w:numPr>
        <w:contextualSpacing/>
        <w:rPr>
          <w:bCs/>
          <w:szCs w:val="22"/>
          <w:lang w:val="en-GB"/>
        </w:rPr>
      </w:pPr>
      <w:r w:rsidRPr="00671896">
        <w:rPr>
          <w:bCs/>
          <w:szCs w:val="22"/>
          <w:lang w:val="en-GB"/>
        </w:rPr>
        <w:t>The submission is not elig</w:t>
      </w:r>
      <w:r>
        <w:rPr>
          <w:bCs/>
          <w:szCs w:val="22"/>
          <w:lang w:val="en-GB"/>
        </w:rPr>
        <w:t>ible for an Independent Review</w:t>
      </w:r>
      <w:r w:rsidR="00B63BEA">
        <w:rPr>
          <w:bCs/>
          <w:szCs w:val="22"/>
          <w:lang w:val="en-GB"/>
        </w:rPr>
        <w:t xml:space="preserve"> as </w:t>
      </w:r>
      <w:r w:rsidR="007A6A59">
        <w:rPr>
          <w:bCs/>
          <w:szCs w:val="22"/>
          <w:lang w:val="en-GB"/>
        </w:rPr>
        <w:t>the PBAC has made</w:t>
      </w:r>
      <w:r w:rsidR="00B63BEA">
        <w:rPr>
          <w:bCs/>
          <w:szCs w:val="22"/>
          <w:lang w:val="en-GB"/>
        </w:rPr>
        <w:t xml:space="preserve"> a positive recommendation</w:t>
      </w:r>
      <w:r>
        <w:rPr>
          <w:bCs/>
          <w:szCs w:val="22"/>
          <w:lang w:val="en-GB"/>
        </w:rPr>
        <w:t>.</w:t>
      </w:r>
    </w:p>
    <w:p w:rsidR="00870CC8" w:rsidRPr="00671896" w:rsidRDefault="00870CC8" w:rsidP="00870CC8">
      <w:pPr>
        <w:rPr>
          <w:bCs/>
          <w:szCs w:val="22"/>
          <w:lang w:val="en-GB"/>
        </w:rPr>
      </w:pPr>
    </w:p>
    <w:p w:rsidR="00870CC8" w:rsidRPr="00EA0EDA" w:rsidRDefault="00870CC8" w:rsidP="00870CC8">
      <w:pPr>
        <w:rPr>
          <w:b/>
          <w:bCs/>
          <w:szCs w:val="22"/>
          <w:highlight w:val="yellow"/>
          <w:lang w:val="en-GB"/>
        </w:rPr>
      </w:pPr>
    </w:p>
    <w:p w:rsidR="00870CC8" w:rsidRPr="00B63BEA" w:rsidRDefault="00870CC8" w:rsidP="00870CC8">
      <w:pPr>
        <w:rPr>
          <w:b/>
          <w:bCs/>
          <w:szCs w:val="22"/>
          <w:lang w:val="en-GB"/>
        </w:rPr>
      </w:pPr>
      <w:r w:rsidRPr="00B63BEA">
        <w:rPr>
          <w:b/>
          <w:bCs/>
          <w:szCs w:val="22"/>
          <w:lang w:val="en-GB"/>
        </w:rPr>
        <w:t>Outcome:</w:t>
      </w:r>
    </w:p>
    <w:p w:rsidR="00870CC8" w:rsidRPr="00B63BEA" w:rsidRDefault="00870CC8" w:rsidP="00870CC8">
      <w:pPr>
        <w:rPr>
          <w:bCs/>
          <w:szCs w:val="22"/>
          <w:lang w:val="en-GB"/>
        </w:rPr>
      </w:pPr>
      <w:r w:rsidRPr="00B63BEA">
        <w:rPr>
          <w:bCs/>
          <w:szCs w:val="22"/>
          <w:lang w:val="en-GB"/>
        </w:rPr>
        <w:t>Recommended</w:t>
      </w:r>
    </w:p>
    <w:p w:rsidR="00437458" w:rsidRDefault="00437458" w:rsidP="00870CC8">
      <w:pPr>
        <w:rPr>
          <w:b/>
          <w:bCs/>
          <w:szCs w:val="22"/>
          <w:highlight w:val="yellow"/>
        </w:rPr>
      </w:pPr>
    </w:p>
    <w:p w:rsidR="00437458" w:rsidRDefault="00437458" w:rsidP="00870CC8">
      <w:pPr>
        <w:rPr>
          <w:b/>
          <w:bCs/>
          <w:szCs w:val="22"/>
          <w:highlight w:val="yellow"/>
        </w:rPr>
      </w:pPr>
    </w:p>
    <w:p w:rsidR="00870CC8" w:rsidRPr="00B63BEA" w:rsidRDefault="00870CC8" w:rsidP="00437458">
      <w:pPr>
        <w:numPr>
          <w:ilvl w:val="0"/>
          <w:numId w:val="3"/>
        </w:numPr>
        <w:rPr>
          <w:b/>
          <w:bCs/>
          <w:szCs w:val="22"/>
          <w:lang w:val="en-GB"/>
        </w:rPr>
      </w:pPr>
      <w:r w:rsidRPr="00B63BEA">
        <w:rPr>
          <w:b/>
          <w:bCs/>
          <w:szCs w:val="22"/>
          <w:lang w:val="en-GB"/>
        </w:rPr>
        <w:t>Recommended listing</w:t>
      </w:r>
    </w:p>
    <w:p w:rsidR="00437458" w:rsidRDefault="00437458" w:rsidP="00437458"/>
    <w:p w:rsidR="005A14F5" w:rsidRPr="00B63BEA" w:rsidRDefault="005A14F5" w:rsidP="00437458">
      <w:pPr>
        <w:pStyle w:val="ListParagraph"/>
        <w:numPr>
          <w:ilvl w:val="1"/>
          <w:numId w:val="3"/>
        </w:numPr>
      </w:pPr>
      <w:r w:rsidRPr="00B63BEA">
        <w:t>Restriction</w:t>
      </w:r>
      <w:r w:rsidR="0082172A">
        <w:t>s</w:t>
      </w:r>
      <w:r w:rsidRPr="00B63BEA">
        <w:t xml:space="preserve"> to be finalised.</w:t>
      </w:r>
    </w:p>
    <w:p w:rsidR="00870CC8" w:rsidRPr="00B63BEA" w:rsidRDefault="00870CC8" w:rsidP="005A14F5">
      <w:pPr>
        <w:ind w:left="720"/>
        <w:contextualSpacing/>
        <w:rPr>
          <w:b/>
          <w:bCs/>
          <w:szCs w:val="22"/>
        </w:rPr>
      </w:pPr>
    </w:p>
    <w:p w:rsidR="00870CC8" w:rsidRPr="00C01380" w:rsidRDefault="00870CC8" w:rsidP="00870CC8">
      <w:pPr>
        <w:ind w:firstLine="720"/>
        <w:rPr>
          <w:bCs/>
          <w:szCs w:val="22"/>
          <w:u w:val="single"/>
        </w:rPr>
      </w:pPr>
      <w:r w:rsidRPr="00C01380">
        <w:rPr>
          <w:bCs/>
          <w:szCs w:val="22"/>
          <w:u w:val="single"/>
        </w:rPr>
        <w:lastRenderedPageBreak/>
        <w:t>Add new item</w:t>
      </w:r>
      <w:r w:rsidR="00C01380">
        <w:rPr>
          <w:bCs/>
          <w:szCs w:val="22"/>
          <w:u w:val="single"/>
        </w:rPr>
        <w:t>s</w:t>
      </w:r>
      <w:r w:rsidRPr="00C01380">
        <w:rPr>
          <w:bCs/>
          <w:szCs w:val="22"/>
          <w:u w:val="single"/>
        </w:rPr>
        <w:t>:</w:t>
      </w:r>
      <w:r w:rsidR="00B63BEA" w:rsidRPr="00C01380">
        <w:rPr>
          <w:bCs/>
          <w:szCs w:val="22"/>
          <w:u w:val="single"/>
        </w:rPr>
        <w:t xml:space="preserve"> </w:t>
      </w:r>
    </w:p>
    <w:p w:rsidR="00C01380" w:rsidRPr="00C01380" w:rsidRDefault="00C01380" w:rsidP="00C01380">
      <w:pPr>
        <w:ind w:firstLine="720"/>
        <w:rPr>
          <w:bCs/>
          <w:szCs w:val="22"/>
        </w:rPr>
      </w:pPr>
      <w:r w:rsidRPr="00C01380">
        <w:rPr>
          <w:bCs/>
          <w:szCs w:val="22"/>
        </w:rPr>
        <w:t>FENTANYL CITRATE</w:t>
      </w:r>
    </w:p>
    <w:p w:rsidR="00C01380" w:rsidRPr="00C01380" w:rsidRDefault="00C01380" w:rsidP="00C01380">
      <w:pPr>
        <w:ind w:firstLine="720"/>
        <w:rPr>
          <w:bCs/>
          <w:szCs w:val="22"/>
        </w:rPr>
      </w:pPr>
      <w:r w:rsidRPr="00C01380">
        <w:rPr>
          <w:bCs/>
          <w:szCs w:val="22"/>
        </w:rPr>
        <w:t>100 microgram tablet: sublingual, 10 &amp; 30,</w:t>
      </w:r>
    </w:p>
    <w:p w:rsidR="00C01380" w:rsidRPr="00C01380" w:rsidRDefault="00C01380" w:rsidP="00C01380">
      <w:pPr>
        <w:ind w:firstLine="720"/>
        <w:rPr>
          <w:bCs/>
          <w:szCs w:val="22"/>
        </w:rPr>
      </w:pPr>
      <w:r w:rsidRPr="00C01380">
        <w:rPr>
          <w:bCs/>
          <w:szCs w:val="22"/>
        </w:rPr>
        <w:t>200 microgram tablet: sublingual, 10 &amp; 30,</w:t>
      </w:r>
    </w:p>
    <w:p w:rsidR="00C01380" w:rsidRPr="00C01380" w:rsidRDefault="00C01380" w:rsidP="00C01380">
      <w:pPr>
        <w:ind w:firstLine="720"/>
        <w:rPr>
          <w:bCs/>
          <w:szCs w:val="22"/>
        </w:rPr>
      </w:pPr>
      <w:r w:rsidRPr="00C01380">
        <w:rPr>
          <w:bCs/>
          <w:szCs w:val="22"/>
        </w:rPr>
        <w:t>300 microgram tablet: sublingual, 10 &amp; 30,</w:t>
      </w:r>
    </w:p>
    <w:p w:rsidR="00C01380" w:rsidRPr="00C01380" w:rsidRDefault="00C01380" w:rsidP="00C01380">
      <w:pPr>
        <w:ind w:firstLine="720"/>
        <w:rPr>
          <w:bCs/>
          <w:szCs w:val="22"/>
        </w:rPr>
      </w:pPr>
      <w:r w:rsidRPr="00C01380">
        <w:rPr>
          <w:bCs/>
          <w:szCs w:val="22"/>
        </w:rPr>
        <w:t>400 microgram tablet: sublingual, 10 &amp; 30,</w:t>
      </w:r>
    </w:p>
    <w:p w:rsidR="00C01380" w:rsidRPr="00C01380" w:rsidRDefault="00C01380" w:rsidP="00C01380">
      <w:pPr>
        <w:ind w:firstLine="720"/>
        <w:rPr>
          <w:bCs/>
          <w:szCs w:val="22"/>
        </w:rPr>
      </w:pPr>
      <w:r w:rsidRPr="00C01380">
        <w:rPr>
          <w:bCs/>
          <w:szCs w:val="22"/>
        </w:rPr>
        <w:t>600 microgram tablet: sublingual, 10 &amp; 30,</w:t>
      </w:r>
    </w:p>
    <w:p w:rsidR="00C01380" w:rsidRPr="00C01380" w:rsidRDefault="00C01380" w:rsidP="00C01380">
      <w:pPr>
        <w:ind w:firstLine="720"/>
        <w:rPr>
          <w:bCs/>
          <w:szCs w:val="22"/>
        </w:rPr>
      </w:pPr>
      <w:r w:rsidRPr="00C01380">
        <w:rPr>
          <w:bCs/>
          <w:szCs w:val="22"/>
        </w:rPr>
        <w:t>800 microgram tablet: sublingual, 10 &amp; 30,</w:t>
      </w:r>
    </w:p>
    <w:p w:rsidR="00C01380" w:rsidRDefault="00C01380" w:rsidP="00C01380">
      <w:pPr>
        <w:ind w:firstLine="720"/>
        <w:rPr>
          <w:bCs/>
          <w:szCs w:val="22"/>
        </w:rPr>
      </w:pPr>
      <w:proofErr w:type="spellStart"/>
      <w:proofErr w:type="gramStart"/>
      <w:r w:rsidRPr="00C01380">
        <w:rPr>
          <w:bCs/>
          <w:szCs w:val="22"/>
        </w:rPr>
        <w:t>Abstral</w:t>
      </w:r>
      <w:proofErr w:type="spellEnd"/>
      <w:r w:rsidRPr="00C01380">
        <w:rPr>
          <w:bCs/>
          <w:szCs w:val="22"/>
        </w:rPr>
        <w:t xml:space="preserve">®, </w:t>
      </w:r>
      <w:proofErr w:type="spellStart"/>
      <w:r w:rsidRPr="00C01380">
        <w:rPr>
          <w:bCs/>
          <w:szCs w:val="22"/>
        </w:rPr>
        <w:t>A.Menarini</w:t>
      </w:r>
      <w:proofErr w:type="spellEnd"/>
      <w:r w:rsidRPr="00C01380">
        <w:rPr>
          <w:bCs/>
          <w:szCs w:val="22"/>
        </w:rPr>
        <w:t xml:space="preserve"> Australia Pty Ltd.</w:t>
      </w:r>
      <w:proofErr w:type="gramEnd"/>
    </w:p>
    <w:p w:rsidR="00C01380" w:rsidRDefault="00C01380" w:rsidP="00870CC8">
      <w:pPr>
        <w:ind w:firstLine="720"/>
        <w:rPr>
          <w:bCs/>
          <w:szCs w:val="22"/>
        </w:rPr>
      </w:pPr>
    </w:p>
    <w:p w:rsidR="00C01380" w:rsidRPr="00B63BEA" w:rsidRDefault="00C01380" w:rsidP="00870CC8">
      <w:pPr>
        <w:ind w:firstLine="720"/>
        <w:rPr>
          <w:bCs/>
          <w:szCs w:val="22"/>
        </w:rPr>
      </w:pPr>
    </w:p>
    <w:p w:rsidR="00C01380" w:rsidRDefault="00870CC8" w:rsidP="00870CC8">
      <w:pPr>
        <w:ind w:firstLine="720"/>
        <w:rPr>
          <w:bCs/>
          <w:szCs w:val="22"/>
        </w:rPr>
      </w:pPr>
      <w:r w:rsidRPr="00C01380">
        <w:rPr>
          <w:bCs/>
          <w:szCs w:val="22"/>
          <w:u w:val="single"/>
        </w:rPr>
        <w:t>Amend existing/recommended listing:</w:t>
      </w:r>
      <w:r w:rsidR="007032BB" w:rsidRPr="00B63BEA">
        <w:rPr>
          <w:bCs/>
          <w:szCs w:val="22"/>
        </w:rPr>
        <w:t xml:space="preserve"> </w:t>
      </w:r>
    </w:p>
    <w:p w:rsidR="00C01380" w:rsidRDefault="00C01380" w:rsidP="00C01380">
      <w:pPr>
        <w:widowControl/>
        <w:ind w:firstLine="720"/>
        <w:jc w:val="left"/>
        <w:rPr>
          <w:bCs/>
          <w:szCs w:val="22"/>
        </w:rPr>
      </w:pPr>
      <w:r w:rsidRPr="00C01380">
        <w:rPr>
          <w:bCs/>
          <w:szCs w:val="22"/>
        </w:rPr>
        <w:t xml:space="preserve">FENTANYL </w:t>
      </w:r>
      <w:r>
        <w:rPr>
          <w:bCs/>
          <w:szCs w:val="22"/>
        </w:rPr>
        <w:t>CITRATE</w:t>
      </w:r>
    </w:p>
    <w:p w:rsidR="00C01380" w:rsidRPr="00C01380" w:rsidRDefault="00C01380" w:rsidP="00C01380">
      <w:pPr>
        <w:widowControl/>
        <w:ind w:firstLine="720"/>
        <w:jc w:val="left"/>
        <w:rPr>
          <w:bCs/>
          <w:szCs w:val="22"/>
        </w:rPr>
      </w:pPr>
      <w:r w:rsidRPr="00C01380">
        <w:rPr>
          <w:bCs/>
          <w:szCs w:val="22"/>
        </w:rPr>
        <w:t xml:space="preserve">Lozenge 200 micrograms, </w:t>
      </w:r>
      <w:r>
        <w:rPr>
          <w:bCs/>
          <w:szCs w:val="22"/>
        </w:rPr>
        <w:t xml:space="preserve">9 &amp; </w:t>
      </w:r>
      <w:r w:rsidRPr="00C01380">
        <w:rPr>
          <w:bCs/>
          <w:szCs w:val="22"/>
        </w:rPr>
        <w:t>30</w:t>
      </w:r>
    </w:p>
    <w:p w:rsidR="00C01380" w:rsidRPr="00C01380" w:rsidRDefault="00C01380" w:rsidP="00C01380">
      <w:pPr>
        <w:widowControl/>
        <w:ind w:firstLine="720"/>
        <w:jc w:val="left"/>
        <w:rPr>
          <w:bCs/>
          <w:szCs w:val="22"/>
        </w:rPr>
      </w:pPr>
      <w:r w:rsidRPr="00C01380">
        <w:rPr>
          <w:bCs/>
          <w:szCs w:val="22"/>
        </w:rPr>
        <w:t xml:space="preserve">Lozenge 400 micrograms, </w:t>
      </w:r>
      <w:r>
        <w:rPr>
          <w:bCs/>
          <w:szCs w:val="22"/>
        </w:rPr>
        <w:t xml:space="preserve">9 &amp; </w:t>
      </w:r>
      <w:r w:rsidRPr="00C01380">
        <w:rPr>
          <w:bCs/>
          <w:szCs w:val="22"/>
        </w:rPr>
        <w:t>30</w:t>
      </w:r>
    </w:p>
    <w:p w:rsidR="00C01380" w:rsidRPr="00C01380" w:rsidRDefault="00C01380" w:rsidP="00C01380">
      <w:pPr>
        <w:widowControl/>
        <w:ind w:firstLine="720"/>
        <w:jc w:val="left"/>
        <w:rPr>
          <w:bCs/>
          <w:szCs w:val="22"/>
        </w:rPr>
      </w:pPr>
      <w:r w:rsidRPr="00C01380">
        <w:rPr>
          <w:bCs/>
          <w:szCs w:val="22"/>
        </w:rPr>
        <w:t xml:space="preserve">Lozenge 600 micrograms, </w:t>
      </w:r>
      <w:r>
        <w:rPr>
          <w:bCs/>
          <w:szCs w:val="22"/>
        </w:rPr>
        <w:t xml:space="preserve">9 &amp; </w:t>
      </w:r>
      <w:r w:rsidRPr="00C01380">
        <w:rPr>
          <w:bCs/>
          <w:szCs w:val="22"/>
        </w:rPr>
        <w:t>30</w:t>
      </w:r>
    </w:p>
    <w:p w:rsidR="00C01380" w:rsidRPr="00C01380" w:rsidRDefault="00C01380" w:rsidP="00C01380">
      <w:pPr>
        <w:widowControl/>
        <w:ind w:firstLine="720"/>
        <w:jc w:val="left"/>
        <w:rPr>
          <w:bCs/>
          <w:szCs w:val="22"/>
        </w:rPr>
      </w:pPr>
      <w:r w:rsidRPr="00C01380">
        <w:rPr>
          <w:bCs/>
          <w:szCs w:val="22"/>
        </w:rPr>
        <w:t xml:space="preserve">Lozenge 800 micrograms, </w:t>
      </w:r>
      <w:r>
        <w:rPr>
          <w:bCs/>
          <w:szCs w:val="22"/>
        </w:rPr>
        <w:t xml:space="preserve">9 &amp; </w:t>
      </w:r>
      <w:r w:rsidRPr="00C01380">
        <w:rPr>
          <w:bCs/>
          <w:szCs w:val="22"/>
        </w:rPr>
        <w:t>30</w:t>
      </w:r>
    </w:p>
    <w:p w:rsidR="00C01380" w:rsidRPr="00C01380" w:rsidRDefault="00C01380" w:rsidP="00C01380">
      <w:pPr>
        <w:widowControl/>
        <w:ind w:firstLine="720"/>
        <w:jc w:val="left"/>
        <w:rPr>
          <w:bCs/>
          <w:szCs w:val="22"/>
        </w:rPr>
      </w:pPr>
      <w:r w:rsidRPr="00C01380">
        <w:rPr>
          <w:bCs/>
          <w:szCs w:val="22"/>
        </w:rPr>
        <w:t xml:space="preserve">Lozenge 1200 micrograms, </w:t>
      </w:r>
      <w:r>
        <w:rPr>
          <w:bCs/>
          <w:szCs w:val="22"/>
        </w:rPr>
        <w:t xml:space="preserve">9 &amp; </w:t>
      </w:r>
      <w:r w:rsidRPr="00C01380">
        <w:rPr>
          <w:bCs/>
          <w:szCs w:val="22"/>
        </w:rPr>
        <w:t>30</w:t>
      </w:r>
    </w:p>
    <w:p w:rsidR="00C01380" w:rsidRPr="00C01380" w:rsidRDefault="00C01380" w:rsidP="00C01380">
      <w:pPr>
        <w:widowControl/>
        <w:ind w:firstLine="720"/>
        <w:jc w:val="left"/>
        <w:rPr>
          <w:bCs/>
          <w:szCs w:val="22"/>
        </w:rPr>
      </w:pPr>
      <w:r w:rsidRPr="00C01380">
        <w:rPr>
          <w:bCs/>
          <w:szCs w:val="22"/>
        </w:rPr>
        <w:t xml:space="preserve">Lozenge 1600 micrograms, </w:t>
      </w:r>
      <w:r>
        <w:rPr>
          <w:bCs/>
          <w:szCs w:val="22"/>
        </w:rPr>
        <w:t xml:space="preserve">9 &amp; </w:t>
      </w:r>
      <w:r w:rsidRPr="00C01380">
        <w:rPr>
          <w:bCs/>
          <w:szCs w:val="22"/>
        </w:rPr>
        <w:t>30</w:t>
      </w:r>
    </w:p>
    <w:p w:rsidR="00671896" w:rsidRPr="0082172A" w:rsidRDefault="0082172A" w:rsidP="0082172A">
      <w:pPr>
        <w:ind w:firstLine="720"/>
        <w:rPr>
          <w:bCs/>
          <w:szCs w:val="22"/>
        </w:rPr>
      </w:pPr>
      <w:proofErr w:type="spellStart"/>
      <w:r w:rsidRPr="0082172A">
        <w:rPr>
          <w:bCs/>
          <w:szCs w:val="22"/>
        </w:rPr>
        <w:t>Actiq</w:t>
      </w:r>
      <w:proofErr w:type="spellEnd"/>
      <w:r w:rsidRPr="00C01380">
        <w:rPr>
          <w:bCs/>
          <w:szCs w:val="22"/>
        </w:rPr>
        <w:t>®</w:t>
      </w:r>
      <w:r w:rsidRPr="0082172A">
        <w:rPr>
          <w:bCs/>
          <w:szCs w:val="22"/>
        </w:rPr>
        <w:t>, Orphan Australia Pty Ltd</w:t>
      </w:r>
    </w:p>
    <w:p w:rsidR="00C01380" w:rsidRDefault="00C01380">
      <w:pPr>
        <w:widowControl/>
        <w:jc w:val="left"/>
        <w:rPr>
          <w:b/>
          <w:bCs/>
          <w:szCs w:val="22"/>
        </w:rPr>
      </w:pPr>
    </w:p>
    <w:p w:rsidR="00BE45A3" w:rsidRPr="007B1C1A" w:rsidRDefault="00BE45A3" w:rsidP="00BE45A3">
      <w:pPr>
        <w:widowControl/>
        <w:numPr>
          <w:ilvl w:val="0"/>
          <w:numId w:val="3"/>
        </w:numPr>
        <w:rPr>
          <w:b/>
          <w:bCs/>
          <w:szCs w:val="22"/>
        </w:rPr>
      </w:pPr>
      <w:r w:rsidRPr="007B1C1A">
        <w:rPr>
          <w:b/>
          <w:bCs/>
          <w:szCs w:val="22"/>
        </w:rPr>
        <w:t>Context for Decision</w:t>
      </w:r>
    </w:p>
    <w:p w:rsidR="00BE45A3" w:rsidRPr="007B1C1A" w:rsidRDefault="00BE45A3" w:rsidP="00BE45A3">
      <w:pPr>
        <w:widowControl/>
        <w:rPr>
          <w:b/>
          <w:bCs/>
          <w:szCs w:val="22"/>
        </w:rPr>
      </w:pPr>
    </w:p>
    <w:p w:rsidR="00BE45A3" w:rsidRPr="007B1C1A" w:rsidRDefault="00BE45A3" w:rsidP="00BE45A3">
      <w:pPr>
        <w:widowControl/>
        <w:ind w:left="720"/>
        <w:rPr>
          <w:bCs/>
          <w:szCs w:val="22"/>
        </w:rPr>
      </w:pPr>
      <w:r w:rsidRPr="007B1C1A">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E45A3" w:rsidRPr="007B1C1A" w:rsidRDefault="00BE45A3" w:rsidP="00BE45A3">
      <w:pPr>
        <w:widowControl/>
        <w:rPr>
          <w:b/>
          <w:bCs/>
          <w:szCs w:val="22"/>
        </w:rPr>
      </w:pPr>
    </w:p>
    <w:p w:rsidR="00BE45A3" w:rsidRDefault="00BE45A3" w:rsidP="00BE45A3">
      <w:pPr>
        <w:widowControl/>
        <w:numPr>
          <w:ilvl w:val="0"/>
          <w:numId w:val="3"/>
        </w:numPr>
        <w:rPr>
          <w:b/>
          <w:bCs/>
          <w:szCs w:val="22"/>
        </w:rPr>
      </w:pPr>
      <w:r w:rsidRPr="007B1C1A">
        <w:rPr>
          <w:b/>
          <w:bCs/>
          <w:szCs w:val="22"/>
        </w:rPr>
        <w:t>Sponsor’s Comment</w:t>
      </w:r>
    </w:p>
    <w:p w:rsidR="00586992" w:rsidRDefault="00586992" w:rsidP="00586992">
      <w:pPr>
        <w:widowControl/>
        <w:ind w:left="720"/>
        <w:rPr>
          <w:b/>
          <w:bCs/>
          <w:szCs w:val="22"/>
          <w:highlight w:val="yellow"/>
        </w:rPr>
      </w:pPr>
    </w:p>
    <w:p w:rsidR="0056651A" w:rsidRPr="00E47BB4" w:rsidRDefault="00586992" w:rsidP="00586992">
      <w:pPr>
        <w:widowControl/>
        <w:ind w:left="720"/>
        <w:rPr>
          <w:bCs/>
          <w:szCs w:val="22"/>
        </w:rPr>
      </w:pPr>
      <w:r w:rsidRPr="00E47BB4">
        <w:rPr>
          <w:bCs/>
          <w:szCs w:val="22"/>
        </w:rPr>
        <w:t>A.Menarini Australia Pty Ltd</w:t>
      </w:r>
      <w:r w:rsidR="0056651A" w:rsidRPr="00E47BB4">
        <w:rPr>
          <w:bCs/>
          <w:szCs w:val="22"/>
        </w:rPr>
        <w:t xml:space="preserve"> welcomes the decision by </w:t>
      </w:r>
      <w:r w:rsidR="00BB6798" w:rsidRPr="00E47BB4">
        <w:rPr>
          <w:bCs/>
          <w:szCs w:val="22"/>
        </w:rPr>
        <w:t xml:space="preserve">the </w:t>
      </w:r>
      <w:r w:rsidR="0056651A" w:rsidRPr="00E47BB4">
        <w:rPr>
          <w:bCs/>
          <w:szCs w:val="22"/>
        </w:rPr>
        <w:t xml:space="preserve">PBAC to make </w:t>
      </w:r>
      <w:proofErr w:type="spellStart"/>
      <w:r w:rsidRPr="00E47BB4">
        <w:rPr>
          <w:bCs/>
          <w:szCs w:val="22"/>
        </w:rPr>
        <w:t>Abstral</w:t>
      </w:r>
      <w:proofErr w:type="spellEnd"/>
      <w:r w:rsidR="0056651A" w:rsidRPr="00E47BB4">
        <w:rPr>
          <w:bCs/>
          <w:szCs w:val="22"/>
        </w:rPr>
        <w:t xml:space="preserve"> available </w:t>
      </w:r>
      <w:r w:rsidR="00095A05" w:rsidRPr="00E47BB4">
        <w:rPr>
          <w:bCs/>
          <w:szCs w:val="22"/>
        </w:rPr>
        <w:t>to</w:t>
      </w:r>
      <w:r w:rsidR="0056651A" w:rsidRPr="00E47BB4">
        <w:rPr>
          <w:bCs/>
          <w:szCs w:val="22"/>
        </w:rPr>
        <w:t xml:space="preserve"> cancer patients with breakthrough pain who currently have </w:t>
      </w:r>
      <w:r w:rsidR="00BB6798" w:rsidRPr="00E47BB4">
        <w:rPr>
          <w:bCs/>
          <w:szCs w:val="22"/>
        </w:rPr>
        <w:t xml:space="preserve">a </w:t>
      </w:r>
      <w:r w:rsidRPr="00E47BB4">
        <w:rPr>
          <w:bCs/>
          <w:szCs w:val="22"/>
        </w:rPr>
        <w:t>high need</w:t>
      </w:r>
      <w:r w:rsidR="0056651A" w:rsidRPr="00E47BB4">
        <w:rPr>
          <w:bCs/>
          <w:szCs w:val="22"/>
        </w:rPr>
        <w:t xml:space="preserve">. </w:t>
      </w:r>
    </w:p>
    <w:sectPr w:rsidR="0056651A" w:rsidRPr="00E47BB4" w:rsidSect="00D6601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A9D" w:rsidRDefault="00110A9D" w:rsidP="00124A51">
      <w:r>
        <w:separator/>
      </w:r>
    </w:p>
  </w:endnote>
  <w:endnote w:type="continuationSeparator" w:id="0">
    <w:p w:rsidR="00110A9D" w:rsidRDefault="00110A9D"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MetaPlusNormal">
    <w:altName w:val="MetaPlusNorm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5CA" w:rsidRDefault="002605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13" w:rsidRPr="00541A0D" w:rsidRDefault="00B66B13" w:rsidP="00605035">
    <w:pPr>
      <w:pStyle w:val="Footer"/>
      <w:ind w:left="360"/>
      <w:jc w:val="center"/>
      <w:rPr>
        <w:sz w:val="20"/>
      </w:rPr>
    </w:pPr>
  </w:p>
  <w:p w:rsidR="00B66B13" w:rsidRPr="00651169" w:rsidRDefault="00B66B13" w:rsidP="00605035">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D8332B">
      <w:rPr>
        <w:noProof/>
        <w:sz w:val="20"/>
      </w:rPr>
      <w:t>14</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5CA" w:rsidRDefault="00260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A9D" w:rsidRDefault="00110A9D" w:rsidP="00124A51">
      <w:r>
        <w:separator/>
      </w:r>
    </w:p>
  </w:footnote>
  <w:footnote w:type="continuationSeparator" w:id="0">
    <w:p w:rsidR="00110A9D" w:rsidRDefault="00110A9D"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5CA" w:rsidRDefault="002605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13" w:rsidRPr="00DF217D" w:rsidRDefault="00B66B13" w:rsidP="00605035">
    <w:pPr>
      <w:pStyle w:val="Header"/>
      <w:ind w:left="360"/>
      <w:jc w:val="center"/>
      <w:rPr>
        <w:i/>
        <w:color w:val="808080"/>
      </w:rPr>
    </w:pPr>
    <w:r>
      <w:rPr>
        <w:i/>
        <w:color w:val="808080"/>
      </w:rPr>
      <w:t xml:space="preserve">Public Summary Document </w:t>
    </w:r>
    <w:r w:rsidRPr="007A6A59">
      <w:rPr>
        <w:i/>
        <w:color w:val="808080"/>
      </w:rPr>
      <w:t>– July 2015 PBAC Meeting</w:t>
    </w:r>
  </w:p>
  <w:p w:rsidR="00B66B13" w:rsidRPr="008C7ECB" w:rsidRDefault="00B66B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5CA" w:rsidRDefault="002605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9496EB0"/>
    <w:multiLevelType w:val="hybridMultilevel"/>
    <w:tmpl w:val="533EE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792B34"/>
    <w:multiLevelType w:val="hybridMultilevel"/>
    <w:tmpl w:val="6804E7B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C2D341F"/>
    <w:multiLevelType w:val="hybridMultilevel"/>
    <w:tmpl w:val="D0F85196"/>
    <w:lvl w:ilvl="0" w:tplc="7F6CC50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1D335F7C"/>
    <w:multiLevelType w:val="hybridMultilevel"/>
    <w:tmpl w:val="53FE975E"/>
    <w:lvl w:ilvl="0" w:tplc="068C7F5C">
      <w:numFmt w:val="bullet"/>
      <w:lvlText w:val="-"/>
      <w:lvlJc w:val="left"/>
      <w:pPr>
        <w:ind w:left="720" w:hanging="360"/>
      </w:pPr>
      <w:rPr>
        <w:rFonts w:ascii="Arial Narrow" w:eastAsia="Times New Roman" w:hAnsi="Arial Narrow"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E37594"/>
    <w:multiLevelType w:val="hybridMultilevel"/>
    <w:tmpl w:val="FDE838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F045FEC"/>
    <w:multiLevelType w:val="hybridMultilevel"/>
    <w:tmpl w:val="CB46C092"/>
    <w:lvl w:ilvl="0" w:tplc="634E2402">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33C37F8"/>
    <w:multiLevelType w:val="hybridMultilevel"/>
    <w:tmpl w:val="B3509F58"/>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10">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86C41CB"/>
    <w:multiLevelType w:val="hybridMultilevel"/>
    <w:tmpl w:val="7F94C816"/>
    <w:lvl w:ilvl="0" w:tplc="B2308422">
      <w:start w:val="1"/>
      <w:numFmt w:val="decimal"/>
      <w:pStyle w:val="NormalNumberList"/>
      <w:lvlText w:val="%1."/>
      <w:lvlJc w:val="left"/>
      <w:pPr>
        <w:ind w:left="720" w:hanging="360"/>
      </w:pPr>
    </w:lvl>
    <w:lvl w:ilvl="1" w:tplc="824AB658" w:tentative="1">
      <w:start w:val="1"/>
      <w:numFmt w:val="lowerLetter"/>
      <w:lvlText w:val="%2."/>
      <w:lvlJc w:val="left"/>
      <w:pPr>
        <w:ind w:left="1440" w:hanging="360"/>
      </w:pPr>
    </w:lvl>
    <w:lvl w:ilvl="2" w:tplc="CC28A784" w:tentative="1">
      <w:start w:val="1"/>
      <w:numFmt w:val="lowerRoman"/>
      <w:lvlText w:val="%3."/>
      <w:lvlJc w:val="right"/>
      <w:pPr>
        <w:ind w:left="2160" w:hanging="180"/>
      </w:pPr>
    </w:lvl>
    <w:lvl w:ilvl="3" w:tplc="013E141A" w:tentative="1">
      <w:start w:val="1"/>
      <w:numFmt w:val="decimal"/>
      <w:lvlText w:val="%4."/>
      <w:lvlJc w:val="left"/>
      <w:pPr>
        <w:ind w:left="2880" w:hanging="360"/>
      </w:pPr>
    </w:lvl>
    <w:lvl w:ilvl="4" w:tplc="7A907D70" w:tentative="1">
      <w:start w:val="1"/>
      <w:numFmt w:val="lowerLetter"/>
      <w:lvlText w:val="%5."/>
      <w:lvlJc w:val="left"/>
      <w:pPr>
        <w:ind w:left="3600" w:hanging="360"/>
      </w:pPr>
    </w:lvl>
    <w:lvl w:ilvl="5" w:tplc="A00C6768" w:tentative="1">
      <w:start w:val="1"/>
      <w:numFmt w:val="lowerRoman"/>
      <w:lvlText w:val="%6."/>
      <w:lvlJc w:val="right"/>
      <w:pPr>
        <w:ind w:left="4320" w:hanging="180"/>
      </w:pPr>
    </w:lvl>
    <w:lvl w:ilvl="6" w:tplc="9A32DD80" w:tentative="1">
      <w:start w:val="1"/>
      <w:numFmt w:val="decimal"/>
      <w:lvlText w:val="%7."/>
      <w:lvlJc w:val="left"/>
      <w:pPr>
        <w:ind w:left="5040" w:hanging="360"/>
      </w:pPr>
    </w:lvl>
    <w:lvl w:ilvl="7" w:tplc="187470A2" w:tentative="1">
      <w:start w:val="1"/>
      <w:numFmt w:val="lowerLetter"/>
      <w:lvlText w:val="%8."/>
      <w:lvlJc w:val="left"/>
      <w:pPr>
        <w:ind w:left="5760" w:hanging="360"/>
      </w:pPr>
    </w:lvl>
    <w:lvl w:ilvl="8" w:tplc="7F2C53CA" w:tentative="1">
      <w:start w:val="1"/>
      <w:numFmt w:val="lowerRoman"/>
      <w:lvlText w:val="%9."/>
      <w:lvlJc w:val="right"/>
      <w:pPr>
        <w:ind w:left="6480" w:hanging="180"/>
      </w:pPr>
    </w:lvl>
  </w:abstractNum>
  <w:abstractNum w:abstractNumId="12">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3">
    <w:nsid w:val="420B6ECC"/>
    <w:multiLevelType w:val="hybridMultilevel"/>
    <w:tmpl w:val="83501986"/>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4">
    <w:nsid w:val="496C08CF"/>
    <w:multiLevelType w:val="hybridMultilevel"/>
    <w:tmpl w:val="4F421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F9E2CAB"/>
    <w:multiLevelType w:val="multilevel"/>
    <w:tmpl w:val="2CA882A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3F47371"/>
    <w:multiLevelType w:val="hybridMultilevel"/>
    <w:tmpl w:val="EBA6C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8B67A69"/>
    <w:multiLevelType w:val="hybridMultilevel"/>
    <w:tmpl w:val="82BA83B4"/>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59BC5196"/>
    <w:multiLevelType w:val="multilevel"/>
    <w:tmpl w:val="828496E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0084FBF"/>
    <w:multiLevelType w:val="hybridMultilevel"/>
    <w:tmpl w:val="7F1CBC7C"/>
    <w:lvl w:ilvl="0" w:tplc="04090001">
      <w:start w:val="1"/>
      <w:numFmt w:val="bullet"/>
      <w:pStyle w:val="TableBullets"/>
      <w:lvlText w:val=""/>
      <w:lvlJc w:val="left"/>
      <w:pPr>
        <w:ind w:left="-108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360" w:hanging="360"/>
      </w:pPr>
      <w:rPr>
        <w:rFonts w:ascii="Wingdings" w:hAnsi="Wingdings" w:hint="default"/>
      </w:rPr>
    </w:lvl>
    <w:lvl w:ilvl="3" w:tplc="0C090001">
      <w:start w:val="1"/>
      <w:numFmt w:val="bullet"/>
      <w:lvlText w:val=""/>
      <w:lvlJc w:val="left"/>
      <w:pPr>
        <w:ind w:left="1080" w:hanging="360"/>
      </w:pPr>
      <w:rPr>
        <w:rFonts w:ascii="Symbol" w:hAnsi="Symbol" w:hint="default"/>
      </w:rPr>
    </w:lvl>
    <w:lvl w:ilvl="4" w:tplc="0C090003" w:tentative="1">
      <w:start w:val="1"/>
      <w:numFmt w:val="bullet"/>
      <w:lvlText w:val="o"/>
      <w:lvlJc w:val="left"/>
      <w:pPr>
        <w:ind w:left="1800" w:hanging="360"/>
      </w:pPr>
      <w:rPr>
        <w:rFonts w:ascii="Courier New" w:hAnsi="Courier New" w:cs="Courier New" w:hint="default"/>
      </w:rPr>
    </w:lvl>
    <w:lvl w:ilvl="5" w:tplc="0C090005" w:tentative="1">
      <w:start w:val="1"/>
      <w:numFmt w:val="bullet"/>
      <w:lvlText w:val=""/>
      <w:lvlJc w:val="left"/>
      <w:pPr>
        <w:ind w:left="2520" w:hanging="360"/>
      </w:pPr>
      <w:rPr>
        <w:rFonts w:ascii="Wingdings" w:hAnsi="Wingdings" w:hint="default"/>
      </w:rPr>
    </w:lvl>
    <w:lvl w:ilvl="6" w:tplc="0C090001" w:tentative="1">
      <w:start w:val="1"/>
      <w:numFmt w:val="bullet"/>
      <w:lvlText w:val=""/>
      <w:lvlJc w:val="left"/>
      <w:pPr>
        <w:ind w:left="3240" w:hanging="360"/>
      </w:pPr>
      <w:rPr>
        <w:rFonts w:ascii="Symbol" w:hAnsi="Symbol" w:hint="default"/>
      </w:rPr>
    </w:lvl>
    <w:lvl w:ilvl="7" w:tplc="0C090003" w:tentative="1">
      <w:start w:val="1"/>
      <w:numFmt w:val="bullet"/>
      <w:lvlText w:val="o"/>
      <w:lvlJc w:val="left"/>
      <w:pPr>
        <w:ind w:left="3960" w:hanging="360"/>
      </w:pPr>
      <w:rPr>
        <w:rFonts w:ascii="Courier New" w:hAnsi="Courier New" w:cs="Courier New" w:hint="default"/>
      </w:rPr>
    </w:lvl>
    <w:lvl w:ilvl="8" w:tplc="0C090005" w:tentative="1">
      <w:start w:val="1"/>
      <w:numFmt w:val="bullet"/>
      <w:lvlText w:val=""/>
      <w:lvlJc w:val="left"/>
      <w:pPr>
        <w:ind w:left="4680" w:hanging="360"/>
      </w:pPr>
      <w:rPr>
        <w:rFonts w:ascii="Wingdings" w:hAnsi="Wingdings" w:hint="default"/>
      </w:rPr>
    </w:lvl>
  </w:abstractNum>
  <w:abstractNum w:abstractNumId="23">
    <w:nsid w:val="64611686"/>
    <w:multiLevelType w:val="hybridMultilevel"/>
    <w:tmpl w:val="664E48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6CF51C7"/>
    <w:multiLevelType w:val="hybridMultilevel"/>
    <w:tmpl w:val="029EE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8E322E1"/>
    <w:multiLevelType w:val="hybridMultilevel"/>
    <w:tmpl w:val="A58C6B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728F2DEF"/>
    <w:multiLevelType w:val="hybridMultilevel"/>
    <w:tmpl w:val="B770FBAA"/>
    <w:lvl w:ilvl="0" w:tplc="1C5693E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84D033C"/>
    <w:multiLevelType w:val="multilevel"/>
    <w:tmpl w:val="5A36303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2"/>
  </w:num>
  <w:num w:numId="3">
    <w:abstractNumId w:val="27"/>
  </w:num>
  <w:num w:numId="4">
    <w:abstractNumId w:val="20"/>
  </w:num>
  <w:num w:numId="5">
    <w:abstractNumId w:val="10"/>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2"/>
  </w:num>
  <w:num w:numId="9">
    <w:abstractNumId w:val="11"/>
  </w:num>
  <w:num w:numId="10">
    <w:abstractNumId w:val="1"/>
  </w:num>
  <w:num w:numId="11">
    <w:abstractNumId w:val="14"/>
  </w:num>
  <w:num w:numId="12">
    <w:abstractNumId w:val="13"/>
  </w:num>
  <w:num w:numId="13">
    <w:abstractNumId w:val="6"/>
  </w:num>
  <w:num w:numId="14">
    <w:abstractNumId w:val="16"/>
  </w:num>
  <w:num w:numId="15">
    <w:abstractNumId w:val="3"/>
  </w:num>
  <w:num w:numId="16">
    <w:abstractNumId w:val="26"/>
  </w:num>
  <w:num w:numId="17">
    <w:abstractNumId w:val="9"/>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3"/>
  </w:num>
  <w:num w:numId="22">
    <w:abstractNumId w:val="19"/>
  </w:num>
  <w:num w:numId="23">
    <w:abstractNumId w:val="24"/>
  </w:num>
  <w:num w:numId="24">
    <w:abstractNumId w:val="17"/>
  </w:num>
  <w:num w:numId="25">
    <w:abstractNumId w:val="25"/>
  </w:num>
  <w:num w:numId="26">
    <w:abstractNumId w:val="18"/>
  </w:num>
  <w:num w:numId="27">
    <w:abstractNumId w:val="2"/>
  </w:num>
  <w:num w:numId="28">
    <w:abstractNumId w:val="0"/>
  </w:num>
  <w:num w:numId="29">
    <w:abstractNumId w:val="7"/>
  </w:num>
  <w:num w:numId="30">
    <w:abstractNumId w:val="15"/>
  </w:num>
  <w:num w:numId="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277"/>
    <w:rsid w:val="00000790"/>
    <w:rsid w:val="0000110B"/>
    <w:rsid w:val="00006886"/>
    <w:rsid w:val="00010C62"/>
    <w:rsid w:val="00013247"/>
    <w:rsid w:val="000142DC"/>
    <w:rsid w:val="00015886"/>
    <w:rsid w:val="000162EF"/>
    <w:rsid w:val="0001635E"/>
    <w:rsid w:val="0002225F"/>
    <w:rsid w:val="00023763"/>
    <w:rsid w:val="00026135"/>
    <w:rsid w:val="000305F0"/>
    <w:rsid w:val="000314F7"/>
    <w:rsid w:val="0003419E"/>
    <w:rsid w:val="00035E4A"/>
    <w:rsid w:val="00036484"/>
    <w:rsid w:val="00036875"/>
    <w:rsid w:val="00037645"/>
    <w:rsid w:val="00037C95"/>
    <w:rsid w:val="00040895"/>
    <w:rsid w:val="000409EC"/>
    <w:rsid w:val="00041883"/>
    <w:rsid w:val="00041A54"/>
    <w:rsid w:val="0004231D"/>
    <w:rsid w:val="000429B2"/>
    <w:rsid w:val="00043C37"/>
    <w:rsid w:val="00045035"/>
    <w:rsid w:val="00047245"/>
    <w:rsid w:val="00047DFB"/>
    <w:rsid w:val="000546D7"/>
    <w:rsid w:val="00056DE0"/>
    <w:rsid w:val="000571F5"/>
    <w:rsid w:val="0006477A"/>
    <w:rsid w:val="00065432"/>
    <w:rsid w:val="000655B3"/>
    <w:rsid w:val="000669B0"/>
    <w:rsid w:val="00066B5E"/>
    <w:rsid w:val="000708D0"/>
    <w:rsid w:val="00071248"/>
    <w:rsid w:val="000720B9"/>
    <w:rsid w:val="00077CAA"/>
    <w:rsid w:val="000808C0"/>
    <w:rsid w:val="000812CA"/>
    <w:rsid w:val="00083BAD"/>
    <w:rsid w:val="00083EC9"/>
    <w:rsid w:val="00083ED2"/>
    <w:rsid w:val="00085582"/>
    <w:rsid w:val="00085A7B"/>
    <w:rsid w:val="00090C7E"/>
    <w:rsid w:val="0009113B"/>
    <w:rsid w:val="00093C80"/>
    <w:rsid w:val="00095A05"/>
    <w:rsid w:val="000A085E"/>
    <w:rsid w:val="000A31C9"/>
    <w:rsid w:val="000A51D8"/>
    <w:rsid w:val="000A6973"/>
    <w:rsid w:val="000B0D83"/>
    <w:rsid w:val="000B5396"/>
    <w:rsid w:val="000B5AA9"/>
    <w:rsid w:val="000C1FCF"/>
    <w:rsid w:val="000C6B52"/>
    <w:rsid w:val="000D1BFC"/>
    <w:rsid w:val="000D3376"/>
    <w:rsid w:val="000D4657"/>
    <w:rsid w:val="000D59A1"/>
    <w:rsid w:val="000E146F"/>
    <w:rsid w:val="000E2030"/>
    <w:rsid w:val="000E3B8E"/>
    <w:rsid w:val="000E6096"/>
    <w:rsid w:val="000E6B67"/>
    <w:rsid w:val="000E6E21"/>
    <w:rsid w:val="000E7E80"/>
    <w:rsid w:val="000F0A27"/>
    <w:rsid w:val="000F15F4"/>
    <w:rsid w:val="000F263A"/>
    <w:rsid w:val="000F3287"/>
    <w:rsid w:val="000F344D"/>
    <w:rsid w:val="000F602D"/>
    <w:rsid w:val="000F725D"/>
    <w:rsid w:val="000F7EE4"/>
    <w:rsid w:val="00100F8A"/>
    <w:rsid w:val="001037B6"/>
    <w:rsid w:val="00103BF8"/>
    <w:rsid w:val="0011032E"/>
    <w:rsid w:val="00110A9D"/>
    <w:rsid w:val="001119F3"/>
    <w:rsid w:val="00113D3D"/>
    <w:rsid w:val="00114C14"/>
    <w:rsid w:val="0012046C"/>
    <w:rsid w:val="00121799"/>
    <w:rsid w:val="001222FC"/>
    <w:rsid w:val="00123382"/>
    <w:rsid w:val="00123A0E"/>
    <w:rsid w:val="00124A51"/>
    <w:rsid w:val="00126621"/>
    <w:rsid w:val="001301E9"/>
    <w:rsid w:val="00131EE7"/>
    <w:rsid w:val="00132AB2"/>
    <w:rsid w:val="00132FA9"/>
    <w:rsid w:val="001363D0"/>
    <w:rsid w:val="00136732"/>
    <w:rsid w:val="00137645"/>
    <w:rsid w:val="0014015A"/>
    <w:rsid w:val="001409BF"/>
    <w:rsid w:val="00140E99"/>
    <w:rsid w:val="001456B0"/>
    <w:rsid w:val="001459BA"/>
    <w:rsid w:val="00147632"/>
    <w:rsid w:val="00152F61"/>
    <w:rsid w:val="00153AD3"/>
    <w:rsid w:val="00157130"/>
    <w:rsid w:val="00162913"/>
    <w:rsid w:val="00163165"/>
    <w:rsid w:val="00163EFF"/>
    <w:rsid w:val="001656C3"/>
    <w:rsid w:val="001661FB"/>
    <w:rsid w:val="001672AC"/>
    <w:rsid w:val="00170B15"/>
    <w:rsid w:val="00173801"/>
    <w:rsid w:val="00174987"/>
    <w:rsid w:val="00176986"/>
    <w:rsid w:val="001827B8"/>
    <w:rsid w:val="001844ED"/>
    <w:rsid w:val="00195222"/>
    <w:rsid w:val="001971A6"/>
    <w:rsid w:val="001975D8"/>
    <w:rsid w:val="001978A1"/>
    <w:rsid w:val="001A1D04"/>
    <w:rsid w:val="001A1F08"/>
    <w:rsid w:val="001A477A"/>
    <w:rsid w:val="001A717F"/>
    <w:rsid w:val="001A7577"/>
    <w:rsid w:val="001B0057"/>
    <w:rsid w:val="001B2750"/>
    <w:rsid w:val="001B2D68"/>
    <w:rsid w:val="001B3443"/>
    <w:rsid w:val="001B3AC4"/>
    <w:rsid w:val="001B6188"/>
    <w:rsid w:val="001B6DA1"/>
    <w:rsid w:val="001B7209"/>
    <w:rsid w:val="001C1030"/>
    <w:rsid w:val="001C2023"/>
    <w:rsid w:val="001C5BA6"/>
    <w:rsid w:val="001C6E66"/>
    <w:rsid w:val="001C7A57"/>
    <w:rsid w:val="001D05A8"/>
    <w:rsid w:val="001D112E"/>
    <w:rsid w:val="001D28EA"/>
    <w:rsid w:val="001D3EAB"/>
    <w:rsid w:val="001D65B4"/>
    <w:rsid w:val="001D67B9"/>
    <w:rsid w:val="001E2279"/>
    <w:rsid w:val="001E238E"/>
    <w:rsid w:val="001E453D"/>
    <w:rsid w:val="001E513D"/>
    <w:rsid w:val="001E52EB"/>
    <w:rsid w:val="001E68E8"/>
    <w:rsid w:val="001E6A16"/>
    <w:rsid w:val="001E6C1B"/>
    <w:rsid w:val="001E740C"/>
    <w:rsid w:val="001E796F"/>
    <w:rsid w:val="001E7B06"/>
    <w:rsid w:val="001F04C9"/>
    <w:rsid w:val="001F1235"/>
    <w:rsid w:val="001F1BC5"/>
    <w:rsid w:val="001F1CB3"/>
    <w:rsid w:val="001F4E67"/>
    <w:rsid w:val="001F5180"/>
    <w:rsid w:val="001F5569"/>
    <w:rsid w:val="001F5762"/>
    <w:rsid w:val="001F5E40"/>
    <w:rsid w:val="001F7361"/>
    <w:rsid w:val="001F7E9A"/>
    <w:rsid w:val="0020111A"/>
    <w:rsid w:val="00201B62"/>
    <w:rsid w:val="00201E6F"/>
    <w:rsid w:val="002025FE"/>
    <w:rsid w:val="00202A05"/>
    <w:rsid w:val="00203C61"/>
    <w:rsid w:val="00206557"/>
    <w:rsid w:val="002105C1"/>
    <w:rsid w:val="0021287D"/>
    <w:rsid w:val="002144FA"/>
    <w:rsid w:val="002173BD"/>
    <w:rsid w:val="00221F33"/>
    <w:rsid w:val="00223B49"/>
    <w:rsid w:val="00224A59"/>
    <w:rsid w:val="00224DD4"/>
    <w:rsid w:val="002300AF"/>
    <w:rsid w:val="002309CC"/>
    <w:rsid w:val="002317EE"/>
    <w:rsid w:val="0024100A"/>
    <w:rsid w:val="00246F69"/>
    <w:rsid w:val="0024776B"/>
    <w:rsid w:val="0025255A"/>
    <w:rsid w:val="0025534B"/>
    <w:rsid w:val="00255BB7"/>
    <w:rsid w:val="00255BBF"/>
    <w:rsid w:val="002561B3"/>
    <w:rsid w:val="002570C5"/>
    <w:rsid w:val="002574F8"/>
    <w:rsid w:val="002605CA"/>
    <w:rsid w:val="00260E2E"/>
    <w:rsid w:val="002619F5"/>
    <w:rsid w:val="002627E7"/>
    <w:rsid w:val="00262A87"/>
    <w:rsid w:val="002661C9"/>
    <w:rsid w:val="00270BDE"/>
    <w:rsid w:val="00270DFE"/>
    <w:rsid w:val="002722D7"/>
    <w:rsid w:val="0027376D"/>
    <w:rsid w:val="00274215"/>
    <w:rsid w:val="002759DB"/>
    <w:rsid w:val="00275C5A"/>
    <w:rsid w:val="00282F73"/>
    <w:rsid w:val="00283F58"/>
    <w:rsid w:val="00284BDD"/>
    <w:rsid w:val="002876D9"/>
    <w:rsid w:val="002916FA"/>
    <w:rsid w:val="002921D1"/>
    <w:rsid w:val="002942AF"/>
    <w:rsid w:val="00294614"/>
    <w:rsid w:val="002964C8"/>
    <w:rsid w:val="002A14AB"/>
    <w:rsid w:val="002A770E"/>
    <w:rsid w:val="002A78CA"/>
    <w:rsid w:val="002B1C1F"/>
    <w:rsid w:val="002B432F"/>
    <w:rsid w:val="002B6683"/>
    <w:rsid w:val="002B6CCE"/>
    <w:rsid w:val="002C14B2"/>
    <w:rsid w:val="002C27C1"/>
    <w:rsid w:val="002C4238"/>
    <w:rsid w:val="002C552B"/>
    <w:rsid w:val="002C69C4"/>
    <w:rsid w:val="002C7E3D"/>
    <w:rsid w:val="002D0605"/>
    <w:rsid w:val="002D1028"/>
    <w:rsid w:val="002D2218"/>
    <w:rsid w:val="002D22A9"/>
    <w:rsid w:val="002D37B3"/>
    <w:rsid w:val="002D4701"/>
    <w:rsid w:val="002D6CCD"/>
    <w:rsid w:val="002D6FA2"/>
    <w:rsid w:val="002E0BEE"/>
    <w:rsid w:val="002E170D"/>
    <w:rsid w:val="002E18C6"/>
    <w:rsid w:val="002E4B87"/>
    <w:rsid w:val="002E4BF5"/>
    <w:rsid w:val="002F096B"/>
    <w:rsid w:val="002F6787"/>
    <w:rsid w:val="002F7628"/>
    <w:rsid w:val="00301017"/>
    <w:rsid w:val="00303671"/>
    <w:rsid w:val="003036B4"/>
    <w:rsid w:val="00304783"/>
    <w:rsid w:val="003057BC"/>
    <w:rsid w:val="0030786C"/>
    <w:rsid w:val="0031022D"/>
    <w:rsid w:val="0031031A"/>
    <w:rsid w:val="00310CC2"/>
    <w:rsid w:val="003122F9"/>
    <w:rsid w:val="00315498"/>
    <w:rsid w:val="00316D74"/>
    <w:rsid w:val="00320294"/>
    <w:rsid w:val="00322ECA"/>
    <w:rsid w:val="003247A8"/>
    <w:rsid w:val="0032638D"/>
    <w:rsid w:val="003274B4"/>
    <w:rsid w:val="00327AF3"/>
    <w:rsid w:val="003302B2"/>
    <w:rsid w:val="0033254E"/>
    <w:rsid w:val="0033591B"/>
    <w:rsid w:val="003366C9"/>
    <w:rsid w:val="003408EA"/>
    <w:rsid w:val="0034141E"/>
    <w:rsid w:val="00342517"/>
    <w:rsid w:val="00342849"/>
    <w:rsid w:val="00343581"/>
    <w:rsid w:val="00346900"/>
    <w:rsid w:val="0035150B"/>
    <w:rsid w:val="0035620E"/>
    <w:rsid w:val="00356F33"/>
    <w:rsid w:val="003579A6"/>
    <w:rsid w:val="00357F0F"/>
    <w:rsid w:val="0036002A"/>
    <w:rsid w:val="00360581"/>
    <w:rsid w:val="00360EE7"/>
    <w:rsid w:val="00365BEC"/>
    <w:rsid w:val="00366447"/>
    <w:rsid w:val="00372677"/>
    <w:rsid w:val="003751C1"/>
    <w:rsid w:val="0037566D"/>
    <w:rsid w:val="00376347"/>
    <w:rsid w:val="0037724F"/>
    <w:rsid w:val="003802F6"/>
    <w:rsid w:val="00380CB9"/>
    <w:rsid w:val="00381801"/>
    <w:rsid w:val="0038365C"/>
    <w:rsid w:val="00383BED"/>
    <w:rsid w:val="00393272"/>
    <w:rsid w:val="00393F75"/>
    <w:rsid w:val="00395E9B"/>
    <w:rsid w:val="00396FD0"/>
    <w:rsid w:val="00397192"/>
    <w:rsid w:val="00397E45"/>
    <w:rsid w:val="003A0C89"/>
    <w:rsid w:val="003A13A6"/>
    <w:rsid w:val="003A1A7A"/>
    <w:rsid w:val="003A2C74"/>
    <w:rsid w:val="003B0F1F"/>
    <w:rsid w:val="003B139D"/>
    <w:rsid w:val="003B7087"/>
    <w:rsid w:val="003B7BA7"/>
    <w:rsid w:val="003C08A4"/>
    <w:rsid w:val="003C2088"/>
    <w:rsid w:val="003C2D72"/>
    <w:rsid w:val="003C4A42"/>
    <w:rsid w:val="003C6DAA"/>
    <w:rsid w:val="003C7300"/>
    <w:rsid w:val="003C7955"/>
    <w:rsid w:val="003D1828"/>
    <w:rsid w:val="003D2422"/>
    <w:rsid w:val="003D34D8"/>
    <w:rsid w:val="003D354E"/>
    <w:rsid w:val="003D45AB"/>
    <w:rsid w:val="003D5FE6"/>
    <w:rsid w:val="003D6892"/>
    <w:rsid w:val="003E0751"/>
    <w:rsid w:val="003E3DAF"/>
    <w:rsid w:val="003F16EC"/>
    <w:rsid w:val="003F2251"/>
    <w:rsid w:val="003F2C3F"/>
    <w:rsid w:val="003F4156"/>
    <w:rsid w:val="003F499E"/>
    <w:rsid w:val="003F518C"/>
    <w:rsid w:val="003F62C1"/>
    <w:rsid w:val="003F6965"/>
    <w:rsid w:val="003F6D80"/>
    <w:rsid w:val="003F7FC0"/>
    <w:rsid w:val="0040404F"/>
    <w:rsid w:val="00404B66"/>
    <w:rsid w:val="004066DB"/>
    <w:rsid w:val="004075CE"/>
    <w:rsid w:val="004102AF"/>
    <w:rsid w:val="00410EC7"/>
    <w:rsid w:val="004142E2"/>
    <w:rsid w:val="00414476"/>
    <w:rsid w:val="00420141"/>
    <w:rsid w:val="00420AA4"/>
    <w:rsid w:val="00420B9F"/>
    <w:rsid w:val="004222F2"/>
    <w:rsid w:val="00425CB2"/>
    <w:rsid w:val="00425F5F"/>
    <w:rsid w:val="004319F8"/>
    <w:rsid w:val="00431F70"/>
    <w:rsid w:val="00432A53"/>
    <w:rsid w:val="00434483"/>
    <w:rsid w:val="00434CC4"/>
    <w:rsid w:val="00435B50"/>
    <w:rsid w:val="00437458"/>
    <w:rsid w:val="004443A7"/>
    <w:rsid w:val="00445B36"/>
    <w:rsid w:val="00445B9D"/>
    <w:rsid w:val="00445D4D"/>
    <w:rsid w:val="004464EB"/>
    <w:rsid w:val="0044687C"/>
    <w:rsid w:val="00450AE3"/>
    <w:rsid w:val="00451D68"/>
    <w:rsid w:val="00452110"/>
    <w:rsid w:val="004534DB"/>
    <w:rsid w:val="00453766"/>
    <w:rsid w:val="004546D0"/>
    <w:rsid w:val="00455A75"/>
    <w:rsid w:val="00455D45"/>
    <w:rsid w:val="0046340F"/>
    <w:rsid w:val="00463D7F"/>
    <w:rsid w:val="00463E69"/>
    <w:rsid w:val="00464595"/>
    <w:rsid w:val="0046534C"/>
    <w:rsid w:val="00470556"/>
    <w:rsid w:val="00472359"/>
    <w:rsid w:val="0047456A"/>
    <w:rsid w:val="00474E8C"/>
    <w:rsid w:val="00475D20"/>
    <w:rsid w:val="00476A3E"/>
    <w:rsid w:val="00477CB7"/>
    <w:rsid w:val="00484D9E"/>
    <w:rsid w:val="004867E2"/>
    <w:rsid w:val="00491B3A"/>
    <w:rsid w:val="00497F10"/>
    <w:rsid w:val="004A0DA1"/>
    <w:rsid w:val="004A1ACC"/>
    <w:rsid w:val="004A20DE"/>
    <w:rsid w:val="004A3F7A"/>
    <w:rsid w:val="004A428D"/>
    <w:rsid w:val="004A4617"/>
    <w:rsid w:val="004A6597"/>
    <w:rsid w:val="004A7338"/>
    <w:rsid w:val="004B1B3A"/>
    <w:rsid w:val="004B2F18"/>
    <w:rsid w:val="004B3DDB"/>
    <w:rsid w:val="004B44FD"/>
    <w:rsid w:val="004B5CFC"/>
    <w:rsid w:val="004C175D"/>
    <w:rsid w:val="004C4AED"/>
    <w:rsid w:val="004D0AD9"/>
    <w:rsid w:val="004D4325"/>
    <w:rsid w:val="004E038B"/>
    <w:rsid w:val="004E0EB8"/>
    <w:rsid w:val="004E25EC"/>
    <w:rsid w:val="004E2ADC"/>
    <w:rsid w:val="004E3AAA"/>
    <w:rsid w:val="004E41E8"/>
    <w:rsid w:val="004E57FE"/>
    <w:rsid w:val="004E708C"/>
    <w:rsid w:val="004F0E6A"/>
    <w:rsid w:val="004F1D02"/>
    <w:rsid w:val="004F2679"/>
    <w:rsid w:val="004F30E6"/>
    <w:rsid w:val="00500B8A"/>
    <w:rsid w:val="005029D5"/>
    <w:rsid w:val="00502EC7"/>
    <w:rsid w:val="00503B2B"/>
    <w:rsid w:val="00503C2A"/>
    <w:rsid w:val="00504599"/>
    <w:rsid w:val="005045C5"/>
    <w:rsid w:val="00505390"/>
    <w:rsid w:val="00505D62"/>
    <w:rsid w:val="00506E16"/>
    <w:rsid w:val="0050728D"/>
    <w:rsid w:val="00511798"/>
    <w:rsid w:val="005152B5"/>
    <w:rsid w:val="00517296"/>
    <w:rsid w:val="00517B7B"/>
    <w:rsid w:val="00521319"/>
    <w:rsid w:val="00523C28"/>
    <w:rsid w:val="00526F28"/>
    <w:rsid w:val="00532669"/>
    <w:rsid w:val="005379D1"/>
    <w:rsid w:val="005419E0"/>
    <w:rsid w:val="0054335E"/>
    <w:rsid w:val="00543A12"/>
    <w:rsid w:val="00544025"/>
    <w:rsid w:val="00552051"/>
    <w:rsid w:val="00552C67"/>
    <w:rsid w:val="00555109"/>
    <w:rsid w:val="00556810"/>
    <w:rsid w:val="005572CF"/>
    <w:rsid w:val="00560806"/>
    <w:rsid w:val="005611F0"/>
    <w:rsid w:val="0056218B"/>
    <w:rsid w:val="0056276A"/>
    <w:rsid w:val="00562936"/>
    <w:rsid w:val="0056522B"/>
    <w:rsid w:val="0056651A"/>
    <w:rsid w:val="0056696F"/>
    <w:rsid w:val="005706B6"/>
    <w:rsid w:val="00570728"/>
    <w:rsid w:val="00574567"/>
    <w:rsid w:val="00574659"/>
    <w:rsid w:val="005750E6"/>
    <w:rsid w:val="00575456"/>
    <w:rsid w:val="00576972"/>
    <w:rsid w:val="00577235"/>
    <w:rsid w:val="00577717"/>
    <w:rsid w:val="005801E9"/>
    <w:rsid w:val="00583699"/>
    <w:rsid w:val="00585ADB"/>
    <w:rsid w:val="0058647B"/>
    <w:rsid w:val="00586992"/>
    <w:rsid w:val="005873D2"/>
    <w:rsid w:val="00590197"/>
    <w:rsid w:val="00591989"/>
    <w:rsid w:val="00592FB7"/>
    <w:rsid w:val="0059395F"/>
    <w:rsid w:val="005A14F5"/>
    <w:rsid w:val="005A24BF"/>
    <w:rsid w:val="005A2680"/>
    <w:rsid w:val="005A4481"/>
    <w:rsid w:val="005A6683"/>
    <w:rsid w:val="005A709C"/>
    <w:rsid w:val="005B0BB4"/>
    <w:rsid w:val="005B130D"/>
    <w:rsid w:val="005B47A0"/>
    <w:rsid w:val="005B5353"/>
    <w:rsid w:val="005B5705"/>
    <w:rsid w:val="005B5857"/>
    <w:rsid w:val="005B7C8E"/>
    <w:rsid w:val="005C11E4"/>
    <w:rsid w:val="005C1B83"/>
    <w:rsid w:val="005C2B02"/>
    <w:rsid w:val="005C346B"/>
    <w:rsid w:val="005C4A3C"/>
    <w:rsid w:val="005C7740"/>
    <w:rsid w:val="005D1657"/>
    <w:rsid w:val="005D18AD"/>
    <w:rsid w:val="005D2CD7"/>
    <w:rsid w:val="005D325E"/>
    <w:rsid w:val="005D796D"/>
    <w:rsid w:val="005D7E3E"/>
    <w:rsid w:val="005E63EA"/>
    <w:rsid w:val="005F2706"/>
    <w:rsid w:val="005F4B2F"/>
    <w:rsid w:val="005F6675"/>
    <w:rsid w:val="005F6A8F"/>
    <w:rsid w:val="005F7B55"/>
    <w:rsid w:val="00600F0D"/>
    <w:rsid w:val="00602C22"/>
    <w:rsid w:val="00603060"/>
    <w:rsid w:val="00604297"/>
    <w:rsid w:val="00605035"/>
    <w:rsid w:val="00605283"/>
    <w:rsid w:val="0060672D"/>
    <w:rsid w:val="00607669"/>
    <w:rsid w:val="006076C3"/>
    <w:rsid w:val="00612F97"/>
    <w:rsid w:val="0061383B"/>
    <w:rsid w:val="00616802"/>
    <w:rsid w:val="00617E12"/>
    <w:rsid w:val="00621477"/>
    <w:rsid w:val="00624D08"/>
    <w:rsid w:val="00631D6B"/>
    <w:rsid w:val="00633593"/>
    <w:rsid w:val="0063479F"/>
    <w:rsid w:val="00636482"/>
    <w:rsid w:val="006364A1"/>
    <w:rsid w:val="00637BFD"/>
    <w:rsid w:val="00643542"/>
    <w:rsid w:val="00643ED0"/>
    <w:rsid w:val="00645B6B"/>
    <w:rsid w:val="006471CC"/>
    <w:rsid w:val="0065079F"/>
    <w:rsid w:val="00650CE2"/>
    <w:rsid w:val="00652B91"/>
    <w:rsid w:val="006532B6"/>
    <w:rsid w:val="006540A2"/>
    <w:rsid w:val="00657533"/>
    <w:rsid w:val="006614E3"/>
    <w:rsid w:val="00665002"/>
    <w:rsid w:val="006655BA"/>
    <w:rsid w:val="00665F80"/>
    <w:rsid w:val="006668F2"/>
    <w:rsid w:val="006678FD"/>
    <w:rsid w:val="006710E1"/>
    <w:rsid w:val="00671896"/>
    <w:rsid w:val="00673B4C"/>
    <w:rsid w:val="00674A68"/>
    <w:rsid w:val="00674AEF"/>
    <w:rsid w:val="00674CFD"/>
    <w:rsid w:val="00674E42"/>
    <w:rsid w:val="00675C41"/>
    <w:rsid w:val="00675E42"/>
    <w:rsid w:val="00677E72"/>
    <w:rsid w:val="00681391"/>
    <w:rsid w:val="00682112"/>
    <w:rsid w:val="006853D4"/>
    <w:rsid w:val="00685D62"/>
    <w:rsid w:val="006869CF"/>
    <w:rsid w:val="00687DB2"/>
    <w:rsid w:val="00691BBD"/>
    <w:rsid w:val="006938E7"/>
    <w:rsid w:val="006945D6"/>
    <w:rsid w:val="00694F44"/>
    <w:rsid w:val="0069748E"/>
    <w:rsid w:val="006A1133"/>
    <w:rsid w:val="006A330D"/>
    <w:rsid w:val="006A3651"/>
    <w:rsid w:val="006A6B67"/>
    <w:rsid w:val="006B4FEE"/>
    <w:rsid w:val="006B6F1B"/>
    <w:rsid w:val="006B768D"/>
    <w:rsid w:val="006C00F4"/>
    <w:rsid w:val="006C0B3D"/>
    <w:rsid w:val="006C279F"/>
    <w:rsid w:val="006C2A8E"/>
    <w:rsid w:val="006C2B00"/>
    <w:rsid w:val="006D0011"/>
    <w:rsid w:val="006D0864"/>
    <w:rsid w:val="006D3C7D"/>
    <w:rsid w:val="006D438C"/>
    <w:rsid w:val="006D67AD"/>
    <w:rsid w:val="006D6DB8"/>
    <w:rsid w:val="006D77B1"/>
    <w:rsid w:val="006E0C36"/>
    <w:rsid w:val="006E76F4"/>
    <w:rsid w:val="006F22EA"/>
    <w:rsid w:val="006F63A5"/>
    <w:rsid w:val="00700724"/>
    <w:rsid w:val="00701B61"/>
    <w:rsid w:val="0070276E"/>
    <w:rsid w:val="007032BB"/>
    <w:rsid w:val="0070409E"/>
    <w:rsid w:val="00704D40"/>
    <w:rsid w:val="00704DA5"/>
    <w:rsid w:val="00705742"/>
    <w:rsid w:val="00705BAE"/>
    <w:rsid w:val="00706510"/>
    <w:rsid w:val="00707ED2"/>
    <w:rsid w:val="00711A36"/>
    <w:rsid w:val="00712258"/>
    <w:rsid w:val="00712463"/>
    <w:rsid w:val="007148B8"/>
    <w:rsid w:val="007164F4"/>
    <w:rsid w:val="00716A1B"/>
    <w:rsid w:val="00716C84"/>
    <w:rsid w:val="007172AD"/>
    <w:rsid w:val="00724F9E"/>
    <w:rsid w:val="00725412"/>
    <w:rsid w:val="00726246"/>
    <w:rsid w:val="007265FB"/>
    <w:rsid w:val="00726802"/>
    <w:rsid w:val="00731621"/>
    <w:rsid w:val="0073379C"/>
    <w:rsid w:val="00735328"/>
    <w:rsid w:val="00736662"/>
    <w:rsid w:val="0073685B"/>
    <w:rsid w:val="00743146"/>
    <w:rsid w:val="00744D93"/>
    <w:rsid w:val="00746282"/>
    <w:rsid w:val="00746509"/>
    <w:rsid w:val="007474AD"/>
    <w:rsid w:val="00747F39"/>
    <w:rsid w:val="007526F3"/>
    <w:rsid w:val="00754761"/>
    <w:rsid w:val="00760715"/>
    <w:rsid w:val="00761B29"/>
    <w:rsid w:val="00762EEE"/>
    <w:rsid w:val="00763134"/>
    <w:rsid w:val="0076417F"/>
    <w:rsid w:val="00765548"/>
    <w:rsid w:val="0076627B"/>
    <w:rsid w:val="00770D93"/>
    <w:rsid w:val="00773088"/>
    <w:rsid w:val="00774052"/>
    <w:rsid w:val="00774460"/>
    <w:rsid w:val="0077564F"/>
    <w:rsid w:val="00777786"/>
    <w:rsid w:val="00777A5C"/>
    <w:rsid w:val="00787E9E"/>
    <w:rsid w:val="00790137"/>
    <w:rsid w:val="00790A2C"/>
    <w:rsid w:val="007912F7"/>
    <w:rsid w:val="0079134D"/>
    <w:rsid w:val="00792507"/>
    <w:rsid w:val="00793765"/>
    <w:rsid w:val="0079386A"/>
    <w:rsid w:val="007A2263"/>
    <w:rsid w:val="007A2592"/>
    <w:rsid w:val="007A30D5"/>
    <w:rsid w:val="007A40BA"/>
    <w:rsid w:val="007A47F8"/>
    <w:rsid w:val="007A6A59"/>
    <w:rsid w:val="007B0682"/>
    <w:rsid w:val="007B08CD"/>
    <w:rsid w:val="007B251D"/>
    <w:rsid w:val="007B5256"/>
    <w:rsid w:val="007B6ABF"/>
    <w:rsid w:val="007B6B06"/>
    <w:rsid w:val="007B761C"/>
    <w:rsid w:val="007B77D1"/>
    <w:rsid w:val="007C2CD3"/>
    <w:rsid w:val="007C3272"/>
    <w:rsid w:val="007C424B"/>
    <w:rsid w:val="007D0A46"/>
    <w:rsid w:val="007D0B38"/>
    <w:rsid w:val="007D141C"/>
    <w:rsid w:val="007D1B3A"/>
    <w:rsid w:val="007D44A7"/>
    <w:rsid w:val="007D52F4"/>
    <w:rsid w:val="007D69B1"/>
    <w:rsid w:val="007E1DC9"/>
    <w:rsid w:val="007E3AE0"/>
    <w:rsid w:val="007E5385"/>
    <w:rsid w:val="007E578B"/>
    <w:rsid w:val="007E79EB"/>
    <w:rsid w:val="007E7CDC"/>
    <w:rsid w:val="007F1017"/>
    <w:rsid w:val="007F4A3F"/>
    <w:rsid w:val="007F7B9F"/>
    <w:rsid w:val="00801C64"/>
    <w:rsid w:val="00803CD7"/>
    <w:rsid w:val="00805142"/>
    <w:rsid w:val="00807096"/>
    <w:rsid w:val="00807A8B"/>
    <w:rsid w:val="00811CB1"/>
    <w:rsid w:val="00812149"/>
    <w:rsid w:val="008166EF"/>
    <w:rsid w:val="0082172A"/>
    <w:rsid w:val="0082338F"/>
    <w:rsid w:val="00824217"/>
    <w:rsid w:val="008258B2"/>
    <w:rsid w:val="00825905"/>
    <w:rsid w:val="00825A50"/>
    <w:rsid w:val="00825A92"/>
    <w:rsid w:val="00825C9A"/>
    <w:rsid w:val="008264EB"/>
    <w:rsid w:val="008324E7"/>
    <w:rsid w:val="008326F1"/>
    <w:rsid w:val="00832A02"/>
    <w:rsid w:val="00833D20"/>
    <w:rsid w:val="0083650F"/>
    <w:rsid w:val="00840CA2"/>
    <w:rsid w:val="00841011"/>
    <w:rsid w:val="00845308"/>
    <w:rsid w:val="00845BDD"/>
    <w:rsid w:val="00846CCF"/>
    <w:rsid w:val="0085015C"/>
    <w:rsid w:val="008529CF"/>
    <w:rsid w:val="00854281"/>
    <w:rsid w:val="008547CF"/>
    <w:rsid w:val="008569B6"/>
    <w:rsid w:val="008569E2"/>
    <w:rsid w:val="00856E9A"/>
    <w:rsid w:val="00863AC6"/>
    <w:rsid w:val="0086798F"/>
    <w:rsid w:val="00870CC8"/>
    <w:rsid w:val="008736DA"/>
    <w:rsid w:val="00875A9D"/>
    <w:rsid w:val="00876171"/>
    <w:rsid w:val="0088210D"/>
    <w:rsid w:val="0088260E"/>
    <w:rsid w:val="00882874"/>
    <w:rsid w:val="00883787"/>
    <w:rsid w:val="008849C8"/>
    <w:rsid w:val="00884EBB"/>
    <w:rsid w:val="00891815"/>
    <w:rsid w:val="008931DC"/>
    <w:rsid w:val="008963A5"/>
    <w:rsid w:val="008974D8"/>
    <w:rsid w:val="008976D7"/>
    <w:rsid w:val="008A12D9"/>
    <w:rsid w:val="008A3C3E"/>
    <w:rsid w:val="008A75CE"/>
    <w:rsid w:val="008A77C2"/>
    <w:rsid w:val="008A79DE"/>
    <w:rsid w:val="008B06D5"/>
    <w:rsid w:val="008B0F81"/>
    <w:rsid w:val="008B12B3"/>
    <w:rsid w:val="008B7D7E"/>
    <w:rsid w:val="008C0537"/>
    <w:rsid w:val="008C12C4"/>
    <w:rsid w:val="008C6ECC"/>
    <w:rsid w:val="008C7ECB"/>
    <w:rsid w:val="008D1695"/>
    <w:rsid w:val="008D2761"/>
    <w:rsid w:val="008D660D"/>
    <w:rsid w:val="008D70F1"/>
    <w:rsid w:val="008E1B9E"/>
    <w:rsid w:val="008E5BD9"/>
    <w:rsid w:val="008F0509"/>
    <w:rsid w:val="008F2CC1"/>
    <w:rsid w:val="008F48EB"/>
    <w:rsid w:val="008F4F0B"/>
    <w:rsid w:val="008F60BA"/>
    <w:rsid w:val="008F67A8"/>
    <w:rsid w:val="008F73B5"/>
    <w:rsid w:val="009041CB"/>
    <w:rsid w:val="009062A5"/>
    <w:rsid w:val="00907F17"/>
    <w:rsid w:val="00911272"/>
    <w:rsid w:val="009129B5"/>
    <w:rsid w:val="00912CF7"/>
    <w:rsid w:val="00924E64"/>
    <w:rsid w:val="009311F0"/>
    <w:rsid w:val="00935D5A"/>
    <w:rsid w:val="00944F49"/>
    <w:rsid w:val="00945B2F"/>
    <w:rsid w:val="009464C8"/>
    <w:rsid w:val="00946AA9"/>
    <w:rsid w:val="00946B0B"/>
    <w:rsid w:val="00950004"/>
    <w:rsid w:val="00951CD6"/>
    <w:rsid w:val="0095394F"/>
    <w:rsid w:val="009550A2"/>
    <w:rsid w:val="00957377"/>
    <w:rsid w:val="00960C55"/>
    <w:rsid w:val="00961AF9"/>
    <w:rsid w:val="00962CB9"/>
    <w:rsid w:val="00964312"/>
    <w:rsid w:val="0097003C"/>
    <w:rsid w:val="0097111F"/>
    <w:rsid w:val="00971541"/>
    <w:rsid w:val="00973812"/>
    <w:rsid w:val="009754FF"/>
    <w:rsid w:val="00975E7B"/>
    <w:rsid w:val="00976BBB"/>
    <w:rsid w:val="0098002F"/>
    <w:rsid w:val="00982D36"/>
    <w:rsid w:val="00983DB5"/>
    <w:rsid w:val="00983E57"/>
    <w:rsid w:val="009851B4"/>
    <w:rsid w:val="00985AD9"/>
    <w:rsid w:val="00986213"/>
    <w:rsid w:val="00986264"/>
    <w:rsid w:val="00990B87"/>
    <w:rsid w:val="00992D5F"/>
    <w:rsid w:val="00995E2C"/>
    <w:rsid w:val="00996B1A"/>
    <w:rsid w:val="009976B3"/>
    <w:rsid w:val="009A171D"/>
    <w:rsid w:val="009A2881"/>
    <w:rsid w:val="009A4588"/>
    <w:rsid w:val="009A55BE"/>
    <w:rsid w:val="009A71CC"/>
    <w:rsid w:val="009B2EA5"/>
    <w:rsid w:val="009B3E26"/>
    <w:rsid w:val="009B3F3B"/>
    <w:rsid w:val="009B5FC6"/>
    <w:rsid w:val="009C135C"/>
    <w:rsid w:val="009C3E1E"/>
    <w:rsid w:val="009D2412"/>
    <w:rsid w:val="009D406D"/>
    <w:rsid w:val="009D41A7"/>
    <w:rsid w:val="009D5B91"/>
    <w:rsid w:val="009D6BC8"/>
    <w:rsid w:val="009E12C0"/>
    <w:rsid w:val="009E186C"/>
    <w:rsid w:val="009E1B01"/>
    <w:rsid w:val="009E2193"/>
    <w:rsid w:val="009E2843"/>
    <w:rsid w:val="009E4C07"/>
    <w:rsid w:val="009E672A"/>
    <w:rsid w:val="009E74F5"/>
    <w:rsid w:val="009F0D51"/>
    <w:rsid w:val="009F3476"/>
    <w:rsid w:val="00A03D43"/>
    <w:rsid w:val="00A04380"/>
    <w:rsid w:val="00A04BC3"/>
    <w:rsid w:val="00A072B3"/>
    <w:rsid w:val="00A1006A"/>
    <w:rsid w:val="00A10B53"/>
    <w:rsid w:val="00A110BB"/>
    <w:rsid w:val="00A112BA"/>
    <w:rsid w:val="00A12642"/>
    <w:rsid w:val="00A126F1"/>
    <w:rsid w:val="00A12770"/>
    <w:rsid w:val="00A13948"/>
    <w:rsid w:val="00A15681"/>
    <w:rsid w:val="00A16A16"/>
    <w:rsid w:val="00A202EF"/>
    <w:rsid w:val="00A22701"/>
    <w:rsid w:val="00A22D1E"/>
    <w:rsid w:val="00A24114"/>
    <w:rsid w:val="00A248DF"/>
    <w:rsid w:val="00A27096"/>
    <w:rsid w:val="00A27AEC"/>
    <w:rsid w:val="00A3166F"/>
    <w:rsid w:val="00A32183"/>
    <w:rsid w:val="00A330FF"/>
    <w:rsid w:val="00A33B35"/>
    <w:rsid w:val="00A35C16"/>
    <w:rsid w:val="00A35D16"/>
    <w:rsid w:val="00A43874"/>
    <w:rsid w:val="00A43C59"/>
    <w:rsid w:val="00A43CAE"/>
    <w:rsid w:val="00A44CA6"/>
    <w:rsid w:val="00A45508"/>
    <w:rsid w:val="00A505AB"/>
    <w:rsid w:val="00A50ECD"/>
    <w:rsid w:val="00A5153B"/>
    <w:rsid w:val="00A52231"/>
    <w:rsid w:val="00A52729"/>
    <w:rsid w:val="00A531C0"/>
    <w:rsid w:val="00A53675"/>
    <w:rsid w:val="00A56B6A"/>
    <w:rsid w:val="00A578DC"/>
    <w:rsid w:val="00A579F1"/>
    <w:rsid w:val="00A57ED5"/>
    <w:rsid w:val="00A602DD"/>
    <w:rsid w:val="00A606DA"/>
    <w:rsid w:val="00A66D88"/>
    <w:rsid w:val="00A6725B"/>
    <w:rsid w:val="00A70C2B"/>
    <w:rsid w:val="00A71FD5"/>
    <w:rsid w:val="00A7415D"/>
    <w:rsid w:val="00A765E2"/>
    <w:rsid w:val="00A77DAF"/>
    <w:rsid w:val="00A81C4C"/>
    <w:rsid w:val="00A85EE4"/>
    <w:rsid w:val="00A86E8B"/>
    <w:rsid w:val="00A9002A"/>
    <w:rsid w:val="00A90BB5"/>
    <w:rsid w:val="00A93072"/>
    <w:rsid w:val="00A93553"/>
    <w:rsid w:val="00A9663D"/>
    <w:rsid w:val="00A96F39"/>
    <w:rsid w:val="00A96F5E"/>
    <w:rsid w:val="00A96F79"/>
    <w:rsid w:val="00AA0A07"/>
    <w:rsid w:val="00AA2386"/>
    <w:rsid w:val="00AA5EBA"/>
    <w:rsid w:val="00AA6F56"/>
    <w:rsid w:val="00AA75CC"/>
    <w:rsid w:val="00AB042A"/>
    <w:rsid w:val="00AB1FC2"/>
    <w:rsid w:val="00AB3430"/>
    <w:rsid w:val="00AB7CFA"/>
    <w:rsid w:val="00AC38A4"/>
    <w:rsid w:val="00AC5F22"/>
    <w:rsid w:val="00AC7F9A"/>
    <w:rsid w:val="00AD1C48"/>
    <w:rsid w:val="00AD2C78"/>
    <w:rsid w:val="00AD3709"/>
    <w:rsid w:val="00AD6A66"/>
    <w:rsid w:val="00AD6EF0"/>
    <w:rsid w:val="00AE0F5C"/>
    <w:rsid w:val="00AE1B58"/>
    <w:rsid w:val="00AE2CD9"/>
    <w:rsid w:val="00AE4739"/>
    <w:rsid w:val="00AF0E6F"/>
    <w:rsid w:val="00AF5C06"/>
    <w:rsid w:val="00AF7E20"/>
    <w:rsid w:val="00B0046D"/>
    <w:rsid w:val="00B01B0B"/>
    <w:rsid w:val="00B03358"/>
    <w:rsid w:val="00B04956"/>
    <w:rsid w:val="00B0496F"/>
    <w:rsid w:val="00B17712"/>
    <w:rsid w:val="00B20464"/>
    <w:rsid w:val="00B204F9"/>
    <w:rsid w:val="00B210D2"/>
    <w:rsid w:val="00B23C77"/>
    <w:rsid w:val="00B23FF7"/>
    <w:rsid w:val="00B24CB6"/>
    <w:rsid w:val="00B25FEE"/>
    <w:rsid w:val="00B3089F"/>
    <w:rsid w:val="00B31A52"/>
    <w:rsid w:val="00B377C4"/>
    <w:rsid w:val="00B42851"/>
    <w:rsid w:val="00B42FEC"/>
    <w:rsid w:val="00B4658C"/>
    <w:rsid w:val="00B4737C"/>
    <w:rsid w:val="00B47CEB"/>
    <w:rsid w:val="00B51AB6"/>
    <w:rsid w:val="00B54B5B"/>
    <w:rsid w:val="00B5501A"/>
    <w:rsid w:val="00B5562E"/>
    <w:rsid w:val="00B57000"/>
    <w:rsid w:val="00B57845"/>
    <w:rsid w:val="00B579BF"/>
    <w:rsid w:val="00B57D4C"/>
    <w:rsid w:val="00B57D83"/>
    <w:rsid w:val="00B60299"/>
    <w:rsid w:val="00B608CF"/>
    <w:rsid w:val="00B60939"/>
    <w:rsid w:val="00B60AFD"/>
    <w:rsid w:val="00B60CA7"/>
    <w:rsid w:val="00B60D5C"/>
    <w:rsid w:val="00B62715"/>
    <w:rsid w:val="00B63BEA"/>
    <w:rsid w:val="00B63E08"/>
    <w:rsid w:val="00B63F78"/>
    <w:rsid w:val="00B65368"/>
    <w:rsid w:val="00B6650E"/>
    <w:rsid w:val="00B66B13"/>
    <w:rsid w:val="00B710CF"/>
    <w:rsid w:val="00B723D3"/>
    <w:rsid w:val="00B73777"/>
    <w:rsid w:val="00B754EC"/>
    <w:rsid w:val="00B77A3A"/>
    <w:rsid w:val="00B77D63"/>
    <w:rsid w:val="00B80880"/>
    <w:rsid w:val="00B818A4"/>
    <w:rsid w:val="00B83F87"/>
    <w:rsid w:val="00B863D8"/>
    <w:rsid w:val="00B8649C"/>
    <w:rsid w:val="00B86D13"/>
    <w:rsid w:val="00B92D0B"/>
    <w:rsid w:val="00B94945"/>
    <w:rsid w:val="00B95D6B"/>
    <w:rsid w:val="00B961CC"/>
    <w:rsid w:val="00BA0825"/>
    <w:rsid w:val="00BA2C9C"/>
    <w:rsid w:val="00BA300A"/>
    <w:rsid w:val="00BA5A94"/>
    <w:rsid w:val="00BA6B4E"/>
    <w:rsid w:val="00BA750F"/>
    <w:rsid w:val="00BB020E"/>
    <w:rsid w:val="00BB28C8"/>
    <w:rsid w:val="00BB2B92"/>
    <w:rsid w:val="00BB4AFE"/>
    <w:rsid w:val="00BB50EC"/>
    <w:rsid w:val="00BB6798"/>
    <w:rsid w:val="00BB6C62"/>
    <w:rsid w:val="00BB7322"/>
    <w:rsid w:val="00BC0359"/>
    <w:rsid w:val="00BC04CF"/>
    <w:rsid w:val="00BD0270"/>
    <w:rsid w:val="00BD07C2"/>
    <w:rsid w:val="00BD0DA3"/>
    <w:rsid w:val="00BD1182"/>
    <w:rsid w:val="00BD404D"/>
    <w:rsid w:val="00BD65A9"/>
    <w:rsid w:val="00BD6939"/>
    <w:rsid w:val="00BD7B49"/>
    <w:rsid w:val="00BE2180"/>
    <w:rsid w:val="00BE4275"/>
    <w:rsid w:val="00BE45A3"/>
    <w:rsid w:val="00BE464B"/>
    <w:rsid w:val="00BE501C"/>
    <w:rsid w:val="00BE6BE8"/>
    <w:rsid w:val="00BF0360"/>
    <w:rsid w:val="00BF07D3"/>
    <w:rsid w:val="00BF23ED"/>
    <w:rsid w:val="00BF2433"/>
    <w:rsid w:val="00BF3E77"/>
    <w:rsid w:val="00BF5794"/>
    <w:rsid w:val="00BF5C88"/>
    <w:rsid w:val="00BF61C9"/>
    <w:rsid w:val="00BF6DAD"/>
    <w:rsid w:val="00BF7473"/>
    <w:rsid w:val="00C00325"/>
    <w:rsid w:val="00C01380"/>
    <w:rsid w:val="00C01741"/>
    <w:rsid w:val="00C02933"/>
    <w:rsid w:val="00C03F67"/>
    <w:rsid w:val="00C04F01"/>
    <w:rsid w:val="00C05079"/>
    <w:rsid w:val="00C05242"/>
    <w:rsid w:val="00C0687E"/>
    <w:rsid w:val="00C101F3"/>
    <w:rsid w:val="00C115DD"/>
    <w:rsid w:val="00C17E54"/>
    <w:rsid w:val="00C203BA"/>
    <w:rsid w:val="00C20828"/>
    <w:rsid w:val="00C21729"/>
    <w:rsid w:val="00C22120"/>
    <w:rsid w:val="00C2406D"/>
    <w:rsid w:val="00C25418"/>
    <w:rsid w:val="00C25646"/>
    <w:rsid w:val="00C25D9C"/>
    <w:rsid w:val="00C2632A"/>
    <w:rsid w:val="00C27D69"/>
    <w:rsid w:val="00C31649"/>
    <w:rsid w:val="00C32E73"/>
    <w:rsid w:val="00C348B2"/>
    <w:rsid w:val="00C36A10"/>
    <w:rsid w:val="00C40385"/>
    <w:rsid w:val="00C46769"/>
    <w:rsid w:val="00C46E56"/>
    <w:rsid w:val="00C47970"/>
    <w:rsid w:val="00C515A4"/>
    <w:rsid w:val="00C54211"/>
    <w:rsid w:val="00C542A4"/>
    <w:rsid w:val="00C556FC"/>
    <w:rsid w:val="00C57A3D"/>
    <w:rsid w:val="00C60E34"/>
    <w:rsid w:val="00C63137"/>
    <w:rsid w:val="00C65576"/>
    <w:rsid w:val="00C66165"/>
    <w:rsid w:val="00C66F0A"/>
    <w:rsid w:val="00C67254"/>
    <w:rsid w:val="00C72F54"/>
    <w:rsid w:val="00C75128"/>
    <w:rsid w:val="00C76B5A"/>
    <w:rsid w:val="00C80774"/>
    <w:rsid w:val="00C8213F"/>
    <w:rsid w:val="00C83F8B"/>
    <w:rsid w:val="00C854F0"/>
    <w:rsid w:val="00C8797A"/>
    <w:rsid w:val="00C917F3"/>
    <w:rsid w:val="00C91EF2"/>
    <w:rsid w:val="00C938CF"/>
    <w:rsid w:val="00C94E49"/>
    <w:rsid w:val="00C95FE8"/>
    <w:rsid w:val="00C96AE1"/>
    <w:rsid w:val="00CA05CB"/>
    <w:rsid w:val="00CA42D8"/>
    <w:rsid w:val="00CA5245"/>
    <w:rsid w:val="00CA7B09"/>
    <w:rsid w:val="00CB0CAD"/>
    <w:rsid w:val="00CB5B1A"/>
    <w:rsid w:val="00CC1F19"/>
    <w:rsid w:val="00CC1F98"/>
    <w:rsid w:val="00CC238E"/>
    <w:rsid w:val="00CC62D4"/>
    <w:rsid w:val="00CC6CDC"/>
    <w:rsid w:val="00CD044F"/>
    <w:rsid w:val="00CD0D35"/>
    <w:rsid w:val="00CD11EB"/>
    <w:rsid w:val="00CD15FD"/>
    <w:rsid w:val="00CD15FE"/>
    <w:rsid w:val="00CD26AA"/>
    <w:rsid w:val="00CD2F9F"/>
    <w:rsid w:val="00CD3958"/>
    <w:rsid w:val="00CD4774"/>
    <w:rsid w:val="00CD5B8F"/>
    <w:rsid w:val="00CD6ADC"/>
    <w:rsid w:val="00CE1F50"/>
    <w:rsid w:val="00CE6274"/>
    <w:rsid w:val="00CE6483"/>
    <w:rsid w:val="00CF1540"/>
    <w:rsid w:val="00CF456B"/>
    <w:rsid w:val="00CF56B5"/>
    <w:rsid w:val="00CF5A22"/>
    <w:rsid w:val="00D01432"/>
    <w:rsid w:val="00D0262E"/>
    <w:rsid w:val="00D03320"/>
    <w:rsid w:val="00D03480"/>
    <w:rsid w:val="00D04C42"/>
    <w:rsid w:val="00D06507"/>
    <w:rsid w:val="00D06FD4"/>
    <w:rsid w:val="00D07622"/>
    <w:rsid w:val="00D10959"/>
    <w:rsid w:val="00D110BD"/>
    <w:rsid w:val="00D12AF5"/>
    <w:rsid w:val="00D17D6C"/>
    <w:rsid w:val="00D23902"/>
    <w:rsid w:val="00D3299E"/>
    <w:rsid w:val="00D37E89"/>
    <w:rsid w:val="00D41A5F"/>
    <w:rsid w:val="00D41B76"/>
    <w:rsid w:val="00D434B3"/>
    <w:rsid w:val="00D434D5"/>
    <w:rsid w:val="00D44D99"/>
    <w:rsid w:val="00D54791"/>
    <w:rsid w:val="00D630FC"/>
    <w:rsid w:val="00D66018"/>
    <w:rsid w:val="00D66147"/>
    <w:rsid w:val="00D70CAC"/>
    <w:rsid w:val="00D71DC8"/>
    <w:rsid w:val="00D72421"/>
    <w:rsid w:val="00D73BDB"/>
    <w:rsid w:val="00D75E38"/>
    <w:rsid w:val="00D75FDE"/>
    <w:rsid w:val="00D76A44"/>
    <w:rsid w:val="00D8332B"/>
    <w:rsid w:val="00D83FBC"/>
    <w:rsid w:val="00D8530B"/>
    <w:rsid w:val="00D85458"/>
    <w:rsid w:val="00D91C2D"/>
    <w:rsid w:val="00D92D4C"/>
    <w:rsid w:val="00D93753"/>
    <w:rsid w:val="00D979EC"/>
    <w:rsid w:val="00DA29FE"/>
    <w:rsid w:val="00DA4DB6"/>
    <w:rsid w:val="00DA6AB2"/>
    <w:rsid w:val="00DA6E9F"/>
    <w:rsid w:val="00DA77A5"/>
    <w:rsid w:val="00DB2FF1"/>
    <w:rsid w:val="00DB3473"/>
    <w:rsid w:val="00DB4400"/>
    <w:rsid w:val="00DB6C17"/>
    <w:rsid w:val="00DC5501"/>
    <w:rsid w:val="00DC581A"/>
    <w:rsid w:val="00DC6717"/>
    <w:rsid w:val="00DC74C3"/>
    <w:rsid w:val="00DD2072"/>
    <w:rsid w:val="00DD3F28"/>
    <w:rsid w:val="00DD4537"/>
    <w:rsid w:val="00DD47FA"/>
    <w:rsid w:val="00DD4E15"/>
    <w:rsid w:val="00DD5C5C"/>
    <w:rsid w:val="00DD5F7A"/>
    <w:rsid w:val="00DE2E6C"/>
    <w:rsid w:val="00DE338D"/>
    <w:rsid w:val="00DE4FCB"/>
    <w:rsid w:val="00DE6072"/>
    <w:rsid w:val="00DE6F77"/>
    <w:rsid w:val="00DE7214"/>
    <w:rsid w:val="00DF12C7"/>
    <w:rsid w:val="00DF4838"/>
    <w:rsid w:val="00E0060D"/>
    <w:rsid w:val="00E01C12"/>
    <w:rsid w:val="00E04607"/>
    <w:rsid w:val="00E04C57"/>
    <w:rsid w:val="00E05DFC"/>
    <w:rsid w:val="00E07B74"/>
    <w:rsid w:val="00E10149"/>
    <w:rsid w:val="00E113E1"/>
    <w:rsid w:val="00E15686"/>
    <w:rsid w:val="00E16372"/>
    <w:rsid w:val="00E166C1"/>
    <w:rsid w:val="00E172B0"/>
    <w:rsid w:val="00E20D9E"/>
    <w:rsid w:val="00E20ED6"/>
    <w:rsid w:val="00E21358"/>
    <w:rsid w:val="00E2249B"/>
    <w:rsid w:val="00E23794"/>
    <w:rsid w:val="00E2393C"/>
    <w:rsid w:val="00E24D47"/>
    <w:rsid w:val="00E27182"/>
    <w:rsid w:val="00E2771E"/>
    <w:rsid w:val="00E34872"/>
    <w:rsid w:val="00E37569"/>
    <w:rsid w:val="00E410B3"/>
    <w:rsid w:val="00E41B35"/>
    <w:rsid w:val="00E41E30"/>
    <w:rsid w:val="00E41EAE"/>
    <w:rsid w:val="00E469F4"/>
    <w:rsid w:val="00E47B2C"/>
    <w:rsid w:val="00E47BB4"/>
    <w:rsid w:val="00E52C4E"/>
    <w:rsid w:val="00E55424"/>
    <w:rsid w:val="00E55A9F"/>
    <w:rsid w:val="00E57DCE"/>
    <w:rsid w:val="00E60FF7"/>
    <w:rsid w:val="00E62312"/>
    <w:rsid w:val="00E6252F"/>
    <w:rsid w:val="00E64B55"/>
    <w:rsid w:val="00E651AD"/>
    <w:rsid w:val="00E65244"/>
    <w:rsid w:val="00E65E79"/>
    <w:rsid w:val="00E67416"/>
    <w:rsid w:val="00E7081F"/>
    <w:rsid w:val="00E70D17"/>
    <w:rsid w:val="00E718B6"/>
    <w:rsid w:val="00E73581"/>
    <w:rsid w:val="00E73C21"/>
    <w:rsid w:val="00E74AD0"/>
    <w:rsid w:val="00E755E5"/>
    <w:rsid w:val="00E77ACF"/>
    <w:rsid w:val="00E8024E"/>
    <w:rsid w:val="00E83BDF"/>
    <w:rsid w:val="00E84C81"/>
    <w:rsid w:val="00E87095"/>
    <w:rsid w:val="00E9239E"/>
    <w:rsid w:val="00E954D5"/>
    <w:rsid w:val="00EA06F5"/>
    <w:rsid w:val="00EA2190"/>
    <w:rsid w:val="00EA3864"/>
    <w:rsid w:val="00EA4569"/>
    <w:rsid w:val="00EA4E16"/>
    <w:rsid w:val="00EB133E"/>
    <w:rsid w:val="00EB3A7E"/>
    <w:rsid w:val="00EB653C"/>
    <w:rsid w:val="00EB7503"/>
    <w:rsid w:val="00EC00C9"/>
    <w:rsid w:val="00EC0AAD"/>
    <w:rsid w:val="00EC306E"/>
    <w:rsid w:val="00EC5D34"/>
    <w:rsid w:val="00EC7C2C"/>
    <w:rsid w:val="00ED52E4"/>
    <w:rsid w:val="00EE07D3"/>
    <w:rsid w:val="00EE3B9D"/>
    <w:rsid w:val="00EE735E"/>
    <w:rsid w:val="00EE7B96"/>
    <w:rsid w:val="00EF1182"/>
    <w:rsid w:val="00EF205E"/>
    <w:rsid w:val="00EF63A5"/>
    <w:rsid w:val="00EF7F16"/>
    <w:rsid w:val="00F020EA"/>
    <w:rsid w:val="00F02CC7"/>
    <w:rsid w:val="00F058C9"/>
    <w:rsid w:val="00F067A2"/>
    <w:rsid w:val="00F07157"/>
    <w:rsid w:val="00F07966"/>
    <w:rsid w:val="00F1355D"/>
    <w:rsid w:val="00F13900"/>
    <w:rsid w:val="00F13B90"/>
    <w:rsid w:val="00F1578A"/>
    <w:rsid w:val="00F17ABF"/>
    <w:rsid w:val="00F24837"/>
    <w:rsid w:val="00F2575F"/>
    <w:rsid w:val="00F338FF"/>
    <w:rsid w:val="00F33DE9"/>
    <w:rsid w:val="00F3619A"/>
    <w:rsid w:val="00F402BC"/>
    <w:rsid w:val="00F42C00"/>
    <w:rsid w:val="00F438E1"/>
    <w:rsid w:val="00F44668"/>
    <w:rsid w:val="00F46CB6"/>
    <w:rsid w:val="00F534E6"/>
    <w:rsid w:val="00F5366D"/>
    <w:rsid w:val="00F53A6C"/>
    <w:rsid w:val="00F5424E"/>
    <w:rsid w:val="00F55E73"/>
    <w:rsid w:val="00F60657"/>
    <w:rsid w:val="00F63C34"/>
    <w:rsid w:val="00F65887"/>
    <w:rsid w:val="00F65CA6"/>
    <w:rsid w:val="00F67DB0"/>
    <w:rsid w:val="00F73D8D"/>
    <w:rsid w:val="00F741BB"/>
    <w:rsid w:val="00F762BF"/>
    <w:rsid w:val="00F8060A"/>
    <w:rsid w:val="00F808ED"/>
    <w:rsid w:val="00F80E5D"/>
    <w:rsid w:val="00F82BBA"/>
    <w:rsid w:val="00F84586"/>
    <w:rsid w:val="00F84CA7"/>
    <w:rsid w:val="00F851CE"/>
    <w:rsid w:val="00F865A6"/>
    <w:rsid w:val="00F900A1"/>
    <w:rsid w:val="00F92824"/>
    <w:rsid w:val="00F978E8"/>
    <w:rsid w:val="00F97A78"/>
    <w:rsid w:val="00FA0BB0"/>
    <w:rsid w:val="00FA166C"/>
    <w:rsid w:val="00FA477B"/>
    <w:rsid w:val="00FB2FCB"/>
    <w:rsid w:val="00FB4875"/>
    <w:rsid w:val="00FB6002"/>
    <w:rsid w:val="00FB6082"/>
    <w:rsid w:val="00FB6C25"/>
    <w:rsid w:val="00FC0D5B"/>
    <w:rsid w:val="00FC1074"/>
    <w:rsid w:val="00FC1884"/>
    <w:rsid w:val="00FC7C5F"/>
    <w:rsid w:val="00FD0044"/>
    <w:rsid w:val="00FD2100"/>
    <w:rsid w:val="00FD376A"/>
    <w:rsid w:val="00FD3A90"/>
    <w:rsid w:val="00FD446D"/>
    <w:rsid w:val="00FE273B"/>
    <w:rsid w:val="00FE623F"/>
    <w:rsid w:val="00FE6526"/>
    <w:rsid w:val="00FE70B2"/>
    <w:rsid w:val="00FE7690"/>
    <w:rsid w:val="00FF3DCF"/>
    <w:rsid w:val="00FF5AA3"/>
    <w:rsid w:val="00FF63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4B3DDB"/>
    <w:pPr>
      <w:outlineLvl w:val="1"/>
    </w:pPr>
    <w:rPr>
      <w:rFonts w:cs="Times New Roman"/>
      <w:b/>
      <w:lang w:val="x-none"/>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link w:val="Heading7"/>
    <w:rsid w:val="00124A51"/>
    <w:rPr>
      <w:rFonts w:ascii="Arial" w:hAnsi="Arial"/>
      <w:b/>
      <w:snapToGrid w:val="0"/>
      <w:lang w:eastAsia="en-US"/>
    </w:rPr>
  </w:style>
  <w:style w:type="character" w:customStyle="1" w:styleId="Heading8Char">
    <w:name w:val="Heading 8 Char"/>
    <w:link w:val="Heading8"/>
    <w:rsid w:val="00124A51"/>
    <w:rPr>
      <w:b/>
      <w:snapToGrid w:val="0"/>
      <w:sz w:val="24"/>
      <w:lang w:eastAsia="en-US"/>
    </w:rPr>
  </w:style>
  <w:style w:type="character" w:customStyle="1" w:styleId="Heading9Char">
    <w:name w:val="Heading 9 Char"/>
    <w:link w:val="Heading9"/>
    <w:rsid w:val="00124A51"/>
    <w:rPr>
      <w:rFonts w:ascii="Arial" w:hAnsi="Arial"/>
      <w:b/>
      <w:snapToGrid w:val="0"/>
      <w:color w:val="000000"/>
      <w:lang w:eastAsia="en-US"/>
    </w:rPr>
  </w:style>
  <w:style w:type="paragraph" w:styleId="Caption">
    <w:name w:val="caption"/>
    <w:aliases w:val="Bayer Caption,IB Caption,Medical Caption,Char,CSR Caption,Caption Char1,Caption Char Char,Char Char Char,Char Char1,Char1,Table caption,Caption 3,c,appendix"/>
    <w:basedOn w:val="Normal"/>
    <w:next w:val="Normal"/>
    <w:link w:val="CaptionChar"/>
    <w:uiPriority w:val="99"/>
    <w:unhideWhenUsed/>
    <w:qFormat/>
    <w:rsid w:val="00124A51"/>
    <w:pPr>
      <w:spacing w:after="200"/>
    </w:pPr>
    <w:rPr>
      <w:rFonts w:ascii="Times New Roman" w:hAnsi="Times New Roman" w:cs="Times New Roman"/>
      <w:b/>
      <w:bCs/>
      <w:color w:val="4F81BD"/>
      <w:sz w:val="18"/>
      <w:szCs w:val="18"/>
      <w:lang w:val="x-none"/>
    </w:rPr>
  </w:style>
  <w:style w:type="character" w:customStyle="1" w:styleId="CaptionChar">
    <w:name w:val="Caption Char"/>
    <w:aliases w:val="Bayer Caption Char,IB Caption Char,Medical Caption Char,Char Char,CSR Caption Char,Caption Char1 Char,Caption Char Char Char,Char Char Char Char,Char Char1 Char,Char1 Char,Table caption Char,Caption 3 Char,c Char,appendix Char"/>
    <w:link w:val="Caption"/>
    <w:uiPriority w:val="99"/>
    <w:rsid w:val="00124A51"/>
    <w:rPr>
      <w:b/>
      <w:bCs/>
      <w:snapToGrid w:val="0"/>
      <w:color w:val="4F81BD"/>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lang w:val="x-none"/>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uiPriority w:val="99"/>
    <w:unhideWhenUsed/>
    <w:rsid w:val="00621477"/>
    <w:rPr>
      <w:color w:val="0000FF"/>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Cambria" w:hAnsi="Cambria" w:cs="Times New Roman"/>
      <w:bCs/>
      <w:snapToGrid/>
      <w:color w:val="365F91"/>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Calibri" w:hAnsi="Calibr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Calibri" w:hAnsi="Calibri"/>
      <w:sz w:val="20"/>
    </w:rPr>
  </w:style>
  <w:style w:type="paragraph" w:styleId="TOC5">
    <w:name w:val="toc 5"/>
    <w:basedOn w:val="Normal"/>
    <w:next w:val="Normal"/>
    <w:autoRedefine/>
    <w:uiPriority w:val="39"/>
    <w:rsid w:val="00D0262E"/>
    <w:pPr>
      <w:ind w:left="880"/>
      <w:jc w:val="left"/>
    </w:pPr>
    <w:rPr>
      <w:rFonts w:ascii="Calibri" w:hAnsi="Calibri"/>
      <w:sz w:val="20"/>
    </w:rPr>
  </w:style>
  <w:style w:type="paragraph" w:styleId="TOC6">
    <w:name w:val="toc 6"/>
    <w:basedOn w:val="Normal"/>
    <w:next w:val="Normal"/>
    <w:autoRedefine/>
    <w:uiPriority w:val="39"/>
    <w:rsid w:val="00D0262E"/>
    <w:pPr>
      <w:ind w:left="1100"/>
      <w:jc w:val="left"/>
    </w:pPr>
    <w:rPr>
      <w:rFonts w:ascii="Calibri" w:hAnsi="Calibri"/>
      <w:sz w:val="20"/>
    </w:rPr>
  </w:style>
  <w:style w:type="paragraph" w:styleId="TOC7">
    <w:name w:val="toc 7"/>
    <w:basedOn w:val="Normal"/>
    <w:next w:val="Normal"/>
    <w:autoRedefine/>
    <w:uiPriority w:val="39"/>
    <w:rsid w:val="00D0262E"/>
    <w:pPr>
      <w:ind w:left="1320"/>
      <w:jc w:val="left"/>
    </w:pPr>
    <w:rPr>
      <w:rFonts w:ascii="Calibri" w:hAnsi="Calibri"/>
      <w:sz w:val="20"/>
    </w:rPr>
  </w:style>
  <w:style w:type="paragraph" w:styleId="TOC8">
    <w:name w:val="toc 8"/>
    <w:basedOn w:val="Normal"/>
    <w:next w:val="Normal"/>
    <w:autoRedefine/>
    <w:uiPriority w:val="39"/>
    <w:rsid w:val="00D0262E"/>
    <w:pPr>
      <w:ind w:left="1540"/>
      <w:jc w:val="left"/>
    </w:pPr>
    <w:rPr>
      <w:rFonts w:ascii="Calibri" w:hAnsi="Calibri"/>
      <w:sz w:val="20"/>
    </w:rPr>
  </w:style>
  <w:style w:type="paragraph" w:styleId="TOC9">
    <w:name w:val="toc 9"/>
    <w:basedOn w:val="Normal"/>
    <w:next w:val="Normal"/>
    <w:autoRedefine/>
    <w:uiPriority w:val="39"/>
    <w:rsid w:val="00D0262E"/>
    <w:pPr>
      <w:ind w:left="1760"/>
      <w:jc w:val="left"/>
    </w:pPr>
    <w:rPr>
      <w:rFonts w:ascii="Calibri" w:hAnsi="Calibr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3"/>
      </w:numPr>
    </w:pPr>
    <w:rPr>
      <w:rFonts w:ascii="Arial" w:hAnsi="Arial" w:cs="Arial"/>
      <w:snapToGrid w:val="0"/>
      <w:sz w:val="22"/>
      <w:szCs w:val="22"/>
      <w:lang w:eastAsia="en-US"/>
    </w:rPr>
  </w:style>
  <w:style w:type="paragraph" w:customStyle="1" w:styleId="COMBody">
    <w:name w:val="COMBody"/>
    <w:basedOn w:val="Normal"/>
    <w:link w:val="COMBodyChar"/>
    <w:qFormat/>
    <w:rsid w:val="007B6B06"/>
    <w:pPr>
      <w:widowControl/>
    </w:pPr>
    <w:rPr>
      <w:rFonts w:cs="Times New Roman"/>
      <w:bCs/>
      <w:snapToGrid/>
      <w:szCs w:val="22"/>
      <w:lang w:val="en-US"/>
    </w:rPr>
  </w:style>
  <w:style w:type="character" w:customStyle="1" w:styleId="COMBodyChar">
    <w:name w:val="COMBody Char"/>
    <w:link w:val="COMBody"/>
    <w:rsid w:val="007B6B06"/>
    <w:rPr>
      <w:rFonts w:ascii="Arial" w:hAnsi="Arial" w:cs="Arial"/>
      <w:bCs/>
      <w:sz w:val="22"/>
      <w:szCs w:val="22"/>
      <w:lang w:val="en-US" w:eastAsia="en-US"/>
    </w:rPr>
  </w:style>
  <w:style w:type="paragraph" w:customStyle="1" w:styleId="COMH3">
    <w:name w:val="COMH3"/>
    <w:basedOn w:val="Normal"/>
    <w:link w:val="COMH3Char"/>
    <w:qFormat/>
    <w:rsid w:val="007B6B06"/>
    <w:pPr>
      <w:widowControl/>
      <w:spacing w:after="220"/>
    </w:pPr>
    <w:rPr>
      <w:rFonts w:cs="Times New Roman"/>
      <w:snapToGrid/>
      <w:szCs w:val="22"/>
      <w:u w:val="single"/>
      <w:lang w:val="en-US"/>
    </w:rPr>
  </w:style>
  <w:style w:type="character" w:customStyle="1" w:styleId="COMH3Char">
    <w:name w:val="COMH3 Char"/>
    <w:link w:val="COMH3"/>
    <w:rsid w:val="007B6B06"/>
    <w:rPr>
      <w:rFonts w:ascii="Arial" w:hAnsi="Arial"/>
      <w:sz w:val="22"/>
      <w:szCs w:val="22"/>
      <w:u w:val="single"/>
      <w:lang w:val="en-US" w:eastAsia="en-US"/>
    </w:rPr>
  </w:style>
  <w:style w:type="paragraph" w:customStyle="1" w:styleId="Table">
    <w:name w:val="Table"/>
    <w:basedOn w:val="Normal"/>
    <w:link w:val="TableChar"/>
    <w:qFormat/>
    <w:rsid w:val="00DC581A"/>
    <w:pPr>
      <w:widowControl/>
    </w:pPr>
    <w:rPr>
      <w:rFonts w:ascii="Candara" w:hAnsi="Candara" w:cs="Times New Roman"/>
      <w:snapToGrid/>
      <w:sz w:val="20"/>
      <w:szCs w:val="22"/>
      <w:lang w:bidi="en-US"/>
    </w:rPr>
  </w:style>
  <w:style w:type="character" w:customStyle="1" w:styleId="TableChar">
    <w:name w:val="Table Char"/>
    <w:link w:val="Table"/>
    <w:locked/>
    <w:rsid w:val="00DC581A"/>
    <w:rPr>
      <w:rFonts w:ascii="Candara" w:eastAsia="Times New Roman" w:hAnsi="Candara" w:cs="Times New Roman"/>
      <w:szCs w:val="22"/>
      <w:lang w:eastAsia="en-US" w:bidi="en-US"/>
    </w:rPr>
  </w:style>
  <w:style w:type="character" w:customStyle="1" w:styleId="SmallBold">
    <w:name w:val="Small Bold"/>
    <w:uiPriority w:val="4"/>
    <w:qFormat/>
    <w:rsid w:val="00DC581A"/>
    <w:rPr>
      <w:rFonts w:ascii="Candara" w:hAnsi="Candara"/>
      <w:b/>
      <w:sz w:val="20"/>
      <w:lang w:val="en-AU"/>
    </w:rPr>
  </w:style>
  <w:style w:type="paragraph" w:customStyle="1" w:styleId="TableBullets">
    <w:name w:val="Table Bullets"/>
    <w:basedOn w:val="Table"/>
    <w:uiPriority w:val="5"/>
    <w:qFormat/>
    <w:rsid w:val="002E4BF5"/>
    <w:pPr>
      <w:numPr>
        <w:numId w:val="8"/>
      </w:numPr>
    </w:pPr>
  </w:style>
  <w:style w:type="paragraph" w:customStyle="1" w:styleId="CaptionFootnotes">
    <w:name w:val="Caption Footnotes"/>
    <w:basedOn w:val="Normal"/>
    <w:link w:val="CaptionFootnotesChar"/>
    <w:uiPriority w:val="6"/>
    <w:qFormat/>
    <w:rsid w:val="00452110"/>
    <w:pPr>
      <w:widowControl/>
      <w:spacing w:after="40" w:line="276" w:lineRule="auto"/>
    </w:pPr>
    <w:rPr>
      <w:rFonts w:ascii="Candara" w:hAnsi="Candara" w:cs="Times New Roman"/>
      <w:snapToGrid/>
      <w:sz w:val="16"/>
      <w:szCs w:val="22"/>
      <w:lang w:bidi="en-US"/>
    </w:rPr>
  </w:style>
  <w:style w:type="character" w:customStyle="1" w:styleId="CaptionFootnotesChar">
    <w:name w:val="Caption Footnotes Char"/>
    <w:link w:val="CaptionFootnotes"/>
    <w:uiPriority w:val="6"/>
    <w:rsid w:val="00452110"/>
    <w:rPr>
      <w:rFonts w:ascii="Candara" w:eastAsia="Times New Roman" w:hAnsi="Candara" w:cs="Times New Roman"/>
      <w:sz w:val="16"/>
      <w:szCs w:val="22"/>
      <w:lang w:eastAsia="en-US" w:bidi="en-US"/>
    </w:rPr>
  </w:style>
  <w:style w:type="paragraph" w:customStyle="1" w:styleId="COMH2">
    <w:name w:val="COMH2"/>
    <w:basedOn w:val="Heading2"/>
    <w:link w:val="COMH2Char"/>
    <w:qFormat/>
    <w:rsid w:val="00065432"/>
    <w:pPr>
      <w:keepNext/>
      <w:keepLines/>
      <w:widowControl/>
      <w:spacing w:after="240"/>
    </w:pPr>
    <w:rPr>
      <w:bCs/>
      <w:snapToGrid/>
      <w:szCs w:val="22"/>
    </w:rPr>
  </w:style>
  <w:style w:type="character" w:customStyle="1" w:styleId="COMH2Char">
    <w:name w:val="COMH2 Char"/>
    <w:link w:val="COMH2"/>
    <w:rsid w:val="00065432"/>
    <w:rPr>
      <w:rFonts w:ascii="Arial" w:hAnsi="Arial" w:cs="Arial"/>
      <w:b/>
      <w:bCs/>
      <w:sz w:val="22"/>
      <w:szCs w:val="22"/>
      <w:lang w:eastAsia="en-US"/>
    </w:rPr>
  </w:style>
  <w:style w:type="paragraph" w:customStyle="1" w:styleId="Default">
    <w:name w:val="Default"/>
    <w:rsid w:val="00131EE7"/>
    <w:pPr>
      <w:autoSpaceDE w:val="0"/>
      <w:autoSpaceDN w:val="0"/>
      <w:adjustRightInd w:val="0"/>
    </w:pPr>
    <w:rPr>
      <w:rFonts w:ascii="MetaPlusNormal" w:eastAsia="SimSun" w:hAnsi="MetaPlusNormal" w:cs="MetaPlusNormal"/>
      <w:color w:val="000000"/>
      <w:sz w:val="24"/>
      <w:szCs w:val="24"/>
    </w:rPr>
  </w:style>
  <w:style w:type="paragraph" w:styleId="Bibliography">
    <w:name w:val="Bibliography"/>
    <w:basedOn w:val="Normal"/>
    <w:next w:val="Normal"/>
    <w:uiPriority w:val="37"/>
    <w:unhideWhenUsed/>
    <w:rsid w:val="009311F0"/>
    <w:pPr>
      <w:widowControl/>
      <w:spacing w:after="200" w:line="276" w:lineRule="auto"/>
    </w:pPr>
    <w:rPr>
      <w:rFonts w:ascii="Candara" w:hAnsi="Candara" w:cs="Times New Roman"/>
      <w:snapToGrid/>
      <w:sz w:val="24"/>
      <w:szCs w:val="22"/>
      <w:lang w:bidi="en-US"/>
    </w:rPr>
  </w:style>
  <w:style w:type="paragraph" w:customStyle="1" w:styleId="NormalNumberList">
    <w:name w:val="Normal Number List"/>
    <w:basedOn w:val="Normal"/>
    <w:uiPriority w:val="3"/>
    <w:qFormat/>
    <w:rsid w:val="003D6892"/>
    <w:pPr>
      <w:widowControl/>
      <w:numPr>
        <w:numId w:val="9"/>
      </w:numPr>
      <w:spacing w:after="240" w:line="276" w:lineRule="auto"/>
      <w:ind w:left="357" w:hanging="357"/>
      <w:contextualSpacing/>
    </w:pPr>
    <w:rPr>
      <w:rFonts w:ascii="Candara" w:hAnsi="Candara" w:cs="Times New Roman"/>
      <w:snapToGrid/>
      <w:sz w:val="24"/>
      <w:szCs w:val="22"/>
      <w:lang w:bidi="en-US"/>
    </w:rPr>
  </w:style>
  <w:style w:type="paragraph" w:customStyle="1" w:styleId="COMtblcap">
    <w:name w:val="COMtblcap"/>
    <w:basedOn w:val="Normal"/>
    <w:link w:val="COMtblcapChar"/>
    <w:qFormat/>
    <w:rsid w:val="008A77C2"/>
    <w:pPr>
      <w:keepNext/>
      <w:widowControl/>
    </w:pPr>
    <w:rPr>
      <w:rFonts w:cs="Times New Roman"/>
      <w:b/>
      <w:snapToGrid/>
      <w:sz w:val="20"/>
      <w:lang w:val="en-US"/>
    </w:rPr>
  </w:style>
  <w:style w:type="character" w:customStyle="1" w:styleId="COMtblcapChar">
    <w:name w:val="COMtblcap Char"/>
    <w:link w:val="COMtblcap"/>
    <w:rsid w:val="008A77C2"/>
    <w:rPr>
      <w:rFonts w:ascii="Arial" w:hAnsi="Arial" w:cs="Arial"/>
      <w:b/>
      <w:lang w:val="en-US" w:eastAsia="en-US"/>
    </w:rPr>
  </w:style>
  <w:style w:type="paragraph" w:customStyle="1" w:styleId="TableCentre">
    <w:name w:val="Table Centre"/>
    <w:basedOn w:val="Table"/>
    <w:qFormat/>
    <w:rsid w:val="00D70CAC"/>
    <w:pPr>
      <w:jc w:val="center"/>
    </w:pPr>
  </w:style>
  <w:style w:type="paragraph" w:customStyle="1" w:styleId="CaptionFootnote">
    <w:name w:val="Caption Footnote"/>
    <w:basedOn w:val="Caption"/>
    <w:qFormat/>
    <w:rsid w:val="00D70CAC"/>
    <w:pPr>
      <w:spacing w:after="0"/>
    </w:pPr>
    <w:rPr>
      <w:rFonts w:ascii="Candara" w:hAnsi="Candara"/>
      <w:b w:val="0"/>
      <w:snapToGrid/>
      <w:color w:val="auto"/>
      <w:sz w:val="16"/>
      <w:lang w:bidi="en-US"/>
    </w:rPr>
  </w:style>
  <w:style w:type="character" w:customStyle="1" w:styleId="SmallSubscript">
    <w:name w:val="Small Subscript"/>
    <w:uiPriority w:val="1"/>
    <w:qFormat/>
    <w:rsid w:val="00A57ED5"/>
    <w:rPr>
      <w:rFonts w:ascii="Candara" w:hAnsi="Candara"/>
      <w:b w:val="0"/>
      <w:sz w:val="20"/>
      <w:vertAlign w:val="subscript"/>
    </w:rPr>
  </w:style>
  <w:style w:type="paragraph" w:customStyle="1" w:styleId="NormalBulletList">
    <w:name w:val="Normal Bullet List"/>
    <w:basedOn w:val="Normal"/>
    <w:uiPriority w:val="99"/>
    <w:qFormat/>
    <w:rsid w:val="00EE7B96"/>
    <w:pPr>
      <w:widowControl/>
      <w:numPr>
        <w:numId w:val="12"/>
      </w:numPr>
      <w:spacing w:after="240" w:line="276" w:lineRule="auto"/>
      <w:contextualSpacing/>
    </w:pPr>
    <w:rPr>
      <w:rFonts w:ascii="Candara" w:hAnsi="Candara" w:cs="Times New Roman"/>
      <w:snapToGrid/>
      <w:sz w:val="24"/>
      <w:szCs w:val="22"/>
      <w:lang w:bidi="en-US"/>
    </w:rPr>
  </w:style>
  <w:style w:type="character" w:customStyle="1" w:styleId="Small">
    <w:name w:val="Small"/>
    <w:uiPriority w:val="4"/>
    <w:qFormat/>
    <w:rsid w:val="006B768D"/>
    <w:rPr>
      <w:rFonts w:ascii="Candara" w:hAnsi="Candara" w:hint="default"/>
      <w:sz w:val="20"/>
    </w:rPr>
  </w:style>
  <w:style w:type="paragraph" w:customStyle="1" w:styleId="PBACHeading10">
    <w:name w:val="PBAC Heading 1"/>
    <w:qFormat/>
    <w:rsid w:val="00C46E56"/>
    <w:pPr>
      <w:ind w:left="720" w:hanging="72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4B3DDB"/>
    <w:pPr>
      <w:outlineLvl w:val="1"/>
    </w:pPr>
    <w:rPr>
      <w:rFonts w:cs="Times New Roman"/>
      <w:b/>
      <w:lang w:val="x-none"/>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link w:val="Heading7"/>
    <w:rsid w:val="00124A51"/>
    <w:rPr>
      <w:rFonts w:ascii="Arial" w:hAnsi="Arial"/>
      <w:b/>
      <w:snapToGrid w:val="0"/>
      <w:lang w:eastAsia="en-US"/>
    </w:rPr>
  </w:style>
  <w:style w:type="character" w:customStyle="1" w:styleId="Heading8Char">
    <w:name w:val="Heading 8 Char"/>
    <w:link w:val="Heading8"/>
    <w:rsid w:val="00124A51"/>
    <w:rPr>
      <w:b/>
      <w:snapToGrid w:val="0"/>
      <w:sz w:val="24"/>
      <w:lang w:eastAsia="en-US"/>
    </w:rPr>
  </w:style>
  <w:style w:type="character" w:customStyle="1" w:styleId="Heading9Char">
    <w:name w:val="Heading 9 Char"/>
    <w:link w:val="Heading9"/>
    <w:rsid w:val="00124A51"/>
    <w:rPr>
      <w:rFonts w:ascii="Arial" w:hAnsi="Arial"/>
      <w:b/>
      <w:snapToGrid w:val="0"/>
      <w:color w:val="000000"/>
      <w:lang w:eastAsia="en-US"/>
    </w:rPr>
  </w:style>
  <w:style w:type="paragraph" w:styleId="Caption">
    <w:name w:val="caption"/>
    <w:aliases w:val="Bayer Caption,IB Caption,Medical Caption,Char,CSR Caption,Caption Char1,Caption Char Char,Char Char Char,Char Char1,Char1,Table caption,Caption 3,c,appendix"/>
    <w:basedOn w:val="Normal"/>
    <w:next w:val="Normal"/>
    <w:link w:val="CaptionChar"/>
    <w:uiPriority w:val="99"/>
    <w:unhideWhenUsed/>
    <w:qFormat/>
    <w:rsid w:val="00124A51"/>
    <w:pPr>
      <w:spacing w:after="200"/>
    </w:pPr>
    <w:rPr>
      <w:rFonts w:ascii="Times New Roman" w:hAnsi="Times New Roman" w:cs="Times New Roman"/>
      <w:b/>
      <w:bCs/>
      <w:color w:val="4F81BD"/>
      <w:sz w:val="18"/>
      <w:szCs w:val="18"/>
      <w:lang w:val="x-none"/>
    </w:rPr>
  </w:style>
  <w:style w:type="character" w:customStyle="1" w:styleId="CaptionChar">
    <w:name w:val="Caption Char"/>
    <w:aliases w:val="Bayer Caption Char,IB Caption Char,Medical Caption Char,Char Char,CSR Caption Char,Caption Char1 Char,Caption Char Char Char,Char Char Char Char,Char Char1 Char,Char1 Char,Table caption Char,Caption 3 Char,c Char,appendix Char"/>
    <w:link w:val="Caption"/>
    <w:uiPriority w:val="99"/>
    <w:rsid w:val="00124A51"/>
    <w:rPr>
      <w:b/>
      <w:bCs/>
      <w:snapToGrid w:val="0"/>
      <w:color w:val="4F81BD"/>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lang w:val="x-none"/>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uiPriority w:val="99"/>
    <w:unhideWhenUsed/>
    <w:rsid w:val="00621477"/>
    <w:rPr>
      <w:color w:val="0000FF"/>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Cambria" w:hAnsi="Cambria" w:cs="Times New Roman"/>
      <w:bCs/>
      <w:snapToGrid/>
      <w:color w:val="365F91"/>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Calibri" w:hAnsi="Calibr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Calibri" w:hAnsi="Calibri"/>
      <w:sz w:val="20"/>
    </w:rPr>
  </w:style>
  <w:style w:type="paragraph" w:styleId="TOC5">
    <w:name w:val="toc 5"/>
    <w:basedOn w:val="Normal"/>
    <w:next w:val="Normal"/>
    <w:autoRedefine/>
    <w:uiPriority w:val="39"/>
    <w:rsid w:val="00D0262E"/>
    <w:pPr>
      <w:ind w:left="880"/>
      <w:jc w:val="left"/>
    </w:pPr>
    <w:rPr>
      <w:rFonts w:ascii="Calibri" w:hAnsi="Calibri"/>
      <w:sz w:val="20"/>
    </w:rPr>
  </w:style>
  <w:style w:type="paragraph" w:styleId="TOC6">
    <w:name w:val="toc 6"/>
    <w:basedOn w:val="Normal"/>
    <w:next w:val="Normal"/>
    <w:autoRedefine/>
    <w:uiPriority w:val="39"/>
    <w:rsid w:val="00D0262E"/>
    <w:pPr>
      <w:ind w:left="1100"/>
      <w:jc w:val="left"/>
    </w:pPr>
    <w:rPr>
      <w:rFonts w:ascii="Calibri" w:hAnsi="Calibri"/>
      <w:sz w:val="20"/>
    </w:rPr>
  </w:style>
  <w:style w:type="paragraph" w:styleId="TOC7">
    <w:name w:val="toc 7"/>
    <w:basedOn w:val="Normal"/>
    <w:next w:val="Normal"/>
    <w:autoRedefine/>
    <w:uiPriority w:val="39"/>
    <w:rsid w:val="00D0262E"/>
    <w:pPr>
      <w:ind w:left="1320"/>
      <w:jc w:val="left"/>
    </w:pPr>
    <w:rPr>
      <w:rFonts w:ascii="Calibri" w:hAnsi="Calibri"/>
      <w:sz w:val="20"/>
    </w:rPr>
  </w:style>
  <w:style w:type="paragraph" w:styleId="TOC8">
    <w:name w:val="toc 8"/>
    <w:basedOn w:val="Normal"/>
    <w:next w:val="Normal"/>
    <w:autoRedefine/>
    <w:uiPriority w:val="39"/>
    <w:rsid w:val="00D0262E"/>
    <w:pPr>
      <w:ind w:left="1540"/>
      <w:jc w:val="left"/>
    </w:pPr>
    <w:rPr>
      <w:rFonts w:ascii="Calibri" w:hAnsi="Calibri"/>
      <w:sz w:val="20"/>
    </w:rPr>
  </w:style>
  <w:style w:type="paragraph" w:styleId="TOC9">
    <w:name w:val="toc 9"/>
    <w:basedOn w:val="Normal"/>
    <w:next w:val="Normal"/>
    <w:autoRedefine/>
    <w:uiPriority w:val="39"/>
    <w:rsid w:val="00D0262E"/>
    <w:pPr>
      <w:ind w:left="1760"/>
      <w:jc w:val="left"/>
    </w:pPr>
    <w:rPr>
      <w:rFonts w:ascii="Calibri" w:hAnsi="Calibr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3"/>
      </w:numPr>
    </w:pPr>
    <w:rPr>
      <w:rFonts w:ascii="Arial" w:hAnsi="Arial" w:cs="Arial"/>
      <w:snapToGrid w:val="0"/>
      <w:sz w:val="22"/>
      <w:szCs w:val="22"/>
      <w:lang w:eastAsia="en-US"/>
    </w:rPr>
  </w:style>
  <w:style w:type="paragraph" w:customStyle="1" w:styleId="COMBody">
    <w:name w:val="COMBody"/>
    <w:basedOn w:val="Normal"/>
    <w:link w:val="COMBodyChar"/>
    <w:qFormat/>
    <w:rsid w:val="007B6B06"/>
    <w:pPr>
      <w:widowControl/>
    </w:pPr>
    <w:rPr>
      <w:rFonts w:cs="Times New Roman"/>
      <w:bCs/>
      <w:snapToGrid/>
      <w:szCs w:val="22"/>
      <w:lang w:val="en-US"/>
    </w:rPr>
  </w:style>
  <w:style w:type="character" w:customStyle="1" w:styleId="COMBodyChar">
    <w:name w:val="COMBody Char"/>
    <w:link w:val="COMBody"/>
    <w:rsid w:val="007B6B06"/>
    <w:rPr>
      <w:rFonts w:ascii="Arial" w:hAnsi="Arial" w:cs="Arial"/>
      <w:bCs/>
      <w:sz w:val="22"/>
      <w:szCs w:val="22"/>
      <w:lang w:val="en-US" w:eastAsia="en-US"/>
    </w:rPr>
  </w:style>
  <w:style w:type="paragraph" w:customStyle="1" w:styleId="COMH3">
    <w:name w:val="COMH3"/>
    <w:basedOn w:val="Normal"/>
    <w:link w:val="COMH3Char"/>
    <w:qFormat/>
    <w:rsid w:val="007B6B06"/>
    <w:pPr>
      <w:widowControl/>
      <w:spacing w:after="220"/>
    </w:pPr>
    <w:rPr>
      <w:rFonts w:cs="Times New Roman"/>
      <w:snapToGrid/>
      <w:szCs w:val="22"/>
      <w:u w:val="single"/>
      <w:lang w:val="en-US"/>
    </w:rPr>
  </w:style>
  <w:style w:type="character" w:customStyle="1" w:styleId="COMH3Char">
    <w:name w:val="COMH3 Char"/>
    <w:link w:val="COMH3"/>
    <w:rsid w:val="007B6B06"/>
    <w:rPr>
      <w:rFonts w:ascii="Arial" w:hAnsi="Arial"/>
      <w:sz w:val="22"/>
      <w:szCs w:val="22"/>
      <w:u w:val="single"/>
      <w:lang w:val="en-US" w:eastAsia="en-US"/>
    </w:rPr>
  </w:style>
  <w:style w:type="paragraph" w:customStyle="1" w:styleId="Table">
    <w:name w:val="Table"/>
    <w:basedOn w:val="Normal"/>
    <w:link w:val="TableChar"/>
    <w:qFormat/>
    <w:rsid w:val="00DC581A"/>
    <w:pPr>
      <w:widowControl/>
    </w:pPr>
    <w:rPr>
      <w:rFonts w:ascii="Candara" w:hAnsi="Candara" w:cs="Times New Roman"/>
      <w:snapToGrid/>
      <w:sz w:val="20"/>
      <w:szCs w:val="22"/>
      <w:lang w:bidi="en-US"/>
    </w:rPr>
  </w:style>
  <w:style w:type="character" w:customStyle="1" w:styleId="TableChar">
    <w:name w:val="Table Char"/>
    <w:link w:val="Table"/>
    <w:locked/>
    <w:rsid w:val="00DC581A"/>
    <w:rPr>
      <w:rFonts w:ascii="Candara" w:eastAsia="Times New Roman" w:hAnsi="Candara" w:cs="Times New Roman"/>
      <w:szCs w:val="22"/>
      <w:lang w:eastAsia="en-US" w:bidi="en-US"/>
    </w:rPr>
  </w:style>
  <w:style w:type="character" w:customStyle="1" w:styleId="SmallBold">
    <w:name w:val="Small Bold"/>
    <w:uiPriority w:val="4"/>
    <w:qFormat/>
    <w:rsid w:val="00DC581A"/>
    <w:rPr>
      <w:rFonts w:ascii="Candara" w:hAnsi="Candara"/>
      <w:b/>
      <w:sz w:val="20"/>
      <w:lang w:val="en-AU"/>
    </w:rPr>
  </w:style>
  <w:style w:type="paragraph" w:customStyle="1" w:styleId="TableBullets">
    <w:name w:val="Table Bullets"/>
    <w:basedOn w:val="Table"/>
    <w:uiPriority w:val="5"/>
    <w:qFormat/>
    <w:rsid w:val="002E4BF5"/>
    <w:pPr>
      <w:numPr>
        <w:numId w:val="8"/>
      </w:numPr>
    </w:pPr>
  </w:style>
  <w:style w:type="paragraph" w:customStyle="1" w:styleId="CaptionFootnotes">
    <w:name w:val="Caption Footnotes"/>
    <w:basedOn w:val="Normal"/>
    <w:link w:val="CaptionFootnotesChar"/>
    <w:uiPriority w:val="6"/>
    <w:qFormat/>
    <w:rsid w:val="00452110"/>
    <w:pPr>
      <w:widowControl/>
      <w:spacing w:after="40" w:line="276" w:lineRule="auto"/>
    </w:pPr>
    <w:rPr>
      <w:rFonts w:ascii="Candara" w:hAnsi="Candara" w:cs="Times New Roman"/>
      <w:snapToGrid/>
      <w:sz w:val="16"/>
      <w:szCs w:val="22"/>
      <w:lang w:bidi="en-US"/>
    </w:rPr>
  </w:style>
  <w:style w:type="character" w:customStyle="1" w:styleId="CaptionFootnotesChar">
    <w:name w:val="Caption Footnotes Char"/>
    <w:link w:val="CaptionFootnotes"/>
    <w:uiPriority w:val="6"/>
    <w:rsid w:val="00452110"/>
    <w:rPr>
      <w:rFonts w:ascii="Candara" w:eastAsia="Times New Roman" w:hAnsi="Candara" w:cs="Times New Roman"/>
      <w:sz w:val="16"/>
      <w:szCs w:val="22"/>
      <w:lang w:eastAsia="en-US" w:bidi="en-US"/>
    </w:rPr>
  </w:style>
  <w:style w:type="paragraph" w:customStyle="1" w:styleId="COMH2">
    <w:name w:val="COMH2"/>
    <w:basedOn w:val="Heading2"/>
    <w:link w:val="COMH2Char"/>
    <w:qFormat/>
    <w:rsid w:val="00065432"/>
    <w:pPr>
      <w:keepNext/>
      <w:keepLines/>
      <w:widowControl/>
      <w:spacing w:after="240"/>
    </w:pPr>
    <w:rPr>
      <w:bCs/>
      <w:snapToGrid/>
      <w:szCs w:val="22"/>
    </w:rPr>
  </w:style>
  <w:style w:type="character" w:customStyle="1" w:styleId="COMH2Char">
    <w:name w:val="COMH2 Char"/>
    <w:link w:val="COMH2"/>
    <w:rsid w:val="00065432"/>
    <w:rPr>
      <w:rFonts w:ascii="Arial" w:hAnsi="Arial" w:cs="Arial"/>
      <w:b/>
      <w:bCs/>
      <w:sz w:val="22"/>
      <w:szCs w:val="22"/>
      <w:lang w:eastAsia="en-US"/>
    </w:rPr>
  </w:style>
  <w:style w:type="paragraph" w:customStyle="1" w:styleId="Default">
    <w:name w:val="Default"/>
    <w:rsid w:val="00131EE7"/>
    <w:pPr>
      <w:autoSpaceDE w:val="0"/>
      <w:autoSpaceDN w:val="0"/>
      <w:adjustRightInd w:val="0"/>
    </w:pPr>
    <w:rPr>
      <w:rFonts w:ascii="MetaPlusNormal" w:eastAsia="SimSun" w:hAnsi="MetaPlusNormal" w:cs="MetaPlusNormal"/>
      <w:color w:val="000000"/>
      <w:sz w:val="24"/>
      <w:szCs w:val="24"/>
    </w:rPr>
  </w:style>
  <w:style w:type="paragraph" w:styleId="Bibliography">
    <w:name w:val="Bibliography"/>
    <w:basedOn w:val="Normal"/>
    <w:next w:val="Normal"/>
    <w:uiPriority w:val="37"/>
    <w:unhideWhenUsed/>
    <w:rsid w:val="009311F0"/>
    <w:pPr>
      <w:widowControl/>
      <w:spacing w:after="200" w:line="276" w:lineRule="auto"/>
    </w:pPr>
    <w:rPr>
      <w:rFonts w:ascii="Candara" w:hAnsi="Candara" w:cs="Times New Roman"/>
      <w:snapToGrid/>
      <w:sz w:val="24"/>
      <w:szCs w:val="22"/>
      <w:lang w:bidi="en-US"/>
    </w:rPr>
  </w:style>
  <w:style w:type="paragraph" w:customStyle="1" w:styleId="NormalNumberList">
    <w:name w:val="Normal Number List"/>
    <w:basedOn w:val="Normal"/>
    <w:uiPriority w:val="3"/>
    <w:qFormat/>
    <w:rsid w:val="003D6892"/>
    <w:pPr>
      <w:widowControl/>
      <w:numPr>
        <w:numId w:val="9"/>
      </w:numPr>
      <w:spacing w:after="240" w:line="276" w:lineRule="auto"/>
      <w:ind w:left="357" w:hanging="357"/>
      <w:contextualSpacing/>
    </w:pPr>
    <w:rPr>
      <w:rFonts w:ascii="Candara" w:hAnsi="Candara" w:cs="Times New Roman"/>
      <w:snapToGrid/>
      <w:sz w:val="24"/>
      <w:szCs w:val="22"/>
      <w:lang w:bidi="en-US"/>
    </w:rPr>
  </w:style>
  <w:style w:type="paragraph" w:customStyle="1" w:styleId="COMtblcap">
    <w:name w:val="COMtblcap"/>
    <w:basedOn w:val="Normal"/>
    <w:link w:val="COMtblcapChar"/>
    <w:qFormat/>
    <w:rsid w:val="008A77C2"/>
    <w:pPr>
      <w:keepNext/>
      <w:widowControl/>
    </w:pPr>
    <w:rPr>
      <w:rFonts w:cs="Times New Roman"/>
      <w:b/>
      <w:snapToGrid/>
      <w:sz w:val="20"/>
      <w:lang w:val="en-US"/>
    </w:rPr>
  </w:style>
  <w:style w:type="character" w:customStyle="1" w:styleId="COMtblcapChar">
    <w:name w:val="COMtblcap Char"/>
    <w:link w:val="COMtblcap"/>
    <w:rsid w:val="008A77C2"/>
    <w:rPr>
      <w:rFonts w:ascii="Arial" w:hAnsi="Arial" w:cs="Arial"/>
      <w:b/>
      <w:lang w:val="en-US" w:eastAsia="en-US"/>
    </w:rPr>
  </w:style>
  <w:style w:type="paragraph" w:customStyle="1" w:styleId="TableCentre">
    <w:name w:val="Table Centre"/>
    <w:basedOn w:val="Table"/>
    <w:qFormat/>
    <w:rsid w:val="00D70CAC"/>
    <w:pPr>
      <w:jc w:val="center"/>
    </w:pPr>
  </w:style>
  <w:style w:type="paragraph" w:customStyle="1" w:styleId="CaptionFootnote">
    <w:name w:val="Caption Footnote"/>
    <w:basedOn w:val="Caption"/>
    <w:qFormat/>
    <w:rsid w:val="00D70CAC"/>
    <w:pPr>
      <w:spacing w:after="0"/>
    </w:pPr>
    <w:rPr>
      <w:rFonts w:ascii="Candara" w:hAnsi="Candara"/>
      <w:b w:val="0"/>
      <w:snapToGrid/>
      <w:color w:val="auto"/>
      <w:sz w:val="16"/>
      <w:lang w:bidi="en-US"/>
    </w:rPr>
  </w:style>
  <w:style w:type="character" w:customStyle="1" w:styleId="SmallSubscript">
    <w:name w:val="Small Subscript"/>
    <w:uiPriority w:val="1"/>
    <w:qFormat/>
    <w:rsid w:val="00A57ED5"/>
    <w:rPr>
      <w:rFonts w:ascii="Candara" w:hAnsi="Candara"/>
      <w:b w:val="0"/>
      <w:sz w:val="20"/>
      <w:vertAlign w:val="subscript"/>
    </w:rPr>
  </w:style>
  <w:style w:type="paragraph" w:customStyle="1" w:styleId="NormalBulletList">
    <w:name w:val="Normal Bullet List"/>
    <w:basedOn w:val="Normal"/>
    <w:uiPriority w:val="99"/>
    <w:qFormat/>
    <w:rsid w:val="00EE7B96"/>
    <w:pPr>
      <w:widowControl/>
      <w:numPr>
        <w:numId w:val="12"/>
      </w:numPr>
      <w:spacing w:after="240" w:line="276" w:lineRule="auto"/>
      <w:contextualSpacing/>
    </w:pPr>
    <w:rPr>
      <w:rFonts w:ascii="Candara" w:hAnsi="Candara" w:cs="Times New Roman"/>
      <w:snapToGrid/>
      <w:sz w:val="24"/>
      <w:szCs w:val="22"/>
      <w:lang w:bidi="en-US"/>
    </w:rPr>
  </w:style>
  <w:style w:type="character" w:customStyle="1" w:styleId="Small">
    <w:name w:val="Small"/>
    <w:uiPriority w:val="4"/>
    <w:qFormat/>
    <w:rsid w:val="006B768D"/>
    <w:rPr>
      <w:rFonts w:ascii="Candara" w:hAnsi="Candara" w:hint="default"/>
      <w:sz w:val="20"/>
    </w:rPr>
  </w:style>
  <w:style w:type="paragraph" w:customStyle="1" w:styleId="PBACHeading10">
    <w:name w:val="PBAC Heading 1"/>
    <w:qFormat/>
    <w:rsid w:val="00C46E56"/>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0190">
      <w:bodyDiv w:val="1"/>
      <w:marLeft w:val="0"/>
      <w:marRight w:val="0"/>
      <w:marTop w:val="0"/>
      <w:marBottom w:val="0"/>
      <w:divBdr>
        <w:top w:val="none" w:sz="0" w:space="0" w:color="auto"/>
        <w:left w:val="none" w:sz="0" w:space="0" w:color="auto"/>
        <w:bottom w:val="none" w:sz="0" w:space="0" w:color="auto"/>
        <w:right w:val="none" w:sz="0" w:space="0" w:color="auto"/>
      </w:divBdr>
    </w:div>
    <w:div w:id="580211968">
      <w:bodyDiv w:val="1"/>
      <w:marLeft w:val="0"/>
      <w:marRight w:val="0"/>
      <w:marTop w:val="0"/>
      <w:marBottom w:val="0"/>
      <w:divBdr>
        <w:top w:val="none" w:sz="0" w:space="0" w:color="auto"/>
        <w:left w:val="none" w:sz="0" w:space="0" w:color="auto"/>
        <w:bottom w:val="none" w:sz="0" w:space="0" w:color="auto"/>
        <w:right w:val="none" w:sz="0" w:space="0" w:color="auto"/>
      </w:divBdr>
    </w:div>
    <w:div w:id="932669544">
      <w:bodyDiv w:val="1"/>
      <w:marLeft w:val="0"/>
      <w:marRight w:val="0"/>
      <w:marTop w:val="0"/>
      <w:marBottom w:val="0"/>
      <w:divBdr>
        <w:top w:val="none" w:sz="0" w:space="0" w:color="auto"/>
        <w:left w:val="none" w:sz="0" w:space="0" w:color="auto"/>
        <w:bottom w:val="none" w:sz="0" w:space="0" w:color="auto"/>
        <w:right w:val="none" w:sz="0" w:space="0" w:color="auto"/>
      </w:divBdr>
    </w:div>
    <w:div w:id="1291474676">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5923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Len10</b:Tag>
    <b:SourceType>JournalArticle</b:SourceType>
    <b:Guid>{50117972-B2CE-4135-8F4B-F12DC49A845D}</b:Guid>
    <b:Author>
      <b:Author>
        <b:NameList>
          <b:Person>
            <b:Last>Lennernäs</b:Last>
            <b:First>Frank-Lissbrant,</b:First>
            <b:Middle>Lennernäs, Kälkner, Derrick, Howell</b:Middle>
          </b:Person>
        </b:NameList>
      </b:Author>
    </b:Author>
    <b:Title>Sublingual administration of fentanyl to cancer patients is an effective treatment for breakthrough pain:results from a randomized phase II study</b:Title>
    <b:Year>2010</b:Year>
    <b:JournalName>Palliative Medicine</b:JournalName>
    <b:Pages>24(3) p 286-293</b:Pages>
    <b:RefOrder>17</b:RefOrder>
  </b:Source>
  <b:Source>
    <b:Tag>Ube12</b:Tag>
    <b:SourceType>ConferenceProceedings</b:SourceType>
    <b:Guid>{3725BF57-AFA9-41C8-A804-2250AF98DDA9}</b:Guid>
    <b:Title>Sublingual Fentanyl Tablets for BTCP - Efficacy in Non-Responders to Oral Morphine</b:Title>
    <b:Year>2011b</b:Year>
    <b:Author>
      <b:Author>
        <b:NameList>
          <b:Person>
            <b:Last>Uberall</b:Last>
            <b:First>M</b:First>
          </b:Person>
          <b:Person>
            <b:Last>Muller-Schwefe</b:Last>
            <b:First>Gerhard</b:First>
          </b:Person>
        </b:NameList>
      </b:Author>
    </b:Author>
    <b:RefOrder>18</b:RefOrder>
  </b:Source>
  <b:Source>
    <b:Tag>Vel14</b:Tag>
    <b:SourceType>JournalArticle</b:SourceType>
    <b:Guid>{2AE2AC97-FF8E-4608-A4A1-53405CFF6AB9}</b:Guid>
    <b:Author>
      <b:Author>
        <b:NameList>
          <b:Person>
            <b:Last>Velazquez Rivera</b:Last>
            <b:First>Ignacio</b:First>
          </b:Person>
          <b:Person>
            <b:Last>Munoz Garrido</b:Last>
            <b:First>Jose</b:First>
            <b:Middle>Carlos</b:Middle>
          </b:Person>
          <b:Person>
            <b:Last>Garcia Velasco</b:Last>
            <b:First>Pilar</b:First>
          </b:Person>
          <b:Person>
            <b:Last>de Enciso</b:Last>
            <b:First>Inmaculada</b:First>
          </b:Person>
          <b:Person>
            <b:Last>Clavarana</b:Last>
            <b:First>Loudes</b:First>
          </b:Person>
        </b:NameList>
      </b:Author>
    </b:Author>
    <b:Title>Efficacy of Sublingual Fentanyl vs. Oral Morphine for Cancer-Related Breakthrough Pain</b:Title>
    <b:JournalName>Advanced Therapeutics</b:JournalName>
    <b:Year>2014</b:Year>
    <b:Pages>31:107:117</b:Pages>
    <b:RefOrder>22</b:RefOrder>
  </b:Source>
  <b:Source>
    <b:Tag>Placeholder1</b:Tag>
    <b:SourceType>Report</b:SourceType>
    <b:Guid>{CF2F90F6-CF3C-451D-B52F-7ED947193041}</b:Guid>
    <b:Title>Palliative Care Trends</b:Title>
    <b:Year>2011</b:Year>
    <b:Publisher>AIHW</b:Publisher>
    <b:Author>
      <b:Author>
        <b:Corporate>AIHW</b:Corporate>
      </b:Author>
    </b:Author>
    <b:RefOrder>19</b:RefOrder>
  </b:Source>
  <b:Source>
    <b:Tag>Zep14</b:Tag>
    <b:SourceType>JournalArticle</b:SourceType>
    <b:Guid>{214A0070-98DE-4D21-A48D-1EDB3E541FB4}</b:Guid>
    <b:Author>
      <b:Author>
        <b:NameList>
          <b:Person>
            <b:Last>Zeppetella</b:Last>
            <b:First>G</b:First>
          </b:Person>
          <b:Person>
            <b:Last>Davies</b:Last>
            <b:First>A</b:First>
          </b:Person>
          <b:Person>
            <b:Last>Eijgelshoven</b:Last>
            <b:First>I</b:First>
          </b:Person>
          <b:Person>
            <b:Last>Jansen</b:Last>
            <b:First>JP</b:First>
          </b:Person>
        </b:NameList>
      </b:Author>
    </b:Author>
    <b:Title>A Network Meta-Analysis of the Efficacy of Opioid Analgesics for the Management of Breakthrough Cancer Pain Episodes</b:Title>
    <b:JournalName>Journal of Pain and Symptom Management</b:JournalName>
    <b:Year>2014</b:Year>
    <b:Pages>47 (4) 772-785</b:Pages>
    <b:RefOrder>23</b:RefOrder>
  </b:Source>
</b:Sources>
</file>

<file path=customXml/itemProps1.xml><?xml version="1.0" encoding="utf-8"?>
<ds:datastoreItem xmlns:ds="http://schemas.openxmlformats.org/officeDocument/2006/customXml" ds:itemID="{20C657AB-AFA6-417A-8467-BAC1EA5B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5427</Words>
  <Characters>32002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2015-10-23T01:42:00Z</dcterms:created>
  <dcterms:modified xsi:type="dcterms:W3CDTF">2015-10-23T03:13:00Z</dcterms:modified>
</cp:coreProperties>
</file>