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AD" w:rsidRPr="00EC63E9" w:rsidRDefault="00A92AAD" w:rsidP="00207D00">
      <w:pPr>
        <w:pStyle w:val="Heading1"/>
        <w:rPr>
          <w:sz w:val="28"/>
        </w:rPr>
      </w:pPr>
      <w:bookmarkStart w:id="0" w:name="_Toc419708473"/>
      <w:r w:rsidRPr="00EC63E9">
        <w:rPr>
          <w:sz w:val="28"/>
        </w:rPr>
        <w:t>5.06</w:t>
      </w:r>
      <w:r w:rsidR="0052537D" w:rsidRPr="00EC63E9">
        <w:rPr>
          <w:sz w:val="28"/>
        </w:rPr>
        <w:tab/>
        <w:t>FENTANYL CITRATE</w:t>
      </w:r>
      <w:bookmarkEnd w:id="0"/>
    </w:p>
    <w:p w:rsidR="00A92AAD" w:rsidRPr="00EC63E9" w:rsidRDefault="00A92AAD" w:rsidP="00F17306">
      <w:pPr>
        <w:pStyle w:val="BodyText"/>
        <w:ind w:firstLine="709"/>
        <w:rPr>
          <w:b/>
          <w:sz w:val="28"/>
        </w:rPr>
      </w:pPr>
      <w:r w:rsidRPr="00EC63E9">
        <w:rPr>
          <w:b/>
          <w:sz w:val="28"/>
        </w:rPr>
        <w:t>100 microgram tablet: buccal, 4</w:t>
      </w:r>
      <w:r w:rsidRPr="00EC63E9">
        <w:rPr>
          <w:b/>
          <w:caps/>
          <w:sz w:val="28"/>
        </w:rPr>
        <w:t xml:space="preserve"> &amp; 28</w:t>
      </w:r>
      <w:r w:rsidR="00E82C94" w:rsidRPr="00EC63E9">
        <w:rPr>
          <w:b/>
          <w:caps/>
          <w:sz w:val="28"/>
        </w:rPr>
        <w:t>,</w:t>
      </w:r>
    </w:p>
    <w:p w:rsidR="00A92AAD" w:rsidRPr="00EC63E9" w:rsidRDefault="00A92AAD" w:rsidP="00F17306">
      <w:pPr>
        <w:pStyle w:val="BodyText"/>
        <w:ind w:firstLine="709"/>
        <w:rPr>
          <w:b/>
          <w:sz w:val="28"/>
        </w:rPr>
      </w:pPr>
      <w:r w:rsidRPr="00EC63E9">
        <w:rPr>
          <w:b/>
          <w:sz w:val="28"/>
        </w:rPr>
        <w:t>200 microgram tablet: buccal, 4 &amp; 28</w:t>
      </w:r>
      <w:r w:rsidR="00E82C94" w:rsidRPr="00EC63E9">
        <w:rPr>
          <w:b/>
          <w:sz w:val="28"/>
        </w:rPr>
        <w:t>,</w:t>
      </w:r>
    </w:p>
    <w:p w:rsidR="00A92AAD" w:rsidRPr="00EC63E9" w:rsidRDefault="00A92AAD" w:rsidP="00F17306">
      <w:pPr>
        <w:pStyle w:val="BodyText"/>
        <w:ind w:firstLine="709"/>
        <w:rPr>
          <w:b/>
          <w:sz w:val="28"/>
        </w:rPr>
      </w:pPr>
      <w:r w:rsidRPr="00EC63E9">
        <w:rPr>
          <w:b/>
          <w:sz w:val="28"/>
        </w:rPr>
        <w:t>400 microgram tablet: buccal, 4 &amp; 28</w:t>
      </w:r>
      <w:r w:rsidR="00E82C94" w:rsidRPr="00EC63E9">
        <w:rPr>
          <w:b/>
          <w:sz w:val="28"/>
        </w:rPr>
        <w:t>,</w:t>
      </w:r>
    </w:p>
    <w:p w:rsidR="00A92AAD" w:rsidRPr="00EC63E9" w:rsidRDefault="00A92AAD" w:rsidP="00F17306">
      <w:pPr>
        <w:pStyle w:val="BodyText"/>
        <w:ind w:firstLine="709"/>
        <w:rPr>
          <w:b/>
          <w:sz w:val="28"/>
        </w:rPr>
      </w:pPr>
      <w:r w:rsidRPr="00EC63E9">
        <w:rPr>
          <w:b/>
          <w:sz w:val="28"/>
        </w:rPr>
        <w:t>600 microgram tablet: buccal, 4 &amp; 28</w:t>
      </w:r>
      <w:r w:rsidR="00E82C94" w:rsidRPr="00EC63E9">
        <w:rPr>
          <w:b/>
          <w:sz w:val="28"/>
        </w:rPr>
        <w:t>,</w:t>
      </w:r>
    </w:p>
    <w:p w:rsidR="00A92AAD" w:rsidRPr="00EC63E9" w:rsidRDefault="00A92AAD" w:rsidP="00F17306">
      <w:pPr>
        <w:pStyle w:val="BodyText"/>
        <w:ind w:firstLine="709"/>
        <w:rPr>
          <w:b/>
          <w:sz w:val="28"/>
        </w:rPr>
      </w:pPr>
      <w:r w:rsidRPr="00EC63E9">
        <w:rPr>
          <w:b/>
          <w:sz w:val="28"/>
        </w:rPr>
        <w:t>800 microgram tablet: buccal, 4 &amp; 28</w:t>
      </w:r>
      <w:r w:rsidR="00E82C94" w:rsidRPr="00EC63E9">
        <w:rPr>
          <w:b/>
          <w:sz w:val="28"/>
        </w:rPr>
        <w:t>,</w:t>
      </w:r>
    </w:p>
    <w:p w:rsidR="00B60939" w:rsidRPr="00EC63E9" w:rsidRDefault="0052537D" w:rsidP="00F17306">
      <w:pPr>
        <w:pStyle w:val="BodyText"/>
        <w:ind w:firstLine="709"/>
        <w:rPr>
          <w:b/>
          <w:sz w:val="28"/>
        </w:rPr>
      </w:pPr>
      <w:proofErr w:type="spellStart"/>
      <w:proofErr w:type="gramStart"/>
      <w:r w:rsidRPr="00EC63E9">
        <w:rPr>
          <w:b/>
          <w:sz w:val="28"/>
        </w:rPr>
        <w:t>Fentora</w:t>
      </w:r>
      <w:proofErr w:type="spellEnd"/>
      <w:r w:rsidR="00B60939" w:rsidRPr="00EC63E9">
        <w:rPr>
          <w:b/>
          <w:sz w:val="28"/>
        </w:rPr>
        <w:t xml:space="preserve">®, </w:t>
      </w:r>
      <w:proofErr w:type="spellStart"/>
      <w:r w:rsidR="00A92AAD" w:rsidRPr="00EC63E9">
        <w:rPr>
          <w:b/>
          <w:sz w:val="28"/>
        </w:rPr>
        <w:t>Teva</w:t>
      </w:r>
      <w:proofErr w:type="spellEnd"/>
      <w:r w:rsidR="00A92AAD" w:rsidRPr="00EC63E9">
        <w:rPr>
          <w:b/>
          <w:sz w:val="28"/>
        </w:rPr>
        <w:t xml:space="preserve"> Pharmaceuticals Australia Pty Ltd.</w:t>
      </w:r>
      <w:proofErr w:type="gramEnd"/>
    </w:p>
    <w:p w:rsidR="00A92AAD" w:rsidRPr="00EC63E9" w:rsidRDefault="00A92AAD" w:rsidP="00207D00"/>
    <w:p w:rsidR="00B50DB8" w:rsidRPr="00EC63E9" w:rsidRDefault="00B50DB8" w:rsidP="00BD6CF3">
      <w:pPr>
        <w:pStyle w:val="PBACHeading1"/>
      </w:pPr>
      <w:bookmarkStart w:id="1" w:name="_Toc419708475"/>
      <w:r w:rsidRPr="00EC63E9">
        <w:t xml:space="preserve">Purpose of </w:t>
      </w:r>
      <w:r w:rsidR="00662A9E" w:rsidRPr="00EC63E9">
        <w:t>a</w:t>
      </w:r>
      <w:r w:rsidRPr="00EC63E9">
        <w:t>pplication</w:t>
      </w:r>
      <w:bookmarkEnd w:id="1"/>
    </w:p>
    <w:p w:rsidR="00B60939" w:rsidRPr="00EC63E9" w:rsidRDefault="00B60939" w:rsidP="00B60939">
      <w:pPr>
        <w:rPr>
          <w:szCs w:val="22"/>
        </w:rPr>
      </w:pPr>
    </w:p>
    <w:p w:rsidR="002C2775" w:rsidRPr="00EC63E9" w:rsidRDefault="001954FB" w:rsidP="00B77ED1">
      <w:pPr>
        <w:pStyle w:val="ListParagraph"/>
        <w:numPr>
          <w:ilvl w:val="1"/>
          <w:numId w:val="1"/>
        </w:numPr>
      </w:pPr>
      <w:r w:rsidRPr="00EC63E9">
        <w:t>Authority Required (Palliative Care Schedule) listing for fentanyl buccal tablets for treatment of breakthrough cancer pain.</w:t>
      </w:r>
    </w:p>
    <w:p w:rsidR="004E43B2" w:rsidRPr="00EC63E9" w:rsidRDefault="004E43B2" w:rsidP="004B1CB4"/>
    <w:p w:rsidR="00A92AAD" w:rsidRPr="00EC63E9" w:rsidRDefault="00A92AAD" w:rsidP="004B1CB4"/>
    <w:p w:rsidR="00B50DB8" w:rsidRPr="00EC63E9" w:rsidRDefault="00B50DB8" w:rsidP="00BD6CF3">
      <w:pPr>
        <w:pStyle w:val="PBACHeading1"/>
      </w:pPr>
      <w:bookmarkStart w:id="2" w:name="_Toc419708476"/>
      <w:r w:rsidRPr="00EC63E9">
        <w:t>Requested listing</w:t>
      </w:r>
      <w:bookmarkEnd w:id="2"/>
    </w:p>
    <w:p w:rsidR="00617E12" w:rsidRPr="00EC63E9" w:rsidRDefault="00617E12" w:rsidP="00291253">
      <w:pPr>
        <w:widowControl/>
        <w:rPr>
          <w:szCs w:val="22"/>
        </w:rPr>
      </w:pPr>
    </w:p>
    <w:tbl>
      <w:tblPr>
        <w:tblW w:w="4604" w:type="pct"/>
        <w:tblInd w:w="737" w:type="dxa"/>
        <w:tblLayout w:type="fixed"/>
        <w:tblCellMar>
          <w:left w:w="28" w:type="dxa"/>
          <w:right w:w="28" w:type="dxa"/>
        </w:tblCellMar>
        <w:tblLook w:val="0000" w:firstRow="0" w:lastRow="0" w:firstColumn="0" w:lastColumn="0" w:noHBand="0" w:noVBand="0"/>
      </w:tblPr>
      <w:tblGrid>
        <w:gridCol w:w="3403"/>
        <w:gridCol w:w="567"/>
        <w:gridCol w:w="851"/>
        <w:gridCol w:w="1372"/>
        <w:gridCol w:w="1039"/>
        <w:gridCol w:w="1132"/>
      </w:tblGrid>
      <w:tr w:rsidR="00291253" w:rsidRPr="00EC63E9" w:rsidTr="009D3A10">
        <w:trPr>
          <w:cantSplit/>
          <w:trHeight w:val="463"/>
        </w:trPr>
        <w:tc>
          <w:tcPr>
            <w:tcW w:w="2034" w:type="pct"/>
            <w:vAlign w:val="center"/>
          </w:tcPr>
          <w:p w:rsidR="00617E12" w:rsidRPr="007829AE" w:rsidRDefault="00617E12" w:rsidP="00617E12">
            <w:pPr>
              <w:keepNext/>
              <w:jc w:val="left"/>
              <w:rPr>
                <w:rFonts w:ascii="Arial Narrow" w:hAnsi="Arial Narrow"/>
                <w:sz w:val="20"/>
              </w:rPr>
            </w:pPr>
            <w:r w:rsidRPr="007829AE">
              <w:rPr>
                <w:rFonts w:ascii="Arial Narrow" w:hAnsi="Arial Narrow"/>
                <w:sz w:val="20"/>
              </w:rPr>
              <w:t>Name, Restriction,</w:t>
            </w:r>
          </w:p>
          <w:p w:rsidR="00617E12" w:rsidRPr="007829AE" w:rsidRDefault="00617E12" w:rsidP="00617E12">
            <w:pPr>
              <w:keepNext/>
              <w:jc w:val="left"/>
              <w:rPr>
                <w:rFonts w:ascii="Arial Narrow" w:hAnsi="Arial Narrow"/>
                <w:sz w:val="20"/>
              </w:rPr>
            </w:pPr>
            <w:r w:rsidRPr="007829AE">
              <w:rPr>
                <w:rFonts w:ascii="Arial Narrow" w:hAnsi="Arial Narrow"/>
                <w:sz w:val="20"/>
              </w:rPr>
              <w:t>Manner of administration and form</w:t>
            </w:r>
          </w:p>
        </w:tc>
        <w:tc>
          <w:tcPr>
            <w:tcW w:w="339" w:type="pct"/>
            <w:vAlign w:val="center"/>
          </w:tcPr>
          <w:p w:rsidR="00617E12" w:rsidRPr="007829AE" w:rsidRDefault="00617E12" w:rsidP="00291253">
            <w:pPr>
              <w:keepNext/>
              <w:jc w:val="center"/>
              <w:rPr>
                <w:rFonts w:ascii="Arial Narrow" w:hAnsi="Arial Narrow"/>
                <w:sz w:val="20"/>
              </w:rPr>
            </w:pPr>
            <w:r w:rsidRPr="007829AE">
              <w:rPr>
                <w:rFonts w:ascii="Arial Narrow" w:hAnsi="Arial Narrow"/>
                <w:sz w:val="20"/>
              </w:rPr>
              <w:t>Max.</w:t>
            </w:r>
          </w:p>
          <w:p w:rsidR="00617E12" w:rsidRPr="007829AE" w:rsidRDefault="00617E12" w:rsidP="00291253">
            <w:pPr>
              <w:keepNext/>
              <w:jc w:val="center"/>
              <w:rPr>
                <w:rFonts w:ascii="Arial Narrow" w:hAnsi="Arial Narrow"/>
                <w:sz w:val="20"/>
              </w:rPr>
            </w:pPr>
            <w:r w:rsidRPr="007829AE">
              <w:rPr>
                <w:rFonts w:ascii="Arial Narrow" w:hAnsi="Arial Narrow"/>
                <w:sz w:val="20"/>
              </w:rPr>
              <w:t>Qty</w:t>
            </w:r>
          </w:p>
        </w:tc>
        <w:tc>
          <w:tcPr>
            <w:tcW w:w="509" w:type="pct"/>
            <w:vAlign w:val="center"/>
          </w:tcPr>
          <w:p w:rsidR="00617E12" w:rsidRPr="007829AE" w:rsidRDefault="00617E12" w:rsidP="00291253">
            <w:pPr>
              <w:keepNext/>
              <w:jc w:val="center"/>
              <w:rPr>
                <w:rFonts w:ascii="Arial Narrow" w:hAnsi="Arial Narrow"/>
                <w:sz w:val="20"/>
              </w:rPr>
            </w:pPr>
            <w:r w:rsidRPr="007829AE">
              <w:rPr>
                <w:rFonts w:ascii="Arial Narrow" w:hAnsi="Arial Narrow"/>
                <w:sz w:val="20"/>
              </w:rPr>
              <w:t>№.of</w:t>
            </w:r>
          </w:p>
          <w:p w:rsidR="00617E12" w:rsidRPr="007829AE" w:rsidRDefault="00617E12" w:rsidP="00291253">
            <w:pPr>
              <w:keepNext/>
              <w:jc w:val="center"/>
              <w:rPr>
                <w:rFonts w:ascii="Arial Narrow" w:hAnsi="Arial Narrow"/>
                <w:sz w:val="20"/>
              </w:rPr>
            </w:pPr>
            <w:r w:rsidRPr="007829AE">
              <w:rPr>
                <w:rFonts w:ascii="Arial Narrow" w:hAnsi="Arial Narrow"/>
                <w:sz w:val="20"/>
              </w:rPr>
              <w:t>Rpts</w:t>
            </w:r>
          </w:p>
        </w:tc>
        <w:tc>
          <w:tcPr>
            <w:tcW w:w="820" w:type="pct"/>
            <w:vAlign w:val="center"/>
          </w:tcPr>
          <w:p w:rsidR="00617E12" w:rsidRPr="007829AE" w:rsidRDefault="00617E12" w:rsidP="00617E12">
            <w:pPr>
              <w:keepNext/>
              <w:jc w:val="center"/>
              <w:rPr>
                <w:rFonts w:ascii="Arial Narrow" w:hAnsi="Arial Narrow"/>
                <w:sz w:val="20"/>
              </w:rPr>
            </w:pPr>
          </w:p>
        </w:tc>
        <w:tc>
          <w:tcPr>
            <w:tcW w:w="1298" w:type="pct"/>
            <w:gridSpan w:val="2"/>
            <w:vAlign w:val="center"/>
          </w:tcPr>
          <w:p w:rsidR="00617E12" w:rsidRPr="007829AE" w:rsidRDefault="00617E12" w:rsidP="00617E12">
            <w:pPr>
              <w:keepNext/>
              <w:jc w:val="center"/>
              <w:rPr>
                <w:rFonts w:ascii="Arial Narrow" w:hAnsi="Arial Narrow"/>
                <w:sz w:val="20"/>
                <w:lang w:val="fr-FR"/>
              </w:rPr>
            </w:pPr>
            <w:r w:rsidRPr="007829AE">
              <w:rPr>
                <w:rFonts w:ascii="Arial Narrow" w:hAnsi="Arial Narrow"/>
                <w:sz w:val="20"/>
              </w:rPr>
              <w:t>Proprietary Name and Manufacturer</w:t>
            </w:r>
          </w:p>
        </w:tc>
      </w:tr>
      <w:tr w:rsidR="00291253" w:rsidRPr="00EC63E9" w:rsidTr="009D3A10">
        <w:trPr>
          <w:cantSplit/>
          <w:trHeight w:val="281"/>
        </w:trPr>
        <w:tc>
          <w:tcPr>
            <w:tcW w:w="2034" w:type="pct"/>
            <w:vAlign w:val="center"/>
          </w:tcPr>
          <w:p w:rsidR="00617E12" w:rsidRPr="007829AE" w:rsidRDefault="009D3A10" w:rsidP="009D3A10">
            <w:pPr>
              <w:keepNext/>
              <w:jc w:val="left"/>
              <w:rPr>
                <w:rFonts w:ascii="Arial Narrow" w:hAnsi="Arial Narrow"/>
                <w:sz w:val="20"/>
              </w:rPr>
            </w:pPr>
            <w:r w:rsidRPr="007829AE">
              <w:rPr>
                <w:rFonts w:ascii="Arial Narrow" w:hAnsi="Arial Narrow"/>
                <w:smallCaps/>
                <w:sz w:val="20"/>
              </w:rPr>
              <w:t>fentanyl citrate</w:t>
            </w:r>
          </w:p>
        </w:tc>
        <w:tc>
          <w:tcPr>
            <w:tcW w:w="339" w:type="pct"/>
            <w:vAlign w:val="center"/>
          </w:tcPr>
          <w:p w:rsidR="00ED04EF" w:rsidRPr="007829AE" w:rsidRDefault="00ED04EF" w:rsidP="009D3A10">
            <w:pPr>
              <w:keepNext/>
              <w:rPr>
                <w:rFonts w:ascii="Arial Narrow" w:hAnsi="Arial Narrow"/>
                <w:sz w:val="20"/>
              </w:rPr>
            </w:pPr>
          </w:p>
        </w:tc>
        <w:tc>
          <w:tcPr>
            <w:tcW w:w="509" w:type="pct"/>
            <w:vAlign w:val="center"/>
          </w:tcPr>
          <w:p w:rsidR="00ED04EF" w:rsidRPr="007829AE" w:rsidRDefault="00ED04EF" w:rsidP="009D3A10">
            <w:pPr>
              <w:keepNext/>
              <w:rPr>
                <w:rFonts w:ascii="Arial Narrow" w:hAnsi="Arial Narrow"/>
                <w:sz w:val="20"/>
              </w:rPr>
            </w:pPr>
          </w:p>
        </w:tc>
        <w:tc>
          <w:tcPr>
            <w:tcW w:w="820" w:type="pct"/>
            <w:vAlign w:val="center"/>
          </w:tcPr>
          <w:p w:rsidR="00ED04EF" w:rsidRPr="007829AE" w:rsidRDefault="00ED04EF" w:rsidP="009D3A10">
            <w:pPr>
              <w:keepNext/>
              <w:rPr>
                <w:rFonts w:ascii="Arial Narrow" w:hAnsi="Arial Narrow"/>
                <w:sz w:val="20"/>
              </w:rPr>
            </w:pPr>
          </w:p>
        </w:tc>
        <w:tc>
          <w:tcPr>
            <w:tcW w:w="621" w:type="pct"/>
            <w:vAlign w:val="center"/>
          </w:tcPr>
          <w:p w:rsidR="00291253" w:rsidRPr="007829AE" w:rsidRDefault="00291253" w:rsidP="009D3A10">
            <w:pPr>
              <w:keepNext/>
              <w:rPr>
                <w:rFonts w:ascii="Arial Narrow" w:hAnsi="Arial Narrow"/>
                <w:sz w:val="20"/>
              </w:rPr>
            </w:pPr>
            <w:proofErr w:type="spellStart"/>
            <w:r w:rsidRPr="007829AE">
              <w:rPr>
                <w:rFonts w:ascii="Arial Narrow" w:hAnsi="Arial Narrow"/>
                <w:sz w:val="20"/>
              </w:rPr>
              <w:t>Fentora</w:t>
            </w:r>
            <w:proofErr w:type="spellEnd"/>
            <w:r w:rsidRPr="007829AE">
              <w:rPr>
                <w:rFonts w:ascii="Arial Narrow" w:hAnsi="Arial Narrow"/>
                <w:sz w:val="20"/>
                <w:vertAlign w:val="superscript"/>
              </w:rPr>
              <w:t>®</w:t>
            </w:r>
          </w:p>
        </w:tc>
        <w:tc>
          <w:tcPr>
            <w:tcW w:w="677" w:type="pct"/>
            <w:vAlign w:val="center"/>
          </w:tcPr>
          <w:p w:rsidR="00291253" w:rsidRPr="007829AE" w:rsidRDefault="00291253" w:rsidP="009D3A10">
            <w:pPr>
              <w:keepNext/>
              <w:jc w:val="center"/>
              <w:rPr>
                <w:rFonts w:ascii="Arial Narrow" w:hAnsi="Arial Narrow"/>
                <w:sz w:val="20"/>
              </w:rPr>
            </w:pPr>
            <w:proofErr w:type="spellStart"/>
            <w:r w:rsidRPr="007829AE">
              <w:rPr>
                <w:rFonts w:ascii="Arial Narrow" w:hAnsi="Arial Narrow"/>
                <w:sz w:val="20"/>
              </w:rPr>
              <w:t>Teva</w:t>
            </w:r>
            <w:proofErr w:type="spellEnd"/>
          </w:p>
        </w:tc>
      </w:tr>
      <w:tr w:rsidR="009D3A10" w:rsidRPr="00EC63E9" w:rsidTr="009D3A10">
        <w:trPr>
          <w:cantSplit/>
          <w:trHeight w:val="567"/>
        </w:trPr>
        <w:tc>
          <w:tcPr>
            <w:tcW w:w="2034" w:type="pct"/>
            <w:vAlign w:val="center"/>
          </w:tcPr>
          <w:p w:rsidR="009D3A10" w:rsidRPr="007829AE" w:rsidRDefault="009D3A10" w:rsidP="009D3A10">
            <w:pPr>
              <w:keepNext/>
              <w:jc w:val="left"/>
              <w:rPr>
                <w:rFonts w:ascii="Arial Narrow" w:hAnsi="Arial Narrow"/>
                <w:sz w:val="20"/>
              </w:rPr>
            </w:pPr>
            <w:r w:rsidRPr="007829AE">
              <w:rPr>
                <w:rFonts w:ascii="Arial Narrow" w:hAnsi="Arial Narrow"/>
                <w:sz w:val="20"/>
              </w:rPr>
              <w:t>Oral (buccal) disintegrating tablet</w:t>
            </w:r>
          </w:p>
          <w:p w:rsidR="009D3A10" w:rsidRPr="007829AE" w:rsidRDefault="009D3A10" w:rsidP="009D3A10">
            <w:pPr>
              <w:keepNext/>
              <w:jc w:val="left"/>
              <w:rPr>
                <w:rFonts w:ascii="Arial Narrow" w:hAnsi="Arial Narrow"/>
                <w:sz w:val="20"/>
              </w:rPr>
            </w:pPr>
            <w:r w:rsidRPr="007829AE">
              <w:rPr>
                <w:rFonts w:ascii="Arial Narrow" w:hAnsi="Arial Narrow"/>
                <w:sz w:val="20"/>
              </w:rPr>
              <w:t>100mcg titration pack</w:t>
            </w:r>
          </w:p>
          <w:p w:rsidR="009D3A10" w:rsidRPr="007829AE" w:rsidRDefault="009D3A10" w:rsidP="009D3A10">
            <w:pPr>
              <w:keepNext/>
              <w:jc w:val="left"/>
              <w:rPr>
                <w:rFonts w:ascii="Arial Narrow" w:hAnsi="Arial Narrow"/>
                <w:sz w:val="20"/>
              </w:rPr>
            </w:pPr>
            <w:r w:rsidRPr="007829AE">
              <w:rPr>
                <w:rFonts w:ascii="Arial Narrow" w:hAnsi="Arial Narrow"/>
                <w:sz w:val="20"/>
              </w:rPr>
              <w:t>200mcg titration pack</w:t>
            </w:r>
          </w:p>
          <w:p w:rsidR="009D3A10" w:rsidRPr="007829AE" w:rsidRDefault="009D3A10" w:rsidP="009D3A10">
            <w:pPr>
              <w:keepNext/>
              <w:jc w:val="left"/>
              <w:rPr>
                <w:rFonts w:ascii="Arial Narrow" w:hAnsi="Arial Narrow"/>
                <w:sz w:val="20"/>
              </w:rPr>
            </w:pPr>
            <w:r w:rsidRPr="007829AE">
              <w:rPr>
                <w:rFonts w:ascii="Arial Narrow" w:hAnsi="Arial Narrow"/>
                <w:sz w:val="20"/>
              </w:rPr>
              <w:t>400mcg titration pack</w:t>
            </w:r>
          </w:p>
          <w:p w:rsidR="009D3A10" w:rsidRPr="007829AE" w:rsidRDefault="009D3A10" w:rsidP="009D3A10">
            <w:pPr>
              <w:keepNext/>
              <w:jc w:val="left"/>
              <w:rPr>
                <w:rFonts w:ascii="Arial Narrow" w:hAnsi="Arial Narrow"/>
                <w:sz w:val="20"/>
              </w:rPr>
            </w:pPr>
            <w:r w:rsidRPr="007829AE">
              <w:rPr>
                <w:rFonts w:ascii="Arial Narrow" w:hAnsi="Arial Narrow"/>
                <w:sz w:val="20"/>
              </w:rPr>
              <w:t>600mcg titration pack</w:t>
            </w:r>
          </w:p>
          <w:p w:rsidR="009D3A10" w:rsidRPr="007829AE" w:rsidRDefault="009D3A10" w:rsidP="009D3A10">
            <w:pPr>
              <w:keepNext/>
              <w:jc w:val="left"/>
              <w:rPr>
                <w:rFonts w:ascii="Arial Narrow" w:hAnsi="Arial Narrow"/>
                <w:sz w:val="20"/>
              </w:rPr>
            </w:pPr>
            <w:r w:rsidRPr="007829AE">
              <w:rPr>
                <w:rFonts w:ascii="Arial Narrow" w:hAnsi="Arial Narrow"/>
                <w:sz w:val="20"/>
              </w:rPr>
              <w:t>800mcg titration pack</w:t>
            </w:r>
          </w:p>
          <w:p w:rsidR="009D3A10" w:rsidRPr="007829AE" w:rsidRDefault="009D3A10" w:rsidP="00617E12">
            <w:pPr>
              <w:keepNext/>
              <w:jc w:val="left"/>
              <w:rPr>
                <w:rFonts w:ascii="Arial Narrow" w:hAnsi="Arial Narrow"/>
                <w:smallCaps/>
                <w:sz w:val="20"/>
              </w:rPr>
            </w:pPr>
          </w:p>
        </w:tc>
        <w:tc>
          <w:tcPr>
            <w:tcW w:w="339" w:type="pct"/>
            <w:vAlign w:val="center"/>
          </w:tcPr>
          <w:p w:rsidR="009D3A10" w:rsidRPr="007829AE" w:rsidRDefault="009D3A10" w:rsidP="00617E12">
            <w:pPr>
              <w:keepNext/>
              <w:jc w:val="center"/>
              <w:rPr>
                <w:rFonts w:ascii="Arial Narrow" w:hAnsi="Arial Narrow"/>
                <w:sz w:val="20"/>
              </w:rPr>
            </w:pPr>
            <w:r>
              <w:rPr>
                <w:rFonts w:ascii="Arial Narrow" w:hAnsi="Arial Narrow"/>
                <w:sz w:val="20"/>
              </w:rPr>
              <w:t>8</w:t>
            </w:r>
          </w:p>
        </w:tc>
        <w:tc>
          <w:tcPr>
            <w:tcW w:w="509" w:type="pct"/>
            <w:vAlign w:val="center"/>
          </w:tcPr>
          <w:p w:rsidR="009D3A10" w:rsidRPr="007829AE" w:rsidRDefault="009D3A10" w:rsidP="00617E12">
            <w:pPr>
              <w:keepNext/>
              <w:jc w:val="center"/>
              <w:rPr>
                <w:rFonts w:ascii="Arial Narrow" w:hAnsi="Arial Narrow"/>
                <w:sz w:val="20"/>
              </w:rPr>
            </w:pPr>
            <w:r>
              <w:rPr>
                <w:rFonts w:ascii="Arial Narrow" w:hAnsi="Arial Narrow"/>
                <w:sz w:val="20"/>
              </w:rPr>
              <w:t>0</w:t>
            </w:r>
          </w:p>
        </w:tc>
        <w:tc>
          <w:tcPr>
            <w:tcW w:w="820" w:type="pct"/>
            <w:vAlign w:val="center"/>
          </w:tcPr>
          <w:p w:rsidR="009D3A10" w:rsidRPr="007829AE" w:rsidRDefault="009D3A10" w:rsidP="00617E12">
            <w:pPr>
              <w:keepNext/>
              <w:jc w:val="center"/>
              <w:rPr>
                <w:rFonts w:ascii="Arial Narrow" w:hAnsi="Arial Narrow"/>
                <w:sz w:val="20"/>
              </w:rPr>
            </w:pPr>
          </w:p>
        </w:tc>
        <w:tc>
          <w:tcPr>
            <w:tcW w:w="621" w:type="pct"/>
            <w:vAlign w:val="center"/>
          </w:tcPr>
          <w:p w:rsidR="009D3A10" w:rsidRPr="007829AE" w:rsidRDefault="009D3A10" w:rsidP="00617E12">
            <w:pPr>
              <w:keepNext/>
              <w:jc w:val="center"/>
              <w:rPr>
                <w:rFonts w:ascii="Arial Narrow" w:hAnsi="Arial Narrow"/>
                <w:sz w:val="20"/>
              </w:rPr>
            </w:pPr>
          </w:p>
        </w:tc>
        <w:tc>
          <w:tcPr>
            <w:tcW w:w="677" w:type="pct"/>
            <w:vAlign w:val="center"/>
          </w:tcPr>
          <w:p w:rsidR="009D3A10" w:rsidRPr="007829AE" w:rsidRDefault="009D3A10" w:rsidP="00617E12">
            <w:pPr>
              <w:keepNext/>
              <w:jc w:val="center"/>
              <w:rPr>
                <w:rFonts w:ascii="Arial Narrow" w:hAnsi="Arial Narrow"/>
                <w:sz w:val="20"/>
              </w:rPr>
            </w:pPr>
          </w:p>
        </w:tc>
      </w:tr>
      <w:tr w:rsidR="009D3A10" w:rsidRPr="00EC63E9" w:rsidTr="009D3A10">
        <w:trPr>
          <w:cantSplit/>
          <w:trHeight w:val="567"/>
        </w:trPr>
        <w:tc>
          <w:tcPr>
            <w:tcW w:w="2034" w:type="pct"/>
            <w:vAlign w:val="center"/>
          </w:tcPr>
          <w:p w:rsidR="009D3A10" w:rsidRPr="007829AE" w:rsidRDefault="009D3A10" w:rsidP="009D3A10">
            <w:pPr>
              <w:keepNext/>
              <w:jc w:val="left"/>
              <w:rPr>
                <w:rFonts w:ascii="Arial Narrow" w:hAnsi="Arial Narrow"/>
                <w:sz w:val="20"/>
              </w:rPr>
            </w:pPr>
            <w:r w:rsidRPr="007829AE">
              <w:rPr>
                <w:rFonts w:ascii="Arial Narrow" w:hAnsi="Arial Narrow"/>
                <w:sz w:val="20"/>
              </w:rPr>
              <w:t>Oral (buccal) disintegrating tablet</w:t>
            </w:r>
          </w:p>
          <w:p w:rsidR="009D3A10" w:rsidRPr="007829AE" w:rsidRDefault="009D3A10" w:rsidP="009D3A10">
            <w:pPr>
              <w:keepNext/>
              <w:jc w:val="left"/>
              <w:rPr>
                <w:rFonts w:ascii="Arial Narrow" w:hAnsi="Arial Narrow"/>
                <w:sz w:val="20"/>
              </w:rPr>
            </w:pPr>
            <w:r w:rsidRPr="007829AE">
              <w:rPr>
                <w:rFonts w:ascii="Arial Narrow" w:hAnsi="Arial Narrow"/>
                <w:sz w:val="20"/>
              </w:rPr>
              <w:t>100mcg maintenance pack</w:t>
            </w:r>
          </w:p>
          <w:p w:rsidR="009D3A10" w:rsidRPr="007829AE" w:rsidRDefault="009D3A10" w:rsidP="009D3A10">
            <w:pPr>
              <w:keepNext/>
              <w:jc w:val="left"/>
              <w:rPr>
                <w:rFonts w:ascii="Arial Narrow" w:hAnsi="Arial Narrow"/>
                <w:sz w:val="20"/>
              </w:rPr>
            </w:pPr>
            <w:r w:rsidRPr="007829AE">
              <w:rPr>
                <w:rFonts w:ascii="Arial Narrow" w:hAnsi="Arial Narrow"/>
                <w:sz w:val="20"/>
              </w:rPr>
              <w:t>200mcg maintenance pack</w:t>
            </w:r>
          </w:p>
          <w:p w:rsidR="009D3A10" w:rsidRPr="007829AE" w:rsidRDefault="009D3A10" w:rsidP="009D3A10">
            <w:pPr>
              <w:keepNext/>
              <w:jc w:val="left"/>
              <w:rPr>
                <w:rFonts w:ascii="Arial Narrow" w:hAnsi="Arial Narrow"/>
                <w:sz w:val="20"/>
              </w:rPr>
            </w:pPr>
            <w:r w:rsidRPr="007829AE">
              <w:rPr>
                <w:rFonts w:ascii="Arial Narrow" w:hAnsi="Arial Narrow"/>
                <w:sz w:val="20"/>
              </w:rPr>
              <w:t>400mcg maintenance pack</w:t>
            </w:r>
          </w:p>
          <w:p w:rsidR="009D3A10" w:rsidRPr="007829AE" w:rsidRDefault="009D3A10" w:rsidP="009D3A10">
            <w:pPr>
              <w:keepNext/>
              <w:jc w:val="left"/>
              <w:rPr>
                <w:rFonts w:ascii="Arial Narrow" w:hAnsi="Arial Narrow"/>
                <w:sz w:val="20"/>
              </w:rPr>
            </w:pPr>
            <w:r w:rsidRPr="007829AE">
              <w:rPr>
                <w:rFonts w:ascii="Arial Narrow" w:hAnsi="Arial Narrow"/>
                <w:sz w:val="20"/>
              </w:rPr>
              <w:t>600mcg maintenance pack</w:t>
            </w:r>
          </w:p>
          <w:p w:rsidR="009D3A10" w:rsidRDefault="009D3A10" w:rsidP="009D3A10">
            <w:pPr>
              <w:keepNext/>
              <w:jc w:val="left"/>
              <w:rPr>
                <w:rFonts w:ascii="Arial Narrow" w:hAnsi="Arial Narrow"/>
                <w:sz w:val="20"/>
              </w:rPr>
            </w:pPr>
            <w:r w:rsidRPr="007829AE">
              <w:rPr>
                <w:rFonts w:ascii="Arial Narrow" w:hAnsi="Arial Narrow"/>
                <w:sz w:val="20"/>
              </w:rPr>
              <w:t>800mcg maintenance pack</w:t>
            </w:r>
          </w:p>
          <w:p w:rsidR="00FE4B88" w:rsidRPr="007829AE" w:rsidRDefault="00FE4B88" w:rsidP="009D3A10">
            <w:pPr>
              <w:keepNext/>
              <w:jc w:val="left"/>
              <w:rPr>
                <w:rFonts w:ascii="Arial Narrow" w:hAnsi="Arial Narrow"/>
                <w:smallCaps/>
                <w:sz w:val="20"/>
              </w:rPr>
            </w:pPr>
          </w:p>
        </w:tc>
        <w:tc>
          <w:tcPr>
            <w:tcW w:w="339" w:type="pct"/>
            <w:vAlign w:val="center"/>
          </w:tcPr>
          <w:p w:rsidR="009D3A10" w:rsidRPr="007829AE" w:rsidRDefault="009D3A10" w:rsidP="00617E12">
            <w:pPr>
              <w:keepNext/>
              <w:jc w:val="center"/>
              <w:rPr>
                <w:rFonts w:ascii="Arial Narrow" w:hAnsi="Arial Narrow"/>
                <w:sz w:val="20"/>
              </w:rPr>
            </w:pPr>
            <w:r>
              <w:rPr>
                <w:rFonts w:ascii="Arial Narrow" w:hAnsi="Arial Narrow"/>
                <w:sz w:val="20"/>
              </w:rPr>
              <w:t>56</w:t>
            </w:r>
          </w:p>
        </w:tc>
        <w:tc>
          <w:tcPr>
            <w:tcW w:w="509" w:type="pct"/>
            <w:vAlign w:val="center"/>
          </w:tcPr>
          <w:p w:rsidR="009D3A10" w:rsidRPr="007829AE" w:rsidRDefault="009D3A10" w:rsidP="00617E12">
            <w:pPr>
              <w:keepNext/>
              <w:jc w:val="center"/>
              <w:rPr>
                <w:rFonts w:ascii="Arial Narrow" w:hAnsi="Arial Narrow"/>
                <w:sz w:val="20"/>
              </w:rPr>
            </w:pPr>
            <w:r>
              <w:rPr>
                <w:rFonts w:ascii="Arial Narrow" w:hAnsi="Arial Narrow"/>
                <w:sz w:val="20"/>
              </w:rPr>
              <w:t>0</w:t>
            </w:r>
          </w:p>
        </w:tc>
        <w:tc>
          <w:tcPr>
            <w:tcW w:w="820" w:type="pct"/>
            <w:vAlign w:val="center"/>
          </w:tcPr>
          <w:p w:rsidR="009D3A10" w:rsidRPr="007829AE" w:rsidRDefault="009D3A10" w:rsidP="00617E12">
            <w:pPr>
              <w:keepNext/>
              <w:jc w:val="center"/>
              <w:rPr>
                <w:rFonts w:ascii="Arial Narrow" w:hAnsi="Arial Narrow"/>
                <w:sz w:val="20"/>
              </w:rPr>
            </w:pPr>
          </w:p>
        </w:tc>
        <w:tc>
          <w:tcPr>
            <w:tcW w:w="621" w:type="pct"/>
            <w:vAlign w:val="center"/>
          </w:tcPr>
          <w:p w:rsidR="009D3A10" w:rsidRPr="007829AE" w:rsidRDefault="009D3A10" w:rsidP="00617E12">
            <w:pPr>
              <w:keepNext/>
              <w:jc w:val="center"/>
              <w:rPr>
                <w:rFonts w:ascii="Arial Narrow" w:hAnsi="Arial Narrow"/>
                <w:sz w:val="20"/>
              </w:rPr>
            </w:pPr>
          </w:p>
        </w:tc>
        <w:tc>
          <w:tcPr>
            <w:tcW w:w="677" w:type="pct"/>
            <w:vAlign w:val="center"/>
          </w:tcPr>
          <w:p w:rsidR="009D3A10" w:rsidRPr="007829AE" w:rsidRDefault="009D3A10" w:rsidP="00617E12">
            <w:pPr>
              <w:keepNext/>
              <w:jc w:val="center"/>
              <w:rPr>
                <w:rFonts w:ascii="Arial Narrow" w:hAnsi="Arial Narrow"/>
                <w:sz w:val="20"/>
              </w:rPr>
            </w:pPr>
          </w:p>
        </w:tc>
      </w:tr>
      <w:tr w:rsidR="00617E12" w:rsidRPr="00EC63E9" w:rsidTr="009D3A10">
        <w:trPr>
          <w:cantSplit/>
          <w:trHeight w:val="354"/>
        </w:trPr>
        <w:tc>
          <w:tcPr>
            <w:tcW w:w="5000" w:type="pct"/>
            <w:gridSpan w:val="6"/>
            <w:vAlign w:val="center"/>
          </w:tcPr>
          <w:p w:rsidR="00617E12" w:rsidRPr="00EC63E9" w:rsidRDefault="00291253" w:rsidP="00617E12">
            <w:pPr>
              <w:jc w:val="left"/>
              <w:rPr>
                <w:b/>
                <w:sz w:val="20"/>
                <w:u w:val="single"/>
              </w:rPr>
            </w:pPr>
            <w:r w:rsidRPr="00EC63E9">
              <w:rPr>
                <w:b/>
                <w:sz w:val="20"/>
                <w:u w:val="single"/>
              </w:rPr>
              <w:t>Authority Required (Palliative Care Schedule)</w:t>
            </w:r>
          </w:p>
          <w:p w:rsidR="00291253" w:rsidRPr="00EC63E9" w:rsidRDefault="00291253" w:rsidP="00A04D83">
            <w:pPr>
              <w:rPr>
                <w:sz w:val="20"/>
              </w:rPr>
            </w:pPr>
            <w:r w:rsidRPr="00EC63E9">
              <w:rPr>
                <w:sz w:val="20"/>
              </w:rPr>
              <w:t>T</w:t>
            </w:r>
            <w:r w:rsidR="008C7623" w:rsidRPr="00EC63E9">
              <w:rPr>
                <w:sz w:val="20"/>
              </w:rPr>
              <w:t>reatment of breakthrough</w:t>
            </w:r>
            <w:r w:rsidRPr="00EC63E9">
              <w:rPr>
                <w:sz w:val="20"/>
              </w:rPr>
              <w:t xml:space="preserve"> pain in patients</w:t>
            </w:r>
            <w:r w:rsidR="008F15F7" w:rsidRPr="00EC63E9">
              <w:rPr>
                <w:sz w:val="20"/>
              </w:rPr>
              <w:t xml:space="preserve"> with cancer AND </w:t>
            </w:r>
            <w:r w:rsidR="008C7623" w:rsidRPr="00EC63E9">
              <w:rPr>
                <w:sz w:val="20"/>
              </w:rPr>
              <w:t xml:space="preserve">who </w:t>
            </w:r>
            <w:r w:rsidR="008F15F7" w:rsidRPr="00EC63E9">
              <w:rPr>
                <w:sz w:val="20"/>
              </w:rPr>
              <w:t>are receiving opioids for their persistent pain</w:t>
            </w:r>
            <w:r w:rsidR="008C7623" w:rsidRPr="00EC63E9">
              <w:rPr>
                <w:sz w:val="20"/>
              </w:rPr>
              <w:t xml:space="preserve"> AND</w:t>
            </w:r>
            <w:r w:rsidRPr="00EC63E9">
              <w:rPr>
                <w:sz w:val="20"/>
              </w:rPr>
              <w:t xml:space="preserve"> </w:t>
            </w:r>
            <w:r w:rsidR="008C7623" w:rsidRPr="00EC63E9">
              <w:rPr>
                <w:sz w:val="20"/>
              </w:rPr>
              <w:t xml:space="preserve">who </w:t>
            </w:r>
            <w:r w:rsidR="008F15F7" w:rsidRPr="00EC63E9">
              <w:rPr>
                <w:sz w:val="20"/>
              </w:rPr>
              <w:t>must be unable to tolerate further escalation in the dose of short acting opioids (which may include morphine) for breakthro</w:t>
            </w:r>
            <w:r w:rsidR="008C7623" w:rsidRPr="00EC63E9">
              <w:rPr>
                <w:sz w:val="20"/>
              </w:rPr>
              <w:t xml:space="preserve">ugh pain due to adverse effects </w:t>
            </w:r>
            <w:r w:rsidR="008F15F7" w:rsidRPr="00EC63E9">
              <w:rPr>
                <w:sz w:val="20"/>
              </w:rPr>
              <w:t xml:space="preserve">AND </w:t>
            </w:r>
            <w:r w:rsidR="008C7623" w:rsidRPr="00EC63E9">
              <w:rPr>
                <w:sz w:val="20"/>
              </w:rPr>
              <w:t xml:space="preserve">who </w:t>
            </w:r>
            <w:r w:rsidR="008F15F7" w:rsidRPr="00EC63E9">
              <w:rPr>
                <w:sz w:val="20"/>
              </w:rPr>
              <w:t>must be undergoing palliative care.</w:t>
            </w:r>
          </w:p>
        </w:tc>
      </w:tr>
    </w:tbl>
    <w:p w:rsidR="00B60939" w:rsidRPr="00EC63E9" w:rsidRDefault="00B60939" w:rsidP="004B1CB4"/>
    <w:p w:rsidR="00A60F0D" w:rsidRPr="00EC63E9" w:rsidRDefault="00DF6122" w:rsidP="00B77ED1">
      <w:pPr>
        <w:pStyle w:val="ListParagraph"/>
        <w:widowControl/>
        <w:numPr>
          <w:ilvl w:val="1"/>
          <w:numId w:val="1"/>
        </w:numPr>
        <w:ind w:left="737"/>
        <w:rPr>
          <w:szCs w:val="22"/>
        </w:rPr>
      </w:pPr>
      <w:r w:rsidRPr="00EC63E9">
        <w:rPr>
          <w:szCs w:val="22"/>
        </w:rPr>
        <w:t xml:space="preserve">The proposed restriction </w:t>
      </w:r>
      <w:r w:rsidR="00B47136" w:rsidRPr="00EC63E9">
        <w:rPr>
          <w:szCs w:val="22"/>
        </w:rPr>
        <w:t>is ambiguous regarding the</w:t>
      </w:r>
      <w:r w:rsidRPr="00EC63E9">
        <w:rPr>
          <w:szCs w:val="22"/>
        </w:rPr>
        <w:t xml:space="preserve"> place in therapy for fentanyl products on the PBS </w:t>
      </w:r>
      <w:r w:rsidR="00A60F0D" w:rsidRPr="00EC63E9">
        <w:rPr>
          <w:szCs w:val="22"/>
        </w:rPr>
        <w:t>(i.e. it is unclear whether fentanyl may be used as second-/</w:t>
      </w:r>
      <w:r w:rsidR="00312543" w:rsidRPr="00EC63E9">
        <w:rPr>
          <w:szCs w:val="22"/>
        </w:rPr>
        <w:t xml:space="preserve"> </w:t>
      </w:r>
      <w:r w:rsidR="00A60F0D" w:rsidRPr="00EC63E9">
        <w:rPr>
          <w:szCs w:val="22"/>
        </w:rPr>
        <w:t>third-/subsequent-line therapy in patients with other non-fentanyl treatment options or only as a last-line therapy in patients with no other options).</w:t>
      </w:r>
    </w:p>
    <w:p w:rsidR="00EE5A46" w:rsidRPr="00EC63E9" w:rsidRDefault="00EE5A46" w:rsidP="00662A9E">
      <w:pPr>
        <w:pStyle w:val="ListParagraph"/>
        <w:widowControl/>
        <w:ind w:left="737"/>
        <w:rPr>
          <w:szCs w:val="22"/>
        </w:rPr>
      </w:pPr>
    </w:p>
    <w:p w:rsidR="00EE5A46" w:rsidRPr="00EC63E9" w:rsidRDefault="00EE5A46" w:rsidP="00B77ED1">
      <w:pPr>
        <w:pStyle w:val="ListParagraph"/>
        <w:widowControl/>
        <w:numPr>
          <w:ilvl w:val="1"/>
          <w:numId w:val="1"/>
        </w:numPr>
        <w:ind w:left="737"/>
        <w:rPr>
          <w:szCs w:val="22"/>
        </w:rPr>
      </w:pPr>
      <w:r w:rsidRPr="00EC63E9">
        <w:t>The Pre-Su</w:t>
      </w:r>
      <w:r w:rsidR="007C4F31">
        <w:t>b-Committee Response’s (PSCR</w:t>
      </w:r>
      <w:r w:rsidRPr="00EC63E9">
        <w:t xml:space="preserve">) clarification that the intended place in therapy is third and subsequent line treatment. The ESC suggested the restriction wording incorporate ‘unable to tolerate further escalation in the dose of </w:t>
      </w:r>
      <w:r w:rsidRPr="006506B8">
        <w:t xml:space="preserve">two or more </w:t>
      </w:r>
      <w:r w:rsidRPr="00EC63E9">
        <w:t>short acting opioids…’ to ensure use restricted to third or subsequent line.</w:t>
      </w:r>
    </w:p>
    <w:p w:rsidR="00DF6122" w:rsidRPr="00EC63E9" w:rsidRDefault="00DF6122" w:rsidP="00DF6122">
      <w:pPr>
        <w:pStyle w:val="ListParagraph"/>
        <w:widowControl/>
        <w:rPr>
          <w:szCs w:val="22"/>
        </w:rPr>
      </w:pPr>
    </w:p>
    <w:p w:rsidR="00F97A78" w:rsidRPr="00EC63E9" w:rsidRDefault="00ED04EF" w:rsidP="00B77ED1">
      <w:pPr>
        <w:pStyle w:val="ListParagraph"/>
        <w:widowControl/>
        <w:numPr>
          <w:ilvl w:val="1"/>
          <w:numId w:val="1"/>
        </w:numPr>
        <w:rPr>
          <w:szCs w:val="22"/>
        </w:rPr>
      </w:pPr>
      <w:r w:rsidRPr="00EC63E9">
        <w:rPr>
          <w:szCs w:val="22"/>
        </w:rPr>
        <w:t>The listing was requested on a cost minimisation basis compared to fentanyl lozenges.</w:t>
      </w:r>
    </w:p>
    <w:p w:rsidR="004E43B2" w:rsidRPr="00EC63E9" w:rsidRDefault="004E43B2" w:rsidP="004B1CB4"/>
    <w:p w:rsidR="002A3AFE" w:rsidRPr="007A524B" w:rsidRDefault="002A3AFE" w:rsidP="002A3AFE">
      <w:pPr>
        <w:pStyle w:val="ListParagraph"/>
        <w:ind w:left="709"/>
        <w:rPr>
          <w:i/>
          <w:szCs w:val="22"/>
        </w:rPr>
      </w:pPr>
      <w:r w:rsidRPr="007A524B">
        <w:rPr>
          <w:i/>
          <w:szCs w:val="22"/>
        </w:rPr>
        <w:t>For more detail on PBAC’s view, see section 7 “PBAC outcome”</w:t>
      </w:r>
    </w:p>
    <w:p w:rsidR="002A3AFE" w:rsidRPr="00EC63E9" w:rsidRDefault="002A3AFE" w:rsidP="004B1CB4"/>
    <w:p w:rsidR="001C5D50" w:rsidRPr="00EC63E9" w:rsidRDefault="001C5D50" w:rsidP="004B1CB4"/>
    <w:p w:rsidR="00B50DB8" w:rsidRPr="00EC63E9" w:rsidRDefault="00B50DB8" w:rsidP="00BD6CF3">
      <w:pPr>
        <w:pStyle w:val="PBACHeading1"/>
      </w:pPr>
      <w:bookmarkStart w:id="3" w:name="_Toc419708477"/>
      <w:r w:rsidRPr="00EC63E9">
        <w:t>Background</w:t>
      </w:r>
      <w:bookmarkEnd w:id="3"/>
    </w:p>
    <w:p w:rsidR="00B60939" w:rsidRPr="00EC63E9" w:rsidRDefault="00B60939" w:rsidP="00B60939">
      <w:pPr>
        <w:rPr>
          <w:szCs w:val="22"/>
        </w:rPr>
      </w:pPr>
    </w:p>
    <w:p w:rsidR="00A04D83" w:rsidRPr="00EC63E9" w:rsidRDefault="00A04D83" w:rsidP="00B77ED1">
      <w:pPr>
        <w:pStyle w:val="ListParagraph"/>
        <w:widowControl/>
        <w:numPr>
          <w:ilvl w:val="1"/>
          <w:numId w:val="1"/>
        </w:numPr>
        <w:rPr>
          <w:szCs w:val="22"/>
        </w:rPr>
      </w:pPr>
      <w:r w:rsidRPr="00EC63E9">
        <w:rPr>
          <w:szCs w:val="22"/>
        </w:rPr>
        <w:t>TGA status:</w:t>
      </w:r>
      <w:r w:rsidR="00B60939" w:rsidRPr="00EC63E9">
        <w:rPr>
          <w:szCs w:val="22"/>
        </w:rPr>
        <w:t xml:space="preserve"> </w:t>
      </w:r>
      <w:r w:rsidRPr="00EC63E9">
        <w:rPr>
          <w:szCs w:val="22"/>
        </w:rPr>
        <w:t>Fentanyl buccal tablets were registered by the TGA on 5 February 2015 for the treatment of breakthrough pain in adults with cancer who are already receiving maintenance opioid therapy for chronic cancer pain</w:t>
      </w:r>
      <w:r w:rsidR="00312543" w:rsidRPr="00EC63E9">
        <w:rPr>
          <w:szCs w:val="22"/>
        </w:rPr>
        <w:t>.</w:t>
      </w:r>
    </w:p>
    <w:p w:rsidR="00B60939" w:rsidRPr="00EC63E9" w:rsidRDefault="00B60939" w:rsidP="00B60939">
      <w:pPr>
        <w:pStyle w:val="ListParagraph"/>
        <w:rPr>
          <w:szCs w:val="22"/>
        </w:rPr>
      </w:pPr>
    </w:p>
    <w:p w:rsidR="00B60939" w:rsidRPr="00EC63E9" w:rsidRDefault="007C1DE4" w:rsidP="00B77ED1">
      <w:pPr>
        <w:pStyle w:val="ListParagraph"/>
        <w:numPr>
          <w:ilvl w:val="1"/>
          <w:numId w:val="1"/>
        </w:numPr>
        <w:rPr>
          <w:szCs w:val="22"/>
        </w:rPr>
      </w:pPr>
      <w:r w:rsidRPr="00EC63E9">
        <w:rPr>
          <w:szCs w:val="22"/>
        </w:rPr>
        <w:t>The PBAC has not previously considered fentanyl buccal tablets for any indication.</w:t>
      </w:r>
    </w:p>
    <w:p w:rsidR="00E55BB5" w:rsidRPr="00EC63E9" w:rsidRDefault="00E55BB5" w:rsidP="004B1CB4"/>
    <w:p w:rsidR="00A92AAD" w:rsidRPr="00EC63E9" w:rsidRDefault="00A92AAD" w:rsidP="004B1CB4"/>
    <w:p w:rsidR="00B50DB8" w:rsidRPr="00EC63E9" w:rsidRDefault="00B50DB8" w:rsidP="00BD6CF3">
      <w:pPr>
        <w:pStyle w:val="PBACHeading1"/>
      </w:pPr>
      <w:bookmarkStart w:id="4" w:name="_Toc419708478"/>
      <w:r w:rsidRPr="00EC63E9">
        <w:t>Clinical place for the proposed therapy</w:t>
      </w:r>
      <w:bookmarkEnd w:id="4"/>
    </w:p>
    <w:p w:rsidR="00B60939" w:rsidRPr="00EC63E9" w:rsidRDefault="00B60939" w:rsidP="00B60939">
      <w:pPr>
        <w:rPr>
          <w:szCs w:val="22"/>
        </w:rPr>
      </w:pPr>
    </w:p>
    <w:p w:rsidR="00B60939" w:rsidRPr="00EC63E9" w:rsidRDefault="006762FB" w:rsidP="00B77ED1">
      <w:pPr>
        <w:pStyle w:val="ListParagraph"/>
        <w:widowControl/>
        <w:numPr>
          <w:ilvl w:val="1"/>
          <w:numId w:val="1"/>
        </w:numPr>
        <w:rPr>
          <w:szCs w:val="22"/>
        </w:rPr>
      </w:pPr>
      <w:r w:rsidRPr="00EC63E9">
        <w:t>Breakthrough cancer pain is a term used to describe transitory exacerbations of pain in cancer patients whose background pain is well-controlled by the use of chronic opioid therapy.</w:t>
      </w:r>
    </w:p>
    <w:p w:rsidR="00894489" w:rsidRPr="00EC63E9" w:rsidRDefault="00894489" w:rsidP="00894489">
      <w:pPr>
        <w:widowControl/>
        <w:rPr>
          <w:szCs w:val="22"/>
        </w:rPr>
      </w:pPr>
    </w:p>
    <w:p w:rsidR="00823E48" w:rsidRPr="00EC63E9" w:rsidRDefault="006762FB" w:rsidP="00B77ED1">
      <w:pPr>
        <w:pStyle w:val="ListParagraph"/>
        <w:widowControl/>
        <w:numPr>
          <w:ilvl w:val="1"/>
          <w:numId w:val="1"/>
        </w:numPr>
        <w:rPr>
          <w:szCs w:val="22"/>
        </w:rPr>
      </w:pPr>
      <w:r w:rsidRPr="00EC63E9">
        <w:rPr>
          <w:szCs w:val="22"/>
        </w:rPr>
        <w:t xml:space="preserve">The submission positioned both fentanyl buccal tablets and fentanyl lozenges as third-line treatment options after the failure of two or more immediate-release opioids (primarily morphine, </w:t>
      </w:r>
      <w:r w:rsidR="00DF6122" w:rsidRPr="00EC63E9">
        <w:rPr>
          <w:szCs w:val="22"/>
        </w:rPr>
        <w:t xml:space="preserve">oxycodone and/or </w:t>
      </w:r>
      <w:proofErr w:type="spellStart"/>
      <w:r w:rsidR="00DF6122" w:rsidRPr="00EC63E9">
        <w:rPr>
          <w:szCs w:val="22"/>
        </w:rPr>
        <w:t>hydromorphone</w:t>
      </w:r>
      <w:proofErr w:type="spellEnd"/>
      <w:r w:rsidR="00DF6122" w:rsidRPr="00EC63E9">
        <w:rPr>
          <w:szCs w:val="22"/>
        </w:rPr>
        <w:t>).</w:t>
      </w:r>
      <w:r w:rsidR="00B47136" w:rsidRPr="00EC63E9">
        <w:rPr>
          <w:szCs w:val="22"/>
        </w:rPr>
        <w:t xml:space="preserve"> </w:t>
      </w:r>
      <w:r w:rsidR="00823E48" w:rsidRPr="00EC63E9">
        <w:rPr>
          <w:szCs w:val="22"/>
        </w:rPr>
        <w:t xml:space="preserve">Results of the sponsor-commissioned physician survey indicated that </w:t>
      </w:r>
      <w:r w:rsidR="00746C8C" w:rsidRPr="00EC63E9">
        <w:rPr>
          <w:szCs w:val="22"/>
        </w:rPr>
        <w:t xml:space="preserve">while </w:t>
      </w:r>
      <w:r w:rsidR="00823E48" w:rsidRPr="00EC63E9">
        <w:rPr>
          <w:szCs w:val="22"/>
        </w:rPr>
        <w:t>fentanyl products</w:t>
      </w:r>
      <w:r w:rsidR="00746C8C" w:rsidRPr="00EC63E9">
        <w:rPr>
          <w:szCs w:val="22"/>
        </w:rPr>
        <w:t xml:space="preserve"> are predominantly used as third and subsequent-line treatments they</w:t>
      </w:r>
      <w:r w:rsidR="00823E48" w:rsidRPr="00EC63E9">
        <w:rPr>
          <w:szCs w:val="22"/>
        </w:rPr>
        <w:t xml:space="preserve"> are</w:t>
      </w:r>
      <w:r w:rsidR="00746C8C" w:rsidRPr="00EC63E9">
        <w:rPr>
          <w:szCs w:val="22"/>
        </w:rPr>
        <w:t xml:space="preserve"> also considered as second-line or even</w:t>
      </w:r>
      <w:r w:rsidR="00823E48" w:rsidRPr="00EC63E9">
        <w:rPr>
          <w:szCs w:val="22"/>
        </w:rPr>
        <w:t xml:space="preserve"> first-line therapy in some patients</w:t>
      </w:r>
      <w:r w:rsidR="00746C8C" w:rsidRPr="00EC63E9">
        <w:rPr>
          <w:szCs w:val="22"/>
        </w:rPr>
        <w:t>.</w:t>
      </w:r>
    </w:p>
    <w:p w:rsidR="00A40E8F" w:rsidRPr="00EC63E9" w:rsidRDefault="00A40E8F" w:rsidP="007A524B">
      <w:pPr>
        <w:pStyle w:val="ListParagraph"/>
        <w:widowControl/>
        <w:rPr>
          <w:szCs w:val="22"/>
        </w:rPr>
      </w:pPr>
    </w:p>
    <w:p w:rsidR="00A40E8F" w:rsidRPr="00D11544" w:rsidRDefault="00931E7F" w:rsidP="00B77ED1">
      <w:pPr>
        <w:numPr>
          <w:ilvl w:val="1"/>
          <w:numId w:val="1"/>
        </w:numPr>
        <w:contextualSpacing/>
        <w:rPr>
          <w:szCs w:val="22"/>
        </w:rPr>
      </w:pPr>
      <w:r w:rsidRPr="00D11544">
        <w:rPr>
          <w:szCs w:val="22"/>
        </w:rPr>
        <w:t>The PBAC noted</w:t>
      </w:r>
      <w:r w:rsidR="006E7FE8" w:rsidRPr="00D11544">
        <w:rPr>
          <w:szCs w:val="22"/>
        </w:rPr>
        <w:t xml:space="preserve"> </w:t>
      </w:r>
      <w:r w:rsidR="00A40E8F" w:rsidRPr="00D11544">
        <w:rPr>
          <w:szCs w:val="22"/>
        </w:rPr>
        <w:t xml:space="preserve">the </w:t>
      </w:r>
      <w:r w:rsidR="00D11544" w:rsidRPr="00D11544">
        <w:rPr>
          <w:szCs w:val="22"/>
        </w:rPr>
        <w:t xml:space="preserve">comments </w:t>
      </w:r>
      <w:r w:rsidR="00A40E8F" w:rsidRPr="00D11544">
        <w:rPr>
          <w:szCs w:val="22"/>
        </w:rPr>
        <w:t>of the</w:t>
      </w:r>
      <w:r w:rsidR="006E7FE8" w:rsidRPr="00D11544">
        <w:rPr>
          <w:szCs w:val="22"/>
        </w:rPr>
        <w:t xml:space="preserve"> sponsor and</w:t>
      </w:r>
      <w:r w:rsidR="00A40E8F" w:rsidRPr="00D11544">
        <w:rPr>
          <w:szCs w:val="22"/>
        </w:rPr>
        <w:t xml:space="preserve"> </w:t>
      </w:r>
      <w:r w:rsidRPr="00D11544">
        <w:rPr>
          <w:szCs w:val="22"/>
        </w:rPr>
        <w:t xml:space="preserve">the </w:t>
      </w:r>
      <w:r w:rsidR="00A40E8F" w:rsidRPr="00D11544">
        <w:rPr>
          <w:szCs w:val="22"/>
        </w:rPr>
        <w:t xml:space="preserve">ESC in reference to the clinical place </w:t>
      </w:r>
      <w:r w:rsidR="006E7FE8" w:rsidRPr="00D11544">
        <w:rPr>
          <w:szCs w:val="22"/>
        </w:rPr>
        <w:t>of therapy</w:t>
      </w:r>
      <w:r w:rsidR="00A40E8F" w:rsidRPr="00D11544">
        <w:rPr>
          <w:szCs w:val="22"/>
        </w:rPr>
        <w:t xml:space="preserve">. </w:t>
      </w:r>
      <w:r w:rsidR="00CF2AE0">
        <w:rPr>
          <w:szCs w:val="22"/>
        </w:rPr>
        <w:t>T</w:t>
      </w:r>
      <w:r w:rsidR="00A40E8F" w:rsidRPr="00D11544">
        <w:rPr>
          <w:szCs w:val="22"/>
        </w:rPr>
        <w:t xml:space="preserve">he PBAC considered that withholding fentanyl </w:t>
      </w:r>
      <w:r w:rsidR="006E7FE8" w:rsidRPr="00D11544">
        <w:rPr>
          <w:szCs w:val="22"/>
        </w:rPr>
        <w:t>buccal</w:t>
      </w:r>
      <w:r w:rsidR="00A40E8F" w:rsidRPr="00D11544">
        <w:rPr>
          <w:szCs w:val="22"/>
        </w:rPr>
        <w:t xml:space="preserve"> to </w:t>
      </w:r>
      <w:r w:rsidR="00E67041">
        <w:rPr>
          <w:szCs w:val="22"/>
        </w:rPr>
        <w:t>third</w:t>
      </w:r>
      <w:r w:rsidR="00A40E8F" w:rsidRPr="00D11544">
        <w:rPr>
          <w:szCs w:val="22"/>
        </w:rPr>
        <w:t xml:space="preserve"> and subsequent lines for breakthrough pain may not be</w:t>
      </w:r>
      <w:r w:rsidR="00E67041">
        <w:rPr>
          <w:szCs w:val="22"/>
        </w:rPr>
        <w:t xml:space="preserve"> practical or</w:t>
      </w:r>
      <w:r w:rsidR="00A40E8F" w:rsidRPr="00D11544">
        <w:rPr>
          <w:szCs w:val="22"/>
        </w:rPr>
        <w:t xml:space="preserve"> reasonable. The </w:t>
      </w:r>
      <w:r w:rsidR="00E67041">
        <w:rPr>
          <w:szCs w:val="22"/>
        </w:rPr>
        <w:t>C</w:t>
      </w:r>
      <w:r w:rsidR="00A40E8F" w:rsidRPr="00D11544">
        <w:rPr>
          <w:szCs w:val="22"/>
        </w:rPr>
        <w:t xml:space="preserve">ommittee </w:t>
      </w:r>
      <w:r w:rsidR="006506B8">
        <w:rPr>
          <w:szCs w:val="22"/>
        </w:rPr>
        <w:t xml:space="preserve">further </w:t>
      </w:r>
      <w:r w:rsidR="00A40E8F" w:rsidRPr="00D11544">
        <w:rPr>
          <w:szCs w:val="22"/>
        </w:rPr>
        <w:t xml:space="preserve">considered that any concerns for diversion may be controlled adequately in </w:t>
      </w:r>
      <w:r w:rsidR="00E67041">
        <w:rPr>
          <w:szCs w:val="22"/>
        </w:rPr>
        <w:t>the second</w:t>
      </w:r>
      <w:r w:rsidR="00A40E8F" w:rsidRPr="00D11544">
        <w:rPr>
          <w:szCs w:val="22"/>
        </w:rPr>
        <w:t xml:space="preserve"> line listing under a palliative care setting</w:t>
      </w:r>
      <w:r w:rsidR="003C5146">
        <w:rPr>
          <w:szCs w:val="22"/>
        </w:rPr>
        <w:t>.</w:t>
      </w:r>
    </w:p>
    <w:p w:rsidR="00E55BB5" w:rsidRPr="00EC63E9" w:rsidRDefault="00E55BB5" w:rsidP="00B60939">
      <w:pPr>
        <w:pStyle w:val="Header"/>
        <w:rPr>
          <w:szCs w:val="22"/>
          <w:highlight w:val="yellow"/>
        </w:rPr>
      </w:pPr>
    </w:p>
    <w:p w:rsidR="00E67041" w:rsidRDefault="00E67041" w:rsidP="00E67041">
      <w:pPr>
        <w:numPr>
          <w:ilvl w:val="1"/>
          <w:numId w:val="1"/>
        </w:numPr>
        <w:contextualSpacing/>
        <w:rPr>
          <w:szCs w:val="22"/>
        </w:rPr>
      </w:pPr>
      <w:r>
        <w:rPr>
          <w:szCs w:val="22"/>
        </w:rPr>
        <w:t>The PBAC considered that, in rare circumstances, fentanyl buccal may be used in a first-line setting, by patients that are unable to swallow oral immediate-release opioids and who would otherwise require subcutaneous morphine.</w:t>
      </w:r>
    </w:p>
    <w:p w:rsidR="00A92AAD" w:rsidRPr="00EC63E9" w:rsidRDefault="00A92AAD" w:rsidP="00B60939">
      <w:pPr>
        <w:pStyle w:val="Header"/>
        <w:rPr>
          <w:szCs w:val="22"/>
        </w:rPr>
      </w:pPr>
    </w:p>
    <w:p w:rsidR="00A40E8F" w:rsidRPr="00D11544" w:rsidRDefault="00A40E8F" w:rsidP="00A40E8F">
      <w:pPr>
        <w:pStyle w:val="ListParagraph"/>
        <w:ind w:left="709"/>
        <w:rPr>
          <w:i/>
          <w:szCs w:val="22"/>
        </w:rPr>
      </w:pPr>
      <w:r w:rsidRPr="00D11544">
        <w:rPr>
          <w:i/>
          <w:szCs w:val="22"/>
        </w:rPr>
        <w:t>For more detail on PBAC’s view, see section 7 “PBAC outcome”</w:t>
      </w:r>
    </w:p>
    <w:p w:rsidR="00A40E8F" w:rsidRPr="00EC63E9" w:rsidRDefault="00A40E8F" w:rsidP="00B60939">
      <w:pPr>
        <w:pStyle w:val="Header"/>
        <w:rPr>
          <w:szCs w:val="22"/>
        </w:rPr>
      </w:pPr>
    </w:p>
    <w:p w:rsidR="00A40E8F" w:rsidRPr="00EC63E9" w:rsidRDefault="00A40E8F" w:rsidP="00B60939">
      <w:pPr>
        <w:pStyle w:val="Header"/>
        <w:rPr>
          <w:szCs w:val="22"/>
        </w:rPr>
      </w:pPr>
    </w:p>
    <w:p w:rsidR="00B50DB8" w:rsidRPr="00EC63E9" w:rsidRDefault="00B50DB8" w:rsidP="00B77ED1">
      <w:pPr>
        <w:pStyle w:val="Header"/>
        <w:widowControl/>
        <w:numPr>
          <w:ilvl w:val="0"/>
          <w:numId w:val="1"/>
        </w:numPr>
        <w:tabs>
          <w:tab w:val="clear" w:pos="4513"/>
          <w:tab w:val="clear" w:pos="9026"/>
        </w:tabs>
        <w:rPr>
          <w:b/>
          <w:szCs w:val="22"/>
        </w:rPr>
      </w:pPr>
      <w:r w:rsidRPr="00EC63E9">
        <w:rPr>
          <w:b/>
          <w:szCs w:val="22"/>
        </w:rPr>
        <w:t>Comparator</w:t>
      </w:r>
    </w:p>
    <w:p w:rsidR="00B60939" w:rsidRPr="00EC63E9" w:rsidRDefault="00B60939" w:rsidP="004B1CB4"/>
    <w:p w:rsidR="00B47136" w:rsidRPr="00EC63E9" w:rsidRDefault="00B47136" w:rsidP="00B77ED1">
      <w:pPr>
        <w:pStyle w:val="ListParagraph"/>
        <w:widowControl/>
        <w:numPr>
          <w:ilvl w:val="1"/>
          <w:numId w:val="1"/>
        </w:numPr>
        <w:rPr>
          <w:szCs w:val="22"/>
        </w:rPr>
      </w:pPr>
      <w:r w:rsidRPr="00EC63E9">
        <w:t xml:space="preserve">Fentanyl lozenges. </w:t>
      </w:r>
      <w:r w:rsidR="00010398">
        <w:t>The evaluation</w:t>
      </w:r>
      <w:r w:rsidR="00312543" w:rsidRPr="00EC63E9">
        <w:t xml:space="preserve"> considered</w:t>
      </w:r>
      <w:r w:rsidR="00F067A2" w:rsidRPr="00EC63E9">
        <w:t xml:space="preserve"> </w:t>
      </w:r>
      <w:r w:rsidR="00010398">
        <w:t xml:space="preserve">this an </w:t>
      </w:r>
      <w:r w:rsidR="00F067A2" w:rsidRPr="00EC63E9">
        <w:t xml:space="preserve">appropriate </w:t>
      </w:r>
      <w:r w:rsidRPr="00EC63E9">
        <w:t xml:space="preserve">main </w:t>
      </w:r>
      <w:r w:rsidR="00F067A2" w:rsidRPr="00EC63E9">
        <w:t xml:space="preserve">comparator. </w:t>
      </w:r>
      <w:r w:rsidRPr="00EC63E9">
        <w:t xml:space="preserve">Various formulations of </w:t>
      </w:r>
      <w:r w:rsidR="00746C8C" w:rsidRPr="00EC63E9">
        <w:t xml:space="preserve">other </w:t>
      </w:r>
      <w:r w:rsidRPr="00EC63E9">
        <w:t>immediate-release opioids are likely to be relevant secondary comparators in the second-line, third-line and subsequent-line settings.</w:t>
      </w:r>
    </w:p>
    <w:p w:rsidR="00B60939" w:rsidRPr="00EC63E9" w:rsidRDefault="00B60939" w:rsidP="00DF5D2B">
      <w:pPr>
        <w:rPr>
          <w:szCs w:val="22"/>
        </w:rPr>
      </w:pPr>
    </w:p>
    <w:p w:rsidR="00E67041" w:rsidRDefault="00E67041" w:rsidP="00E67041">
      <w:pPr>
        <w:pStyle w:val="ListParagraph"/>
        <w:widowControl/>
        <w:numPr>
          <w:ilvl w:val="1"/>
          <w:numId w:val="1"/>
        </w:numPr>
        <w:rPr>
          <w:bCs/>
          <w:szCs w:val="22"/>
          <w:lang w:val="en-GB"/>
        </w:rPr>
      </w:pPr>
      <w:r w:rsidRPr="002876D9">
        <w:rPr>
          <w:bCs/>
          <w:szCs w:val="22"/>
          <w:lang w:val="en-GB"/>
        </w:rPr>
        <w:t xml:space="preserve">The PBAC considered </w:t>
      </w:r>
      <w:r>
        <w:rPr>
          <w:bCs/>
          <w:szCs w:val="22"/>
          <w:lang w:val="en-GB"/>
        </w:rPr>
        <w:t xml:space="preserve">both </w:t>
      </w:r>
      <w:r w:rsidRPr="002876D9">
        <w:rPr>
          <w:bCs/>
          <w:szCs w:val="22"/>
          <w:lang w:val="en-GB"/>
        </w:rPr>
        <w:t xml:space="preserve">immediate-release oral opioids and fentanyl lozenges to be appropriate comparators. </w:t>
      </w:r>
      <w:r>
        <w:rPr>
          <w:bCs/>
          <w:szCs w:val="22"/>
          <w:lang w:val="en-GB"/>
        </w:rPr>
        <w:t xml:space="preserve">In addition, the PBAC considered that in rare circumstances, </w:t>
      </w:r>
      <w:r w:rsidRPr="002876D9">
        <w:rPr>
          <w:bCs/>
          <w:szCs w:val="22"/>
          <w:lang w:val="en-GB"/>
        </w:rPr>
        <w:t>for the small group of patients who are unable to swallow oral opioids</w:t>
      </w:r>
      <w:r>
        <w:rPr>
          <w:bCs/>
          <w:szCs w:val="22"/>
          <w:lang w:val="en-GB"/>
        </w:rPr>
        <w:t xml:space="preserve">, </w:t>
      </w:r>
      <w:r>
        <w:t>subcutaneous morphine is an appropriate comparator.</w:t>
      </w:r>
    </w:p>
    <w:p w:rsidR="006E7FE8" w:rsidRDefault="006E7FE8" w:rsidP="006E7FE8">
      <w:pPr>
        <w:pStyle w:val="ListParagraph"/>
        <w:rPr>
          <w:bCs/>
          <w:szCs w:val="22"/>
          <w:highlight w:val="yellow"/>
          <w:lang w:val="en-GB"/>
        </w:rPr>
      </w:pPr>
    </w:p>
    <w:p w:rsidR="00A40E8F" w:rsidRPr="00D11544" w:rsidRDefault="00A40E8F" w:rsidP="00A40E8F">
      <w:pPr>
        <w:pStyle w:val="ListParagraph"/>
        <w:ind w:left="709"/>
        <w:rPr>
          <w:i/>
          <w:szCs w:val="22"/>
        </w:rPr>
      </w:pPr>
      <w:r w:rsidRPr="00D11544">
        <w:rPr>
          <w:i/>
          <w:szCs w:val="22"/>
        </w:rPr>
        <w:t>For more detail on PBAC’s view, see section 7 “PBAC outcome”</w:t>
      </w:r>
    </w:p>
    <w:p w:rsidR="00A40E8F" w:rsidRPr="00EC63E9" w:rsidRDefault="00A40E8F" w:rsidP="00DF5D2B">
      <w:pPr>
        <w:rPr>
          <w:szCs w:val="22"/>
        </w:rPr>
      </w:pPr>
    </w:p>
    <w:p w:rsidR="00A92AAD" w:rsidRPr="00EC63E9" w:rsidRDefault="00A92AAD" w:rsidP="00DF5D2B">
      <w:pPr>
        <w:rPr>
          <w:szCs w:val="22"/>
        </w:rPr>
      </w:pPr>
    </w:p>
    <w:p w:rsidR="00B50DB8" w:rsidRPr="00EC63E9" w:rsidRDefault="00BD6CF3" w:rsidP="00BD6CF3">
      <w:pPr>
        <w:pStyle w:val="PBACHeading1"/>
      </w:pPr>
      <w:bookmarkStart w:id="5" w:name="_Toc419708479"/>
      <w:r w:rsidRPr="00EC63E9">
        <w:t>C</w:t>
      </w:r>
      <w:r w:rsidR="00B50DB8" w:rsidRPr="00EC63E9">
        <w:t>onsideration of the evidence</w:t>
      </w:r>
      <w:bookmarkEnd w:id="5"/>
    </w:p>
    <w:p w:rsidR="00B60939" w:rsidRPr="00EC63E9" w:rsidRDefault="00B60939" w:rsidP="004B1CB4"/>
    <w:p w:rsidR="00A40E8F" w:rsidRPr="004B48BE" w:rsidRDefault="00A40E8F" w:rsidP="00A40E8F">
      <w:pPr>
        <w:pStyle w:val="Heading2"/>
        <w:rPr>
          <w:i/>
        </w:rPr>
      </w:pPr>
      <w:r w:rsidRPr="004B48BE">
        <w:rPr>
          <w:i/>
        </w:rPr>
        <w:t>Sponsor hearing</w:t>
      </w:r>
    </w:p>
    <w:p w:rsidR="00A40E8F" w:rsidRPr="00EC63E9" w:rsidRDefault="00A40E8F" w:rsidP="00A40E8F"/>
    <w:p w:rsidR="00A40E8F" w:rsidRPr="00EC63E9" w:rsidRDefault="00A40E8F" w:rsidP="00B77ED1">
      <w:pPr>
        <w:numPr>
          <w:ilvl w:val="1"/>
          <w:numId w:val="1"/>
        </w:numPr>
        <w:contextualSpacing/>
        <w:rPr>
          <w:bCs/>
          <w:szCs w:val="22"/>
        </w:rPr>
      </w:pPr>
      <w:r w:rsidRPr="00EC63E9">
        <w:rPr>
          <w:bCs/>
          <w:szCs w:val="22"/>
        </w:rPr>
        <w:t>There was no hearing for this item.</w:t>
      </w:r>
    </w:p>
    <w:p w:rsidR="00A40E8F" w:rsidRPr="00EC63E9" w:rsidRDefault="00A40E8F" w:rsidP="00A40E8F">
      <w:pPr>
        <w:rPr>
          <w:bCs/>
          <w:szCs w:val="22"/>
        </w:rPr>
      </w:pPr>
    </w:p>
    <w:p w:rsidR="00A40E8F" w:rsidRPr="004B48BE" w:rsidRDefault="00A40E8F" w:rsidP="00A40E8F">
      <w:pPr>
        <w:pStyle w:val="Heading2"/>
        <w:rPr>
          <w:i/>
        </w:rPr>
      </w:pPr>
      <w:r w:rsidRPr="004B48BE">
        <w:rPr>
          <w:i/>
        </w:rPr>
        <w:t>Consumer comments</w:t>
      </w:r>
    </w:p>
    <w:p w:rsidR="00A40E8F" w:rsidRPr="00EC63E9" w:rsidRDefault="00A40E8F" w:rsidP="00A40E8F"/>
    <w:p w:rsidR="00A40E8F" w:rsidRPr="00EC63E9" w:rsidRDefault="007A524B" w:rsidP="00B77ED1">
      <w:pPr>
        <w:numPr>
          <w:ilvl w:val="1"/>
          <w:numId w:val="1"/>
        </w:numPr>
        <w:contextualSpacing/>
        <w:rPr>
          <w:bCs/>
          <w:szCs w:val="22"/>
        </w:rPr>
      </w:pPr>
      <w:r>
        <w:rPr>
          <w:bCs/>
          <w:szCs w:val="22"/>
        </w:rPr>
        <w:t>There were no consumer comments for this item.</w:t>
      </w:r>
    </w:p>
    <w:p w:rsidR="00A40E8F" w:rsidRPr="00EC63E9" w:rsidRDefault="00A40E8F" w:rsidP="004B1CB4"/>
    <w:p w:rsidR="00B60939" w:rsidRPr="004B48BE" w:rsidRDefault="00B60939" w:rsidP="002C2775">
      <w:pPr>
        <w:pStyle w:val="Heading2"/>
        <w:rPr>
          <w:i/>
        </w:rPr>
      </w:pPr>
      <w:bookmarkStart w:id="6" w:name="_Toc419708480"/>
      <w:r w:rsidRPr="004B48BE">
        <w:rPr>
          <w:i/>
        </w:rPr>
        <w:t>Clinical trials</w:t>
      </w:r>
      <w:bookmarkEnd w:id="6"/>
    </w:p>
    <w:p w:rsidR="00B60939" w:rsidRPr="00EC63E9" w:rsidRDefault="00B60939" w:rsidP="00B60939">
      <w:pPr>
        <w:rPr>
          <w:szCs w:val="22"/>
        </w:rPr>
      </w:pPr>
    </w:p>
    <w:p w:rsidR="00AD6FB2" w:rsidRPr="00EC63E9" w:rsidRDefault="00AD6FB2" w:rsidP="00B77ED1">
      <w:pPr>
        <w:pStyle w:val="ListParagraph"/>
        <w:widowControl/>
        <w:numPr>
          <w:ilvl w:val="1"/>
          <w:numId w:val="1"/>
        </w:numPr>
        <w:rPr>
          <w:szCs w:val="22"/>
        </w:rPr>
      </w:pPr>
      <w:r w:rsidRPr="00EC63E9">
        <w:rPr>
          <w:szCs w:val="22"/>
        </w:rPr>
        <w:t xml:space="preserve">The submission was based on an indirect comparison of pain outcomes between fentanyl buccal tablets (Study 14, Study 3039, </w:t>
      </w:r>
      <w:proofErr w:type="spellStart"/>
      <w:r w:rsidRPr="00EC63E9">
        <w:rPr>
          <w:szCs w:val="22"/>
        </w:rPr>
        <w:t>Kosugi</w:t>
      </w:r>
      <w:proofErr w:type="spellEnd"/>
      <w:r w:rsidRPr="00EC63E9">
        <w:rPr>
          <w:szCs w:val="22"/>
        </w:rPr>
        <w:t xml:space="preserve"> et al 2014) and fentanyl lozenges (Farrar et al 1998) using a placebo common comparator. </w:t>
      </w:r>
    </w:p>
    <w:p w:rsidR="00AD6FB2" w:rsidRPr="00EC63E9" w:rsidRDefault="00AD6FB2" w:rsidP="00AD6FB2">
      <w:pPr>
        <w:pStyle w:val="ListParagraph"/>
        <w:widowControl/>
        <w:rPr>
          <w:szCs w:val="22"/>
        </w:rPr>
      </w:pPr>
    </w:p>
    <w:p w:rsidR="00AD6FB2" w:rsidRPr="00EC63E9" w:rsidRDefault="00AD6FB2" w:rsidP="00B77ED1">
      <w:pPr>
        <w:pStyle w:val="ListParagraph"/>
        <w:widowControl/>
        <w:numPr>
          <w:ilvl w:val="1"/>
          <w:numId w:val="1"/>
        </w:numPr>
        <w:rPr>
          <w:szCs w:val="22"/>
        </w:rPr>
      </w:pPr>
      <w:r w:rsidRPr="00EC63E9">
        <w:rPr>
          <w:szCs w:val="22"/>
        </w:rPr>
        <w:t>Two head-to-head non-randomised studies (</w:t>
      </w:r>
      <w:proofErr w:type="spellStart"/>
      <w:r w:rsidRPr="00EC63E9">
        <w:rPr>
          <w:szCs w:val="22"/>
        </w:rPr>
        <w:t>Berardi</w:t>
      </w:r>
      <w:proofErr w:type="spellEnd"/>
      <w:r w:rsidRPr="00EC63E9">
        <w:rPr>
          <w:szCs w:val="22"/>
        </w:rPr>
        <w:t xml:space="preserve"> et al 2012 [abstract only], </w:t>
      </w:r>
      <w:proofErr w:type="spellStart"/>
      <w:r w:rsidRPr="00EC63E9">
        <w:rPr>
          <w:szCs w:val="22"/>
        </w:rPr>
        <w:t>Graffi</w:t>
      </w:r>
      <w:proofErr w:type="spellEnd"/>
      <w:r w:rsidRPr="00EC63E9">
        <w:rPr>
          <w:szCs w:val="22"/>
        </w:rPr>
        <w:t xml:space="preserve"> et al 2011 [abstract only]) were identified as supportive evidence. Additional long-term safety studies of fentanyl buccal tablets were also provided as supportive evidence in the extended assessment of harms (Study 15, Davies et al 2015, </w:t>
      </w:r>
      <w:proofErr w:type="spellStart"/>
      <w:r w:rsidRPr="00EC63E9">
        <w:rPr>
          <w:szCs w:val="22"/>
        </w:rPr>
        <w:t>Lofti</w:t>
      </w:r>
      <w:proofErr w:type="spellEnd"/>
      <w:r w:rsidRPr="00EC63E9">
        <w:rPr>
          <w:szCs w:val="22"/>
        </w:rPr>
        <w:t xml:space="preserve"> et al 2011 [abstract only]).</w:t>
      </w:r>
    </w:p>
    <w:p w:rsidR="00862502" w:rsidRPr="00EC63E9" w:rsidRDefault="00862502" w:rsidP="00862502">
      <w:pPr>
        <w:widowControl/>
        <w:rPr>
          <w:szCs w:val="22"/>
        </w:rPr>
      </w:pPr>
    </w:p>
    <w:p w:rsidR="00B42E23" w:rsidRPr="00EC63E9" w:rsidRDefault="00862502" w:rsidP="00B77ED1">
      <w:pPr>
        <w:pStyle w:val="ListParagraph"/>
        <w:widowControl/>
        <w:numPr>
          <w:ilvl w:val="1"/>
          <w:numId w:val="1"/>
        </w:numPr>
        <w:rPr>
          <w:szCs w:val="22"/>
        </w:rPr>
      </w:pPr>
      <w:r w:rsidRPr="00EC63E9">
        <w:rPr>
          <w:szCs w:val="22"/>
        </w:rPr>
        <w:t>Details of the trials presented in the submission are provided in the table below.</w:t>
      </w:r>
    </w:p>
    <w:p w:rsidR="007C7320" w:rsidRPr="00EC63E9" w:rsidRDefault="007C7320">
      <w:pPr>
        <w:widowControl/>
        <w:jc w:val="left"/>
        <w:rPr>
          <w:szCs w:val="22"/>
        </w:rPr>
      </w:pPr>
      <w:r w:rsidRPr="00EC63E9">
        <w:rPr>
          <w:szCs w:val="22"/>
        </w:rPr>
        <w:br w:type="page"/>
      </w:r>
    </w:p>
    <w:p w:rsidR="00862502" w:rsidRPr="00EC63E9" w:rsidRDefault="00862502" w:rsidP="00862502">
      <w:pPr>
        <w:widowControl/>
        <w:rPr>
          <w:szCs w:val="22"/>
        </w:rPr>
      </w:pPr>
    </w:p>
    <w:p w:rsidR="00B42E23" w:rsidRPr="00EC63E9" w:rsidRDefault="00B42E23" w:rsidP="00B42E23">
      <w:pPr>
        <w:ind w:firstLine="720"/>
        <w:rPr>
          <w:rStyle w:val="CommentReference"/>
        </w:rPr>
      </w:pPr>
      <w:r w:rsidRPr="00EC63E9">
        <w:rPr>
          <w:rStyle w:val="CommentReference"/>
        </w:rPr>
        <w:t>Table 1: Trials and associated reports presented in the submission</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5305"/>
        <w:gridCol w:w="1908"/>
      </w:tblGrid>
      <w:tr w:rsidR="00B42E23" w:rsidRPr="00EC63E9" w:rsidTr="00B42E23">
        <w:tc>
          <w:tcPr>
            <w:tcW w:w="679" w:type="pct"/>
          </w:tcPr>
          <w:p w:rsidR="00B42E23" w:rsidRPr="00EC63E9" w:rsidRDefault="00B42E23" w:rsidP="001B487E">
            <w:pPr>
              <w:jc w:val="left"/>
              <w:rPr>
                <w:rFonts w:ascii="Arial Narrow" w:hAnsi="Arial Narrow"/>
                <w:b/>
                <w:sz w:val="20"/>
              </w:rPr>
            </w:pPr>
            <w:r w:rsidRPr="00EC63E9">
              <w:rPr>
                <w:rFonts w:ascii="Arial Narrow" w:hAnsi="Arial Narrow"/>
                <w:b/>
                <w:sz w:val="20"/>
              </w:rPr>
              <w:t>Trial ID</w:t>
            </w:r>
          </w:p>
        </w:tc>
        <w:tc>
          <w:tcPr>
            <w:tcW w:w="3178" w:type="pct"/>
          </w:tcPr>
          <w:p w:rsidR="00B42E23" w:rsidRPr="00EC63E9" w:rsidRDefault="00B42E23" w:rsidP="001B487E">
            <w:pPr>
              <w:jc w:val="center"/>
              <w:rPr>
                <w:rFonts w:ascii="Arial Narrow" w:hAnsi="Arial Narrow"/>
                <w:b/>
                <w:sz w:val="20"/>
              </w:rPr>
            </w:pPr>
            <w:r w:rsidRPr="00EC63E9">
              <w:rPr>
                <w:rFonts w:ascii="Arial Narrow" w:hAnsi="Arial Narrow"/>
                <w:b/>
                <w:sz w:val="20"/>
              </w:rPr>
              <w:t>Protocol title/ Publication title</w:t>
            </w:r>
          </w:p>
        </w:tc>
        <w:tc>
          <w:tcPr>
            <w:tcW w:w="1143" w:type="pct"/>
          </w:tcPr>
          <w:p w:rsidR="00B42E23" w:rsidRPr="00EC63E9" w:rsidRDefault="00B42E23" w:rsidP="001B487E">
            <w:pPr>
              <w:jc w:val="center"/>
              <w:rPr>
                <w:rFonts w:ascii="Arial Narrow" w:hAnsi="Arial Narrow"/>
                <w:b/>
                <w:sz w:val="20"/>
              </w:rPr>
            </w:pPr>
            <w:r w:rsidRPr="00EC63E9">
              <w:rPr>
                <w:rFonts w:ascii="Arial Narrow" w:hAnsi="Arial Narrow"/>
                <w:b/>
                <w:sz w:val="20"/>
              </w:rPr>
              <w:t>Publication citation</w:t>
            </w:r>
          </w:p>
        </w:tc>
      </w:tr>
      <w:tr w:rsidR="00B42E23" w:rsidRPr="00EC63E9" w:rsidTr="00B42E23">
        <w:tc>
          <w:tcPr>
            <w:tcW w:w="5000" w:type="pct"/>
            <w:gridSpan w:val="3"/>
          </w:tcPr>
          <w:p w:rsidR="00B42E23" w:rsidRPr="00EC63E9" w:rsidRDefault="00B42E23" w:rsidP="001B487E">
            <w:pPr>
              <w:jc w:val="left"/>
              <w:rPr>
                <w:rFonts w:ascii="Arial Narrow" w:hAnsi="Arial Narrow"/>
                <w:b/>
                <w:sz w:val="20"/>
              </w:rPr>
            </w:pPr>
            <w:r w:rsidRPr="00EC63E9">
              <w:rPr>
                <w:rFonts w:ascii="Arial Narrow" w:hAnsi="Arial Narrow"/>
                <w:b/>
                <w:sz w:val="20"/>
              </w:rPr>
              <w:t>Key studies</w:t>
            </w:r>
          </w:p>
        </w:tc>
      </w:tr>
      <w:tr w:rsidR="00B42E23" w:rsidRPr="00EC63E9" w:rsidTr="00B42E23">
        <w:tc>
          <w:tcPr>
            <w:tcW w:w="679" w:type="pct"/>
            <w:vMerge w:val="restart"/>
            <w:vAlign w:val="center"/>
          </w:tcPr>
          <w:p w:rsidR="00B42E23" w:rsidRPr="00EC63E9" w:rsidRDefault="00B42E23" w:rsidP="001B487E">
            <w:pPr>
              <w:jc w:val="left"/>
              <w:rPr>
                <w:rFonts w:ascii="Arial Narrow" w:hAnsi="Arial Narrow"/>
                <w:sz w:val="20"/>
              </w:rPr>
            </w:pPr>
            <w:r w:rsidRPr="00EC63E9">
              <w:rPr>
                <w:rFonts w:ascii="Arial Narrow" w:hAnsi="Arial Narrow"/>
                <w:sz w:val="20"/>
              </w:rPr>
              <w:t>Study 14</w:t>
            </w: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Cephalon</w:t>
            </w:r>
            <w:proofErr w:type="spellEnd"/>
            <w:r w:rsidRPr="00EC63E9">
              <w:rPr>
                <w:rFonts w:ascii="Arial Narrow" w:hAnsi="Arial Narrow"/>
                <w:sz w:val="20"/>
              </w:rPr>
              <w:t xml:space="preserve"> Clinical Study Report (2005). A multicentre, double-blind, placebo-controlled study of ORAVESCENT</w:t>
            </w:r>
            <w:r w:rsidRPr="00EC63E9">
              <w:rPr>
                <w:rFonts w:ascii="Arial Narrow" w:hAnsi="Arial Narrow"/>
                <w:sz w:val="20"/>
                <w:vertAlign w:val="superscript"/>
              </w:rPr>
              <w:t>®</w:t>
            </w:r>
            <w:r w:rsidRPr="00EC63E9">
              <w:rPr>
                <w:rFonts w:ascii="Arial Narrow" w:hAnsi="Arial Narrow"/>
                <w:sz w:val="20"/>
              </w:rPr>
              <w:t xml:space="preserve"> fentanyl citrate for the treatment of breakthrough pain in opioid-tolerant cancer patients. </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Internal study report.</w:t>
            </w:r>
          </w:p>
        </w:tc>
      </w:tr>
      <w:tr w:rsidR="00B42E23" w:rsidRPr="00EC63E9" w:rsidTr="00B42E23">
        <w:tc>
          <w:tcPr>
            <w:tcW w:w="679" w:type="pct"/>
            <w:vMerge/>
            <w:vAlign w:val="center"/>
          </w:tcPr>
          <w:p w:rsidR="00B42E23" w:rsidRPr="00EC63E9" w:rsidRDefault="00B42E23" w:rsidP="001B487E">
            <w:pPr>
              <w:jc w:val="left"/>
              <w:rPr>
                <w:rFonts w:ascii="Arial Narrow" w:hAnsi="Arial Narrow"/>
                <w:sz w:val="20"/>
              </w:rPr>
            </w:pP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Portenoy</w:t>
            </w:r>
            <w:proofErr w:type="spellEnd"/>
            <w:r w:rsidRPr="00EC63E9">
              <w:rPr>
                <w:rFonts w:ascii="Arial Narrow" w:hAnsi="Arial Narrow"/>
                <w:sz w:val="20"/>
              </w:rPr>
              <w:t xml:space="preserve"> et al (2006). A randomized, placebo-controlled study of fentanyl buccal tablet for breakthrough pain in opioid-treated patients with cancer.</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 xml:space="preserve">Clinical Journal of Pain </w:t>
            </w:r>
            <w:r w:rsidRPr="00EC63E9">
              <w:rPr>
                <w:rFonts w:ascii="Arial Narrow" w:hAnsi="Arial Narrow"/>
                <w:sz w:val="20"/>
              </w:rPr>
              <w:br/>
              <w:t>22: 805-811</w:t>
            </w:r>
          </w:p>
        </w:tc>
      </w:tr>
      <w:tr w:rsidR="00B42E23" w:rsidRPr="00EC63E9" w:rsidTr="00B42E23">
        <w:tc>
          <w:tcPr>
            <w:tcW w:w="679" w:type="pct"/>
            <w:vMerge w:val="restart"/>
            <w:vAlign w:val="center"/>
          </w:tcPr>
          <w:p w:rsidR="00B42E23" w:rsidRPr="00EC63E9" w:rsidRDefault="00B42E23" w:rsidP="001B487E">
            <w:pPr>
              <w:jc w:val="left"/>
              <w:rPr>
                <w:rFonts w:ascii="Arial Narrow" w:hAnsi="Arial Narrow"/>
                <w:sz w:val="20"/>
              </w:rPr>
            </w:pPr>
            <w:r w:rsidRPr="00EC63E9">
              <w:rPr>
                <w:rFonts w:ascii="Arial Narrow" w:hAnsi="Arial Narrow"/>
                <w:sz w:val="20"/>
              </w:rPr>
              <w:t>Study 3039</w:t>
            </w: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Cephalon</w:t>
            </w:r>
            <w:proofErr w:type="spellEnd"/>
            <w:r w:rsidRPr="00EC63E9">
              <w:rPr>
                <w:rFonts w:ascii="Arial Narrow" w:hAnsi="Arial Narrow"/>
                <w:sz w:val="20"/>
              </w:rPr>
              <w:t xml:space="preserve"> Clinical Study Report (2007). A double-blind, randomized, placebo-controlled study to evaluate the efficacy, safety and tolerability of ORAVESCENT</w:t>
            </w:r>
            <w:r w:rsidRPr="00EC63E9">
              <w:rPr>
                <w:rFonts w:ascii="Arial Narrow" w:hAnsi="Arial Narrow"/>
                <w:sz w:val="20"/>
                <w:vertAlign w:val="superscript"/>
              </w:rPr>
              <w:t xml:space="preserve">® </w:t>
            </w:r>
            <w:r w:rsidRPr="00EC63E9">
              <w:rPr>
                <w:rFonts w:ascii="Arial Narrow" w:hAnsi="Arial Narrow"/>
                <w:sz w:val="20"/>
              </w:rPr>
              <w:t xml:space="preserve">fentanyl citrate in opioid-tolerant patients with cancer and breakthrough pain. </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Internal study report</w:t>
            </w:r>
          </w:p>
        </w:tc>
      </w:tr>
      <w:tr w:rsidR="00B42E23" w:rsidRPr="00EC63E9" w:rsidTr="00B42E23">
        <w:tc>
          <w:tcPr>
            <w:tcW w:w="679" w:type="pct"/>
            <w:vMerge/>
            <w:vAlign w:val="center"/>
          </w:tcPr>
          <w:p w:rsidR="00B42E23" w:rsidRPr="00EC63E9" w:rsidRDefault="00B42E23" w:rsidP="001B487E">
            <w:pPr>
              <w:jc w:val="left"/>
              <w:rPr>
                <w:rFonts w:ascii="Arial Narrow" w:hAnsi="Arial Narrow"/>
                <w:sz w:val="20"/>
              </w:rPr>
            </w:pP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Slatkin</w:t>
            </w:r>
            <w:proofErr w:type="spellEnd"/>
            <w:r w:rsidRPr="00EC63E9">
              <w:rPr>
                <w:rFonts w:ascii="Arial Narrow" w:hAnsi="Arial Narrow"/>
                <w:sz w:val="20"/>
              </w:rPr>
              <w:t xml:space="preserve"> et al (2007). Fentanyl buccal tablet for relief of breakthrough pain in opioid-tolerant patients with cancer-related chronic pain.</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Journal of Supportive Oncology 5: 327-334</w:t>
            </w:r>
          </w:p>
        </w:tc>
      </w:tr>
      <w:tr w:rsidR="00B42E23" w:rsidRPr="00EC63E9" w:rsidTr="00B42E23">
        <w:tc>
          <w:tcPr>
            <w:tcW w:w="679" w:type="pct"/>
            <w:vAlign w:val="center"/>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Kosugi</w:t>
            </w:r>
            <w:proofErr w:type="spellEnd"/>
            <w:r w:rsidRPr="00EC63E9">
              <w:rPr>
                <w:rFonts w:ascii="Arial Narrow" w:hAnsi="Arial Narrow"/>
                <w:sz w:val="20"/>
              </w:rPr>
              <w:t xml:space="preserve"> 2014</w:t>
            </w: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Kosugi</w:t>
            </w:r>
            <w:proofErr w:type="spellEnd"/>
            <w:r w:rsidRPr="00EC63E9">
              <w:rPr>
                <w:rFonts w:ascii="Arial Narrow" w:hAnsi="Arial Narrow"/>
                <w:sz w:val="20"/>
              </w:rPr>
              <w:t xml:space="preserve"> et al (2014). A randomized, double-blind, placebo-controlled study of fentanyl buccal tablets for breakthrough pain: efficacy and safety in Japanese cancer patients.</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Journal of Pain and Symptom Management 47: 990-1000</w:t>
            </w:r>
          </w:p>
        </w:tc>
      </w:tr>
      <w:tr w:rsidR="00B42E23" w:rsidRPr="00EC63E9" w:rsidTr="00B42E23">
        <w:tc>
          <w:tcPr>
            <w:tcW w:w="679" w:type="pct"/>
            <w:vMerge w:val="restart"/>
            <w:vAlign w:val="center"/>
          </w:tcPr>
          <w:p w:rsidR="00B42E23" w:rsidRPr="00EC63E9" w:rsidRDefault="00B42E23" w:rsidP="001B487E">
            <w:pPr>
              <w:jc w:val="left"/>
              <w:rPr>
                <w:rFonts w:ascii="Arial Narrow" w:hAnsi="Arial Narrow"/>
                <w:sz w:val="20"/>
              </w:rPr>
            </w:pPr>
            <w:r w:rsidRPr="00EC63E9">
              <w:rPr>
                <w:rFonts w:ascii="Arial Narrow" w:hAnsi="Arial Narrow"/>
                <w:sz w:val="20"/>
              </w:rPr>
              <w:t>Farrar 1998</w:t>
            </w:r>
          </w:p>
        </w:tc>
        <w:tc>
          <w:tcPr>
            <w:tcW w:w="3178" w:type="pct"/>
          </w:tcPr>
          <w:p w:rsidR="00B42E23" w:rsidRPr="00EC63E9" w:rsidRDefault="00B42E23" w:rsidP="001B487E">
            <w:pPr>
              <w:jc w:val="left"/>
              <w:rPr>
                <w:rFonts w:ascii="Arial Narrow" w:hAnsi="Arial Narrow"/>
                <w:sz w:val="20"/>
              </w:rPr>
            </w:pPr>
            <w:r w:rsidRPr="00EC63E9">
              <w:rPr>
                <w:rFonts w:ascii="Arial Narrow" w:hAnsi="Arial Narrow"/>
                <w:sz w:val="20"/>
              </w:rPr>
              <w:t xml:space="preserve">Farrar et al (1998). Oral </w:t>
            </w:r>
            <w:proofErr w:type="spellStart"/>
            <w:r w:rsidRPr="00EC63E9">
              <w:rPr>
                <w:rFonts w:ascii="Arial Narrow" w:hAnsi="Arial Narrow"/>
                <w:sz w:val="20"/>
              </w:rPr>
              <w:t>transmucosal</w:t>
            </w:r>
            <w:proofErr w:type="spellEnd"/>
            <w:r w:rsidRPr="00EC63E9">
              <w:rPr>
                <w:rFonts w:ascii="Arial Narrow" w:hAnsi="Arial Narrow"/>
                <w:sz w:val="20"/>
              </w:rPr>
              <w:t xml:space="preserve"> fentanyl citrate: randomized, double-blinded, placebo-controlled trial for treatment of breakthrough pain in cancer patients.</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Journal of the National Cancer Institute 90: 611-616</w:t>
            </w:r>
          </w:p>
        </w:tc>
      </w:tr>
      <w:tr w:rsidR="00B42E23" w:rsidRPr="00EC63E9" w:rsidTr="00B42E23">
        <w:tc>
          <w:tcPr>
            <w:tcW w:w="679" w:type="pct"/>
            <w:vMerge/>
          </w:tcPr>
          <w:p w:rsidR="00B42E23" w:rsidRPr="00EC63E9" w:rsidRDefault="00B42E23" w:rsidP="001B487E">
            <w:pPr>
              <w:jc w:val="left"/>
              <w:rPr>
                <w:rFonts w:ascii="Arial Narrow" w:hAnsi="Arial Narrow"/>
                <w:sz w:val="20"/>
              </w:rPr>
            </w:pPr>
          </w:p>
        </w:tc>
        <w:tc>
          <w:tcPr>
            <w:tcW w:w="3178" w:type="pct"/>
          </w:tcPr>
          <w:p w:rsidR="00B42E23" w:rsidRPr="00EC63E9" w:rsidRDefault="00B42E23" w:rsidP="001B487E">
            <w:pPr>
              <w:jc w:val="left"/>
              <w:rPr>
                <w:rFonts w:ascii="Arial Narrow" w:hAnsi="Arial Narrow"/>
                <w:sz w:val="20"/>
              </w:rPr>
            </w:pPr>
            <w:r w:rsidRPr="00EC63E9">
              <w:rPr>
                <w:rFonts w:ascii="Arial Narrow" w:hAnsi="Arial Narrow"/>
                <w:sz w:val="20"/>
              </w:rPr>
              <w:t>Farrar et al (2000). Defining the clinically important difference in pain outcome measures.</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Pain 88: 287-294</w:t>
            </w:r>
          </w:p>
        </w:tc>
      </w:tr>
      <w:tr w:rsidR="00B42E23" w:rsidRPr="00EC63E9" w:rsidTr="00B42E23">
        <w:tc>
          <w:tcPr>
            <w:tcW w:w="5000" w:type="pct"/>
            <w:gridSpan w:val="3"/>
          </w:tcPr>
          <w:p w:rsidR="00B42E23" w:rsidRPr="00EC63E9" w:rsidRDefault="00B42E23" w:rsidP="001B487E">
            <w:pPr>
              <w:jc w:val="left"/>
              <w:rPr>
                <w:rFonts w:ascii="Arial Narrow" w:hAnsi="Arial Narrow"/>
                <w:b/>
                <w:sz w:val="20"/>
              </w:rPr>
            </w:pPr>
            <w:r w:rsidRPr="00EC63E9">
              <w:rPr>
                <w:rFonts w:ascii="Arial Narrow" w:hAnsi="Arial Narrow"/>
                <w:b/>
                <w:sz w:val="20"/>
              </w:rPr>
              <w:t>Supportive studies</w:t>
            </w:r>
          </w:p>
        </w:tc>
      </w:tr>
      <w:tr w:rsidR="00B42E23" w:rsidRPr="00EC63E9" w:rsidTr="00B42E23">
        <w:tc>
          <w:tcPr>
            <w:tcW w:w="679" w:type="pct"/>
            <w:vAlign w:val="center"/>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Berardi</w:t>
            </w:r>
            <w:proofErr w:type="spellEnd"/>
            <w:r w:rsidRPr="00EC63E9">
              <w:rPr>
                <w:rFonts w:ascii="Arial Narrow" w:hAnsi="Arial Narrow"/>
                <w:sz w:val="20"/>
              </w:rPr>
              <w:t xml:space="preserve"> 2012</w:t>
            </w:r>
          </w:p>
        </w:tc>
        <w:tc>
          <w:tcPr>
            <w:tcW w:w="3178" w:type="pct"/>
          </w:tcPr>
          <w:p w:rsidR="00B42E23" w:rsidRPr="00EC63E9" w:rsidRDefault="00B42E23" w:rsidP="001B487E">
            <w:pPr>
              <w:jc w:val="left"/>
              <w:rPr>
                <w:rFonts w:ascii="Arial Narrow" w:hAnsi="Arial Narrow"/>
                <w:b/>
                <w:sz w:val="20"/>
              </w:rPr>
            </w:pPr>
            <w:proofErr w:type="spellStart"/>
            <w:r w:rsidRPr="00EC63E9">
              <w:rPr>
                <w:rFonts w:ascii="Arial Narrow" w:hAnsi="Arial Narrow"/>
                <w:sz w:val="20"/>
              </w:rPr>
              <w:t>Berardi</w:t>
            </w:r>
            <w:proofErr w:type="spellEnd"/>
            <w:r w:rsidRPr="00EC63E9">
              <w:rPr>
                <w:rFonts w:ascii="Arial Narrow" w:hAnsi="Arial Narrow"/>
                <w:sz w:val="20"/>
              </w:rPr>
              <w:t xml:space="preserve"> et al (2012). Oral </w:t>
            </w:r>
            <w:proofErr w:type="spellStart"/>
            <w:r w:rsidRPr="00EC63E9">
              <w:rPr>
                <w:rFonts w:ascii="Arial Narrow" w:hAnsi="Arial Narrow"/>
                <w:sz w:val="20"/>
              </w:rPr>
              <w:t>transmucosal</w:t>
            </w:r>
            <w:proofErr w:type="spellEnd"/>
            <w:r w:rsidRPr="00EC63E9">
              <w:rPr>
                <w:rFonts w:ascii="Arial Narrow" w:hAnsi="Arial Narrow"/>
                <w:sz w:val="20"/>
              </w:rPr>
              <w:t xml:space="preserve"> fentanyl citrate (OTFC) vs. fentanyl buccal tablet (FBT) for breakthrough cancer pain (</w:t>
            </w:r>
            <w:proofErr w:type="spellStart"/>
            <w:r w:rsidRPr="00EC63E9">
              <w:rPr>
                <w:rFonts w:ascii="Arial Narrow" w:hAnsi="Arial Narrow"/>
                <w:sz w:val="20"/>
              </w:rPr>
              <w:t>BTcP</w:t>
            </w:r>
            <w:proofErr w:type="spellEnd"/>
            <w:r w:rsidRPr="00EC63E9">
              <w:rPr>
                <w:rFonts w:ascii="Arial Narrow" w:hAnsi="Arial Narrow"/>
                <w:sz w:val="20"/>
              </w:rPr>
              <w:t>).</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Supportive Care in Cancer 20:S118 [abstract only]</w:t>
            </w:r>
          </w:p>
        </w:tc>
      </w:tr>
      <w:tr w:rsidR="00B42E23" w:rsidRPr="00EC63E9" w:rsidTr="00B42E23">
        <w:tc>
          <w:tcPr>
            <w:tcW w:w="679" w:type="pct"/>
            <w:vAlign w:val="center"/>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Graffi</w:t>
            </w:r>
            <w:proofErr w:type="spellEnd"/>
            <w:r w:rsidRPr="00EC63E9">
              <w:rPr>
                <w:rFonts w:ascii="Arial Narrow" w:hAnsi="Arial Narrow"/>
                <w:sz w:val="20"/>
              </w:rPr>
              <w:t xml:space="preserve"> 2011</w:t>
            </w:r>
          </w:p>
        </w:tc>
        <w:tc>
          <w:tcPr>
            <w:tcW w:w="3178" w:type="pct"/>
          </w:tcPr>
          <w:p w:rsidR="00B42E23" w:rsidRPr="00EC63E9" w:rsidRDefault="00B42E23" w:rsidP="001B487E">
            <w:pPr>
              <w:jc w:val="left"/>
              <w:rPr>
                <w:rFonts w:ascii="Arial Narrow" w:hAnsi="Arial Narrow"/>
                <w:b/>
                <w:sz w:val="20"/>
              </w:rPr>
            </w:pPr>
            <w:proofErr w:type="spellStart"/>
            <w:r w:rsidRPr="00EC63E9">
              <w:rPr>
                <w:rFonts w:ascii="Arial Narrow" w:hAnsi="Arial Narrow"/>
                <w:sz w:val="20"/>
              </w:rPr>
              <w:t>Graffi</w:t>
            </w:r>
            <w:proofErr w:type="spellEnd"/>
            <w:r w:rsidRPr="00EC63E9">
              <w:rPr>
                <w:rFonts w:ascii="Arial Narrow" w:hAnsi="Arial Narrow"/>
                <w:sz w:val="20"/>
              </w:rPr>
              <w:t xml:space="preserve"> et al (2011). Oral </w:t>
            </w:r>
            <w:proofErr w:type="spellStart"/>
            <w:r w:rsidRPr="00EC63E9">
              <w:rPr>
                <w:rFonts w:ascii="Arial Narrow" w:hAnsi="Arial Narrow"/>
                <w:sz w:val="20"/>
              </w:rPr>
              <w:t>transmucosal</w:t>
            </w:r>
            <w:proofErr w:type="spellEnd"/>
            <w:r w:rsidRPr="00EC63E9">
              <w:rPr>
                <w:rFonts w:ascii="Arial Narrow" w:hAnsi="Arial Narrow"/>
                <w:sz w:val="20"/>
              </w:rPr>
              <w:t xml:space="preserve"> fentanyl citrate (OTFC) vs tablet form of fentanyl citrate (TFFC) for cancer-related breakthrough pain (BTCP).</w:t>
            </w:r>
          </w:p>
        </w:tc>
        <w:tc>
          <w:tcPr>
            <w:tcW w:w="1143" w:type="pct"/>
            <w:vAlign w:val="center"/>
          </w:tcPr>
          <w:p w:rsidR="00B42E23" w:rsidRPr="00EC63E9" w:rsidRDefault="00B42E23" w:rsidP="001B487E">
            <w:pPr>
              <w:jc w:val="left"/>
              <w:rPr>
                <w:rFonts w:ascii="Arial Narrow" w:hAnsi="Arial Narrow"/>
                <w:b/>
                <w:sz w:val="20"/>
              </w:rPr>
            </w:pPr>
            <w:r w:rsidRPr="00EC63E9">
              <w:rPr>
                <w:rFonts w:ascii="Arial Narrow" w:hAnsi="Arial Narrow"/>
                <w:sz w:val="20"/>
              </w:rPr>
              <w:t>European Journal of Pain S5: 173 [abstract only]</w:t>
            </w:r>
          </w:p>
        </w:tc>
      </w:tr>
      <w:tr w:rsidR="00B42E23" w:rsidRPr="00EC63E9" w:rsidTr="00B42E23">
        <w:tc>
          <w:tcPr>
            <w:tcW w:w="5000" w:type="pct"/>
            <w:gridSpan w:val="3"/>
          </w:tcPr>
          <w:p w:rsidR="00B42E23" w:rsidRPr="00EC63E9" w:rsidRDefault="00B42E23" w:rsidP="001B487E">
            <w:pPr>
              <w:jc w:val="left"/>
              <w:rPr>
                <w:rFonts w:ascii="Arial Narrow" w:hAnsi="Arial Narrow"/>
                <w:b/>
                <w:sz w:val="20"/>
              </w:rPr>
            </w:pPr>
            <w:r w:rsidRPr="00EC63E9">
              <w:rPr>
                <w:rFonts w:ascii="Arial Narrow" w:hAnsi="Arial Narrow"/>
                <w:b/>
                <w:sz w:val="20"/>
              </w:rPr>
              <w:t>Long-term safety studies</w:t>
            </w:r>
          </w:p>
        </w:tc>
      </w:tr>
      <w:tr w:rsidR="00B42E23" w:rsidRPr="00EC63E9" w:rsidTr="00B42E23">
        <w:tc>
          <w:tcPr>
            <w:tcW w:w="679" w:type="pct"/>
            <w:vMerge w:val="restart"/>
            <w:vAlign w:val="center"/>
          </w:tcPr>
          <w:p w:rsidR="00B42E23" w:rsidRPr="00EC63E9" w:rsidRDefault="00B42E23" w:rsidP="001B487E">
            <w:pPr>
              <w:jc w:val="left"/>
              <w:rPr>
                <w:rFonts w:ascii="Arial Narrow" w:hAnsi="Arial Narrow"/>
                <w:sz w:val="20"/>
              </w:rPr>
            </w:pPr>
            <w:r w:rsidRPr="00EC63E9">
              <w:rPr>
                <w:rFonts w:ascii="Arial Narrow" w:hAnsi="Arial Narrow"/>
                <w:sz w:val="20"/>
              </w:rPr>
              <w:t>Study 15</w:t>
            </w: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Cephalon</w:t>
            </w:r>
            <w:proofErr w:type="spellEnd"/>
            <w:r w:rsidRPr="00EC63E9">
              <w:rPr>
                <w:rFonts w:ascii="Arial Narrow" w:hAnsi="Arial Narrow"/>
                <w:sz w:val="20"/>
              </w:rPr>
              <w:t xml:space="preserve"> Clinical Study Report (2007). A multicentre, open-label, long-term study of ORAVESCENT</w:t>
            </w:r>
            <w:r w:rsidRPr="00EC63E9">
              <w:rPr>
                <w:rFonts w:ascii="Arial Narrow" w:hAnsi="Arial Narrow"/>
                <w:sz w:val="20"/>
                <w:vertAlign w:val="superscript"/>
              </w:rPr>
              <w:t>®</w:t>
            </w:r>
            <w:r w:rsidRPr="00EC63E9">
              <w:rPr>
                <w:rFonts w:ascii="Arial Narrow" w:hAnsi="Arial Narrow"/>
                <w:sz w:val="20"/>
              </w:rPr>
              <w:t xml:space="preserve"> fentanyl citrate for the treatment of breakthrough pain in opioid-tolerant cancer patients. </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Internal study report</w:t>
            </w:r>
          </w:p>
        </w:tc>
      </w:tr>
      <w:tr w:rsidR="00B42E23" w:rsidRPr="00EC63E9" w:rsidTr="00B42E23">
        <w:tc>
          <w:tcPr>
            <w:tcW w:w="679" w:type="pct"/>
            <w:vMerge/>
          </w:tcPr>
          <w:p w:rsidR="00B42E23" w:rsidRPr="00EC63E9" w:rsidRDefault="00B42E23" w:rsidP="001B487E">
            <w:pPr>
              <w:jc w:val="left"/>
              <w:rPr>
                <w:rFonts w:ascii="Arial Narrow" w:hAnsi="Arial Narrow"/>
                <w:sz w:val="20"/>
              </w:rPr>
            </w:pPr>
          </w:p>
        </w:tc>
        <w:tc>
          <w:tcPr>
            <w:tcW w:w="3178" w:type="pct"/>
          </w:tcPr>
          <w:p w:rsidR="00B42E23" w:rsidRPr="00EC63E9" w:rsidRDefault="00B42E23" w:rsidP="001B487E">
            <w:pPr>
              <w:jc w:val="left"/>
              <w:rPr>
                <w:rFonts w:ascii="Arial Narrow" w:hAnsi="Arial Narrow"/>
                <w:sz w:val="20"/>
              </w:rPr>
            </w:pPr>
            <w:r w:rsidRPr="00EC63E9">
              <w:rPr>
                <w:rFonts w:ascii="Arial Narrow" w:hAnsi="Arial Narrow"/>
                <w:sz w:val="20"/>
              </w:rPr>
              <w:t>Weinstein et al (2009). Fentanyl buccal tablet for the treatment of breakthrough pain in opioid-tolerant patients with chronic cancer pain: a long-term, open-label safety study.</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Cancer 115: 2571-2579</w:t>
            </w:r>
          </w:p>
        </w:tc>
      </w:tr>
      <w:tr w:rsidR="00B42E23" w:rsidRPr="00EC63E9" w:rsidTr="00B42E23">
        <w:tc>
          <w:tcPr>
            <w:tcW w:w="679" w:type="pct"/>
            <w:vMerge w:val="restart"/>
            <w:vAlign w:val="center"/>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Lotfi</w:t>
            </w:r>
            <w:proofErr w:type="spellEnd"/>
            <w:r w:rsidRPr="00EC63E9">
              <w:rPr>
                <w:rFonts w:ascii="Arial Narrow" w:hAnsi="Arial Narrow"/>
                <w:sz w:val="20"/>
              </w:rPr>
              <w:t xml:space="preserve"> 2011/2012</w:t>
            </w: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Lotfi</w:t>
            </w:r>
            <w:proofErr w:type="spellEnd"/>
            <w:r w:rsidRPr="00EC63E9">
              <w:rPr>
                <w:rFonts w:ascii="Arial Narrow" w:hAnsi="Arial Narrow"/>
                <w:sz w:val="20"/>
              </w:rPr>
              <w:t xml:space="preserve"> et al (2011). Fentanyl buccal tablets for breakthrough cancer pain treatment – results of a non-interventional study evaluating its routine use in Germany/Austria. </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European Journal of Pain Supplements 5 :173 [abstract only]</w:t>
            </w:r>
          </w:p>
        </w:tc>
      </w:tr>
      <w:tr w:rsidR="00B42E23" w:rsidRPr="00EC63E9" w:rsidTr="00B42E23">
        <w:tc>
          <w:tcPr>
            <w:tcW w:w="679" w:type="pct"/>
            <w:vMerge/>
          </w:tcPr>
          <w:p w:rsidR="00B42E23" w:rsidRPr="00EC63E9" w:rsidRDefault="00B42E23" w:rsidP="001B487E">
            <w:pPr>
              <w:jc w:val="left"/>
              <w:rPr>
                <w:rFonts w:ascii="Arial Narrow" w:hAnsi="Arial Narrow"/>
                <w:sz w:val="20"/>
              </w:rPr>
            </w:pPr>
          </w:p>
        </w:tc>
        <w:tc>
          <w:tcPr>
            <w:tcW w:w="3178" w:type="pct"/>
          </w:tcPr>
          <w:p w:rsidR="00B42E23" w:rsidRPr="00EC63E9" w:rsidRDefault="00B42E23" w:rsidP="001B487E">
            <w:pPr>
              <w:jc w:val="left"/>
              <w:rPr>
                <w:rFonts w:ascii="Arial Narrow" w:hAnsi="Arial Narrow"/>
                <w:sz w:val="20"/>
              </w:rPr>
            </w:pPr>
            <w:proofErr w:type="spellStart"/>
            <w:r w:rsidRPr="00EC63E9">
              <w:rPr>
                <w:rFonts w:ascii="Arial Narrow" w:hAnsi="Arial Narrow"/>
                <w:sz w:val="20"/>
              </w:rPr>
              <w:t>Lotfi</w:t>
            </w:r>
            <w:proofErr w:type="spellEnd"/>
            <w:r w:rsidRPr="00EC63E9">
              <w:rPr>
                <w:rFonts w:ascii="Arial Narrow" w:hAnsi="Arial Narrow"/>
                <w:sz w:val="20"/>
              </w:rPr>
              <w:t xml:space="preserve"> et al (2012). Routine use of fentanyl buccal tablets for breakthrough cancer pain in Germany/Austria: results of a non-interventional study as part of a European risk management plan.</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Palliative Medicine 26: 550-551 [abstract only]</w:t>
            </w:r>
          </w:p>
        </w:tc>
      </w:tr>
      <w:tr w:rsidR="00B42E23" w:rsidRPr="00EC63E9" w:rsidTr="00B42E23">
        <w:tc>
          <w:tcPr>
            <w:tcW w:w="679"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Davies 2015</w:t>
            </w:r>
          </w:p>
        </w:tc>
        <w:tc>
          <w:tcPr>
            <w:tcW w:w="3178" w:type="pct"/>
          </w:tcPr>
          <w:p w:rsidR="00B42E23" w:rsidRPr="00EC63E9" w:rsidRDefault="00B42E23" w:rsidP="001B487E">
            <w:pPr>
              <w:jc w:val="left"/>
              <w:rPr>
                <w:rFonts w:ascii="Arial Narrow" w:hAnsi="Arial Narrow"/>
                <w:sz w:val="20"/>
              </w:rPr>
            </w:pPr>
            <w:r w:rsidRPr="00EC63E9">
              <w:rPr>
                <w:rFonts w:ascii="Arial Narrow" w:hAnsi="Arial Narrow"/>
                <w:sz w:val="20"/>
              </w:rPr>
              <w:t>Davies et al (2015). Improved patient functioning after treatment of breakthrough cancer pain: an open-label study of buccal tablets in patients with cancer pain.</w:t>
            </w:r>
          </w:p>
        </w:tc>
        <w:tc>
          <w:tcPr>
            <w:tcW w:w="1143" w:type="pct"/>
            <w:vAlign w:val="center"/>
          </w:tcPr>
          <w:p w:rsidR="00B42E23" w:rsidRPr="00EC63E9" w:rsidRDefault="00B42E23" w:rsidP="001B487E">
            <w:pPr>
              <w:jc w:val="left"/>
              <w:rPr>
                <w:rFonts w:ascii="Arial Narrow" w:hAnsi="Arial Narrow"/>
                <w:sz w:val="20"/>
              </w:rPr>
            </w:pPr>
            <w:r w:rsidRPr="00EC63E9">
              <w:rPr>
                <w:rFonts w:ascii="Arial Narrow" w:hAnsi="Arial Narrow"/>
                <w:sz w:val="20"/>
              </w:rPr>
              <w:t>Supportive Care in Cancer. Published online 4 January 2015.</w:t>
            </w:r>
          </w:p>
        </w:tc>
      </w:tr>
    </w:tbl>
    <w:p w:rsidR="00B42E23" w:rsidRPr="00EC63E9" w:rsidRDefault="00B42E23" w:rsidP="00B42E23">
      <w:pPr>
        <w:pStyle w:val="TableFooter"/>
        <w:ind w:firstLine="720"/>
      </w:pPr>
      <w:r w:rsidRPr="00EC63E9">
        <w:t>Source: Table B.2-1 (p 12-14), Section B of the submission</w:t>
      </w:r>
    </w:p>
    <w:p w:rsidR="00862502" w:rsidRPr="00EC63E9" w:rsidRDefault="00862502" w:rsidP="008F120A">
      <w:pPr>
        <w:widowControl/>
        <w:rPr>
          <w:szCs w:val="22"/>
        </w:rPr>
      </w:pPr>
    </w:p>
    <w:p w:rsidR="007F1017" w:rsidRPr="00EC63E9" w:rsidRDefault="008F120A" w:rsidP="00B77ED1">
      <w:pPr>
        <w:pStyle w:val="ListParagraph"/>
        <w:widowControl/>
        <w:numPr>
          <w:ilvl w:val="1"/>
          <w:numId w:val="1"/>
        </w:numPr>
        <w:rPr>
          <w:szCs w:val="22"/>
        </w:rPr>
      </w:pPr>
      <w:r w:rsidRPr="00EC63E9">
        <w:rPr>
          <w:szCs w:val="22"/>
        </w:rPr>
        <w:t xml:space="preserve">The key features of </w:t>
      </w:r>
      <w:r w:rsidR="00B42E23" w:rsidRPr="00EC63E9">
        <w:rPr>
          <w:szCs w:val="22"/>
        </w:rPr>
        <w:t>the included trials</w:t>
      </w:r>
      <w:r w:rsidRPr="00EC63E9">
        <w:rPr>
          <w:szCs w:val="22"/>
        </w:rPr>
        <w:t xml:space="preserve"> are summarised in the table below</w:t>
      </w:r>
    </w:p>
    <w:p w:rsidR="00B42E23" w:rsidRPr="00EC63E9" w:rsidRDefault="00B42E23" w:rsidP="00B42E23">
      <w:pPr>
        <w:pStyle w:val="ListParagraph"/>
        <w:widowControl/>
        <w:rPr>
          <w:szCs w:val="22"/>
        </w:rPr>
      </w:pPr>
    </w:p>
    <w:p w:rsidR="007C7320" w:rsidRPr="00EC63E9" w:rsidRDefault="007C7320">
      <w:pPr>
        <w:widowControl/>
        <w:jc w:val="left"/>
        <w:rPr>
          <w:rStyle w:val="CommentReference"/>
        </w:rPr>
      </w:pPr>
      <w:r w:rsidRPr="00EC63E9">
        <w:rPr>
          <w:rStyle w:val="CommentReference"/>
        </w:rPr>
        <w:br w:type="page"/>
      </w:r>
    </w:p>
    <w:p w:rsidR="007F1017" w:rsidRPr="00EC63E9" w:rsidRDefault="00B42E23" w:rsidP="00E22A0D">
      <w:pPr>
        <w:ind w:firstLine="720"/>
        <w:rPr>
          <w:rStyle w:val="CommentReference"/>
        </w:rPr>
      </w:pPr>
      <w:r w:rsidRPr="00EC63E9">
        <w:rPr>
          <w:rStyle w:val="CommentReference"/>
        </w:rPr>
        <w:lastRenderedPageBreak/>
        <w:t>Table 2</w:t>
      </w:r>
      <w:r w:rsidR="007F1017" w:rsidRPr="00EC63E9">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606"/>
        <w:gridCol w:w="1228"/>
        <w:gridCol w:w="1137"/>
        <w:gridCol w:w="2530"/>
      </w:tblGrid>
      <w:tr w:rsidR="00F87CBE" w:rsidRPr="00EC63E9" w:rsidTr="00AF593C">
        <w:tc>
          <w:tcPr>
            <w:tcW w:w="679" w:type="pct"/>
            <w:shd w:val="clear" w:color="auto" w:fill="auto"/>
            <w:vAlign w:val="center"/>
          </w:tcPr>
          <w:p w:rsidR="00F87CBE" w:rsidRPr="00EC63E9" w:rsidRDefault="00F87CBE" w:rsidP="007F1017">
            <w:pPr>
              <w:jc w:val="left"/>
              <w:rPr>
                <w:rFonts w:ascii="Arial Narrow" w:hAnsi="Arial Narrow"/>
                <w:b/>
                <w:sz w:val="20"/>
                <w:lang w:val="en-US"/>
              </w:rPr>
            </w:pPr>
            <w:r w:rsidRPr="00EC63E9">
              <w:rPr>
                <w:rFonts w:ascii="Arial Narrow" w:hAnsi="Arial Narrow"/>
                <w:b/>
                <w:sz w:val="20"/>
                <w:lang w:val="en-US"/>
              </w:rPr>
              <w:t>Trial</w:t>
            </w:r>
          </w:p>
        </w:tc>
        <w:tc>
          <w:tcPr>
            <w:tcW w:w="426" w:type="pct"/>
            <w:shd w:val="clear" w:color="auto" w:fill="auto"/>
            <w:vAlign w:val="center"/>
          </w:tcPr>
          <w:p w:rsidR="00F87CBE" w:rsidRPr="00EC63E9" w:rsidRDefault="00F87CBE" w:rsidP="007F1017">
            <w:pPr>
              <w:jc w:val="center"/>
              <w:rPr>
                <w:rFonts w:ascii="Arial Narrow" w:hAnsi="Arial Narrow"/>
                <w:b/>
                <w:sz w:val="20"/>
                <w:lang w:val="en-US"/>
              </w:rPr>
            </w:pPr>
            <w:r w:rsidRPr="00EC63E9">
              <w:rPr>
                <w:rFonts w:ascii="Arial Narrow" w:hAnsi="Arial Narrow"/>
                <w:b/>
                <w:sz w:val="20"/>
                <w:lang w:val="en-US"/>
              </w:rPr>
              <w:t>N</w:t>
            </w:r>
          </w:p>
        </w:tc>
        <w:tc>
          <w:tcPr>
            <w:tcW w:w="962" w:type="pct"/>
            <w:shd w:val="clear" w:color="auto" w:fill="auto"/>
            <w:vAlign w:val="center"/>
          </w:tcPr>
          <w:p w:rsidR="00F87CBE" w:rsidRPr="00EC63E9" w:rsidRDefault="00F87CBE" w:rsidP="007F1017">
            <w:pPr>
              <w:jc w:val="center"/>
              <w:rPr>
                <w:rFonts w:ascii="Arial Narrow" w:hAnsi="Arial Narrow"/>
                <w:b/>
                <w:sz w:val="20"/>
                <w:lang w:val="en-US"/>
              </w:rPr>
            </w:pPr>
            <w:r w:rsidRPr="00EC63E9">
              <w:rPr>
                <w:rFonts w:ascii="Arial Narrow" w:hAnsi="Arial Narrow"/>
                <w:b/>
                <w:sz w:val="20"/>
                <w:lang w:val="en-US"/>
              </w:rPr>
              <w:t>Design/ duration</w:t>
            </w:r>
          </w:p>
        </w:tc>
        <w:tc>
          <w:tcPr>
            <w:tcW w:w="736" w:type="pct"/>
            <w:shd w:val="clear" w:color="auto" w:fill="auto"/>
            <w:vAlign w:val="center"/>
          </w:tcPr>
          <w:p w:rsidR="00F87CBE" w:rsidRPr="00EC63E9" w:rsidRDefault="00F87CBE" w:rsidP="007F1017">
            <w:pPr>
              <w:jc w:val="center"/>
              <w:rPr>
                <w:rFonts w:ascii="Arial Narrow" w:hAnsi="Arial Narrow"/>
                <w:b/>
                <w:sz w:val="20"/>
                <w:lang w:val="en-US"/>
              </w:rPr>
            </w:pPr>
            <w:r w:rsidRPr="00EC63E9">
              <w:rPr>
                <w:rFonts w:ascii="Arial Narrow" w:hAnsi="Arial Narrow"/>
                <w:b/>
                <w:sz w:val="20"/>
                <w:lang w:val="en-US"/>
              </w:rPr>
              <w:t>Risk of bias</w:t>
            </w:r>
          </w:p>
        </w:tc>
        <w:tc>
          <w:tcPr>
            <w:tcW w:w="681" w:type="pct"/>
            <w:shd w:val="clear" w:color="auto" w:fill="auto"/>
            <w:vAlign w:val="center"/>
          </w:tcPr>
          <w:p w:rsidR="00F87CBE" w:rsidRPr="00EC63E9" w:rsidRDefault="00F87CBE" w:rsidP="007F1017">
            <w:pPr>
              <w:jc w:val="center"/>
              <w:rPr>
                <w:rFonts w:ascii="Arial Narrow" w:hAnsi="Arial Narrow"/>
                <w:b/>
                <w:sz w:val="20"/>
                <w:lang w:val="en-US"/>
              </w:rPr>
            </w:pPr>
            <w:r w:rsidRPr="00EC63E9">
              <w:rPr>
                <w:rFonts w:ascii="Arial Narrow" w:hAnsi="Arial Narrow"/>
                <w:b/>
                <w:sz w:val="20"/>
                <w:lang w:val="en-US"/>
              </w:rPr>
              <w:t>Patient population</w:t>
            </w:r>
          </w:p>
        </w:tc>
        <w:tc>
          <w:tcPr>
            <w:tcW w:w="1516" w:type="pct"/>
            <w:shd w:val="clear" w:color="auto" w:fill="auto"/>
            <w:vAlign w:val="center"/>
          </w:tcPr>
          <w:p w:rsidR="00F87CBE" w:rsidRPr="00EC63E9" w:rsidRDefault="00AF593C" w:rsidP="00F87CBE">
            <w:pPr>
              <w:jc w:val="center"/>
              <w:rPr>
                <w:rFonts w:ascii="Arial Narrow" w:hAnsi="Arial Narrow"/>
                <w:b/>
                <w:sz w:val="20"/>
                <w:lang w:val="en-US"/>
              </w:rPr>
            </w:pPr>
            <w:r w:rsidRPr="00EC63E9">
              <w:rPr>
                <w:rFonts w:ascii="Arial Narrow" w:hAnsi="Arial Narrow"/>
                <w:b/>
                <w:sz w:val="20"/>
                <w:lang w:val="en-US"/>
              </w:rPr>
              <w:t>Outcome</w:t>
            </w:r>
            <w:r w:rsidR="00F87CBE" w:rsidRPr="00EC63E9">
              <w:rPr>
                <w:rFonts w:ascii="Arial Narrow" w:hAnsi="Arial Narrow"/>
                <w:b/>
                <w:sz w:val="20"/>
                <w:lang w:val="en-US"/>
              </w:rPr>
              <w:t>s</w:t>
            </w:r>
          </w:p>
        </w:tc>
      </w:tr>
      <w:tr w:rsidR="007F1017" w:rsidRPr="00EC63E9" w:rsidTr="00E22A0D">
        <w:tc>
          <w:tcPr>
            <w:tcW w:w="5000" w:type="pct"/>
            <w:gridSpan w:val="6"/>
            <w:shd w:val="clear" w:color="auto" w:fill="auto"/>
            <w:vAlign w:val="center"/>
          </w:tcPr>
          <w:p w:rsidR="007F1017" w:rsidRPr="00EC63E9" w:rsidRDefault="00B42E23" w:rsidP="007F1017">
            <w:pPr>
              <w:jc w:val="left"/>
              <w:rPr>
                <w:rFonts w:ascii="Arial Narrow" w:hAnsi="Arial Narrow"/>
                <w:b/>
                <w:sz w:val="20"/>
                <w:lang w:val="en-US"/>
              </w:rPr>
            </w:pPr>
            <w:r w:rsidRPr="00EC63E9">
              <w:rPr>
                <w:rFonts w:ascii="Arial Narrow" w:hAnsi="Arial Narrow"/>
                <w:b/>
                <w:sz w:val="20"/>
                <w:lang w:val="en-US"/>
              </w:rPr>
              <w:t>Fentanyl buccal tablets vs. placebo</w:t>
            </w:r>
          </w:p>
        </w:tc>
      </w:tr>
      <w:tr w:rsidR="00F87CBE" w:rsidRPr="00EC63E9" w:rsidTr="00AF593C">
        <w:tc>
          <w:tcPr>
            <w:tcW w:w="679" w:type="pct"/>
            <w:shd w:val="clear" w:color="auto" w:fill="auto"/>
            <w:vAlign w:val="center"/>
          </w:tcPr>
          <w:p w:rsidR="00F87CBE" w:rsidRPr="00EC63E9" w:rsidRDefault="00F87CBE" w:rsidP="007F1017">
            <w:pPr>
              <w:jc w:val="left"/>
              <w:rPr>
                <w:rFonts w:ascii="Arial Narrow" w:hAnsi="Arial Narrow"/>
                <w:sz w:val="20"/>
                <w:lang w:val="en-US"/>
              </w:rPr>
            </w:pPr>
            <w:r w:rsidRPr="00EC63E9">
              <w:rPr>
                <w:rFonts w:ascii="Arial Narrow" w:hAnsi="Arial Narrow"/>
                <w:sz w:val="20"/>
                <w:lang w:val="en-US"/>
              </w:rPr>
              <w:t>Study 14</w:t>
            </w:r>
          </w:p>
        </w:tc>
        <w:tc>
          <w:tcPr>
            <w:tcW w:w="426" w:type="pct"/>
            <w:shd w:val="clear" w:color="auto" w:fill="auto"/>
            <w:vAlign w:val="center"/>
          </w:tcPr>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77</w:t>
            </w:r>
          </w:p>
        </w:tc>
        <w:tc>
          <w:tcPr>
            <w:tcW w:w="962" w:type="pct"/>
            <w:shd w:val="clear" w:color="auto" w:fill="auto"/>
            <w:vAlign w:val="center"/>
          </w:tcPr>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R, DB, MC, CO</w:t>
            </w:r>
          </w:p>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10 pain episodes</w:t>
            </w:r>
          </w:p>
        </w:tc>
        <w:tc>
          <w:tcPr>
            <w:tcW w:w="736" w:type="pct"/>
            <w:shd w:val="clear" w:color="auto" w:fill="auto"/>
            <w:vAlign w:val="center"/>
          </w:tcPr>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Uncertain</w:t>
            </w:r>
          </w:p>
        </w:tc>
        <w:tc>
          <w:tcPr>
            <w:tcW w:w="681" w:type="pct"/>
            <w:shd w:val="clear" w:color="auto" w:fill="auto"/>
            <w:vAlign w:val="center"/>
          </w:tcPr>
          <w:p w:rsidR="00F87CBE" w:rsidRPr="00EC63E9" w:rsidRDefault="00AF593C" w:rsidP="007F1017">
            <w:pPr>
              <w:jc w:val="center"/>
              <w:rPr>
                <w:rFonts w:ascii="Arial Narrow" w:hAnsi="Arial Narrow"/>
                <w:sz w:val="20"/>
                <w:lang w:val="en-US"/>
              </w:rPr>
            </w:pPr>
            <w:r w:rsidRPr="00EC63E9">
              <w:rPr>
                <w:rFonts w:ascii="Arial Narrow" w:hAnsi="Arial Narrow"/>
                <w:sz w:val="20"/>
                <w:lang w:val="en-US"/>
              </w:rPr>
              <w:t>Patients with BTCP</w:t>
            </w:r>
          </w:p>
        </w:tc>
        <w:tc>
          <w:tcPr>
            <w:tcW w:w="1516" w:type="pct"/>
            <w:shd w:val="clear" w:color="auto" w:fill="auto"/>
            <w:vAlign w:val="center"/>
          </w:tcPr>
          <w:p w:rsidR="00F87CBE" w:rsidRPr="00EC63E9" w:rsidRDefault="00AF593C" w:rsidP="007F1017">
            <w:pPr>
              <w:jc w:val="center"/>
              <w:rPr>
                <w:rFonts w:ascii="Arial Narrow" w:hAnsi="Arial Narrow"/>
                <w:sz w:val="20"/>
                <w:lang w:val="en-US"/>
              </w:rPr>
            </w:pPr>
            <w:r w:rsidRPr="00EC63E9">
              <w:rPr>
                <w:rFonts w:ascii="Arial Narrow" w:hAnsi="Arial Narrow"/>
                <w:sz w:val="20"/>
                <w:lang w:val="en-US"/>
              </w:rPr>
              <w:t>Pain intensity/pain relief, global medication performance, rescue medication use</w:t>
            </w:r>
          </w:p>
        </w:tc>
      </w:tr>
      <w:tr w:rsidR="00F87CBE" w:rsidRPr="00EC63E9" w:rsidTr="00AF593C">
        <w:tc>
          <w:tcPr>
            <w:tcW w:w="679" w:type="pct"/>
            <w:shd w:val="clear" w:color="auto" w:fill="auto"/>
            <w:vAlign w:val="center"/>
          </w:tcPr>
          <w:p w:rsidR="00F87CBE" w:rsidRPr="00EC63E9" w:rsidRDefault="00F87CBE" w:rsidP="007F1017">
            <w:pPr>
              <w:jc w:val="left"/>
              <w:rPr>
                <w:rFonts w:ascii="Arial Narrow" w:hAnsi="Arial Narrow"/>
                <w:sz w:val="20"/>
                <w:lang w:val="en-US"/>
              </w:rPr>
            </w:pPr>
            <w:r w:rsidRPr="00EC63E9">
              <w:rPr>
                <w:rFonts w:ascii="Arial Narrow" w:hAnsi="Arial Narrow"/>
                <w:sz w:val="20"/>
                <w:lang w:val="en-US"/>
              </w:rPr>
              <w:t>Study 3039</w:t>
            </w:r>
          </w:p>
        </w:tc>
        <w:tc>
          <w:tcPr>
            <w:tcW w:w="426" w:type="pct"/>
            <w:shd w:val="clear" w:color="auto" w:fill="auto"/>
            <w:vAlign w:val="center"/>
          </w:tcPr>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87</w:t>
            </w:r>
          </w:p>
        </w:tc>
        <w:tc>
          <w:tcPr>
            <w:tcW w:w="962" w:type="pct"/>
            <w:shd w:val="clear" w:color="auto" w:fill="auto"/>
            <w:vAlign w:val="center"/>
          </w:tcPr>
          <w:p w:rsidR="00F87CBE" w:rsidRPr="00EC63E9" w:rsidRDefault="00F87CBE" w:rsidP="00F87CBE">
            <w:pPr>
              <w:jc w:val="center"/>
              <w:rPr>
                <w:rFonts w:ascii="Arial Narrow" w:hAnsi="Arial Narrow"/>
                <w:sz w:val="20"/>
                <w:lang w:val="en-US"/>
              </w:rPr>
            </w:pPr>
            <w:r w:rsidRPr="00EC63E9">
              <w:rPr>
                <w:rFonts w:ascii="Arial Narrow" w:hAnsi="Arial Narrow"/>
                <w:sz w:val="20"/>
                <w:lang w:val="en-US"/>
              </w:rPr>
              <w:t>R, DB, MC, CO</w:t>
            </w:r>
          </w:p>
          <w:p w:rsidR="00F87CBE" w:rsidRPr="00EC63E9" w:rsidRDefault="00F87CBE" w:rsidP="00F87CBE">
            <w:pPr>
              <w:jc w:val="center"/>
              <w:rPr>
                <w:rFonts w:ascii="Arial Narrow" w:hAnsi="Arial Narrow"/>
                <w:sz w:val="20"/>
                <w:lang w:val="en-US"/>
              </w:rPr>
            </w:pPr>
            <w:r w:rsidRPr="00EC63E9">
              <w:rPr>
                <w:rFonts w:ascii="Arial Narrow" w:hAnsi="Arial Narrow"/>
                <w:sz w:val="20"/>
                <w:lang w:val="en-US"/>
              </w:rPr>
              <w:t>10 pain episodes</w:t>
            </w:r>
          </w:p>
        </w:tc>
        <w:tc>
          <w:tcPr>
            <w:tcW w:w="736" w:type="pct"/>
            <w:shd w:val="clear" w:color="auto" w:fill="auto"/>
            <w:vAlign w:val="center"/>
          </w:tcPr>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Uncertain</w:t>
            </w:r>
          </w:p>
        </w:tc>
        <w:tc>
          <w:tcPr>
            <w:tcW w:w="681" w:type="pct"/>
            <w:shd w:val="clear" w:color="auto" w:fill="auto"/>
            <w:vAlign w:val="center"/>
          </w:tcPr>
          <w:p w:rsidR="00F87CBE" w:rsidRPr="00EC63E9" w:rsidRDefault="00AF593C" w:rsidP="007F1017">
            <w:pPr>
              <w:jc w:val="center"/>
              <w:rPr>
                <w:rFonts w:ascii="Arial Narrow" w:hAnsi="Arial Narrow"/>
                <w:sz w:val="20"/>
                <w:lang w:val="en-US"/>
              </w:rPr>
            </w:pPr>
            <w:r w:rsidRPr="00EC63E9">
              <w:rPr>
                <w:rFonts w:ascii="Arial Narrow" w:hAnsi="Arial Narrow"/>
                <w:sz w:val="20"/>
                <w:lang w:val="en-US"/>
              </w:rPr>
              <w:t>Patients with BTCP</w:t>
            </w:r>
          </w:p>
        </w:tc>
        <w:tc>
          <w:tcPr>
            <w:tcW w:w="1516" w:type="pct"/>
            <w:shd w:val="clear" w:color="auto" w:fill="auto"/>
            <w:vAlign w:val="center"/>
          </w:tcPr>
          <w:p w:rsidR="00F87CBE" w:rsidRPr="00EC63E9" w:rsidRDefault="00AF593C" w:rsidP="007F1017">
            <w:pPr>
              <w:jc w:val="center"/>
              <w:rPr>
                <w:rFonts w:ascii="Arial Narrow" w:hAnsi="Arial Narrow"/>
                <w:sz w:val="20"/>
                <w:lang w:val="en-US"/>
              </w:rPr>
            </w:pPr>
            <w:r w:rsidRPr="00EC63E9">
              <w:rPr>
                <w:rFonts w:ascii="Arial Narrow" w:hAnsi="Arial Narrow"/>
                <w:sz w:val="20"/>
                <w:lang w:val="en-US"/>
              </w:rPr>
              <w:t>Pain intensity/pain relief, global medication performance, patient acceptability measures, rescue medication use</w:t>
            </w:r>
          </w:p>
        </w:tc>
      </w:tr>
      <w:tr w:rsidR="00F87CBE" w:rsidRPr="00EC63E9" w:rsidTr="00AF593C">
        <w:tc>
          <w:tcPr>
            <w:tcW w:w="679" w:type="pct"/>
            <w:shd w:val="clear" w:color="auto" w:fill="auto"/>
            <w:vAlign w:val="center"/>
          </w:tcPr>
          <w:p w:rsidR="00F87CBE" w:rsidRPr="00EC63E9" w:rsidRDefault="00F87CBE" w:rsidP="007F1017">
            <w:pPr>
              <w:jc w:val="left"/>
              <w:rPr>
                <w:rFonts w:ascii="Arial Narrow" w:hAnsi="Arial Narrow"/>
                <w:sz w:val="20"/>
                <w:lang w:val="en-US"/>
              </w:rPr>
            </w:pPr>
            <w:proofErr w:type="spellStart"/>
            <w:r w:rsidRPr="00EC63E9">
              <w:rPr>
                <w:rFonts w:ascii="Arial Narrow" w:hAnsi="Arial Narrow"/>
                <w:sz w:val="20"/>
                <w:lang w:val="en-US"/>
              </w:rPr>
              <w:t>Kosugi</w:t>
            </w:r>
            <w:proofErr w:type="spellEnd"/>
            <w:r w:rsidRPr="00EC63E9">
              <w:rPr>
                <w:rFonts w:ascii="Arial Narrow" w:hAnsi="Arial Narrow"/>
                <w:sz w:val="20"/>
                <w:lang w:val="en-US"/>
              </w:rPr>
              <w:t xml:space="preserve"> 2014</w:t>
            </w:r>
          </w:p>
        </w:tc>
        <w:tc>
          <w:tcPr>
            <w:tcW w:w="426" w:type="pct"/>
            <w:shd w:val="clear" w:color="auto" w:fill="auto"/>
            <w:vAlign w:val="center"/>
          </w:tcPr>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73</w:t>
            </w:r>
          </w:p>
        </w:tc>
        <w:tc>
          <w:tcPr>
            <w:tcW w:w="962" w:type="pct"/>
            <w:shd w:val="clear" w:color="auto" w:fill="auto"/>
            <w:vAlign w:val="center"/>
          </w:tcPr>
          <w:p w:rsidR="00F87CBE" w:rsidRPr="00EC63E9" w:rsidRDefault="00F87CBE" w:rsidP="00F87CBE">
            <w:pPr>
              <w:jc w:val="center"/>
              <w:rPr>
                <w:rFonts w:ascii="Arial Narrow" w:hAnsi="Arial Narrow"/>
                <w:sz w:val="20"/>
                <w:lang w:val="en-US"/>
              </w:rPr>
            </w:pPr>
            <w:r w:rsidRPr="00EC63E9">
              <w:rPr>
                <w:rFonts w:ascii="Arial Narrow" w:hAnsi="Arial Narrow"/>
                <w:sz w:val="20"/>
                <w:lang w:val="en-US"/>
              </w:rPr>
              <w:t>R, DB, MC, CO</w:t>
            </w:r>
          </w:p>
          <w:p w:rsidR="00F87CBE" w:rsidRPr="00EC63E9" w:rsidRDefault="00F87CBE" w:rsidP="00F87CBE">
            <w:pPr>
              <w:jc w:val="center"/>
              <w:rPr>
                <w:rFonts w:ascii="Arial Narrow" w:hAnsi="Arial Narrow"/>
                <w:sz w:val="20"/>
                <w:lang w:val="en-US"/>
              </w:rPr>
            </w:pPr>
            <w:r w:rsidRPr="00EC63E9">
              <w:rPr>
                <w:rFonts w:ascii="Arial Narrow" w:hAnsi="Arial Narrow"/>
                <w:sz w:val="20"/>
                <w:lang w:val="en-US"/>
              </w:rPr>
              <w:t>9 pain episodes</w:t>
            </w:r>
          </w:p>
        </w:tc>
        <w:tc>
          <w:tcPr>
            <w:tcW w:w="736" w:type="pct"/>
            <w:shd w:val="clear" w:color="auto" w:fill="auto"/>
            <w:vAlign w:val="center"/>
          </w:tcPr>
          <w:p w:rsidR="00F87CBE" w:rsidRPr="00EC63E9" w:rsidRDefault="00F87CBE" w:rsidP="007F1017">
            <w:pPr>
              <w:jc w:val="center"/>
              <w:rPr>
                <w:rFonts w:ascii="Arial Narrow" w:hAnsi="Arial Narrow"/>
                <w:sz w:val="20"/>
                <w:lang w:val="en-US"/>
              </w:rPr>
            </w:pPr>
            <w:r w:rsidRPr="00EC63E9">
              <w:rPr>
                <w:rFonts w:ascii="Arial Narrow" w:hAnsi="Arial Narrow"/>
                <w:sz w:val="20"/>
                <w:lang w:val="en-US"/>
              </w:rPr>
              <w:t>Uncertain</w:t>
            </w:r>
          </w:p>
        </w:tc>
        <w:tc>
          <w:tcPr>
            <w:tcW w:w="681" w:type="pct"/>
            <w:shd w:val="clear" w:color="auto" w:fill="auto"/>
            <w:vAlign w:val="center"/>
          </w:tcPr>
          <w:p w:rsidR="00F87CBE" w:rsidRPr="00EC63E9" w:rsidRDefault="00AF593C" w:rsidP="007F1017">
            <w:pPr>
              <w:jc w:val="center"/>
              <w:rPr>
                <w:rFonts w:ascii="Arial Narrow" w:hAnsi="Arial Narrow"/>
                <w:sz w:val="20"/>
                <w:lang w:val="en-US"/>
              </w:rPr>
            </w:pPr>
            <w:r w:rsidRPr="00EC63E9">
              <w:rPr>
                <w:rFonts w:ascii="Arial Narrow" w:hAnsi="Arial Narrow"/>
                <w:sz w:val="20"/>
                <w:lang w:val="en-US"/>
              </w:rPr>
              <w:t>Patients with BTCP</w:t>
            </w:r>
          </w:p>
        </w:tc>
        <w:tc>
          <w:tcPr>
            <w:tcW w:w="1516" w:type="pct"/>
            <w:shd w:val="clear" w:color="auto" w:fill="auto"/>
            <w:vAlign w:val="center"/>
          </w:tcPr>
          <w:p w:rsidR="00F87CBE" w:rsidRPr="00EC63E9" w:rsidRDefault="00AF593C" w:rsidP="00AF593C">
            <w:pPr>
              <w:jc w:val="center"/>
              <w:rPr>
                <w:rFonts w:ascii="Arial Narrow" w:hAnsi="Arial Narrow"/>
                <w:sz w:val="20"/>
                <w:lang w:val="en-US"/>
              </w:rPr>
            </w:pPr>
            <w:r w:rsidRPr="00EC63E9">
              <w:rPr>
                <w:rFonts w:ascii="Arial Narrow" w:hAnsi="Arial Narrow"/>
                <w:sz w:val="20"/>
                <w:lang w:val="en-US"/>
              </w:rPr>
              <w:t>Pain intensity/pain relief, patient acceptability measures, rescue medication use</w:t>
            </w:r>
          </w:p>
        </w:tc>
      </w:tr>
      <w:tr w:rsidR="007F1017" w:rsidRPr="00EC63E9" w:rsidTr="00AF593C">
        <w:tc>
          <w:tcPr>
            <w:tcW w:w="679" w:type="pct"/>
            <w:shd w:val="clear" w:color="auto" w:fill="auto"/>
            <w:vAlign w:val="center"/>
          </w:tcPr>
          <w:p w:rsidR="007F1017" w:rsidRPr="00EC63E9" w:rsidRDefault="007F1017" w:rsidP="007F1017">
            <w:pPr>
              <w:jc w:val="left"/>
              <w:rPr>
                <w:rFonts w:ascii="Arial Narrow" w:hAnsi="Arial Narrow"/>
                <w:sz w:val="20"/>
                <w:lang w:val="en-US"/>
              </w:rPr>
            </w:pPr>
            <w:r w:rsidRPr="00EC63E9">
              <w:rPr>
                <w:rFonts w:ascii="Arial Narrow" w:hAnsi="Arial Narrow"/>
                <w:sz w:val="20"/>
                <w:lang w:val="en-US"/>
              </w:rPr>
              <w:t>Meta-analysis</w:t>
            </w:r>
          </w:p>
        </w:tc>
        <w:tc>
          <w:tcPr>
            <w:tcW w:w="426" w:type="pct"/>
            <w:shd w:val="clear" w:color="auto" w:fill="auto"/>
            <w:vAlign w:val="center"/>
          </w:tcPr>
          <w:p w:rsidR="007F1017" w:rsidRPr="00EC63E9" w:rsidRDefault="00F87CBE" w:rsidP="007F1017">
            <w:pPr>
              <w:jc w:val="center"/>
              <w:rPr>
                <w:rFonts w:ascii="Arial Narrow" w:hAnsi="Arial Narrow"/>
                <w:sz w:val="20"/>
                <w:lang w:val="en-US"/>
              </w:rPr>
            </w:pPr>
            <w:r w:rsidRPr="00EC63E9">
              <w:rPr>
                <w:rFonts w:ascii="Arial Narrow" w:hAnsi="Arial Narrow"/>
                <w:sz w:val="20"/>
                <w:lang w:val="en-US"/>
              </w:rPr>
              <w:t>237/164</w:t>
            </w:r>
          </w:p>
        </w:tc>
        <w:tc>
          <w:tcPr>
            <w:tcW w:w="2379" w:type="pct"/>
            <w:gridSpan w:val="3"/>
            <w:shd w:val="clear" w:color="auto" w:fill="auto"/>
            <w:vAlign w:val="center"/>
          </w:tcPr>
          <w:p w:rsidR="007F1017" w:rsidRPr="00EC63E9" w:rsidRDefault="00F87CBE" w:rsidP="007F1017">
            <w:pPr>
              <w:jc w:val="center"/>
              <w:rPr>
                <w:rFonts w:ascii="Arial Narrow" w:hAnsi="Arial Narrow"/>
                <w:sz w:val="20"/>
                <w:lang w:val="en-US"/>
              </w:rPr>
            </w:pPr>
            <w:r w:rsidRPr="00EC63E9">
              <w:rPr>
                <w:rFonts w:ascii="Arial Narrow" w:hAnsi="Arial Narrow"/>
                <w:sz w:val="20"/>
                <w:lang w:val="en-US"/>
              </w:rPr>
              <w:t xml:space="preserve">Meta-analysis of Study 14 and Study 3039 with and without </w:t>
            </w:r>
            <w:proofErr w:type="spellStart"/>
            <w:r w:rsidRPr="00EC63E9">
              <w:rPr>
                <w:rFonts w:ascii="Arial Narrow" w:hAnsi="Arial Narrow"/>
                <w:sz w:val="20"/>
                <w:lang w:val="en-US"/>
              </w:rPr>
              <w:t>Kosugi</w:t>
            </w:r>
            <w:proofErr w:type="spellEnd"/>
            <w:r w:rsidRPr="00EC63E9">
              <w:rPr>
                <w:rFonts w:ascii="Arial Narrow" w:hAnsi="Arial Narrow"/>
                <w:sz w:val="20"/>
                <w:lang w:val="en-US"/>
              </w:rPr>
              <w:t xml:space="preserve"> 2014</w:t>
            </w:r>
          </w:p>
        </w:tc>
        <w:tc>
          <w:tcPr>
            <w:tcW w:w="1516" w:type="pct"/>
            <w:shd w:val="clear" w:color="auto" w:fill="auto"/>
            <w:vAlign w:val="center"/>
          </w:tcPr>
          <w:p w:rsidR="007F1017" w:rsidRPr="00EC63E9" w:rsidRDefault="00AF593C" w:rsidP="007F1017">
            <w:pPr>
              <w:jc w:val="center"/>
              <w:rPr>
                <w:rFonts w:ascii="Arial Narrow" w:hAnsi="Arial Narrow"/>
                <w:sz w:val="20"/>
                <w:lang w:val="en-US"/>
              </w:rPr>
            </w:pPr>
            <w:r w:rsidRPr="00EC63E9">
              <w:rPr>
                <w:rFonts w:ascii="Arial Narrow" w:hAnsi="Arial Narrow"/>
                <w:sz w:val="20"/>
                <w:lang w:val="en-US"/>
              </w:rPr>
              <w:t>Pain intensity/pain relief, global medication performance, rescue medication use</w:t>
            </w:r>
          </w:p>
        </w:tc>
      </w:tr>
      <w:tr w:rsidR="00B42E23" w:rsidRPr="00EC63E9" w:rsidTr="00F87CBE">
        <w:tc>
          <w:tcPr>
            <w:tcW w:w="5000" w:type="pct"/>
            <w:gridSpan w:val="6"/>
            <w:shd w:val="clear" w:color="auto" w:fill="auto"/>
            <w:vAlign w:val="center"/>
          </w:tcPr>
          <w:p w:rsidR="00B42E23" w:rsidRPr="00EC63E9" w:rsidRDefault="00B42E23" w:rsidP="00B42E23">
            <w:pPr>
              <w:jc w:val="left"/>
              <w:rPr>
                <w:rFonts w:ascii="Arial Narrow" w:hAnsi="Arial Narrow"/>
                <w:b/>
                <w:sz w:val="20"/>
                <w:lang w:val="en-US"/>
              </w:rPr>
            </w:pPr>
            <w:r w:rsidRPr="00EC63E9">
              <w:rPr>
                <w:rFonts w:ascii="Arial Narrow" w:hAnsi="Arial Narrow"/>
                <w:b/>
                <w:sz w:val="20"/>
                <w:lang w:val="en-US"/>
              </w:rPr>
              <w:t>Fentanyl lozenges vs. placebo</w:t>
            </w:r>
          </w:p>
        </w:tc>
      </w:tr>
      <w:tr w:rsidR="00AF593C" w:rsidRPr="00EC63E9" w:rsidTr="00AF593C">
        <w:tc>
          <w:tcPr>
            <w:tcW w:w="679" w:type="pct"/>
            <w:shd w:val="clear" w:color="auto" w:fill="auto"/>
            <w:vAlign w:val="center"/>
          </w:tcPr>
          <w:p w:rsidR="00AF593C" w:rsidRPr="00EC63E9" w:rsidRDefault="00AF593C" w:rsidP="007F1017">
            <w:pPr>
              <w:jc w:val="left"/>
              <w:rPr>
                <w:rFonts w:ascii="Arial Narrow" w:hAnsi="Arial Narrow"/>
                <w:sz w:val="20"/>
                <w:lang w:val="en-US"/>
              </w:rPr>
            </w:pPr>
            <w:r w:rsidRPr="00EC63E9">
              <w:rPr>
                <w:rFonts w:ascii="Arial Narrow" w:hAnsi="Arial Narrow"/>
                <w:sz w:val="20"/>
                <w:lang w:val="en-US"/>
              </w:rPr>
              <w:t>Farrar 1998</w:t>
            </w:r>
          </w:p>
        </w:tc>
        <w:tc>
          <w:tcPr>
            <w:tcW w:w="426" w:type="pct"/>
            <w:shd w:val="clear" w:color="auto" w:fill="auto"/>
            <w:vAlign w:val="center"/>
          </w:tcPr>
          <w:p w:rsidR="00AF593C" w:rsidRPr="00EC63E9" w:rsidRDefault="00AF593C" w:rsidP="007F1017">
            <w:pPr>
              <w:jc w:val="center"/>
              <w:rPr>
                <w:rFonts w:ascii="Arial Narrow" w:hAnsi="Arial Narrow"/>
                <w:sz w:val="20"/>
                <w:lang w:val="en-US"/>
              </w:rPr>
            </w:pPr>
            <w:r w:rsidRPr="00EC63E9">
              <w:rPr>
                <w:rFonts w:ascii="Arial Narrow" w:hAnsi="Arial Narrow"/>
                <w:sz w:val="20"/>
                <w:lang w:val="en-US"/>
              </w:rPr>
              <w:t>92</w:t>
            </w:r>
          </w:p>
        </w:tc>
        <w:tc>
          <w:tcPr>
            <w:tcW w:w="962" w:type="pct"/>
            <w:shd w:val="clear" w:color="auto" w:fill="auto"/>
            <w:vAlign w:val="center"/>
          </w:tcPr>
          <w:p w:rsidR="00AF593C" w:rsidRPr="00EC63E9" w:rsidRDefault="00AF593C" w:rsidP="001B487E">
            <w:pPr>
              <w:jc w:val="center"/>
              <w:rPr>
                <w:rFonts w:ascii="Arial Narrow" w:hAnsi="Arial Narrow"/>
                <w:sz w:val="20"/>
                <w:lang w:val="en-US"/>
              </w:rPr>
            </w:pPr>
            <w:r w:rsidRPr="00EC63E9">
              <w:rPr>
                <w:rFonts w:ascii="Arial Narrow" w:hAnsi="Arial Narrow"/>
                <w:sz w:val="20"/>
                <w:lang w:val="en-US"/>
              </w:rPr>
              <w:t>R, DB, MC, CO</w:t>
            </w:r>
          </w:p>
          <w:p w:rsidR="00AF593C" w:rsidRPr="00EC63E9" w:rsidRDefault="00AF593C" w:rsidP="007F1017">
            <w:pPr>
              <w:jc w:val="center"/>
              <w:rPr>
                <w:rFonts w:ascii="Arial Narrow" w:hAnsi="Arial Narrow"/>
                <w:sz w:val="20"/>
                <w:lang w:val="en-US"/>
              </w:rPr>
            </w:pPr>
            <w:r w:rsidRPr="00EC63E9">
              <w:rPr>
                <w:rFonts w:ascii="Arial Narrow" w:hAnsi="Arial Narrow"/>
                <w:sz w:val="20"/>
                <w:lang w:val="en-US"/>
              </w:rPr>
              <w:t>10 pain episodes</w:t>
            </w:r>
          </w:p>
        </w:tc>
        <w:tc>
          <w:tcPr>
            <w:tcW w:w="736" w:type="pct"/>
            <w:shd w:val="clear" w:color="auto" w:fill="auto"/>
            <w:vAlign w:val="center"/>
          </w:tcPr>
          <w:p w:rsidR="00AF593C" w:rsidRPr="00EC63E9" w:rsidRDefault="00AF593C" w:rsidP="007F1017">
            <w:pPr>
              <w:jc w:val="center"/>
              <w:rPr>
                <w:rFonts w:ascii="Arial Narrow" w:hAnsi="Arial Narrow"/>
                <w:sz w:val="20"/>
                <w:lang w:val="en-US"/>
              </w:rPr>
            </w:pPr>
            <w:r w:rsidRPr="00EC63E9">
              <w:rPr>
                <w:rFonts w:ascii="Arial Narrow" w:hAnsi="Arial Narrow"/>
                <w:sz w:val="20"/>
                <w:lang w:val="en-US"/>
              </w:rPr>
              <w:t>Uncertain</w:t>
            </w:r>
          </w:p>
        </w:tc>
        <w:tc>
          <w:tcPr>
            <w:tcW w:w="681" w:type="pct"/>
            <w:shd w:val="clear" w:color="auto" w:fill="auto"/>
            <w:vAlign w:val="center"/>
          </w:tcPr>
          <w:p w:rsidR="00AF593C" w:rsidRPr="00EC63E9" w:rsidRDefault="00AF593C" w:rsidP="007F1017">
            <w:pPr>
              <w:jc w:val="center"/>
              <w:rPr>
                <w:rFonts w:ascii="Arial Narrow" w:hAnsi="Arial Narrow"/>
                <w:sz w:val="20"/>
                <w:lang w:val="en-US"/>
              </w:rPr>
            </w:pPr>
            <w:r w:rsidRPr="00EC63E9">
              <w:rPr>
                <w:rFonts w:ascii="Arial Narrow" w:hAnsi="Arial Narrow"/>
                <w:sz w:val="20"/>
                <w:lang w:val="en-US"/>
              </w:rPr>
              <w:t>Patients with BTCP</w:t>
            </w:r>
          </w:p>
        </w:tc>
        <w:tc>
          <w:tcPr>
            <w:tcW w:w="1516" w:type="pct"/>
            <w:shd w:val="clear" w:color="auto" w:fill="auto"/>
            <w:vAlign w:val="center"/>
          </w:tcPr>
          <w:p w:rsidR="00AF593C" w:rsidRPr="00EC63E9" w:rsidRDefault="00AF593C" w:rsidP="00AF593C">
            <w:pPr>
              <w:jc w:val="center"/>
              <w:rPr>
                <w:rFonts w:ascii="Arial Narrow" w:hAnsi="Arial Narrow"/>
                <w:sz w:val="20"/>
                <w:lang w:val="en-US"/>
              </w:rPr>
            </w:pPr>
            <w:r w:rsidRPr="00EC63E9">
              <w:rPr>
                <w:rFonts w:ascii="Arial Narrow" w:hAnsi="Arial Narrow"/>
                <w:sz w:val="20"/>
                <w:lang w:val="en-US"/>
              </w:rPr>
              <w:t>Pain intensity/pain relief, global medication performance, rescue medication use</w:t>
            </w:r>
          </w:p>
        </w:tc>
      </w:tr>
    </w:tbl>
    <w:p w:rsidR="007F1017" w:rsidRPr="00EC63E9" w:rsidRDefault="00F87CBE" w:rsidP="00E22A0D">
      <w:pPr>
        <w:pStyle w:val="TableFooter"/>
        <w:ind w:firstLine="720"/>
      </w:pPr>
      <w:r w:rsidRPr="00EC63E9">
        <w:t xml:space="preserve">Abbreviations: </w:t>
      </w:r>
      <w:r w:rsidR="00AF593C" w:rsidRPr="00EC63E9">
        <w:t xml:space="preserve">BTCP, breakthrough cancer pain; </w:t>
      </w:r>
      <w:r w:rsidRPr="00EC63E9">
        <w:t xml:space="preserve">CO, cross-over; DB, double blind; MC, </w:t>
      </w:r>
      <w:r w:rsidR="007F1017" w:rsidRPr="00EC63E9">
        <w:t xml:space="preserve">multi-centre; </w:t>
      </w:r>
      <w:r w:rsidRPr="00EC63E9">
        <w:t>R, randomised</w:t>
      </w:r>
    </w:p>
    <w:p w:rsidR="007F1017" w:rsidRPr="00EC63E9" w:rsidRDefault="00F87CBE" w:rsidP="00E22A0D">
      <w:pPr>
        <w:pStyle w:val="TableFooter"/>
        <w:ind w:firstLine="720"/>
      </w:pPr>
      <w:r w:rsidRPr="00EC63E9">
        <w:t>Source: Constructed</w:t>
      </w:r>
      <w:r w:rsidR="007F1017" w:rsidRPr="00EC63E9">
        <w:t xml:space="preserve"> during the evaluation</w:t>
      </w:r>
    </w:p>
    <w:p w:rsidR="007F1017" w:rsidRPr="00EC63E9" w:rsidRDefault="007F1017" w:rsidP="007F1017"/>
    <w:p w:rsidR="00C50EDB" w:rsidRPr="00EC63E9" w:rsidRDefault="00C50EDB" w:rsidP="00B77ED1">
      <w:pPr>
        <w:pStyle w:val="ListParagraph"/>
        <w:widowControl/>
        <w:numPr>
          <w:ilvl w:val="1"/>
          <w:numId w:val="1"/>
        </w:numPr>
      </w:pPr>
      <w:r w:rsidRPr="00EC63E9">
        <w:t xml:space="preserve">The cross-over design used in the clinical trials may </w:t>
      </w:r>
      <w:r w:rsidR="009D6B89" w:rsidRPr="00EC63E9">
        <w:t xml:space="preserve">have </w:t>
      </w:r>
      <w:r w:rsidRPr="00EC63E9">
        <w:t>introduce</w:t>
      </w:r>
      <w:r w:rsidR="009D6B89" w:rsidRPr="00EC63E9">
        <w:t>d</w:t>
      </w:r>
      <w:r w:rsidRPr="00EC63E9">
        <w:t xml:space="preserve"> confounding due to the potential for carry-over treatment effects (with either study drug or rescue medications) given that </w:t>
      </w:r>
      <w:r w:rsidR="008C6D92" w:rsidRPr="00EC63E9">
        <w:t>both active and placebo treatments could be used within a few hours of each other</w:t>
      </w:r>
      <w:r w:rsidR="009D6B89" w:rsidRPr="00EC63E9">
        <w:t>.</w:t>
      </w:r>
    </w:p>
    <w:p w:rsidR="007F1017" w:rsidRPr="00EC63E9" w:rsidRDefault="007F1017" w:rsidP="007F1017"/>
    <w:p w:rsidR="00651011" w:rsidRPr="00EC63E9" w:rsidRDefault="00651011" w:rsidP="00B77ED1">
      <w:pPr>
        <w:pStyle w:val="ListParagraph"/>
        <w:widowControl/>
        <w:numPr>
          <w:ilvl w:val="1"/>
          <w:numId w:val="1"/>
        </w:numPr>
      </w:pPr>
      <w:r w:rsidRPr="00EC63E9">
        <w:t>The ESC noted that the trials</w:t>
      </w:r>
      <w:r w:rsidR="00721DD8" w:rsidRPr="00EC63E9">
        <w:t xml:space="preserve"> of both fentanyl buccal tablets and fentanyl lozenges</w:t>
      </w:r>
      <w:r w:rsidRPr="00EC63E9">
        <w:t xml:space="preserve"> included run-in periods to find an effective tolerable dose of fentanyl prior to randomisation. </w:t>
      </w:r>
      <w:r w:rsidR="00632E52" w:rsidRPr="00EC63E9">
        <w:t>The</w:t>
      </w:r>
      <w:r w:rsidRPr="00EC63E9">
        <w:t xml:space="preserve"> ESC considered that this may have implications for interpretati</w:t>
      </w:r>
      <w:r w:rsidR="00117B8B" w:rsidRPr="00EC63E9">
        <w:t>on of</w:t>
      </w:r>
      <w:r w:rsidR="00EB2E88" w:rsidRPr="00EC63E9">
        <w:t xml:space="preserve"> the</w:t>
      </w:r>
      <w:r w:rsidR="00117B8B" w:rsidRPr="00EC63E9">
        <w:t xml:space="preserve"> safety data as</w:t>
      </w:r>
      <w:r w:rsidRPr="00EC63E9">
        <w:t xml:space="preserve"> some patients do not continue to randomisation due to adverse events</w:t>
      </w:r>
      <w:r w:rsidR="00117B8B" w:rsidRPr="00EC63E9">
        <w:t xml:space="preserve"> resulting</w:t>
      </w:r>
      <w:r w:rsidRPr="00EC63E9">
        <w:t xml:space="preserve"> in undere</w:t>
      </w:r>
      <w:r w:rsidR="00117B8B" w:rsidRPr="00EC63E9">
        <w:t>stimates of adverse drug events.</w:t>
      </w:r>
      <w:r w:rsidRPr="00EC63E9">
        <w:t xml:space="preserve">  </w:t>
      </w:r>
      <w:r w:rsidR="007329A1" w:rsidRPr="00EC63E9">
        <w:t>Furthermore, only patients who had effective pain relief with fentanyl were randomised, which may result in overestimates of the efficacy of fentanyl.</w:t>
      </w:r>
      <w:r w:rsidR="00721DD8" w:rsidRPr="00EC63E9">
        <w:t xml:space="preserve"> </w:t>
      </w:r>
    </w:p>
    <w:p w:rsidR="00651011" w:rsidRPr="00EC63E9" w:rsidRDefault="00651011" w:rsidP="007F1017"/>
    <w:p w:rsidR="008C6D92" w:rsidRPr="00EC63E9" w:rsidRDefault="008C6D92" w:rsidP="00B77ED1">
      <w:pPr>
        <w:pStyle w:val="ListParagraph"/>
        <w:widowControl/>
        <w:numPr>
          <w:ilvl w:val="1"/>
          <w:numId w:val="1"/>
        </w:numPr>
      </w:pPr>
      <w:r w:rsidRPr="00EC63E9">
        <w:t xml:space="preserve">There </w:t>
      </w:r>
      <w:r w:rsidR="009D6B89" w:rsidRPr="00EC63E9">
        <w:t>a</w:t>
      </w:r>
      <w:r w:rsidRPr="00EC63E9">
        <w:t>re differences between the trial populations and the requested PBS population which may limit the applicability of trial results (trials were not restricted</w:t>
      </w:r>
      <w:r w:rsidR="003A7C77" w:rsidRPr="00EC63E9">
        <w:t xml:space="preserve"> to palliative care patients and did not require</w:t>
      </w:r>
      <w:r w:rsidRPr="00EC63E9">
        <w:t xml:space="preserve"> patients to have a prior history of treatment failure)</w:t>
      </w:r>
      <w:r w:rsidR="00B63CFA" w:rsidRPr="00EC63E9">
        <w:t xml:space="preserve">. </w:t>
      </w:r>
      <w:r w:rsidRPr="00EC63E9">
        <w:t xml:space="preserve">The submission acknowledged the limited applicability of the </w:t>
      </w:r>
      <w:proofErr w:type="spellStart"/>
      <w:r w:rsidRPr="00EC63E9">
        <w:t>Kosugi</w:t>
      </w:r>
      <w:proofErr w:type="spellEnd"/>
      <w:r w:rsidRPr="00EC63E9">
        <w:t xml:space="preserve"> et al 2014 trial (Japanese population, lower than recommended doses, hospitalised patients) to the requested PBS population. </w:t>
      </w:r>
    </w:p>
    <w:p w:rsidR="00B60939" w:rsidRPr="00EC63E9" w:rsidRDefault="00B60939" w:rsidP="00B60939">
      <w:pPr>
        <w:rPr>
          <w:szCs w:val="22"/>
        </w:rPr>
      </w:pPr>
    </w:p>
    <w:p w:rsidR="00B60939" w:rsidRPr="004B48BE" w:rsidRDefault="00B60939" w:rsidP="002C2775">
      <w:pPr>
        <w:pStyle w:val="Heading2"/>
        <w:rPr>
          <w:i/>
        </w:rPr>
      </w:pPr>
      <w:bookmarkStart w:id="7" w:name="_Toc419708481"/>
      <w:r w:rsidRPr="004B48BE">
        <w:rPr>
          <w:i/>
        </w:rPr>
        <w:t>Comparative effectiveness</w:t>
      </w:r>
      <w:bookmarkEnd w:id="7"/>
    </w:p>
    <w:p w:rsidR="00B60939" w:rsidRPr="00EC63E9" w:rsidRDefault="00B60939" w:rsidP="00B60939">
      <w:pPr>
        <w:rPr>
          <w:szCs w:val="22"/>
        </w:rPr>
      </w:pPr>
    </w:p>
    <w:p w:rsidR="002C2775" w:rsidRPr="00EC63E9" w:rsidRDefault="00B32D72" w:rsidP="00B77ED1">
      <w:pPr>
        <w:pStyle w:val="ListParagraph"/>
        <w:widowControl/>
        <w:numPr>
          <w:ilvl w:val="1"/>
          <w:numId w:val="1"/>
        </w:numPr>
        <w:rPr>
          <w:szCs w:val="22"/>
        </w:rPr>
      </w:pPr>
      <w:r w:rsidRPr="00EC63E9">
        <w:rPr>
          <w:szCs w:val="22"/>
        </w:rPr>
        <w:t>The main analyses presented in the commentary</w:t>
      </w:r>
      <w:r w:rsidR="00AD50E2" w:rsidRPr="00EC63E9">
        <w:rPr>
          <w:szCs w:val="22"/>
        </w:rPr>
        <w:t xml:space="preserve"> were based on data from the evaluable analysis set</w:t>
      </w:r>
      <w:r w:rsidRPr="00EC63E9">
        <w:rPr>
          <w:szCs w:val="22"/>
        </w:rPr>
        <w:t xml:space="preserve"> population from the Farrar trial (primary analysis of the trial), excluded the </w:t>
      </w:r>
      <w:proofErr w:type="spellStart"/>
      <w:r w:rsidRPr="00EC63E9">
        <w:rPr>
          <w:szCs w:val="22"/>
        </w:rPr>
        <w:t>Kosugi</w:t>
      </w:r>
      <w:proofErr w:type="spellEnd"/>
      <w:r w:rsidRPr="00EC63E9">
        <w:rPr>
          <w:szCs w:val="22"/>
        </w:rPr>
        <w:t xml:space="preserve"> trial (due to applicability issues), assumed independence between active and placebo values (assumption used in the primary analysis presented in the submission), and were analysed using a random effects model (approach used in the primary analysis presented in the submission).</w:t>
      </w:r>
    </w:p>
    <w:p w:rsidR="00B32D72" w:rsidRPr="00EC63E9" w:rsidRDefault="00B32D72" w:rsidP="00B32D72">
      <w:pPr>
        <w:pStyle w:val="ListParagraph"/>
        <w:widowControl/>
        <w:rPr>
          <w:szCs w:val="22"/>
        </w:rPr>
      </w:pPr>
    </w:p>
    <w:p w:rsidR="00B32D72" w:rsidRPr="00EC63E9" w:rsidRDefault="00B32D72" w:rsidP="00B77ED1">
      <w:pPr>
        <w:pStyle w:val="ListParagraph"/>
        <w:widowControl/>
        <w:numPr>
          <w:ilvl w:val="1"/>
          <w:numId w:val="1"/>
        </w:numPr>
        <w:rPr>
          <w:szCs w:val="22"/>
        </w:rPr>
      </w:pPr>
      <w:r w:rsidRPr="00EC63E9">
        <w:rPr>
          <w:szCs w:val="22"/>
        </w:rPr>
        <w:lastRenderedPageBreak/>
        <w:t>The nominated primary outcome of the submission was summed pain intensity difference at 60 minutes.</w:t>
      </w:r>
    </w:p>
    <w:p w:rsidR="00B32D72" w:rsidRPr="00EC63E9" w:rsidRDefault="00B32D72" w:rsidP="00B32D72">
      <w:pPr>
        <w:pStyle w:val="PBACHeading1"/>
        <w:numPr>
          <w:ilvl w:val="0"/>
          <w:numId w:val="0"/>
        </w:numPr>
        <w:ind w:left="720" w:hanging="720"/>
      </w:pPr>
    </w:p>
    <w:p w:rsidR="00B32D72" w:rsidRPr="00EC63E9" w:rsidRDefault="00B32D72" w:rsidP="00B32D72">
      <w:pPr>
        <w:ind w:left="720"/>
        <w:rPr>
          <w:rFonts w:ascii="Arial Narrow" w:hAnsi="Arial Narrow"/>
          <w:b/>
          <w:sz w:val="20"/>
        </w:rPr>
      </w:pPr>
      <w:r w:rsidRPr="00EC63E9">
        <w:rPr>
          <w:rFonts w:ascii="Arial Narrow" w:hAnsi="Arial Narrow"/>
          <w:b/>
          <w:sz w:val="20"/>
        </w:rPr>
        <w:t>Table 3: Indirect comparison of summed pain intensity difference and total pain relief between fentanyl buccal tablets and lozenges</w:t>
      </w:r>
    </w:p>
    <w:tbl>
      <w:tblPr>
        <w:tblStyle w:val="TableGrid"/>
        <w:tblW w:w="0" w:type="auto"/>
        <w:tblInd w:w="817" w:type="dxa"/>
        <w:tblLook w:val="04A0" w:firstRow="1" w:lastRow="0" w:firstColumn="1" w:lastColumn="0" w:noHBand="0" w:noVBand="1"/>
        <w:tblCaption w:val="Table 3: Indirect comparison of summed pain intensity difference and total pain relief between fentanyl buccal tablets and lozenges"/>
        <w:tblDescription w:val="The table shows the results of the indirect comparison of summed pain intensity difference and total pain relief between fentanyl buccal tablets and lozenges"/>
      </w:tblPr>
      <w:tblGrid>
        <w:gridCol w:w="1843"/>
        <w:gridCol w:w="1577"/>
        <w:gridCol w:w="1578"/>
        <w:gridCol w:w="1578"/>
        <w:gridCol w:w="1772"/>
      </w:tblGrid>
      <w:tr w:rsidR="00B32D72" w:rsidRPr="00EC63E9" w:rsidTr="00B32D72">
        <w:trPr>
          <w:cantSplit/>
          <w:tblHeader/>
        </w:trPr>
        <w:tc>
          <w:tcPr>
            <w:tcW w:w="1843" w:type="dxa"/>
            <w:vAlign w:val="center"/>
          </w:tcPr>
          <w:p w:rsidR="00B32D72" w:rsidRPr="00EC63E9" w:rsidRDefault="00B32D72" w:rsidP="005B63E9">
            <w:pPr>
              <w:jc w:val="left"/>
              <w:rPr>
                <w:rFonts w:ascii="Arial Narrow" w:hAnsi="Arial Narrow"/>
                <w:b/>
                <w:sz w:val="20"/>
              </w:rPr>
            </w:pPr>
            <w:r w:rsidRPr="00EC63E9">
              <w:rPr>
                <w:rFonts w:ascii="Arial Narrow" w:hAnsi="Arial Narrow"/>
                <w:b/>
                <w:sz w:val="20"/>
              </w:rPr>
              <w:t>Trial</w:t>
            </w:r>
          </w:p>
        </w:tc>
        <w:tc>
          <w:tcPr>
            <w:tcW w:w="1577" w:type="dxa"/>
            <w:vAlign w:val="center"/>
          </w:tcPr>
          <w:p w:rsidR="00B32D72" w:rsidRPr="00EC63E9" w:rsidRDefault="00B32D72" w:rsidP="005B63E9">
            <w:pPr>
              <w:jc w:val="center"/>
              <w:rPr>
                <w:rFonts w:ascii="Arial Narrow" w:hAnsi="Arial Narrow"/>
                <w:b/>
                <w:sz w:val="20"/>
              </w:rPr>
            </w:pPr>
            <w:r w:rsidRPr="00EC63E9">
              <w:rPr>
                <w:rFonts w:ascii="Arial Narrow" w:hAnsi="Arial Narrow"/>
                <w:b/>
                <w:sz w:val="20"/>
              </w:rPr>
              <w:t>Fentanyl buccal tablets</w:t>
            </w:r>
          </w:p>
        </w:tc>
        <w:tc>
          <w:tcPr>
            <w:tcW w:w="1578" w:type="dxa"/>
            <w:vAlign w:val="center"/>
          </w:tcPr>
          <w:p w:rsidR="00B32D72" w:rsidRPr="00EC63E9" w:rsidRDefault="00B32D72" w:rsidP="005B63E9">
            <w:pPr>
              <w:jc w:val="center"/>
              <w:rPr>
                <w:rFonts w:ascii="Arial Narrow" w:hAnsi="Arial Narrow"/>
                <w:b/>
                <w:sz w:val="20"/>
              </w:rPr>
            </w:pPr>
            <w:r w:rsidRPr="00EC63E9">
              <w:rPr>
                <w:rFonts w:ascii="Arial Narrow" w:hAnsi="Arial Narrow"/>
                <w:b/>
                <w:sz w:val="20"/>
              </w:rPr>
              <w:t>Placebo</w:t>
            </w:r>
          </w:p>
        </w:tc>
        <w:tc>
          <w:tcPr>
            <w:tcW w:w="1578" w:type="dxa"/>
            <w:vAlign w:val="center"/>
          </w:tcPr>
          <w:p w:rsidR="00B32D72" w:rsidRPr="00EC63E9" w:rsidRDefault="00B32D72" w:rsidP="005B63E9">
            <w:pPr>
              <w:jc w:val="center"/>
              <w:rPr>
                <w:rFonts w:ascii="Arial Narrow" w:hAnsi="Arial Narrow"/>
                <w:b/>
                <w:sz w:val="20"/>
              </w:rPr>
            </w:pPr>
            <w:r w:rsidRPr="00EC63E9">
              <w:rPr>
                <w:rFonts w:ascii="Arial Narrow" w:hAnsi="Arial Narrow"/>
                <w:b/>
                <w:sz w:val="20"/>
              </w:rPr>
              <w:t>Fentanyl lozenge</w:t>
            </w:r>
          </w:p>
        </w:tc>
        <w:tc>
          <w:tcPr>
            <w:tcW w:w="1772" w:type="dxa"/>
            <w:vAlign w:val="center"/>
          </w:tcPr>
          <w:p w:rsidR="00B32D72" w:rsidRPr="00EC63E9" w:rsidRDefault="00B32D72" w:rsidP="005B63E9">
            <w:pPr>
              <w:jc w:val="center"/>
              <w:rPr>
                <w:rFonts w:ascii="Arial Narrow" w:hAnsi="Arial Narrow"/>
                <w:b/>
                <w:sz w:val="20"/>
              </w:rPr>
            </w:pPr>
            <w:r w:rsidRPr="00EC63E9">
              <w:rPr>
                <w:rFonts w:ascii="Arial Narrow" w:hAnsi="Arial Narrow"/>
                <w:b/>
                <w:sz w:val="20"/>
              </w:rPr>
              <w:t>Mean difference</w:t>
            </w:r>
          </w:p>
          <w:p w:rsidR="00B32D72" w:rsidRPr="00EC63E9" w:rsidRDefault="00B32D72" w:rsidP="005B63E9">
            <w:pPr>
              <w:jc w:val="center"/>
              <w:rPr>
                <w:rFonts w:ascii="Arial Narrow" w:hAnsi="Arial Narrow"/>
                <w:b/>
                <w:sz w:val="20"/>
              </w:rPr>
            </w:pPr>
            <w:r w:rsidRPr="00EC63E9">
              <w:rPr>
                <w:rFonts w:ascii="Arial Narrow" w:hAnsi="Arial Narrow"/>
                <w:b/>
                <w:sz w:val="20"/>
              </w:rPr>
              <w:t>(95% CI)</w:t>
            </w:r>
          </w:p>
        </w:tc>
      </w:tr>
      <w:tr w:rsidR="00B32D72" w:rsidRPr="00EC63E9" w:rsidTr="00B32D72">
        <w:trPr>
          <w:cantSplit/>
        </w:trPr>
        <w:tc>
          <w:tcPr>
            <w:tcW w:w="8348" w:type="dxa"/>
            <w:gridSpan w:val="5"/>
            <w:vAlign w:val="center"/>
          </w:tcPr>
          <w:p w:rsidR="00B32D72" w:rsidRPr="00EC63E9" w:rsidRDefault="00B32D72" w:rsidP="005B63E9">
            <w:pPr>
              <w:rPr>
                <w:rFonts w:ascii="Arial Narrow" w:hAnsi="Arial Narrow"/>
                <w:b/>
                <w:sz w:val="20"/>
              </w:rPr>
            </w:pPr>
            <w:r w:rsidRPr="00EC63E9">
              <w:rPr>
                <w:rFonts w:ascii="Arial Narrow" w:hAnsi="Arial Narrow"/>
                <w:b/>
                <w:sz w:val="20"/>
              </w:rPr>
              <w:t>Summed pain intensity difference at 30 minutes</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rPr>
            </w:pPr>
            <w:r w:rsidRPr="00EC63E9">
              <w:rPr>
                <w:rFonts w:ascii="Arial Narrow" w:hAnsi="Arial Narrow"/>
                <w:sz w:val="20"/>
              </w:rPr>
              <w:t>Study 14 (N = 72)</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3.2 (2.6)</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2.0 (2.2)</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1.20 (0.78, 1.62)</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vertAlign w:val="superscript"/>
              </w:rPr>
            </w:pPr>
            <w:r w:rsidRPr="00EC63E9">
              <w:rPr>
                <w:rFonts w:ascii="Arial Narrow" w:hAnsi="Arial Narrow"/>
                <w:sz w:val="20"/>
              </w:rPr>
              <w:t>Study 3039 (N = 78)</w:t>
            </w:r>
            <w:r w:rsidRPr="00EC63E9">
              <w:rPr>
                <w:rFonts w:ascii="Arial Narrow" w:hAnsi="Arial Narrow"/>
                <w:sz w:val="20"/>
                <w:vertAlign w:val="superscript"/>
              </w:rPr>
              <w:t>a</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3.3 (2.2)</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1.8 (1.9)</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1.44 (1.07, 1.80)</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rPr>
            </w:pPr>
            <w:r w:rsidRPr="00EC63E9">
              <w:rPr>
                <w:rFonts w:ascii="Arial Narrow" w:hAnsi="Arial Narrow"/>
                <w:sz w:val="20"/>
              </w:rPr>
              <w:t>Farrar 1998 (N = 86)</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2.5 (2.3)</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4.0 (2.4)</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1.50 (0.79, 2.21)</w:t>
            </w:r>
          </w:p>
        </w:tc>
      </w:tr>
      <w:tr w:rsidR="00B32D72" w:rsidRPr="00EC63E9" w:rsidTr="00B32D72">
        <w:trPr>
          <w:cantSplit/>
        </w:trPr>
        <w:tc>
          <w:tcPr>
            <w:tcW w:w="6576" w:type="dxa"/>
            <w:gridSpan w:val="4"/>
            <w:vAlign w:val="center"/>
          </w:tcPr>
          <w:p w:rsidR="00B32D72" w:rsidRPr="00EC63E9" w:rsidRDefault="00B32D72" w:rsidP="005B63E9">
            <w:pPr>
              <w:jc w:val="right"/>
              <w:rPr>
                <w:rFonts w:ascii="Arial Narrow" w:hAnsi="Arial Narrow"/>
                <w:sz w:val="20"/>
              </w:rPr>
            </w:pPr>
            <w:r w:rsidRPr="00EC63E9">
              <w:rPr>
                <w:rFonts w:ascii="Arial Narrow" w:hAnsi="Arial Narrow"/>
                <w:sz w:val="20"/>
              </w:rPr>
              <w:t>Meta-analysis of fentanyl buccal trials; I</w:t>
            </w:r>
            <w:r w:rsidRPr="00EC63E9">
              <w:rPr>
                <w:rFonts w:ascii="Arial Narrow" w:hAnsi="Arial Narrow"/>
                <w:sz w:val="20"/>
                <w:vertAlign w:val="superscript"/>
              </w:rPr>
              <w:t>2</w:t>
            </w:r>
            <w:r w:rsidRPr="00EC63E9">
              <w:rPr>
                <w:rFonts w:ascii="Arial Narrow" w:hAnsi="Arial Narrow"/>
                <w:sz w:val="20"/>
              </w:rPr>
              <w:t>=0%</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1.33 (1.06, 1.61)</w:t>
            </w:r>
          </w:p>
        </w:tc>
      </w:tr>
      <w:tr w:rsidR="00B32D72" w:rsidRPr="00EC63E9" w:rsidTr="00B32D72">
        <w:trPr>
          <w:cantSplit/>
        </w:trPr>
        <w:tc>
          <w:tcPr>
            <w:tcW w:w="6576" w:type="dxa"/>
            <w:gridSpan w:val="4"/>
            <w:vAlign w:val="center"/>
          </w:tcPr>
          <w:p w:rsidR="00B32D72" w:rsidRPr="00EC63E9" w:rsidRDefault="00B32D72" w:rsidP="005B63E9">
            <w:pPr>
              <w:jc w:val="right"/>
              <w:rPr>
                <w:rFonts w:ascii="Arial Narrow" w:hAnsi="Arial Narrow"/>
                <w:sz w:val="20"/>
              </w:rPr>
            </w:pPr>
            <w:r w:rsidRPr="00EC63E9">
              <w:rPr>
                <w:rFonts w:ascii="Arial Narrow" w:hAnsi="Arial Narrow"/>
                <w:sz w:val="20"/>
              </w:rPr>
              <w:t>Indirect estimate of effect, results &gt; 0 favour fentanyl buccal tablets</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-0.17 (-0.93, 0.59)</w:t>
            </w:r>
          </w:p>
        </w:tc>
      </w:tr>
      <w:tr w:rsidR="00B32D72" w:rsidRPr="00EC63E9" w:rsidTr="00B32D72">
        <w:trPr>
          <w:cantSplit/>
        </w:trPr>
        <w:tc>
          <w:tcPr>
            <w:tcW w:w="8348" w:type="dxa"/>
            <w:gridSpan w:val="5"/>
            <w:vAlign w:val="center"/>
          </w:tcPr>
          <w:p w:rsidR="00B32D72" w:rsidRPr="00EC63E9" w:rsidRDefault="00B32D72" w:rsidP="005B63E9">
            <w:pPr>
              <w:rPr>
                <w:rFonts w:ascii="Arial Narrow" w:hAnsi="Arial Narrow"/>
                <w:b/>
                <w:sz w:val="20"/>
              </w:rPr>
            </w:pPr>
            <w:r w:rsidRPr="00EC63E9">
              <w:rPr>
                <w:rFonts w:ascii="Arial Narrow" w:hAnsi="Arial Narrow"/>
                <w:b/>
                <w:sz w:val="20"/>
              </w:rPr>
              <w:t>Summed pain intensity difference at 60 minutes (primary outcome)</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rPr>
            </w:pPr>
            <w:r w:rsidRPr="00EC63E9">
              <w:rPr>
                <w:rFonts w:ascii="Arial Narrow" w:hAnsi="Arial Narrow"/>
                <w:sz w:val="20"/>
              </w:rPr>
              <w:t>Study 14 (N = 72)</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10.5 (6.0)</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6.2 (5.5)</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4.40 (3.36, 5.44)</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vertAlign w:val="superscript"/>
              </w:rPr>
            </w:pPr>
            <w:r w:rsidRPr="00EC63E9">
              <w:rPr>
                <w:rFonts w:ascii="Arial Narrow" w:hAnsi="Arial Narrow"/>
                <w:sz w:val="20"/>
              </w:rPr>
              <w:t>Study 3039 (N = 78)</w:t>
            </w:r>
            <w:r w:rsidRPr="00EC63E9">
              <w:rPr>
                <w:rFonts w:ascii="Arial Narrow" w:hAnsi="Arial Narrow"/>
                <w:sz w:val="20"/>
                <w:vertAlign w:val="superscript"/>
              </w:rPr>
              <w:t>a</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9.7 (5.6)</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4.9 (4.4)</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4.75 (3.87, 5.64)</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rPr>
            </w:pPr>
            <w:r w:rsidRPr="00EC63E9">
              <w:rPr>
                <w:rFonts w:ascii="Arial Narrow" w:hAnsi="Arial Narrow"/>
                <w:sz w:val="20"/>
              </w:rPr>
              <w:t>Farrar 1998 (N = 86)</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6.6 (5.4)</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10.1 (5.2)</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3.55 (1.96, 5.14)</w:t>
            </w:r>
          </w:p>
        </w:tc>
      </w:tr>
      <w:tr w:rsidR="00B32D72" w:rsidRPr="00EC63E9" w:rsidTr="00B32D72">
        <w:trPr>
          <w:cantSplit/>
        </w:trPr>
        <w:tc>
          <w:tcPr>
            <w:tcW w:w="6576" w:type="dxa"/>
            <w:gridSpan w:val="4"/>
            <w:vAlign w:val="center"/>
          </w:tcPr>
          <w:p w:rsidR="00B32D72" w:rsidRPr="00EC63E9" w:rsidRDefault="00B32D72" w:rsidP="005B63E9">
            <w:pPr>
              <w:jc w:val="right"/>
              <w:rPr>
                <w:rFonts w:ascii="Arial Narrow" w:hAnsi="Arial Narrow"/>
                <w:sz w:val="20"/>
              </w:rPr>
            </w:pPr>
            <w:r w:rsidRPr="00EC63E9">
              <w:rPr>
                <w:rFonts w:ascii="Arial Narrow" w:hAnsi="Arial Narrow"/>
                <w:sz w:val="20"/>
              </w:rPr>
              <w:t>Meta-analysis of fentanyl buccal trials; I</w:t>
            </w:r>
            <w:r w:rsidRPr="00EC63E9">
              <w:rPr>
                <w:rFonts w:ascii="Arial Narrow" w:hAnsi="Arial Narrow"/>
                <w:sz w:val="20"/>
                <w:vertAlign w:val="superscript"/>
              </w:rPr>
              <w:t>2</w:t>
            </w:r>
            <w:r w:rsidRPr="00EC63E9">
              <w:rPr>
                <w:rFonts w:ascii="Arial Narrow" w:hAnsi="Arial Narrow"/>
                <w:sz w:val="20"/>
              </w:rPr>
              <w:t>=0%</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4.61 (3.93, 5.28)</w:t>
            </w:r>
          </w:p>
        </w:tc>
      </w:tr>
      <w:tr w:rsidR="00B32D72" w:rsidRPr="00EC63E9" w:rsidTr="00B32D72">
        <w:trPr>
          <w:cantSplit/>
        </w:trPr>
        <w:tc>
          <w:tcPr>
            <w:tcW w:w="6576" w:type="dxa"/>
            <w:gridSpan w:val="4"/>
            <w:vAlign w:val="center"/>
          </w:tcPr>
          <w:p w:rsidR="00B32D72" w:rsidRPr="00EC63E9" w:rsidRDefault="00B32D72" w:rsidP="005B63E9">
            <w:pPr>
              <w:jc w:val="right"/>
              <w:rPr>
                <w:rFonts w:ascii="Arial Narrow" w:hAnsi="Arial Narrow"/>
                <w:sz w:val="20"/>
              </w:rPr>
            </w:pPr>
            <w:r w:rsidRPr="00EC63E9">
              <w:rPr>
                <w:rFonts w:ascii="Arial Narrow" w:hAnsi="Arial Narrow"/>
                <w:sz w:val="20"/>
              </w:rPr>
              <w:t>Indirect estimate of effect, results &gt; 0 favour fentanyl buccal tablets</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1.06 (-0.66, 2.78)</w:t>
            </w:r>
          </w:p>
        </w:tc>
      </w:tr>
      <w:tr w:rsidR="00B32D72" w:rsidRPr="00EC63E9" w:rsidTr="00B32D72">
        <w:trPr>
          <w:cantSplit/>
        </w:trPr>
        <w:tc>
          <w:tcPr>
            <w:tcW w:w="8348" w:type="dxa"/>
            <w:gridSpan w:val="5"/>
            <w:vAlign w:val="center"/>
          </w:tcPr>
          <w:p w:rsidR="00B32D72" w:rsidRPr="00EC63E9" w:rsidRDefault="00B32D72" w:rsidP="005B63E9">
            <w:pPr>
              <w:rPr>
                <w:rFonts w:ascii="Arial Narrow" w:hAnsi="Arial Narrow"/>
                <w:b/>
                <w:sz w:val="20"/>
              </w:rPr>
            </w:pPr>
            <w:r w:rsidRPr="00EC63E9">
              <w:rPr>
                <w:rFonts w:ascii="Arial Narrow" w:hAnsi="Arial Narrow"/>
                <w:b/>
                <w:sz w:val="20"/>
              </w:rPr>
              <w:t>Total pain relief at 60 minutes</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rPr>
            </w:pPr>
            <w:r w:rsidRPr="00EC63E9">
              <w:rPr>
                <w:rFonts w:ascii="Arial Narrow" w:hAnsi="Arial Narrow"/>
                <w:sz w:val="20"/>
              </w:rPr>
              <w:t>Study 14 (N = 72)</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6.1 (2.5)</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3.9 (2.9)</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2.20 (1.61, 2.79)</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vertAlign w:val="superscript"/>
              </w:rPr>
            </w:pPr>
            <w:r w:rsidRPr="00EC63E9">
              <w:rPr>
                <w:rFonts w:ascii="Arial Narrow" w:hAnsi="Arial Narrow"/>
                <w:sz w:val="20"/>
              </w:rPr>
              <w:t>Study 3039 (N = 78)</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7.0 (3.1)</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4.4 (3.6)</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2.75 (2.21, 3.28)</w:t>
            </w:r>
          </w:p>
        </w:tc>
      </w:tr>
      <w:tr w:rsidR="00B32D72" w:rsidRPr="00EC63E9" w:rsidTr="00B32D72">
        <w:trPr>
          <w:cantSplit/>
        </w:trPr>
        <w:tc>
          <w:tcPr>
            <w:tcW w:w="1843" w:type="dxa"/>
            <w:vAlign w:val="center"/>
          </w:tcPr>
          <w:p w:rsidR="00B32D72" w:rsidRPr="00EC63E9" w:rsidRDefault="00B32D72" w:rsidP="005B63E9">
            <w:pPr>
              <w:jc w:val="left"/>
              <w:rPr>
                <w:rFonts w:ascii="Arial Narrow" w:hAnsi="Arial Narrow"/>
                <w:sz w:val="20"/>
              </w:rPr>
            </w:pPr>
            <w:r w:rsidRPr="00EC63E9">
              <w:rPr>
                <w:rFonts w:ascii="Arial Narrow" w:hAnsi="Arial Narrow"/>
                <w:sz w:val="20"/>
              </w:rPr>
              <w:t>Farrar 1998 (N = 86)</w:t>
            </w:r>
          </w:p>
        </w:tc>
        <w:tc>
          <w:tcPr>
            <w:tcW w:w="1577"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4.7 (3.2)</w:t>
            </w:r>
          </w:p>
        </w:tc>
        <w:tc>
          <w:tcPr>
            <w:tcW w:w="1578"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7.4 (2.9)</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2.70 (1.78, 3.62)</w:t>
            </w:r>
          </w:p>
        </w:tc>
      </w:tr>
      <w:tr w:rsidR="00B32D72" w:rsidRPr="00EC63E9" w:rsidTr="00B32D72">
        <w:trPr>
          <w:cantSplit/>
        </w:trPr>
        <w:tc>
          <w:tcPr>
            <w:tcW w:w="6576" w:type="dxa"/>
            <w:gridSpan w:val="4"/>
            <w:vAlign w:val="center"/>
          </w:tcPr>
          <w:p w:rsidR="00B32D72" w:rsidRPr="00EC63E9" w:rsidRDefault="00B32D72" w:rsidP="005B63E9">
            <w:pPr>
              <w:jc w:val="right"/>
              <w:rPr>
                <w:rFonts w:ascii="Arial Narrow" w:hAnsi="Arial Narrow"/>
                <w:sz w:val="20"/>
              </w:rPr>
            </w:pPr>
            <w:r w:rsidRPr="00EC63E9">
              <w:rPr>
                <w:rFonts w:ascii="Arial Narrow" w:hAnsi="Arial Narrow"/>
                <w:sz w:val="20"/>
              </w:rPr>
              <w:t>Meta-analysis of fentanyl buccal trials; I</w:t>
            </w:r>
            <w:r w:rsidRPr="00EC63E9">
              <w:rPr>
                <w:rFonts w:ascii="Arial Narrow" w:hAnsi="Arial Narrow"/>
                <w:sz w:val="20"/>
                <w:vertAlign w:val="superscript"/>
              </w:rPr>
              <w:t>2</w:t>
            </w:r>
            <w:r w:rsidRPr="00EC63E9">
              <w:rPr>
                <w:rFonts w:ascii="Arial Narrow" w:hAnsi="Arial Narrow"/>
                <w:sz w:val="20"/>
              </w:rPr>
              <w:t>=44%</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2.49 (1.95, 3.02)</w:t>
            </w:r>
          </w:p>
        </w:tc>
      </w:tr>
      <w:tr w:rsidR="00B32D72" w:rsidRPr="00EC63E9" w:rsidTr="00B32D72">
        <w:trPr>
          <w:cantSplit/>
        </w:trPr>
        <w:tc>
          <w:tcPr>
            <w:tcW w:w="6576" w:type="dxa"/>
            <w:gridSpan w:val="4"/>
            <w:vAlign w:val="center"/>
          </w:tcPr>
          <w:p w:rsidR="00B32D72" w:rsidRPr="00EC63E9" w:rsidRDefault="00B32D72" w:rsidP="005B63E9">
            <w:pPr>
              <w:jc w:val="right"/>
              <w:rPr>
                <w:rFonts w:ascii="Arial Narrow" w:hAnsi="Arial Narrow"/>
                <w:sz w:val="20"/>
              </w:rPr>
            </w:pPr>
            <w:r w:rsidRPr="00EC63E9">
              <w:rPr>
                <w:rFonts w:ascii="Arial Narrow" w:hAnsi="Arial Narrow"/>
                <w:sz w:val="20"/>
              </w:rPr>
              <w:t>Indirect estimate of effect, results &gt; 0 favour fentanyl buccal tablets</w:t>
            </w:r>
          </w:p>
        </w:tc>
        <w:tc>
          <w:tcPr>
            <w:tcW w:w="1772" w:type="dxa"/>
            <w:vAlign w:val="center"/>
          </w:tcPr>
          <w:p w:rsidR="00B32D72" w:rsidRPr="00EC63E9" w:rsidRDefault="00B32D72" w:rsidP="005B63E9">
            <w:pPr>
              <w:jc w:val="center"/>
              <w:rPr>
                <w:rFonts w:ascii="Arial Narrow" w:hAnsi="Arial Narrow"/>
                <w:sz w:val="20"/>
              </w:rPr>
            </w:pPr>
            <w:r w:rsidRPr="00EC63E9">
              <w:rPr>
                <w:rFonts w:ascii="Arial Narrow" w:hAnsi="Arial Narrow"/>
                <w:sz w:val="20"/>
              </w:rPr>
              <w:t>-0.21 (-1.27, 0.85)</w:t>
            </w:r>
          </w:p>
        </w:tc>
      </w:tr>
    </w:tbl>
    <w:p w:rsidR="00B32D72" w:rsidRPr="00EC63E9" w:rsidRDefault="00B32D72" w:rsidP="00B32D72">
      <w:pPr>
        <w:ind w:firstLine="720"/>
        <w:rPr>
          <w:rFonts w:ascii="Arial Narrow" w:hAnsi="Arial Narrow"/>
          <w:sz w:val="18"/>
          <w:szCs w:val="18"/>
        </w:rPr>
      </w:pPr>
      <w:r w:rsidRPr="00EC63E9">
        <w:rPr>
          <w:rFonts w:ascii="Arial Narrow" w:hAnsi="Arial Narrow"/>
          <w:sz w:val="18"/>
          <w:szCs w:val="18"/>
        </w:rPr>
        <w:t>Abbreviations: CI, confidence interval</w:t>
      </w:r>
    </w:p>
    <w:p w:rsidR="00B32D72" w:rsidRPr="00EC63E9" w:rsidRDefault="00B32D72" w:rsidP="00B32D72">
      <w:pPr>
        <w:ind w:left="720"/>
        <w:rPr>
          <w:rFonts w:ascii="Arial Narrow" w:hAnsi="Arial Narrow"/>
          <w:sz w:val="18"/>
          <w:szCs w:val="18"/>
        </w:rPr>
      </w:pPr>
      <w:r w:rsidRPr="00EC63E9">
        <w:rPr>
          <w:rFonts w:ascii="Arial Narrow" w:hAnsi="Arial Narrow"/>
          <w:sz w:val="18"/>
          <w:szCs w:val="18"/>
        </w:rPr>
        <w:t xml:space="preserve">Source: Table B.6-1 (p 59), Table B.6-2 (p 60), Table B.6-6 (p 68), Table B.6-9 (p 71), Section B of the submission; Table 3-11 (p 27-28) and Table 3-12 (p 29-30) of the FDA </w:t>
      </w:r>
      <w:proofErr w:type="spellStart"/>
      <w:r w:rsidRPr="00EC63E9">
        <w:rPr>
          <w:rFonts w:ascii="Arial Narrow" w:hAnsi="Arial Narrow"/>
          <w:sz w:val="18"/>
          <w:szCs w:val="18"/>
        </w:rPr>
        <w:t>Actiq</w:t>
      </w:r>
      <w:proofErr w:type="spellEnd"/>
      <w:r w:rsidRPr="00EC63E9">
        <w:rPr>
          <w:rFonts w:ascii="Arial Narrow" w:hAnsi="Arial Narrow"/>
          <w:sz w:val="18"/>
          <w:szCs w:val="18"/>
        </w:rPr>
        <w:t xml:space="preserve"> statistical report</w:t>
      </w:r>
    </w:p>
    <w:p w:rsidR="00FC5D06" w:rsidRPr="00EC63E9" w:rsidRDefault="00FC5D06" w:rsidP="00FC5D06">
      <w:pPr>
        <w:ind w:left="720"/>
        <w:rPr>
          <w:rFonts w:ascii="Arial Narrow" w:hAnsi="Arial Narrow"/>
          <w:sz w:val="18"/>
          <w:szCs w:val="18"/>
        </w:rPr>
      </w:pPr>
      <w:r w:rsidRPr="00EC63E9">
        <w:rPr>
          <w:rFonts w:ascii="Arial Narrow" w:hAnsi="Arial Narrow"/>
          <w:sz w:val="18"/>
          <w:szCs w:val="18"/>
        </w:rPr>
        <w:t>Summed pain intensity difference measured on a 0-20 scale (30 minutes) or 0-40 scale (60 minutes); Total pain relief measured on a 0-16 scale (60 minutes)</w:t>
      </w:r>
    </w:p>
    <w:p w:rsidR="00FC5D06" w:rsidRPr="00EC63E9" w:rsidRDefault="00FC5D06" w:rsidP="00FC5D06">
      <w:pPr>
        <w:ind w:left="720"/>
        <w:rPr>
          <w:rFonts w:ascii="Arial Narrow" w:hAnsi="Arial Narrow"/>
          <w:sz w:val="18"/>
          <w:szCs w:val="18"/>
        </w:rPr>
      </w:pPr>
      <w:proofErr w:type="gramStart"/>
      <w:r w:rsidRPr="00EC63E9">
        <w:rPr>
          <w:rFonts w:ascii="Arial Narrow" w:hAnsi="Arial Narrow"/>
          <w:sz w:val="18"/>
          <w:szCs w:val="18"/>
          <w:vertAlign w:val="superscript"/>
        </w:rPr>
        <w:t>a</w:t>
      </w:r>
      <w:proofErr w:type="gramEnd"/>
      <w:r w:rsidRPr="00EC63E9">
        <w:rPr>
          <w:rFonts w:ascii="Arial Narrow" w:hAnsi="Arial Narrow"/>
          <w:sz w:val="18"/>
          <w:szCs w:val="18"/>
          <w:vertAlign w:val="superscript"/>
        </w:rPr>
        <w:t xml:space="preserve"> </w:t>
      </w:r>
      <w:r w:rsidRPr="00EC63E9">
        <w:rPr>
          <w:rFonts w:ascii="Arial Narrow" w:hAnsi="Arial Narrow"/>
          <w:sz w:val="18"/>
          <w:szCs w:val="18"/>
        </w:rPr>
        <w:t>Summed pain intensity measures for Study 3039 were weighted to account for additional assessment points at 5 and 10 minutes</w:t>
      </w:r>
    </w:p>
    <w:p w:rsidR="007F1017" w:rsidRPr="00EC63E9" w:rsidRDefault="007F1017" w:rsidP="007F1017">
      <w:pPr>
        <w:widowControl/>
        <w:rPr>
          <w:szCs w:val="22"/>
        </w:rPr>
      </w:pPr>
    </w:p>
    <w:p w:rsidR="00B32D72" w:rsidRPr="00EC63E9" w:rsidRDefault="00B32D72" w:rsidP="00B77ED1">
      <w:pPr>
        <w:pStyle w:val="ListParagraph"/>
        <w:widowControl/>
        <w:numPr>
          <w:ilvl w:val="1"/>
          <w:numId w:val="1"/>
        </w:numPr>
        <w:rPr>
          <w:szCs w:val="22"/>
        </w:rPr>
      </w:pPr>
      <w:r w:rsidRPr="00EC63E9">
        <w:rPr>
          <w:szCs w:val="22"/>
        </w:rPr>
        <w:t xml:space="preserve">There was no difference in summed pain intensity difference or total pain relief </w:t>
      </w:r>
      <w:r w:rsidR="009D6B89" w:rsidRPr="00EC63E9">
        <w:rPr>
          <w:szCs w:val="22"/>
        </w:rPr>
        <w:t>between fentanyl buccal tablets and</w:t>
      </w:r>
      <w:r w:rsidRPr="00EC63E9">
        <w:rPr>
          <w:szCs w:val="22"/>
        </w:rPr>
        <w:t xml:space="preserve"> fentanyl lozenges. </w:t>
      </w:r>
      <w:r w:rsidR="006F0B3F" w:rsidRPr="00EC63E9">
        <w:rPr>
          <w:szCs w:val="22"/>
        </w:rPr>
        <w:t>Additionally, there was no statistically significant difference in rescue medication use between treatments (rate ratio 0.96; 95% CI 0.60, 1.53).</w:t>
      </w:r>
    </w:p>
    <w:p w:rsidR="00B32D72" w:rsidRPr="00EC63E9" w:rsidRDefault="00B32D72" w:rsidP="00B32D72">
      <w:pPr>
        <w:rPr>
          <w:szCs w:val="22"/>
        </w:rPr>
      </w:pPr>
    </w:p>
    <w:p w:rsidR="00B32D72" w:rsidRPr="00EC63E9" w:rsidRDefault="00B32D72" w:rsidP="00B77ED1">
      <w:pPr>
        <w:pStyle w:val="ListParagraph"/>
        <w:widowControl/>
        <w:numPr>
          <w:ilvl w:val="1"/>
          <w:numId w:val="1"/>
        </w:numPr>
        <w:rPr>
          <w:szCs w:val="22"/>
        </w:rPr>
      </w:pPr>
      <w:r w:rsidRPr="00EC63E9">
        <w:rPr>
          <w:szCs w:val="22"/>
        </w:rPr>
        <w:t>The analysis was sensitive to outcomes reported for different patient datasets from the Farrar et al (1998) trial. An analysis using the IT</w:t>
      </w:r>
      <w:r w:rsidR="00AD50E2" w:rsidRPr="00EC63E9">
        <w:rPr>
          <w:szCs w:val="22"/>
        </w:rPr>
        <w:t>T population rather than the evaluable analysis set</w:t>
      </w:r>
      <w:r w:rsidRPr="00EC63E9">
        <w:rPr>
          <w:szCs w:val="22"/>
        </w:rPr>
        <w:t xml:space="preserve"> population suggested a statistically significant improvement in summed pain intensity difference at 60 minutes with fentanyl buccal tablets compared to fentanyl lozenges (mean difference 1.87; 95% CI 0.90, 2.84). </w:t>
      </w:r>
    </w:p>
    <w:p w:rsidR="00B32D72" w:rsidRPr="00EC63E9" w:rsidRDefault="00B32D72" w:rsidP="00B32D72">
      <w:pPr>
        <w:rPr>
          <w:szCs w:val="22"/>
        </w:rPr>
      </w:pPr>
    </w:p>
    <w:p w:rsidR="00B32D72" w:rsidRPr="00EC63E9" w:rsidRDefault="00B32D72" w:rsidP="00B77ED1">
      <w:pPr>
        <w:pStyle w:val="ListParagraph"/>
        <w:widowControl/>
        <w:numPr>
          <w:ilvl w:val="1"/>
          <w:numId w:val="1"/>
        </w:numPr>
        <w:rPr>
          <w:szCs w:val="22"/>
        </w:rPr>
      </w:pPr>
      <w:r w:rsidRPr="00EC63E9">
        <w:rPr>
          <w:szCs w:val="22"/>
        </w:rPr>
        <w:t xml:space="preserve">Fentanyl buccal tablets met the nominated non-inferiority margin for summed pain intensity difference at 60 minutes (lower CI bound &gt; -1.0 to -1.5). </w:t>
      </w:r>
      <w:r w:rsidR="006F0B3F" w:rsidRPr="00EC63E9">
        <w:rPr>
          <w:szCs w:val="22"/>
        </w:rPr>
        <w:t>However, t</w:t>
      </w:r>
      <w:r w:rsidRPr="00EC63E9">
        <w:rPr>
          <w:szCs w:val="22"/>
        </w:rPr>
        <w:t xml:space="preserve">he non-inferiority margin used in the submission was </w:t>
      </w:r>
      <w:r w:rsidR="00F82184" w:rsidRPr="00EC63E9">
        <w:rPr>
          <w:szCs w:val="22"/>
        </w:rPr>
        <w:t>not well established</w:t>
      </w:r>
      <w:r w:rsidR="00F17306" w:rsidRPr="00EC63E9">
        <w:rPr>
          <w:szCs w:val="22"/>
        </w:rPr>
        <w:t>.</w:t>
      </w:r>
      <w:r w:rsidR="007249D1" w:rsidRPr="00EC63E9">
        <w:rPr>
          <w:szCs w:val="22"/>
        </w:rPr>
        <w:t xml:space="preserve"> </w:t>
      </w:r>
      <w:r w:rsidR="00651011" w:rsidRPr="00EC63E9">
        <w:rPr>
          <w:szCs w:val="22"/>
        </w:rPr>
        <w:t xml:space="preserve">Following consideration of the PSCR, the ESC </w:t>
      </w:r>
      <w:r w:rsidR="00117B8B" w:rsidRPr="00EC63E9">
        <w:rPr>
          <w:szCs w:val="22"/>
        </w:rPr>
        <w:t>concluded</w:t>
      </w:r>
      <w:r w:rsidR="00651011" w:rsidRPr="00EC63E9">
        <w:rPr>
          <w:szCs w:val="22"/>
        </w:rPr>
        <w:t xml:space="preserve"> that the non-inferiority margin used </w:t>
      </w:r>
      <w:r w:rsidR="00117B8B" w:rsidRPr="00EC63E9">
        <w:rPr>
          <w:szCs w:val="22"/>
        </w:rPr>
        <w:t>may not be adequately justified.</w:t>
      </w:r>
    </w:p>
    <w:p w:rsidR="007C7320" w:rsidRPr="00EC63E9" w:rsidRDefault="007C7320" w:rsidP="007C7320">
      <w:pPr>
        <w:pStyle w:val="ListParagraph"/>
        <w:rPr>
          <w:szCs w:val="22"/>
        </w:rPr>
      </w:pPr>
    </w:p>
    <w:p w:rsidR="00B32D72" w:rsidRPr="00EC63E9" w:rsidRDefault="00B32D72" w:rsidP="00B77ED1">
      <w:pPr>
        <w:pStyle w:val="ListParagraph"/>
        <w:widowControl/>
        <w:numPr>
          <w:ilvl w:val="1"/>
          <w:numId w:val="1"/>
        </w:numPr>
        <w:rPr>
          <w:szCs w:val="22"/>
        </w:rPr>
      </w:pPr>
      <w:r w:rsidRPr="00EC63E9">
        <w:rPr>
          <w:szCs w:val="22"/>
        </w:rPr>
        <w:t>Overall, both formulations appear</w:t>
      </w:r>
      <w:r w:rsidR="006F0B3F" w:rsidRPr="00EC63E9">
        <w:rPr>
          <w:szCs w:val="22"/>
        </w:rPr>
        <w:t>ed</w:t>
      </w:r>
      <w:r w:rsidRPr="00EC63E9">
        <w:rPr>
          <w:szCs w:val="22"/>
        </w:rPr>
        <w:t xml:space="preserve"> to have broadly similar results on pain outcomes</w:t>
      </w:r>
      <w:r w:rsidR="00121E7F" w:rsidRPr="00EC63E9">
        <w:rPr>
          <w:szCs w:val="22"/>
        </w:rPr>
        <w:t xml:space="preserve"> (similar point estimates with highly overlapping confidence intervals)</w:t>
      </w:r>
      <w:r w:rsidRPr="00EC63E9">
        <w:rPr>
          <w:szCs w:val="22"/>
        </w:rPr>
        <w:t>.</w:t>
      </w:r>
      <w:r w:rsidR="00721DD8" w:rsidRPr="00EC63E9">
        <w:rPr>
          <w:szCs w:val="22"/>
        </w:rPr>
        <w:t xml:space="preserve">  However, in </w:t>
      </w:r>
      <w:r w:rsidR="00721DD8" w:rsidRPr="00EC63E9">
        <w:rPr>
          <w:szCs w:val="22"/>
        </w:rPr>
        <w:lastRenderedPageBreak/>
        <w:t>view of the limitations of the indirect comparison and lack of established non-inferiority margins, the reliability of these estimates is uncertain.</w:t>
      </w:r>
    </w:p>
    <w:p w:rsidR="00B32D72" w:rsidRPr="00EC63E9" w:rsidRDefault="00B32D72" w:rsidP="00B60939">
      <w:pPr>
        <w:rPr>
          <w:szCs w:val="22"/>
        </w:rPr>
      </w:pPr>
    </w:p>
    <w:p w:rsidR="00B60939" w:rsidRPr="004B48BE" w:rsidRDefault="00B60939" w:rsidP="002C2775">
      <w:pPr>
        <w:pStyle w:val="Heading2"/>
        <w:rPr>
          <w:i/>
        </w:rPr>
      </w:pPr>
      <w:bookmarkStart w:id="8" w:name="_Toc419708482"/>
      <w:r w:rsidRPr="004B48BE">
        <w:rPr>
          <w:i/>
        </w:rPr>
        <w:t>Comparative harms</w:t>
      </w:r>
      <w:bookmarkEnd w:id="8"/>
    </w:p>
    <w:p w:rsidR="00B60939" w:rsidRPr="00EC63E9" w:rsidRDefault="00B60939" w:rsidP="00B60939">
      <w:pPr>
        <w:ind w:left="720" w:hanging="720"/>
        <w:rPr>
          <w:szCs w:val="22"/>
        </w:rPr>
      </w:pPr>
    </w:p>
    <w:p w:rsidR="00B60939" w:rsidRPr="00EC63E9" w:rsidRDefault="00A64BA6" w:rsidP="00B77ED1">
      <w:pPr>
        <w:pStyle w:val="ListParagraph"/>
        <w:widowControl/>
        <w:numPr>
          <w:ilvl w:val="1"/>
          <w:numId w:val="1"/>
        </w:numPr>
        <w:rPr>
          <w:szCs w:val="22"/>
        </w:rPr>
      </w:pPr>
      <w:r w:rsidRPr="00EC63E9">
        <w:t>Adverse events reported with fentanyl buccal tablets and fentanyl lozenges were generally consistent with the established safety profile of fentanyl (e.g. nausea, vomiting, constipation, somnolence, dizziness, headache, confusion, asthenia, pruritus and fatigue).</w:t>
      </w:r>
    </w:p>
    <w:p w:rsidR="00A64BA6" w:rsidRPr="00EC63E9" w:rsidRDefault="00A64BA6" w:rsidP="00A64BA6">
      <w:pPr>
        <w:pStyle w:val="ListParagraph"/>
        <w:widowControl/>
        <w:rPr>
          <w:szCs w:val="22"/>
        </w:rPr>
      </w:pPr>
    </w:p>
    <w:p w:rsidR="00A64BA6" w:rsidRPr="00EC63E9" w:rsidRDefault="00A64BA6" w:rsidP="00B77ED1">
      <w:pPr>
        <w:pStyle w:val="ListParagraph"/>
        <w:widowControl/>
        <w:numPr>
          <w:ilvl w:val="1"/>
          <w:numId w:val="1"/>
        </w:numPr>
        <w:rPr>
          <w:szCs w:val="22"/>
        </w:rPr>
      </w:pPr>
      <w:r w:rsidRPr="00EC63E9">
        <w:rPr>
          <w:szCs w:val="22"/>
        </w:rPr>
        <w:t>In regards to adverse events related to the mode of administration, the submission note</w:t>
      </w:r>
      <w:r w:rsidR="006D2177" w:rsidRPr="00EC63E9">
        <w:rPr>
          <w:szCs w:val="22"/>
        </w:rPr>
        <w:t>d</w:t>
      </w:r>
      <w:r w:rsidRPr="00EC63E9">
        <w:rPr>
          <w:szCs w:val="22"/>
        </w:rPr>
        <w:t xml:space="preserve"> that both fentanyl buccal tablets (approximately 5-10% of patients) and fentanyl lozenges (not reported, approximately 1-10% of patients based on product information) are associated with mucosal irritation (including bleeding, pain and ulceration).</w:t>
      </w:r>
    </w:p>
    <w:p w:rsidR="008B6013" w:rsidRPr="00EC63E9" w:rsidRDefault="008B6013" w:rsidP="00FC1884"/>
    <w:p w:rsidR="00B60939" w:rsidRPr="004B48BE" w:rsidRDefault="00B60939" w:rsidP="002C2775">
      <w:pPr>
        <w:pStyle w:val="Heading2"/>
        <w:rPr>
          <w:i/>
        </w:rPr>
      </w:pPr>
      <w:bookmarkStart w:id="9" w:name="_Toc419708483"/>
      <w:r w:rsidRPr="004B48BE">
        <w:rPr>
          <w:i/>
        </w:rPr>
        <w:t>Clinical claim</w:t>
      </w:r>
      <w:bookmarkEnd w:id="9"/>
    </w:p>
    <w:p w:rsidR="00B60939" w:rsidRPr="00EC63E9" w:rsidRDefault="00B60939" w:rsidP="00B60939">
      <w:pPr>
        <w:ind w:left="720" w:hanging="720"/>
        <w:rPr>
          <w:szCs w:val="22"/>
        </w:rPr>
      </w:pPr>
    </w:p>
    <w:p w:rsidR="00B60939" w:rsidRPr="00EC63E9" w:rsidRDefault="00A64BA6" w:rsidP="00B77ED1">
      <w:pPr>
        <w:pStyle w:val="ListParagraph"/>
        <w:widowControl/>
        <w:numPr>
          <w:ilvl w:val="1"/>
          <w:numId w:val="1"/>
        </w:numPr>
        <w:rPr>
          <w:szCs w:val="22"/>
        </w:rPr>
      </w:pPr>
      <w:r w:rsidRPr="00EC63E9">
        <w:t xml:space="preserve">The submission described fentanyl buccal tablets as non-inferior in terms of efficacy and non-inferior in terms of safety compared to fentanyl lozenges. </w:t>
      </w:r>
    </w:p>
    <w:p w:rsidR="002A3AFE" w:rsidRDefault="002A3AFE" w:rsidP="002A3AFE">
      <w:pPr>
        <w:pStyle w:val="ListParagraph"/>
        <w:widowControl/>
        <w:rPr>
          <w:szCs w:val="22"/>
        </w:rPr>
      </w:pPr>
    </w:p>
    <w:p w:rsidR="008E3761" w:rsidRPr="00E55A9F" w:rsidRDefault="008E3761" w:rsidP="008E3761">
      <w:pPr>
        <w:numPr>
          <w:ilvl w:val="1"/>
          <w:numId w:val="1"/>
        </w:numPr>
        <w:contextualSpacing/>
        <w:rPr>
          <w:bCs/>
          <w:szCs w:val="22"/>
          <w:lang w:val="en-GB"/>
        </w:rPr>
      </w:pPr>
      <w:r>
        <w:rPr>
          <w:bCs/>
          <w:szCs w:val="22"/>
          <w:lang w:val="en-GB"/>
        </w:rPr>
        <w:t>T</w:t>
      </w:r>
      <w:r w:rsidRPr="00E55A9F">
        <w:rPr>
          <w:bCs/>
          <w:szCs w:val="22"/>
          <w:lang w:val="en-GB"/>
        </w:rPr>
        <w:t xml:space="preserve">he PBAC noted the weak body of evidence </w:t>
      </w:r>
      <w:r>
        <w:rPr>
          <w:bCs/>
          <w:szCs w:val="22"/>
          <w:lang w:val="en-GB"/>
        </w:rPr>
        <w:t xml:space="preserve">for comparison of </w:t>
      </w:r>
      <w:r w:rsidRPr="00E55A9F">
        <w:rPr>
          <w:bCs/>
          <w:szCs w:val="22"/>
          <w:lang w:val="en-GB"/>
        </w:rPr>
        <w:t xml:space="preserve">fentanyl </w:t>
      </w:r>
      <w:r w:rsidR="00EB2D47">
        <w:rPr>
          <w:bCs/>
          <w:szCs w:val="22"/>
          <w:lang w:val="en-GB"/>
        </w:rPr>
        <w:t xml:space="preserve">buccal </w:t>
      </w:r>
      <w:r>
        <w:rPr>
          <w:bCs/>
          <w:szCs w:val="22"/>
          <w:lang w:val="en-GB"/>
        </w:rPr>
        <w:t>tablets</w:t>
      </w:r>
      <w:r w:rsidRPr="00E55A9F">
        <w:rPr>
          <w:bCs/>
          <w:szCs w:val="22"/>
          <w:lang w:val="en-GB"/>
        </w:rPr>
        <w:t xml:space="preserve"> with fentanyl lozenge</w:t>
      </w:r>
      <w:r>
        <w:rPr>
          <w:bCs/>
          <w:szCs w:val="22"/>
          <w:lang w:val="en-GB"/>
        </w:rPr>
        <w:t xml:space="preserve">. </w:t>
      </w:r>
      <w:r w:rsidR="009D2C3C">
        <w:rPr>
          <w:bCs/>
          <w:szCs w:val="22"/>
          <w:lang w:val="en-GB"/>
        </w:rPr>
        <w:t>However, noting the</w:t>
      </w:r>
      <w:r>
        <w:rPr>
          <w:bCs/>
          <w:szCs w:val="22"/>
          <w:lang w:val="en-GB"/>
        </w:rPr>
        <w:t xml:space="preserve"> </w:t>
      </w:r>
      <w:r w:rsidR="009D2C3C">
        <w:rPr>
          <w:bCs/>
          <w:szCs w:val="22"/>
          <w:lang w:val="en-GB"/>
        </w:rPr>
        <w:t xml:space="preserve">challenges in developing high-quality data in this clinical context </w:t>
      </w:r>
      <w:r>
        <w:rPr>
          <w:bCs/>
          <w:szCs w:val="22"/>
          <w:lang w:val="en-GB"/>
        </w:rPr>
        <w:t xml:space="preserve">the PBAC </w:t>
      </w:r>
      <w:r w:rsidR="009D2C3C">
        <w:rPr>
          <w:bCs/>
          <w:szCs w:val="22"/>
          <w:lang w:val="en-GB"/>
        </w:rPr>
        <w:t xml:space="preserve">considered that the claims of </w:t>
      </w:r>
      <w:r w:rsidRPr="00E55A9F">
        <w:rPr>
          <w:bCs/>
          <w:szCs w:val="22"/>
          <w:lang w:val="en-GB"/>
        </w:rPr>
        <w:t>non-inferior comparative effectiveness and non-inferior comparative safety</w:t>
      </w:r>
      <w:r w:rsidR="009D2C3C">
        <w:rPr>
          <w:bCs/>
          <w:szCs w:val="22"/>
          <w:lang w:val="en-GB"/>
        </w:rPr>
        <w:t xml:space="preserve"> were adequately supported</w:t>
      </w:r>
      <w:r w:rsidRPr="00E55A9F">
        <w:rPr>
          <w:bCs/>
          <w:szCs w:val="22"/>
          <w:lang w:val="en-GB"/>
        </w:rPr>
        <w:t>.</w:t>
      </w:r>
    </w:p>
    <w:p w:rsidR="008E3761" w:rsidRPr="00EC63E9" w:rsidRDefault="008E3761" w:rsidP="002A3AFE">
      <w:pPr>
        <w:pStyle w:val="ListParagraph"/>
        <w:widowControl/>
        <w:rPr>
          <w:szCs w:val="22"/>
        </w:rPr>
      </w:pPr>
    </w:p>
    <w:p w:rsidR="00D11544" w:rsidRPr="00EC63E9" w:rsidRDefault="00A25945" w:rsidP="00B77ED1">
      <w:pPr>
        <w:numPr>
          <w:ilvl w:val="1"/>
          <w:numId w:val="1"/>
        </w:numPr>
        <w:contextualSpacing/>
      </w:pPr>
      <w:r w:rsidRPr="00A25945">
        <w:t xml:space="preserve">The PBAC noted that the submission did not </w:t>
      </w:r>
      <w:r>
        <w:t>make a claim capturing the</w:t>
      </w:r>
      <w:r w:rsidRPr="00A25945">
        <w:t xml:space="preserve"> possibility of </w:t>
      </w:r>
      <w:r>
        <w:t>fentanyl</w:t>
      </w:r>
      <w:r w:rsidRPr="00A25945">
        <w:t xml:space="preserve"> </w:t>
      </w:r>
      <w:r>
        <w:t xml:space="preserve">buccal tablets </w:t>
      </w:r>
      <w:r w:rsidRPr="00A25945">
        <w:t>substituting for other breakthrough pain treatments</w:t>
      </w:r>
      <w:r>
        <w:t xml:space="preserve"> such as </w:t>
      </w:r>
      <w:r w:rsidR="00592ABA">
        <w:t xml:space="preserve">other </w:t>
      </w:r>
      <w:r>
        <w:t>immediate release opioids</w:t>
      </w:r>
      <w:r w:rsidR="00EB2D47">
        <w:t>.</w:t>
      </w:r>
      <w:r>
        <w:t xml:space="preserve"> </w:t>
      </w:r>
      <w:r w:rsidR="00D11544">
        <w:t xml:space="preserve">The </w:t>
      </w:r>
      <w:r w:rsidR="00743C19">
        <w:t xml:space="preserve">PBAC considered </w:t>
      </w:r>
      <w:r w:rsidR="009D2C3C">
        <w:t xml:space="preserve">that this omission was not appropriate in view of the risk of this product replacing </w:t>
      </w:r>
      <w:r w:rsidR="00592ABA">
        <w:t xml:space="preserve">other </w:t>
      </w:r>
      <w:r w:rsidR="009D2C3C">
        <w:t xml:space="preserve">immediate-release opioids. </w:t>
      </w:r>
    </w:p>
    <w:p w:rsidR="00B60939" w:rsidRPr="00EC63E9" w:rsidRDefault="00B60939" w:rsidP="00B60939">
      <w:pPr>
        <w:ind w:left="720" w:hanging="720"/>
        <w:rPr>
          <w:szCs w:val="22"/>
        </w:rPr>
      </w:pPr>
    </w:p>
    <w:p w:rsidR="00B60939" w:rsidRPr="004B48BE" w:rsidRDefault="00B60939" w:rsidP="002C2775">
      <w:pPr>
        <w:pStyle w:val="Heading2"/>
        <w:rPr>
          <w:i/>
        </w:rPr>
      </w:pPr>
      <w:bookmarkStart w:id="10" w:name="_Toc419708484"/>
      <w:r w:rsidRPr="004B48BE">
        <w:rPr>
          <w:i/>
        </w:rPr>
        <w:t>Economic analysis</w:t>
      </w:r>
      <w:bookmarkEnd w:id="10"/>
    </w:p>
    <w:p w:rsidR="00B60939" w:rsidRPr="00EC63E9" w:rsidRDefault="00B60939" w:rsidP="00B60939">
      <w:pPr>
        <w:ind w:left="720" w:hanging="720"/>
        <w:rPr>
          <w:szCs w:val="22"/>
        </w:rPr>
      </w:pPr>
    </w:p>
    <w:p w:rsidR="00B60939" w:rsidRPr="00EC63E9" w:rsidRDefault="000F4421" w:rsidP="00B77ED1">
      <w:pPr>
        <w:pStyle w:val="ListParagraph"/>
        <w:widowControl/>
        <w:numPr>
          <w:ilvl w:val="1"/>
          <w:numId w:val="1"/>
        </w:numPr>
        <w:rPr>
          <w:szCs w:val="22"/>
        </w:rPr>
      </w:pPr>
      <w:r w:rsidRPr="00EC63E9">
        <w:t>The submission presented a cost-minimisation analysis of fentanyl buccal tablets compared to fentanyl lozenges.</w:t>
      </w:r>
    </w:p>
    <w:p w:rsidR="00A86E8B" w:rsidRPr="00EC63E9" w:rsidRDefault="00A86E8B" w:rsidP="00A86E8B">
      <w:pPr>
        <w:widowControl/>
        <w:rPr>
          <w:szCs w:val="22"/>
        </w:rPr>
      </w:pPr>
    </w:p>
    <w:p w:rsidR="00E0062C" w:rsidRPr="00EC63E9" w:rsidRDefault="00D21587" w:rsidP="00B77ED1">
      <w:pPr>
        <w:pStyle w:val="ListParagraph"/>
        <w:widowControl/>
        <w:numPr>
          <w:ilvl w:val="1"/>
          <w:numId w:val="1"/>
        </w:numPr>
        <w:rPr>
          <w:szCs w:val="22"/>
        </w:rPr>
      </w:pPr>
      <w:r w:rsidRPr="00EC63E9">
        <w:t xml:space="preserve">The </w:t>
      </w:r>
      <w:r w:rsidR="0009542E" w:rsidRPr="00EC63E9">
        <w:t xml:space="preserve">proposed </w:t>
      </w:r>
      <w:proofErr w:type="spellStart"/>
      <w:r w:rsidRPr="00EC63E9">
        <w:t>equi</w:t>
      </w:r>
      <w:proofErr w:type="spellEnd"/>
      <w:r w:rsidRPr="00EC63E9">
        <w:t>-effective dose</w:t>
      </w:r>
      <w:r w:rsidR="006D2177" w:rsidRPr="00EC63E9">
        <w:t>s</w:t>
      </w:r>
      <w:r w:rsidRPr="00EC63E9">
        <w:t xml:space="preserve"> w</w:t>
      </w:r>
      <w:r w:rsidR="006D2177" w:rsidRPr="00EC63E9">
        <w:t>ere</w:t>
      </w:r>
      <w:r w:rsidRPr="00EC63E9">
        <w:t xml:space="preserve"> </w:t>
      </w:r>
      <w:r w:rsidR="006D2177" w:rsidRPr="00EC63E9">
        <w:t xml:space="preserve">100mcg </w:t>
      </w:r>
      <w:r w:rsidRPr="00EC63E9">
        <w:t xml:space="preserve">fentanyl buccal tablets </w:t>
      </w:r>
      <w:r w:rsidR="006D2177" w:rsidRPr="00EC63E9">
        <w:t>and</w:t>
      </w:r>
      <w:r w:rsidRPr="00EC63E9">
        <w:t xml:space="preserve"> </w:t>
      </w:r>
      <w:r w:rsidR="006D2177" w:rsidRPr="00EC63E9">
        <w:t>152mcg fentanyl lozenges</w:t>
      </w:r>
      <w:r w:rsidR="0009542E" w:rsidRPr="00EC63E9">
        <w:t>. This estimate</w:t>
      </w:r>
      <w:r w:rsidRPr="00EC63E9">
        <w:t xml:space="preserve"> was derived from the mean doses reported in the included clinical trials.</w:t>
      </w:r>
      <w:r w:rsidR="0009542E" w:rsidRPr="00EC63E9">
        <w:t xml:space="preserve"> </w:t>
      </w:r>
      <w:r w:rsidR="00E0062C" w:rsidRPr="00EC63E9">
        <w:t xml:space="preserve">This estimate was considered unreliable as there is no established dose equivalency (on a microgram to microgram basis) between </w:t>
      </w:r>
      <w:r w:rsidR="00DD4047" w:rsidRPr="00EC63E9">
        <w:t xml:space="preserve">various </w:t>
      </w:r>
      <w:r w:rsidR="00E0062C" w:rsidRPr="00EC63E9">
        <w:t>fentanyl products.</w:t>
      </w:r>
    </w:p>
    <w:p w:rsidR="00E0062C" w:rsidRPr="00EC63E9" w:rsidRDefault="00E0062C" w:rsidP="00E0062C">
      <w:pPr>
        <w:pStyle w:val="ListParagraph"/>
      </w:pPr>
    </w:p>
    <w:p w:rsidR="00E0062C" w:rsidRPr="00EC63E9" w:rsidRDefault="00E0062C" w:rsidP="00B77ED1">
      <w:pPr>
        <w:pStyle w:val="ListParagraph"/>
        <w:widowControl/>
        <w:numPr>
          <w:ilvl w:val="1"/>
          <w:numId w:val="1"/>
        </w:numPr>
        <w:rPr>
          <w:szCs w:val="22"/>
        </w:rPr>
      </w:pPr>
      <w:r w:rsidRPr="00EC63E9">
        <w:rPr>
          <w:szCs w:val="22"/>
        </w:rPr>
        <w:t xml:space="preserve">The proposed </w:t>
      </w:r>
      <w:proofErr w:type="spellStart"/>
      <w:r w:rsidRPr="00EC63E9">
        <w:rPr>
          <w:szCs w:val="22"/>
        </w:rPr>
        <w:t>equi</w:t>
      </w:r>
      <w:proofErr w:type="spellEnd"/>
      <w:r w:rsidRPr="00EC63E9">
        <w:rPr>
          <w:szCs w:val="22"/>
        </w:rPr>
        <w:t>-effective dose was not used as the basis for the cost minimisation analysis. Instead, the submission proposed a flat pricing structure across available dose strengths assuming that one fentanyl buccal tablet was equivalent to one fentanyl lozenge. This approach appeared reasonable and is consistent with the current pricing structure for fentanyl lozenges.</w:t>
      </w:r>
      <w:r w:rsidR="00EE5A46" w:rsidRPr="00EC63E9">
        <w:rPr>
          <w:szCs w:val="22"/>
        </w:rPr>
        <w:t xml:space="preserve"> The ESC noted and agreed with the PSCR’s comment regarding </w:t>
      </w:r>
      <w:proofErr w:type="spellStart"/>
      <w:r w:rsidR="00EE5A46" w:rsidRPr="00EC63E9">
        <w:rPr>
          <w:szCs w:val="22"/>
        </w:rPr>
        <w:t>equi</w:t>
      </w:r>
      <w:proofErr w:type="spellEnd"/>
      <w:r w:rsidR="00EE5A46" w:rsidRPr="00EC63E9">
        <w:rPr>
          <w:szCs w:val="22"/>
        </w:rPr>
        <w:t xml:space="preserve">-effective dosing to be less of an issue </w:t>
      </w:r>
      <w:r w:rsidR="00EF4591" w:rsidRPr="00EC63E9">
        <w:rPr>
          <w:szCs w:val="22"/>
        </w:rPr>
        <w:t xml:space="preserve">for pricing </w:t>
      </w:r>
      <w:r w:rsidR="00EE5A46" w:rsidRPr="00EC63E9">
        <w:rPr>
          <w:szCs w:val="22"/>
        </w:rPr>
        <w:t>due to flat pricing structure throughout varying doses</w:t>
      </w:r>
      <w:r w:rsidR="00EF4591" w:rsidRPr="00EC63E9">
        <w:rPr>
          <w:szCs w:val="22"/>
        </w:rPr>
        <w:t>,</w:t>
      </w:r>
      <w:r w:rsidR="00CD7069" w:rsidRPr="00EC63E9">
        <w:rPr>
          <w:szCs w:val="22"/>
        </w:rPr>
        <w:t xml:space="preserve"> particularly for this drug and </w:t>
      </w:r>
      <w:r w:rsidR="00CD7069" w:rsidRPr="00EC63E9">
        <w:rPr>
          <w:szCs w:val="22"/>
        </w:rPr>
        <w:lastRenderedPageBreak/>
        <w:t>indication, due to</w:t>
      </w:r>
      <w:r w:rsidR="00EF4591" w:rsidRPr="00EC63E9">
        <w:rPr>
          <w:szCs w:val="22"/>
        </w:rPr>
        <w:t xml:space="preserve"> limitation to </w:t>
      </w:r>
      <w:r w:rsidR="00142072" w:rsidRPr="00EC63E9">
        <w:rPr>
          <w:szCs w:val="22"/>
        </w:rPr>
        <w:t xml:space="preserve">the </w:t>
      </w:r>
      <w:r w:rsidR="00EF4591" w:rsidRPr="00EC63E9">
        <w:rPr>
          <w:szCs w:val="22"/>
        </w:rPr>
        <w:t>administration of one dose per episode of breakthrough pain in most cases, and highly variable inter-individual titration to response for opioids</w:t>
      </w:r>
      <w:r w:rsidR="00EE5A46" w:rsidRPr="00EC63E9">
        <w:rPr>
          <w:szCs w:val="22"/>
        </w:rPr>
        <w:t>.</w:t>
      </w:r>
    </w:p>
    <w:p w:rsidR="007249D1" w:rsidRPr="00EC63E9" w:rsidRDefault="007249D1" w:rsidP="00E0062C">
      <w:pPr>
        <w:pStyle w:val="ListParagraph"/>
      </w:pPr>
    </w:p>
    <w:p w:rsidR="0009542E" w:rsidRPr="00EC63E9" w:rsidRDefault="00E0062C" w:rsidP="00B77ED1">
      <w:pPr>
        <w:pStyle w:val="ListParagraph"/>
        <w:widowControl/>
        <w:numPr>
          <w:ilvl w:val="1"/>
          <w:numId w:val="1"/>
        </w:numPr>
      </w:pPr>
      <w:r w:rsidRPr="00EC63E9">
        <w:rPr>
          <w:szCs w:val="22"/>
        </w:rPr>
        <w:t>Based on this analysis the submission estimated a flat DPMQ of $</w:t>
      </w:r>
      <w:r w:rsidR="009D43D8">
        <w:rPr>
          <w:noProof/>
          <w:color w:val="000000"/>
          <w:szCs w:val="22"/>
          <w:highlight w:val="black"/>
        </w:rPr>
        <w:t>''''''''''''</w:t>
      </w:r>
      <w:r w:rsidRPr="00EC63E9">
        <w:rPr>
          <w:szCs w:val="22"/>
        </w:rPr>
        <w:t xml:space="preserve"> for two initiation packs (8 tablets) and $</w:t>
      </w:r>
      <w:r w:rsidR="009D43D8">
        <w:rPr>
          <w:noProof/>
          <w:color w:val="000000"/>
          <w:szCs w:val="22"/>
          <w:highlight w:val="black"/>
        </w:rPr>
        <w:t>''''''''''''''''</w:t>
      </w:r>
      <w:r w:rsidRPr="00EC63E9">
        <w:rPr>
          <w:szCs w:val="22"/>
        </w:rPr>
        <w:t xml:space="preserve"> for two maintenance packs (56 tablets) of fentanyl buccal tablets. </w:t>
      </w:r>
    </w:p>
    <w:p w:rsidR="00B66436" w:rsidRPr="00EC63E9" w:rsidRDefault="00B66436" w:rsidP="00C25D9C">
      <w:pPr>
        <w:widowControl/>
        <w:rPr>
          <w:szCs w:val="22"/>
        </w:rPr>
      </w:pPr>
    </w:p>
    <w:p w:rsidR="00C25D9C" w:rsidRPr="004B48BE" w:rsidRDefault="0008600C" w:rsidP="002C2775">
      <w:pPr>
        <w:pStyle w:val="Heading2"/>
        <w:rPr>
          <w:i/>
          <w:szCs w:val="22"/>
        </w:rPr>
      </w:pPr>
      <w:bookmarkStart w:id="11" w:name="_Toc419708485"/>
      <w:r w:rsidRPr="004B48BE">
        <w:rPr>
          <w:i/>
        </w:rPr>
        <w:t>Drug cost/patient/90 days</w:t>
      </w:r>
      <w:bookmarkEnd w:id="11"/>
    </w:p>
    <w:p w:rsidR="0008600C" w:rsidRPr="00EC63E9" w:rsidRDefault="0008600C" w:rsidP="00C25D9C">
      <w:pPr>
        <w:widowControl/>
        <w:rPr>
          <w:szCs w:val="22"/>
        </w:rPr>
      </w:pPr>
    </w:p>
    <w:p w:rsidR="0008600C" w:rsidRPr="00EC63E9" w:rsidRDefault="00817687" w:rsidP="00B77ED1">
      <w:pPr>
        <w:pStyle w:val="ListParagraph"/>
        <w:widowControl/>
        <w:numPr>
          <w:ilvl w:val="1"/>
          <w:numId w:val="1"/>
        </w:numPr>
        <w:rPr>
          <w:szCs w:val="22"/>
        </w:rPr>
      </w:pPr>
      <w:r w:rsidRPr="00EC63E9">
        <w:rPr>
          <w:szCs w:val="22"/>
        </w:rPr>
        <w:t>Fentanyl buccal tablets: $</w:t>
      </w:r>
      <w:r w:rsidR="009D43D8">
        <w:rPr>
          <w:noProof/>
          <w:color w:val="000000"/>
          <w:szCs w:val="22"/>
          <w:highlight w:val="black"/>
        </w:rPr>
        <w:t>''''''''''''''</w:t>
      </w:r>
      <w:r w:rsidRPr="00EC63E9">
        <w:rPr>
          <w:szCs w:val="22"/>
        </w:rPr>
        <w:t xml:space="preserve"> (assuming DPMQ price, maintenance treatment and 3 breakthrough episodes a day)</w:t>
      </w:r>
    </w:p>
    <w:p w:rsidR="0008600C" w:rsidRPr="00EC63E9" w:rsidRDefault="0008600C" w:rsidP="0008600C">
      <w:pPr>
        <w:pStyle w:val="ListParagraph"/>
        <w:widowControl/>
        <w:rPr>
          <w:szCs w:val="22"/>
        </w:rPr>
      </w:pPr>
    </w:p>
    <w:p w:rsidR="00817687" w:rsidRPr="00EC63E9" w:rsidRDefault="00817687" w:rsidP="00B77ED1">
      <w:pPr>
        <w:pStyle w:val="ListParagraph"/>
        <w:widowControl/>
        <w:numPr>
          <w:ilvl w:val="1"/>
          <w:numId w:val="1"/>
        </w:numPr>
        <w:rPr>
          <w:szCs w:val="22"/>
        </w:rPr>
      </w:pPr>
      <w:r w:rsidRPr="00EC63E9">
        <w:rPr>
          <w:szCs w:val="22"/>
        </w:rPr>
        <w:t>Fentanyl lozenge: $</w:t>
      </w:r>
      <w:r w:rsidR="009D43D8">
        <w:rPr>
          <w:noProof/>
          <w:color w:val="000000"/>
          <w:szCs w:val="22"/>
          <w:highlight w:val="black"/>
        </w:rPr>
        <w:t>'''''''''''''</w:t>
      </w:r>
      <w:r w:rsidRPr="00EC63E9">
        <w:rPr>
          <w:szCs w:val="22"/>
        </w:rPr>
        <w:t xml:space="preserve"> (assuming DPMQ pri</w:t>
      </w:r>
      <w:r w:rsidR="007C4F31">
        <w:rPr>
          <w:szCs w:val="22"/>
        </w:rPr>
        <w:t>ce, maintenance treatment and 3 </w:t>
      </w:r>
      <w:r w:rsidRPr="00EC63E9">
        <w:rPr>
          <w:szCs w:val="22"/>
        </w:rPr>
        <w:t>breakthrough episodes a day)</w:t>
      </w:r>
    </w:p>
    <w:p w:rsidR="00B60939" w:rsidRPr="00EC63E9" w:rsidRDefault="00B60939" w:rsidP="001456B0">
      <w:pPr>
        <w:rPr>
          <w:szCs w:val="22"/>
        </w:rPr>
      </w:pPr>
    </w:p>
    <w:p w:rsidR="00B60939" w:rsidRPr="004B48BE" w:rsidRDefault="00B60939" w:rsidP="002C2775">
      <w:pPr>
        <w:pStyle w:val="Heading2"/>
        <w:rPr>
          <w:i/>
        </w:rPr>
      </w:pPr>
      <w:bookmarkStart w:id="12" w:name="_Toc419708486"/>
      <w:r w:rsidRPr="004B48BE">
        <w:rPr>
          <w:i/>
        </w:rPr>
        <w:t>Estimated PBS usage &amp; financial implications</w:t>
      </w:r>
      <w:bookmarkEnd w:id="12"/>
    </w:p>
    <w:p w:rsidR="00B60939" w:rsidRPr="00EC63E9" w:rsidRDefault="00B60939" w:rsidP="00B60939">
      <w:pPr>
        <w:ind w:left="720" w:hanging="720"/>
        <w:rPr>
          <w:b/>
          <w:szCs w:val="22"/>
        </w:rPr>
      </w:pPr>
    </w:p>
    <w:p w:rsidR="008B22E6" w:rsidRPr="00EC63E9" w:rsidRDefault="008B22E6" w:rsidP="00B77ED1">
      <w:pPr>
        <w:pStyle w:val="ListParagraph"/>
        <w:widowControl/>
        <w:numPr>
          <w:ilvl w:val="1"/>
          <w:numId w:val="1"/>
        </w:numPr>
        <w:rPr>
          <w:szCs w:val="22"/>
        </w:rPr>
      </w:pPr>
      <w:r w:rsidRPr="00EC63E9">
        <w:t xml:space="preserve">This submission </w:t>
      </w:r>
      <w:r w:rsidR="00264DBC" w:rsidRPr="00EC63E9">
        <w:t>was</w:t>
      </w:r>
      <w:r w:rsidRPr="00EC63E9">
        <w:t xml:space="preserve"> not</w:t>
      </w:r>
      <w:r w:rsidR="00C25D9C" w:rsidRPr="00EC63E9">
        <w:t xml:space="preserve"> considered by DUSC</w:t>
      </w:r>
      <w:r w:rsidR="00C25D9C" w:rsidRPr="00EC63E9">
        <w:rPr>
          <w:color w:val="0070C0"/>
        </w:rPr>
        <w:t>.</w:t>
      </w:r>
    </w:p>
    <w:p w:rsidR="008B22E6" w:rsidRPr="00EC63E9" w:rsidRDefault="008B22E6" w:rsidP="008B22E6">
      <w:pPr>
        <w:widowControl/>
        <w:rPr>
          <w:szCs w:val="22"/>
        </w:rPr>
      </w:pPr>
    </w:p>
    <w:p w:rsidR="004C5FA6" w:rsidRPr="00EC63E9" w:rsidRDefault="004C5FA6" w:rsidP="00B77ED1">
      <w:pPr>
        <w:pStyle w:val="ListParagraph"/>
        <w:widowControl/>
        <w:numPr>
          <w:ilvl w:val="1"/>
          <w:numId w:val="1"/>
        </w:numPr>
        <w:rPr>
          <w:szCs w:val="22"/>
        </w:rPr>
      </w:pPr>
      <w:r w:rsidRPr="00EC63E9">
        <w:rPr>
          <w:szCs w:val="22"/>
        </w:rPr>
        <w:t>The submission used a market share approach to estimate the utilisation/financial implications associated with the PBS listing of fentanyl buccal tablets.</w:t>
      </w:r>
    </w:p>
    <w:p w:rsidR="00C25D9C" w:rsidRPr="00EC63E9" w:rsidRDefault="00C25D9C" w:rsidP="00C25D9C">
      <w:pPr>
        <w:widowControl/>
        <w:rPr>
          <w:szCs w:val="22"/>
        </w:rPr>
      </w:pPr>
    </w:p>
    <w:p w:rsidR="0056423E" w:rsidRPr="00EC63E9" w:rsidRDefault="0056423E" w:rsidP="0056423E">
      <w:pPr>
        <w:pStyle w:val="COMtbl-HEADLeftAligned"/>
      </w:pPr>
      <w:r w:rsidRPr="00EC63E9">
        <w:tab/>
        <w:t>Table 4: Estimated utilisation and cost to the PBS of fentanyl buccal tablets in the first five years of listing</w:t>
      </w:r>
    </w:p>
    <w:tbl>
      <w:tblPr>
        <w:tblStyle w:val="TableGrid"/>
        <w:tblW w:w="8343" w:type="dxa"/>
        <w:tblInd w:w="771" w:type="dxa"/>
        <w:tblCellMar>
          <w:left w:w="57" w:type="dxa"/>
          <w:right w:w="57" w:type="dxa"/>
        </w:tblCellMar>
        <w:tblLook w:val="04A0" w:firstRow="1" w:lastRow="0" w:firstColumn="1" w:lastColumn="0" w:noHBand="0" w:noVBand="1"/>
        <w:tblCaption w:val="Table 4: Estimated utilisation and cost to the PBS of fentanyl buccal tablets in the first five years of listing"/>
        <w:tblDescription w:val="The redacted table above shows that at year 1, the estimated number of units dispensed was more than 200,000 and the net cost to the PBS would be less than $10 million. At year 5, the estimated number of units dispensed was more than 200,000 and the net cost to the PBS estimated to be less than $10 million."/>
      </w:tblPr>
      <w:tblGrid>
        <w:gridCol w:w="1980"/>
        <w:gridCol w:w="1277"/>
        <w:gridCol w:w="1278"/>
        <w:gridCol w:w="1278"/>
        <w:gridCol w:w="1278"/>
        <w:gridCol w:w="1252"/>
      </w:tblGrid>
      <w:tr w:rsidR="0056423E" w:rsidRPr="00EC63E9" w:rsidTr="00A8333A">
        <w:trPr>
          <w:tblHeader/>
        </w:trPr>
        <w:tc>
          <w:tcPr>
            <w:tcW w:w="1980" w:type="dxa"/>
            <w:vAlign w:val="center"/>
          </w:tcPr>
          <w:p w:rsidR="0056423E" w:rsidRPr="00EC63E9" w:rsidRDefault="0056423E" w:rsidP="0011541A">
            <w:pPr>
              <w:rPr>
                <w:rFonts w:ascii="Arial Narrow" w:hAnsi="Arial Narrow"/>
                <w:sz w:val="20"/>
              </w:rPr>
            </w:pPr>
          </w:p>
        </w:tc>
        <w:tc>
          <w:tcPr>
            <w:tcW w:w="1277" w:type="dxa"/>
            <w:vAlign w:val="center"/>
          </w:tcPr>
          <w:p w:rsidR="0056423E" w:rsidRPr="00EC63E9" w:rsidRDefault="0056423E" w:rsidP="0011541A">
            <w:pPr>
              <w:pStyle w:val="COMtbl-HEADCentred"/>
            </w:pPr>
            <w:r w:rsidRPr="00EC63E9">
              <w:t xml:space="preserve">Year 1 </w:t>
            </w:r>
          </w:p>
          <w:p w:rsidR="0056423E" w:rsidRPr="00EC63E9" w:rsidRDefault="0056423E" w:rsidP="0011541A">
            <w:pPr>
              <w:jc w:val="center"/>
              <w:rPr>
                <w:rFonts w:ascii="Arial Narrow" w:hAnsi="Arial Narrow"/>
                <w:b/>
                <w:sz w:val="20"/>
              </w:rPr>
            </w:pPr>
            <w:r w:rsidRPr="00EC63E9">
              <w:rPr>
                <w:rFonts w:ascii="Arial Narrow" w:hAnsi="Arial Narrow"/>
                <w:b/>
                <w:sz w:val="20"/>
              </w:rPr>
              <w:t>(2015-2016)</w:t>
            </w:r>
          </w:p>
        </w:tc>
        <w:tc>
          <w:tcPr>
            <w:tcW w:w="1278" w:type="dxa"/>
            <w:vAlign w:val="center"/>
          </w:tcPr>
          <w:p w:rsidR="0056423E" w:rsidRPr="00EC63E9" w:rsidRDefault="0056423E" w:rsidP="0011541A">
            <w:pPr>
              <w:pStyle w:val="COMtbl-HEADCentred"/>
            </w:pPr>
            <w:r w:rsidRPr="00EC63E9">
              <w:t xml:space="preserve">Year 2 </w:t>
            </w:r>
          </w:p>
          <w:p w:rsidR="0056423E" w:rsidRPr="00EC63E9" w:rsidRDefault="0056423E" w:rsidP="0011541A">
            <w:pPr>
              <w:jc w:val="center"/>
              <w:rPr>
                <w:rFonts w:ascii="Arial Narrow" w:hAnsi="Arial Narrow"/>
                <w:b/>
                <w:sz w:val="20"/>
              </w:rPr>
            </w:pPr>
            <w:r w:rsidRPr="00EC63E9">
              <w:rPr>
                <w:rFonts w:ascii="Arial Narrow" w:hAnsi="Arial Narrow"/>
                <w:b/>
                <w:sz w:val="20"/>
              </w:rPr>
              <w:t>(2016-2017)</w:t>
            </w:r>
          </w:p>
        </w:tc>
        <w:tc>
          <w:tcPr>
            <w:tcW w:w="1278" w:type="dxa"/>
            <w:vAlign w:val="center"/>
          </w:tcPr>
          <w:p w:rsidR="0056423E" w:rsidRPr="00EC63E9" w:rsidRDefault="0056423E" w:rsidP="0011541A">
            <w:pPr>
              <w:pStyle w:val="COMtbl-HEADCentred"/>
            </w:pPr>
            <w:r w:rsidRPr="00EC63E9">
              <w:t xml:space="preserve">Year 3 </w:t>
            </w:r>
          </w:p>
          <w:p w:rsidR="0056423E" w:rsidRPr="00EC63E9" w:rsidRDefault="0056423E" w:rsidP="0011541A">
            <w:pPr>
              <w:jc w:val="center"/>
              <w:rPr>
                <w:rFonts w:ascii="Arial Narrow" w:hAnsi="Arial Narrow"/>
                <w:b/>
                <w:sz w:val="20"/>
              </w:rPr>
            </w:pPr>
            <w:r w:rsidRPr="00EC63E9">
              <w:rPr>
                <w:rFonts w:ascii="Arial Narrow" w:hAnsi="Arial Narrow"/>
                <w:b/>
                <w:sz w:val="20"/>
              </w:rPr>
              <w:t>(2017-2018)</w:t>
            </w:r>
          </w:p>
        </w:tc>
        <w:tc>
          <w:tcPr>
            <w:tcW w:w="1278" w:type="dxa"/>
            <w:vAlign w:val="center"/>
          </w:tcPr>
          <w:p w:rsidR="0056423E" w:rsidRPr="00EC63E9" w:rsidRDefault="0056423E" w:rsidP="0011541A">
            <w:pPr>
              <w:pStyle w:val="COMtbl-HEADCentred"/>
            </w:pPr>
            <w:r w:rsidRPr="00EC63E9">
              <w:t xml:space="preserve">Year 4 </w:t>
            </w:r>
          </w:p>
          <w:p w:rsidR="0056423E" w:rsidRPr="00EC63E9" w:rsidRDefault="0056423E" w:rsidP="0011541A">
            <w:pPr>
              <w:jc w:val="center"/>
              <w:rPr>
                <w:rFonts w:ascii="Arial Narrow" w:hAnsi="Arial Narrow"/>
                <w:b/>
                <w:sz w:val="20"/>
              </w:rPr>
            </w:pPr>
            <w:r w:rsidRPr="00EC63E9">
              <w:rPr>
                <w:rFonts w:ascii="Arial Narrow" w:hAnsi="Arial Narrow"/>
                <w:b/>
                <w:sz w:val="20"/>
              </w:rPr>
              <w:t>(2018-2019)</w:t>
            </w:r>
          </w:p>
        </w:tc>
        <w:tc>
          <w:tcPr>
            <w:tcW w:w="1252" w:type="dxa"/>
            <w:vAlign w:val="center"/>
          </w:tcPr>
          <w:p w:rsidR="0056423E" w:rsidRPr="00EC63E9" w:rsidRDefault="0056423E" w:rsidP="0011541A">
            <w:pPr>
              <w:pStyle w:val="COMtbl-HEADCentred"/>
            </w:pPr>
            <w:r w:rsidRPr="00EC63E9">
              <w:t xml:space="preserve">Year 5 </w:t>
            </w:r>
          </w:p>
          <w:p w:rsidR="0056423E" w:rsidRPr="00EC63E9" w:rsidRDefault="0056423E" w:rsidP="0011541A">
            <w:pPr>
              <w:jc w:val="center"/>
              <w:rPr>
                <w:rFonts w:ascii="Arial Narrow" w:hAnsi="Arial Narrow"/>
                <w:b/>
                <w:sz w:val="20"/>
              </w:rPr>
            </w:pPr>
            <w:r w:rsidRPr="00EC63E9">
              <w:rPr>
                <w:rFonts w:ascii="Arial Narrow" w:hAnsi="Arial Narrow"/>
                <w:b/>
                <w:sz w:val="20"/>
              </w:rPr>
              <w:t>(2019-2020)</w:t>
            </w:r>
          </w:p>
        </w:tc>
      </w:tr>
      <w:tr w:rsidR="0056423E" w:rsidRPr="00EC63E9" w:rsidTr="0056423E">
        <w:tc>
          <w:tcPr>
            <w:tcW w:w="8343" w:type="dxa"/>
            <w:gridSpan w:val="6"/>
            <w:tcBorders>
              <w:bottom w:val="single" w:sz="4" w:space="0" w:color="auto"/>
            </w:tcBorders>
            <w:vAlign w:val="center"/>
          </w:tcPr>
          <w:p w:rsidR="0056423E" w:rsidRPr="00EC63E9" w:rsidRDefault="0056423E" w:rsidP="0011541A">
            <w:pPr>
              <w:rPr>
                <w:rFonts w:ascii="Arial Narrow" w:hAnsi="Arial Narrow"/>
                <w:b/>
                <w:sz w:val="20"/>
              </w:rPr>
            </w:pPr>
            <w:r w:rsidRPr="00EC63E9">
              <w:rPr>
                <w:rFonts w:ascii="Arial Narrow" w:hAnsi="Arial Narrow"/>
                <w:b/>
                <w:sz w:val="20"/>
              </w:rPr>
              <w:t>One fentanyl formulation available on the PBS</w:t>
            </w:r>
          </w:p>
        </w:tc>
      </w:tr>
      <w:tr w:rsidR="0056423E" w:rsidRPr="00EC63E9" w:rsidTr="005C423F">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Cost to PBS/RPBS</w:t>
            </w:r>
          </w:p>
        </w:tc>
        <w:tc>
          <w:tcPr>
            <w:tcW w:w="1277" w:type="dxa"/>
            <w:shd w:val="clear" w:color="auto" w:fill="auto"/>
            <w:vAlign w:val="bottom"/>
          </w:tcPr>
          <w:p w:rsidR="0056423E" w:rsidRPr="005C423F" w:rsidRDefault="0056423E" w:rsidP="0011541A">
            <w:pPr>
              <w:jc w:val="center"/>
              <w:rPr>
                <w:rFonts w:ascii="Arial Narrow" w:hAnsi="Arial Narrow"/>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52" w:type="dxa"/>
            <w:shd w:val="clear" w:color="auto" w:fill="auto"/>
            <w:vAlign w:val="bottom"/>
          </w:tcPr>
          <w:p w:rsidR="0056423E" w:rsidRPr="005C423F" w:rsidRDefault="0056423E" w:rsidP="0011541A">
            <w:pPr>
              <w:jc w:val="center"/>
              <w:rPr>
                <w:rFonts w:ascii="Arial Narrow" w:hAnsi="Arial Narrow"/>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r>
      <w:tr w:rsidR="0056423E" w:rsidRPr="00EC63E9" w:rsidTr="005C423F">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Fentanyl units dispensed</w:t>
            </w:r>
          </w:p>
        </w:tc>
        <w:tc>
          <w:tcPr>
            <w:tcW w:w="1277"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52"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r>
      <w:tr w:rsidR="0056423E" w:rsidRPr="00EC63E9" w:rsidTr="0056423E">
        <w:tc>
          <w:tcPr>
            <w:tcW w:w="8343" w:type="dxa"/>
            <w:gridSpan w:val="6"/>
            <w:tcBorders>
              <w:bottom w:val="single" w:sz="4" w:space="0" w:color="auto"/>
            </w:tcBorders>
            <w:vAlign w:val="center"/>
          </w:tcPr>
          <w:p w:rsidR="0056423E" w:rsidRPr="005C423F" w:rsidRDefault="0056423E" w:rsidP="0011541A">
            <w:pPr>
              <w:rPr>
                <w:rFonts w:ascii="Arial Narrow" w:hAnsi="Arial Narrow"/>
                <w:b/>
                <w:color w:val="000000"/>
                <w:sz w:val="20"/>
              </w:rPr>
            </w:pPr>
            <w:r w:rsidRPr="005C423F">
              <w:rPr>
                <w:rFonts w:ascii="Arial Narrow" w:hAnsi="Arial Narrow"/>
                <w:b/>
                <w:sz w:val="20"/>
              </w:rPr>
              <w:t>Second fentanyl formulation available on the PBS (growth in market 5% year 1; 10% subsequent years)</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Fentanyl units dispensed</w:t>
            </w:r>
          </w:p>
        </w:tc>
        <w:tc>
          <w:tcPr>
            <w:tcW w:w="1277" w:type="dxa"/>
            <w:shd w:val="clear" w:color="auto" w:fill="auto"/>
            <w:vAlign w:val="center"/>
          </w:tcPr>
          <w:p w:rsidR="0056423E" w:rsidRPr="009D43D8" w:rsidRDefault="009D43D8" w:rsidP="0011541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252" w:type="dxa"/>
            <w:shd w:val="clear" w:color="auto" w:fill="auto"/>
            <w:vAlign w:val="center"/>
          </w:tcPr>
          <w:p w:rsidR="0056423E" w:rsidRPr="009D43D8" w:rsidRDefault="009D43D8" w:rsidP="0011541A">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56423E" w:rsidRPr="00EC63E9" w:rsidTr="0056423E">
        <w:tc>
          <w:tcPr>
            <w:tcW w:w="1980" w:type="dxa"/>
            <w:tcBorders>
              <w:top w:val="double" w:sz="4" w:space="0" w:color="auto"/>
              <w:bottom w:val="single" w:sz="4" w:space="0" w:color="auto"/>
            </w:tcBorders>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FBT market share</w:t>
            </w:r>
          </w:p>
        </w:tc>
        <w:tc>
          <w:tcPr>
            <w:tcW w:w="1277"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78"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78"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78"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52"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sz w:val="20"/>
              </w:rPr>
            </w:pPr>
            <w:r>
              <w:rPr>
                <w:rFonts w:ascii="Arial Narrow" w:hAnsi="Arial Narrow"/>
                <w:noProof/>
                <w:color w:val="000000"/>
                <w:sz w:val="20"/>
                <w:highlight w:val="black"/>
              </w:rPr>
              <w:t>'''''''</w:t>
            </w:r>
            <w:r w:rsidR="0056423E" w:rsidRPr="005C423F">
              <w:rPr>
                <w:rFonts w:ascii="Arial Narrow" w:hAnsi="Arial Narrow"/>
                <w:sz w:val="20"/>
              </w:rPr>
              <w:t>%</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FBT units dispensed</w:t>
            </w:r>
          </w:p>
        </w:tc>
        <w:tc>
          <w:tcPr>
            <w:tcW w:w="1277"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52" w:type="dxa"/>
            <w:shd w:val="clear" w:color="auto" w:fill="auto"/>
            <w:vAlign w:val="center"/>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Total cost to PBS/RPBS</w:t>
            </w:r>
          </w:p>
        </w:tc>
        <w:tc>
          <w:tcPr>
            <w:tcW w:w="1277" w:type="dxa"/>
            <w:shd w:val="clear" w:color="auto" w:fill="auto"/>
            <w:vAlign w:val="bottom"/>
          </w:tcPr>
          <w:p w:rsidR="0056423E" w:rsidRPr="005C423F" w:rsidRDefault="0056423E" w:rsidP="0011541A">
            <w:pPr>
              <w:jc w:val="center"/>
              <w:rPr>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52" w:type="dxa"/>
            <w:shd w:val="clear" w:color="auto" w:fill="auto"/>
            <w:vAlign w:val="bottom"/>
          </w:tcPr>
          <w:p w:rsidR="0056423E" w:rsidRPr="005C423F" w:rsidRDefault="0056423E" w:rsidP="0011541A">
            <w:pPr>
              <w:jc w:val="center"/>
              <w:rPr>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r>
      <w:tr w:rsidR="0056423E" w:rsidRPr="00EC63E9" w:rsidTr="0056423E">
        <w:tc>
          <w:tcPr>
            <w:tcW w:w="1980" w:type="dxa"/>
            <w:tcBorders>
              <w:top w:val="double" w:sz="4" w:space="0" w:color="auto"/>
              <w:bottom w:val="single" w:sz="4" w:space="0" w:color="auto"/>
            </w:tcBorders>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OTFC market share</w:t>
            </w:r>
          </w:p>
        </w:tc>
        <w:tc>
          <w:tcPr>
            <w:tcW w:w="1277"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color w:val="000000"/>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78"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color w:val="000000"/>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78"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color w:val="000000"/>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78"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color w:val="000000"/>
                <w:sz w:val="20"/>
              </w:rPr>
            </w:pPr>
            <w:r>
              <w:rPr>
                <w:rFonts w:ascii="Arial Narrow" w:hAnsi="Arial Narrow"/>
                <w:noProof/>
                <w:color w:val="000000"/>
                <w:sz w:val="20"/>
                <w:highlight w:val="black"/>
              </w:rPr>
              <w:t>''''''</w:t>
            </w:r>
            <w:r w:rsidR="0056423E" w:rsidRPr="005C423F">
              <w:rPr>
                <w:rFonts w:ascii="Arial Narrow" w:hAnsi="Arial Narrow"/>
                <w:sz w:val="20"/>
              </w:rPr>
              <w:t>%</w:t>
            </w:r>
          </w:p>
        </w:tc>
        <w:tc>
          <w:tcPr>
            <w:tcW w:w="1252" w:type="dxa"/>
            <w:tcBorders>
              <w:top w:val="double" w:sz="4" w:space="0" w:color="auto"/>
              <w:bottom w:val="single" w:sz="4" w:space="0" w:color="auto"/>
            </w:tcBorders>
            <w:shd w:val="clear" w:color="auto" w:fill="auto"/>
            <w:vAlign w:val="center"/>
          </w:tcPr>
          <w:p w:rsidR="0056423E" w:rsidRPr="005C423F" w:rsidRDefault="009D43D8" w:rsidP="0011541A">
            <w:pPr>
              <w:jc w:val="center"/>
              <w:rPr>
                <w:rFonts w:ascii="Arial Narrow" w:hAnsi="Arial Narrow"/>
                <w:color w:val="000000"/>
                <w:sz w:val="20"/>
              </w:rPr>
            </w:pPr>
            <w:r>
              <w:rPr>
                <w:rFonts w:ascii="Arial Narrow" w:hAnsi="Arial Narrow"/>
                <w:noProof/>
                <w:color w:val="000000"/>
                <w:sz w:val="20"/>
                <w:highlight w:val="black"/>
              </w:rPr>
              <w:t>'''''''</w:t>
            </w:r>
            <w:r w:rsidR="0056423E" w:rsidRPr="005C423F">
              <w:rPr>
                <w:rFonts w:ascii="Arial Narrow" w:hAnsi="Arial Narrow"/>
                <w:sz w:val="20"/>
              </w:rPr>
              <w:t>%</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OTFC units dispensed</w:t>
            </w:r>
          </w:p>
        </w:tc>
        <w:tc>
          <w:tcPr>
            <w:tcW w:w="1277" w:type="dxa"/>
            <w:shd w:val="clear" w:color="auto" w:fill="auto"/>
            <w:vAlign w:val="bottom"/>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bottom"/>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bottom"/>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78" w:type="dxa"/>
            <w:shd w:val="clear" w:color="auto" w:fill="auto"/>
            <w:vAlign w:val="bottom"/>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c>
          <w:tcPr>
            <w:tcW w:w="1252" w:type="dxa"/>
            <w:shd w:val="clear" w:color="auto" w:fill="auto"/>
            <w:vAlign w:val="bottom"/>
          </w:tcPr>
          <w:p w:rsidR="0056423E" w:rsidRPr="009D43D8" w:rsidRDefault="009D43D8" w:rsidP="0011541A">
            <w:pPr>
              <w:jc w:val="center"/>
              <w:rPr>
                <w:rFonts w:ascii="Arial Narrow" w:hAnsi="Arial Narrow"/>
                <w:sz w:val="20"/>
                <w:highlight w:val="black"/>
              </w:rPr>
            </w:pPr>
            <w:r>
              <w:rPr>
                <w:rFonts w:ascii="Arial Narrow" w:hAnsi="Arial Narrow"/>
                <w:noProof/>
                <w:color w:val="000000"/>
                <w:sz w:val="20"/>
                <w:highlight w:val="black"/>
              </w:rPr>
              <w:t>''''''''''''''''''</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Total cost to PBS/RPBS</w:t>
            </w:r>
          </w:p>
        </w:tc>
        <w:tc>
          <w:tcPr>
            <w:tcW w:w="1277"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52"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r>
      <w:tr w:rsidR="0056423E" w:rsidRPr="00EC63E9" w:rsidTr="0056423E">
        <w:tc>
          <w:tcPr>
            <w:tcW w:w="1980" w:type="dxa"/>
            <w:tcBorders>
              <w:top w:val="double" w:sz="4" w:space="0" w:color="auto"/>
            </w:tcBorders>
            <w:shd w:val="clear" w:color="auto" w:fill="auto"/>
            <w:vAlign w:val="center"/>
          </w:tcPr>
          <w:p w:rsidR="0056423E" w:rsidRPr="00EC63E9" w:rsidRDefault="0056423E" w:rsidP="0056423E">
            <w:pPr>
              <w:jc w:val="left"/>
              <w:rPr>
                <w:rFonts w:ascii="Arial Narrow" w:hAnsi="Arial Narrow"/>
                <w:sz w:val="20"/>
              </w:rPr>
            </w:pPr>
            <w:r w:rsidRPr="00EC63E9">
              <w:rPr>
                <w:rFonts w:ascii="Arial Narrow" w:hAnsi="Arial Narrow"/>
                <w:sz w:val="20"/>
              </w:rPr>
              <w:t>Total PBS/RPBS  fentanyl market cost</w:t>
            </w:r>
          </w:p>
        </w:tc>
        <w:tc>
          <w:tcPr>
            <w:tcW w:w="1277" w:type="dxa"/>
            <w:tcBorders>
              <w:top w:val="double" w:sz="4" w:space="0" w:color="auto"/>
            </w:tcBorders>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tcBorders>
              <w:top w:val="double" w:sz="4" w:space="0" w:color="auto"/>
            </w:tcBorders>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tcBorders>
              <w:top w:val="double" w:sz="4" w:space="0" w:color="auto"/>
            </w:tcBorders>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tcBorders>
              <w:top w:val="double" w:sz="4" w:space="0" w:color="auto"/>
            </w:tcBorders>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52" w:type="dxa"/>
            <w:tcBorders>
              <w:top w:val="double" w:sz="4" w:space="0" w:color="auto"/>
            </w:tcBorders>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r>
      <w:tr w:rsidR="0056423E" w:rsidRPr="00EC63E9" w:rsidTr="0056423E">
        <w:tc>
          <w:tcPr>
            <w:tcW w:w="8343" w:type="dxa"/>
            <w:gridSpan w:val="6"/>
            <w:shd w:val="clear" w:color="auto" w:fill="auto"/>
            <w:vAlign w:val="center"/>
          </w:tcPr>
          <w:p w:rsidR="0056423E" w:rsidRPr="005C423F" w:rsidRDefault="0056423E" w:rsidP="0011541A">
            <w:pPr>
              <w:rPr>
                <w:rFonts w:ascii="Arial Narrow" w:hAnsi="Arial Narrow"/>
                <w:b/>
                <w:color w:val="000000"/>
                <w:sz w:val="20"/>
              </w:rPr>
            </w:pPr>
            <w:r w:rsidRPr="005C423F">
              <w:rPr>
                <w:rFonts w:ascii="Arial Narrow" w:hAnsi="Arial Narrow"/>
                <w:b/>
                <w:color w:val="000000"/>
                <w:sz w:val="20"/>
              </w:rPr>
              <w:t>Incremental difference in fentanyl market PBS cost with and without fentanyl buccal tablets</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With FBT</w:t>
            </w:r>
          </w:p>
        </w:tc>
        <w:tc>
          <w:tcPr>
            <w:tcW w:w="1277"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52"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Without FBT</w:t>
            </w:r>
          </w:p>
        </w:tc>
        <w:tc>
          <w:tcPr>
            <w:tcW w:w="1277"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c>
          <w:tcPr>
            <w:tcW w:w="1252"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color w:val="000000"/>
                <w:sz w:val="20"/>
              </w:rPr>
              <w:t>$</w:t>
            </w:r>
            <w:r w:rsidR="009D43D8">
              <w:rPr>
                <w:rFonts w:ascii="Arial Narrow" w:hAnsi="Arial Narrow"/>
                <w:noProof/>
                <w:color w:val="000000"/>
                <w:sz w:val="20"/>
                <w:highlight w:val="black"/>
              </w:rPr>
              <w:t>'''''''''''''''''''''''</w:t>
            </w:r>
          </w:p>
        </w:tc>
      </w:tr>
      <w:tr w:rsidR="0056423E" w:rsidRPr="00EC63E9" w:rsidTr="0056423E">
        <w:tc>
          <w:tcPr>
            <w:tcW w:w="1980" w:type="dxa"/>
            <w:shd w:val="clear" w:color="auto" w:fill="auto"/>
            <w:vAlign w:val="center"/>
          </w:tcPr>
          <w:p w:rsidR="0056423E" w:rsidRPr="00EC63E9" w:rsidRDefault="0056423E" w:rsidP="0011541A">
            <w:pPr>
              <w:rPr>
                <w:rFonts w:ascii="Arial Narrow" w:hAnsi="Arial Narrow"/>
                <w:sz w:val="20"/>
              </w:rPr>
            </w:pPr>
            <w:r w:rsidRPr="00EC63E9">
              <w:rPr>
                <w:rFonts w:ascii="Arial Narrow" w:hAnsi="Arial Narrow"/>
                <w:sz w:val="20"/>
              </w:rPr>
              <w:t>Net cost to PBS/RPBS</w:t>
            </w:r>
          </w:p>
        </w:tc>
        <w:tc>
          <w:tcPr>
            <w:tcW w:w="1277"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b/>
                <w:color w:val="000000"/>
                <w:sz w:val="20"/>
              </w:rPr>
              <w:t>$</w:t>
            </w:r>
            <w:r w:rsidR="009D43D8">
              <w:rPr>
                <w:rFonts w:ascii="Arial Narrow" w:hAnsi="Arial Narrow"/>
                <w:b/>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b/>
                <w:color w:val="000000"/>
                <w:sz w:val="20"/>
              </w:rPr>
              <w:t>$</w:t>
            </w:r>
            <w:r w:rsidR="009D43D8">
              <w:rPr>
                <w:rFonts w:ascii="Arial Narrow" w:hAnsi="Arial Narrow"/>
                <w:b/>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b/>
                <w:color w:val="000000"/>
                <w:sz w:val="20"/>
              </w:rPr>
              <w:t>$</w:t>
            </w:r>
            <w:r w:rsidR="009D43D8">
              <w:rPr>
                <w:rFonts w:ascii="Arial Narrow" w:hAnsi="Arial Narrow"/>
                <w:b/>
                <w:noProof/>
                <w:color w:val="000000"/>
                <w:sz w:val="20"/>
                <w:highlight w:val="black"/>
              </w:rPr>
              <w:t>''''''''''''''''''</w:t>
            </w:r>
          </w:p>
        </w:tc>
        <w:tc>
          <w:tcPr>
            <w:tcW w:w="1278"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b/>
                <w:color w:val="000000"/>
                <w:sz w:val="20"/>
              </w:rPr>
              <w:t>$</w:t>
            </w:r>
            <w:r w:rsidR="009D43D8">
              <w:rPr>
                <w:rFonts w:ascii="Arial Narrow" w:hAnsi="Arial Narrow"/>
                <w:b/>
                <w:noProof/>
                <w:color w:val="000000"/>
                <w:sz w:val="20"/>
                <w:highlight w:val="black"/>
              </w:rPr>
              <w:t>''''''''''''''''</w:t>
            </w:r>
          </w:p>
        </w:tc>
        <w:tc>
          <w:tcPr>
            <w:tcW w:w="1252" w:type="dxa"/>
            <w:shd w:val="clear" w:color="auto" w:fill="auto"/>
            <w:vAlign w:val="bottom"/>
          </w:tcPr>
          <w:p w:rsidR="0056423E" w:rsidRPr="005C423F" w:rsidRDefault="0056423E" w:rsidP="0011541A">
            <w:pPr>
              <w:jc w:val="center"/>
              <w:rPr>
                <w:rFonts w:ascii="Arial Narrow" w:hAnsi="Arial Narrow"/>
                <w:color w:val="000000"/>
                <w:sz w:val="20"/>
              </w:rPr>
            </w:pPr>
            <w:r w:rsidRPr="005C423F">
              <w:rPr>
                <w:rFonts w:ascii="Arial Narrow" w:hAnsi="Arial Narrow"/>
                <w:b/>
                <w:color w:val="000000"/>
                <w:sz w:val="20"/>
              </w:rPr>
              <w:t>$</w:t>
            </w:r>
            <w:r w:rsidR="009D43D8">
              <w:rPr>
                <w:rFonts w:ascii="Arial Narrow" w:hAnsi="Arial Narrow"/>
                <w:b/>
                <w:noProof/>
                <w:color w:val="000000"/>
                <w:sz w:val="20"/>
                <w:highlight w:val="black"/>
              </w:rPr>
              <w:t>'''''''''''''''''</w:t>
            </w:r>
          </w:p>
        </w:tc>
      </w:tr>
    </w:tbl>
    <w:p w:rsidR="0056423E" w:rsidRPr="00EC63E9" w:rsidRDefault="0056423E" w:rsidP="0056423E">
      <w:pPr>
        <w:pStyle w:val="COMTbl-foot"/>
        <w:ind w:left="720"/>
        <w:rPr>
          <w:rFonts w:ascii="Arial Narrow" w:hAnsi="Arial Narrow"/>
        </w:rPr>
      </w:pPr>
      <w:r w:rsidRPr="00EC63E9">
        <w:rPr>
          <w:rFonts w:ascii="Arial Narrow" w:hAnsi="Arial Narrow"/>
        </w:rPr>
        <w:t>Abbreviations: FBT, fentanyl buccal tablets; OFTC, fentanyl lozenges; RPBS, Repatriation Pharmaceutical Benefits Scheme; PBS, Pharmaceutical Benefits Scheme</w:t>
      </w:r>
    </w:p>
    <w:p w:rsidR="0056423E" w:rsidRPr="00EC63E9" w:rsidRDefault="0056423E" w:rsidP="0056423E">
      <w:pPr>
        <w:pStyle w:val="COMTbl-foot"/>
        <w:ind w:left="709"/>
        <w:rPr>
          <w:rFonts w:ascii="Arial Narrow" w:hAnsi="Arial Narrow"/>
          <w:szCs w:val="22"/>
        </w:rPr>
      </w:pPr>
      <w:r w:rsidRPr="00EC63E9">
        <w:rPr>
          <w:rFonts w:ascii="Arial Narrow" w:hAnsi="Arial Narrow"/>
        </w:rPr>
        <w:t xml:space="preserve">Source: Constructed during the evaluation based on the </w:t>
      </w:r>
      <w:proofErr w:type="spellStart"/>
      <w:r w:rsidRPr="00EC63E9">
        <w:rPr>
          <w:rFonts w:ascii="Arial Narrow" w:hAnsi="Arial Narrow"/>
        </w:rPr>
        <w:t>Fentora</w:t>
      </w:r>
      <w:proofErr w:type="spellEnd"/>
      <w:r w:rsidRPr="00EC63E9">
        <w:rPr>
          <w:rFonts w:ascii="Arial Narrow" w:hAnsi="Arial Narrow"/>
        </w:rPr>
        <w:t xml:space="preserve"> Section E base case Excel Spreadsheet</w:t>
      </w:r>
    </w:p>
    <w:p w:rsidR="00C25D9C" w:rsidRPr="00EC63E9" w:rsidRDefault="00C25D9C" w:rsidP="00C25D9C">
      <w:pPr>
        <w:widowControl/>
        <w:rPr>
          <w:szCs w:val="22"/>
        </w:rPr>
      </w:pPr>
    </w:p>
    <w:p w:rsidR="00A40E8F" w:rsidRPr="00CE78DC" w:rsidRDefault="007C4F31" w:rsidP="00CE78DC">
      <w:pPr>
        <w:pStyle w:val="ListParagraph"/>
        <w:numPr>
          <w:ilvl w:val="1"/>
          <w:numId w:val="1"/>
        </w:numPr>
        <w:rPr>
          <w:szCs w:val="22"/>
        </w:rPr>
      </w:pPr>
      <w:r w:rsidRPr="00CE78DC">
        <w:rPr>
          <w:bCs/>
          <w:szCs w:val="22"/>
        </w:rPr>
        <w:t>The redacted table above shows that a</w:t>
      </w:r>
      <w:r w:rsidR="00A40E8F" w:rsidRPr="00CE78DC">
        <w:rPr>
          <w:bCs/>
          <w:szCs w:val="22"/>
        </w:rPr>
        <w:t xml:space="preserve">t year 1, the estimated number of </w:t>
      </w:r>
      <w:r w:rsidR="00743C19" w:rsidRPr="00CE78DC">
        <w:rPr>
          <w:bCs/>
          <w:szCs w:val="22"/>
        </w:rPr>
        <w:t>units dispensed</w:t>
      </w:r>
      <w:r w:rsidR="00A40E8F" w:rsidRPr="00CE78DC">
        <w:rPr>
          <w:bCs/>
          <w:szCs w:val="22"/>
        </w:rPr>
        <w:t xml:space="preserve"> was </w:t>
      </w:r>
      <w:r w:rsidRPr="00CE78DC">
        <w:rPr>
          <w:bCs/>
          <w:szCs w:val="22"/>
        </w:rPr>
        <w:t>more than 200,</w:t>
      </w:r>
      <w:r w:rsidR="00A62A66" w:rsidRPr="00CE78DC">
        <w:rPr>
          <w:bCs/>
          <w:szCs w:val="22"/>
        </w:rPr>
        <w:t xml:space="preserve">000 </w:t>
      </w:r>
      <w:r w:rsidR="00A40E8F" w:rsidRPr="00CE78DC">
        <w:rPr>
          <w:bCs/>
          <w:szCs w:val="22"/>
        </w:rPr>
        <w:t xml:space="preserve">and the net cost to the PBS would be </w:t>
      </w:r>
      <w:r w:rsidR="00A62A66" w:rsidRPr="00CE78DC">
        <w:rPr>
          <w:bCs/>
          <w:szCs w:val="22"/>
        </w:rPr>
        <w:t>less than $10 million</w:t>
      </w:r>
      <w:r w:rsidR="00A40E8F" w:rsidRPr="00CE78DC">
        <w:rPr>
          <w:bCs/>
          <w:szCs w:val="22"/>
        </w:rPr>
        <w:t xml:space="preserve">. At year 5, the estimated number of </w:t>
      </w:r>
      <w:r w:rsidR="00743C19" w:rsidRPr="00CE78DC">
        <w:rPr>
          <w:bCs/>
          <w:szCs w:val="22"/>
        </w:rPr>
        <w:t>units dispensed</w:t>
      </w:r>
      <w:r w:rsidR="00A40E8F" w:rsidRPr="00CE78DC">
        <w:rPr>
          <w:bCs/>
          <w:szCs w:val="22"/>
        </w:rPr>
        <w:t xml:space="preserve"> was </w:t>
      </w:r>
      <w:r w:rsidR="00A62A66" w:rsidRPr="00CE78DC">
        <w:rPr>
          <w:bCs/>
          <w:szCs w:val="22"/>
        </w:rPr>
        <w:t>more than 200,000</w:t>
      </w:r>
      <w:r w:rsidR="00A40E8F" w:rsidRPr="00CE78DC">
        <w:rPr>
          <w:bCs/>
          <w:szCs w:val="22"/>
        </w:rPr>
        <w:t xml:space="preserve"> and the net cost to the PBS </w:t>
      </w:r>
      <w:r w:rsidR="00743C19" w:rsidRPr="00CE78DC">
        <w:rPr>
          <w:bCs/>
          <w:szCs w:val="22"/>
        </w:rPr>
        <w:t>estimated to</w:t>
      </w:r>
      <w:r w:rsidR="00A40E8F" w:rsidRPr="00CE78DC">
        <w:rPr>
          <w:bCs/>
          <w:szCs w:val="22"/>
        </w:rPr>
        <w:t xml:space="preserve"> be </w:t>
      </w:r>
      <w:r w:rsidR="00A62A66" w:rsidRPr="00CE78DC">
        <w:rPr>
          <w:bCs/>
          <w:szCs w:val="22"/>
        </w:rPr>
        <w:t>less than $10 million</w:t>
      </w:r>
      <w:r w:rsidRPr="00CE78DC">
        <w:rPr>
          <w:bCs/>
          <w:szCs w:val="22"/>
        </w:rPr>
        <w:t>.</w:t>
      </w:r>
    </w:p>
    <w:p w:rsidR="003574A7" w:rsidRPr="00EC63E9" w:rsidRDefault="003574A7" w:rsidP="00C25D9C">
      <w:pPr>
        <w:widowControl/>
        <w:rPr>
          <w:szCs w:val="22"/>
        </w:rPr>
      </w:pPr>
    </w:p>
    <w:p w:rsidR="009D2C3C" w:rsidRPr="009D2C3C" w:rsidRDefault="0056423E" w:rsidP="009D2C3C">
      <w:pPr>
        <w:pStyle w:val="ListParagraph"/>
        <w:numPr>
          <w:ilvl w:val="1"/>
          <w:numId w:val="1"/>
        </w:numPr>
      </w:pPr>
      <w:r w:rsidRPr="00EC63E9">
        <w:rPr>
          <w:szCs w:val="22"/>
        </w:rPr>
        <w:lastRenderedPageBreak/>
        <w:t>A market-share approach based on fentanyl lozenges may underestimate the utilisation of any new fentanyl formulation in the eligible patient population given the known under-utilisation of the lozenge formulation.</w:t>
      </w:r>
      <w:r w:rsidR="000C0E2D" w:rsidRPr="00EC63E9">
        <w:t xml:space="preserve"> </w:t>
      </w:r>
      <w:r w:rsidR="000C0E2D" w:rsidRPr="00EC63E9">
        <w:rPr>
          <w:szCs w:val="22"/>
        </w:rPr>
        <w:t xml:space="preserve">This is possibly due to the lengthy administration time and administration method of the lozenge where patients need to move the lozenge around the mouth to aid mucosal absorption. </w:t>
      </w:r>
    </w:p>
    <w:p w:rsidR="009D2C3C" w:rsidRPr="009D2C3C" w:rsidRDefault="009D2C3C" w:rsidP="009D2C3C">
      <w:pPr>
        <w:pStyle w:val="ListParagraph"/>
        <w:rPr>
          <w:szCs w:val="22"/>
        </w:rPr>
      </w:pPr>
    </w:p>
    <w:p w:rsidR="00EB2E88" w:rsidRPr="009D2C3C" w:rsidRDefault="000C0E2D" w:rsidP="009D2C3C">
      <w:pPr>
        <w:pStyle w:val="ListParagraph"/>
        <w:numPr>
          <w:ilvl w:val="1"/>
          <w:numId w:val="1"/>
        </w:numPr>
      </w:pPr>
      <w:r w:rsidRPr="009D2C3C">
        <w:rPr>
          <w:szCs w:val="22"/>
        </w:rPr>
        <w:t xml:space="preserve">The main driver of the financial estimates was the growth rate applied to the fentanyl market with the introduction of a second fentanyl formulation. The submission assumed a growth rate of </w:t>
      </w:r>
      <w:r w:rsidR="009D43D8">
        <w:rPr>
          <w:noProof/>
          <w:color w:val="000000"/>
          <w:szCs w:val="22"/>
          <w:highlight w:val="black"/>
        </w:rPr>
        <w:t>''''</w:t>
      </w:r>
      <w:r w:rsidRPr="009D2C3C">
        <w:rPr>
          <w:szCs w:val="22"/>
        </w:rPr>
        <w:t xml:space="preserve">% in the first year and </w:t>
      </w:r>
      <w:r w:rsidR="009D43D8">
        <w:rPr>
          <w:noProof/>
          <w:color w:val="000000"/>
          <w:szCs w:val="22"/>
          <w:highlight w:val="black"/>
        </w:rPr>
        <w:t>''''''</w:t>
      </w:r>
      <w:r w:rsidRPr="009D2C3C">
        <w:rPr>
          <w:szCs w:val="22"/>
        </w:rPr>
        <w:t>% in subsequent years based on the claim that the clinical benefits of fentanyl buccal tablets are not sufficiently different from fentanyl lozenges to expect a substantial change in prescribing habits.</w:t>
      </w:r>
      <w:r w:rsidR="00181614" w:rsidRPr="009D2C3C">
        <w:rPr>
          <w:szCs w:val="22"/>
        </w:rPr>
        <w:t xml:space="preserve"> The lengthy administration time and method of the lozenge may be limiting its uptake. </w:t>
      </w:r>
      <w:r w:rsidR="00A170E2" w:rsidRPr="00EC63E9">
        <w:t xml:space="preserve">The PSCR provides epidemiologic estimates of </w:t>
      </w:r>
      <w:r w:rsidR="00A62A66">
        <w:t>less than 10,000</w:t>
      </w:r>
      <w:r w:rsidR="00A170E2" w:rsidRPr="00EC63E9">
        <w:t xml:space="preserve"> potential patients.</w:t>
      </w:r>
      <w:r w:rsidR="008B6013" w:rsidRPr="00EC63E9" w:rsidDel="008B6013">
        <w:t xml:space="preserve"> </w:t>
      </w:r>
    </w:p>
    <w:p w:rsidR="00C71C15" w:rsidRPr="00EC63E9" w:rsidRDefault="00C71C15" w:rsidP="00C71C15">
      <w:pPr>
        <w:pStyle w:val="ListParagraph"/>
        <w:rPr>
          <w:szCs w:val="22"/>
        </w:rPr>
      </w:pPr>
    </w:p>
    <w:p w:rsidR="000C0E2D" w:rsidRPr="00EC63E9" w:rsidRDefault="00181614" w:rsidP="00B77ED1">
      <w:pPr>
        <w:pStyle w:val="ListParagraph"/>
        <w:numPr>
          <w:ilvl w:val="1"/>
          <w:numId w:val="1"/>
        </w:numPr>
        <w:rPr>
          <w:szCs w:val="22"/>
        </w:rPr>
      </w:pPr>
      <w:r w:rsidRPr="00EC63E9">
        <w:rPr>
          <w:szCs w:val="22"/>
        </w:rPr>
        <w:t>There is considerable risk of use outside the proposed restriction. This includes settings other than palliative care, use in patients who can tolerate further dose escalation of morphine/other opioids, and use in treatment of incident or anticipated pain.</w:t>
      </w:r>
      <w:r w:rsidR="00BC4842" w:rsidRPr="00EC63E9">
        <w:rPr>
          <w:szCs w:val="22"/>
        </w:rPr>
        <w:t xml:space="preserve"> The PSCR argues that incident or anticipated pain is within the scope of ‘breakthrough pain’. The ESC agreed that this was consistent with the palliative care literature. However, the stated concerns regarding use outside the restriction</w:t>
      </w:r>
      <w:r w:rsidR="008840FE" w:rsidRPr="00EC63E9">
        <w:rPr>
          <w:szCs w:val="22"/>
        </w:rPr>
        <w:t>, either</w:t>
      </w:r>
      <w:r w:rsidR="00BC4842" w:rsidRPr="00EC63E9">
        <w:rPr>
          <w:szCs w:val="22"/>
        </w:rPr>
        <w:t xml:space="preserve"> </w:t>
      </w:r>
      <w:r w:rsidR="00EF4591" w:rsidRPr="00EC63E9">
        <w:rPr>
          <w:szCs w:val="22"/>
        </w:rPr>
        <w:t xml:space="preserve">outside of the palliative care setting </w:t>
      </w:r>
      <w:r w:rsidR="008840FE" w:rsidRPr="00EC63E9">
        <w:rPr>
          <w:szCs w:val="22"/>
        </w:rPr>
        <w:t xml:space="preserve">or in those who could tolerate dose escalation of other opioids, </w:t>
      </w:r>
      <w:r w:rsidR="00BC4842" w:rsidRPr="00EC63E9">
        <w:rPr>
          <w:szCs w:val="22"/>
        </w:rPr>
        <w:t>still remain.</w:t>
      </w:r>
    </w:p>
    <w:p w:rsidR="00CB6C17" w:rsidRPr="00EC63E9" w:rsidRDefault="00CB6C17" w:rsidP="00CB6C17">
      <w:pPr>
        <w:pStyle w:val="ListParagraph"/>
        <w:rPr>
          <w:szCs w:val="22"/>
        </w:rPr>
      </w:pPr>
    </w:p>
    <w:p w:rsidR="00181614" w:rsidRPr="00EC63E9" w:rsidRDefault="00181614" w:rsidP="00B77ED1">
      <w:pPr>
        <w:pStyle w:val="ListParagraph"/>
        <w:numPr>
          <w:ilvl w:val="1"/>
          <w:numId w:val="1"/>
        </w:numPr>
        <w:rPr>
          <w:szCs w:val="22"/>
        </w:rPr>
      </w:pPr>
      <w:r w:rsidRPr="00EC63E9">
        <w:rPr>
          <w:szCs w:val="22"/>
        </w:rPr>
        <w:t>The methodology used to transform government expenditure to number of fentanyl units dispensed was overly complex and non-transparent.</w:t>
      </w:r>
    </w:p>
    <w:p w:rsidR="00576972" w:rsidRPr="00EC63E9" w:rsidRDefault="00576972" w:rsidP="00576972">
      <w:pPr>
        <w:widowControl/>
        <w:rPr>
          <w:szCs w:val="22"/>
        </w:rPr>
      </w:pPr>
    </w:p>
    <w:p w:rsidR="00B66436" w:rsidRDefault="00A25945" w:rsidP="00B77ED1">
      <w:pPr>
        <w:pStyle w:val="ListParagraph"/>
        <w:numPr>
          <w:ilvl w:val="1"/>
          <w:numId w:val="1"/>
        </w:numPr>
        <w:rPr>
          <w:szCs w:val="22"/>
        </w:rPr>
      </w:pPr>
      <w:r>
        <w:rPr>
          <w:szCs w:val="22"/>
        </w:rPr>
        <w:t>The PBAC agreed that the market share approach based on the use of fentanyl lozenge is likely to substantially underestimate the utilisation for fentanyl buccal tablets. The PBAC recalled previous advice (</w:t>
      </w:r>
      <w:r w:rsidR="008962FD">
        <w:rPr>
          <w:szCs w:val="22"/>
        </w:rPr>
        <w:t xml:space="preserve">March 2014 – fentanyl sublingual Public Summary Document) and agreed that an </w:t>
      </w:r>
      <w:r w:rsidR="008962FD" w:rsidRPr="008962FD">
        <w:rPr>
          <w:szCs w:val="22"/>
        </w:rPr>
        <w:t xml:space="preserve">epidemiological approach would </w:t>
      </w:r>
      <w:r w:rsidR="008962FD">
        <w:rPr>
          <w:szCs w:val="22"/>
        </w:rPr>
        <w:t xml:space="preserve">have </w:t>
      </w:r>
      <w:r w:rsidR="008962FD" w:rsidRPr="008962FD">
        <w:rPr>
          <w:szCs w:val="22"/>
        </w:rPr>
        <w:t>be</w:t>
      </w:r>
      <w:r w:rsidR="008962FD">
        <w:rPr>
          <w:szCs w:val="22"/>
        </w:rPr>
        <w:t>en a</w:t>
      </w:r>
      <w:r w:rsidR="008962FD" w:rsidRPr="008962FD">
        <w:rPr>
          <w:szCs w:val="22"/>
        </w:rPr>
        <w:t xml:space="preserve"> more appropriate</w:t>
      </w:r>
      <w:r w:rsidR="008962FD">
        <w:rPr>
          <w:szCs w:val="22"/>
        </w:rPr>
        <w:t xml:space="preserve"> estimation</w:t>
      </w:r>
      <w:r w:rsidR="00DC5169">
        <w:rPr>
          <w:szCs w:val="22"/>
        </w:rPr>
        <w:t xml:space="preserve"> basis</w:t>
      </w:r>
      <w:r w:rsidR="008962FD">
        <w:rPr>
          <w:szCs w:val="22"/>
        </w:rPr>
        <w:t>.</w:t>
      </w:r>
    </w:p>
    <w:p w:rsidR="008E3761" w:rsidRPr="008E3761" w:rsidRDefault="008E3761" w:rsidP="008E3761">
      <w:pPr>
        <w:pStyle w:val="ListParagraph"/>
        <w:rPr>
          <w:szCs w:val="22"/>
        </w:rPr>
      </w:pPr>
    </w:p>
    <w:p w:rsidR="008E3761" w:rsidRPr="00BF497A" w:rsidRDefault="008E3761" w:rsidP="00B77ED1">
      <w:pPr>
        <w:pStyle w:val="ListParagraph"/>
        <w:numPr>
          <w:ilvl w:val="1"/>
          <w:numId w:val="1"/>
        </w:numPr>
        <w:rPr>
          <w:szCs w:val="22"/>
        </w:rPr>
      </w:pPr>
      <w:r>
        <w:rPr>
          <w:bCs/>
          <w:szCs w:val="22"/>
        </w:rPr>
        <w:t>The PBAC considered that the size of the eligible population remains uncertain g</w:t>
      </w:r>
      <w:r w:rsidRPr="00463E69">
        <w:rPr>
          <w:bCs/>
          <w:szCs w:val="22"/>
        </w:rPr>
        <w:t>iven the wide ranges in the published literature</w:t>
      </w:r>
      <w:r>
        <w:rPr>
          <w:bCs/>
          <w:szCs w:val="22"/>
        </w:rPr>
        <w:t xml:space="preserve">. The PBAC considered that a risk share arrangement would be needed to address this uncertainty as well as manage the financial implications for any use beyond the restriction including </w:t>
      </w:r>
      <w:r w:rsidRPr="00FE273B">
        <w:rPr>
          <w:bCs/>
          <w:szCs w:val="22"/>
        </w:rPr>
        <w:t xml:space="preserve">into the first-line treatment of breakthrough </w:t>
      </w:r>
      <w:r>
        <w:rPr>
          <w:bCs/>
          <w:szCs w:val="22"/>
        </w:rPr>
        <w:t xml:space="preserve">pain in </w:t>
      </w:r>
      <w:r w:rsidRPr="00FE273B">
        <w:rPr>
          <w:bCs/>
          <w:szCs w:val="22"/>
        </w:rPr>
        <w:t xml:space="preserve">cancer </w:t>
      </w:r>
      <w:r>
        <w:rPr>
          <w:bCs/>
          <w:szCs w:val="22"/>
        </w:rPr>
        <w:t>patients.</w:t>
      </w:r>
    </w:p>
    <w:p w:rsidR="00BF497A" w:rsidRPr="00BF497A" w:rsidRDefault="00BF497A" w:rsidP="00BF497A">
      <w:pPr>
        <w:pStyle w:val="ListParagraph"/>
        <w:rPr>
          <w:szCs w:val="22"/>
        </w:rPr>
      </w:pPr>
    </w:p>
    <w:p w:rsidR="00576972" w:rsidRPr="004B48BE" w:rsidRDefault="00576972" w:rsidP="002C2775">
      <w:pPr>
        <w:pStyle w:val="Heading2"/>
        <w:rPr>
          <w:i/>
        </w:rPr>
      </w:pPr>
      <w:bookmarkStart w:id="13" w:name="_Toc419708487"/>
      <w:r w:rsidRPr="004B48BE">
        <w:rPr>
          <w:i/>
        </w:rPr>
        <w:t>Quality Use of Medicines</w:t>
      </w:r>
      <w:bookmarkEnd w:id="13"/>
    </w:p>
    <w:p w:rsidR="00576972" w:rsidRPr="00EC63E9" w:rsidRDefault="00576972" w:rsidP="00576972">
      <w:pPr>
        <w:widowControl/>
        <w:rPr>
          <w:szCs w:val="22"/>
        </w:rPr>
      </w:pPr>
    </w:p>
    <w:p w:rsidR="00576972" w:rsidRPr="008E3761" w:rsidRDefault="004C5FA6" w:rsidP="00B77ED1">
      <w:pPr>
        <w:pStyle w:val="ListParagraph"/>
        <w:widowControl/>
        <w:numPr>
          <w:ilvl w:val="1"/>
          <w:numId w:val="1"/>
        </w:numPr>
        <w:rPr>
          <w:szCs w:val="22"/>
        </w:rPr>
      </w:pPr>
      <w:r w:rsidRPr="00EC63E9">
        <w:rPr>
          <w:szCs w:val="22"/>
        </w:rPr>
        <w:t>The submission acknowledged the risk of abuse, misuse and diversion associated with fentanyl buccal tablets. The submission did not make any specific claim regarding comparative risk between fentanyl buccal tablets and fentanyl lozenges. The sponsor has developed a comprehensive risk management plan for fentanyl buccal tablets and is committed to minimising the risk of misuse, abuse and diversion by supporting prescriber/patient educational activities as well as routine pharmacovigilance.</w:t>
      </w:r>
      <w:r w:rsidR="002239EA" w:rsidRPr="00EC63E9">
        <w:rPr>
          <w:szCs w:val="22"/>
        </w:rPr>
        <w:t xml:space="preserve">  </w:t>
      </w:r>
      <w:r w:rsidR="00142072" w:rsidRPr="00EC63E9">
        <w:rPr>
          <w:szCs w:val="22"/>
        </w:rPr>
        <w:t xml:space="preserve">The ESC noted, </w:t>
      </w:r>
      <w:r w:rsidR="00775A05" w:rsidRPr="00EC63E9">
        <w:rPr>
          <w:szCs w:val="22"/>
        </w:rPr>
        <w:t>i</w:t>
      </w:r>
      <w:r w:rsidR="002239EA" w:rsidRPr="00EC63E9">
        <w:rPr>
          <w:szCs w:val="22"/>
        </w:rPr>
        <w:t xml:space="preserve">n the PSCR the sponsor expressed willingness to limit prescribers to those </w:t>
      </w:r>
      <w:r w:rsidR="002239EA" w:rsidRPr="00EC63E9">
        <w:t>intimately involved in the care of palliative patients.</w:t>
      </w:r>
    </w:p>
    <w:p w:rsidR="008E3761" w:rsidRDefault="008E3761" w:rsidP="008E3761">
      <w:pPr>
        <w:widowControl/>
        <w:rPr>
          <w:szCs w:val="22"/>
        </w:rPr>
      </w:pPr>
    </w:p>
    <w:p w:rsidR="008E3761" w:rsidRPr="00605035" w:rsidRDefault="008E3761" w:rsidP="008E3761">
      <w:pPr>
        <w:pStyle w:val="ListParagraph"/>
        <w:widowControl/>
        <w:numPr>
          <w:ilvl w:val="1"/>
          <w:numId w:val="1"/>
        </w:numPr>
        <w:rPr>
          <w:szCs w:val="22"/>
        </w:rPr>
      </w:pPr>
      <w:r>
        <w:lastRenderedPageBreak/>
        <w:t xml:space="preserve">The PBAC recalled it has previously raised concern about potential for misuse and diversion of opioids. The PBAC considered that a telephone </w:t>
      </w:r>
      <w:r w:rsidR="00BF497A">
        <w:t>A</w:t>
      </w:r>
      <w:r>
        <w:t xml:space="preserve">uthority </w:t>
      </w:r>
      <w:proofErr w:type="gramStart"/>
      <w:r w:rsidR="00BF497A">
        <w:t>R</w:t>
      </w:r>
      <w:r>
        <w:t>equired</w:t>
      </w:r>
      <w:proofErr w:type="gramEnd"/>
      <w:r>
        <w:t xml:space="preserve"> listing may help to mitigate this risk. The PBAC noted that </w:t>
      </w:r>
      <w:proofErr w:type="gramStart"/>
      <w:r w:rsidR="00BF497A">
        <w:t>administrative processes for PBS-listed opioids is</w:t>
      </w:r>
      <w:proofErr w:type="gramEnd"/>
      <w:r w:rsidR="00BF497A">
        <w:t xml:space="preserve"> under consideration as part of the </w:t>
      </w:r>
      <w:r>
        <w:t xml:space="preserve">Post-Market Review of </w:t>
      </w:r>
      <w:r w:rsidR="00BF497A">
        <w:t xml:space="preserve">PBS </w:t>
      </w:r>
      <w:r>
        <w:t>Authorit</w:t>
      </w:r>
      <w:r w:rsidR="00BF497A">
        <w:t>ies</w:t>
      </w:r>
      <w:r>
        <w:t>.</w:t>
      </w:r>
    </w:p>
    <w:p w:rsidR="00775A05" w:rsidRPr="00EC63E9" w:rsidRDefault="00775A05" w:rsidP="00775A05">
      <w:pPr>
        <w:pStyle w:val="ListParagraph"/>
        <w:widowControl/>
        <w:rPr>
          <w:szCs w:val="22"/>
        </w:rPr>
      </w:pPr>
    </w:p>
    <w:p w:rsidR="00576972" w:rsidRPr="004B48BE" w:rsidRDefault="00576972" w:rsidP="002C2775">
      <w:pPr>
        <w:pStyle w:val="Heading2"/>
        <w:rPr>
          <w:i/>
          <w:szCs w:val="22"/>
        </w:rPr>
      </w:pPr>
      <w:bookmarkStart w:id="14" w:name="_Toc419708488"/>
      <w:r w:rsidRPr="004B48BE">
        <w:rPr>
          <w:i/>
        </w:rPr>
        <w:t>Financial Management – Risk Sharing Arrangements</w:t>
      </w:r>
      <w:bookmarkEnd w:id="14"/>
    </w:p>
    <w:p w:rsidR="00C25D9C" w:rsidRPr="00EC63E9" w:rsidRDefault="00C25D9C" w:rsidP="00576972">
      <w:pPr>
        <w:widowControl/>
        <w:rPr>
          <w:szCs w:val="22"/>
        </w:rPr>
      </w:pPr>
    </w:p>
    <w:p w:rsidR="00CB29F7" w:rsidRDefault="004C5FA6" w:rsidP="00CB29F7">
      <w:pPr>
        <w:pStyle w:val="ListParagraph"/>
        <w:widowControl/>
        <w:numPr>
          <w:ilvl w:val="1"/>
          <w:numId w:val="1"/>
        </w:numPr>
        <w:rPr>
          <w:szCs w:val="22"/>
        </w:rPr>
      </w:pPr>
      <w:r w:rsidRPr="008E3761">
        <w:rPr>
          <w:szCs w:val="22"/>
        </w:rPr>
        <w:t xml:space="preserve">The submission did not propose a </w:t>
      </w:r>
      <w:r w:rsidR="00CB29F7">
        <w:rPr>
          <w:szCs w:val="22"/>
        </w:rPr>
        <w:t>R</w:t>
      </w:r>
      <w:r w:rsidR="00CB29F7" w:rsidRPr="008E3761">
        <w:rPr>
          <w:szCs w:val="22"/>
        </w:rPr>
        <w:t xml:space="preserve">isk </w:t>
      </w:r>
      <w:r w:rsidR="00CB29F7">
        <w:rPr>
          <w:szCs w:val="22"/>
        </w:rPr>
        <w:t>S</w:t>
      </w:r>
      <w:r w:rsidR="00CB29F7" w:rsidRPr="008E3761">
        <w:rPr>
          <w:szCs w:val="22"/>
        </w:rPr>
        <w:t xml:space="preserve">hare </w:t>
      </w:r>
      <w:r w:rsidR="00CB29F7">
        <w:rPr>
          <w:szCs w:val="22"/>
        </w:rPr>
        <w:t>A</w:t>
      </w:r>
      <w:r w:rsidR="00CB29F7" w:rsidRPr="008E3761">
        <w:rPr>
          <w:szCs w:val="22"/>
        </w:rPr>
        <w:t>rrangement</w:t>
      </w:r>
      <w:r w:rsidR="00CB29F7">
        <w:rPr>
          <w:szCs w:val="22"/>
        </w:rPr>
        <w:t xml:space="preserve"> (RSA)</w:t>
      </w:r>
      <w:r w:rsidR="00CB29F7" w:rsidRPr="008E3761">
        <w:rPr>
          <w:szCs w:val="22"/>
        </w:rPr>
        <w:t xml:space="preserve"> </w:t>
      </w:r>
      <w:r w:rsidRPr="008E3761">
        <w:rPr>
          <w:szCs w:val="22"/>
        </w:rPr>
        <w:t>for fentanyl buccal tablets.</w:t>
      </w:r>
      <w:r w:rsidR="0082701C" w:rsidRPr="00EC63E9">
        <w:t xml:space="preserve"> </w:t>
      </w:r>
      <w:r w:rsidR="009D1E8F" w:rsidRPr="009D1E8F">
        <w:rPr>
          <w:szCs w:val="22"/>
        </w:rPr>
        <w:t xml:space="preserve">The PBAC noted the sponsor’s statements in its PSCR and pre-PBAC responses that it did not see a reason for a risk share agreement.  </w:t>
      </w:r>
      <w:r w:rsidR="009D1E8F">
        <w:rPr>
          <w:szCs w:val="22"/>
        </w:rPr>
        <w:t>T</w:t>
      </w:r>
      <w:r w:rsidR="009D1E8F" w:rsidRPr="009D1E8F">
        <w:rPr>
          <w:szCs w:val="22"/>
        </w:rPr>
        <w:t>he PBAC did not consider that the sponsor’s position on a risk share agreement was valid</w:t>
      </w:r>
      <w:r w:rsidR="00677BA3">
        <w:rPr>
          <w:szCs w:val="22"/>
        </w:rPr>
        <w:t xml:space="preserve"> primarily because of the very high risk of use outside of the proposed restriction (see 6.32)</w:t>
      </w:r>
      <w:r w:rsidR="009D1E8F" w:rsidRPr="009D1E8F">
        <w:rPr>
          <w:szCs w:val="22"/>
        </w:rPr>
        <w:t>.</w:t>
      </w:r>
    </w:p>
    <w:p w:rsidR="009D1E8F" w:rsidRPr="009D1E8F" w:rsidRDefault="009D1E8F" w:rsidP="009D1E8F">
      <w:pPr>
        <w:pStyle w:val="ListParagraph"/>
        <w:widowControl/>
        <w:rPr>
          <w:szCs w:val="22"/>
        </w:rPr>
      </w:pPr>
    </w:p>
    <w:p w:rsidR="008E3761" w:rsidRPr="006B6F1B" w:rsidRDefault="008E3761" w:rsidP="008E3761">
      <w:pPr>
        <w:pStyle w:val="ListParagraph"/>
        <w:widowControl/>
        <w:numPr>
          <w:ilvl w:val="1"/>
          <w:numId w:val="1"/>
        </w:numPr>
        <w:rPr>
          <w:szCs w:val="22"/>
        </w:rPr>
      </w:pPr>
      <w:r w:rsidRPr="006B6F1B">
        <w:rPr>
          <w:szCs w:val="22"/>
        </w:rPr>
        <w:t xml:space="preserve">The PBAC recommended that </w:t>
      </w:r>
      <w:r w:rsidR="00CB29F7">
        <w:rPr>
          <w:szCs w:val="22"/>
        </w:rPr>
        <w:t>a</w:t>
      </w:r>
      <w:r w:rsidRPr="006B6F1B">
        <w:rPr>
          <w:szCs w:val="22"/>
        </w:rPr>
        <w:t xml:space="preserve"> RSA </w:t>
      </w:r>
      <w:r w:rsidR="00CB29F7">
        <w:rPr>
          <w:szCs w:val="22"/>
        </w:rPr>
        <w:t>is</w:t>
      </w:r>
      <w:r w:rsidRPr="006B6F1B">
        <w:rPr>
          <w:szCs w:val="22"/>
        </w:rPr>
        <w:t xml:space="preserve"> required to address the following uncertainties:</w:t>
      </w:r>
    </w:p>
    <w:p w:rsidR="008E3761" w:rsidRDefault="008E3761" w:rsidP="008E3761">
      <w:pPr>
        <w:pStyle w:val="ListParagraph"/>
        <w:widowControl/>
        <w:numPr>
          <w:ilvl w:val="0"/>
          <w:numId w:val="3"/>
        </w:numPr>
        <w:spacing w:after="200" w:line="276" w:lineRule="auto"/>
        <w:jc w:val="left"/>
        <w:rPr>
          <w:bCs/>
          <w:szCs w:val="22"/>
        </w:rPr>
      </w:pPr>
      <w:r w:rsidRPr="00365BEC">
        <w:rPr>
          <w:bCs/>
          <w:szCs w:val="22"/>
        </w:rPr>
        <w:t xml:space="preserve">Uncertain </w:t>
      </w:r>
      <w:r>
        <w:rPr>
          <w:bCs/>
          <w:szCs w:val="22"/>
        </w:rPr>
        <w:t xml:space="preserve">size of </w:t>
      </w:r>
      <w:r w:rsidRPr="00365BEC">
        <w:rPr>
          <w:bCs/>
          <w:szCs w:val="22"/>
        </w:rPr>
        <w:t>patient population</w:t>
      </w:r>
      <w:r>
        <w:rPr>
          <w:bCs/>
          <w:szCs w:val="22"/>
        </w:rPr>
        <w:t>, duration of treatment and uptake of use.</w:t>
      </w:r>
    </w:p>
    <w:p w:rsidR="008E3761" w:rsidRDefault="008E3761" w:rsidP="008E3761">
      <w:pPr>
        <w:pStyle w:val="ListParagraph"/>
        <w:widowControl/>
        <w:numPr>
          <w:ilvl w:val="0"/>
          <w:numId w:val="3"/>
        </w:numPr>
        <w:spacing w:after="200" w:line="276" w:lineRule="auto"/>
        <w:jc w:val="left"/>
        <w:rPr>
          <w:bCs/>
          <w:szCs w:val="22"/>
        </w:rPr>
      </w:pPr>
      <w:r>
        <w:rPr>
          <w:bCs/>
          <w:szCs w:val="22"/>
        </w:rPr>
        <w:t>Further use beyond the restriction including outside of the palliative care breakthrough pain cancer population.</w:t>
      </w:r>
    </w:p>
    <w:p w:rsidR="0028030C" w:rsidRPr="00365BEC" w:rsidRDefault="0028030C" w:rsidP="0028030C">
      <w:pPr>
        <w:pStyle w:val="ListParagraph"/>
        <w:widowControl/>
        <w:spacing w:after="200" w:line="276" w:lineRule="auto"/>
        <w:ind w:left="1080"/>
        <w:jc w:val="left"/>
        <w:rPr>
          <w:bCs/>
          <w:szCs w:val="22"/>
        </w:rPr>
      </w:pPr>
    </w:p>
    <w:p w:rsidR="00A40E8F" w:rsidRPr="00EF6DAD" w:rsidRDefault="00A40E8F" w:rsidP="00A40E8F">
      <w:pPr>
        <w:pStyle w:val="ListParagraph"/>
        <w:ind w:left="709"/>
        <w:rPr>
          <w:i/>
          <w:szCs w:val="22"/>
        </w:rPr>
      </w:pPr>
      <w:r w:rsidRPr="00EF6DAD">
        <w:rPr>
          <w:i/>
          <w:szCs w:val="22"/>
        </w:rPr>
        <w:t>For more detail on PBAC’s view, see section 7 “PBAC outcome”</w:t>
      </w:r>
    </w:p>
    <w:p w:rsidR="00A40E8F" w:rsidRDefault="00A40E8F">
      <w:pPr>
        <w:widowControl/>
        <w:jc w:val="left"/>
        <w:rPr>
          <w:b/>
        </w:rPr>
      </w:pPr>
    </w:p>
    <w:p w:rsidR="001B5315" w:rsidRDefault="001B5315">
      <w:pPr>
        <w:widowControl/>
        <w:jc w:val="left"/>
        <w:rPr>
          <w:b/>
        </w:rPr>
      </w:pPr>
    </w:p>
    <w:p w:rsidR="00A40E8F" w:rsidRPr="00EC63E9" w:rsidRDefault="00A40E8F" w:rsidP="00B77ED1">
      <w:pPr>
        <w:numPr>
          <w:ilvl w:val="0"/>
          <w:numId w:val="1"/>
        </w:numPr>
        <w:rPr>
          <w:b/>
          <w:bCs/>
          <w:szCs w:val="22"/>
        </w:rPr>
      </w:pPr>
      <w:r w:rsidRPr="00EC63E9">
        <w:rPr>
          <w:b/>
          <w:bCs/>
          <w:szCs w:val="22"/>
        </w:rPr>
        <w:t>PBAC Outcome</w:t>
      </w:r>
    </w:p>
    <w:p w:rsidR="00A40E8F" w:rsidRPr="00EC63E9" w:rsidRDefault="00A40E8F" w:rsidP="00A40E8F">
      <w:pPr>
        <w:contextualSpacing/>
        <w:rPr>
          <w:b/>
          <w:bCs/>
          <w:szCs w:val="22"/>
          <w:highlight w:val="yellow"/>
          <w:lang w:val="en-GB"/>
        </w:rPr>
      </w:pPr>
    </w:p>
    <w:p w:rsidR="0031435B" w:rsidRPr="001E04B1" w:rsidRDefault="0031435B" w:rsidP="0031435B">
      <w:pPr>
        <w:numPr>
          <w:ilvl w:val="1"/>
          <w:numId w:val="1"/>
        </w:numPr>
        <w:contextualSpacing/>
        <w:rPr>
          <w:bCs/>
          <w:szCs w:val="22"/>
          <w:lang w:val="en-GB"/>
        </w:rPr>
      </w:pPr>
      <w:r w:rsidRPr="001E04B1">
        <w:rPr>
          <w:bCs/>
          <w:szCs w:val="22"/>
          <w:lang w:val="en-GB"/>
        </w:rPr>
        <w:t xml:space="preserve">The PBAC did not recommend the listing of fentanyl citrate buccal tablets for the treatment of breakthrough pain in patients undergoing palliative care for cancer. </w:t>
      </w:r>
      <w:r w:rsidRPr="00E07F86">
        <w:t xml:space="preserve">The </w:t>
      </w:r>
      <w:r w:rsidR="009D1E8F">
        <w:t xml:space="preserve">PBAC considered </w:t>
      </w:r>
      <w:r>
        <w:t xml:space="preserve">that the submission had not adequately addressed immediate-release opioids as an appropriate comparator. </w:t>
      </w:r>
      <w:r w:rsidR="009D1E8F">
        <w:t xml:space="preserve">Further, </w:t>
      </w:r>
      <w:r>
        <w:t xml:space="preserve">the PBAC </w:t>
      </w:r>
      <w:r w:rsidR="009D1E8F">
        <w:t xml:space="preserve">did not consider that the submission’s utilisation estimates were reliable, and was concerned that no strategy was proposed by the sponsor to mitigate this risk. </w:t>
      </w:r>
    </w:p>
    <w:p w:rsidR="00A40E8F" w:rsidRDefault="00A40E8F">
      <w:pPr>
        <w:widowControl/>
        <w:jc w:val="left"/>
      </w:pPr>
    </w:p>
    <w:p w:rsidR="005C566F" w:rsidRPr="00BC0359" w:rsidRDefault="005C566F" w:rsidP="005C566F">
      <w:pPr>
        <w:numPr>
          <w:ilvl w:val="1"/>
          <w:numId w:val="1"/>
        </w:numPr>
        <w:contextualSpacing/>
        <w:rPr>
          <w:szCs w:val="22"/>
        </w:rPr>
      </w:pPr>
      <w:r w:rsidRPr="00BC0359">
        <w:rPr>
          <w:szCs w:val="22"/>
        </w:rPr>
        <w:t xml:space="preserve">The PBAC </w:t>
      </w:r>
      <w:r>
        <w:rPr>
          <w:szCs w:val="22"/>
        </w:rPr>
        <w:t>considered</w:t>
      </w:r>
      <w:r w:rsidRPr="00BC0359">
        <w:rPr>
          <w:szCs w:val="22"/>
        </w:rPr>
        <w:t xml:space="preserve"> that the likely clinical place in therapy for fentanyl </w:t>
      </w:r>
      <w:r w:rsidR="0031435B">
        <w:rPr>
          <w:szCs w:val="22"/>
        </w:rPr>
        <w:t>buccal</w:t>
      </w:r>
      <w:r w:rsidRPr="00BC0359">
        <w:rPr>
          <w:szCs w:val="22"/>
        </w:rPr>
        <w:t xml:space="preserve"> </w:t>
      </w:r>
      <w:r>
        <w:rPr>
          <w:szCs w:val="22"/>
        </w:rPr>
        <w:t>would</w:t>
      </w:r>
      <w:r w:rsidRPr="00BC0359">
        <w:rPr>
          <w:szCs w:val="22"/>
        </w:rPr>
        <w:t xml:space="preserve"> be a </w:t>
      </w:r>
      <w:r>
        <w:rPr>
          <w:szCs w:val="22"/>
        </w:rPr>
        <w:t>second-</w:t>
      </w:r>
      <w:r w:rsidRPr="00BC0359">
        <w:rPr>
          <w:szCs w:val="22"/>
        </w:rPr>
        <w:t xml:space="preserve">line listing </w:t>
      </w:r>
      <w:r>
        <w:rPr>
          <w:szCs w:val="22"/>
        </w:rPr>
        <w:t>in</w:t>
      </w:r>
      <w:r w:rsidRPr="00BC0359">
        <w:rPr>
          <w:szCs w:val="22"/>
        </w:rPr>
        <w:t xml:space="preserve"> a palliative care setting</w:t>
      </w:r>
      <w:r w:rsidR="0031435B">
        <w:rPr>
          <w:szCs w:val="22"/>
        </w:rPr>
        <w:t xml:space="preserve">. The Committee considered that </w:t>
      </w:r>
      <w:r w:rsidRPr="00BC0359">
        <w:rPr>
          <w:szCs w:val="22"/>
        </w:rPr>
        <w:t xml:space="preserve">withholding fentanyl </w:t>
      </w:r>
      <w:r w:rsidR="0031435B">
        <w:rPr>
          <w:szCs w:val="22"/>
        </w:rPr>
        <w:t>buccal</w:t>
      </w:r>
      <w:r w:rsidRPr="00BC0359">
        <w:rPr>
          <w:szCs w:val="22"/>
        </w:rPr>
        <w:t xml:space="preserve"> to </w:t>
      </w:r>
      <w:r>
        <w:rPr>
          <w:szCs w:val="22"/>
        </w:rPr>
        <w:t>third-</w:t>
      </w:r>
      <w:r w:rsidRPr="00BC0359">
        <w:rPr>
          <w:szCs w:val="22"/>
        </w:rPr>
        <w:t xml:space="preserve"> and subsequent lines for breakthrough pain may not be </w:t>
      </w:r>
      <w:r>
        <w:rPr>
          <w:szCs w:val="22"/>
        </w:rPr>
        <w:t xml:space="preserve">practical or </w:t>
      </w:r>
      <w:r w:rsidRPr="00BC0359">
        <w:rPr>
          <w:szCs w:val="22"/>
        </w:rPr>
        <w:t xml:space="preserve">reasonable. </w:t>
      </w:r>
      <w:r>
        <w:rPr>
          <w:szCs w:val="22"/>
        </w:rPr>
        <w:t xml:space="preserve">Furthermore, the Committee considered that, in rare circumstances, fentanyl </w:t>
      </w:r>
      <w:r w:rsidR="001A14C9">
        <w:rPr>
          <w:szCs w:val="22"/>
        </w:rPr>
        <w:t>buccal</w:t>
      </w:r>
      <w:r>
        <w:rPr>
          <w:szCs w:val="22"/>
        </w:rPr>
        <w:t xml:space="preserve"> may be used in first-line setting for patients unable to swallow oral immediate-release opioids.</w:t>
      </w:r>
    </w:p>
    <w:p w:rsidR="00E07F86" w:rsidRPr="00EC63E9" w:rsidRDefault="00E07F86" w:rsidP="00E07F86">
      <w:pPr>
        <w:pStyle w:val="ListParagraph"/>
        <w:widowControl/>
        <w:rPr>
          <w:szCs w:val="22"/>
        </w:rPr>
      </w:pPr>
    </w:p>
    <w:p w:rsidR="005C566F" w:rsidRPr="00E55A9F" w:rsidRDefault="0031435B" w:rsidP="005C566F">
      <w:pPr>
        <w:numPr>
          <w:ilvl w:val="1"/>
          <w:numId w:val="1"/>
        </w:numPr>
        <w:contextualSpacing/>
        <w:rPr>
          <w:bCs/>
          <w:szCs w:val="22"/>
          <w:lang w:val="en-GB"/>
        </w:rPr>
      </w:pPr>
      <w:r>
        <w:rPr>
          <w:bCs/>
          <w:szCs w:val="22"/>
          <w:lang w:val="en-GB"/>
        </w:rPr>
        <w:t>T</w:t>
      </w:r>
      <w:r w:rsidR="005C566F" w:rsidRPr="00E55A9F">
        <w:rPr>
          <w:bCs/>
          <w:szCs w:val="22"/>
          <w:lang w:val="en-GB"/>
        </w:rPr>
        <w:t xml:space="preserve">he PBAC considered </w:t>
      </w:r>
      <w:r w:rsidR="009D1E8F">
        <w:rPr>
          <w:bCs/>
          <w:szCs w:val="22"/>
          <w:lang w:val="en-GB"/>
        </w:rPr>
        <w:t xml:space="preserve">the submission’s claims of </w:t>
      </w:r>
      <w:r w:rsidR="005C566F" w:rsidRPr="00E55A9F">
        <w:rPr>
          <w:bCs/>
          <w:szCs w:val="22"/>
          <w:lang w:val="en-GB"/>
        </w:rPr>
        <w:t>non-inferior comparative effectiveness and non-inferior comparative safety</w:t>
      </w:r>
      <w:r w:rsidR="005C566F">
        <w:rPr>
          <w:bCs/>
          <w:szCs w:val="22"/>
          <w:lang w:val="en-GB"/>
        </w:rPr>
        <w:t xml:space="preserve"> </w:t>
      </w:r>
      <w:r w:rsidR="00E52938">
        <w:rPr>
          <w:bCs/>
          <w:szCs w:val="22"/>
          <w:lang w:val="en-GB"/>
        </w:rPr>
        <w:t xml:space="preserve">compared to fentanyl lozenges </w:t>
      </w:r>
      <w:r w:rsidR="009D1E8F">
        <w:rPr>
          <w:bCs/>
          <w:szCs w:val="22"/>
          <w:lang w:val="en-GB"/>
        </w:rPr>
        <w:t>were adequately supported</w:t>
      </w:r>
      <w:r w:rsidR="005C566F">
        <w:rPr>
          <w:bCs/>
          <w:szCs w:val="22"/>
          <w:lang w:val="en-GB"/>
        </w:rPr>
        <w:t>.</w:t>
      </w:r>
    </w:p>
    <w:p w:rsidR="00E07F86" w:rsidRDefault="00E07F86" w:rsidP="00E07F86">
      <w:pPr>
        <w:pStyle w:val="ListParagraph"/>
        <w:rPr>
          <w:bCs/>
          <w:szCs w:val="22"/>
          <w:lang w:val="en-GB"/>
        </w:rPr>
      </w:pPr>
    </w:p>
    <w:p w:rsidR="005C566F" w:rsidRDefault="0031435B" w:rsidP="005C566F">
      <w:pPr>
        <w:numPr>
          <w:ilvl w:val="1"/>
          <w:numId w:val="1"/>
        </w:numPr>
        <w:contextualSpacing/>
      </w:pPr>
      <w:r>
        <w:rPr>
          <w:bCs/>
          <w:szCs w:val="22"/>
          <w:lang w:val="en-GB"/>
        </w:rPr>
        <w:t xml:space="preserve">The PBAC noted that </w:t>
      </w:r>
      <w:r w:rsidR="00592ABA">
        <w:rPr>
          <w:bCs/>
          <w:szCs w:val="22"/>
          <w:lang w:val="en-GB"/>
        </w:rPr>
        <w:t xml:space="preserve">other </w:t>
      </w:r>
      <w:r>
        <w:rPr>
          <w:bCs/>
          <w:szCs w:val="22"/>
          <w:lang w:val="en-GB"/>
        </w:rPr>
        <w:t>immediate-release opioids had not been considered</w:t>
      </w:r>
      <w:r w:rsidRPr="002876D9">
        <w:rPr>
          <w:bCs/>
          <w:szCs w:val="22"/>
          <w:lang w:val="en-GB"/>
        </w:rPr>
        <w:t xml:space="preserve"> </w:t>
      </w:r>
      <w:r>
        <w:rPr>
          <w:bCs/>
          <w:szCs w:val="22"/>
          <w:lang w:val="en-GB"/>
        </w:rPr>
        <w:t>as an alternate comparator in the submission</w:t>
      </w:r>
      <w:r w:rsidR="001A14C9">
        <w:rPr>
          <w:bCs/>
          <w:szCs w:val="22"/>
          <w:lang w:val="en-GB"/>
        </w:rPr>
        <w:t xml:space="preserve"> and </w:t>
      </w:r>
      <w:r w:rsidR="001A14C9">
        <w:t>a claim capturing the</w:t>
      </w:r>
      <w:r w:rsidR="001A14C9" w:rsidRPr="00A25945">
        <w:t xml:space="preserve"> possibility of </w:t>
      </w:r>
      <w:r w:rsidR="001A14C9">
        <w:t>fentanyl</w:t>
      </w:r>
      <w:r w:rsidR="001A14C9" w:rsidRPr="00A25945">
        <w:t xml:space="preserve"> </w:t>
      </w:r>
      <w:r w:rsidR="001A14C9">
        <w:t xml:space="preserve">buccal tablets </w:t>
      </w:r>
      <w:r w:rsidR="001A14C9" w:rsidRPr="00A25945">
        <w:t>substituting for other breakthrough pain treatments</w:t>
      </w:r>
      <w:r w:rsidR="001A14C9">
        <w:t xml:space="preserve"> such as </w:t>
      </w:r>
      <w:r w:rsidR="00592ABA">
        <w:t xml:space="preserve">other </w:t>
      </w:r>
      <w:r w:rsidR="001A14C9">
        <w:t>immediate-release opioids was not made</w:t>
      </w:r>
      <w:r>
        <w:rPr>
          <w:bCs/>
          <w:szCs w:val="22"/>
          <w:lang w:val="en-GB"/>
        </w:rPr>
        <w:t xml:space="preserve">. </w:t>
      </w:r>
      <w:r w:rsidR="005C566F" w:rsidRPr="002876D9">
        <w:rPr>
          <w:bCs/>
          <w:szCs w:val="22"/>
          <w:lang w:val="en-GB"/>
        </w:rPr>
        <w:t xml:space="preserve">The PBAC considered </w:t>
      </w:r>
      <w:r w:rsidR="005C566F">
        <w:rPr>
          <w:bCs/>
          <w:szCs w:val="22"/>
          <w:lang w:val="en-GB"/>
        </w:rPr>
        <w:t xml:space="preserve">both </w:t>
      </w:r>
      <w:r w:rsidR="00592ABA">
        <w:rPr>
          <w:bCs/>
          <w:szCs w:val="22"/>
          <w:lang w:val="en-GB"/>
        </w:rPr>
        <w:t xml:space="preserve">other </w:t>
      </w:r>
      <w:r w:rsidR="005C566F" w:rsidRPr="002876D9">
        <w:rPr>
          <w:bCs/>
          <w:szCs w:val="22"/>
          <w:lang w:val="en-GB"/>
        </w:rPr>
        <w:t xml:space="preserve">immediate-release oral opioids and fentanyl lozenges to be appropriate comparators. </w:t>
      </w:r>
      <w:r w:rsidR="005C566F">
        <w:rPr>
          <w:bCs/>
          <w:szCs w:val="22"/>
          <w:lang w:val="en-GB"/>
        </w:rPr>
        <w:t xml:space="preserve">In addition, </w:t>
      </w:r>
      <w:r w:rsidR="005C566F" w:rsidRPr="002876D9">
        <w:rPr>
          <w:bCs/>
          <w:szCs w:val="22"/>
          <w:lang w:val="en-GB"/>
        </w:rPr>
        <w:t>for the small group of patients who are unable to swallow oral opioids</w:t>
      </w:r>
      <w:r w:rsidR="005C566F">
        <w:rPr>
          <w:bCs/>
          <w:szCs w:val="22"/>
          <w:lang w:val="en-GB"/>
        </w:rPr>
        <w:t>, t</w:t>
      </w:r>
      <w:r w:rsidR="005C566F" w:rsidRPr="002876D9">
        <w:rPr>
          <w:bCs/>
          <w:szCs w:val="22"/>
          <w:lang w:val="en-GB"/>
        </w:rPr>
        <w:t xml:space="preserve">he PBAC considered that </w:t>
      </w:r>
      <w:r w:rsidR="005C566F">
        <w:t>subcutaneous morphine may be an appropriate comparator.</w:t>
      </w:r>
    </w:p>
    <w:p w:rsidR="005C566F" w:rsidRDefault="005C566F" w:rsidP="00E07F86">
      <w:pPr>
        <w:pStyle w:val="ListParagraph"/>
        <w:rPr>
          <w:bCs/>
          <w:szCs w:val="22"/>
          <w:lang w:val="en-GB"/>
        </w:rPr>
      </w:pPr>
    </w:p>
    <w:p w:rsidR="005C566F" w:rsidRDefault="005C566F" w:rsidP="005C566F">
      <w:pPr>
        <w:pStyle w:val="ListParagraph"/>
        <w:numPr>
          <w:ilvl w:val="1"/>
          <w:numId w:val="1"/>
        </w:numPr>
        <w:rPr>
          <w:szCs w:val="22"/>
        </w:rPr>
      </w:pPr>
      <w:r>
        <w:rPr>
          <w:szCs w:val="22"/>
        </w:rPr>
        <w:t>The PBAC agreed that the market share approach based on the use of fentanyl lozenge</w:t>
      </w:r>
      <w:r w:rsidR="009D1E8F">
        <w:rPr>
          <w:szCs w:val="22"/>
        </w:rPr>
        <w:t>s</w:t>
      </w:r>
      <w:r>
        <w:rPr>
          <w:szCs w:val="22"/>
        </w:rPr>
        <w:t xml:space="preserve"> is likely to substantially underestimate the utilisation for fentanyl buccal tablets. The PBAC recalled </w:t>
      </w:r>
      <w:r w:rsidR="009D1E8F">
        <w:rPr>
          <w:szCs w:val="22"/>
        </w:rPr>
        <w:t xml:space="preserve">its </w:t>
      </w:r>
      <w:r>
        <w:rPr>
          <w:szCs w:val="22"/>
        </w:rPr>
        <w:t xml:space="preserve">previous advice (March 2014 – fentanyl sublingual Public Summary Document) and agreed that an </w:t>
      </w:r>
      <w:r w:rsidRPr="008962FD">
        <w:rPr>
          <w:szCs w:val="22"/>
        </w:rPr>
        <w:t xml:space="preserve">epidemiological approach would </w:t>
      </w:r>
      <w:r>
        <w:rPr>
          <w:szCs w:val="22"/>
        </w:rPr>
        <w:t xml:space="preserve">have </w:t>
      </w:r>
      <w:r w:rsidRPr="008962FD">
        <w:rPr>
          <w:szCs w:val="22"/>
        </w:rPr>
        <w:t>be</w:t>
      </w:r>
      <w:r>
        <w:rPr>
          <w:szCs w:val="22"/>
        </w:rPr>
        <w:t>en a</w:t>
      </w:r>
      <w:r w:rsidRPr="008962FD">
        <w:rPr>
          <w:szCs w:val="22"/>
        </w:rPr>
        <w:t xml:space="preserve"> more appropriate</w:t>
      </w:r>
      <w:r>
        <w:rPr>
          <w:szCs w:val="22"/>
        </w:rPr>
        <w:t xml:space="preserve"> estimation basis.</w:t>
      </w:r>
    </w:p>
    <w:p w:rsidR="005C566F" w:rsidRPr="008E3761" w:rsidRDefault="005C566F" w:rsidP="005C566F">
      <w:pPr>
        <w:pStyle w:val="ListParagraph"/>
        <w:rPr>
          <w:szCs w:val="22"/>
        </w:rPr>
      </w:pPr>
    </w:p>
    <w:p w:rsidR="005C566F" w:rsidRDefault="005C566F" w:rsidP="005C566F">
      <w:pPr>
        <w:pStyle w:val="ListParagraph"/>
        <w:numPr>
          <w:ilvl w:val="1"/>
          <w:numId w:val="1"/>
        </w:numPr>
        <w:rPr>
          <w:szCs w:val="22"/>
        </w:rPr>
      </w:pPr>
      <w:r>
        <w:rPr>
          <w:bCs/>
          <w:szCs w:val="22"/>
        </w:rPr>
        <w:t>The PBAC considered that the size of the eligible population remains uncertain g</w:t>
      </w:r>
      <w:r w:rsidRPr="00463E69">
        <w:rPr>
          <w:bCs/>
          <w:szCs w:val="22"/>
        </w:rPr>
        <w:t>iven the wide ranges in the published literature</w:t>
      </w:r>
      <w:r>
        <w:rPr>
          <w:bCs/>
          <w:szCs w:val="22"/>
        </w:rPr>
        <w:t xml:space="preserve">. The PBAC considered that a risk share arrangement would be needed to address this uncertainty as well as manage the financial implications for any use beyond the restriction including </w:t>
      </w:r>
      <w:r w:rsidRPr="00FE273B">
        <w:rPr>
          <w:bCs/>
          <w:szCs w:val="22"/>
        </w:rPr>
        <w:t xml:space="preserve">into the first-line treatment of breakthrough </w:t>
      </w:r>
      <w:r>
        <w:rPr>
          <w:bCs/>
          <w:szCs w:val="22"/>
        </w:rPr>
        <w:t xml:space="preserve">pain in </w:t>
      </w:r>
      <w:r w:rsidRPr="00FE273B">
        <w:rPr>
          <w:bCs/>
          <w:szCs w:val="22"/>
        </w:rPr>
        <w:t xml:space="preserve">cancer </w:t>
      </w:r>
      <w:r>
        <w:rPr>
          <w:bCs/>
          <w:szCs w:val="22"/>
        </w:rPr>
        <w:t>patients.</w:t>
      </w:r>
    </w:p>
    <w:p w:rsidR="005C566F" w:rsidRDefault="005C566F">
      <w:pPr>
        <w:widowControl/>
        <w:jc w:val="left"/>
      </w:pPr>
    </w:p>
    <w:p w:rsidR="009C762E" w:rsidRPr="00DC5169" w:rsidRDefault="009C762E" w:rsidP="00B77ED1">
      <w:pPr>
        <w:numPr>
          <w:ilvl w:val="1"/>
          <w:numId w:val="1"/>
        </w:numPr>
        <w:contextualSpacing/>
        <w:rPr>
          <w:bCs/>
          <w:szCs w:val="22"/>
          <w:lang w:val="en-GB"/>
        </w:rPr>
      </w:pPr>
      <w:r w:rsidRPr="00DC5169">
        <w:rPr>
          <w:bCs/>
          <w:szCs w:val="22"/>
          <w:lang w:val="en-GB"/>
        </w:rPr>
        <w:t>The PBAC noted that this submission is eligible for an Independent Review</w:t>
      </w:r>
      <w:r w:rsidR="00DC5169">
        <w:rPr>
          <w:bCs/>
          <w:szCs w:val="22"/>
          <w:lang w:val="en-GB"/>
        </w:rPr>
        <w:t>.</w:t>
      </w:r>
    </w:p>
    <w:p w:rsidR="002A3AFE" w:rsidRPr="00EC63E9" w:rsidRDefault="002A3AFE">
      <w:pPr>
        <w:widowControl/>
        <w:jc w:val="left"/>
      </w:pPr>
    </w:p>
    <w:p w:rsidR="00A40E8F" w:rsidRPr="00EC63E9" w:rsidRDefault="00A40E8F" w:rsidP="00A40E8F">
      <w:pPr>
        <w:rPr>
          <w:b/>
          <w:bCs/>
          <w:szCs w:val="22"/>
          <w:lang w:val="en-GB"/>
        </w:rPr>
      </w:pPr>
      <w:r w:rsidRPr="00EC63E9">
        <w:rPr>
          <w:b/>
          <w:bCs/>
          <w:szCs w:val="22"/>
          <w:lang w:val="en-GB"/>
        </w:rPr>
        <w:t>Outcome:</w:t>
      </w:r>
    </w:p>
    <w:p w:rsidR="00A40E8F" w:rsidRDefault="00A40E8F" w:rsidP="00A40E8F">
      <w:pPr>
        <w:rPr>
          <w:bCs/>
          <w:szCs w:val="22"/>
          <w:lang w:val="en-GB"/>
        </w:rPr>
      </w:pPr>
      <w:r w:rsidRPr="00EC63E9">
        <w:rPr>
          <w:bCs/>
          <w:szCs w:val="22"/>
          <w:lang w:val="en-GB"/>
        </w:rPr>
        <w:t>Rejected</w:t>
      </w:r>
    </w:p>
    <w:p w:rsidR="00A62A66" w:rsidRDefault="00A62A66" w:rsidP="00A40E8F">
      <w:pPr>
        <w:rPr>
          <w:bCs/>
          <w:szCs w:val="22"/>
          <w:lang w:val="en-GB"/>
        </w:rPr>
      </w:pPr>
    </w:p>
    <w:p w:rsidR="007C4F31" w:rsidRDefault="007C4F31" w:rsidP="00A40E8F">
      <w:pPr>
        <w:rPr>
          <w:bCs/>
          <w:szCs w:val="22"/>
          <w:lang w:val="en-GB"/>
        </w:rPr>
      </w:pPr>
    </w:p>
    <w:p w:rsidR="00A62A66" w:rsidRDefault="00A62A66" w:rsidP="00A62A66">
      <w:pPr>
        <w:pStyle w:val="PBACHeading1"/>
        <w:rPr>
          <w:lang w:val="en-GB"/>
        </w:rPr>
      </w:pPr>
      <w:r>
        <w:rPr>
          <w:lang w:val="en-GB"/>
        </w:rPr>
        <w:t>Context for Decision</w:t>
      </w:r>
    </w:p>
    <w:p w:rsidR="005457BA" w:rsidRDefault="005457BA" w:rsidP="005457BA">
      <w:pPr>
        <w:pStyle w:val="PBACHeading1"/>
        <w:numPr>
          <w:ilvl w:val="0"/>
          <w:numId w:val="0"/>
        </w:numPr>
        <w:ind w:left="720"/>
        <w:rPr>
          <w:lang w:val="en-GB"/>
        </w:rPr>
      </w:pPr>
    </w:p>
    <w:p w:rsidR="00A62A66" w:rsidRPr="005457BA" w:rsidRDefault="00A62A66" w:rsidP="00A62A66">
      <w:pPr>
        <w:pStyle w:val="PBACHeading1"/>
        <w:numPr>
          <w:ilvl w:val="0"/>
          <w:numId w:val="0"/>
        </w:numPr>
        <w:ind w:left="720"/>
        <w:rPr>
          <w:b w:val="0"/>
          <w:lang w:val="en-GB"/>
        </w:rPr>
      </w:pPr>
      <w:r w:rsidRPr="005457BA">
        <w:rPr>
          <w:b w:val="0"/>
          <w:lang w:val="en-GB"/>
        </w:rPr>
        <w:t>The PBAC helps decide whether and, if so, how many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62A66" w:rsidRDefault="00A62A66" w:rsidP="00A8333A">
      <w:pPr>
        <w:pStyle w:val="PBACHeading1"/>
        <w:numPr>
          <w:ilvl w:val="0"/>
          <w:numId w:val="0"/>
        </w:numPr>
        <w:ind w:left="720" w:hanging="720"/>
        <w:rPr>
          <w:lang w:val="en-GB"/>
        </w:rPr>
      </w:pPr>
    </w:p>
    <w:p w:rsidR="007C4F31" w:rsidRDefault="007C4F31" w:rsidP="00A62A66">
      <w:pPr>
        <w:pStyle w:val="PBACHeading1"/>
        <w:numPr>
          <w:ilvl w:val="0"/>
          <w:numId w:val="0"/>
        </w:numPr>
        <w:ind w:left="720"/>
        <w:rPr>
          <w:lang w:val="en-GB"/>
        </w:rPr>
      </w:pPr>
    </w:p>
    <w:p w:rsidR="00E82C94" w:rsidRDefault="00A62A66" w:rsidP="007C4F31">
      <w:pPr>
        <w:pStyle w:val="PBACHeading1"/>
        <w:rPr>
          <w:lang w:val="en-GB"/>
        </w:rPr>
      </w:pPr>
      <w:r>
        <w:rPr>
          <w:lang w:val="en-GB"/>
        </w:rPr>
        <w:t xml:space="preserve">Sponsor’s Comment </w:t>
      </w:r>
    </w:p>
    <w:p w:rsidR="00114C81" w:rsidRDefault="00114C81" w:rsidP="00114C81">
      <w:pPr>
        <w:pStyle w:val="PBACHeading1"/>
        <w:numPr>
          <w:ilvl w:val="0"/>
          <w:numId w:val="0"/>
        </w:numPr>
        <w:rPr>
          <w:lang w:val="en-GB"/>
        </w:rPr>
      </w:pPr>
    </w:p>
    <w:p w:rsidR="00114C81" w:rsidRPr="00B750F8" w:rsidRDefault="00114C81" w:rsidP="00114C81">
      <w:pPr>
        <w:pStyle w:val="PBACHeading1"/>
        <w:numPr>
          <w:ilvl w:val="0"/>
          <w:numId w:val="0"/>
        </w:numPr>
        <w:ind w:left="720"/>
        <w:rPr>
          <w:b w:val="0"/>
          <w:lang w:val="en-GB"/>
        </w:rPr>
      </w:pPr>
      <w:proofErr w:type="spellStart"/>
      <w:r w:rsidRPr="00B750F8">
        <w:rPr>
          <w:b w:val="0"/>
          <w:lang w:val="en-GB"/>
        </w:rPr>
        <w:t>Teva</w:t>
      </w:r>
      <w:proofErr w:type="spellEnd"/>
      <w:r w:rsidRPr="00B750F8">
        <w:rPr>
          <w:b w:val="0"/>
          <w:lang w:val="en-GB"/>
        </w:rPr>
        <w:t xml:space="preserve"> Pharma Australia Pty Ltd will continue to work with the department to resolve the issues raised b</w:t>
      </w:r>
      <w:bookmarkStart w:id="15" w:name="_GoBack"/>
      <w:bookmarkEnd w:id="15"/>
      <w:r w:rsidRPr="00B750F8">
        <w:rPr>
          <w:b w:val="0"/>
          <w:lang w:val="en-GB"/>
        </w:rPr>
        <w:t>y the PBAC</w:t>
      </w:r>
      <w:r w:rsidR="00167A5C" w:rsidRPr="00B750F8">
        <w:rPr>
          <w:b w:val="0"/>
          <w:lang w:val="en-GB"/>
        </w:rPr>
        <w:t>.</w:t>
      </w:r>
    </w:p>
    <w:sectPr w:rsidR="00114C81" w:rsidRPr="00B750F8" w:rsidSect="00A92AAD">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D8" w:rsidRDefault="009D43D8" w:rsidP="00124A51">
      <w:r>
        <w:separator/>
      </w:r>
    </w:p>
  </w:endnote>
  <w:endnote w:type="continuationSeparator" w:id="0">
    <w:p w:rsidR="009D43D8" w:rsidRDefault="009D43D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D8" w:rsidRDefault="009D4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5C423F" w:rsidRPr="00541A0D" w:rsidRDefault="005C423F" w:rsidP="00B66436">
        <w:pPr>
          <w:pStyle w:val="Footer"/>
          <w:ind w:left="360"/>
          <w:jc w:val="center"/>
          <w:rPr>
            <w:sz w:val="20"/>
          </w:rPr>
        </w:pPr>
      </w:p>
      <w:p w:rsidR="005C423F" w:rsidRPr="00651169" w:rsidRDefault="005C423F" w:rsidP="00B66436">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CE78DC">
          <w:rPr>
            <w:noProof/>
            <w:sz w:val="20"/>
          </w:rPr>
          <w:t>11</w:t>
        </w:r>
        <w:r w:rsidRPr="0065116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D8" w:rsidRDefault="009D4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D8" w:rsidRDefault="009D43D8" w:rsidP="00124A51">
      <w:r>
        <w:separator/>
      </w:r>
    </w:p>
  </w:footnote>
  <w:footnote w:type="continuationSeparator" w:id="0">
    <w:p w:rsidR="009D43D8" w:rsidRDefault="009D43D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D8" w:rsidRDefault="009D4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23F" w:rsidRPr="00DF217D" w:rsidRDefault="005C423F" w:rsidP="00E82C94">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5C423F" w:rsidRDefault="005C42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D8" w:rsidRDefault="009D4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84FBF"/>
    <w:multiLevelType w:val="hybridMultilevel"/>
    <w:tmpl w:val="7F1CBC7C"/>
    <w:lvl w:ilvl="0" w:tplc="04090001">
      <w:start w:val="1"/>
      <w:numFmt w:val="bullet"/>
      <w:pStyle w:val="TableBullets"/>
      <w:lvlText w:val=""/>
      <w:lvlJc w:val="left"/>
      <w:pPr>
        <w:ind w:left="-108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
    <w:nsid w:val="68E322E1"/>
    <w:multiLevelType w:val="hybridMultilevel"/>
    <w:tmpl w:val="A58C6B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784D033C"/>
    <w:multiLevelType w:val="multilevel"/>
    <w:tmpl w:val="AFFE191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699"/>
    <w:rsid w:val="0000279E"/>
    <w:rsid w:val="00003499"/>
    <w:rsid w:val="000043C9"/>
    <w:rsid w:val="0000656E"/>
    <w:rsid w:val="00006C58"/>
    <w:rsid w:val="000101A5"/>
    <w:rsid w:val="00010292"/>
    <w:rsid w:val="00010398"/>
    <w:rsid w:val="0001187A"/>
    <w:rsid w:val="00013247"/>
    <w:rsid w:val="00015886"/>
    <w:rsid w:val="000162EF"/>
    <w:rsid w:val="00020DE7"/>
    <w:rsid w:val="0002225F"/>
    <w:rsid w:val="000236CB"/>
    <w:rsid w:val="00023763"/>
    <w:rsid w:val="00026D9C"/>
    <w:rsid w:val="00027533"/>
    <w:rsid w:val="0003053E"/>
    <w:rsid w:val="00030AD6"/>
    <w:rsid w:val="00031E1C"/>
    <w:rsid w:val="000330BE"/>
    <w:rsid w:val="00040895"/>
    <w:rsid w:val="0004144B"/>
    <w:rsid w:val="00043C37"/>
    <w:rsid w:val="00045443"/>
    <w:rsid w:val="00053311"/>
    <w:rsid w:val="000546D7"/>
    <w:rsid w:val="00063649"/>
    <w:rsid w:val="00071248"/>
    <w:rsid w:val="000720B9"/>
    <w:rsid w:val="000728B1"/>
    <w:rsid w:val="0007311B"/>
    <w:rsid w:val="000737EE"/>
    <w:rsid w:val="00076286"/>
    <w:rsid w:val="0007698C"/>
    <w:rsid w:val="00077A81"/>
    <w:rsid w:val="000812CA"/>
    <w:rsid w:val="000816C3"/>
    <w:rsid w:val="00081CBD"/>
    <w:rsid w:val="00082421"/>
    <w:rsid w:val="000848D1"/>
    <w:rsid w:val="0008600C"/>
    <w:rsid w:val="000869B6"/>
    <w:rsid w:val="00090C7E"/>
    <w:rsid w:val="0009542E"/>
    <w:rsid w:val="000A000E"/>
    <w:rsid w:val="000A1D0E"/>
    <w:rsid w:val="000A33CC"/>
    <w:rsid w:val="000A6C81"/>
    <w:rsid w:val="000B2B7A"/>
    <w:rsid w:val="000B3E1B"/>
    <w:rsid w:val="000B5C6D"/>
    <w:rsid w:val="000C0E2D"/>
    <w:rsid w:val="000C3015"/>
    <w:rsid w:val="000C372B"/>
    <w:rsid w:val="000C390B"/>
    <w:rsid w:val="000C5240"/>
    <w:rsid w:val="000D186A"/>
    <w:rsid w:val="000D1BFC"/>
    <w:rsid w:val="000D599E"/>
    <w:rsid w:val="000D79BC"/>
    <w:rsid w:val="000E324D"/>
    <w:rsid w:val="000E4239"/>
    <w:rsid w:val="000F1D3C"/>
    <w:rsid w:val="000F4421"/>
    <w:rsid w:val="000F48FB"/>
    <w:rsid w:val="000F4BB8"/>
    <w:rsid w:val="000F685D"/>
    <w:rsid w:val="000F7127"/>
    <w:rsid w:val="00100F8A"/>
    <w:rsid w:val="001027BE"/>
    <w:rsid w:val="00104C55"/>
    <w:rsid w:val="00107A82"/>
    <w:rsid w:val="00107E3D"/>
    <w:rsid w:val="0011032E"/>
    <w:rsid w:val="001131BC"/>
    <w:rsid w:val="0011348B"/>
    <w:rsid w:val="001140CF"/>
    <w:rsid w:val="001148C9"/>
    <w:rsid w:val="00114C81"/>
    <w:rsid w:val="0011541A"/>
    <w:rsid w:val="00117931"/>
    <w:rsid w:val="00117B8B"/>
    <w:rsid w:val="00121799"/>
    <w:rsid w:val="00121E7F"/>
    <w:rsid w:val="001222FC"/>
    <w:rsid w:val="00124A51"/>
    <w:rsid w:val="00126621"/>
    <w:rsid w:val="001268B3"/>
    <w:rsid w:val="00126C87"/>
    <w:rsid w:val="001301E9"/>
    <w:rsid w:val="00137645"/>
    <w:rsid w:val="0014015A"/>
    <w:rsid w:val="00140E99"/>
    <w:rsid w:val="00141258"/>
    <w:rsid w:val="00142072"/>
    <w:rsid w:val="00144454"/>
    <w:rsid w:val="00145540"/>
    <w:rsid w:val="001456B0"/>
    <w:rsid w:val="00147910"/>
    <w:rsid w:val="00150627"/>
    <w:rsid w:val="00153554"/>
    <w:rsid w:val="001552C8"/>
    <w:rsid w:val="00157130"/>
    <w:rsid w:val="001619B4"/>
    <w:rsid w:val="00162913"/>
    <w:rsid w:val="00162E25"/>
    <w:rsid w:val="00163EFF"/>
    <w:rsid w:val="001640A2"/>
    <w:rsid w:val="001661FB"/>
    <w:rsid w:val="001677E7"/>
    <w:rsid w:val="00167A5C"/>
    <w:rsid w:val="00173ECF"/>
    <w:rsid w:val="00174ED2"/>
    <w:rsid w:val="00175C5A"/>
    <w:rsid w:val="00177CF5"/>
    <w:rsid w:val="00181371"/>
    <w:rsid w:val="00181614"/>
    <w:rsid w:val="00182513"/>
    <w:rsid w:val="00186D56"/>
    <w:rsid w:val="00187476"/>
    <w:rsid w:val="0018752F"/>
    <w:rsid w:val="0019063D"/>
    <w:rsid w:val="00190FA0"/>
    <w:rsid w:val="001911BE"/>
    <w:rsid w:val="001924BB"/>
    <w:rsid w:val="0019317B"/>
    <w:rsid w:val="00194FE9"/>
    <w:rsid w:val="00195222"/>
    <w:rsid w:val="001954FB"/>
    <w:rsid w:val="001957E8"/>
    <w:rsid w:val="0019693C"/>
    <w:rsid w:val="001975D8"/>
    <w:rsid w:val="001A14C9"/>
    <w:rsid w:val="001A4AF4"/>
    <w:rsid w:val="001A6466"/>
    <w:rsid w:val="001A6BC3"/>
    <w:rsid w:val="001A775D"/>
    <w:rsid w:val="001B0A48"/>
    <w:rsid w:val="001B3443"/>
    <w:rsid w:val="001B374E"/>
    <w:rsid w:val="001B487E"/>
    <w:rsid w:val="001B4CD5"/>
    <w:rsid w:val="001B5315"/>
    <w:rsid w:val="001C16B0"/>
    <w:rsid w:val="001C319C"/>
    <w:rsid w:val="001C5D50"/>
    <w:rsid w:val="001C6E66"/>
    <w:rsid w:val="001C7FE2"/>
    <w:rsid w:val="001D0D3D"/>
    <w:rsid w:val="001D10E2"/>
    <w:rsid w:val="001D1363"/>
    <w:rsid w:val="001D31A8"/>
    <w:rsid w:val="001D354F"/>
    <w:rsid w:val="001D362E"/>
    <w:rsid w:val="001D3A93"/>
    <w:rsid w:val="001D48B4"/>
    <w:rsid w:val="001E04B1"/>
    <w:rsid w:val="001E0919"/>
    <w:rsid w:val="001E16EB"/>
    <w:rsid w:val="001E238E"/>
    <w:rsid w:val="001E2B1E"/>
    <w:rsid w:val="001E4E49"/>
    <w:rsid w:val="001E52EB"/>
    <w:rsid w:val="001E6109"/>
    <w:rsid w:val="001E740C"/>
    <w:rsid w:val="001F0C79"/>
    <w:rsid w:val="001F1235"/>
    <w:rsid w:val="001F1CB3"/>
    <w:rsid w:val="001F46F8"/>
    <w:rsid w:val="001F5E3C"/>
    <w:rsid w:val="001F7361"/>
    <w:rsid w:val="00200CD5"/>
    <w:rsid w:val="002024CB"/>
    <w:rsid w:val="00202C1F"/>
    <w:rsid w:val="0020385F"/>
    <w:rsid w:val="00204608"/>
    <w:rsid w:val="00204C97"/>
    <w:rsid w:val="002066A1"/>
    <w:rsid w:val="00206E72"/>
    <w:rsid w:val="00207021"/>
    <w:rsid w:val="002078E0"/>
    <w:rsid w:val="00207D00"/>
    <w:rsid w:val="002105C1"/>
    <w:rsid w:val="00212B24"/>
    <w:rsid w:val="00213A5C"/>
    <w:rsid w:val="002164A4"/>
    <w:rsid w:val="00216F09"/>
    <w:rsid w:val="002239EA"/>
    <w:rsid w:val="00223B49"/>
    <w:rsid w:val="00223FBB"/>
    <w:rsid w:val="00224DD4"/>
    <w:rsid w:val="002279D7"/>
    <w:rsid w:val="002309CC"/>
    <w:rsid w:val="00232807"/>
    <w:rsid w:val="002351F0"/>
    <w:rsid w:val="00244495"/>
    <w:rsid w:val="0024488C"/>
    <w:rsid w:val="00245E70"/>
    <w:rsid w:val="00245EDA"/>
    <w:rsid w:val="00247B99"/>
    <w:rsid w:val="00247F9E"/>
    <w:rsid w:val="00254DCF"/>
    <w:rsid w:val="0025534B"/>
    <w:rsid w:val="00255BB7"/>
    <w:rsid w:val="0026050C"/>
    <w:rsid w:val="00262A87"/>
    <w:rsid w:val="00264B22"/>
    <w:rsid w:val="00264DBC"/>
    <w:rsid w:val="0026741A"/>
    <w:rsid w:val="00275C5A"/>
    <w:rsid w:val="00276A3B"/>
    <w:rsid w:val="002771ED"/>
    <w:rsid w:val="0028030C"/>
    <w:rsid w:val="00280ED1"/>
    <w:rsid w:val="00281014"/>
    <w:rsid w:val="00283F54"/>
    <w:rsid w:val="00283F5E"/>
    <w:rsid w:val="00284B2F"/>
    <w:rsid w:val="002869BB"/>
    <w:rsid w:val="00286D6E"/>
    <w:rsid w:val="00291253"/>
    <w:rsid w:val="00291B36"/>
    <w:rsid w:val="00293766"/>
    <w:rsid w:val="00293E68"/>
    <w:rsid w:val="002944FA"/>
    <w:rsid w:val="00294D23"/>
    <w:rsid w:val="002961CB"/>
    <w:rsid w:val="002A14AB"/>
    <w:rsid w:val="002A2570"/>
    <w:rsid w:val="002A3AFE"/>
    <w:rsid w:val="002A5625"/>
    <w:rsid w:val="002A5A43"/>
    <w:rsid w:val="002B1C1F"/>
    <w:rsid w:val="002B1D27"/>
    <w:rsid w:val="002B2E57"/>
    <w:rsid w:val="002B432F"/>
    <w:rsid w:val="002B6843"/>
    <w:rsid w:val="002B6CCE"/>
    <w:rsid w:val="002C1E08"/>
    <w:rsid w:val="002C2775"/>
    <w:rsid w:val="002C27C1"/>
    <w:rsid w:val="002C2BB2"/>
    <w:rsid w:val="002C3C20"/>
    <w:rsid w:val="002C3CE6"/>
    <w:rsid w:val="002C7DCA"/>
    <w:rsid w:val="002D1577"/>
    <w:rsid w:val="002D19BA"/>
    <w:rsid w:val="002D4803"/>
    <w:rsid w:val="002D6E77"/>
    <w:rsid w:val="002E28B7"/>
    <w:rsid w:val="002E69DD"/>
    <w:rsid w:val="002E7A3A"/>
    <w:rsid w:val="002E7C1A"/>
    <w:rsid w:val="002F03CC"/>
    <w:rsid w:val="002F213E"/>
    <w:rsid w:val="002F59AD"/>
    <w:rsid w:val="002F613E"/>
    <w:rsid w:val="00301017"/>
    <w:rsid w:val="00304223"/>
    <w:rsid w:val="00306BAB"/>
    <w:rsid w:val="0030786C"/>
    <w:rsid w:val="0031031A"/>
    <w:rsid w:val="00310981"/>
    <w:rsid w:val="00312543"/>
    <w:rsid w:val="00313420"/>
    <w:rsid w:val="0031435B"/>
    <w:rsid w:val="00315498"/>
    <w:rsid w:val="00320B36"/>
    <w:rsid w:val="003221CF"/>
    <w:rsid w:val="00326975"/>
    <w:rsid w:val="00327BCE"/>
    <w:rsid w:val="00331C5A"/>
    <w:rsid w:val="003321EC"/>
    <w:rsid w:val="003337CD"/>
    <w:rsid w:val="00335E0A"/>
    <w:rsid w:val="003366C9"/>
    <w:rsid w:val="003371B0"/>
    <w:rsid w:val="00337F8B"/>
    <w:rsid w:val="00341749"/>
    <w:rsid w:val="003431D4"/>
    <w:rsid w:val="0034492D"/>
    <w:rsid w:val="003455A5"/>
    <w:rsid w:val="00347C99"/>
    <w:rsid w:val="00354940"/>
    <w:rsid w:val="0035620E"/>
    <w:rsid w:val="003574A7"/>
    <w:rsid w:val="00364B62"/>
    <w:rsid w:val="00365520"/>
    <w:rsid w:val="00367F2F"/>
    <w:rsid w:val="00372069"/>
    <w:rsid w:val="00372638"/>
    <w:rsid w:val="00373BAF"/>
    <w:rsid w:val="003761D8"/>
    <w:rsid w:val="00377CBE"/>
    <w:rsid w:val="003807EA"/>
    <w:rsid w:val="003817AD"/>
    <w:rsid w:val="0038365C"/>
    <w:rsid w:val="00383DE9"/>
    <w:rsid w:val="00384D80"/>
    <w:rsid w:val="00385BC4"/>
    <w:rsid w:val="00386727"/>
    <w:rsid w:val="00386FD4"/>
    <w:rsid w:val="00392B10"/>
    <w:rsid w:val="00392E67"/>
    <w:rsid w:val="00394F89"/>
    <w:rsid w:val="00395107"/>
    <w:rsid w:val="00396FD0"/>
    <w:rsid w:val="003A1A7A"/>
    <w:rsid w:val="003A5496"/>
    <w:rsid w:val="003A7C77"/>
    <w:rsid w:val="003B3447"/>
    <w:rsid w:val="003B5F16"/>
    <w:rsid w:val="003C317B"/>
    <w:rsid w:val="003C5146"/>
    <w:rsid w:val="003D1828"/>
    <w:rsid w:val="003D1B30"/>
    <w:rsid w:val="003D2422"/>
    <w:rsid w:val="003D33D2"/>
    <w:rsid w:val="003D4ED2"/>
    <w:rsid w:val="003E0940"/>
    <w:rsid w:val="003E4896"/>
    <w:rsid w:val="003E744A"/>
    <w:rsid w:val="003F00BF"/>
    <w:rsid w:val="003F4156"/>
    <w:rsid w:val="003F5B3F"/>
    <w:rsid w:val="00410708"/>
    <w:rsid w:val="00410EC7"/>
    <w:rsid w:val="004133F0"/>
    <w:rsid w:val="00414476"/>
    <w:rsid w:val="00415397"/>
    <w:rsid w:val="00420B9F"/>
    <w:rsid w:val="00423D89"/>
    <w:rsid w:val="004319F8"/>
    <w:rsid w:val="00432802"/>
    <w:rsid w:val="00432A36"/>
    <w:rsid w:val="00433044"/>
    <w:rsid w:val="00435A0F"/>
    <w:rsid w:val="004443A7"/>
    <w:rsid w:val="004464EB"/>
    <w:rsid w:val="004476F5"/>
    <w:rsid w:val="00454ECB"/>
    <w:rsid w:val="004555C2"/>
    <w:rsid w:val="00455D45"/>
    <w:rsid w:val="00457E15"/>
    <w:rsid w:val="004612A9"/>
    <w:rsid w:val="00461CDB"/>
    <w:rsid w:val="00462820"/>
    <w:rsid w:val="00464595"/>
    <w:rsid w:val="004652E9"/>
    <w:rsid w:val="00465D71"/>
    <w:rsid w:val="00467B22"/>
    <w:rsid w:val="004729C3"/>
    <w:rsid w:val="00476EA1"/>
    <w:rsid w:val="0048163C"/>
    <w:rsid w:val="004839EB"/>
    <w:rsid w:val="004867E2"/>
    <w:rsid w:val="00486859"/>
    <w:rsid w:val="004903FD"/>
    <w:rsid w:val="00491B3A"/>
    <w:rsid w:val="00491BD0"/>
    <w:rsid w:val="00492CFD"/>
    <w:rsid w:val="00492E97"/>
    <w:rsid w:val="004962D2"/>
    <w:rsid w:val="00496439"/>
    <w:rsid w:val="004A0DA1"/>
    <w:rsid w:val="004A5B42"/>
    <w:rsid w:val="004A6404"/>
    <w:rsid w:val="004A6597"/>
    <w:rsid w:val="004A71B5"/>
    <w:rsid w:val="004B1CB4"/>
    <w:rsid w:val="004B2BAC"/>
    <w:rsid w:val="004B2F18"/>
    <w:rsid w:val="004B32C1"/>
    <w:rsid w:val="004B3DDB"/>
    <w:rsid w:val="004B44FD"/>
    <w:rsid w:val="004B48BE"/>
    <w:rsid w:val="004B5CFC"/>
    <w:rsid w:val="004B62AC"/>
    <w:rsid w:val="004B77E2"/>
    <w:rsid w:val="004C0937"/>
    <w:rsid w:val="004C4AED"/>
    <w:rsid w:val="004C4BD8"/>
    <w:rsid w:val="004C5FA6"/>
    <w:rsid w:val="004D2C7A"/>
    <w:rsid w:val="004D4A13"/>
    <w:rsid w:val="004D4AC7"/>
    <w:rsid w:val="004D53F5"/>
    <w:rsid w:val="004E0EB8"/>
    <w:rsid w:val="004E13A3"/>
    <w:rsid w:val="004E2ADC"/>
    <w:rsid w:val="004E43B2"/>
    <w:rsid w:val="004E5469"/>
    <w:rsid w:val="004F1D02"/>
    <w:rsid w:val="004F2679"/>
    <w:rsid w:val="004F35A9"/>
    <w:rsid w:val="004F4278"/>
    <w:rsid w:val="004F74BB"/>
    <w:rsid w:val="004F7865"/>
    <w:rsid w:val="00500754"/>
    <w:rsid w:val="005013C2"/>
    <w:rsid w:val="00505AEC"/>
    <w:rsid w:val="00506928"/>
    <w:rsid w:val="00506FC4"/>
    <w:rsid w:val="00507440"/>
    <w:rsid w:val="005152B5"/>
    <w:rsid w:val="005158DA"/>
    <w:rsid w:val="00516556"/>
    <w:rsid w:val="0052031D"/>
    <w:rsid w:val="00521319"/>
    <w:rsid w:val="00521AC1"/>
    <w:rsid w:val="00523C28"/>
    <w:rsid w:val="0052537D"/>
    <w:rsid w:val="005272A3"/>
    <w:rsid w:val="00530681"/>
    <w:rsid w:val="005356AD"/>
    <w:rsid w:val="005410B5"/>
    <w:rsid w:val="005411AD"/>
    <w:rsid w:val="005454B0"/>
    <w:rsid w:val="005457BA"/>
    <w:rsid w:val="00552BD3"/>
    <w:rsid w:val="00555109"/>
    <w:rsid w:val="00563A7D"/>
    <w:rsid w:val="00563EFD"/>
    <w:rsid w:val="0056423E"/>
    <w:rsid w:val="00565DEB"/>
    <w:rsid w:val="0056696F"/>
    <w:rsid w:val="00570A6F"/>
    <w:rsid w:val="00575D8D"/>
    <w:rsid w:val="00576972"/>
    <w:rsid w:val="00581A60"/>
    <w:rsid w:val="00581CD6"/>
    <w:rsid w:val="00582351"/>
    <w:rsid w:val="00583699"/>
    <w:rsid w:val="00585833"/>
    <w:rsid w:val="005869A0"/>
    <w:rsid w:val="00592ABA"/>
    <w:rsid w:val="00593713"/>
    <w:rsid w:val="00594B65"/>
    <w:rsid w:val="00594DD5"/>
    <w:rsid w:val="00596019"/>
    <w:rsid w:val="005A0E8B"/>
    <w:rsid w:val="005A1345"/>
    <w:rsid w:val="005A3414"/>
    <w:rsid w:val="005B24AF"/>
    <w:rsid w:val="005B377D"/>
    <w:rsid w:val="005B4B44"/>
    <w:rsid w:val="005B5638"/>
    <w:rsid w:val="005B5857"/>
    <w:rsid w:val="005B63E9"/>
    <w:rsid w:val="005B6D29"/>
    <w:rsid w:val="005C0A95"/>
    <w:rsid w:val="005C1B83"/>
    <w:rsid w:val="005C342D"/>
    <w:rsid w:val="005C346B"/>
    <w:rsid w:val="005C423F"/>
    <w:rsid w:val="005C5225"/>
    <w:rsid w:val="005C5605"/>
    <w:rsid w:val="005C566F"/>
    <w:rsid w:val="005C5F97"/>
    <w:rsid w:val="005D044D"/>
    <w:rsid w:val="005D18AD"/>
    <w:rsid w:val="005D21D2"/>
    <w:rsid w:val="005D3E3B"/>
    <w:rsid w:val="005D63C4"/>
    <w:rsid w:val="005E11CC"/>
    <w:rsid w:val="005E283A"/>
    <w:rsid w:val="005E3FE9"/>
    <w:rsid w:val="005E526D"/>
    <w:rsid w:val="005E6EF1"/>
    <w:rsid w:val="005E7166"/>
    <w:rsid w:val="005E73C0"/>
    <w:rsid w:val="005E7708"/>
    <w:rsid w:val="005F1B27"/>
    <w:rsid w:val="005F255A"/>
    <w:rsid w:val="005F2706"/>
    <w:rsid w:val="005F389D"/>
    <w:rsid w:val="005F4D9F"/>
    <w:rsid w:val="005F6A8F"/>
    <w:rsid w:val="005F7ECC"/>
    <w:rsid w:val="006051DB"/>
    <w:rsid w:val="00605C0D"/>
    <w:rsid w:val="00607669"/>
    <w:rsid w:val="00607CA9"/>
    <w:rsid w:val="00612646"/>
    <w:rsid w:val="00612F97"/>
    <w:rsid w:val="006135AC"/>
    <w:rsid w:val="00614985"/>
    <w:rsid w:val="006153B0"/>
    <w:rsid w:val="00616802"/>
    <w:rsid w:val="00616DB5"/>
    <w:rsid w:val="00617065"/>
    <w:rsid w:val="00617E12"/>
    <w:rsid w:val="0062003D"/>
    <w:rsid w:val="00621477"/>
    <w:rsid w:val="00622D8E"/>
    <w:rsid w:val="006265FF"/>
    <w:rsid w:val="00631D6B"/>
    <w:rsid w:val="00632E52"/>
    <w:rsid w:val="0063479F"/>
    <w:rsid w:val="006364A1"/>
    <w:rsid w:val="00636AFD"/>
    <w:rsid w:val="00637BFD"/>
    <w:rsid w:val="00644D10"/>
    <w:rsid w:val="006469DA"/>
    <w:rsid w:val="006471CC"/>
    <w:rsid w:val="00647645"/>
    <w:rsid w:val="00647D6B"/>
    <w:rsid w:val="006506B8"/>
    <w:rsid w:val="0065079F"/>
    <w:rsid w:val="00651011"/>
    <w:rsid w:val="006515DD"/>
    <w:rsid w:val="006530F7"/>
    <w:rsid w:val="0065325D"/>
    <w:rsid w:val="00653C33"/>
    <w:rsid w:val="00653DE6"/>
    <w:rsid w:val="00661601"/>
    <w:rsid w:val="00662A9E"/>
    <w:rsid w:val="006745B6"/>
    <w:rsid w:val="00674B3F"/>
    <w:rsid w:val="00674E42"/>
    <w:rsid w:val="006755A6"/>
    <w:rsid w:val="006762FB"/>
    <w:rsid w:val="00676564"/>
    <w:rsid w:val="00677A0C"/>
    <w:rsid w:val="00677BA3"/>
    <w:rsid w:val="00681467"/>
    <w:rsid w:val="00682112"/>
    <w:rsid w:val="006832BB"/>
    <w:rsid w:val="00683AD5"/>
    <w:rsid w:val="00683ED5"/>
    <w:rsid w:val="00685BF5"/>
    <w:rsid w:val="006872BA"/>
    <w:rsid w:val="00690863"/>
    <w:rsid w:val="006917D7"/>
    <w:rsid w:val="006919D6"/>
    <w:rsid w:val="0069388C"/>
    <w:rsid w:val="00694763"/>
    <w:rsid w:val="00694F44"/>
    <w:rsid w:val="00695B82"/>
    <w:rsid w:val="00695D08"/>
    <w:rsid w:val="00696012"/>
    <w:rsid w:val="00696673"/>
    <w:rsid w:val="006A157D"/>
    <w:rsid w:val="006A50B6"/>
    <w:rsid w:val="006A6132"/>
    <w:rsid w:val="006A687E"/>
    <w:rsid w:val="006A6FF2"/>
    <w:rsid w:val="006B12B9"/>
    <w:rsid w:val="006B12CC"/>
    <w:rsid w:val="006B156D"/>
    <w:rsid w:val="006B5F4A"/>
    <w:rsid w:val="006C2A8E"/>
    <w:rsid w:val="006C4F59"/>
    <w:rsid w:val="006C7842"/>
    <w:rsid w:val="006D2177"/>
    <w:rsid w:val="006D3539"/>
    <w:rsid w:val="006D3C7D"/>
    <w:rsid w:val="006D4136"/>
    <w:rsid w:val="006D55B9"/>
    <w:rsid w:val="006D5D5F"/>
    <w:rsid w:val="006D7818"/>
    <w:rsid w:val="006E7DEA"/>
    <w:rsid w:val="006E7FE8"/>
    <w:rsid w:val="006F02F5"/>
    <w:rsid w:val="006F0B3F"/>
    <w:rsid w:val="006F63A5"/>
    <w:rsid w:val="006F7678"/>
    <w:rsid w:val="00700428"/>
    <w:rsid w:val="0070276E"/>
    <w:rsid w:val="00702F8F"/>
    <w:rsid w:val="00710248"/>
    <w:rsid w:val="0071128B"/>
    <w:rsid w:val="00711A36"/>
    <w:rsid w:val="00712259"/>
    <w:rsid w:val="00712271"/>
    <w:rsid w:val="00714CEF"/>
    <w:rsid w:val="007154E7"/>
    <w:rsid w:val="00716213"/>
    <w:rsid w:val="00716559"/>
    <w:rsid w:val="00716DA4"/>
    <w:rsid w:val="007172AD"/>
    <w:rsid w:val="0071777B"/>
    <w:rsid w:val="00721DD8"/>
    <w:rsid w:val="0072416F"/>
    <w:rsid w:val="007249D1"/>
    <w:rsid w:val="00725E7B"/>
    <w:rsid w:val="00726321"/>
    <w:rsid w:val="0073042E"/>
    <w:rsid w:val="007329A1"/>
    <w:rsid w:val="00732E1D"/>
    <w:rsid w:val="00735328"/>
    <w:rsid w:val="00735A2F"/>
    <w:rsid w:val="0073685B"/>
    <w:rsid w:val="00742156"/>
    <w:rsid w:val="00743C19"/>
    <w:rsid w:val="00744009"/>
    <w:rsid w:val="00745E34"/>
    <w:rsid w:val="00746C8C"/>
    <w:rsid w:val="0074704C"/>
    <w:rsid w:val="007471E4"/>
    <w:rsid w:val="00755731"/>
    <w:rsid w:val="007568D0"/>
    <w:rsid w:val="00756FE9"/>
    <w:rsid w:val="00757956"/>
    <w:rsid w:val="00760D1C"/>
    <w:rsid w:val="00762E4E"/>
    <w:rsid w:val="00763775"/>
    <w:rsid w:val="0076551A"/>
    <w:rsid w:val="00765B3C"/>
    <w:rsid w:val="0076733A"/>
    <w:rsid w:val="00770DEA"/>
    <w:rsid w:val="007743D2"/>
    <w:rsid w:val="00775676"/>
    <w:rsid w:val="00775A05"/>
    <w:rsid w:val="00777F88"/>
    <w:rsid w:val="007829AE"/>
    <w:rsid w:val="00784D8A"/>
    <w:rsid w:val="00787EB6"/>
    <w:rsid w:val="00791E69"/>
    <w:rsid w:val="00792A81"/>
    <w:rsid w:val="00797302"/>
    <w:rsid w:val="007A0A12"/>
    <w:rsid w:val="007A524B"/>
    <w:rsid w:val="007B251D"/>
    <w:rsid w:val="007B2A07"/>
    <w:rsid w:val="007B2F98"/>
    <w:rsid w:val="007B3C91"/>
    <w:rsid w:val="007B77D1"/>
    <w:rsid w:val="007B7851"/>
    <w:rsid w:val="007C04BA"/>
    <w:rsid w:val="007C0860"/>
    <w:rsid w:val="007C1DE4"/>
    <w:rsid w:val="007C361D"/>
    <w:rsid w:val="007C4F31"/>
    <w:rsid w:val="007C6C7B"/>
    <w:rsid w:val="007C7320"/>
    <w:rsid w:val="007D0B38"/>
    <w:rsid w:val="007D1E1E"/>
    <w:rsid w:val="007D6770"/>
    <w:rsid w:val="007D79B4"/>
    <w:rsid w:val="007E2060"/>
    <w:rsid w:val="007E546F"/>
    <w:rsid w:val="007E7AF2"/>
    <w:rsid w:val="007F03E7"/>
    <w:rsid w:val="007F1017"/>
    <w:rsid w:val="007F280E"/>
    <w:rsid w:val="007F311F"/>
    <w:rsid w:val="007F4A3F"/>
    <w:rsid w:val="007F686A"/>
    <w:rsid w:val="007F7056"/>
    <w:rsid w:val="008010B8"/>
    <w:rsid w:val="0080494B"/>
    <w:rsid w:val="00805142"/>
    <w:rsid w:val="00805A84"/>
    <w:rsid w:val="00807A8B"/>
    <w:rsid w:val="00812149"/>
    <w:rsid w:val="008124A9"/>
    <w:rsid w:val="0081524F"/>
    <w:rsid w:val="008166EF"/>
    <w:rsid w:val="00816DEF"/>
    <w:rsid w:val="00817687"/>
    <w:rsid w:val="00820F56"/>
    <w:rsid w:val="008234A5"/>
    <w:rsid w:val="00823E48"/>
    <w:rsid w:val="008264EB"/>
    <w:rsid w:val="0082701C"/>
    <w:rsid w:val="00832A65"/>
    <w:rsid w:val="00833B05"/>
    <w:rsid w:val="00834B8F"/>
    <w:rsid w:val="00835717"/>
    <w:rsid w:val="00840CA2"/>
    <w:rsid w:val="00842E93"/>
    <w:rsid w:val="00843219"/>
    <w:rsid w:val="00850036"/>
    <w:rsid w:val="008541B2"/>
    <w:rsid w:val="00856E9A"/>
    <w:rsid w:val="008606C3"/>
    <w:rsid w:val="00862502"/>
    <w:rsid w:val="00862521"/>
    <w:rsid w:val="008626C8"/>
    <w:rsid w:val="00867632"/>
    <w:rsid w:val="008700B8"/>
    <w:rsid w:val="00870638"/>
    <w:rsid w:val="008721AD"/>
    <w:rsid w:val="0087488E"/>
    <w:rsid w:val="008753FD"/>
    <w:rsid w:val="00882874"/>
    <w:rsid w:val="00883787"/>
    <w:rsid w:val="00883A97"/>
    <w:rsid w:val="008840FE"/>
    <w:rsid w:val="00884188"/>
    <w:rsid w:val="00885080"/>
    <w:rsid w:val="00886158"/>
    <w:rsid w:val="00892C3C"/>
    <w:rsid w:val="00894489"/>
    <w:rsid w:val="008947A8"/>
    <w:rsid w:val="008962FD"/>
    <w:rsid w:val="008963A5"/>
    <w:rsid w:val="008A0B42"/>
    <w:rsid w:val="008A11C7"/>
    <w:rsid w:val="008A3C3E"/>
    <w:rsid w:val="008A407E"/>
    <w:rsid w:val="008A79DE"/>
    <w:rsid w:val="008B0C4F"/>
    <w:rsid w:val="008B22E6"/>
    <w:rsid w:val="008B6013"/>
    <w:rsid w:val="008B7D7E"/>
    <w:rsid w:val="008C0595"/>
    <w:rsid w:val="008C2DFA"/>
    <w:rsid w:val="008C6D92"/>
    <w:rsid w:val="008C7623"/>
    <w:rsid w:val="008C7ECB"/>
    <w:rsid w:val="008D0B55"/>
    <w:rsid w:val="008D2B27"/>
    <w:rsid w:val="008D2B58"/>
    <w:rsid w:val="008D3422"/>
    <w:rsid w:val="008D51C7"/>
    <w:rsid w:val="008E1B9E"/>
    <w:rsid w:val="008E3761"/>
    <w:rsid w:val="008E57C7"/>
    <w:rsid w:val="008E593E"/>
    <w:rsid w:val="008E6710"/>
    <w:rsid w:val="008E72FB"/>
    <w:rsid w:val="008F120A"/>
    <w:rsid w:val="008F15F7"/>
    <w:rsid w:val="008F2E86"/>
    <w:rsid w:val="008F39EA"/>
    <w:rsid w:val="008F48EB"/>
    <w:rsid w:val="008F4E5B"/>
    <w:rsid w:val="008F4F0B"/>
    <w:rsid w:val="008F71CF"/>
    <w:rsid w:val="008F7D71"/>
    <w:rsid w:val="00900DBD"/>
    <w:rsid w:val="00900E11"/>
    <w:rsid w:val="00902B86"/>
    <w:rsid w:val="009062A5"/>
    <w:rsid w:val="00911272"/>
    <w:rsid w:val="00911FE8"/>
    <w:rsid w:val="00913DA8"/>
    <w:rsid w:val="009152DB"/>
    <w:rsid w:val="00930B56"/>
    <w:rsid w:val="00930BB2"/>
    <w:rsid w:val="00931E7F"/>
    <w:rsid w:val="009329CB"/>
    <w:rsid w:val="00941D50"/>
    <w:rsid w:val="00946AFB"/>
    <w:rsid w:val="00952A1B"/>
    <w:rsid w:val="0095303B"/>
    <w:rsid w:val="00960FF7"/>
    <w:rsid w:val="00962CB9"/>
    <w:rsid w:val="00964312"/>
    <w:rsid w:val="00966877"/>
    <w:rsid w:val="009701EB"/>
    <w:rsid w:val="0097214E"/>
    <w:rsid w:val="009724F5"/>
    <w:rsid w:val="00974424"/>
    <w:rsid w:val="00981915"/>
    <w:rsid w:val="00982301"/>
    <w:rsid w:val="00983E57"/>
    <w:rsid w:val="009858C4"/>
    <w:rsid w:val="0099058A"/>
    <w:rsid w:val="009910B9"/>
    <w:rsid w:val="00991109"/>
    <w:rsid w:val="00991469"/>
    <w:rsid w:val="00996B1A"/>
    <w:rsid w:val="009A16C7"/>
    <w:rsid w:val="009B01E6"/>
    <w:rsid w:val="009B21D5"/>
    <w:rsid w:val="009B3E26"/>
    <w:rsid w:val="009B4F7A"/>
    <w:rsid w:val="009C1484"/>
    <w:rsid w:val="009C2080"/>
    <w:rsid w:val="009C72B2"/>
    <w:rsid w:val="009C762E"/>
    <w:rsid w:val="009D174D"/>
    <w:rsid w:val="009D1E8F"/>
    <w:rsid w:val="009D1F6B"/>
    <w:rsid w:val="009D2C3C"/>
    <w:rsid w:val="009D3A10"/>
    <w:rsid w:val="009D43D8"/>
    <w:rsid w:val="009D5B91"/>
    <w:rsid w:val="009D6B89"/>
    <w:rsid w:val="009D7C18"/>
    <w:rsid w:val="009D7F12"/>
    <w:rsid w:val="009E0729"/>
    <w:rsid w:val="009E4C07"/>
    <w:rsid w:val="009E765E"/>
    <w:rsid w:val="009F6938"/>
    <w:rsid w:val="009F77B5"/>
    <w:rsid w:val="00A003CA"/>
    <w:rsid w:val="00A03D43"/>
    <w:rsid w:val="00A04380"/>
    <w:rsid w:val="00A04D83"/>
    <w:rsid w:val="00A04DEB"/>
    <w:rsid w:val="00A05A2B"/>
    <w:rsid w:val="00A13948"/>
    <w:rsid w:val="00A14C8C"/>
    <w:rsid w:val="00A152E1"/>
    <w:rsid w:val="00A155F7"/>
    <w:rsid w:val="00A157A7"/>
    <w:rsid w:val="00A170E2"/>
    <w:rsid w:val="00A1769D"/>
    <w:rsid w:val="00A2579C"/>
    <w:rsid w:val="00A25945"/>
    <w:rsid w:val="00A262DA"/>
    <w:rsid w:val="00A27AEC"/>
    <w:rsid w:val="00A34662"/>
    <w:rsid w:val="00A35D16"/>
    <w:rsid w:val="00A373A8"/>
    <w:rsid w:val="00A40CD5"/>
    <w:rsid w:val="00A40E8F"/>
    <w:rsid w:val="00A41151"/>
    <w:rsid w:val="00A43BC5"/>
    <w:rsid w:val="00A43C59"/>
    <w:rsid w:val="00A446E1"/>
    <w:rsid w:val="00A4535C"/>
    <w:rsid w:val="00A46130"/>
    <w:rsid w:val="00A470F6"/>
    <w:rsid w:val="00A50ECD"/>
    <w:rsid w:val="00A52186"/>
    <w:rsid w:val="00A52729"/>
    <w:rsid w:val="00A53675"/>
    <w:rsid w:val="00A56B6A"/>
    <w:rsid w:val="00A578DC"/>
    <w:rsid w:val="00A60F0D"/>
    <w:rsid w:val="00A62A66"/>
    <w:rsid w:val="00A631A9"/>
    <w:rsid w:val="00A636E9"/>
    <w:rsid w:val="00A64BA6"/>
    <w:rsid w:val="00A65122"/>
    <w:rsid w:val="00A6725B"/>
    <w:rsid w:val="00A76AD2"/>
    <w:rsid w:val="00A77184"/>
    <w:rsid w:val="00A825E4"/>
    <w:rsid w:val="00A827B2"/>
    <w:rsid w:val="00A8333A"/>
    <w:rsid w:val="00A846E8"/>
    <w:rsid w:val="00A86E8B"/>
    <w:rsid w:val="00A9064B"/>
    <w:rsid w:val="00A92AAD"/>
    <w:rsid w:val="00A93072"/>
    <w:rsid w:val="00A959D8"/>
    <w:rsid w:val="00A97245"/>
    <w:rsid w:val="00AA330A"/>
    <w:rsid w:val="00AA5844"/>
    <w:rsid w:val="00AB001D"/>
    <w:rsid w:val="00AB042A"/>
    <w:rsid w:val="00AB04C9"/>
    <w:rsid w:val="00AB2D34"/>
    <w:rsid w:val="00AB3430"/>
    <w:rsid w:val="00AB7CFA"/>
    <w:rsid w:val="00AC22E2"/>
    <w:rsid w:val="00AC2370"/>
    <w:rsid w:val="00AC47D0"/>
    <w:rsid w:val="00AC6A66"/>
    <w:rsid w:val="00AC6B00"/>
    <w:rsid w:val="00AC780D"/>
    <w:rsid w:val="00AD207E"/>
    <w:rsid w:val="00AD208D"/>
    <w:rsid w:val="00AD3D3F"/>
    <w:rsid w:val="00AD50E2"/>
    <w:rsid w:val="00AD69CA"/>
    <w:rsid w:val="00AD6FB2"/>
    <w:rsid w:val="00AD73C2"/>
    <w:rsid w:val="00AE0FAE"/>
    <w:rsid w:val="00AE1BDB"/>
    <w:rsid w:val="00AE2999"/>
    <w:rsid w:val="00AE3713"/>
    <w:rsid w:val="00AE3EBC"/>
    <w:rsid w:val="00AE4190"/>
    <w:rsid w:val="00AE59A1"/>
    <w:rsid w:val="00AE66E0"/>
    <w:rsid w:val="00AE6733"/>
    <w:rsid w:val="00AE69CF"/>
    <w:rsid w:val="00AE7203"/>
    <w:rsid w:val="00AF1B63"/>
    <w:rsid w:val="00AF3193"/>
    <w:rsid w:val="00AF347E"/>
    <w:rsid w:val="00AF43F2"/>
    <w:rsid w:val="00AF593C"/>
    <w:rsid w:val="00B0254C"/>
    <w:rsid w:val="00B03B5D"/>
    <w:rsid w:val="00B10FFC"/>
    <w:rsid w:val="00B11DC8"/>
    <w:rsid w:val="00B12FD9"/>
    <w:rsid w:val="00B13644"/>
    <w:rsid w:val="00B1463C"/>
    <w:rsid w:val="00B2167E"/>
    <w:rsid w:val="00B2568C"/>
    <w:rsid w:val="00B2690F"/>
    <w:rsid w:val="00B31402"/>
    <w:rsid w:val="00B324D2"/>
    <w:rsid w:val="00B32D72"/>
    <w:rsid w:val="00B32DE0"/>
    <w:rsid w:val="00B33999"/>
    <w:rsid w:val="00B33A6A"/>
    <w:rsid w:val="00B34AD0"/>
    <w:rsid w:val="00B42851"/>
    <w:rsid w:val="00B42E23"/>
    <w:rsid w:val="00B47136"/>
    <w:rsid w:val="00B50DB8"/>
    <w:rsid w:val="00B51BCA"/>
    <w:rsid w:val="00B538B7"/>
    <w:rsid w:val="00B53905"/>
    <w:rsid w:val="00B54984"/>
    <w:rsid w:val="00B54B5B"/>
    <w:rsid w:val="00B55295"/>
    <w:rsid w:val="00B5562E"/>
    <w:rsid w:val="00B55707"/>
    <w:rsid w:val="00B57000"/>
    <w:rsid w:val="00B60939"/>
    <w:rsid w:val="00B60AFD"/>
    <w:rsid w:val="00B62715"/>
    <w:rsid w:val="00B63CFA"/>
    <w:rsid w:val="00B66436"/>
    <w:rsid w:val="00B71086"/>
    <w:rsid w:val="00B71F19"/>
    <w:rsid w:val="00B723CA"/>
    <w:rsid w:val="00B72BD6"/>
    <w:rsid w:val="00B750F8"/>
    <w:rsid w:val="00B77ED1"/>
    <w:rsid w:val="00B77F9B"/>
    <w:rsid w:val="00B818A4"/>
    <w:rsid w:val="00B819C9"/>
    <w:rsid w:val="00B820BD"/>
    <w:rsid w:val="00B84B9A"/>
    <w:rsid w:val="00B8649C"/>
    <w:rsid w:val="00B913E2"/>
    <w:rsid w:val="00B92D0B"/>
    <w:rsid w:val="00B94945"/>
    <w:rsid w:val="00B94E07"/>
    <w:rsid w:val="00B95FDC"/>
    <w:rsid w:val="00B97BB2"/>
    <w:rsid w:val="00BA257F"/>
    <w:rsid w:val="00BA376B"/>
    <w:rsid w:val="00BB0250"/>
    <w:rsid w:val="00BB7405"/>
    <w:rsid w:val="00BB7DA5"/>
    <w:rsid w:val="00BC2D7F"/>
    <w:rsid w:val="00BC4842"/>
    <w:rsid w:val="00BD5B62"/>
    <w:rsid w:val="00BD6CF3"/>
    <w:rsid w:val="00BE0263"/>
    <w:rsid w:val="00BE0E43"/>
    <w:rsid w:val="00BE2180"/>
    <w:rsid w:val="00BE3B76"/>
    <w:rsid w:val="00BE4275"/>
    <w:rsid w:val="00BE5E92"/>
    <w:rsid w:val="00BE7D63"/>
    <w:rsid w:val="00BF039C"/>
    <w:rsid w:val="00BF05F4"/>
    <w:rsid w:val="00BF2433"/>
    <w:rsid w:val="00BF497A"/>
    <w:rsid w:val="00BF61C9"/>
    <w:rsid w:val="00BF76E6"/>
    <w:rsid w:val="00C00A25"/>
    <w:rsid w:val="00C028DC"/>
    <w:rsid w:val="00C12071"/>
    <w:rsid w:val="00C12191"/>
    <w:rsid w:val="00C14452"/>
    <w:rsid w:val="00C1482C"/>
    <w:rsid w:val="00C214B6"/>
    <w:rsid w:val="00C25418"/>
    <w:rsid w:val="00C25D9C"/>
    <w:rsid w:val="00C2645E"/>
    <w:rsid w:val="00C267F1"/>
    <w:rsid w:val="00C27E85"/>
    <w:rsid w:val="00C313FE"/>
    <w:rsid w:val="00C31649"/>
    <w:rsid w:val="00C3335D"/>
    <w:rsid w:val="00C37644"/>
    <w:rsid w:val="00C40385"/>
    <w:rsid w:val="00C40CAB"/>
    <w:rsid w:val="00C50EDB"/>
    <w:rsid w:val="00C56992"/>
    <w:rsid w:val="00C61852"/>
    <w:rsid w:val="00C635A8"/>
    <w:rsid w:val="00C64698"/>
    <w:rsid w:val="00C65576"/>
    <w:rsid w:val="00C66165"/>
    <w:rsid w:val="00C661D4"/>
    <w:rsid w:val="00C71C15"/>
    <w:rsid w:val="00C7295E"/>
    <w:rsid w:val="00C74A6F"/>
    <w:rsid w:val="00C750C8"/>
    <w:rsid w:val="00C751E3"/>
    <w:rsid w:val="00C75535"/>
    <w:rsid w:val="00C8173F"/>
    <w:rsid w:val="00C8213F"/>
    <w:rsid w:val="00C83857"/>
    <w:rsid w:val="00C84B04"/>
    <w:rsid w:val="00C84C9A"/>
    <w:rsid w:val="00C8797A"/>
    <w:rsid w:val="00C87DA8"/>
    <w:rsid w:val="00C90FA3"/>
    <w:rsid w:val="00C920E7"/>
    <w:rsid w:val="00C938CF"/>
    <w:rsid w:val="00C93E34"/>
    <w:rsid w:val="00C953D0"/>
    <w:rsid w:val="00CA1E5B"/>
    <w:rsid w:val="00CA2840"/>
    <w:rsid w:val="00CA5112"/>
    <w:rsid w:val="00CA5245"/>
    <w:rsid w:val="00CA5831"/>
    <w:rsid w:val="00CA7B09"/>
    <w:rsid w:val="00CB1772"/>
    <w:rsid w:val="00CB181B"/>
    <w:rsid w:val="00CB29F7"/>
    <w:rsid w:val="00CB2EBE"/>
    <w:rsid w:val="00CB4F76"/>
    <w:rsid w:val="00CB530F"/>
    <w:rsid w:val="00CB5B1A"/>
    <w:rsid w:val="00CB6C17"/>
    <w:rsid w:val="00CB777B"/>
    <w:rsid w:val="00CC11A2"/>
    <w:rsid w:val="00CC2E71"/>
    <w:rsid w:val="00CC4F62"/>
    <w:rsid w:val="00CC5069"/>
    <w:rsid w:val="00CC79A2"/>
    <w:rsid w:val="00CC7CEE"/>
    <w:rsid w:val="00CD16AC"/>
    <w:rsid w:val="00CD4C0B"/>
    <w:rsid w:val="00CD6ADC"/>
    <w:rsid w:val="00CD7069"/>
    <w:rsid w:val="00CE2BEA"/>
    <w:rsid w:val="00CE4509"/>
    <w:rsid w:val="00CE6274"/>
    <w:rsid w:val="00CE704A"/>
    <w:rsid w:val="00CE78DC"/>
    <w:rsid w:val="00CF2AE0"/>
    <w:rsid w:val="00CF456B"/>
    <w:rsid w:val="00CF4DA7"/>
    <w:rsid w:val="00CF5A22"/>
    <w:rsid w:val="00D0157A"/>
    <w:rsid w:val="00D016FC"/>
    <w:rsid w:val="00D023E5"/>
    <w:rsid w:val="00D0262E"/>
    <w:rsid w:val="00D04080"/>
    <w:rsid w:val="00D0441B"/>
    <w:rsid w:val="00D07E50"/>
    <w:rsid w:val="00D110BD"/>
    <w:rsid w:val="00D11544"/>
    <w:rsid w:val="00D1364B"/>
    <w:rsid w:val="00D15309"/>
    <w:rsid w:val="00D15AB9"/>
    <w:rsid w:val="00D17B87"/>
    <w:rsid w:val="00D17D6C"/>
    <w:rsid w:val="00D21587"/>
    <w:rsid w:val="00D25DD5"/>
    <w:rsid w:val="00D262B7"/>
    <w:rsid w:val="00D265B2"/>
    <w:rsid w:val="00D26764"/>
    <w:rsid w:val="00D351EB"/>
    <w:rsid w:val="00D357FF"/>
    <w:rsid w:val="00D36E4A"/>
    <w:rsid w:val="00D41318"/>
    <w:rsid w:val="00D43700"/>
    <w:rsid w:val="00D45E25"/>
    <w:rsid w:val="00D4601B"/>
    <w:rsid w:val="00D47AC9"/>
    <w:rsid w:val="00D47B3C"/>
    <w:rsid w:val="00D51C02"/>
    <w:rsid w:val="00D55FF1"/>
    <w:rsid w:val="00D61BF3"/>
    <w:rsid w:val="00D62AD4"/>
    <w:rsid w:val="00D6336A"/>
    <w:rsid w:val="00D63C8D"/>
    <w:rsid w:val="00D718CB"/>
    <w:rsid w:val="00D72434"/>
    <w:rsid w:val="00D73D10"/>
    <w:rsid w:val="00D764A7"/>
    <w:rsid w:val="00D76A44"/>
    <w:rsid w:val="00D81127"/>
    <w:rsid w:val="00D83969"/>
    <w:rsid w:val="00D848FB"/>
    <w:rsid w:val="00D86F25"/>
    <w:rsid w:val="00D8725A"/>
    <w:rsid w:val="00D93302"/>
    <w:rsid w:val="00D93753"/>
    <w:rsid w:val="00D95212"/>
    <w:rsid w:val="00D957D6"/>
    <w:rsid w:val="00D95C67"/>
    <w:rsid w:val="00D96577"/>
    <w:rsid w:val="00D96F2D"/>
    <w:rsid w:val="00DA45E4"/>
    <w:rsid w:val="00DA54BF"/>
    <w:rsid w:val="00DA77A5"/>
    <w:rsid w:val="00DA7928"/>
    <w:rsid w:val="00DB06D6"/>
    <w:rsid w:val="00DB1294"/>
    <w:rsid w:val="00DB29BD"/>
    <w:rsid w:val="00DB4B4F"/>
    <w:rsid w:val="00DB5B18"/>
    <w:rsid w:val="00DB5ED5"/>
    <w:rsid w:val="00DB707C"/>
    <w:rsid w:val="00DC0380"/>
    <w:rsid w:val="00DC047E"/>
    <w:rsid w:val="00DC3372"/>
    <w:rsid w:val="00DC5169"/>
    <w:rsid w:val="00DC5501"/>
    <w:rsid w:val="00DC5B53"/>
    <w:rsid w:val="00DD178C"/>
    <w:rsid w:val="00DD3716"/>
    <w:rsid w:val="00DD3F28"/>
    <w:rsid w:val="00DD4047"/>
    <w:rsid w:val="00DD4537"/>
    <w:rsid w:val="00DD4E15"/>
    <w:rsid w:val="00DD5118"/>
    <w:rsid w:val="00DD518B"/>
    <w:rsid w:val="00DD7037"/>
    <w:rsid w:val="00DE4FCB"/>
    <w:rsid w:val="00DE5090"/>
    <w:rsid w:val="00DE6B0A"/>
    <w:rsid w:val="00DE7D75"/>
    <w:rsid w:val="00DF0332"/>
    <w:rsid w:val="00DF3677"/>
    <w:rsid w:val="00DF5D2B"/>
    <w:rsid w:val="00DF6122"/>
    <w:rsid w:val="00DF79C3"/>
    <w:rsid w:val="00E0062C"/>
    <w:rsid w:val="00E00AE1"/>
    <w:rsid w:val="00E06740"/>
    <w:rsid w:val="00E0760B"/>
    <w:rsid w:val="00E07F86"/>
    <w:rsid w:val="00E10149"/>
    <w:rsid w:val="00E1177A"/>
    <w:rsid w:val="00E136A8"/>
    <w:rsid w:val="00E14B45"/>
    <w:rsid w:val="00E16372"/>
    <w:rsid w:val="00E17C6E"/>
    <w:rsid w:val="00E20CD3"/>
    <w:rsid w:val="00E20ED6"/>
    <w:rsid w:val="00E21358"/>
    <w:rsid w:val="00E2249B"/>
    <w:rsid w:val="00E22A0D"/>
    <w:rsid w:val="00E24265"/>
    <w:rsid w:val="00E24AAB"/>
    <w:rsid w:val="00E25232"/>
    <w:rsid w:val="00E2671B"/>
    <w:rsid w:val="00E2771E"/>
    <w:rsid w:val="00E279FC"/>
    <w:rsid w:val="00E37569"/>
    <w:rsid w:val="00E41E30"/>
    <w:rsid w:val="00E43D70"/>
    <w:rsid w:val="00E44F50"/>
    <w:rsid w:val="00E47B2C"/>
    <w:rsid w:val="00E51560"/>
    <w:rsid w:val="00E52268"/>
    <w:rsid w:val="00E52938"/>
    <w:rsid w:val="00E53A0E"/>
    <w:rsid w:val="00E53B19"/>
    <w:rsid w:val="00E55424"/>
    <w:rsid w:val="00E55BB5"/>
    <w:rsid w:val="00E60E27"/>
    <w:rsid w:val="00E61B43"/>
    <w:rsid w:val="00E61C3D"/>
    <w:rsid w:val="00E631C1"/>
    <w:rsid w:val="00E63F44"/>
    <w:rsid w:val="00E65E79"/>
    <w:rsid w:val="00E67041"/>
    <w:rsid w:val="00E67416"/>
    <w:rsid w:val="00E718B6"/>
    <w:rsid w:val="00E73581"/>
    <w:rsid w:val="00E7494D"/>
    <w:rsid w:val="00E8181F"/>
    <w:rsid w:val="00E82C94"/>
    <w:rsid w:val="00E83BA7"/>
    <w:rsid w:val="00E83BDF"/>
    <w:rsid w:val="00E85008"/>
    <w:rsid w:val="00E9030B"/>
    <w:rsid w:val="00E90AF7"/>
    <w:rsid w:val="00E926B1"/>
    <w:rsid w:val="00E94575"/>
    <w:rsid w:val="00E9662E"/>
    <w:rsid w:val="00E97B31"/>
    <w:rsid w:val="00E97F99"/>
    <w:rsid w:val="00EA3864"/>
    <w:rsid w:val="00EA6D0A"/>
    <w:rsid w:val="00EA776D"/>
    <w:rsid w:val="00EB0380"/>
    <w:rsid w:val="00EB0385"/>
    <w:rsid w:val="00EB15B6"/>
    <w:rsid w:val="00EB2D47"/>
    <w:rsid w:val="00EB2E88"/>
    <w:rsid w:val="00EB4916"/>
    <w:rsid w:val="00EB7373"/>
    <w:rsid w:val="00EC00C9"/>
    <w:rsid w:val="00EC21B8"/>
    <w:rsid w:val="00EC45E0"/>
    <w:rsid w:val="00EC62C1"/>
    <w:rsid w:val="00EC63E9"/>
    <w:rsid w:val="00ED04EF"/>
    <w:rsid w:val="00ED0832"/>
    <w:rsid w:val="00ED1BAE"/>
    <w:rsid w:val="00ED2074"/>
    <w:rsid w:val="00EE03AF"/>
    <w:rsid w:val="00EE07D3"/>
    <w:rsid w:val="00EE13D8"/>
    <w:rsid w:val="00EE16B5"/>
    <w:rsid w:val="00EE183A"/>
    <w:rsid w:val="00EE5A46"/>
    <w:rsid w:val="00EE5DA0"/>
    <w:rsid w:val="00EE7623"/>
    <w:rsid w:val="00EF4476"/>
    <w:rsid w:val="00EF4591"/>
    <w:rsid w:val="00EF4F32"/>
    <w:rsid w:val="00EF6DAD"/>
    <w:rsid w:val="00EF7F2E"/>
    <w:rsid w:val="00F01DB2"/>
    <w:rsid w:val="00F01F23"/>
    <w:rsid w:val="00F04DB1"/>
    <w:rsid w:val="00F05FD2"/>
    <w:rsid w:val="00F067A2"/>
    <w:rsid w:val="00F078E3"/>
    <w:rsid w:val="00F1125C"/>
    <w:rsid w:val="00F11D57"/>
    <w:rsid w:val="00F12645"/>
    <w:rsid w:val="00F17306"/>
    <w:rsid w:val="00F21FC8"/>
    <w:rsid w:val="00F2204E"/>
    <w:rsid w:val="00F240D2"/>
    <w:rsid w:val="00F242AD"/>
    <w:rsid w:val="00F2465D"/>
    <w:rsid w:val="00F24837"/>
    <w:rsid w:val="00F2575F"/>
    <w:rsid w:val="00F26E25"/>
    <w:rsid w:val="00F33D26"/>
    <w:rsid w:val="00F33DE9"/>
    <w:rsid w:val="00F3619A"/>
    <w:rsid w:val="00F37B62"/>
    <w:rsid w:val="00F40C9D"/>
    <w:rsid w:val="00F4600D"/>
    <w:rsid w:val="00F46CB6"/>
    <w:rsid w:val="00F47883"/>
    <w:rsid w:val="00F505A8"/>
    <w:rsid w:val="00F55053"/>
    <w:rsid w:val="00F551C4"/>
    <w:rsid w:val="00F55E73"/>
    <w:rsid w:val="00F60092"/>
    <w:rsid w:val="00F66CFF"/>
    <w:rsid w:val="00F71D3C"/>
    <w:rsid w:val="00F72441"/>
    <w:rsid w:val="00F73431"/>
    <w:rsid w:val="00F778E1"/>
    <w:rsid w:val="00F80246"/>
    <w:rsid w:val="00F8086A"/>
    <w:rsid w:val="00F80E5D"/>
    <w:rsid w:val="00F82184"/>
    <w:rsid w:val="00F82B88"/>
    <w:rsid w:val="00F851CE"/>
    <w:rsid w:val="00F87CBE"/>
    <w:rsid w:val="00F91C06"/>
    <w:rsid w:val="00F95749"/>
    <w:rsid w:val="00F9613D"/>
    <w:rsid w:val="00F96970"/>
    <w:rsid w:val="00F97A78"/>
    <w:rsid w:val="00FA24E7"/>
    <w:rsid w:val="00FA6660"/>
    <w:rsid w:val="00FA7C2F"/>
    <w:rsid w:val="00FB150C"/>
    <w:rsid w:val="00FB2FCB"/>
    <w:rsid w:val="00FB3523"/>
    <w:rsid w:val="00FB3E7F"/>
    <w:rsid w:val="00FB42E9"/>
    <w:rsid w:val="00FC00DE"/>
    <w:rsid w:val="00FC1074"/>
    <w:rsid w:val="00FC1884"/>
    <w:rsid w:val="00FC2375"/>
    <w:rsid w:val="00FC2883"/>
    <w:rsid w:val="00FC2A14"/>
    <w:rsid w:val="00FC3B53"/>
    <w:rsid w:val="00FC5492"/>
    <w:rsid w:val="00FC5D06"/>
    <w:rsid w:val="00FD2100"/>
    <w:rsid w:val="00FD2E8F"/>
    <w:rsid w:val="00FD3B25"/>
    <w:rsid w:val="00FD446D"/>
    <w:rsid w:val="00FE0F33"/>
    <w:rsid w:val="00FE1703"/>
    <w:rsid w:val="00FE24AC"/>
    <w:rsid w:val="00FE2AFB"/>
    <w:rsid w:val="00FE4B88"/>
    <w:rsid w:val="00FE6F90"/>
    <w:rsid w:val="00FE7C2A"/>
    <w:rsid w:val="00FF3DCF"/>
    <w:rsid w:val="00FF4039"/>
    <w:rsid w:val="00FF43DB"/>
    <w:rsid w:val="00FF4620"/>
    <w:rsid w:val="00FF58D9"/>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SR Caption,Char,Caption-FUSA,Bayer Caption Char Char Char Char,Bayer Caption Char,Bayer Caption Char Char Char,Bayer Caption Char Char,Bayer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Char Char,Caption-FUSA Char,Bayer Caption Char Char Char Char Char,Bayer Caption Char Char1,Bayer Caption Char Char Char Char1,Bayer Caption Char Char Char1,Bayer Caption Char1"/>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COMBody">
    <w:name w:val="COMBody"/>
    <w:basedOn w:val="Normal"/>
    <w:link w:val="COMBodyChar"/>
    <w:qFormat/>
    <w:rsid w:val="00695D08"/>
  </w:style>
  <w:style w:type="character" w:customStyle="1" w:styleId="COMBodyChar">
    <w:name w:val="COMBody Char"/>
    <w:basedOn w:val="DefaultParagraphFont"/>
    <w:link w:val="COMBody"/>
    <w:rsid w:val="00695D08"/>
    <w:rPr>
      <w:rFonts w:ascii="Arial" w:hAnsi="Arial" w:cs="Arial"/>
      <w:snapToGrid w:val="0"/>
      <w:sz w:val="22"/>
      <w:lang w:eastAsia="en-US"/>
    </w:rPr>
  </w:style>
  <w:style w:type="paragraph" w:customStyle="1" w:styleId="COMtbl-HEADLeftAligned">
    <w:name w:val="COMtbl-HEAD Left Aligned"/>
    <w:basedOn w:val="Normal"/>
    <w:qFormat/>
    <w:rsid w:val="00E7494D"/>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E7494D"/>
    <w:pPr>
      <w:jc w:val="center"/>
    </w:pPr>
  </w:style>
  <w:style w:type="paragraph" w:customStyle="1" w:styleId="COMTbl-foot">
    <w:name w:val="COMTbl-foot"/>
    <w:basedOn w:val="TableFooter"/>
    <w:link w:val="COMTbl-footChar"/>
    <w:qFormat/>
    <w:rsid w:val="00E7494D"/>
    <w:rPr>
      <w:rFonts w:ascii="Arial" w:hAnsi="Arial"/>
    </w:rPr>
  </w:style>
  <w:style w:type="character" w:customStyle="1" w:styleId="COMTbl-footChar">
    <w:name w:val="COMTbl-foot Char"/>
    <w:basedOn w:val="DefaultParagraphFont"/>
    <w:link w:val="COMTbl-foot"/>
    <w:rsid w:val="00E7494D"/>
    <w:rPr>
      <w:rFonts w:ascii="Arial" w:hAnsi="Arial" w:cs="Arial"/>
      <w:snapToGrid w:val="0"/>
      <w:sz w:val="18"/>
      <w:lang w:eastAsia="en-US"/>
    </w:rPr>
  </w:style>
  <w:style w:type="paragraph" w:customStyle="1" w:styleId="COMtbl-textLeftAligned">
    <w:name w:val="COMtbl-text Left Aligned"/>
    <w:basedOn w:val="COMtbl-HEADLeftAligned"/>
    <w:qFormat/>
    <w:rsid w:val="00E7494D"/>
    <w:rPr>
      <w:b w:val="0"/>
    </w:rPr>
  </w:style>
  <w:style w:type="paragraph" w:customStyle="1" w:styleId="COMtbl-textCentred">
    <w:name w:val="COMtbl-text Centred"/>
    <w:basedOn w:val="COMtbl-HEADCentred"/>
    <w:qFormat/>
    <w:rsid w:val="00E7494D"/>
    <w:rPr>
      <w:b w:val="0"/>
    </w:rPr>
  </w:style>
  <w:style w:type="paragraph" w:customStyle="1" w:styleId="TableBullets">
    <w:name w:val="Table Bullets"/>
    <w:basedOn w:val="Normal"/>
    <w:uiPriority w:val="5"/>
    <w:qFormat/>
    <w:rsid w:val="002024CB"/>
    <w:pPr>
      <w:widowControl/>
      <w:numPr>
        <w:numId w:val="2"/>
      </w:numP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2024CB"/>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024CB"/>
    <w:rPr>
      <w:rFonts w:ascii="Candara" w:eastAsiaTheme="majorEastAsia" w:hAnsi="Candara" w:cstheme="majorBidi"/>
      <w:szCs w:val="22"/>
      <w:lang w:eastAsia="en-US" w:bidi="en-US"/>
    </w:rPr>
  </w:style>
  <w:style w:type="paragraph" w:customStyle="1" w:styleId="TableBodyText">
    <w:name w:val="Table Body Text"/>
    <w:basedOn w:val="BodyText"/>
    <w:link w:val="TableBodyTextChar"/>
    <w:qFormat/>
    <w:rsid w:val="00612646"/>
    <w:pPr>
      <w:spacing w:before="40" w:after="40"/>
    </w:pPr>
    <w:rPr>
      <w:rFonts w:ascii="Arial Narrow" w:hAnsi="Arial Narrow"/>
      <w:snapToGrid/>
      <w:lang w:val="en-GB"/>
    </w:rPr>
  </w:style>
  <w:style w:type="character" w:customStyle="1" w:styleId="TableBodyTextChar">
    <w:name w:val="Table Body Text Char"/>
    <w:basedOn w:val="BodyTextChar"/>
    <w:link w:val="TableBodyText"/>
    <w:rsid w:val="00612646"/>
    <w:rPr>
      <w:rFonts w:ascii="Arial Narrow" w:hAnsi="Arial Narrow" w:cs="Arial"/>
      <w:snapToGrid/>
      <w:sz w:val="22"/>
      <w:lang w:val="en-GB" w:eastAsia="en-US"/>
    </w:rPr>
  </w:style>
  <w:style w:type="paragraph" w:customStyle="1" w:styleId="Tablefootnote">
    <w:name w:val="Table footnote"/>
    <w:basedOn w:val="Normal"/>
    <w:link w:val="TablefootnoteChar"/>
    <w:qFormat/>
    <w:rsid w:val="00612646"/>
    <w:pPr>
      <w:widowControl/>
      <w:autoSpaceDE w:val="0"/>
      <w:autoSpaceDN w:val="0"/>
      <w:adjustRightInd w:val="0"/>
      <w:spacing w:before="40" w:after="40"/>
      <w:jc w:val="left"/>
    </w:pPr>
    <w:rPr>
      <w:rFonts w:ascii="Arial Narrow" w:hAnsi="Arial Narrow" w:cs="Times New Roman"/>
      <w:snapToGrid/>
      <w:sz w:val="18"/>
      <w:szCs w:val="18"/>
      <w:lang w:eastAsia="en-AU"/>
    </w:rPr>
  </w:style>
  <w:style w:type="character" w:customStyle="1" w:styleId="TablefootnoteChar">
    <w:name w:val="Table footnote Char"/>
    <w:basedOn w:val="DefaultParagraphFont"/>
    <w:link w:val="Tablefootnote"/>
    <w:rsid w:val="00612646"/>
    <w:rPr>
      <w:rFonts w:ascii="Arial Narrow" w:hAnsi="Arial Narrow"/>
      <w:sz w:val="18"/>
      <w:szCs w:val="18"/>
    </w:rPr>
  </w:style>
  <w:style w:type="paragraph" w:customStyle="1" w:styleId="PBSnormal">
    <w:name w:val="PBS normal"/>
    <w:basedOn w:val="Normal"/>
    <w:link w:val="PBSnormalChar"/>
    <w:qFormat/>
    <w:rsid w:val="00AE66E0"/>
    <w:pPr>
      <w:widowControl/>
      <w:spacing w:before="120" w:after="240" w:line="360" w:lineRule="auto"/>
    </w:pPr>
    <w:rPr>
      <w:snapToGrid/>
      <w:lang w:eastAsia="en-AU"/>
    </w:rPr>
  </w:style>
  <w:style w:type="character" w:customStyle="1" w:styleId="PBSnormalChar">
    <w:name w:val="PBS normal Char"/>
    <w:basedOn w:val="DefaultParagraphFont"/>
    <w:link w:val="PBSnormal"/>
    <w:rsid w:val="00AE66E0"/>
    <w:rPr>
      <w:rFonts w:ascii="Arial" w:hAnsi="Arial" w:cs="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32807"/>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A40E8F"/>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SR Caption,Char,Caption-FUSA,Bayer Caption Char Char Char Char,Bayer Caption Char,Bayer Caption Char Char Char,Bayer Caption Char Char,Bayer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SR Caption Char,Char Char,Caption-FUSA Char,Bayer Caption Char Char Char Char Char,Bayer Caption Char Char1,Bayer Caption Char Char Char Char1,Bayer Caption Char Char Char1,Bayer Caption Char1"/>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COMBody">
    <w:name w:val="COMBody"/>
    <w:basedOn w:val="Normal"/>
    <w:link w:val="COMBodyChar"/>
    <w:qFormat/>
    <w:rsid w:val="00695D08"/>
  </w:style>
  <w:style w:type="character" w:customStyle="1" w:styleId="COMBodyChar">
    <w:name w:val="COMBody Char"/>
    <w:basedOn w:val="DefaultParagraphFont"/>
    <w:link w:val="COMBody"/>
    <w:rsid w:val="00695D08"/>
    <w:rPr>
      <w:rFonts w:ascii="Arial" w:hAnsi="Arial" w:cs="Arial"/>
      <w:snapToGrid w:val="0"/>
      <w:sz w:val="22"/>
      <w:lang w:eastAsia="en-US"/>
    </w:rPr>
  </w:style>
  <w:style w:type="paragraph" w:customStyle="1" w:styleId="COMtbl-HEADLeftAligned">
    <w:name w:val="COMtbl-HEAD Left Aligned"/>
    <w:basedOn w:val="Normal"/>
    <w:qFormat/>
    <w:rsid w:val="00E7494D"/>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E7494D"/>
    <w:pPr>
      <w:jc w:val="center"/>
    </w:pPr>
  </w:style>
  <w:style w:type="paragraph" w:customStyle="1" w:styleId="COMTbl-foot">
    <w:name w:val="COMTbl-foot"/>
    <w:basedOn w:val="TableFooter"/>
    <w:link w:val="COMTbl-footChar"/>
    <w:qFormat/>
    <w:rsid w:val="00E7494D"/>
    <w:rPr>
      <w:rFonts w:ascii="Arial" w:hAnsi="Arial"/>
    </w:rPr>
  </w:style>
  <w:style w:type="character" w:customStyle="1" w:styleId="COMTbl-footChar">
    <w:name w:val="COMTbl-foot Char"/>
    <w:basedOn w:val="DefaultParagraphFont"/>
    <w:link w:val="COMTbl-foot"/>
    <w:rsid w:val="00E7494D"/>
    <w:rPr>
      <w:rFonts w:ascii="Arial" w:hAnsi="Arial" w:cs="Arial"/>
      <w:snapToGrid w:val="0"/>
      <w:sz w:val="18"/>
      <w:lang w:eastAsia="en-US"/>
    </w:rPr>
  </w:style>
  <w:style w:type="paragraph" w:customStyle="1" w:styleId="COMtbl-textLeftAligned">
    <w:name w:val="COMtbl-text Left Aligned"/>
    <w:basedOn w:val="COMtbl-HEADLeftAligned"/>
    <w:qFormat/>
    <w:rsid w:val="00E7494D"/>
    <w:rPr>
      <w:b w:val="0"/>
    </w:rPr>
  </w:style>
  <w:style w:type="paragraph" w:customStyle="1" w:styleId="COMtbl-textCentred">
    <w:name w:val="COMtbl-text Centred"/>
    <w:basedOn w:val="COMtbl-HEADCentred"/>
    <w:qFormat/>
    <w:rsid w:val="00E7494D"/>
    <w:rPr>
      <w:b w:val="0"/>
    </w:rPr>
  </w:style>
  <w:style w:type="paragraph" w:customStyle="1" w:styleId="TableBullets">
    <w:name w:val="Table Bullets"/>
    <w:basedOn w:val="Normal"/>
    <w:uiPriority w:val="5"/>
    <w:qFormat/>
    <w:rsid w:val="002024CB"/>
    <w:pPr>
      <w:widowControl/>
      <w:numPr>
        <w:numId w:val="2"/>
      </w:numP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2024CB"/>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024CB"/>
    <w:rPr>
      <w:rFonts w:ascii="Candara" w:eastAsiaTheme="majorEastAsia" w:hAnsi="Candara" w:cstheme="majorBidi"/>
      <w:szCs w:val="22"/>
      <w:lang w:eastAsia="en-US" w:bidi="en-US"/>
    </w:rPr>
  </w:style>
  <w:style w:type="paragraph" w:customStyle="1" w:styleId="TableBodyText">
    <w:name w:val="Table Body Text"/>
    <w:basedOn w:val="BodyText"/>
    <w:link w:val="TableBodyTextChar"/>
    <w:qFormat/>
    <w:rsid w:val="00612646"/>
    <w:pPr>
      <w:spacing w:before="40" w:after="40"/>
    </w:pPr>
    <w:rPr>
      <w:rFonts w:ascii="Arial Narrow" w:hAnsi="Arial Narrow"/>
      <w:snapToGrid/>
      <w:lang w:val="en-GB"/>
    </w:rPr>
  </w:style>
  <w:style w:type="character" w:customStyle="1" w:styleId="TableBodyTextChar">
    <w:name w:val="Table Body Text Char"/>
    <w:basedOn w:val="BodyTextChar"/>
    <w:link w:val="TableBodyText"/>
    <w:rsid w:val="00612646"/>
    <w:rPr>
      <w:rFonts w:ascii="Arial Narrow" w:hAnsi="Arial Narrow" w:cs="Arial"/>
      <w:snapToGrid/>
      <w:sz w:val="22"/>
      <w:lang w:val="en-GB" w:eastAsia="en-US"/>
    </w:rPr>
  </w:style>
  <w:style w:type="paragraph" w:customStyle="1" w:styleId="Tablefootnote">
    <w:name w:val="Table footnote"/>
    <w:basedOn w:val="Normal"/>
    <w:link w:val="TablefootnoteChar"/>
    <w:qFormat/>
    <w:rsid w:val="00612646"/>
    <w:pPr>
      <w:widowControl/>
      <w:autoSpaceDE w:val="0"/>
      <w:autoSpaceDN w:val="0"/>
      <w:adjustRightInd w:val="0"/>
      <w:spacing w:before="40" w:after="40"/>
      <w:jc w:val="left"/>
    </w:pPr>
    <w:rPr>
      <w:rFonts w:ascii="Arial Narrow" w:hAnsi="Arial Narrow" w:cs="Times New Roman"/>
      <w:snapToGrid/>
      <w:sz w:val="18"/>
      <w:szCs w:val="18"/>
      <w:lang w:eastAsia="en-AU"/>
    </w:rPr>
  </w:style>
  <w:style w:type="character" w:customStyle="1" w:styleId="TablefootnoteChar">
    <w:name w:val="Table footnote Char"/>
    <w:basedOn w:val="DefaultParagraphFont"/>
    <w:link w:val="Tablefootnote"/>
    <w:rsid w:val="00612646"/>
    <w:rPr>
      <w:rFonts w:ascii="Arial Narrow" w:hAnsi="Arial Narrow"/>
      <w:sz w:val="18"/>
      <w:szCs w:val="18"/>
    </w:rPr>
  </w:style>
  <w:style w:type="paragraph" w:customStyle="1" w:styleId="PBSnormal">
    <w:name w:val="PBS normal"/>
    <w:basedOn w:val="Normal"/>
    <w:link w:val="PBSnormalChar"/>
    <w:qFormat/>
    <w:rsid w:val="00AE66E0"/>
    <w:pPr>
      <w:widowControl/>
      <w:spacing w:before="120" w:after="240" w:line="360" w:lineRule="auto"/>
    </w:pPr>
    <w:rPr>
      <w:snapToGrid/>
      <w:lang w:eastAsia="en-AU"/>
    </w:rPr>
  </w:style>
  <w:style w:type="character" w:customStyle="1" w:styleId="PBSnormalChar">
    <w:name w:val="PBS normal Char"/>
    <w:basedOn w:val="DefaultParagraphFont"/>
    <w:link w:val="PBSnormal"/>
    <w:rsid w:val="00AE66E0"/>
    <w:rPr>
      <w:rFonts w:ascii="Arial" w:hAnsi="Arial" w:cs="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32807"/>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A40E8F"/>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6036">
      <w:bodyDiv w:val="1"/>
      <w:marLeft w:val="0"/>
      <w:marRight w:val="0"/>
      <w:marTop w:val="0"/>
      <w:marBottom w:val="0"/>
      <w:divBdr>
        <w:top w:val="none" w:sz="0" w:space="0" w:color="auto"/>
        <w:left w:val="none" w:sz="0" w:space="0" w:color="auto"/>
        <w:bottom w:val="none" w:sz="0" w:space="0" w:color="auto"/>
        <w:right w:val="none" w:sz="0" w:space="0" w:color="auto"/>
      </w:divBdr>
    </w:div>
    <w:div w:id="178449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03CB-7791-4F49-B786-F48EAC69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4105</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2015-10-16T03:39:00Z</dcterms:created>
  <dcterms:modified xsi:type="dcterms:W3CDTF">2015-10-22T21:02:00Z</dcterms:modified>
</cp:coreProperties>
</file>