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28" w:rsidRPr="00522BED" w:rsidRDefault="00B318DA" w:rsidP="00522BED">
      <w:pPr>
        <w:pStyle w:val="Heading1"/>
        <w:ind w:left="0" w:firstLine="0"/>
        <w:rPr>
          <w:sz w:val="28"/>
        </w:rPr>
      </w:pPr>
      <w:bookmarkStart w:id="0" w:name="_Toc419465006"/>
      <w:r w:rsidRPr="000B5F32">
        <w:rPr>
          <w:sz w:val="28"/>
        </w:rPr>
        <w:t>5.05</w:t>
      </w:r>
      <w:r w:rsidR="00B60939" w:rsidRPr="000B5F32">
        <w:rPr>
          <w:sz w:val="28"/>
        </w:rPr>
        <w:tab/>
      </w:r>
      <w:r w:rsidR="00B17320" w:rsidRPr="000B5F32">
        <w:rPr>
          <w:sz w:val="28"/>
        </w:rPr>
        <w:t>Eliglustat</w:t>
      </w:r>
      <w:r w:rsidR="00B60939" w:rsidRPr="000B5F32">
        <w:rPr>
          <w:sz w:val="28"/>
        </w:rPr>
        <w:t xml:space="preserve">, </w:t>
      </w:r>
      <w:r w:rsidR="00B17320" w:rsidRPr="000B5F32">
        <w:rPr>
          <w:caps w:val="0"/>
          <w:sz w:val="28"/>
        </w:rPr>
        <w:t>oral capsule</w:t>
      </w:r>
      <w:r w:rsidR="00B60939" w:rsidRPr="000B5F32">
        <w:rPr>
          <w:sz w:val="28"/>
        </w:rPr>
        <w:t xml:space="preserve">, </w:t>
      </w:r>
      <w:r w:rsidR="00B17320" w:rsidRPr="000B5F32">
        <w:rPr>
          <w:caps w:val="0"/>
          <w:sz w:val="28"/>
        </w:rPr>
        <w:t>100</w:t>
      </w:r>
      <w:r w:rsidR="00D83D5A">
        <w:rPr>
          <w:caps w:val="0"/>
          <w:sz w:val="28"/>
        </w:rPr>
        <w:t> </w:t>
      </w:r>
      <w:r w:rsidR="00B17320" w:rsidRPr="000B5F32">
        <w:rPr>
          <w:caps w:val="0"/>
          <w:sz w:val="28"/>
        </w:rPr>
        <w:t>mg</w:t>
      </w:r>
      <w:r w:rsidR="00B60939" w:rsidRPr="000B5F32">
        <w:rPr>
          <w:sz w:val="28"/>
        </w:rPr>
        <w:t xml:space="preserve">, </w:t>
      </w:r>
      <w:r w:rsidR="00B17320" w:rsidRPr="000B5F32">
        <w:rPr>
          <w:caps w:val="0"/>
          <w:sz w:val="28"/>
        </w:rPr>
        <w:t>Cerdelga</w:t>
      </w:r>
      <w:r w:rsidR="00B60939" w:rsidRPr="000B5F32">
        <w:rPr>
          <w:sz w:val="28"/>
          <w:vertAlign w:val="superscript"/>
        </w:rPr>
        <w:t>®</w:t>
      </w:r>
      <w:r w:rsidR="00B60939" w:rsidRPr="000B5F32">
        <w:rPr>
          <w:sz w:val="28"/>
        </w:rPr>
        <w:t xml:space="preserve">, </w:t>
      </w:r>
      <w:r w:rsidR="00B17320" w:rsidRPr="000B5F32">
        <w:rPr>
          <w:caps w:val="0"/>
          <w:sz w:val="28"/>
        </w:rPr>
        <w:t>Genzyme</w:t>
      </w:r>
      <w:r w:rsidR="00B60939" w:rsidRPr="000B5F32">
        <w:rPr>
          <w:sz w:val="28"/>
        </w:rPr>
        <w:t>.</w:t>
      </w:r>
      <w:bookmarkEnd w:id="0"/>
    </w:p>
    <w:p w:rsidR="0089629D" w:rsidRDefault="0089629D" w:rsidP="00207D00"/>
    <w:p w:rsidR="00682CAA" w:rsidRDefault="00682CAA" w:rsidP="00207D00"/>
    <w:p w:rsidR="00C20466" w:rsidRPr="00681EE9" w:rsidRDefault="00C20466" w:rsidP="00C20466">
      <w:pPr>
        <w:pStyle w:val="Heading2"/>
        <w:widowControl/>
        <w:numPr>
          <w:ilvl w:val="0"/>
          <w:numId w:val="31"/>
        </w:numPr>
        <w:ind w:left="709" w:hanging="709"/>
      </w:pPr>
      <w:bookmarkStart w:id="1" w:name="_Toc392858189"/>
      <w:bookmarkStart w:id="2" w:name="_Toc419369073"/>
      <w:bookmarkStart w:id="3" w:name="_Toc419465008"/>
      <w:r w:rsidRPr="008B7C62">
        <w:t>Purpose of Application</w:t>
      </w:r>
      <w:bookmarkEnd w:id="1"/>
      <w:bookmarkEnd w:id="2"/>
      <w:bookmarkEnd w:id="3"/>
    </w:p>
    <w:p w:rsidR="00B60939" w:rsidRPr="00882085" w:rsidRDefault="00B60939" w:rsidP="00B60939">
      <w:pPr>
        <w:rPr>
          <w:szCs w:val="22"/>
        </w:rPr>
      </w:pPr>
    </w:p>
    <w:p w:rsidR="002C2775" w:rsidRPr="0009045E" w:rsidRDefault="001E238E" w:rsidP="001D15DC">
      <w:pPr>
        <w:pStyle w:val="BodyText"/>
        <w:widowControl/>
        <w:numPr>
          <w:ilvl w:val="1"/>
          <w:numId w:val="31"/>
        </w:numPr>
        <w:jc w:val="both"/>
      </w:pPr>
      <w:r w:rsidRPr="0009045E">
        <w:t>Section 100</w:t>
      </w:r>
      <w:r w:rsidR="00B17320" w:rsidRPr="0009045E">
        <w:t xml:space="preserve"> </w:t>
      </w:r>
      <w:r w:rsidRPr="0009045E">
        <w:t xml:space="preserve">listing for </w:t>
      </w:r>
      <w:r w:rsidR="00B17320" w:rsidRPr="0009045E">
        <w:t>eliglustat</w:t>
      </w:r>
      <w:r w:rsidRPr="0009045E">
        <w:t xml:space="preserve"> for treatment of </w:t>
      </w:r>
      <w:r w:rsidR="00B17320" w:rsidRPr="0009045E">
        <w:t>Gaucher Disease type 1 (GD1) patients over the age of 18</w:t>
      </w:r>
      <w:r w:rsidRPr="0009045E">
        <w:t>.</w:t>
      </w:r>
      <w:r w:rsidR="00B17320" w:rsidRPr="0009045E">
        <w:t xml:space="preserve">  </w:t>
      </w:r>
      <w:r w:rsidR="007F29AD" w:rsidRPr="0009045E">
        <w:rPr>
          <w:iCs/>
        </w:rPr>
        <w:t>Given that other drugs subsidised f</w:t>
      </w:r>
      <w:r w:rsidR="0089629D">
        <w:rPr>
          <w:iCs/>
        </w:rPr>
        <w:t>or treatment of GD1 are not PBS-</w:t>
      </w:r>
      <w:r w:rsidR="007F29AD" w:rsidRPr="0009045E">
        <w:rPr>
          <w:iCs/>
        </w:rPr>
        <w:t xml:space="preserve">listed but are listed </w:t>
      </w:r>
      <w:r w:rsidR="00C81648" w:rsidRPr="0009045E">
        <w:rPr>
          <w:iCs/>
        </w:rPr>
        <w:t>o</w:t>
      </w:r>
      <w:r w:rsidR="007F29AD" w:rsidRPr="0009045E">
        <w:rPr>
          <w:iCs/>
        </w:rPr>
        <w:t>n the Li</w:t>
      </w:r>
      <w:r w:rsidR="00C05C50" w:rsidRPr="0009045E">
        <w:rPr>
          <w:iCs/>
        </w:rPr>
        <w:t>f</w:t>
      </w:r>
      <w:r w:rsidR="007F29AD" w:rsidRPr="0009045E">
        <w:rPr>
          <w:iCs/>
        </w:rPr>
        <w:t xml:space="preserve">e Saving Drugs Program (LSDP), the </w:t>
      </w:r>
      <w:r w:rsidR="0089629D">
        <w:rPr>
          <w:iCs/>
        </w:rPr>
        <w:t>s</w:t>
      </w:r>
      <w:r w:rsidR="007F29AD" w:rsidRPr="0009045E">
        <w:rPr>
          <w:iCs/>
        </w:rPr>
        <w:t xml:space="preserve">ponsor </w:t>
      </w:r>
      <w:r w:rsidR="0089629D">
        <w:rPr>
          <w:iCs/>
        </w:rPr>
        <w:t>did not anticipate</w:t>
      </w:r>
      <w:r w:rsidR="007F29AD" w:rsidRPr="0009045E">
        <w:rPr>
          <w:iCs/>
        </w:rPr>
        <w:t xml:space="preserve"> listing on the PBS and requested that eliglustat be considered for inclusion on the LSDP as per its main comparator</w:t>
      </w:r>
      <w:r w:rsidR="006D0004" w:rsidRPr="0009045E">
        <w:rPr>
          <w:iCs/>
        </w:rPr>
        <w:t>.</w:t>
      </w:r>
    </w:p>
    <w:p w:rsidR="00B60939" w:rsidRDefault="00B60939" w:rsidP="004B1CB4"/>
    <w:p w:rsidR="0089629D" w:rsidRDefault="0089629D" w:rsidP="004B1CB4"/>
    <w:p w:rsidR="001D15DC" w:rsidRPr="001D15DC" w:rsidRDefault="00C20466" w:rsidP="001D15DC">
      <w:pPr>
        <w:pStyle w:val="Heading2"/>
        <w:widowControl/>
        <w:numPr>
          <w:ilvl w:val="0"/>
          <w:numId w:val="31"/>
        </w:numPr>
        <w:ind w:left="709" w:hanging="709"/>
      </w:pPr>
      <w:bookmarkStart w:id="4" w:name="_Toc392858190"/>
      <w:bookmarkStart w:id="5" w:name="_Toc419369074"/>
      <w:bookmarkStart w:id="6" w:name="_Toc419465009"/>
      <w:r w:rsidRPr="00407F2D">
        <w:t>Requested listing</w:t>
      </w:r>
      <w:bookmarkEnd w:id="4"/>
      <w:bookmarkEnd w:id="5"/>
      <w:bookmarkEnd w:id="6"/>
    </w:p>
    <w:p w:rsidR="001D15DC" w:rsidRPr="00882085" w:rsidRDefault="001D15DC" w:rsidP="001D15DC">
      <w:pPr>
        <w:widowControl/>
      </w:pPr>
      <w:bookmarkStart w:id="7" w:name="_GoBack"/>
      <w:bookmarkEnd w:id="7"/>
    </w:p>
    <w:p w:rsidR="00E80C5F" w:rsidRPr="001D15DC" w:rsidRDefault="001D15DC" w:rsidP="00E80C5F">
      <w:pPr>
        <w:pStyle w:val="BodyText"/>
        <w:widowControl/>
        <w:numPr>
          <w:ilvl w:val="1"/>
          <w:numId w:val="31"/>
        </w:numPr>
        <w:jc w:val="both"/>
      </w:pPr>
      <w:r w:rsidRPr="001D15DC">
        <w:t>The</w:t>
      </w:r>
      <w:r w:rsidR="007F29AD" w:rsidRPr="001D15DC">
        <w:t xml:space="preserve"> submission </w:t>
      </w:r>
      <w:r w:rsidR="0054080D" w:rsidRPr="001D15DC">
        <w:t>requested</w:t>
      </w:r>
      <w:r w:rsidR="007F29AD" w:rsidRPr="001D15DC">
        <w:t xml:space="preserve"> listing for the treatment of patients </w:t>
      </w:r>
      <w:r w:rsidR="006D0004" w:rsidRPr="001D15DC">
        <w:t xml:space="preserve">aged </w:t>
      </w:r>
      <w:r w:rsidR="007F29AD" w:rsidRPr="001D15DC">
        <w:t>≥</w:t>
      </w:r>
      <w:r w:rsidR="006D0004" w:rsidRPr="001D15DC">
        <w:t>18 years</w:t>
      </w:r>
      <w:r w:rsidR="007F29AD" w:rsidRPr="001D15DC">
        <w:t xml:space="preserve"> who have a confirmed diagnosis of GD1 and ha</w:t>
      </w:r>
      <w:r w:rsidR="0089629D">
        <w:t>ve</w:t>
      </w:r>
      <w:r w:rsidR="007F29AD" w:rsidRPr="001D15DC">
        <w:t xml:space="preserve"> at least one GD1 related disease manifestation including skeletal disease, haematological complications or gastrointestinal complications d</w:t>
      </w:r>
      <w:r w:rsidR="0089629D">
        <w:t>ue to enlarged liver or spleen.</w:t>
      </w:r>
    </w:p>
    <w:p w:rsidR="00B60939" w:rsidRPr="00882085" w:rsidRDefault="00B60939" w:rsidP="004B1CB4"/>
    <w:p w:rsidR="00F97A78" w:rsidRDefault="007F29AD" w:rsidP="001D15DC">
      <w:pPr>
        <w:pStyle w:val="BodyText"/>
        <w:widowControl/>
        <w:numPr>
          <w:ilvl w:val="1"/>
          <w:numId w:val="31"/>
        </w:numPr>
        <w:jc w:val="both"/>
        <w:rPr>
          <w:szCs w:val="22"/>
        </w:rPr>
      </w:pPr>
      <w:r w:rsidRPr="007F29AD">
        <w:rPr>
          <w:szCs w:val="22"/>
        </w:rPr>
        <w:t xml:space="preserve">The basis for </w:t>
      </w:r>
      <w:r w:rsidR="00C81648">
        <w:rPr>
          <w:szCs w:val="22"/>
        </w:rPr>
        <w:t xml:space="preserve">the proposed </w:t>
      </w:r>
      <w:r w:rsidRPr="007F29AD">
        <w:rPr>
          <w:szCs w:val="22"/>
        </w:rPr>
        <w:t xml:space="preserve">listing </w:t>
      </w:r>
      <w:r w:rsidR="0054080D">
        <w:rPr>
          <w:szCs w:val="22"/>
        </w:rPr>
        <w:t>was</w:t>
      </w:r>
      <w:r w:rsidRPr="007F29AD">
        <w:rPr>
          <w:szCs w:val="22"/>
        </w:rPr>
        <w:t xml:space="preserve"> cost minimisation against enzyme replacement therapy (ERT)</w:t>
      </w:r>
      <w:r>
        <w:rPr>
          <w:szCs w:val="22"/>
        </w:rPr>
        <w:t xml:space="preserve"> currently listed on the LSDP (i.e. imiglucerase or velaglucerase-alfa)</w:t>
      </w:r>
      <w:r w:rsidR="00F5726E">
        <w:rPr>
          <w:szCs w:val="22"/>
        </w:rPr>
        <w:t>.</w:t>
      </w:r>
    </w:p>
    <w:p w:rsidR="00E80C5F" w:rsidRDefault="00E80C5F" w:rsidP="0089629D">
      <w:pPr>
        <w:pStyle w:val="BodyText"/>
        <w:widowControl/>
        <w:jc w:val="both"/>
        <w:rPr>
          <w:szCs w:val="22"/>
        </w:rPr>
      </w:pPr>
    </w:p>
    <w:p w:rsidR="00E80C5F" w:rsidRDefault="00E80C5F" w:rsidP="00E80C5F">
      <w:pPr>
        <w:pStyle w:val="BodyText"/>
        <w:widowControl/>
        <w:numPr>
          <w:ilvl w:val="1"/>
          <w:numId w:val="31"/>
        </w:numPr>
        <w:jc w:val="both"/>
      </w:pPr>
      <w:r>
        <w:t>Suggestions and additions proposed by the Secretariat to the requested listing</w:t>
      </w:r>
      <w:r w:rsidR="002E78BA">
        <w:t xml:space="preserve"> below</w:t>
      </w:r>
      <w:r>
        <w:t xml:space="preserve"> are added in italics</w:t>
      </w:r>
      <w:r w:rsidR="002E78BA">
        <w:t>.</w:t>
      </w:r>
    </w:p>
    <w:p w:rsidR="00E80C5F" w:rsidRDefault="00E80C5F" w:rsidP="00E80C5F">
      <w:pPr>
        <w:rPr>
          <w:szCs w:val="22"/>
        </w:rPr>
      </w:pPr>
    </w:p>
    <w:tbl>
      <w:tblPr>
        <w:tblW w:w="8363" w:type="dxa"/>
        <w:tblInd w:w="817" w:type="dxa"/>
        <w:tblLayout w:type="fixed"/>
        <w:tblLook w:val="0000" w:firstRow="0" w:lastRow="0" w:firstColumn="0" w:lastColumn="0" w:noHBand="0" w:noVBand="0"/>
      </w:tblPr>
      <w:tblGrid>
        <w:gridCol w:w="2835"/>
        <w:gridCol w:w="426"/>
        <w:gridCol w:w="567"/>
        <w:gridCol w:w="850"/>
        <w:gridCol w:w="1701"/>
        <w:gridCol w:w="992"/>
        <w:gridCol w:w="992"/>
      </w:tblGrid>
      <w:tr w:rsidR="00E80C5F" w:rsidRPr="00260CE3" w:rsidTr="002D2868">
        <w:trPr>
          <w:cantSplit/>
          <w:trHeight w:val="471"/>
        </w:trPr>
        <w:tc>
          <w:tcPr>
            <w:tcW w:w="3261" w:type="dxa"/>
            <w:gridSpan w:val="2"/>
            <w:tcBorders>
              <w:bottom w:val="single" w:sz="4" w:space="0" w:color="auto"/>
            </w:tcBorders>
          </w:tcPr>
          <w:p w:rsidR="00E80C5F" w:rsidRPr="00260CE3" w:rsidRDefault="00E80C5F" w:rsidP="002E78BA">
            <w:pPr>
              <w:keepNext/>
              <w:ind w:left="-108"/>
              <w:rPr>
                <w:rFonts w:ascii="Arial Narrow" w:hAnsi="Arial Narrow"/>
                <w:sz w:val="20"/>
              </w:rPr>
            </w:pPr>
            <w:r w:rsidRPr="00260CE3">
              <w:rPr>
                <w:rFonts w:ascii="Arial Narrow" w:hAnsi="Arial Narrow"/>
                <w:sz w:val="20"/>
              </w:rPr>
              <w:t>Name, Restriction,</w:t>
            </w:r>
          </w:p>
          <w:p w:rsidR="00E80C5F" w:rsidRPr="00260CE3" w:rsidRDefault="00E80C5F" w:rsidP="002E78BA">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E80C5F" w:rsidRPr="00260CE3" w:rsidRDefault="00E80C5F" w:rsidP="002E78BA">
            <w:pPr>
              <w:keepNext/>
              <w:ind w:left="-108"/>
              <w:rPr>
                <w:rFonts w:ascii="Arial Narrow" w:hAnsi="Arial Narrow"/>
                <w:sz w:val="20"/>
              </w:rPr>
            </w:pPr>
            <w:r w:rsidRPr="00260CE3">
              <w:rPr>
                <w:rFonts w:ascii="Arial Narrow" w:hAnsi="Arial Narrow"/>
                <w:sz w:val="20"/>
              </w:rPr>
              <w:t>Max.</w:t>
            </w:r>
          </w:p>
          <w:p w:rsidR="00E80C5F" w:rsidRPr="00260CE3" w:rsidRDefault="00E80C5F" w:rsidP="002E78BA">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E80C5F" w:rsidRPr="00260CE3" w:rsidRDefault="00E80C5F" w:rsidP="002E78BA">
            <w:pPr>
              <w:keepNext/>
              <w:ind w:left="-108"/>
              <w:rPr>
                <w:rFonts w:ascii="Arial Narrow" w:hAnsi="Arial Narrow"/>
                <w:sz w:val="20"/>
              </w:rPr>
            </w:pPr>
            <w:r w:rsidRPr="00260CE3">
              <w:rPr>
                <w:rFonts w:ascii="Arial Narrow" w:hAnsi="Arial Narrow"/>
                <w:sz w:val="20"/>
              </w:rPr>
              <w:t>№.of</w:t>
            </w:r>
          </w:p>
          <w:p w:rsidR="00E80C5F" w:rsidRPr="00260CE3" w:rsidRDefault="00E80C5F" w:rsidP="002E78BA">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E80C5F" w:rsidRPr="00260CE3" w:rsidRDefault="00E80C5F" w:rsidP="002E78BA">
            <w:pPr>
              <w:keepNext/>
              <w:ind w:left="-108"/>
              <w:rPr>
                <w:rFonts w:ascii="Arial Narrow" w:hAnsi="Arial Narrow"/>
                <w:sz w:val="20"/>
              </w:rPr>
            </w:pPr>
            <w:r w:rsidRPr="00260CE3">
              <w:rPr>
                <w:rFonts w:ascii="Arial Narrow" w:hAnsi="Arial Narrow"/>
                <w:sz w:val="20"/>
              </w:rPr>
              <w:t>Dispensed Price for Max. Qty</w:t>
            </w:r>
          </w:p>
        </w:tc>
        <w:tc>
          <w:tcPr>
            <w:tcW w:w="1984" w:type="dxa"/>
            <w:gridSpan w:val="2"/>
            <w:tcBorders>
              <w:bottom w:val="single" w:sz="4" w:space="0" w:color="auto"/>
            </w:tcBorders>
          </w:tcPr>
          <w:p w:rsidR="00E80C5F" w:rsidRPr="00260CE3" w:rsidRDefault="00E80C5F" w:rsidP="002E78BA">
            <w:pPr>
              <w:keepNext/>
              <w:rPr>
                <w:rFonts w:ascii="Arial Narrow" w:hAnsi="Arial Narrow"/>
                <w:sz w:val="20"/>
                <w:lang w:val="fr-FR"/>
              </w:rPr>
            </w:pPr>
            <w:r w:rsidRPr="00260CE3">
              <w:rPr>
                <w:rFonts w:ascii="Arial Narrow" w:hAnsi="Arial Narrow"/>
                <w:sz w:val="20"/>
              </w:rPr>
              <w:t>Proprietary Name and Manufacturer</w:t>
            </w:r>
          </w:p>
        </w:tc>
      </w:tr>
      <w:tr w:rsidR="00E80C5F" w:rsidRPr="00260CE3" w:rsidTr="002D2868">
        <w:trPr>
          <w:cantSplit/>
          <w:trHeight w:val="577"/>
        </w:trPr>
        <w:tc>
          <w:tcPr>
            <w:tcW w:w="3261" w:type="dxa"/>
            <w:gridSpan w:val="2"/>
          </w:tcPr>
          <w:p w:rsidR="00E80C5F" w:rsidRPr="00260CE3" w:rsidRDefault="00E80C5F" w:rsidP="002E78BA">
            <w:pPr>
              <w:keepNext/>
              <w:ind w:left="-108"/>
              <w:rPr>
                <w:rFonts w:ascii="Arial Narrow" w:hAnsi="Arial Narrow"/>
                <w:sz w:val="20"/>
              </w:rPr>
            </w:pPr>
            <w:r>
              <w:rPr>
                <w:rFonts w:ascii="Arial Narrow" w:hAnsi="Arial Narrow"/>
                <w:smallCaps/>
                <w:sz w:val="20"/>
              </w:rPr>
              <w:t>ELIGLUSTAT</w:t>
            </w:r>
          </w:p>
          <w:p w:rsidR="00E80C5F" w:rsidRPr="00260CE3" w:rsidRDefault="00E80C5F" w:rsidP="002E78BA">
            <w:pPr>
              <w:keepNext/>
              <w:ind w:left="-108"/>
              <w:rPr>
                <w:rFonts w:ascii="Arial Narrow" w:hAnsi="Arial Narrow"/>
                <w:sz w:val="20"/>
              </w:rPr>
            </w:pPr>
            <w:r>
              <w:rPr>
                <w:rFonts w:ascii="Arial Narrow" w:hAnsi="Arial Narrow"/>
                <w:sz w:val="20"/>
              </w:rPr>
              <w:t>Tablet 100</w:t>
            </w:r>
            <w:r w:rsidR="00BC71A8">
              <w:rPr>
                <w:rFonts w:ascii="Arial Narrow" w:hAnsi="Arial Narrow"/>
                <w:sz w:val="20"/>
              </w:rPr>
              <w:t> </w:t>
            </w:r>
            <w:r>
              <w:rPr>
                <w:rFonts w:ascii="Arial Narrow" w:hAnsi="Arial Narrow"/>
                <w:sz w:val="20"/>
              </w:rPr>
              <w:t>mg</w:t>
            </w:r>
          </w:p>
        </w:tc>
        <w:tc>
          <w:tcPr>
            <w:tcW w:w="567" w:type="dxa"/>
          </w:tcPr>
          <w:p w:rsidR="00E80C5F" w:rsidRPr="00260CE3" w:rsidRDefault="00E80C5F" w:rsidP="002E78BA">
            <w:pPr>
              <w:keepNext/>
              <w:ind w:left="-108"/>
              <w:rPr>
                <w:rFonts w:ascii="Arial Narrow" w:hAnsi="Arial Narrow"/>
                <w:sz w:val="20"/>
              </w:rPr>
            </w:pPr>
          </w:p>
          <w:p w:rsidR="00E80C5F" w:rsidRPr="00260CE3" w:rsidRDefault="00E80C5F" w:rsidP="002E78BA">
            <w:pPr>
              <w:keepNext/>
              <w:ind w:left="-108"/>
              <w:rPr>
                <w:rFonts w:ascii="Arial Narrow" w:hAnsi="Arial Narrow"/>
                <w:sz w:val="20"/>
              </w:rPr>
            </w:pPr>
            <w:r w:rsidRPr="00994E94">
              <w:rPr>
                <w:rFonts w:ascii="Arial Narrow" w:hAnsi="Arial Narrow"/>
                <w:sz w:val="20"/>
              </w:rPr>
              <w:t>56</w:t>
            </w:r>
          </w:p>
        </w:tc>
        <w:tc>
          <w:tcPr>
            <w:tcW w:w="850" w:type="dxa"/>
          </w:tcPr>
          <w:p w:rsidR="00E80C5F" w:rsidRPr="00260CE3" w:rsidRDefault="00E80C5F" w:rsidP="002E78BA">
            <w:pPr>
              <w:keepNext/>
              <w:ind w:left="-108"/>
              <w:rPr>
                <w:rFonts w:ascii="Arial Narrow" w:hAnsi="Arial Narrow"/>
                <w:sz w:val="20"/>
              </w:rPr>
            </w:pPr>
          </w:p>
          <w:p w:rsidR="00E80C5F" w:rsidRPr="00260CE3" w:rsidRDefault="00E80C5F" w:rsidP="002E78BA">
            <w:pPr>
              <w:keepNext/>
              <w:ind w:left="-108"/>
              <w:rPr>
                <w:rFonts w:ascii="Arial Narrow" w:hAnsi="Arial Narrow"/>
                <w:sz w:val="20"/>
              </w:rPr>
            </w:pPr>
            <w:r w:rsidRPr="00994E94">
              <w:rPr>
                <w:rFonts w:ascii="Arial Narrow" w:hAnsi="Arial Narrow"/>
                <w:sz w:val="20"/>
              </w:rPr>
              <w:t>5</w:t>
            </w:r>
          </w:p>
        </w:tc>
        <w:tc>
          <w:tcPr>
            <w:tcW w:w="1701" w:type="dxa"/>
          </w:tcPr>
          <w:p w:rsidR="00E80C5F" w:rsidRPr="00260CE3" w:rsidRDefault="00E80C5F" w:rsidP="002E78BA">
            <w:pPr>
              <w:keepNext/>
              <w:ind w:left="-108"/>
              <w:rPr>
                <w:rFonts w:ascii="Arial Narrow" w:hAnsi="Arial Narrow"/>
                <w:sz w:val="20"/>
              </w:rPr>
            </w:pPr>
          </w:p>
          <w:p w:rsidR="00E80C5F" w:rsidRPr="00260CE3" w:rsidRDefault="00E80C5F" w:rsidP="002E78BA">
            <w:pPr>
              <w:keepNext/>
              <w:ind w:left="-108"/>
              <w:rPr>
                <w:rFonts w:ascii="Arial Narrow" w:hAnsi="Arial Narrow"/>
                <w:sz w:val="20"/>
              </w:rPr>
            </w:pPr>
            <w:r w:rsidRPr="0095619A">
              <w:rPr>
                <w:rFonts w:ascii="Arial Narrow" w:hAnsi="Arial Narrow"/>
                <w:sz w:val="20"/>
              </w:rPr>
              <w:t>$</w:t>
            </w:r>
            <w:r w:rsidR="007B626C">
              <w:rPr>
                <w:rFonts w:ascii="Arial Narrow" w:hAnsi="Arial Narrow"/>
                <w:noProof/>
                <w:color w:val="000000"/>
                <w:sz w:val="20"/>
                <w:highlight w:val="black"/>
              </w:rPr>
              <w:t>'''''''''''''''''''''''</w:t>
            </w:r>
          </w:p>
        </w:tc>
        <w:tc>
          <w:tcPr>
            <w:tcW w:w="992" w:type="dxa"/>
          </w:tcPr>
          <w:p w:rsidR="00E80C5F" w:rsidRDefault="00E80C5F" w:rsidP="002E78BA">
            <w:pPr>
              <w:keepNext/>
              <w:rPr>
                <w:rFonts w:ascii="Arial Narrow" w:hAnsi="Arial Narrow"/>
                <w:sz w:val="20"/>
              </w:rPr>
            </w:pPr>
          </w:p>
          <w:p w:rsidR="00E80C5F" w:rsidRPr="00260CE3" w:rsidRDefault="00E80C5F" w:rsidP="002E78BA">
            <w:pPr>
              <w:keepNext/>
              <w:rPr>
                <w:rFonts w:ascii="Arial Narrow" w:hAnsi="Arial Narrow"/>
                <w:sz w:val="20"/>
              </w:rPr>
            </w:pPr>
            <w:r>
              <w:rPr>
                <w:rFonts w:ascii="Arial Narrow" w:hAnsi="Arial Narrow"/>
                <w:sz w:val="20"/>
              </w:rPr>
              <w:t>Cerdelga</w:t>
            </w:r>
          </w:p>
        </w:tc>
        <w:tc>
          <w:tcPr>
            <w:tcW w:w="992" w:type="dxa"/>
          </w:tcPr>
          <w:p w:rsidR="00E80C5F" w:rsidRDefault="00E80C5F" w:rsidP="002E78BA">
            <w:pPr>
              <w:keepNext/>
              <w:rPr>
                <w:rFonts w:ascii="Arial Narrow" w:hAnsi="Arial Narrow"/>
                <w:sz w:val="20"/>
              </w:rPr>
            </w:pPr>
          </w:p>
          <w:p w:rsidR="00E80C5F" w:rsidRPr="00260CE3" w:rsidRDefault="00E80C5F" w:rsidP="002E78BA">
            <w:pPr>
              <w:keepNext/>
              <w:rPr>
                <w:rFonts w:ascii="Arial Narrow" w:hAnsi="Arial Narrow"/>
                <w:sz w:val="20"/>
              </w:rPr>
            </w:pPr>
            <w:r>
              <w:rPr>
                <w:rFonts w:ascii="Arial Narrow" w:hAnsi="Arial Narrow"/>
                <w:sz w:val="20"/>
              </w:rPr>
              <w:t>Genzyme</w:t>
            </w:r>
          </w:p>
        </w:tc>
      </w:tr>
      <w:tr w:rsidR="00E80C5F" w:rsidRPr="00260CE3" w:rsidTr="002D2868">
        <w:trPr>
          <w:cantSplit/>
          <w:trHeight w:val="360"/>
        </w:trPr>
        <w:tc>
          <w:tcPr>
            <w:tcW w:w="8363" w:type="dxa"/>
            <w:gridSpan w:val="7"/>
            <w:tcBorders>
              <w:bottom w:val="single" w:sz="4" w:space="0" w:color="auto"/>
            </w:tcBorders>
          </w:tcPr>
          <w:p w:rsidR="00E80C5F" w:rsidRPr="00260CE3" w:rsidRDefault="00E80C5F" w:rsidP="002E78BA">
            <w:pPr>
              <w:rPr>
                <w:rFonts w:ascii="Arial Narrow" w:hAnsi="Arial Narrow"/>
                <w:sz w:val="20"/>
              </w:rPr>
            </w:pPr>
          </w:p>
        </w:tc>
      </w:tr>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89629D">
            <w:pPr>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sidRPr="00260CE3">
              <w:rPr>
                <w:rFonts w:ascii="Arial Narrow" w:hAnsi="Arial Narrow"/>
                <w:sz w:val="20"/>
              </w:rPr>
              <w:t>Section 100 – Highly Specialised Drugs Program</w:t>
            </w:r>
          </w:p>
        </w:tc>
      </w:tr>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b/>
                <w:sz w:val="20"/>
              </w:rPr>
            </w:pPr>
            <w:r w:rsidRPr="00260CE3">
              <w:rPr>
                <w:rFonts w:ascii="Arial Narrow" w:hAnsi="Arial Narrow"/>
                <w:b/>
                <w:sz w:val="20"/>
              </w:rPr>
              <w:t>Prescriber type:</w:t>
            </w:r>
          </w:p>
        </w:tc>
        <w:tc>
          <w:tcPr>
            <w:tcW w:w="5528" w:type="dxa"/>
            <w:gridSpan w:val="6"/>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80C5F" w:rsidRPr="00260CE3" w:rsidRDefault="00E80C5F" w:rsidP="002E78BA">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Pr>
                <w:rFonts w:ascii="Arial Narrow" w:hAnsi="Arial Narrow"/>
                <w:sz w:val="20"/>
              </w:rPr>
              <w:t>Gaucher disease type 1</w:t>
            </w:r>
          </w:p>
        </w:tc>
      </w:tr>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b/>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Pr>
                <w:rFonts w:ascii="Arial Narrow" w:hAnsi="Arial Narrow"/>
                <w:sz w:val="20"/>
              </w:rPr>
              <w:t xml:space="preserve">Gaucher disease type 1 </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260CE3" w:rsidRDefault="008B68AA" w:rsidP="00AA1839">
            <w:pPr>
              <w:rPr>
                <w:rFonts w:ascii="Arial Narrow" w:hAnsi="Arial Narrow"/>
                <w:i/>
                <w:sz w:val="20"/>
              </w:rPr>
            </w:pPr>
            <w:r w:rsidRPr="00260CE3">
              <w:rPr>
                <w:rFonts w:ascii="Arial Narrow" w:hAnsi="Arial Narrow"/>
                <w:b/>
                <w:sz w:val="20"/>
              </w:rPr>
              <w:t>Treatment phase:</w:t>
            </w:r>
          </w:p>
        </w:tc>
        <w:tc>
          <w:tcPr>
            <w:tcW w:w="5528" w:type="dxa"/>
            <w:gridSpan w:val="6"/>
            <w:tcBorders>
              <w:top w:val="single" w:sz="4" w:space="0" w:color="auto"/>
              <w:left w:val="single" w:sz="4" w:space="0" w:color="auto"/>
              <w:bottom w:val="single" w:sz="4" w:space="0" w:color="auto"/>
              <w:right w:val="single" w:sz="4" w:space="0" w:color="auto"/>
            </w:tcBorders>
          </w:tcPr>
          <w:p w:rsidR="008B68AA" w:rsidRPr="00260CE3" w:rsidRDefault="008B68AA" w:rsidP="00AA1839">
            <w:pPr>
              <w:rPr>
                <w:rFonts w:ascii="Arial Narrow" w:hAnsi="Arial Narrow"/>
                <w:sz w:val="20"/>
              </w:rPr>
            </w:pPr>
            <w:r>
              <w:rPr>
                <w:rFonts w:ascii="Arial Narrow" w:hAnsi="Arial Narrow"/>
                <w:sz w:val="20"/>
              </w:rPr>
              <w:t>Initial</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CD28F3" w:rsidRDefault="008B68AA" w:rsidP="0089629D">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6"/>
            <w:tcBorders>
              <w:top w:val="single" w:sz="4" w:space="0" w:color="auto"/>
              <w:left w:val="single" w:sz="4" w:space="0" w:color="auto"/>
              <w:bottom w:val="single" w:sz="4" w:space="0" w:color="auto"/>
              <w:right w:val="single" w:sz="4" w:space="0" w:color="auto"/>
            </w:tcBorders>
          </w:tcPr>
          <w:p w:rsidR="008B68AA" w:rsidRPr="00106BCF" w:rsidRDefault="008B68AA" w:rsidP="002E78BA">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8B68AA" w:rsidRPr="00106BCF" w:rsidRDefault="008B68AA" w:rsidP="002E78BA">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8B68AA" w:rsidRPr="00106BCF" w:rsidRDefault="008B68AA" w:rsidP="002E78BA">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8B68AA" w:rsidRPr="00106BCF" w:rsidRDefault="008B68AA" w:rsidP="002E78B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8B68AA" w:rsidRPr="00106BCF" w:rsidRDefault="008B68AA" w:rsidP="002E78B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8B68AA" w:rsidRPr="00260CE3" w:rsidRDefault="008B68AA" w:rsidP="002E78B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F60732" w:rsidRDefault="008B68AA" w:rsidP="002E78BA">
            <w:pPr>
              <w:rPr>
                <w:rFonts w:ascii="Arial Narrow" w:hAnsi="Arial Narrow"/>
                <w:b/>
                <w:sz w:val="20"/>
              </w:rPr>
            </w:pPr>
            <w:r w:rsidRPr="00260CE3">
              <w:rPr>
                <w:rFonts w:ascii="Arial Narrow" w:hAnsi="Arial Narrow"/>
                <w:b/>
                <w:sz w:val="20"/>
              </w:rPr>
              <w:t>Treatment criteria:</w:t>
            </w:r>
          </w:p>
        </w:tc>
        <w:tc>
          <w:tcPr>
            <w:tcW w:w="5528" w:type="dxa"/>
            <w:gridSpan w:val="6"/>
            <w:tcBorders>
              <w:top w:val="single" w:sz="4" w:space="0" w:color="auto"/>
              <w:left w:val="single" w:sz="4" w:space="0" w:color="auto"/>
              <w:bottom w:val="single" w:sz="4" w:space="0" w:color="auto"/>
              <w:right w:val="single" w:sz="4" w:space="0" w:color="auto"/>
            </w:tcBorders>
          </w:tcPr>
          <w:p w:rsidR="008B68AA" w:rsidRPr="00F775A1" w:rsidRDefault="008B68AA" w:rsidP="002E78BA">
            <w:pPr>
              <w:rPr>
                <w:rFonts w:ascii="Arial Narrow" w:hAnsi="Arial Narrow"/>
                <w:i/>
                <w:sz w:val="20"/>
              </w:rPr>
            </w:pPr>
            <w:r w:rsidRPr="00F775A1">
              <w:rPr>
                <w:rFonts w:ascii="Arial Narrow" w:hAnsi="Arial Narrow"/>
                <w:i/>
                <w:sz w:val="20"/>
              </w:rPr>
              <w:t xml:space="preserve">Must be treated </w:t>
            </w:r>
            <w:r>
              <w:rPr>
                <w:rFonts w:ascii="Arial Narrow" w:hAnsi="Arial Narrow"/>
                <w:i/>
                <w:sz w:val="20"/>
              </w:rPr>
              <w:t xml:space="preserve">by a </w:t>
            </w:r>
            <w:r w:rsidRPr="00D22043">
              <w:rPr>
                <w:rFonts w:ascii="Arial Narrow" w:hAnsi="Arial Narrow"/>
                <w:i/>
                <w:sz w:val="20"/>
              </w:rPr>
              <w:t>specialist physician with experience in the management of patients with Gaucher disease type 1</w:t>
            </w:r>
            <w:r>
              <w:rPr>
                <w:rFonts w:ascii="Arial Narrow" w:hAnsi="Arial Narrow"/>
                <w:i/>
                <w:sz w:val="20"/>
              </w:rPr>
              <w:t>.</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260CE3" w:rsidRDefault="008B68AA" w:rsidP="00D83D5A">
            <w:pPr>
              <w:rPr>
                <w:rFonts w:ascii="Arial Narrow" w:hAnsi="Arial Narrow"/>
                <w:sz w:val="20"/>
              </w:rPr>
            </w:pPr>
            <w:r w:rsidRPr="00260CE3">
              <w:rPr>
                <w:rFonts w:ascii="Arial Narrow" w:hAnsi="Arial Narrow"/>
                <w:b/>
                <w:sz w:val="20"/>
              </w:rPr>
              <w:lastRenderedPageBreak/>
              <w:t>Clinical criteria:</w:t>
            </w:r>
          </w:p>
        </w:tc>
        <w:tc>
          <w:tcPr>
            <w:tcW w:w="5528" w:type="dxa"/>
            <w:gridSpan w:val="6"/>
            <w:tcBorders>
              <w:top w:val="single" w:sz="4" w:space="0" w:color="auto"/>
              <w:left w:val="single" w:sz="4" w:space="0" w:color="auto"/>
              <w:bottom w:val="single" w:sz="4" w:space="0" w:color="auto"/>
              <w:right w:val="single" w:sz="4" w:space="0" w:color="auto"/>
            </w:tcBorders>
          </w:tcPr>
          <w:p w:rsidR="008B68AA" w:rsidRDefault="008B68AA" w:rsidP="002E78BA">
            <w:pPr>
              <w:rPr>
                <w:rFonts w:ascii="Arial Narrow" w:hAnsi="Arial Narrow"/>
                <w:sz w:val="20"/>
              </w:rPr>
            </w:pPr>
            <w:r>
              <w:rPr>
                <w:rFonts w:ascii="Arial Narrow" w:hAnsi="Arial Narrow"/>
                <w:sz w:val="20"/>
              </w:rPr>
              <w:t>Patient must have a confirmed diagnosis of Gaucher disease type 1.</w:t>
            </w:r>
          </w:p>
          <w:p w:rsidR="008B68AA" w:rsidRDefault="008B68AA" w:rsidP="002E78BA">
            <w:pPr>
              <w:rPr>
                <w:rFonts w:ascii="Arial Narrow" w:hAnsi="Arial Narrow"/>
                <w:sz w:val="20"/>
              </w:rPr>
            </w:pPr>
          </w:p>
          <w:p w:rsidR="008B68AA" w:rsidRDefault="008B68AA" w:rsidP="002E78BA">
            <w:pPr>
              <w:rPr>
                <w:rFonts w:ascii="Arial Narrow" w:hAnsi="Arial Narrow"/>
                <w:sz w:val="20"/>
              </w:rPr>
            </w:pPr>
            <w:r>
              <w:rPr>
                <w:rFonts w:ascii="Arial Narrow" w:hAnsi="Arial Narrow"/>
                <w:sz w:val="20"/>
              </w:rPr>
              <w:t>AND</w:t>
            </w:r>
          </w:p>
          <w:p w:rsidR="008B68AA" w:rsidRDefault="008B68AA" w:rsidP="002E78BA">
            <w:pPr>
              <w:rPr>
                <w:rFonts w:ascii="Arial Narrow" w:hAnsi="Arial Narrow"/>
                <w:sz w:val="20"/>
              </w:rPr>
            </w:pPr>
          </w:p>
          <w:p w:rsidR="008B68AA" w:rsidRDefault="008B68AA" w:rsidP="002E78BA">
            <w:pPr>
              <w:rPr>
                <w:rFonts w:ascii="Arial Narrow" w:hAnsi="Arial Narrow"/>
                <w:sz w:val="20"/>
              </w:rPr>
            </w:pPr>
            <w:r w:rsidRPr="00E528C1">
              <w:rPr>
                <w:rFonts w:ascii="Arial Narrow" w:hAnsi="Arial Narrow"/>
                <w:sz w:val="20"/>
              </w:rPr>
              <w:t>The condition must include one or more of</w:t>
            </w:r>
            <w:r>
              <w:rPr>
                <w:rFonts w:ascii="Arial Narrow" w:hAnsi="Arial Narrow"/>
                <w:sz w:val="20"/>
              </w:rPr>
              <w:t xml:space="preserve"> </w:t>
            </w:r>
            <w:r w:rsidRPr="00E528C1">
              <w:rPr>
                <w:rFonts w:ascii="Arial Narrow" w:hAnsi="Arial Narrow"/>
                <w:sz w:val="20"/>
              </w:rPr>
              <w:t>splenom</w:t>
            </w:r>
            <w:r>
              <w:rPr>
                <w:rFonts w:ascii="Arial Narrow" w:hAnsi="Arial Narrow"/>
                <w:sz w:val="20"/>
              </w:rPr>
              <w:t>egaly, hepatomegaly, anaemia, thrombocytopenia, or skeletal disease.</w:t>
            </w:r>
          </w:p>
          <w:p w:rsidR="008B68AA" w:rsidRDefault="008B68AA" w:rsidP="002E78BA">
            <w:pPr>
              <w:rPr>
                <w:rFonts w:ascii="Arial Narrow" w:hAnsi="Arial Narrow"/>
                <w:sz w:val="20"/>
              </w:rPr>
            </w:pPr>
          </w:p>
          <w:p w:rsidR="008B68AA" w:rsidRDefault="008B68AA" w:rsidP="002E78BA">
            <w:pPr>
              <w:rPr>
                <w:rFonts w:ascii="Arial Narrow" w:hAnsi="Arial Narrow"/>
                <w:sz w:val="20"/>
              </w:rPr>
            </w:pPr>
            <w:r>
              <w:rPr>
                <w:rFonts w:ascii="Arial Narrow" w:hAnsi="Arial Narrow"/>
                <w:sz w:val="20"/>
              </w:rPr>
              <w:t>AND</w:t>
            </w:r>
          </w:p>
          <w:p w:rsidR="008B68AA" w:rsidRDefault="008B68AA" w:rsidP="002E78BA">
            <w:pPr>
              <w:rPr>
                <w:rFonts w:ascii="Arial Narrow" w:hAnsi="Arial Narrow"/>
                <w:sz w:val="20"/>
              </w:rPr>
            </w:pPr>
          </w:p>
          <w:p w:rsidR="008B68AA" w:rsidRPr="00755C20" w:rsidRDefault="008B68AA" w:rsidP="002E78BA">
            <w:pPr>
              <w:rPr>
                <w:rFonts w:ascii="Arial Narrow" w:hAnsi="Arial Narrow"/>
                <w:sz w:val="20"/>
              </w:rPr>
            </w:pPr>
            <w:r w:rsidRPr="00F775A1">
              <w:rPr>
                <w:rFonts w:ascii="Arial Narrow" w:hAnsi="Arial Narrow"/>
                <w:i/>
                <w:sz w:val="20"/>
              </w:rPr>
              <w:t xml:space="preserve">The treatment must not be administered concomitantly with </w:t>
            </w:r>
            <w:r>
              <w:rPr>
                <w:rFonts w:ascii="Arial Narrow" w:hAnsi="Arial Narrow"/>
                <w:i/>
                <w:sz w:val="20"/>
              </w:rPr>
              <w:t>enzyme replacement therapy for Gaucher disease type 1.</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260CE3" w:rsidRDefault="008B68AA" w:rsidP="0089629D">
            <w:pPr>
              <w:rPr>
                <w:rFonts w:ascii="Arial Narrow" w:hAnsi="Arial Narrow"/>
                <w:sz w:val="20"/>
              </w:rPr>
            </w:pPr>
            <w:r w:rsidRPr="00260CE3">
              <w:rPr>
                <w:rFonts w:ascii="Arial Narrow" w:hAnsi="Arial Narrow"/>
                <w:b/>
                <w:sz w:val="20"/>
              </w:rPr>
              <w:t>Population criteria:</w:t>
            </w:r>
          </w:p>
        </w:tc>
        <w:tc>
          <w:tcPr>
            <w:tcW w:w="5528" w:type="dxa"/>
            <w:gridSpan w:val="6"/>
            <w:tcBorders>
              <w:top w:val="single" w:sz="4" w:space="0" w:color="auto"/>
              <w:left w:val="single" w:sz="4" w:space="0" w:color="auto"/>
              <w:bottom w:val="single" w:sz="4" w:space="0" w:color="auto"/>
              <w:right w:val="single" w:sz="4" w:space="0" w:color="auto"/>
            </w:tcBorders>
          </w:tcPr>
          <w:p w:rsidR="008B68AA" w:rsidRDefault="008B68AA" w:rsidP="002E78BA">
            <w:pPr>
              <w:rPr>
                <w:rFonts w:ascii="Arial Narrow" w:hAnsi="Arial Narrow"/>
                <w:sz w:val="20"/>
              </w:rPr>
            </w:pPr>
            <w:r>
              <w:rPr>
                <w:rFonts w:ascii="Arial Narrow" w:hAnsi="Arial Narrow"/>
                <w:sz w:val="20"/>
              </w:rPr>
              <w:t>Patient must be aged 18 years or older.</w:t>
            </w:r>
          </w:p>
          <w:p w:rsidR="008B68AA" w:rsidRDefault="008B68AA" w:rsidP="002E78BA">
            <w:pPr>
              <w:rPr>
                <w:rFonts w:ascii="Arial Narrow" w:hAnsi="Arial Narrow"/>
                <w:sz w:val="20"/>
              </w:rPr>
            </w:pPr>
          </w:p>
          <w:p w:rsidR="008B68AA" w:rsidRDefault="008B68AA" w:rsidP="002E78BA">
            <w:pPr>
              <w:rPr>
                <w:rFonts w:ascii="Arial Narrow" w:hAnsi="Arial Narrow"/>
                <w:sz w:val="20"/>
              </w:rPr>
            </w:pPr>
            <w:r>
              <w:rPr>
                <w:rFonts w:ascii="Arial Narrow" w:hAnsi="Arial Narrow"/>
                <w:sz w:val="20"/>
              </w:rPr>
              <w:t>AND</w:t>
            </w:r>
          </w:p>
          <w:p w:rsidR="008B68AA" w:rsidRDefault="008B68AA" w:rsidP="002E78BA">
            <w:pPr>
              <w:rPr>
                <w:rFonts w:ascii="Arial Narrow" w:hAnsi="Arial Narrow"/>
                <w:sz w:val="20"/>
              </w:rPr>
            </w:pPr>
          </w:p>
          <w:p w:rsidR="008B68AA" w:rsidRPr="00E528C1" w:rsidRDefault="008B68AA" w:rsidP="002E78BA">
            <w:pPr>
              <w:rPr>
                <w:rFonts w:ascii="Arial Narrow" w:hAnsi="Arial Narrow"/>
                <w:sz w:val="20"/>
              </w:rPr>
            </w:pPr>
            <w:r w:rsidRPr="00F775A1">
              <w:rPr>
                <w:rFonts w:ascii="Arial Narrow" w:hAnsi="Arial Narrow"/>
                <w:sz w:val="20"/>
              </w:rPr>
              <w:t>Patient must have evidence of</w:t>
            </w:r>
            <w:r>
              <w:rPr>
                <w:rFonts w:ascii="Arial Narrow" w:hAnsi="Arial Narrow"/>
                <w:sz w:val="20"/>
              </w:rPr>
              <w:t xml:space="preserve"> a CYP2D6 genotype that is classified as either a poor, intermediate or extensive metaboliser.</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260CE3" w:rsidRDefault="008B68AA" w:rsidP="0089629D">
            <w:pPr>
              <w:rPr>
                <w:rFonts w:ascii="Arial Narrow" w:hAnsi="Arial Narrow"/>
                <w:sz w:val="20"/>
              </w:rPr>
            </w:pPr>
            <w:r w:rsidRPr="00260CE3">
              <w:rPr>
                <w:rFonts w:ascii="Arial Narrow" w:hAnsi="Arial Narrow"/>
                <w:b/>
                <w:sz w:val="20"/>
              </w:rPr>
              <w:t>Prescriber Instructions</w:t>
            </w:r>
          </w:p>
        </w:tc>
        <w:tc>
          <w:tcPr>
            <w:tcW w:w="5528" w:type="dxa"/>
            <w:gridSpan w:val="6"/>
            <w:tcBorders>
              <w:top w:val="single" w:sz="4" w:space="0" w:color="auto"/>
              <w:left w:val="single" w:sz="4" w:space="0" w:color="auto"/>
              <w:bottom w:val="single" w:sz="4" w:space="0" w:color="auto"/>
              <w:right w:val="single" w:sz="4" w:space="0" w:color="auto"/>
            </w:tcBorders>
          </w:tcPr>
          <w:p w:rsidR="008B68AA" w:rsidRDefault="008B68AA" w:rsidP="002E78BA">
            <w:pPr>
              <w:rPr>
                <w:rFonts w:ascii="Arial Narrow" w:hAnsi="Arial Narrow"/>
                <w:i/>
                <w:sz w:val="20"/>
              </w:rPr>
            </w:pPr>
            <w:r>
              <w:rPr>
                <w:rFonts w:ascii="Arial Narrow" w:hAnsi="Arial Narrow"/>
                <w:i/>
                <w:sz w:val="20"/>
              </w:rPr>
              <w:t xml:space="preserve">Clinical criteria are defined as: </w:t>
            </w:r>
          </w:p>
          <w:p w:rsidR="008B68AA" w:rsidRDefault="008B68AA" w:rsidP="002E78BA">
            <w:pPr>
              <w:widowControl/>
              <w:numPr>
                <w:ilvl w:val="0"/>
                <w:numId w:val="34"/>
              </w:numPr>
              <w:jc w:val="left"/>
              <w:rPr>
                <w:rFonts w:ascii="Arial Narrow" w:hAnsi="Arial Narrow"/>
                <w:i/>
                <w:sz w:val="20"/>
              </w:rPr>
            </w:pPr>
            <w:r>
              <w:rPr>
                <w:rFonts w:ascii="Arial Narrow" w:hAnsi="Arial Narrow"/>
                <w:i/>
                <w:sz w:val="20"/>
              </w:rPr>
              <w:t>Haemoglobin ≤ 105 g/L for females and ≤ 115 g/L for males on at least 2 occasions more than 1 month apart</w:t>
            </w:r>
          </w:p>
          <w:p w:rsidR="008B68AA" w:rsidRDefault="008B68AA" w:rsidP="002E78BA">
            <w:pPr>
              <w:widowControl/>
              <w:numPr>
                <w:ilvl w:val="0"/>
                <w:numId w:val="34"/>
              </w:numPr>
              <w:jc w:val="left"/>
              <w:rPr>
                <w:rFonts w:ascii="Arial Narrow" w:hAnsi="Arial Narrow"/>
                <w:i/>
                <w:sz w:val="20"/>
              </w:rPr>
            </w:pPr>
            <w:r>
              <w:rPr>
                <w:rFonts w:ascii="Arial Narrow" w:hAnsi="Arial Narrow"/>
                <w:i/>
                <w:sz w:val="20"/>
              </w:rPr>
              <w:t>Platelet count ≤ 120 x 10</w:t>
            </w:r>
            <w:r w:rsidRPr="00903198">
              <w:rPr>
                <w:rFonts w:ascii="Arial Narrow" w:hAnsi="Arial Narrow"/>
                <w:i/>
                <w:sz w:val="20"/>
                <w:vertAlign w:val="superscript"/>
              </w:rPr>
              <w:t>9</w:t>
            </w:r>
            <w:r>
              <w:rPr>
                <w:rFonts w:ascii="Arial Narrow" w:hAnsi="Arial Narrow"/>
                <w:i/>
                <w:sz w:val="20"/>
              </w:rPr>
              <w:t>/L on at least 2 occasions more than 1 month apart</w:t>
            </w:r>
          </w:p>
          <w:p w:rsidR="008B68AA" w:rsidRPr="003571B7" w:rsidRDefault="008B68AA" w:rsidP="002E78BA">
            <w:pPr>
              <w:widowControl/>
              <w:numPr>
                <w:ilvl w:val="0"/>
                <w:numId w:val="34"/>
              </w:numPr>
              <w:jc w:val="left"/>
              <w:rPr>
                <w:rFonts w:ascii="Arial Narrow" w:hAnsi="Arial Narrow"/>
                <w:i/>
                <w:sz w:val="20"/>
              </w:rPr>
            </w:pPr>
            <w:r>
              <w:rPr>
                <w:rFonts w:ascii="Arial Narrow" w:hAnsi="Arial Narrow"/>
                <w:i/>
                <w:sz w:val="20"/>
              </w:rPr>
              <w:t>Liver volume 1.25 times normal (CT or MRI); or s</w:t>
            </w:r>
            <w:r w:rsidRPr="003571B7">
              <w:rPr>
                <w:rFonts w:ascii="Arial Narrow" w:hAnsi="Arial Narrow"/>
                <w:i/>
                <w:sz w:val="20"/>
              </w:rPr>
              <w:t>pleen volume 5 times normal (CT or MRI)</w:t>
            </w:r>
          </w:p>
          <w:p w:rsidR="008B68AA" w:rsidRPr="003571B7" w:rsidRDefault="008B68AA" w:rsidP="002E78BA">
            <w:pPr>
              <w:widowControl/>
              <w:numPr>
                <w:ilvl w:val="0"/>
                <w:numId w:val="34"/>
              </w:numPr>
              <w:jc w:val="left"/>
              <w:rPr>
                <w:rFonts w:ascii="Arial Narrow" w:hAnsi="Arial Narrow"/>
                <w:i/>
                <w:sz w:val="20"/>
              </w:rPr>
            </w:pPr>
            <w:r w:rsidRPr="003571B7">
              <w:rPr>
                <w:rFonts w:ascii="Arial Narrow" w:hAnsi="Arial Narrow"/>
                <w:i/>
                <w:sz w:val="20"/>
              </w:rPr>
              <w:t>Skeletal disease must be beyond mild osteopenia or Erlenmeyer flask deformity (symptoms, skeletal survey or MRI).</w:t>
            </w:r>
          </w:p>
          <w:p w:rsidR="008B68AA" w:rsidRDefault="008B68AA" w:rsidP="002E78BA">
            <w:pPr>
              <w:pStyle w:val="Tabletext"/>
              <w:spacing w:after="0"/>
              <w:rPr>
                <w:rFonts w:ascii="Arial Narrow" w:hAnsi="Arial Narrow"/>
                <w:i/>
              </w:rPr>
            </w:pPr>
          </w:p>
          <w:p w:rsidR="008B68AA" w:rsidRDefault="008B68AA" w:rsidP="002E78BA">
            <w:pPr>
              <w:pStyle w:val="Tabletext"/>
              <w:spacing w:after="0"/>
              <w:rPr>
                <w:rFonts w:ascii="Arial Narrow" w:hAnsi="Arial Narrow"/>
              </w:rPr>
            </w:pPr>
            <w:r>
              <w:rPr>
                <w:rFonts w:ascii="Arial Narrow" w:hAnsi="Arial Narrow"/>
              </w:rPr>
              <w:t>The following dosing levels are recommended according to metaboliser status:</w:t>
            </w:r>
          </w:p>
          <w:p w:rsidR="008B68AA" w:rsidRDefault="008B68AA" w:rsidP="002E78BA">
            <w:pPr>
              <w:pStyle w:val="Tabletext"/>
              <w:keepNext/>
              <w:numPr>
                <w:ilvl w:val="0"/>
                <w:numId w:val="35"/>
              </w:numPr>
              <w:spacing w:before="40" w:after="0"/>
              <w:jc w:val="both"/>
              <w:rPr>
                <w:rFonts w:ascii="Arial Narrow" w:hAnsi="Arial Narrow"/>
              </w:rPr>
            </w:pPr>
            <w:r>
              <w:rPr>
                <w:rFonts w:ascii="Arial Narrow" w:hAnsi="Arial Narrow"/>
              </w:rPr>
              <w:t xml:space="preserve">patients classified as poor CYP2D6 metabolisers are to be prescribed 100 mg of eliglustat once daily; </w:t>
            </w:r>
          </w:p>
          <w:p w:rsidR="008B68AA" w:rsidRDefault="008B68AA" w:rsidP="002E78BA">
            <w:pPr>
              <w:pStyle w:val="Tabletext"/>
              <w:keepNext/>
              <w:numPr>
                <w:ilvl w:val="0"/>
                <w:numId w:val="35"/>
              </w:numPr>
              <w:spacing w:before="40" w:after="0"/>
              <w:jc w:val="both"/>
              <w:rPr>
                <w:rFonts w:ascii="Arial Narrow" w:hAnsi="Arial Narrow"/>
              </w:rPr>
            </w:pPr>
            <w:r>
              <w:rPr>
                <w:rFonts w:ascii="Arial Narrow" w:hAnsi="Arial Narrow"/>
              </w:rPr>
              <w:t>patients classified as intermediate or extensive CYP2D6 metabolisers are to be prescribed 100 mg of eliglustat twice daily;</w:t>
            </w:r>
          </w:p>
          <w:p w:rsidR="008B68AA" w:rsidRDefault="008B68AA" w:rsidP="002E78BA">
            <w:pPr>
              <w:pStyle w:val="Tabletext"/>
              <w:keepNext/>
              <w:numPr>
                <w:ilvl w:val="0"/>
                <w:numId w:val="35"/>
              </w:numPr>
              <w:spacing w:before="40" w:after="0"/>
              <w:jc w:val="both"/>
              <w:rPr>
                <w:rFonts w:ascii="Arial Narrow" w:hAnsi="Arial Narrow"/>
              </w:rPr>
            </w:pPr>
            <w:r>
              <w:rPr>
                <w:rFonts w:ascii="Arial Narrow" w:hAnsi="Arial Narrow"/>
              </w:rPr>
              <w:t>e</w:t>
            </w:r>
            <w:r w:rsidRPr="00DA281D">
              <w:rPr>
                <w:rFonts w:ascii="Arial Narrow" w:hAnsi="Arial Narrow"/>
              </w:rPr>
              <w:t>liglustat should not be used in patients who are ultra-rapid or indeterminate CYP2D6 metabolisers.</w:t>
            </w:r>
          </w:p>
          <w:p w:rsidR="008B68AA" w:rsidRDefault="008B68AA" w:rsidP="002E78BA">
            <w:pPr>
              <w:pStyle w:val="Tabletext"/>
              <w:spacing w:after="0"/>
              <w:rPr>
                <w:rFonts w:ascii="Arial Narrow" w:hAnsi="Arial Narrow"/>
              </w:rPr>
            </w:pPr>
          </w:p>
          <w:p w:rsidR="008B68AA" w:rsidRPr="00755C20" w:rsidRDefault="008B68AA" w:rsidP="0025792A">
            <w:pPr>
              <w:pStyle w:val="Tabletext"/>
              <w:spacing w:after="0"/>
              <w:rPr>
                <w:rFonts w:ascii="Arial Narrow" w:hAnsi="Arial Narrow"/>
                <w:i/>
              </w:rPr>
            </w:pPr>
            <w:r>
              <w:rPr>
                <w:rFonts w:ascii="Arial Narrow" w:hAnsi="Arial Narrow"/>
                <w:i/>
              </w:rPr>
              <w:t xml:space="preserve">Eliglustat is contraindicated in </w:t>
            </w:r>
            <w:r w:rsidRPr="0085459F">
              <w:rPr>
                <w:rFonts w:ascii="Arial Narrow" w:hAnsi="Arial Narrow"/>
                <w:i/>
              </w:rPr>
              <w:t>intermediate or extensive metaboliser</w:t>
            </w:r>
            <w:r>
              <w:rPr>
                <w:rFonts w:ascii="Arial Narrow" w:hAnsi="Arial Narrow"/>
                <w:i/>
              </w:rPr>
              <w:t>s</w:t>
            </w:r>
            <w:r w:rsidRPr="0085459F">
              <w:rPr>
                <w:rFonts w:ascii="Arial Narrow" w:hAnsi="Arial Narrow"/>
                <w:i/>
              </w:rPr>
              <w:t xml:space="preserve"> taking a strong or moderate CYP2D6 inhibitor concomitantly with a str</w:t>
            </w:r>
            <w:r>
              <w:rPr>
                <w:rFonts w:ascii="Arial Narrow" w:hAnsi="Arial Narrow"/>
                <w:i/>
              </w:rPr>
              <w:t xml:space="preserve">ong or moderate CYP3A inhibitor. Eliglustat is also contraindicated in </w:t>
            </w:r>
            <w:r w:rsidRPr="0085459F">
              <w:rPr>
                <w:rFonts w:ascii="Arial Narrow" w:hAnsi="Arial Narrow"/>
                <w:i/>
              </w:rPr>
              <w:t>poor metaboliser</w:t>
            </w:r>
            <w:r>
              <w:rPr>
                <w:rFonts w:ascii="Arial Narrow" w:hAnsi="Arial Narrow"/>
                <w:i/>
              </w:rPr>
              <w:t>s</w:t>
            </w:r>
            <w:r w:rsidRPr="0085459F">
              <w:rPr>
                <w:rFonts w:ascii="Arial Narrow" w:hAnsi="Arial Narrow"/>
                <w:i/>
              </w:rPr>
              <w:t xml:space="preserve"> taking a strong CYP3A inhibitor. </w:t>
            </w:r>
            <w:r>
              <w:rPr>
                <w:rFonts w:ascii="Arial Narrow" w:hAnsi="Arial Narrow"/>
                <w:i/>
              </w:rPr>
              <w:t>Co-administration with a strong CYP3A inducer is also not recommended.</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260CE3" w:rsidRDefault="008B68AA" w:rsidP="0089629D">
            <w:pPr>
              <w:rPr>
                <w:rFonts w:ascii="Arial Narrow" w:hAnsi="Arial Narrow"/>
                <w:i/>
                <w:sz w:val="20"/>
              </w:rPr>
            </w:pPr>
            <w:r w:rsidRPr="00260CE3">
              <w:rPr>
                <w:rFonts w:ascii="Arial Narrow" w:hAnsi="Arial Narrow"/>
                <w:b/>
                <w:sz w:val="20"/>
              </w:rPr>
              <w:t>Administrative advice</w:t>
            </w:r>
          </w:p>
        </w:tc>
        <w:tc>
          <w:tcPr>
            <w:tcW w:w="5528" w:type="dxa"/>
            <w:gridSpan w:val="6"/>
            <w:tcBorders>
              <w:top w:val="single" w:sz="4" w:space="0" w:color="auto"/>
              <w:left w:val="single" w:sz="4" w:space="0" w:color="auto"/>
              <w:bottom w:val="single" w:sz="4" w:space="0" w:color="auto"/>
              <w:right w:val="single" w:sz="4" w:space="0" w:color="auto"/>
            </w:tcBorders>
          </w:tcPr>
          <w:p w:rsidR="008B68AA" w:rsidRDefault="008B68AA" w:rsidP="002E78BA">
            <w:pPr>
              <w:rPr>
                <w:rFonts w:ascii="Arial Narrow" w:hAnsi="Arial Narrow"/>
                <w:sz w:val="20"/>
              </w:rPr>
            </w:pPr>
            <w:r>
              <w:rPr>
                <w:rFonts w:ascii="Arial Narrow" w:hAnsi="Arial Narrow"/>
                <w:sz w:val="20"/>
              </w:rPr>
              <w:t>Confirmed diagnosis of GT1 can be established by either the specific deficiency of glucocerebrosidase enzyme activity in leukocytes or cultured skin fibroblasts, or by</w:t>
            </w:r>
            <w:r w:rsidRPr="00D0590F">
              <w:rPr>
                <w:rFonts w:ascii="Arial Narrow" w:hAnsi="Arial Narrow"/>
                <w:sz w:val="20"/>
              </w:rPr>
              <w:t xml:space="preserve"> the presence of mutations</w:t>
            </w:r>
            <w:r>
              <w:rPr>
                <w:rFonts w:ascii="Arial Narrow" w:hAnsi="Arial Narrow"/>
                <w:sz w:val="20"/>
              </w:rPr>
              <w:t xml:space="preserve"> in the glucocerebrosidase gene in tissue or peripheral blood leukocytes.</w:t>
            </w:r>
          </w:p>
          <w:p w:rsidR="008B68AA" w:rsidRDefault="008B68AA" w:rsidP="002E78BA">
            <w:pPr>
              <w:rPr>
                <w:rFonts w:ascii="Arial Narrow" w:hAnsi="Arial Narrow"/>
                <w:sz w:val="20"/>
              </w:rPr>
            </w:pPr>
          </w:p>
          <w:p w:rsidR="008B68AA" w:rsidRPr="00885CBF" w:rsidRDefault="008B68AA" w:rsidP="00D83D5A">
            <w:pPr>
              <w:rPr>
                <w:rFonts w:ascii="Arial Narrow" w:hAnsi="Arial Narrow"/>
                <w:i/>
                <w:sz w:val="20"/>
              </w:rPr>
            </w:pPr>
            <w:r w:rsidRPr="00885CBF">
              <w:rPr>
                <w:rFonts w:ascii="Arial Narrow" w:hAnsi="Arial Narrow"/>
                <w:i/>
                <w:sz w:val="20"/>
              </w:rPr>
              <w:t>For a list of CYP3A inhibitors and CYP2D6 inhibitors that may result in drug-drug interactions with eliglustat refer to the Product Information for eliglustat.</w:t>
            </w:r>
          </w:p>
        </w:tc>
      </w:tr>
    </w:tbl>
    <w:p w:rsidR="00E80C5F" w:rsidRDefault="00E80C5F" w:rsidP="00E80C5F">
      <w:pPr>
        <w:rPr>
          <w:szCs w:val="22"/>
        </w:rPr>
      </w:pPr>
    </w:p>
    <w:p w:rsidR="008B68AA" w:rsidRDefault="008B68AA">
      <w:pPr>
        <w:widowControl/>
        <w:jc w:val="left"/>
        <w:rPr>
          <w:szCs w:val="22"/>
        </w:rPr>
      </w:pPr>
      <w:r>
        <w:rPr>
          <w:szCs w:val="22"/>
        </w:rPr>
        <w:br w:type="page"/>
      </w:r>
    </w:p>
    <w:tbl>
      <w:tblPr>
        <w:tblW w:w="8363" w:type="dxa"/>
        <w:tblInd w:w="817" w:type="dxa"/>
        <w:tblLayout w:type="fixed"/>
        <w:tblLook w:val="0000" w:firstRow="0" w:lastRow="0" w:firstColumn="0" w:lastColumn="0" w:noHBand="0" w:noVBand="0"/>
      </w:tblPr>
      <w:tblGrid>
        <w:gridCol w:w="2835"/>
        <w:gridCol w:w="5528"/>
      </w:tblGrid>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89629D">
            <w:pPr>
              <w:rPr>
                <w:rFonts w:ascii="Arial Narrow" w:hAnsi="Arial Narrow"/>
                <w:b/>
                <w:sz w:val="20"/>
              </w:rPr>
            </w:pPr>
            <w:r w:rsidRPr="00260CE3">
              <w:rPr>
                <w:rFonts w:ascii="Arial Narrow" w:hAnsi="Arial Narrow"/>
                <w:b/>
                <w:sz w:val="20"/>
              </w:rPr>
              <w:lastRenderedPageBreak/>
              <w:t>Category / Program</w:t>
            </w:r>
          </w:p>
        </w:tc>
        <w:tc>
          <w:tcPr>
            <w:tcW w:w="5528"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sidRPr="00260CE3">
              <w:rPr>
                <w:rFonts w:ascii="Arial Narrow" w:hAnsi="Arial Narrow"/>
                <w:sz w:val="20"/>
              </w:rPr>
              <w:t>Section 100 – Highly Specialised Drugs Program</w:t>
            </w:r>
          </w:p>
        </w:tc>
      </w:tr>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89629D">
            <w:pPr>
              <w:rPr>
                <w:rFonts w:ascii="Arial Narrow" w:hAnsi="Arial Narrow"/>
                <w:b/>
                <w:sz w:val="20"/>
              </w:rPr>
            </w:pPr>
            <w:r w:rsidRPr="00260CE3">
              <w:rPr>
                <w:rFonts w:ascii="Arial Narrow" w:hAnsi="Arial Narrow"/>
                <w:b/>
                <w:sz w:val="20"/>
              </w:rPr>
              <w:t>Prescriber type:</w:t>
            </w:r>
          </w:p>
        </w:tc>
        <w:tc>
          <w:tcPr>
            <w:tcW w:w="5528"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80C5F" w:rsidRPr="00260CE3" w:rsidRDefault="00E80C5F" w:rsidP="002E78BA">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b/>
                <w:sz w:val="20"/>
              </w:rPr>
            </w:pPr>
            <w:r w:rsidRPr="00260CE3">
              <w:rPr>
                <w:rFonts w:ascii="Arial Narrow" w:hAnsi="Arial Narrow"/>
                <w:b/>
                <w:sz w:val="20"/>
              </w:rPr>
              <w:t>Condition:</w:t>
            </w:r>
          </w:p>
        </w:tc>
        <w:tc>
          <w:tcPr>
            <w:tcW w:w="5528"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Pr>
                <w:rFonts w:ascii="Arial Narrow" w:hAnsi="Arial Narrow"/>
                <w:sz w:val="20"/>
              </w:rPr>
              <w:t>Gaucher disease type 1</w:t>
            </w:r>
          </w:p>
        </w:tc>
      </w:tr>
      <w:tr w:rsidR="00E80C5F"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b/>
                <w:sz w:val="20"/>
              </w:rPr>
            </w:pPr>
            <w:r w:rsidRPr="00260CE3">
              <w:rPr>
                <w:rFonts w:ascii="Arial Narrow" w:hAnsi="Arial Narrow"/>
                <w:b/>
                <w:sz w:val="20"/>
              </w:rPr>
              <w:t>PBS Indication:</w:t>
            </w:r>
          </w:p>
        </w:tc>
        <w:tc>
          <w:tcPr>
            <w:tcW w:w="5528" w:type="dxa"/>
            <w:tcBorders>
              <w:top w:val="single" w:sz="4" w:space="0" w:color="auto"/>
              <w:left w:val="single" w:sz="4" w:space="0" w:color="auto"/>
              <w:bottom w:val="single" w:sz="4" w:space="0" w:color="auto"/>
              <w:right w:val="single" w:sz="4" w:space="0" w:color="auto"/>
            </w:tcBorders>
          </w:tcPr>
          <w:p w:rsidR="00E80C5F" w:rsidRPr="00260CE3" w:rsidRDefault="00E80C5F" w:rsidP="002E78BA">
            <w:pPr>
              <w:rPr>
                <w:rFonts w:ascii="Arial Narrow" w:hAnsi="Arial Narrow"/>
                <w:sz w:val="20"/>
              </w:rPr>
            </w:pPr>
            <w:r>
              <w:rPr>
                <w:rFonts w:ascii="Arial Narrow" w:hAnsi="Arial Narrow"/>
                <w:sz w:val="20"/>
              </w:rPr>
              <w:t>Gaucher disease type 1</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260CE3" w:rsidRDefault="008B68AA" w:rsidP="00AA1839">
            <w:pPr>
              <w:rPr>
                <w:rFonts w:ascii="Arial Narrow" w:hAnsi="Arial Narrow"/>
                <w:i/>
                <w:sz w:val="20"/>
              </w:rPr>
            </w:pPr>
            <w:r w:rsidRPr="00260CE3">
              <w:rPr>
                <w:rFonts w:ascii="Arial Narrow" w:hAnsi="Arial Narrow"/>
                <w:b/>
                <w:sz w:val="20"/>
              </w:rPr>
              <w:t>Treatment phase:</w:t>
            </w:r>
          </w:p>
        </w:tc>
        <w:tc>
          <w:tcPr>
            <w:tcW w:w="5528" w:type="dxa"/>
            <w:tcBorders>
              <w:top w:val="single" w:sz="4" w:space="0" w:color="auto"/>
              <w:left w:val="single" w:sz="4" w:space="0" w:color="auto"/>
              <w:bottom w:val="single" w:sz="4" w:space="0" w:color="auto"/>
              <w:right w:val="single" w:sz="4" w:space="0" w:color="auto"/>
            </w:tcBorders>
          </w:tcPr>
          <w:p w:rsidR="008B68AA" w:rsidRPr="00260CE3" w:rsidRDefault="008B68AA" w:rsidP="00AA1839">
            <w:pPr>
              <w:rPr>
                <w:rFonts w:ascii="Arial Narrow" w:hAnsi="Arial Narrow"/>
                <w:sz w:val="20"/>
              </w:rPr>
            </w:pPr>
            <w:r>
              <w:rPr>
                <w:rFonts w:ascii="Arial Narrow" w:hAnsi="Arial Narrow"/>
                <w:sz w:val="20"/>
              </w:rPr>
              <w:t>Continuing</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CD28F3" w:rsidRDefault="008B68AA" w:rsidP="0089629D">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tcBorders>
              <w:top w:val="single" w:sz="4" w:space="0" w:color="auto"/>
              <w:left w:val="single" w:sz="4" w:space="0" w:color="auto"/>
              <w:bottom w:val="single" w:sz="4" w:space="0" w:color="auto"/>
              <w:right w:val="single" w:sz="4" w:space="0" w:color="auto"/>
            </w:tcBorders>
          </w:tcPr>
          <w:p w:rsidR="008B68AA" w:rsidRPr="00106BCF" w:rsidRDefault="008B68AA" w:rsidP="002E78BA">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8B68AA" w:rsidRPr="00106BCF" w:rsidRDefault="008B68AA" w:rsidP="002E78BA">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8B68AA" w:rsidRPr="00106BCF" w:rsidRDefault="008B68AA" w:rsidP="002E78BA">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w:instrText>
            </w:r>
            <w:bookmarkStart w:id="8" w:name="Check3"/>
            <w:r>
              <w:rPr>
                <w:rFonts w:ascii="Arial Narrow" w:hAnsi="Arial Narrow"/>
                <w:sz w:val="20"/>
              </w:rPr>
              <w:instrText xml:space="preserve">FORMCHECKBOX </w:instrText>
            </w:r>
            <w:r w:rsidR="00207AFA">
              <w:rPr>
                <w:rFonts w:ascii="Arial Narrow" w:hAnsi="Arial Narrow"/>
                <w:sz w:val="20"/>
              </w:rPr>
            </w:r>
            <w:r w:rsidR="00207AFA">
              <w:rPr>
                <w:rFonts w:ascii="Arial Narrow" w:hAnsi="Arial Narrow"/>
                <w:sz w:val="20"/>
              </w:rPr>
              <w:fldChar w:fldCharType="separate"/>
            </w:r>
            <w:r>
              <w:rPr>
                <w:rFonts w:ascii="Arial Narrow" w:hAnsi="Arial Narrow"/>
                <w:sz w:val="20"/>
              </w:rPr>
              <w:fldChar w:fldCharType="end"/>
            </w:r>
            <w:bookmarkEnd w:id="8"/>
            <w:r w:rsidRPr="00106BCF">
              <w:rPr>
                <w:rFonts w:ascii="Arial Narrow" w:hAnsi="Arial Narrow"/>
                <w:sz w:val="20"/>
              </w:rPr>
              <w:t>Authority Required - Telephone</w:t>
            </w:r>
          </w:p>
          <w:p w:rsidR="008B68AA" w:rsidRPr="00106BCF" w:rsidRDefault="008B68AA" w:rsidP="002E78B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8B68AA" w:rsidRPr="00106BCF" w:rsidRDefault="008B68AA" w:rsidP="002E78B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8B68AA" w:rsidRPr="00260CE3" w:rsidRDefault="008B68AA" w:rsidP="002E78B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07AFA">
              <w:rPr>
                <w:rFonts w:ascii="Arial Narrow" w:hAnsi="Arial Narrow"/>
                <w:sz w:val="20"/>
              </w:rPr>
            </w:r>
            <w:r w:rsidR="00207AF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5856C5" w:rsidRDefault="008B68AA" w:rsidP="002E78BA">
            <w:pPr>
              <w:rPr>
                <w:rFonts w:ascii="Arial Narrow" w:hAnsi="Arial Narrow"/>
                <w:b/>
                <w:sz w:val="20"/>
              </w:rPr>
            </w:pPr>
            <w:r w:rsidRPr="00260CE3">
              <w:rPr>
                <w:rFonts w:ascii="Arial Narrow" w:hAnsi="Arial Narrow"/>
                <w:b/>
                <w:sz w:val="20"/>
              </w:rPr>
              <w:t>Treatment criteria:</w:t>
            </w:r>
          </w:p>
        </w:tc>
        <w:tc>
          <w:tcPr>
            <w:tcW w:w="5528" w:type="dxa"/>
            <w:tcBorders>
              <w:top w:val="single" w:sz="4" w:space="0" w:color="auto"/>
              <w:left w:val="single" w:sz="4" w:space="0" w:color="auto"/>
              <w:bottom w:val="single" w:sz="4" w:space="0" w:color="auto"/>
              <w:right w:val="single" w:sz="4" w:space="0" w:color="auto"/>
            </w:tcBorders>
          </w:tcPr>
          <w:p w:rsidR="008B68AA" w:rsidRPr="00755C20" w:rsidRDefault="008B68AA" w:rsidP="002E78BA">
            <w:pPr>
              <w:rPr>
                <w:rFonts w:ascii="Arial Narrow" w:hAnsi="Arial Narrow"/>
                <w:i/>
                <w:sz w:val="20"/>
              </w:rPr>
            </w:pPr>
            <w:r w:rsidRPr="00F775A1">
              <w:rPr>
                <w:rFonts w:ascii="Arial Narrow" w:hAnsi="Arial Narrow"/>
                <w:i/>
                <w:sz w:val="20"/>
              </w:rPr>
              <w:t xml:space="preserve">Must be treated </w:t>
            </w:r>
            <w:r>
              <w:rPr>
                <w:rFonts w:ascii="Arial Narrow" w:hAnsi="Arial Narrow"/>
                <w:i/>
                <w:sz w:val="20"/>
              </w:rPr>
              <w:t xml:space="preserve">by a </w:t>
            </w:r>
            <w:r w:rsidRPr="00D22043">
              <w:rPr>
                <w:rFonts w:ascii="Arial Narrow" w:hAnsi="Arial Narrow"/>
                <w:i/>
                <w:sz w:val="20"/>
              </w:rPr>
              <w:t>specialist physician with experience in the management of patients with Gaucher disease type 1</w:t>
            </w:r>
            <w:r>
              <w:rPr>
                <w:rFonts w:ascii="Arial Narrow" w:hAnsi="Arial Narrow"/>
                <w:i/>
                <w:sz w:val="20"/>
              </w:rPr>
              <w:t>.</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3D4E21" w:rsidRDefault="008B68AA" w:rsidP="00D83D5A">
            <w:pPr>
              <w:rPr>
                <w:rFonts w:ascii="Arial Narrow" w:hAnsi="Arial Narrow"/>
                <w:sz w:val="20"/>
              </w:rPr>
            </w:pPr>
            <w:r w:rsidRPr="003D4E21">
              <w:rPr>
                <w:rFonts w:ascii="Arial Narrow" w:hAnsi="Arial Narrow"/>
                <w:b/>
                <w:sz w:val="20"/>
              </w:rPr>
              <w:t>Clinical criteria:</w:t>
            </w:r>
          </w:p>
        </w:tc>
        <w:tc>
          <w:tcPr>
            <w:tcW w:w="5528" w:type="dxa"/>
            <w:tcBorders>
              <w:top w:val="single" w:sz="4" w:space="0" w:color="auto"/>
              <w:left w:val="single" w:sz="4" w:space="0" w:color="auto"/>
              <w:bottom w:val="single" w:sz="4" w:space="0" w:color="auto"/>
              <w:right w:val="single" w:sz="4" w:space="0" w:color="auto"/>
            </w:tcBorders>
          </w:tcPr>
          <w:p w:rsidR="008B68AA" w:rsidRPr="003D4E21" w:rsidRDefault="008B68AA" w:rsidP="002E78BA">
            <w:pPr>
              <w:rPr>
                <w:rFonts w:ascii="Arial Narrow" w:hAnsi="Arial Narrow"/>
                <w:sz w:val="20"/>
              </w:rPr>
            </w:pPr>
            <w:r w:rsidRPr="003D4E21">
              <w:rPr>
                <w:rFonts w:ascii="Arial Narrow" w:hAnsi="Arial Narrow"/>
                <w:sz w:val="20"/>
              </w:rPr>
              <w:t>Patient must have previously received PBS-subsidised therapy with this drug for this condition.</w:t>
            </w:r>
          </w:p>
          <w:p w:rsidR="008B68AA" w:rsidRPr="003D4E21" w:rsidRDefault="008B68AA" w:rsidP="002E78BA">
            <w:pPr>
              <w:rPr>
                <w:rFonts w:ascii="Arial Narrow" w:hAnsi="Arial Narrow"/>
                <w:sz w:val="20"/>
              </w:rPr>
            </w:pPr>
          </w:p>
          <w:p w:rsidR="008B68AA" w:rsidRPr="003D4E21" w:rsidRDefault="008B68AA" w:rsidP="002E78BA">
            <w:pPr>
              <w:rPr>
                <w:rFonts w:ascii="Arial Narrow" w:hAnsi="Arial Narrow"/>
                <w:sz w:val="20"/>
              </w:rPr>
            </w:pPr>
            <w:r w:rsidRPr="003D4E21">
              <w:rPr>
                <w:rFonts w:ascii="Arial Narrow" w:hAnsi="Arial Narrow"/>
                <w:sz w:val="20"/>
              </w:rPr>
              <w:t>AND</w:t>
            </w:r>
          </w:p>
          <w:p w:rsidR="008B68AA" w:rsidRPr="003D4E21" w:rsidRDefault="008B68AA" w:rsidP="002E78BA">
            <w:pPr>
              <w:rPr>
                <w:rFonts w:ascii="Arial Narrow" w:hAnsi="Arial Narrow"/>
                <w:sz w:val="20"/>
              </w:rPr>
            </w:pPr>
          </w:p>
          <w:p w:rsidR="008B68AA" w:rsidRPr="003D4E21" w:rsidRDefault="008B68AA" w:rsidP="002E78BA">
            <w:pPr>
              <w:rPr>
                <w:rFonts w:ascii="Arial Narrow" w:hAnsi="Arial Narrow"/>
                <w:i/>
                <w:sz w:val="20"/>
              </w:rPr>
            </w:pPr>
            <w:r w:rsidRPr="003D4E21">
              <w:rPr>
                <w:rFonts w:ascii="Arial Narrow" w:hAnsi="Arial Narrow"/>
                <w:i/>
                <w:sz w:val="20"/>
              </w:rPr>
              <w:t>Patient must have demonstrated clinical improvement or stabilisation</w:t>
            </w:r>
            <w:r>
              <w:rPr>
                <w:rFonts w:ascii="Arial Narrow" w:hAnsi="Arial Narrow"/>
                <w:i/>
                <w:sz w:val="20"/>
              </w:rPr>
              <w:t xml:space="preserve"> of Gaucher disease type 1 symptoms.</w:t>
            </w:r>
          </w:p>
          <w:p w:rsidR="008B68AA" w:rsidRPr="003D4E21" w:rsidRDefault="008B68AA" w:rsidP="002E78BA">
            <w:pPr>
              <w:rPr>
                <w:rFonts w:ascii="Arial Narrow" w:hAnsi="Arial Narrow"/>
                <w:sz w:val="20"/>
              </w:rPr>
            </w:pPr>
          </w:p>
          <w:p w:rsidR="008B68AA" w:rsidRPr="003D4E21" w:rsidRDefault="008B68AA" w:rsidP="002E78BA">
            <w:pPr>
              <w:rPr>
                <w:rFonts w:ascii="Arial Narrow" w:hAnsi="Arial Narrow"/>
                <w:sz w:val="20"/>
              </w:rPr>
            </w:pPr>
            <w:r w:rsidRPr="003D4E21">
              <w:rPr>
                <w:rFonts w:ascii="Arial Narrow" w:hAnsi="Arial Narrow"/>
                <w:sz w:val="20"/>
              </w:rPr>
              <w:t>AND</w:t>
            </w:r>
          </w:p>
          <w:p w:rsidR="008B68AA" w:rsidRPr="003D4E21" w:rsidRDefault="008B68AA" w:rsidP="002E78BA">
            <w:pPr>
              <w:rPr>
                <w:rFonts w:ascii="Arial Narrow" w:hAnsi="Arial Narrow"/>
                <w:sz w:val="20"/>
              </w:rPr>
            </w:pPr>
          </w:p>
          <w:p w:rsidR="008B68AA" w:rsidRPr="003D4E21" w:rsidRDefault="008B68AA" w:rsidP="002E78BA">
            <w:pPr>
              <w:rPr>
                <w:rFonts w:ascii="Arial Narrow" w:hAnsi="Arial Narrow"/>
                <w:sz w:val="20"/>
              </w:rPr>
            </w:pPr>
            <w:r w:rsidRPr="003D4E21">
              <w:rPr>
                <w:rFonts w:ascii="Arial Narrow" w:hAnsi="Arial Narrow"/>
                <w:i/>
                <w:sz w:val="20"/>
              </w:rPr>
              <w:t xml:space="preserve">The treatment must not be administered concomitantly with </w:t>
            </w:r>
            <w:r>
              <w:rPr>
                <w:rFonts w:ascii="Arial Narrow" w:hAnsi="Arial Narrow"/>
                <w:i/>
                <w:sz w:val="20"/>
              </w:rPr>
              <w:t>enzyme replacement therapy for G</w:t>
            </w:r>
            <w:r w:rsidRPr="003D4E21">
              <w:rPr>
                <w:rFonts w:ascii="Arial Narrow" w:hAnsi="Arial Narrow"/>
                <w:i/>
                <w:sz w:val="20"/>
              </w:rPr>
              <w:t>aucher disease type 1.</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5856C5" w:rsidRDefault="008B68AA" w:rsidP="002E78BA">
            <w:pPr>
              <w:rPr>
                <w:rFonts w:ascii="Arial Narrow" w:hAnsi="Arial Narrow"/>
                <w:b/>
                <w:sz w:val="20"/>
              </w:rPr>
            </w:pPr>
            <w:r w:rsidRPr="00260CE3">
              <w:rPr>
                <w:rFonts w:ascii="Arial Narrow" w:hAnsi="Arial Narrow"/>
                <w:b/>
                <w:sz w:val="20"/>
              </w:rPr>
              <w:t>Population criteria:</w:t>
            </w:r>
          </w:p>
        </w:tc>
        <w:tc>
          <w:tcPr>
            <w:tcW w:w="5528" w:type="dxa"/>
            <w:tcBorders>
              <w:top w:val="single" w:sz="4" w:space="0" w:color="auto"/>
              <w:left w:val="single" w:sz="4" w:space="0" w:color="auto"/>
              <w:bottom w:val="single" w:sz="4" w:space="0" w:color="auto"/>
              <w:right w:val="single" w:sz="4" w:space="0" w:color="auto"/>
            </w:tcBorders>
          </w:tcPr>
          <w:p w:rsidR="008B68AA" w:rsidRPr="00260CE3" w:rsidRDefault="008B68AA" w:rsidP="002E78BA">
            <w:pPr>
              <w:rPr>
                <w:rFonts w:ascii="Arial Narrow" w:hAnsi="Arial Narrow"/>
                <w:sz w:val="20"/>
              </w:rPr>
            </w:pPr>
            <w:r>
              <w:rPr>
                <w:rFonts w:ascii="Arial Narrow" w:hAnsi="Arial Narrow"/>
                <w:sz w:val="20"/>
              </w:rPr>
              <w:t>Patient must be aged 18 years or older.</w:t>
            </w:r>
          </w:p>
        </w:tc>
      </w:tr>
      <w:tr w:rsidR="008B68AA" w:rsidRPr="00260CE3" w:rsidTr="002D2868">
        <w:trPr>
          <w:cantSplit/>
          <w:trHeight w:val="360"/>
        </w:trPr>
        <w:tc>
          <w:tcPr>
            <w:tcW w:w="2835" w:type="dxa"/>
            <w:tcBorders>
              <w:top w:val="single" w:sz="4" w:space="0" w:color="auto"/>
              <w:left w:val="single" w:sz="4" w:space="0" w:color="auto"/>
              <w:bottom w:val="single" w:sz="4" w:space="0" w:color="auto"/>
              <w:right w:val="single" w:sz="4" w:space="0" w:color="auto"/>
            </w:tcBorders>
          </w:tcPr>
          <w:p w:rsidR="008B68AA" w:rsidRPr="00260CE3" w:rsidRDefault="008B68AA" w:rsidP="0089629D">
            <w:pPr>
              <w:rPr>
                <w:rFonts w:ascii="Arial Narrow" w:hAnsi="Arial Narrow"/>
                <w:sz w:val="20"/>
              </w:rPr>
            </w:pPr>
            <w:r w:rsidRPr="00260CE3">
              <w:rPr>
                <w:rFonts w:ascii="Arial Narrow" w:hAnsi="Arial Narrow"/>
                <w:b/>
                <w:sz w:val="20"/>
              </w:rPr>
              <w:t>Prescriber Instructions</w:t>
            </w:r>
          </w:p>
        </w:tc>
        <w:tc>
          <w:tcPr>
            <w:tcW w:w="5528" w:type="dxa"/>
            <w:tcBorders>
              <w:top w:val="single" w:sz="4" w:space="0" w:color="auto"/>
              <w:left w:val="single" w:sz="4" w:space="0" w:color="auto"/>
              <w:bottom w:val="single" w:sz="4" w:space="0" w:color="auto"/>
              <w:right w:val="single" w:sz="4" w:space="0" w:color="auto"/>
            </w:tcBorders>
          </w:tcPr>
          <w:p w:rsidR="008B68AA" w:rsidRDefault="008B68AA" w:rsidP="002E78BA">
            <w:pPr>
              <w:pStyle w:val="Tabletext"/>
              <w:spacing w:after="0"/>
              <w:rPr>
                <w:rFonts w:ascii="Arial Narrow" w:hAnsi="Arial Narrow"/>
              </w:rPr>
            </w:pPr>
            <w:r>
              <w:rPr>
                <w:rFonts w:ascii="Arial Narrow" w:hAnsi="Arial Narrow"/>
              </w:rPr>
              <w:t xml:space="preserve">Eliglustat </w:t>
            </w:r>
            <w:r w:rsidRPr="0028174B">
              <w:rPr>
                <w:rFonts w:ascii="Arial Narrow" w:hAnsi="Arial Narrow"/>
              </w:rPr>
              <w:t>i</w:t>
            </w:r>
            <w:r>
              <w:rPr>
                <w:rFonts w:ascii="Arial Narrow" w:hAnsi="Arial Narrow"/>
              </w:rPr>
              <w:t xml:space="preserve">s used in patients who are poor, </w:t>
            </w:r>
            <w:r w:rsidRPr="0028174B">
              <w:rPr>
                <w:rFonts w:ascii="Arial Narrow" w:hAnsi="Arial Narrow"/>
              </w:rPr>
              <w:t>intermediate or extensive CYP2D6 metabolisers</w:t>
            </w:r>
            <w:r>
              <w:rPr>
                <w:rFonts w:ascii="Arial Narrow" w:hAnsi="Arial Narrow"/>
              </w:rPr>
              <w:t>, as determined by genotyping. The following dosing levels according to metaboliser status are to be adhered to:</w:t>
            </w:r>
          </w:p>
          <w:p w:rsidR="008B68AA" w:rsidRDefault="008B68AA" w:rsidP="002E78BA">
            <w:pPr>
              <w:pStyle w:val="Tabletext"/>
              <w:keepNext/>
              <w:numPr>
                <w:ilvl w:val="0"/>
                <w:numId w:val="36"/>
              </w:numPr>
              <w:spacing w:before="40" w:after="0"/>
              <w:jc w:val="both"/>
              <w:rPr>
                <w:rFonts w:ascii="Arial Narrow" w:hAnsi="Arial Narrow"/>
              </w:rPr>
            </w:pPr>
            <w:r>
              <w:rPr>
                <w:rFonts w:ascii="Arial Narrow" w:hAnsi="Arial Narrow"/>
              </w:rPr>
              <w:t xml:space="preserve">patients classified as poor CYP2D6 metabolisers are to be prescribed 100 mg of eliglustat once daily; </w:t>
            </w:r>
          </w:p>
          <w:p w:rsidR="008B68AA" w:rsidRDefault="008B68AA" w:rsidP="002E78BA">
            <w:pPr>
              <w:pStyle w:val="Tabletext"/>
              <w:keepNext/>
              <w:numPr>
                <w:ilvl w:val="0"/>
                <w:numId w:val="36"/>
              </w:numPr>
              <w:spacing w:before="40" w:after="0"/>
              <w:jc w:val="both"/>
              <w:rPr>
                <w:rFonts w:ascii="Arial Narrow" w:hAnsi="Arial Narrow"/>
              </w:rPr>
            </w:pPr>
            <w:r>
              <w:rPr>
                <w:rFonts w:ascii="Arial Narrow" w:hAnsi="Arial Narrow"/>
              </w:rPr>
              <w:t>patients classified as intermediate or extensive CYP2D6 metabolisers are to be prescribed 100 mg of eliglustat twice daily;</w:t>
            </w:r>
          </w:p>
          <w:p w:rsidR="008B68AA" w:rsidRPr="00163005" w:rsidRDefault="008B68AA" w:rsidP="002E78BA">
            <w:pPr>
              <w:pStyle w:val="Tabletext"/>
              <w:keepNext/>
              <w:numPr>
                <w:ilvl w:val="0"/>
                <w:numId w:val="36"/>
              </w:numPr>
              <w:spacing w:before="40" w:after="0"/>
              <w:jc w:val="both"/>
              <w:rPr>
                <w:rFonts w:ascii="Arial Narrow" w:hAnsi="Arial Narrow"/>
              </w:rPr>
            </w:pPr>
            <w:r>
              <w:rPr>
                <w:rFonts w:ascii="Arial Narrow" w:hAnsi="Arial Narrow"/>
              </w:rPr>
              <w:t>e</w:t>
            </w:r>
            <w:r w:rsidRPr="00163005">
              <w:rPr>
                <w:rFonts w:ascii="Arial Narrow" w:hAnsi="Arial Narrow"/>
              </w:rPr>
              <w:t>liglustat should not be used in patients who are ultra-rapid or indeterminate CYP2D6 metabolisers, as determined by genotyping.</w:t>
            </w:r>
          </w:p>
          <w:p w:rsidR="008B68AA" w:rsidRDefault="008B68AA" w:rsidP="002E78BA">
            <w:pPr>
              <w:rPr>
                <w:rFonts w:ascii="Arial Narrow" w:hAnsi="Arial Narrow"/>
                <w:sz w:val="20"/>
              </w:rPr>
            </w:pPr>
          </w:p>
          <w:p w:rsidR="008B68AA" w:rsidRPr="008B49F0" w:rsidRDefault="008B68AA" w:rsidP="002E78BA">
            <w:pPr>
              <w:pStyle w:val="Tabletext"/>
              <w:spacing w:after="0"/>
              <w:rPr>
                <w:rFonts w:ascii="Arial Narrow" w:hAnsi="Arial Narrow"/>
                <w:i/>
              </w:rPr>
            </w:pPr>
            <w:r>
              <w:rPr>
                <w:rFonts w:ascii="Arial Narrow" w:hAnsi="Arial Narrow"/>
                <w:i/>
              </w:rPr>
              <w:t xml:space="preserve">Eliglustat is contraindicated in </w:t>
            </w:r>
            <w:r w:rsidRPr="0085459F">
              <w:rPr>
                <w:rFonts w:ascii="Arial Narrow" w:hAnsi="Arial Narrow"/>
                <w:i/>
              </w:rPr>
              <w:t>intermediate or extensive metaboliser</w:t>
            </w:r>
            <w:r>
              <w:rPr>
                <w:rFonts w:ascii="Arial Narrow" w:hAnsi="Arial Narrow"/>
                <w:i/>
              </w:rPr>
              <w:t>s</w:t>
            </w:r>
            <w:r w:rsidRPr="0085459F">
              <w:rPr>
                <w:rFonts w:ascii="Arial Narrow" w:hAnsi="Arial Narrow"/>
                <w:i/>
              </w:rPr>
              <w:t xml:space="preserve"> taking a strong or moderate CYP2D6 inhibitor concomitantly with a str</w:t>
            </w:r>
            <w:r>
              <w:rPr>
                <w:rFonts w:ascii="Arial Narrow" w:hAnsi="Arial Narrow"/>
                <w:i/>
              </w:rPr>
              <w:t xml:space="preserve">ong or moderate CYP3A inhibitor. Eliglustat is also contraindicated in </w:t>
            </w:r>
            <w:r w:rsidRPr="0085459F">
              <w:rPr>
                <w:rFonts w:ascii="Arial Narrow" w:hAnsi="Arial Narrow"/>
                <w:i/>
              </w:rPr>
              <w:t>poor metaboliser</w:t>
            </w:r>
            <w:r>
              <w:rPr>
                <w:rFonts w:ascii="Arial Narrow" w:hAnsi="Arial Narrow"/>
                <w:i/>
              </w:rPr>
              <w:t>s</w:t>
            </w:r>
            <w:r w:rsidRPr="0085459F">
              <w:rPr>
                <w:rFonts w:ascii="Arial Narrow" w:hAnsi="Arial Narrow"/>
                <w:i/>
              </w:rPr>
              <w:t xml:space="preserve"> taking a strong CYP3A inhibitor. </w:t>
            </w:r>
            <w:r>
              <w:rPr>
                <w:rFonts w:ascii="Arial Narrow" w:hAnsi="Arial Narrow"/>
                <w:i/>
              </w:rPr>
              <w:t xml:space="preserve">Co-administration with a strong CYP3A inducer is also not recommended. </w:t>
            </w:r>
          </w:p>
        </w:tc>
      </w:tr>
      <w:tr w:rsidR="008B68AA" w:rsidRPr="00260CE3" w:rsidTr="002D2868">
        <w:trPr>
          <w:cantSplit/>
          <w:trHeight w:val="480"/>
        </w:trPr>
        <w:tc>
          <w:tcPr>
            <w:tcW w:w="2835" w:type="dxa"/>
            <w:tcBorders>
              <w:top w:val="single" w:sz="4" w:space="0" w:color="auto"/>
              <w:left w:val="single" w:sz="4" w:space="0" w:color="auto"/>
              <w:bottom w:val="single" w:sz="4" w:space="0" w:color="auto"/>
              <w:right w:val="single" w:sz="4" w:space="0" w:color="auto"/>
            </w:tcBorders>
          </w:tcPr>
          <w:p w:rsidR="008B68AA" w:rsidRPr="00885CBF" w:rsidRDefault="008B68AA" w:rsidP="002E78BA">
            <w:pPr>
              <w:rPr>
                <w:rFonts w:ascii="Arial Narrow" w:hAnsi="Arial Narrow"/>
                <w:b/>
                <w:sz w:val="20"/>
              </w:rPr>
            </w:pPr>
            <w:r w:rsidRPr="00260CE3">
              <w:rPr>
                <w:rFonts w:ascii="Arial Narrow" w:hAnsi="Arial Narrow"/>
                <w:b/>
                <w:sz w:val="20"/>
              </w:rPr>
              <w:t>Administrative advice</w:t>
            </w:r>
          </w:p>
        </w:tc>
        <w:tc>
          <w:tcPr>
            <w:tcW w:w="5528" w:type="dxa"/>
            <w:tcBorders>
              <w:top w:val="single" w:sz="4" w:space="0" w:color="auto"/>
              <w:left w:val="single" w:sz="4" w:space="0" w:color="auto"/>
              <w:bottom w:val="single" w:sz="4" w:space="0" w:color="auto"/>
              <w:right w:val="single" w:sz="4" w:space="0" w:color="auto"/>
            </w:tcBorders>
          </w:tcPr>
          <w:p w:rsidR="008B68AA" w:rsidRPr="004662BE" w:rsidRDefault="008B68AA" w:rsidP="00D83D5A">
            <w:pPr>
              <w:rPr>
                <w:rFonts w:ascii="Arial Narrow" w:hAnsi="Arial Narrow"/>
                <w:i/>
                <w:sz w:val="20"/>
              </w:rPr>
            </w:pPr>
            <w:r w:rsidRPr="004662BE">
              <w:rPr>
                <w:rFonts w:ascii="Arial Narrow" w:hAnsi="Arial Narrow"/>
                <w:i/>
                <w:sz w:val="20"/>
              </w:rPr>
              <w:t>For a list of CYP3A inhibitors and CYP2D6 inhibitors that may result in drug-drug interactions with eliglustat refer to the Product Information for eliglustat.</w:t>
            </w:r>
          </w:p>
        </w:tc>
      </w:tr>
    </w:tbl>
    <w:p w:rsidR="00E80C5F" w:rsidRPr="00E80C5F" w:rsidRDefault="00E80C5F" w:rsidP="00E80C5F">
      <w:pPr>
        <w:pStyle w:val="BodyText"/>
        <w:widowControl/>
        <w:jc w:val="both"/>
      </w:pPr>
    </w:p>
    <w:p w:rsidR="00FD67DE" w:rsidRDefault="00FD67DE" w:rsidP="0089629D">
      <w:pPr>
        <w:pStyle w:val="BodyText"/>
        <w:widowControl/>
        <w:numPr>
          <w:ilvl w:val="1"/>
          <w:numId w:val="31"/>
        </w:numPr>
        <w:jc w:val="both"/>
      </w:pPr>
      <w:r w:rsidRPr="00AA1839">
        <w:t xml:space="preserve">The ESC noted that CYP2D6 </w:t>
      </w:r>
      <w:r w:rsidR="005911B5" w:rsidRPr="00AA1839">
        <w:t xml:space="preserve">and CYP3A </w:t>
      </w:r>
      <w:r w:rsidRPr="00AA1839">
        <w:t xml:space="preserve">inhibitors </w:t>
      </w:r>
      <w:r w:rsidR="005911B5" w:rsidRPr="00AA1839">
        <w:t>affect</w:t>
      </w:r>
      <w:r w:rsidRPr="00AA1839">
        <w:t xml:space="preserve"> the metabolism of eliglustat and considered whether monitoring would be required. </w:t>
      </w:r>
      <w:r w:rsidR="005911B5" w:rsidRPr="00AA1839">
        <w:t>With reference to the relevant contraindications and precautions in the eliglustat Product Information, i</w:t>
      </w:r>
      <w:r w:rsidRPr="00AA1839">
        <w:t xml:space="preserve">t was agreed, however, that prescribers would likely </w:t>
      </w:r>
      <w:r w:rsidR="005911B5" w:rsidRPr="00AA1839">
        <w:t xml:space="preserve">minimise or </w:t>
      </w:r>
      <w:r w:rsidRPr="00AA1839">
        <w:t xml:space="preserve">avoid the co-administration of </w:t>
      </w:r>
      <w:r w:rsidR="005911B5" w:rsidRPr="00AA1839">
        <w:t xml:space="preserve">these </w:t>
      </w:r>
      <w:r w:rsidRPr="00AA1839">
        <w:t>interacting drugs when prescribing eliglustat.</w:t>
      </w:r>
    </w:p>
    <w:p w:rsidR="0089629D" w:rsidRDefault="0089629D" w:rsidP="0089629D">
      <w:pPr>
        <w:pStyle w:val="BodyText"/>
        <w:widowControl/>
        <w:jc w:val="both"/>
      </w:pPr>
    </w:p>
    <w:p w:rsidR="00682CAA" w:rsidRPr="0089629D" w:rsidRDefault="00682CAA" w:rsidP="0089629D">
      <w:pPr>
        <w:pStyle w:val="BodyText"/>
        <w:widowControl/>
        <w:jc w:val="both"/>
      </w:pPr>
    </w:p>
    <w:p w:rsidR="00C20466" w:rsidRPr="00407F2D" w:rsidRDefault="00C20466" w:rsidP="00C20466">
      <w:pPr>
        <w:pStyle w:val="Heading2"/>
        <w:widowControl/>
        <w:numPr>
          <w:ilvl w:val="0"/>
          <w:numId w:val="31"/>
        </w:numPr>
        <w:ind w:left="709" w:hanging="709"/>
      </w:pPr>
      <w:bookmarkStart w:id="9" w:name="_Toc392858191"/>
      <w:bookmarkStart w:id="10" w:name="_Toc419369075"/>
      <w:bookmarkStart w:id="11" w:name="_Toc419465010"/>
      <w:r w:rsidRPr="00407F2D">
        <w:t>Background</w:t>
      </w:r>
      <w:bookmarkEnd w:id="9"/>
      <w:bookmarkEnd w:id="10"/>
      <w:bookmarkEnd w:id="11"/>
    </w:p>
    <w:p w:rsidR="00B60939" w:rsidRPr="00882085" w:rsidRDefault="00B60939" w:rsidP="00B60939">
      <w:pPr>
        <w:rPr>
          <w:szCs w:val="22"/>
        </w:rPr>
      </w:pPr>
    </w:p>
    <w:p w:rsidR="00B60939" w:rsidRDefault="00AA1839" w:rsidP="001D15DC">
      <w:pPr>
        <w:pStyle w:val="BodyText"/>
        <w:widowControl/>
        <w:numPr>
          <w:ilvl w:val="1"/>
          <w:numId w:val="31"/>
        </w:numPr>
        <w:jc w:val="both"/>
        <w:rPr>
          <w:szCs w:val="22"/>
        </w:rPr>
      </w:pPr>
      <w:r>
        <w:rPr>
          <w:szCs w:val="22"/>
        </w:rPr>
        <w:t>Eliglustat</w:t>
      </w:r>
      <w:r w:rsidR="007F29AD" w:rsidRPr="007F29AD">
        <w:rPr>
          <w:szCs w:val="22"/>
        </w:rPr>
        <w:t xml:space="preserve"> was approved by the TGA for “the long term treatment of adult patients with Gaucher disease type 1 (GD1)”, effective 17 February 2015</w:t>
      </w:r>
      <w:r w:rsidR="006D0004">
        <w:rPr>
          <w:szCs w:val="22"/>
        </w:rPr>
        <w:t>.</w:t>
      </w:r>
    </w:p>
    <w:p w:rsidR="004F5D21" w:rsidRPr="0089629D" w:rsidRDefault="004F5D21" w:rsidP="004F5D21">
      <w:pPr>
        <w:pStyle w:val="PBACHeading1"/>
        <w:numPr>
          <w:ilvl w:val="0"/>
          <w:numId w:val="0"/>
        </w:numPr>
        <w:ind w:left="720" w:hanging="720"/>
        <w:rPr>
          <w:b w:val="0"/>
        </w:rPr>
      </w:pPr>
    </w:p>
    <w:p w:rsidR="00A3400D" w:rsidRPr="00522BED" w:rsidRDefault="004F5D21" w:rsidP="004B1CB4">
      <w:pPr>
        <w:pStyle w:val="BodyText"/>
        <w:widowControl/>
        <w:numPr>
          <w:ilvl w:val="1"/>
          <w:numId w:val="31"/>
        </w:numPr>
        <w:jc w:val="both"/>
        <w:rPr>
          <w:szCs w:val="22"/>
        </w:rPr>
      </w:pPr>
      <w:r w:rsidRPr="004F5D21">
        <w:rPr>
          <w:szCs w:val="22"/>
        </w:rPr>
        <w:t xml:space="preserve">The PBAC has not </w:t>
      </w:r>
      <w:r w:rsidR="00C81648" w:rsidRPr="004F5D21">
        <w:rPr>
          <w:szCs w:val="22"/>
        </w:rPr>
        <w:t xml:space="preserve">previously </w:t>
      </w:r>
      <w:r w:rsidRPr="004F5D21">
        <w:rPr>
          <w:szCs w:val="22"/>
        </w:rPr>
        <w:t>considered eliglustat for the treatment of GD1.</w:t>
      </w:r>
    </w:p>
    <w:p w:rsidR="0089629D" w:rsidRDefault="0089629D" w:rsidP="004B1CB4"/>
    <w:p w:rsidR="00682CAA" w:rsidRDefault="00682CAA" w:rsidP="004B1CB4"/>
    <w:p w:rsidR="00C20466" w:rsidRPr="00407F2D" w:rsidRDefault="00C20466" w:rsidP="00C20466">
      <w:pPr>
        <w:pStyle w:val="Heading2"/>
        <w:keepNext/>
        <w:widowControl/>
        <w:numPr>
          <w:ilvl w:val="0"/>
          <w:numId w:val="31"/>
        </w:numPr>
        <w:ind w:left="709" w:hanging="709"/>
      </w:pPr>
      <w:bookmarkStart w:id="12" w:name="_Toc392858192"/>
      <w:bookmarkStart w:id="13" w:name="_Toc419369076"/>
      <w:bookmarkStart w:id="14" w:name="_Toc419465011"/>
      <w:r w:rsidRPr="00407F2D">
        <w:t>Clinical place for the proposed therapy</w:t>
      </w:r>
      <w:bookmarkEnd w:id="12"/>
      <w:bookmarkEnd w:id="13"/>
      <w:bookmarkEnd w:id="14"/>
    </w:p>
    <w:p w:rsidR="00B60939" w:rsidRPr="00882085" w:rsidRDefault="00B60939" w:rsidP="00B60939">
      <w:pPr>
        <w:rPr>
          <w:szCs w:val="22"/>
        </w:rPr>
      </w:pPr>
    </w:p>
    <w:p w:rsidR="00894489" w:rsidRPr="004F5D21" w:rsidRDefault="004F5D21" w:rsidP="001D15DC">
      <w:pPr>
        <w:pStyle w:val="BodyText"/>
        <w:widowControl/>
        <w:numPr>
          <w:ilvl w:val="1"/>
          <w:numId w:val="31"/>
        </w:numPr>
        <w:jc w:val="both"/>
        <w:rPr>
          <w:szCs w:val="22"/>
        </w:rPr>
      </w:pPr>
      <w:r w:rsidRPr="004F5D21">
        <w:t xml:space="preserve">Gaucher disease is an autosomal recessive lysosomal storage disorder caused by acid beta-glucosidase (glucocerebrosidase or glucosylceramidase) deficiency, which results in the accumulation of its major natural substrate, glucosylceramide (GL-1), especially in cells of the liver, spleen, and bone marrow.  Three clinical subtypes of Gaucher disease are recognised: type 1 (non-neuropathic), type 2 (acute neuropathic), and type 3 (subacute/chronic neuropathic).  Gaucher disease type 1 (GD1) is the most common subtype in the US, Canada, and Europe, representing approximately 94% of </w:t>
      </w:r>
      <w:r w:rsidR="0089629D">
        <w:t>the Gaucher disease population.</w:t>
      </w:r>
    </w:p>
    <w:p w:rsidR="004F5D21" w:rsidRPr="0089629D" w:rsidRDefault="004F5D21" w:rsidP="004F5D21">
      <w:pPr>
        <w:pStyle w:val="PBACHeading1"/>
        <w:numPr>
          <w:ilvl w:val="0"/>
          <w:numId w:val="0"/>
        </w:numPr>
        <w:ind w:left="720" w:hanging="720"/>
        <w:rPr>
          <w:b w:val="0"/>
        </w:rPr>
      </w:pPr>
    </w:p>
    <w:p w:rsidR="002C2775" w:rsidRPr="00522BED" w:rsidRDefault="004F5D21" w:rsidP="002C2775">
      <w:pPr>
        <w:pStyle w:val="BodyText"/>
        <w:widowControl/>
        <w:numPr>
          <w:ilvl w:val="1"/>
          <w:numId w:val="31"/>
        </w:numPr>
        <w:jc w:val="both"/>
      </w:pPr>
      <w:r w:rsidRPr="004F5D21">
        <w:rPr>
          <w:szCs w:val="22"/>
        </w:rPr>
        <w:t>Elig</w:t>
      </w:r>
      <w:r w:rsidR="0025792A">
        <w:rPr>
          <w:szCs w:val="22"/>
        </w:rPr>
        <w:t>lustat was nominated as a first-</w:t>
      </w:r>
      <w:r w:rsidRPr="004F5D21">
        <w:rPr>
          <w:szCs w:val="22"/>
        </w:rPr>
        <w:t xml:space="preserve">line </w:t>
      </w:r>
      <w:r w:rsidR="00C81648">
        <w:rPr>
          <w:szCs w:val="22"/>
        </w:rPr>
        <w:t xml:space="preserve">oral </w:t>
      </w:r>
      <w:r w:rsidRPr="004F5D21">
        <w:rPr>
          <w:szCs w:val="22"/>
        </w:rPr>
        <w:t xml:space="preserve">therapy (alongside </w:t>
      </w:r>
      <w:r w:rsidR="00C81648">
        <w:rPr>
          <w:szCs w:val="22"/>
        </w:rPr>
        <w:t xml:space="preserve">intravenous </w:t>
      </w:r>
      <w:r w:rsidRPr="004F5D21">
        <w:rPr>
          <w:szCs w:val="22"/>
        </w:rPr>
        <w:t>imiglucerase and velaglucerase</w:t>
      </w:r>
      <w:r w:rsidR="006D0004">
        <w:rPr>
          <w:szCs w:val="22"/>
        </w:rPr>
        <w:t>-alfa</w:t>
      </w:r>
      <w:r w:rsidRPr="004F5D21">
        <w:rPr>
          <w:szCs w:val="22"/>
        </w:rPr>
        <w:t>) for GD1</w:t>
      </w:r>
      <w:r w:rsidR="0025792A">
        <w:rPr>
          <w:szCs w:val="22"/>
        </w:rPr>
        <w:t xml:space="preserve"> patients with at least one GD1-</w:t>
      </w:r>
      <w:r w:rsidRPr="004F5D21">
        <w:rPr>
          <w:szCs w:val="22"/>
        </w:rPr>
        <w:t>related symptom.</w:t>
      </w:r>
    </w:p>
    <w:p w:rsidR="0089629D" w:rsidRDefault="0089629D" w:rsidP="002C2775">
      <w:pPr>
        <w:widowControl/>
        <w:rPr>
          <w:szCs w:val="22"/>
        </w:rPr>
      </w:pPr>
    </w:p>
    <w:p w:rsidR="00682CAA" w:rsidRPr="004F5D21" w:rsidRDefault="00682CAA" w:rsidP="002C2775">
      <w:pPr>
        <w:widowControl/>
        <w:rPr>
          <w:szCs w:val="22"/>
        </w:rPr>
      </w:pPr>
    </w:p>
    <w:p w:rsidR="00C20466" w:rsidRPr="00367AC0" w:rsidRDefault="00C20466" w:rsidP="00C20466">
      <w:pPr>
        <w:pStyle w:val="Heading2"/>
        <w:keepNext/>
        <w:widowControl/>
        <w:numPr>
          <w:ilvl w:val="0"/>
          <w:numId w:val="31"/>
        </w:numPr>
        <w:ind w:left="709" w:hanging="709"/>
        <w:rPr>
          <w:i/>
        </w:rPr>
      </w:pPr>
      <w:bookmarkStart w:id="15" w:name="_Toc398652403"/>
      <w:bookmarkStart w:id="16" w:name="_Toc419369077"/>
      <w:bookmarkStart w:id="17" w:name="_Toc419465012"/>
      <w:r w:rsidRPr="00367AC0">
        <w:t>Comparator</w:t>
      </w:r>
      <w:bookmarkEnd w:id="15"/>
      <w:bookmarkEnd w:id="16"/>
      <w:bookmarkEnd w:id="17"/>
    </w:p>
    <w:p w:rsidR="00B60939" w:rsidRPr="00882085" w:rsidRDefault="00B60939" w:rsidP="004B1CB4"/>
    <w:p w:rsidR="00B60939" w:rsidRPr="00AA1839" w:rsidRDefault="004F5D21" w:rsidP="001D15DC">
      <w:pPr>
        <w:pStyle w:val="BodyText"/>
        <w:widowControl/>
        <w:numPr>
          <w:ilvl w:val="1"/>
          <w:numId w:val="31"/>
        </w:numPr>
        <w:jc w:val="both"/>
        <w:rPr>
          <w:szCs w:val="22"/>
        </w:rPr>
      </w:pPr>
      <w:r w:rsidRPr="004F5D21">
        <w:t xml:space="preserve">Imiglucerase and </w:t>
      </w:r>
      <w:r w:rsidR="00F01E48" w:rsidRPr="004F5D21">
        <w:t>velaglucerase</w:t>
      </w:r>
      <w:r w:rsidR="00F01E48">
        <w:t>-alfa</w:t>
      </w:r>
      <w:r w:rsidRPr="004F5D21">
        <w:t xml:space="preserve"> were nominated as the comparators.</w:t>
      </w:r>
      <w:r w:rsidR="00F067A2" w:rsidRPr="004F5D21">
        <w:t xml:space="preserve">  </w:t>
      </w:r>
      <w:r w:rsidR="00C56A19" w:rsidRPr="00AA1839">
        <w:t>The ESC accepted the nominated comparators, however questioned whether miglustat, despite currently not being used in Australia, could also be an appropriate comparator.</w:t>
      </w:r>
    </w:p>
    <w:p w:rsidR="004F5D21" w:rsidRDefault="004F5D21" w:rsidP="004F5D21">
      <w:pPr>
        <w:pStyle w:val="PBACHeading1"/>
        <w:numPr>
          <w:ilvl w:val="0"/>
          <w:numId w:val="0"/>
        </w:numPr>
        <w:ind w:left="720" w:hanging="720"/>
        <w:rPr>
          <w:b w:val="0"/>
        </w:rPr>
      </w:pPr>
    </w:p>
    <w:p w:rsidR="00A3400D" w:rsidRPr="00522BED" w:rsidRDefault="00A3400D" w:rsidP="00A3400D">
      <w:pPr>
        <w:pStyle w:val="ListParagraph"/>
        <w:rPr>
          <w:i/>
          <w:szCs w:val="22"/>
        </w:rPr>
      </w:pPr>
      <w:r w:rsidRPr="00522BED">
        <w:rPr>
          <w:i/>
          <w:szCs w:val="22"/>
        </w:rPr>
        <w:t>For more detail on PBAC’s view, see section 7 “PBAC outcome”</w:t>
      </w:r>
      <w:r w:rsidR="00682CAA">
        <w:rPr>
          <w:i/>
          <w:szCs w:val="22"/>
        </w:rPr>
        <w:t>.</w:t>
      </w:r>
    </w:p>
    <w:p w:rsidR="00A3400D" w:rsidRPr="00682CAA" w:rsidRDefault="00A3400D" w:rsidP="00682CAA">
      <w:pPr>
        <w:rPr>
          <w:szCs w:val="22"/>
        </w:rPr>
      </w:pPr>
    </w:p>
    <w:p w:rsidR="0089629D" w:rsidRPr="0089629D" w:rsidRDefault="0089629D" w:rsidP="004F5D21">
      <w:pPr>
        <w:pStyle w:val="PBACHeading1"/>
        <w:numPr>
          <w:ilvl w:val="0"/>
          <w:numId w:val="0"/>
        </w:numPr>
        <w:ind w:left="720" w:hanging="720"/>
        <w:rPr>
          <w:b w:val="0"/>
        </w:rPr>
      </w:pPr>
    </w:p>
    <w:p w:rsidR="00C20466" w:rsidRPr="00B66020" w:rsidRDefault="00C20466" w:rsidP="00C20466">
      <w:pPr>
        <w:pStyle w:val="Heading2"/>
        <w:widowControl/>
        <w:numPr>
          <w:ilvl w:val="0"/>
          <w:numId w:val="31"/>
        </w:numPr>
        <w:ind w:left="709" w:hanging="709"/>
      </w:pPr>
      <w:bookmarkStart w:id="18" w:name="_Toc419369078"/>
      <w:bookmarkStart w:id="19" w:name="_Toc419465013"/>
      <w:r w:rsidRPr="00B66020">
        <w:t>Consideration of the evidence</w:t>
      </w:r>
      <w:bookmarkEnd w:id="18"/>
      <w:bookmarkEnd w:id="19"/>
    </w:p>
    <w:p w:rsidR="00B60939" w:rsidRPr="00882085" w:rsidRDefault="00B60939" w:rsidP="00A3400D"/>
    <w:p w:rsidR="00A3400D" w:rsidRPr="00522BED" w:rsidRDefault="00A3400D" w:rsidP="00A3400D">
      <w:pPr>
        <w:spacing w:after="200" w:line="276" w:lineRule="auto"/>
        <w:rPr>
          <w:b/>
          <w:bCs/>
          <w:i/>
          <w:szCs w:val="22"/>
        </w:rPr>
      </w:pPr>
      <w:bookmarkStart w:id="20" w:name="_Toc419465014"/>
      <w:r w:rsidRPr="00522BED">
        <w:rPr>
          <w:b/>
          <w:bCs/>
          <w:i/>
          <w:szCs w:val="22"/>
        </w:rPr>
        <w:t>Sponsor hearing</w:t>
      </w:r>
    </w:p>
    <w:p w:rsidR="00A3400D" w:rsidRPr="00522BED" w:rsidRDefault="00A3400D" w:rsidP="00A3400D">
      <w:pPr>
        <w:pStyle w:val="BodyText"/>
        <w:widowControl/>
        <w:numPr>
          <w:ilvl w:val="1"/>
          <w:numId w:val="31"/>
        </w:numPr>
        <w:jc w:val="both"/>
        <w:rPr>
          <w:bCs/>
          <w:szCs w:val="22"/>
        </w:rPr>
      </w:pPr>
      <w:r w:rsidRPr="00522BED">
        <w:rPr>
          <w:bCs/>
          <w:szCs w:val="22"/>
        </w:rPr>
        <w:t>There was no hearing for this item.</w:t>
      </w:r>
    </w:p>
    <w:p w:rsidR="00A3400D" w:rsidRPr="003A49F2" w:rsidRDefault="00A3400D" w:rsidP="00A3400D">
      <w:pPr>
        <w:rPr>
          <w:bCs/>
          <w:szCs w:val="22"/>
          <w:highlight w:val="yellow"/>
        </w:rPr>
      </w:pPr>
    </w:p>
    <w:p w:rsidR="00A3400D" w:rsidRPr="00522BED" w:rsidRDefault="00A3400D" w:rsidP="00A3400D">
      <w:pPr>
        <w:spacing w:after="200" w:line="276" w:lineRule="auto"/>
        <w:rPr>
          <w:b/>
          <w:bCs/>
          <w:i/>
          <w:szCs w:val="22"/>
        </w:rPr>
      </w:pPr>
      <w:r w:rsidRPr="00522BED">
        <w:rPr>
          <w:b/>
          <w:bCs/>
          <w:i/>
          <w:szCs w:val="22"/>
        </w:rPr>
        <w:t>Consumer comments</w:t>
      </w:r>
    </w:p>
    <w:p w:rsidR="00A3400D" w:rsidRPr="00522BED" w:rsidRDefault="00A3400D" w:rsidP="00522BED">
      <w:pPr>
        <w:pStyle w:val="BodyText"/>
        <w:widowControl/>
        <w:numPr>
          <w:ilvl w:val="1"/>
          <w:numId w:val="31"/>
        </w:numPr>
        <w:jc w:val="both"/>
        <w:rPr>
          <w:bCs/>
          <w:szCs w:val="22"/>
        </w:rPr>
      </w:pPr>
      <w:r w:rsidRPr="00522BED">
        <w:rPr>
          <w:bCs/>
          <w:szCs w:val="22"/>
        </w:rPr>
        <w:t>The PBAC noted that no consumer comments were received for this item</w:t>
      </w:r>
      <w:r w:rsidR="00682CAA">
        <w:rPr>
          <w:bCs/>
          <w:szCs w:val="22"/>
        </w:rPr>
        <w:t>.</w:t>
      </w:r>
    </w:p>
    <w:p w:rsidR="00A3400D" w:rsidRDefault="00A3400D" w:rsidP="00A3400D">
      <w:pPr>
        <w:pStyle w:val="Heading2"/>
        <w:rPr>
          <w:bCs/>
          <w:szCs w:val="22"/>
        </w:rPr>
      </w:pPr>
    </w:p>
    <w:p w:rsidR="005511DD" w:rsidRDefault="005511DD">
      <w:pPr>
        <w:widowControl/>
        <w:jc w:val="left"/>
        <w:rPr>
          <w:b/>
          <w:i/>
        </w:rPr>
      </w:pPr>
      <w:r>
        <w:rPr>
          <w:i/>
        </w:rPr>
        <w:br w:type="page"/>
      </w:r>
    </w:p>
    <w:p w:rsidR="00B60939" w:rsidRPr="002C2775" w:rsidRDefault="00B60939" w:rsidP="00A3400D">
      <w:pPr>
        <w:pStyle w:val="Heading2"/>
        <w:rPr>
          <w:i/>
        </w:rPr>
      </w:pPr>
      <w:r w:rsidRPr="002C2775">
        <w:rPr>
          <w:i/>
        </w:rPr>
        <w:t>Clinical trials</w:t>
      </w:r>
      <w:bookmarkEnd w:id="20"/>
    </w:p>
    <w:p w:rsidR="00B60939" w:rsidRPr="00882085" w:rsidRDefault="00B60939" w:rsidP="00B60939">
      <w:pPr>
        <w:rPr>
          <w:szCs w:val="22"/>
        </w:rPr>
      </w:pPr>
    </w:p>
    <w:p w:rsidR="007F1017" w:rsidRPr="00B50DB8" w:rsidRDefault="00862502" w:rsidP="001D15DC">
      <w:pPr>
        <w:pStyle w:val="BodyText"/>
        <w:widowControl/>
        <w:numPr>
          <w:ilvl w:val="1"/>
          <w:numId w:val="31"/>
        </w:numPr>
        <w:jc w:val="both"/>
        <w:rPr>
          <w:szCs w:val="22"/>
        </w:rPr>
      </w:pPr>
      <w:r w:rsidRPr="00862502">
        <w:t xml:space="preserve">The submission </w:t>
      </w:r>
      <w:r w:rsidR="00273B63">
        <w:t>wa</w:t>
      </w:r>
      <w:r w:rsidRPr="00862502">
        <w:t xml:space="preserve">s based on one head-to-head trial </w:t>
      </w:r>
      <w:r w:rsidR="00A27B61">
        <w:t xml:space="preserve">(ENCORE) </w:t>
      </w:r>
      <w:r w:rsidRPr="00862502">
        <w:t xml:space="preserve">comparing </w:t>
      </w:r>
      <w:r w:rsidR="00A27B61">
        <w:t>eliglustat</w:t>
      </w:r>
      <w:r w:rsidRPr="00862502">
        <w:t xml:space="preserve"> to </w:t>
      </w:r>
      <w:r w:rsidR="00A27B61">
        <w:t>imiglucerase (n=159</w:t>
      </w:r>
      <w:r w:rsidRPr="00862502">
        <w:t>).</w:t>
      </w:r>
      <w:r w:rsidR="00A27B61">
        <w:t xml:space="preserve">  </w:t>
      </w:r>
      <w:r w:rsidR="00A27B61" w:rsidRPr="0009045E">
        <w:rPr>
          <w:iCs/>
        </w:rPr>
        <w:t>One s</w:t>
      </w:r>
      <w:r w:rsidR="00266DEF" w:rsidRPr="0009045E">
        <w:rPr>
          <w:iCs/>
        </w:rPr>
        <w:t>upplementary</w:t>
      </w:r>
      <w:r w:rsidR="00A27B61" w:rsidRPr="0009045E">
        <w:rPr>
          <w:iCs/>
        </w:rPr>
        <w:t xml:space="preserve"> trial (ENGAGE) comparing eliglustat to placebo (n=40) in a predominantly treatment naïve (87.5%) population was also presented.</w:t>
      </w:r>
    </w:p>
    <w:p w:rsidR="00862502" w:rsidRPr="00862502" w:rsidRDefault="00862502" w:rsidP="00862502">
      <w:pPr>
        <w:widowControl/>
        <w:rPr>
          <w:szCs w:val="22"/>
        </w:rPr>
      </w:pPr>
    </w:p>
    <w:p w:rsidR="00862502" w:rsidRDefault="00862502" w:rsidP="001D15DC">
      <w:pPr>
        <w:pStyle w:val="BodyText"/>
        <w:widowControl/>
        <w:numPr>
          <w:ilvl w:val="1"/>
          <w:numId w:val="31"/>
        </w:numPr>
        <w:jc w:val="both"/>
        <w:rPr>
          <w:szCs w:val="22"/>
        </w:rPr>
      </w:pPr>
      <w:r w:rsidRPr="00B50DB8">
        <w:rPr>
          <w:szCs w:val="22"/>
        </w:rPr>
        <w:t xml:space="preserve">Details of the trials presented in </w:t>
      </w:r>
      <w:r w:rsidR="006D0004">
        <w:rPr>
          <w:szCs w:val="22"/>
        </w:rPr>
        <w:t>the submission are provided in T</w:t>
      </w:r>
      <w:r w:rsidRPr="00B50DB8">
        <w:rPr>
          <w:szCs w:val="22"/>
        </w:rPr>
        <w:t xml:space="preserve">able </w:t>
      </w:r>
      <w:r w:rsidR="00266DEF">
        <w:rPr>
          <w:szCs w:val="22"/>
        </w:rPr>
        <w:t>1</w:t>
      </w:r>
      <w:r w:rsidR="0089629D">
        <w:rPr>
          <w:szCs w:val="22"/>
        </w:rPr>
        <w:t>.</w:t>
      </w:r>
    </w:p>
    <w:p w:rsidR="00682CAA" w:rsidRPr="00B50DB8" w:rsidRDefault="00682CAA" w:rsidP="00682CAA">
      <w:pPr>
        <w:pStyle w:val="BodyText"/>
        <w:widowControl/>
        <w:jc w:val="both"/>
        <w:rPr>
          <w:szCs w:val="22"/>
        </w:rPr>
      </w:pPr>
    </w:p>
    <w:p w:rsidR="008F120A" w:rsidRDefault="008F120A" w:rsidP="00E22A0D">
      <w:pPr>
        <w:ind w:firstLine="720"/>
        <w:rPr>
          <w:rStyle w:val="CommentReference"/>
        </w:rPr>
      </w:pPr>
      <w:r w:rsidRPr="000812CA">
        <w:rPr>
          <w:rStyle w:val="CommentReference"/>
        </w:rPr>
        <w:t xml:space="preserve">Table </w:t>
      </w:r>
      <w:r w:rsidR="00266DEF">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8F120A" w:rsidRPr="004E2ADC" w:rsidTr="00E22A0D">
        <w:tc>
          <w:tcPr>
            <w:tcW w:w="1019" w:type="pct"/>
          </w:tcPr>
          <w:p w:rsidR="008F120A" w:rsidRPr="004E2ADC" w:rsidRDefault="008F120A" w:rsidP="0018752F">
            <w:pPr>
              <w:jc w:val="left"/>
              <w:rPr>
                <w:rFonts w:ascii="Arial Narrow" w:hAnsi="Arial Narrow"/>
                <w:b/>
                <w:sz w:val="20"/>
              </w:rPr>
            </w:pPr>
            <w:r w:rsidRPr="004E2ADC">
              <w:rPr>
                <w:rFonts w:ascii="Arial Narrow" w:hAnsi="Arial Narrow"/>
                <w:b/>
                <w:sz w:val="20"/>
              </w:rPr>
              <w:t>Trial ID</w:t>
            </w:r>
            <w:r w:rsidR="00E22A0D">
              <w:rPr>
                <w:rFonts w:ascii="Arial Narrow" w:hAnsi="Arial Narrow"/>
                <w:b/>
                <w:sz w:val="20"/>
              </w:rPr>
              <w:t>/First Author</w:t>
            </w:r>
          </w:p>
        </w:tc>
        <w:tc>
          <w:tcPr>
            <w:tcW w:w="2804" w:type="pct"/>
          </w:tcPr>
          <w:p w:rsidR="008F120A" w:rsidRPr="004E2ADC" w:rsidRDefault="008F120A" w:rsidP="0018752F">
            <w:pPr>
              <w:jc w:val="center"/>
              <w:rPr>
                <w:rFonts w:ascii="Arial Narrow" w:hAnsi="Arial Narrow"/>
                <w:b/>
                <w:sz w:val="20"/>
              </w:rPr>
            </w:pPr>
            <w:r w:rsidRPr="004E2ADC">
              <w:rPr>
                <w:rFonts w:ascii="Arial Narrow" w:hAnsi="Arial Narrow"/>
                <w:b/>
                <w:sz w:val="20"/>
              </w:rPr>
              <w:t>Protocol title/ Publication title</w:t>
            </w:r>
          </w:p>
        </w:tc>
        <w:tc>
          <w:tcPr>
            <w:tcW w:w="1177" w:type="pct"/>
          </w:tcPr>
          <w:p w:rsidR="008F120A" w:rsidRPr="004E2ADC" w:rsidRDefault="008F120A" w:rsidP="0018752F">
            <w:pPr>
              <w:jc w:val="center"/>
              <w:rPr>
                <w:rFonts w:ascii="Arial Narrow" w:hAnsi="Arial Narrow"/>
                <w:b/>
                <w:sz w:val="20"/>
              </w:rPr>
            </w:pPr>
            <w:r w:rsidRPr="004E2ADC">
              <w:rPr>
                <w:rFonts w:ascii="Arial Narrow" w:hAnsi="Arial Narrow"/>
                <w:b/>
                <w:sz w:val="20"/>
              </w:rPr>
              <w:t>Publication citation</w:t>
            </w:r>
          </w:p>
        </w:tc>
      </w:tr>
      <w:tr w:rsidR="008F120A" w:rsidRPr="004E2ADC" w:rsidTr="00E22A0D">
        <w:tc>
          <w:tcPr>
            <w:tcW w:w="5000" w:type="pct"/>
            <w:gridSpan w:val="3"/>
          </w:tcPr>
          <w:p w:rsidR="008F120A" w:rsidRPr="004E2ADC" w:rsidRDefault="008F120A" w:rsidP="006D0004">
            <w:pPr>
              <w:jc w:val="left"/>
              <w:rPr>
                <w:rFonts w:ascii="Arial Narrow" w:hAnsi="Arial Narrow"/>
                <w:b/>
                <w:sz w:val="20"/>
              </w:rPr>
            </w:pPr>
            <w:r w:rsidRPr="004E2ADC">
              <w:rPr>
                <w:rFonts w:ascii="Arial Narrow" w:hAnsi="Arial Narrow"/>
                <w:b/>
                <w:sz w:val="20"/>
              </w:rPr>
              <w:t>Direct randomised trial</w:t>
            </w:r>
          </w:p>
        </w:tc>
      </w:tr>
      <w:tr w:rsidR="00266DEF" w:rsidRPr="004E2ADC" w:rsidTr="00E22A0D">
        <w:tc>
          <w:tcPr>
            <w:tcW w:w="1019" w:type="pct"/>
          </w:tcPr>
          <w:p w:rsidR="00266DEF" w:rsidRPr="00FF0A45" w:rsidRDefault="00266DEF" w:rsidP="005D616E">
            <w:pPr>
              <w:spacing w:before="40" w:after="40"/>
              <w:rPr>
                <w:rFonts w:ascii="Arial Narrow" w:hAnsi="Arial Narrow"/>
                <w:sz w:val="19"/>
                <w:szCs w:val="19"/>
              </w:rPr>
            </w:pPr>
            <w:r w:rsidRPr="00FF0A45">
              <w:rPr>
                <w:rFonts w:ascii="Arial Narrow" w:hAnsi="Arial Narrow"/>
                <w:sz w:val="19"/>
                <w:szCs w:val="19"/>
              </w:rPr>
              <w:t xml:space="preserve">ENCORE </w:t>
            </w:r>
            <w:r>
              <w:rPr>
                <w:rFonts w:ascii="Arial Narrow" w:hAnsi="Arial Narrow"/>
                <w:sz w:val="19"/>
                <w:szCs w:val="19"/>
              </w:rPr>
              <w:t>(</w:t>
            </w:r>
            <w:r w:rsidRPr="00FF0A45">
              <w:rPr>
                <w:rFonts w:ascii="Arial Narrow" w:hAnsi="Arial Narrow"/>
                <w:sz w:val="19"/>
                <w:szCs w:val="19"/>
              </w:rPr>
              <w:t>GZGD02607</w:t>
            </w:r>
            <w:r>
              <w:rPr>
                <w:rFonts w:ascii="Arial Narrow" w:hAnsi="Arial Narrow"/>
                <w:sz w:val="19"/>
                <w:szCs w:val="19"/>
              </w:rPr>
              <w:t>)</w:t>
            </w:r>
          </w:p>
        </w:tc>
        <w:tc>
          <w:tcPr>
            <w:tcW w:w="2804" w:type="pct"/>
          </w:tcPr>
          <w:p w:rsidR="00266DEF" w:rsidRDefault="00266DEF" w:rsidP="00266DEF">
            <w:pPr>
              <w:jc w:val="left"/>
              <w:rPr>
                <w:rFonts w:ascii="Arial Narrow" w:hAnsi="Arial Narrow"/>
                <w:sz w:val="19"/>
                <w:szCs w:val="19"/>
              </w:rPr>
            </w:pPr>
            <w:r w:rsidRPr="00FF0A45">
              <w:rPr>
                <w:rFonts w:ascii="Arial Narrow" w:hAnsi="Arial Narrow"/>
                <w:sz w:val="19"/>
                <w:szCs w:val="19"/>
              </w:rPr>
              <w:t xml:space="preserve">Primary Analysis Period Clinical Study Report. A Phase 3, Randomized, Multi-Center, Multi-National, Open-Label, Active Comparator Study to Evaluate the Efficacy and Safety of Genz-112638 in Patients with Gaucher Disease Type 1 who have Reached Therapeutic Goals with Enzyme Replacement Therapy (ENCORE). </w:t>
            </w:r>
          </w:p>
          <w:p w:rsidR="00266DEF" w:rsidRDefault="00266DEF" w:rsidP="00266DEF">
            <w:pPr>
              <w:jc w:val="left"/>
              <w:rPr>
                <w:rFonts w:ascii="Arial Narrow" w:hAnsi="Arial Narrow"/>
                <w:sz w:val="19"/>
                <w:szCs w:val="19"/>
              </w:rPr>
            </w:pPr>
          </w:p>
          <w:p w:rsidR="00266DEF" w:rsidRPr="00FF0A45" w:rsidRDefault="00266DEF" w:rsidP="00266DEF">
            <w:pPr>
              <w:jc w:val="left"/>
              <w:rPr>
                <w:rFonts w:ascii="Arial Narrow" w:hAnsi="Arial Narrow"/>
                <w:sz w:val="19"/>
                <w:szCs w:val="19"/>
              </w:rPr>
            </w:pPr>
            <w:r w:rsidRPr="00FF0A45">
              <w:rPr>
                <w:rFonts w:ascii="Arial Narrow" w:hAnsi="Arial Narrow"/>
                <w:sz w:val="19"/>
                <w:szCs w:val="19"/>
              </w:rPr>
              <w:t>104-WEEK RESULTS MEMO REPORT. Phase 3, Randomized, Multi-Center, Multi-National, Open-Label, Active Comparator Study to Evaluate the Efficacy and Safety of Genz-112638 in Patients with Gaucher Disease Type 1 who have Reached Therapeutic Goals with Enzyme Replacement Therapy</w:t>
            </w:r>
            <w:r w:rsidR="0054080D">
              <w:rPr>
                <w:rFonts w:ascii="Arial Narrow" w:hAnsi="Arial Narrow"/>
                <w:sz w:val="19"/>
                <w:szCs w:val="19"/>
              </w:rPr>
              <w:t>.</w:t>
            </w:r>
          </w:p>
        </w:tc>
        <w:tc>
          <w:tcPr>
            <w:tcW w:w="1177" w:type="pct"/>
          </w:tcPr>
          <w:p w:rsidR="00266DEF" w:rsidRDefault="00266DEF" w:rsidP="00266DEF">
            <w:pPr>
              <w:jc w:val="left"/>
              <w:rPr>
                <w:rFonts w:ascii="Arial Narrow" w:hAnsi="Arial Narrow"/>
                <w:sz w:val="19"/>
                <w:szCs w:val="19"/>
              </w:rPr>
            </w:pPr>
            <w:r w:rsidRPr="00FF0A45">
              <w:rPr>
                <w:rFonts w:ascii="Arial Narrow" w:hAnsi="Arial Narrow"/>
                <w:sz w:val="19"/>
                <w:szCs w:val="19"/>
              </w:rPr>
              <w:t>Clinical study report  52 week primary analysis period</w:t>
            </w:r>
            <w:r>
              <w:rPr>
                <w:rFonts w:ascii="Arial Narrow" w:hAnsi="Arial Narrow"/>
                <w:sz w:val="19"/>
                <w:szCs w:val="19"/>
              </w:rPr>
              <w:t xml:space="preserve"> [</w:t>
            </w:r>
            <w:r w:rsidRPr="00FF0A45">
              <w:rPr>
                <w:rFonts w:ascii="Arial Narrow" w:hAnsi="Arial Narrow"/>
                <w:sz w:val="19"/>
                <w:szCs w:val="19"/>
              </w:rPr>
              <w:t>18 April 2014</w:t>
            </w:r>
            <w:r>
              <w:rPr>
                <w:rFonts w:ascii="Arial Narrow" w:hAnsi="Arial Narrow"/>
                <w:sz w:val="19"/>
                <w:szCs w:val="19"/>
              </w:rPr>
              <w:t>]</w:t>
            </w:r>
          </w:p>
          <w:p w:rsidR="00266DEF" w:rsidRDefault="00266DEF" w:rsidP="00266DEF">
            <w:pPr>
              <w:jc w:val="left"/>
              <w:rPr>
                <w:rFonts w:ascii="Arial Narrow" w:hAnsi="Arial Narrow"/>
                <w:sz w:val="19"/>
                <w:szCs w:val="19"/>
              </w:rPr>
            </w:pPr>
          </w:p>
          <w:p w:rsidR="00266DEF" w:rsidRDefault="00266DEF" w:rsidP="00266DEF">
            <w:pPr>
              <w:jc w:val="left"/>
              <w:rPr>
                <w:rFonts w:ascii="Arial Narrow" w:hAnsi="Arial Narrow"/>
                <w:sz w:val="19"/>
                <w:szCs w:val="19"/>
              </w:rPr>
            </w:pPr>
          </w:p>
          <w:p w:rsidR="00266DEF" w:rsidRDefault="00266DEF" w:rsidP="00266DEF">
            <w:pPr>
              <w:jc w:val="left"/>
              <w:rPr>
                <w:rFonts w:ascii="Arial Narrow" w:hAnsi="Arial Narrow"/>
                <w:sz w:val="19"/>
                <w:szCs w:val="19"/>
              </w:rPr>
            </w:pPr>
          </w:p>
          <w:p w:rsidR="00266DEF" w:rsidRDefault="00266DEF" w:rsidP="00266DEF">
            <w:pPr>
              <w:jc w:val="left"/>
              <w:rPr>
                <w:rFonts w:ascii="Arial Narrow" w:hAnsi="Arial Narrow"/>
                <w:bCs/>
                <w:sz w:val="19"/>
                <w:szCs w:val="19"/>
              </w:rPr>
            </w:pPr>
          </w:p>
          <w:p w:rsidR="00266DEF" w:rsidRPr="00FF0A45" w:rsidRDefault="00266DEF" w:rsidP="00266DEF">
            <w:pPr>
              <w:jc w:val="left"/>
              <w:rPr>
                <w:rFonts w:ascii="Arial Narrow" w:hAnsi="Arial Narrow"/>
                <w:sz w:val="19"/>
                <w:szCs w:val="19"/>
              </w:rPr>
            </w:pPr>
            <w:r w:rsidRPr="00FF0A45">
              <w:rPr>
                <w:rFonts w:ascii="Arial Narrow" w:hAnsi="Arial Narrow"/>
                <w:bCs/>
                <w:sz w:val="19"/>
                <w:szCs w:val="19"/>
              </w:rPr>
              <w:t>104-Week Results Memo Report</w:t>
            </w:r>
          </w:p>
        </w:tc>
      </w:tr>
      <w:tr w:rsidR="008F120A" w:rsidRPr="004E2ADC" w:rsidTr="00E22A0D">
        <w:tc>
          <w:tcPr>
            <w:tcW w:w="5000" w:type="pct"/>
            <w:gridSpan w:val="3"/>
          </w:tcPr>
          <w:p w:rsidR="008F120A" w:rsidRPr="004E2ADC" w:rsidRDefault="008F120A" w:rsidP="006D0004">
            <w:pPr>
              <w:jc w:val="left"/>
              <w:rPr>
                <w:rFonts w:ascii="Arial Narrow" w:hAnsi="Arial Narrow"/>
                <w:b/>
                <w:sz w:val="20"/>
              </w:rPr>
            </w:pPr>
            <w:r w:rsidRPr="004E2ADC">
              <w:rPr>
                <w:rFonts w:ascii="Arial Narrow" w:hAnsi="Arial Narrow"/>
                <w:b/>
                <w:sz w:val="20"/>
              </w:rPr>
              <w:t>Supplementary randomised trial</w:t>
            </w:r>
          </w:p>
        </w:tc>
      </w:tr>
      <w:tr w:rsidR="00266DEF" w:rsidRPr="004E2ADC" w:rsidTr="00E22A0D">
        <w:tc>
          <w:tcPr>
            <w:tcW w:w="1019" w:type="pct"/>
          </w:tcPr>
          <w:p w:rsidR="00266DEF" w:rsidRPr="00FF0A45" w:rsidRDefault="00266DEF" w:rsidP="005D616E">
            <w:pPr>
              <w:spacing w:before="40" w:after="40"/>
              <w:rPr>
                <w:rFonts w:ascii="Arial Narrow" w:hAnsi="Arial Narrow"/>
                <w:sz w:val="19"/>
                <w:szCs w:val="19"/>
              </w:rPr>
            </w:pPr>
            <w:r w:rsidRPr="00FF0A45">
              <w:rPr>
                <w:rFonts w:ascii="Arial Narrow" w:hAnsi="Arial Narrow"/>
                <w:sz w:val="19"/>
                <w:szCs w:val="19"/>
              </w:rPr>
              <w:t xml:space="preserve">ENGAGE </w:t>
            </w:r>
            <w:r>
              <w:rPr>
                <w:rFonts w:ascii="Arial Narrow" w:hAnsi="Arial Narrow"/>
                <w:sz w:val="19"/>
                <w:szCs w:val="19"/>
              </w:rPr>
              <w:t>(</w:t>
            </w:r>
            <w:r w:rsidRPr="00FF0A45">
              <w:rPr>
                <w:rFonts w:ascii="Arial Narrow" w:hAnsi="Arial Narrow"/>
                <w:sz w:val="19"/>
                <w:szCs w:val="19"/>
              </w:rPr>
              <w:t>GZGD02507</w:t>
            </w:r>
            <w:r>
              <w:rPr>
                <w:rFonts w:ascii="Arial Narrow" w:hAnsi="Arial Narrow"/>
                <w:sz w:val="19"/>
                <w:szCs w:val="19"/>
              </w:rPr>
              <w:t>)</w:t>
            </w:r>
          </w:p>
        </w:tc>
        <w:tc>
          <w:tcPr>
            <w:tcW w:w="2804" w:type="pct"/>
          </w:tcPr>
          <w:p w:rsidR="00266DEF" w:rsidRDefault="00266DEF" w:rsidP="005D616E">
            <w:pPr>
              <w:spacing w:before="40" w:after="40"/>
              <w:jc w:val="left"/>
              <w:rPr>
                <w:rFonts w:ascii="Arial Narrow" w:hAnsi="Arial Narrow"/>
                <w:sz w:val="19"/>
                <w:szCs w:val="19"/>
              </w:rPr>
            </w:pPr>
            <w:r w:rsidRPr="00FF0A45">
              <w:rPr>
                <w:rFonts w:ascii="Arial Narrow" w:hAnsi="Arial Narrow"/>
                <w:sz w:val="19"/>
                <w:szCs w:val="19"/>
              </w:rPr>
              <w:t xml:space="preserve">Double-Blind Primary Analysis Period Clinical Study Report. Phase 3, Randomized, Double-Blind, Placebo-Controlled, Multi-Center Study Confirming the Efficacy and Safety of Genz-112638 in Patients with Gaucher Disease Type 1 (ENGAGE). </w:t>
            </w:r>
          </w:p>
          <w:p w:rsidR="00266DEF" w:rsidRPr="009E674D" w:rsidRDefault="00266DEF" w:rsidP="005D616E">
            <w:pPr>
              <w:spacing w:before="40" w:after="40"/>
              <w:jc w:val="left"/>
              <w:rPr>
                <w:rFonts w:ascii="Arial Narrow" w:hAnsi="Arial Narrow"/>
                <w:sz w:val="14"/>
                <w:szCs w:val="19"/>
              </w:rPr>
            </w:pPr>
          </w:p>
          <w:p w:rsidR="00266DEF" w:rsidRDefault="00266DEF" w:rsidP="005D616E">
            <w:pPr>
              <w:spacing w:before="40" w:after="40"/>
              <w:jc w:val="left"/>
              <w:rPr>
                <w:rFonts w:ascii="Arial Narrow" w:hAnsi="Arial Narrow"/>
                <w:sz w:val="19"/>
                <w:szCs w:val="19"/>
              </w:rPr>
            </w:pPr>
            <w:r w:rsidRPr="00FF0A45">
              <w:rPr>
                <w:rFonts w:ascii="Arial Narrow" w:hAnsi="Arial Narrow"/>
                <w:sz w:val="19"/>
                <w:szCs w:val="19"/>
              </w:rPr>
              <w:t>78-Week Results Memo Report. A Phase 3, Randomized, Double-Blind, Placebo-Controlled, Multi-Center Study Confirming the Efficacy and Safety of Genz-112638 in Patients with Gaucher Disease Type 1. (ENGAGE).</w:t>
            </w:r>
          </w:p>
          <w:p w:rsidR="00266DEF" w:rsidRPr="009E674D" w:rsidRDefault="00266DEF" w:rsidP="005D616E">
            <w:pPr>
              <w:spacing w:before="40" w:after="40"/>
              <w:jc w:val="left"/>
              <w:rPr>
                <w:rFonts w:ascii="Arial Narrow" w:hAnsi="Arial Narrow"/>
                <w:sz w:val="14"/>
                <w:szCs w:val="19"/>
              </w:rPr>
            </w:pPr>
          </w:p>
          <w:p w:rsidR="00266DEF" w:rsidRDefault="00266DEF" w:rsidP="005D616E">
            <w:pPr>
              <w:spacing w:before="40" w:after="40"/>
              <w:jc w:val="left"/>
              <w:rPr>
                <w:rFonts w:ascii="Arial Narrow" w:hAnsi="Arial Narrow"/>
                <w:sz w:val="19"/>
                <w:szCs w:val="19"/>
              </w:rPr>
            </w:pPr>
            <w:r w:rsidRPr="00FF0A45">
              <w:rPr>
                <w:rFonts w:ascii="Arial Narrow" w:hAnsi="Arial Narrow"/>
                <w:sz w:val="19"/>
                <w:szCs w:val="19"/>
              </w:rPr>
              <w:t>Turkia et al. Engage: A phase 3, randomized, double blind, placebo controlled, multi center study to investigate the efficacy and safety of eliglustat in adults with Gaucher disease type 1: 9 month results.</w:t>
            </w:r>
          </w:p>
          <w:p w:rsidR="00266DEF" w:rsidRPr="009E674D" w:rsidRDefault="00266DEF" w:rsidP="005D616E">
            <w:pPr>
              <w:spacing w:before="40" w:after="40"/>
              <w:jc w:val="left"/>
              <w:rPr>
                <w:rFonts w:ascii="Arial Narrow" w:hAnsi="Arial Narrow"/>
                <w:sz w:val="12"/>
                <w:szCs w:val="19"/>
              </w:rPr>
            </w:pPr>
          </w:p>
          <w:p w:rsidR="00266DEF" w:rsidRPr="00FF0A45" w:rsidRDefault="00266DEF" w:rsidP="005D616E">
            <w:pPr>
              <w:spacing w:before="40" w:after="40"/>
              <w:jc w:val="left"/>
              <w:rPr>
                <w:rFonts w:ascii="Arial Narrow" w:hAnsi="Arial Narrow"/>
                <w:bCs/>
                <w:sz w:val="19"/>
                <w:szCs w:val="19"/>
              </w:rPr>
            </w:pPr>
            <w:r w:rsidRPr="00FF0A45">
              <w:rPr>
                <w:rFonts w:ascii="Arial Narrow" w:hAnsi="Arial Narrow"/>
                <w:bCs/>
                <w:sz w:val="19"/>
                <w:szCs w:val="19"/>
              </w:rPr>
              <w:t>Mistry et al. Effect of Oral Eliglustat on Splenomegaly in Patients With Gaucher Disease Type 1. The ENGAGE Randomized Clinical Trial.</w:t>
            </w:r>
          </w:p>
        </w:tc>
        <w:tc>
          <w:tcPr>
            <w:tcW w:w="1177" w:type="pct"/>
          </w:tcPr>
          <w:p w:rsidR="00266DEF" w:rsidRDefault="00266DEF" w:rsidP="005D616E">
            <w:pPr>
              <w:spacing w:before="40" w:after="40"/>
              <w:jc w:val="left"/>
              <w:rPr>
                <w:rFonts w:ascii="Arial Narrow" w:hAnsi="Arial Narrow"/>
                <w:sz w:val="19"/>
                <w:szCs w:val="19"/>
              </w:rPr>
            </w:pPr>
            <w:r w:rsidRPr="00FF0A45">
              <w:rPr>
                <w:rFonts w:ascii="Arial Narrow" w:hAnsi="Arial Narrow"/>
                <w:sz w:val="19"/>
                <w:szCs w:val="19"/>
              </w:rPr>
              <w:t>Clinical study report 39 week primary analysis period</w:t>
            </w:r>
            <w:r>
              <w:rPr>
                <w:rFonts w:ascii="Arial Narrow" w:hAnsi="Arial Narrow"/>
                <w:sz w:val="19"/>
                <w:szCs w:val="19"/>
              </w:rPr>
              <w:t xml:space="preserve"> [</w:t>
            </w:r>
            <w:r w:rsidRPr="00FF0A45">
              <w:rPr>
                <w:rFonts w:ascii="Arial Narrow" w:hAnsi="Arial Narrow"/>
                <w:sz w:val="19"/>
                <w:szCs w:val="19"/>
              </w:rPr>
              <w:t>28 March 2013</w:t>
            </w:r>
            <w:r>
              <w:rPr>
                <w:rFonts w:ascii="Arial Narrow" w:hAnsi="Arial Narrow"/>
                <w:sz w:val="19"/>
                <w:szCs w:val="19"/>
              </w:rPr>
              <w:t>]</w:t>
            </w:r>
          </w:p>
          <w:p w:rsidR="00266DEF" w:rsidRDefault="00266DEF" w:rsidP="005D616E">
            <w:pPr>
              <w:spacing w:before="40" w:after="40"/>
              <w:rPr>
                <w:rFonts w:ascii="Arial Narrow" w:hAnsi="Arial Narrow"/>
                <w:bCs/>
                <w:sz w:val="19"/>
                <w:szCs w:val="19"/>
              </w:rPr>
            </w:pPr>
          </w:p>
          <w:p w:rsidR="00266DEF" w:rsidRPr="009E674D" w:rsidRDefault="00266DEF" w:rsidP="005D616E">
            <w:pPr>
              <w:spacing w:before="40" w:after="40"/>
              <w:rPr>
                <w:rFonts w:ascii="Arial Narrow" w:hAnsi="Arial Narrow"/>
                <w:bCs/>
                <w:sz w:val="8"/>
                <w:szCs w:val="19"/>
              </w:rPr>
            </w:pPr>
          </w:p>
          <w:p w:rsidR="00266DEF" w:rsidRPr="00266DEF" w:rsidRDefault="00266DEF" w:rsidP="005D616E">
            <w:pPr>
              <w:spacing w:before="40" w:after="40"/>
              <w:rPr>
                <w:rFonts w:ascii="Arial Narrow" w:hAnsi="Arial Narrow"/>
                <w:bCs/>
                <w:sz w:val="19"/>
                <w:szCs w:val="19"/>
              </w:rPr>
            </w:pPr>
            <w:r w:rsidRPr="00266DEF">
              <w:rPr>
                <w:rFonts w:ascii="Arial Narrow" w:hAnsi="Arial Narrow"/>
                <w:bCs/>
                <w:sz w:val="19"/>
                <w:szCs w:val="19"/>
              </w:rPr>
              <w:t>C78 week results memo</w:t>
            </w:r>
          </w:p>
          <w:p w:rsidR="00266DEF" w:rsidRPr="00266DEF" w:rsidRDefault="00266DEF" w:rsidP="005D616E">
            <w:pPr>
              <w:spacing w:before="40" w:after="40"/>
              <w:rPr>
                <w:rFonts w:ascii="Arial Narrow" w:hAnsi="Arial Narrow"/>
                <w:bCs/>
                <w:sz w:val="19"/>
                <w:szCs w:val="19"/>
              </w:rPr>
            </w:pPr>
            <w:r w:rsidRPr="00266DEF">
              <w:rPr>
                <w:rFonts w:ascii="Arial Narrow" w:hAnsi="Arial Narrow"/>
                <w:bCs/>
                <w:sz w:val="19"/>
                <w:szCs w:val="19"/>
              </w:rPr>
              <w:t>[07 May 2014]</w:t>
            </w:r>
          </w:p>
          <w:p w:rsidR="00266DEF" w:rsidRDefault="00266DEF" w:rsidP="005D616E">
            <w:pPr>
              <w:spacing w:before="40" w:after="40"/>
              <w:rPr>
                <w:rFonts w:ascii="Arial Narrow" w:hAnsi="Arial Narrow"/>
                <w:bCs/>
                <w:sz w:val="19"/>
                <w:szCs w:val="19"/>
              </w:rPr>
            </w:pPr>
          </w:p>
          <w:p w:rsidR="009E674D" w:rsidRDefault="009E674D" w:rsidP="005D616E">
            <w:pPr>
              <w:spacing w:before="40" w:after="40"/>
              <w:rPr>
                <w:rFonts w:ascii="Arial Narrow" w:hAnsi="Arial Narrow"/>
                <w:bCs/>
                <w:sz w:val="12"/>
                <w:szCs w:val="19"/>
              </w:rPr>
            </w:pPr>
          </w:p>
          <w:p w:rsidR="0089629D" w:rsidRPr="009E674D" w:rsidRDefault="0089629D" w:rsidP="005D616E">
            <w:pPr>
              <w:spacing w:before="40" w:after="40"/>
              <w:rPr>
                <w:rFonts w:ascii="Arial Narrow" w:hAnsi="Arial Narrow"/>
                <w:bCs/>
                <w:sz w:val="12"/>
                <w:szCs w:val="19"/>
              </w:rPr>
            </w:pPr>
          </w:p>
          <w:p w:rsidR="00266DEF" w:rsidRPr="00266DEF" w:rsidRDefault="00266DEF" w:rsidP="005D616E">
            <w:pPr>
              <w:spacing w:before="40" w:after="40"/>
              <w:rPr>
                <w:rFonts w:ascii="Arial Narrow" w:hAnsi="Arial Narrow"/>
                <w:bCs/>
                <w:sz w:val="19"/>
                <w:szCs w:val="19"/>
              </w:rPr>
            </w:pPr>
            <w:r w:rsidRPr="00266DEF">
              <w:rPr>
                <w:rFonts w:ascii="Arial Narrow" w:hAnsi="Arial Narrow"/>
                <w:bCs/>
                <w:sz w:val="19"/>
                <w:szCs w:val="19"/>
              </w:rPr>
              <w:t>J Inherit Metab Dis 2013;36:S268</w:t>
            </w:r>
          </w:p>
          <w:p w:rsidR="00266DEF" w:rsidRDefault="00266DEF" w:rsidP="005D616E">
            <w:pPr>
              <w:spacing w:before="40" w:after="40"/>
              <w:jc w:val="left"/>
              <w:rPr>
                <w:rFonts w:ascii="Arial Narrow" w:hAnsi="Arial Narrow"/>
                <w:bCs/>
                <w:sz w:val="19"/>
                <w:szCs w:val="19"/>
              </w:rPr>
            </w:pPr>
          </w:p>
          <w:p w:rsidR="0089629D" w:rsidRDefault="0089629D" w:rsidP="005D616E">
            <w:pPr>
              <w:spacing w:before="40" w:after="40"/>
              <w:jc w:val="left"/>
              <w:rPr>
                <w:rFonts w:ascii="Arial Narrow" w:hAnsi="Arial Narrow"/>
                <w:bCs/>
                <w:sz w:val="19"/>
                <w:szCs w:val="19"/>
              </w:rPr>
            </w:pPr>
          </w:p>
          <w:p w:rsidR="0089629D" w:rsidRPr="009E674D" w:rsidRDefault="0089629D" w:rsidP="005D616E">
            <w:pPr>
              <w:spacing w:before="40" w:after="40"/>
              <w:jc w:val="left"/>
              <w:rPr>
                <w:rFonts w:ascii="Arial Narrow" w:hAnsi="Arial Narrow"/>
                <w:bCs/>
                <w:sz w:val="10"/>
                <w:szCs w:val="19"/>
              </w:rPr>
            </w:pPr>
          </w:p>
          <w:p w:rsidR="00266DEF" w:rsidRPr="00FF0A45" w:rsidRDefault="00266DEF" w:rsidP="005D616E">
            <w:pPr>
              <w:spacing w:before="40" w:after="40"/>
              <w:jc w:val="left"/>
              <w:rPr>
                <w:rFonts w:ascii="Arial Narrow" w:hAnsi="Arial Narrow"/>
                <w:bCs/>
                <w:sz w:val="19"/>
                <w:szCs w:val="19"/>
              </w:rPr>
            </w:pPr>
            <w:r w:rsidRPr="00266DEF">
              <w:rPr>
                <w:rFonts w:ascii="Arial Narrow" w:hAnsi="Arial Narrow"/>
                <w:bCs/>
                <w:sz w:val="19"/>
                <w:szCs w:val="19"/>
              </w:rPr>
              <w:t>JAMA. 2015;313(7):695-706</w:t>
            </w:r>
          </w:p>
        </w:tc>
      </w:tr>
    </w:tbl>
    <w:p w:rsidR="00862502" w:rsidRPr="00862502" w:rsidRDefault="008F120A" w:rsidP="00266DEF">
      <w:pPr>
        <w:pStyle w:val="TableFooter"/>
        <w:ind w:firstLine="720"/>
        <w:rPr>
          <w:szCs w:val="22"/>
        </w:rPr>
      </w:pPr>
      <w:r w:rsidRPr="00D13A3E">
        <w:t xml:space="preserve">Source: </w:t>
      </w:r>
      <w:r w:rsidR="00266DEF">
        <w:t>Table 11, pp50-54 of the submission</w:t>
      </w:r>
    </w:p>
    <w:p w:rsidR="00862502" w:rsidRPr="008F120A" w:rsidRDefault="00862502" w:rsidP="008F120A">
      <w:pPr>
        <w:widowControl/>
        <w:rPr>
          <w:szCs w:val="22"/>
        </w:rPr>
      </w:pPr>
    </w:p>
    <w:p w:rsidR="007F1017" w:rsidRDefault="008F120A" w:rsidP="001D15DC">
      <w:pPr>
        <w:pStyle w:val="BodyText"/>
        <w:widowControl/>
        <w:numPr>
          <w:ilvl w:val="1"/>
          <w:numId w:val="31"/>
        </w:numPr>
        <w:jc w:val="both"/>
        <w:rPr>
          <w:szCs w:val="22"/>
        </w:rPr>
      </w:pPr>
      <w:r w:rsidRPr="00AD5DB6">
        <w:rPr>
          <w:szCs w:val="22"/>
        </w:rPr>
        <w:t>The key features o</w:t>
      </w:r>
      <w:r w:rsidR="00AD5DB6" w:rsidRPr="00AD5DB6">
        <w:rPr>
          <w:szCs w:val="22"/>
        </w:rPr>
        <w:t>f the direct randomised trials</w:t>
      </w:r>
      <w:r w:rsidRPr="00AD5DB6">
        <w:rPr>
          <w:szCs w:val="22"/>
        </w:rPr>
        <w:t xml:space="preserve"> are </w:t>
      </w:r>
      <w:r w:rsidR="0089629D">
        <w:rPr>
          <w:szCs w:val="22"/>
        </w:rPr>
        <w:t>summarised in the table below.</w:t>
      </w:r>
    </w:p>
    <w:p w:rsidR="00AD5DB6" w:rsidRPr="0089629D" w:rsidRDefault="00AD5DB6" w:rsidP="006A6231">
      <w:pPr>
        <w:widowControl/>
        <w:rPr>
          <w:szCs w:val="22"/>
        </w:rPr>
      </w:pPr>
    </w:p>
    <w:p w:rsidR="007F1017" w:rsidRPr="00E2771E" w:rsidRDefault="00266DEF" w:rsidP="00994E94">
      <w:pPr>
        <w:keepNext/>
        <w:ind w:firstLine="720"/>
        <w:rPr>
          <w:rStyle w:val="CommentReference"/>
        </w:rPr>
      </w:pPr>
      <w:r>
        <w:rPr>
          <w:rStyle w:val="CommentReference"/>
        </w:rPr>
        <w:t>Table 2</w:t>
      </w:r>
      <w:r w:rsidR="007F1017" w:rsidRPr="00E2771E">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427"/>
        <w:gridCol w:w="990"/>
        <w:gridCol w:w="850"/>
        <w:gridCol w:w="1700"/>
        <w:gridCol w:w="3404"/>
      </w:tblGrid>
      <w:tr w:rsidR="00AD5DB6" w:rsidRPr="00E2771E" w:rsidTr="005511DD">
        <w:tc>
          <w:tcPr>
            <w:tcW w:w="594" w:type="pct"/>
            <w:shd w:val="clear" w:color="auto" w:fill="auto"/>
            <w:vAlign w:val="center"/>
          </w:tcPr>
          <w:p w:rsidR="00AD5DB6" w:rsidRPr="00E2771E" w:rsidRDefault="00AD5DB6" w:rsidP="00994E94">
            <w:pPr>
              <w:keepNext/>
              <w:jc w:val="left"/>
              <w:rPr>
                <w:rFonts w:ascii="Arial Narrow" w:hAnsi="Arial Narrow"/>
                <w:b/>
                <w:sz w:val="20"/>
                <w:lang w:val="en-US"/>
              </w:rPr>
            </w:pPr>
            <w:r w:rsidRPr="00E2771E">
              <w:rPr>
                <w:rFonts w:ascii="Arial Narrow" w:hAnsi="Arial Narrow"/>
                <w:b/>
                <w:sz w:val="20"/>
                <w:lang w:val="en-US"/>
              </w:rPr>
              <w:t>Trial</w:t>
            </w:r>
          </w:p>
        </w:tc>
        <w:tc>
          <w:tcPr>
            <w:tcW w:w="255" w:type="pct"/>
            <w:shd w:val="clear" w:color="auto" w:fill="auto"/>
            <w:vAlign w:val="center"/>
          </w:tcPr>
          <w:p w:rsidR="00AD5DB6" w:rsidRPr="00E2771E" w:rsidRDefault="00AD5DB6" w:rsidP="00994E94">
            <w:pPr>
              <w:keepNext/>
              <w:jc w:val="center"/>
              <w:rPr>
                <w:rFonts w:ascii="Arial Narrow" w:hAnsi="Arial Narrow"/>
                <w:b/>
                <w:sz w:val="20"/>
                <w:lang w:val="en-US"/>
              </w:rPr>
            </w:pPr>
            <w:r w:rsidRPr="00E2771E">
              <w:rPr>
                <w:rFonts w:ascii="Arial Narrow" w:hAnsi="Arial Narrow"/>
                <w:b/>
                <w:sz w:val="20"/>
                <w:lang w:val="en-US"/>
              </w:rPr>
              <w:t>N</w:t>
            </w:r>
          </w:p>
        </w:tc>
        <w:tc>
          <w:tcPr>
            <w:tcW w:w="592" w:type="pct"/>
            <w:shd w:val="clear" w:color="auto" w:fill="auto"/>
            <w:vAlign w:val="center"/>
          </w:tcPr>
          <w:p w:rsidR="00AD5DB6" w:rsidRPr="00E2771E" w:rsidRDefault="00AD5DB6" w:rsidP="00994E94">
            <w:pPr>
              <w:keepNext/>
              <w:jc w:val="center"/>
              <w:rPr>
                <w:rFonts w:ascii="Arial Narrow" w:hAnsi="Arial Narrow"/>
                <w:b/>
                <w:sz w:val="20"/>
                <w:lang w:val="en-US"/>
              </w:rPr>
            </w:pPr>
            <w:r w:rsidRPr="00E2771E">
              <w:rPr>
                <w:rFonts w:ascii="Arial Narrow" w:hAnsi="Arial Narrow"/>
                <w:b/>
                <w:sz w:val="20"/>
                <w:lang w:val="en-US"/>
              </w:rPr>
              <w:t>Design/ duration</w:t>
            </w:r>
          </w:p>
        </w:tc>
        <w:tc>
          <w:tcPr>
            <w:tcW w:w="508" w:type="pct"/>
            <w:shd w:val="clear" w:color="auto" w:fill="auto"/>
            <w:vAlign w:val="center"/>
          </w:tcPr>
          <w:p w:rsidR="00AD5DB6" w:rsidRPr="00E2771E" w:rsidRDefault="00AD5DB6" w:rsidP="00994E94">
            <w:pPr>
              <w:keepNext/>
              <w:jc w:val="center"/>
              <w:rPr>
                <w:rFonts w:ascii="Arial Narrow" w:hAnsi="Arial Narrow"/>
                <w:b/>
                <w:sz w:val="20"/>
                <w:lang w:val="en-US"/>
              </w:rPr>
            </w:pPr>
            <w:r w:rsidRPr="00E2771E">
              <w:rPr>
                <w:rFonts w:ascii="Arial Narrow" w:hAnsi="Arial Narrow"/>
                <w:b/>
                <w:sz w:val="20"/>
                <w:lang w:val="en-US"/>
              </w:rPr>
              <w:t>Risk of bias</w:t>
            </w:r>
          </w:p>
        </w:tc>
        <w:tc>
          <w:tcPr>
            <w:tcW w:w="1016" w:type="pct"/>
            <w:shd w:val="clear" w:color="auto" w:fill="auto"/>
            <w:vAlign w:val="center"/>
          </w:tcPr>
          <w:p w:rsidR="00AD5DB6" w:rsidRPr="00E2771E" w:rsidRDefault="00AD5DB6" w:rsidP="00994E94">
            <w:pPr>
              <w:keepNext/>
              <w:jc w:val="center"/>
              <w:rPr>
                <w:rFonts w:ascii="Arial Narrow" w:hAnsi="Arial Narrow"/>
                <w:b/>
                <w:sz w:val="20"/>
                <w:lang w:val="en-US"/>
              </w:rPr>
            </w:pPr>
            <w:r w:rsidRPr="00E2771E">
              <w:rPr>
                <w:rFonts w:ascii="Arial Narrow" w:hAnsi="Arial Narrow"/>
                <w:b/>
                <w:sz w:val="20"/>
                <w:lang w:val="en-US"/>
              </w:rPr>
              <w:t>Patient population</w:t>
            </w:r>
          </w:p>
        </w:tc>
        <w:tc>
          <w:tcPr>
            <w:tcW w:w="2035" w:type="pct"/>
            <w:shd w:val="clear" w:color="auto" w:fill="auto"/>
            <w:vAlign w:val="center"/>
          </w:tcPr>
          <w:p w:rsidR="00AD5DB6" w:rsidRPr="00E2771E" w:rsidRDefault="00AD5DB6" w:rsidP="00994E94">
            <w:pPr>
              <w:keepNext/>
              <w:jc w:val="center"/>
              <w:rPr>
                <w:rFonts w:ascii="Arial Narrow" w:hAnsi="Arial Narrow"/>
                <w:b/>
                <w:sz w:val="20"/>
                <w:lang w:val="en-US"/>
              </w:rPr>
            </w:pPr>
            <w:r w:rsidRPr="00E2771E">
              <w:rPr>
                <w:rFonts w:ascii="Arial Narrow" w:hAnsi="Arial Narrow"/>
                <w:b/>
                <w:sz w:val="20"/>
                <w:lang w:val="en-US"/>
              </w:rPr>
              <w:t>Outcomes</w:t>
            </w:r>
          </w:p>
        </w:tc>
      </w:tr>
      <w:tr w:rsidR="00AD5DB6" w:rsidRPr="00E2771E" w:rsidTr="006A6231">
        <w:tc>
          <w:tcPr>
            <w:tcW w:w="5000" w:type="pct"/>
            <w:gridSpan w:val="6"/>
            <w:shd w:val="clear" w:color="auto" w:fill="auto"/>
            <w:vAlign w:val="center"/>
          </w:tcPr>
          <w:p w:rsidR="00AD5DB6" w:rsidRPr="00E2771E" w:rsidRDefault="00AD5DB6" w:rsidP="00994E94">
            <w:pPr>
              <w:keepNext/>
              <w:jc w:val="left"/>
              <w:rPr>
                <w:rFonts w:ascii="Arial Narrow" w:hAnsi="Arial Narrow"/>
                <w:sz w:val="20"/>
                <w:lang w:val="en-US"/>
              </w:rPr>
            </w:pPr>
            <w:r>
              <w:rPr>
                <w:rFonts w:ascii="Arial Narrow" w:hAnsi="Arial Narrow"/>
                <w:sz w:val="20"/>
                <w:lang w:val="en-US"/>
              </w:rPr>
              <w:t>Eliglustat versus imiglucerase</w:t>
            </w:r>
          </w:p>
        </w:tc>
      </w:tr>
      <w:tr w:rsidR="00AD5DB6" w:rsidRPr="00E2771E" w:rsidTr="005511DD">
        <w:tc>
          <w:tcPr>
            <w:tcW w:w="594" w:type="pct"/>
            <w:shd w:val="clear" w:color="auto" w:fill="auto"/>
            <w:vAlign w:val="center"/>
          </w:tcPr>
          <w:p w:rsidR="00AD5DB6" w:rsidRPr="00E2771E" w:rsidRDefault="00AD5DB6" w:rsidP="00994E94">
            <w:pPr>
              <w:keepNext/>
              <w:jc w:val="left"/>
              <w:rPr>
                <w:rFonts w:ascii="Arial Narrow" w:hAnsi="Arial Narrow"/>
                <w:sz w:val="20"/>
                <w:lang w:val="en-US"/>
              </w:rPr>
            </w:pPr>
            <w:r>
              <w:rPr>
                <w:rFonts w:ascii="Arial Narrow" w:hAnsi="Arial Narrow"/>
                <w:sz w:val="20"/>
                <w:lang w:val="en-US"/>
              </w:rPr>
              <w:t>ENCORE</w:t>
            </w:r>
          </w:p>
        </w:tc>
        <w:tc>
          <w:tcPr>
            <w:tcW w:w="255"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159</w:t>
            </w:r>
          </w:p>
        </w:tc>
        <w:tc>
          <w:tcPr>
            <w:tcW w:w="592"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R, OL</w:t>
            </w:r>
          </w:p>
          <w:p w:rsidR="00AD5DB6" w:rsidRPr="00E2771E" w:rsidRDefault="00AD5DB6" w:rsidP="00994E94">
            <w:pPr>
              <w:keepNext/>
              <w:jc w:val="center"/>
              <w:rPr>
                <w:rFonts w:ascii="Arial Narrow" w:hAnsi="Arial Narrow"/>
                <w:sz w:val="20"/>
                <w:lang w:val="en-US"/>
              </w:rPr>
            </w:pPr>
            <w:r>
              <w:rPr>
                <w:rFonts w:ascii="Arial Narrow" w:hAnsi="Arial Narrow"/>
                <w:sz w:val="20"/>
                <w:lang w:val="en-US"/>
              </w:rPr>
              <w:t>52 weeks</w:t>
            </w:r>
          </w:p>
        </w:tc>
        <w:tc>
          <w:tcPr>
            <w:tcW w:w="508" w:type="pct"/>
            <w:shd w:val="clear" w:color="auto" w:fill="auto"/>
            <w:vAlign w:val="center"/>
          </w:tcPr>
          <w:p w:rsidR="00AD5DB6" w:rsidRPr="00E2771E" w:rsidRDefault="00AD5DB6" w:rsidP="00994E94">
            <w:pPr>
              <w:keepNext/>
              <w:jc w:val="center"/>
              <w:rPr>
                <w:rFonts w:ascii="Arial Narrow" w:hAnsi="Arial Narrow"/>
                <w:sz w:val="20"/>
                <w:lang w:val="en-US"/>
              </w:rPr>
            </w:pPr>
            <w:r w:rsidRPr="00E2771E">
              <w:rPr>
                <w:rFonts w:ascii="Arial Narrow" w:hAnsi="Arial Narrow"/>
                <w:sz w:val="20"/>
                <w:lang w:val="en-US"/>
              </w:rPr>
              <w:t>Low</w:t>
            </w:r>
            <w:r w:rsidR="006A6231">
              <w:rPr>
                <w:rFonts w:ascii="Arial Narrow" w:hAnsi="Arial Narrow"/>
                <w:sz w:val="20"/>
                <w:lang w:val="en-US"/>
              </w:rPr>
              <w:t>*</w:t>
            </w:r>
          </w:p>
        </w:tc>
        <w:tc>
          <w:tcPr>
            <w:tcW w:w="1016"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At least 3 years treatment with ERT</w:t>
            </w:r>
          </w:p>
        </w:tc>
        <w:tc>
          <w:tcPr>
            <w:tcW w:w="2035"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Maintenance of response in composite outcome of haemoglobin level, platelet count, spleen volume  and liver volume</w:t>
            </w:r>
          </w:p>
        </w:tc>
      </w:tr>
    </w:tbl>
    <w:p w:rsidR="005511DD" w:rsidRDefault="005511DD" w:rsidP="00994E94">
      <w:pPr>
        <w:keepNext/>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427"/>
        <w:gridCol w:w="990"/>
        <w:gridCol w:w="850"/>
        <w:gridCol w:w="1700"/>
        <w:gridCol w:w="3404"/>
      </w:tblGrid>
      <w:tr w:rsidR="00AD5DB6" w:rsidRPr="00E2771E" w:rsidTr="006A6231">
        <w:tc>
          <w:tcPr>
            <w:tcW w:w="5000" w:type="pct"/>
            <w:gridSpan w:val="6"/>
            <w:shd w:val="clear" w:color="auto" w:fill="auto"/>
            <w:vAlign w:val="center"/>
          </w:tcPr>
          <w:p w:rsidR="00AD5DB6" w:rsidRPr="00E2771E" w:rsidRDefault="00AD5DB6" w:rsidP="00994E94">
            <w:pPr>
              <w:keepNext/>
              <w:jc w:val="left"/>
              <w:rPr>
                <w:rFonts w:ascii="Arial Narrow" w:hAnsi="Arial Narrow"/>
                <w:sz w:val="20"/>
                <w:lang w:val="en-US"/>
              </w:rPr>
            </w:pPr>
            <w:r>
              <w:rPr>
                <w:rFonts w:ascii="Arial Narrow" w:hAnsi="Arial Narrow"/>
                <w:sz w:val="20"/>
                <w:lang w:val="en-US"/>
              </w:rPr>
              <w:t>Eliglustat versus placebo</w:t>
            </w:r>
          </w:p>
        </w:tc>
      </w:tr>
      <w:tr w:rsidR="00AD5DB6" w:rsidRPr="00E2771E" w:rsidTr="005511DD">
        <w:tc>
          <w:tcPr>
            <w:tcW w:w="594" w:type="pct"/>
            <w:shd w:val="clear" w:color="auto" w:fill="auto"/>
            <w:vAlign w:val="center"/>
          </w:tcPr>
          <w:p w:rsidR="00AD5DB6" w:rsidRPr="00E2771E" w:rsidRDefault="00AD5DB6" w:rsidP="00994E94">
            <w:pPr>
              <w:keepNext/>
              <w:jc w:val="left"/>
              <w:rPr>
                <w:rFonts w:ascii="Arial Narrow" w:hAnsi="Arial Narrow"/>
                <w:sz w:val="20"/>
                <w:lang w:val="en-US"/>
              </w:rPr>
            </w:pPr>
            <w:r>
              <w:rPr>
                <w:rFonts w:ascii="Arial Narrow" w:hAnsi="Arial Narrow"/>
                <w:sz w:val="20"/>
                <w:lang w:val="en-US"/>
              </w:rPr>
              <w:t>ENGAGE</w:t>
            </w:r>
          </w:p>
        </w:tc>
        <w:tc>
          <w:tcPr>
            <w:tcW w:w="255"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40</w:t>
            </w:r>
          </w:p>
        </w:tc>
        <w:tc>
          <w:tcPr>
            <w:tcW w:w="592"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R, DB</w:t>
            </w:r>
          </w:p>
          <w:p w:rsidR="00AD5DB6" w:rsidRPr="00E2771E" w:rsidRDefault="00AD5DB6" w:rsidP="00994E94">
            <w:pPr>
              <w:keepNext/>
              <w:jc w:val="center"/>
              <w:rPr>
                <w:rFonts w:ascii="Arial Narrow" w:hAnsi="Arial Narrow"/>
                <w:sz w:val="20"/>
                <w:lang w:val="en-US"/>
              </w:rPr>
            </w:pPr>
            <w:r w:rsidRPr="00E2771E">
              <w:rPr>
                <w:rFonts w:ascii="Arial Narrow" w:hAnsi="Arial Narrow"/>
                <w:sz w:val="20"/>
                <w:lang w:val="en-US"/>
              </w:rPr>
              <w:t>3</w:t>
            </w:r>
            <w:r>
              <w:rPr>
                <w:rFonts w:ascii="Arial Narrow" w:hAnsi="Arial Narrow"/>
                <w:sz w:val="20"/>
                <w:lang w:val="en-US"/>
              </w:rPr>
              <w:t>9 weeks</w:t>
            </w:r>
          </w:p>
        </w:tc>
        <w:tc>
          <w:tcPr>
            <w:tcW w:w="508"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Low</w:t>
            </w:r>
          </w:p>
        </w:tc>
        <w:tc>
          <w:tcPr>
            <w:tcW w:w="1016" w:type="pct"/>
            <w:shd w:val="clear" w:color="auto" w:fill="auto"/>
            <w:vAlign w:val="center"/>
          </w:tcPr>
          <w:p w:rsidR="00AD5DB6" w:rsidRPr="00E2771E" w:rsidRDefault="009F4CC9" w:rsidP="00994E94">
            <w:pPr>
              <w:keepNext/>
              <w:jc w:val="center"/>
              <w:rPr>
                <w:rFonts w:ascii="Arial Narrow" w:hAnsi="Arial Narrow"/>
                <w:sz w:val="20"/>
                <w:lang w:val="en-US"/>
              </w:rPr>
            </w:pPr>
            <w:r>
              <w:rPr>
                <w:rFonts w:ascii="Arial Narrow" w:hAnsi="Arial Narrow"/>
                <w:sz w:val="20"/>
                <w:lang w:val="en-US"/>
              </w:rPr>
              <w:t>No S</w:t>
            </w:r>
            <w:r w:rsidR="00AD5DB6">
              <w:rPr>
                <w:rFonts w:ascii="Arial Narrow" w:hAnsi="Arial Narrow"/>
                <w:sz w:val="20"/>
                <w:lang w:val="en-US"/>
              </w:rPr>
              <w:t xml:space="preserve">RT within last 6 months or </w:t>
            </w:r>
            <w:r>
              <w:rPr>
                <w:rFonts w:ascii="Arial Narrow" w:hAnsi="Arial Narrow"/>
                <w:sz w:val="20"/>
                <w:lang w:val="en-US"/>
              </w:rPr>
              <w:t xml:space="preserve">ERT </w:t>
            </w:r>
            <w:r w:rsidR="00AD5DB6">
              <w:rPr>
                <w:rFonts w:ascii="Arial Narrow" w:hAnsi="Arial Narrow"/>
                <w:sz w:val="20"/>
                <w:lang w:val="en-US"/>
              </w:rPr>
              <w:t>within last 9 months</w:t>
            </w:r>
          </w:p>
        </w:tc>
        <w:tc>
          <w:tcPr>
            <w:tcW w:w="2035" w:type="pct"/>
            <w:shd w:val="clear" w:color="auto" w:fill="auto"/>
            <w:vAlign w:val="center"/>
          </w:tcPr>
          <w:p w:rsidR="00AD5DB6" w:rsidRPr="00E2771E" w:rsidRDefault="00AD5DB6" w:rsidP="00994E94">
            <w:pPr>
              <w:keepNext/>
              <w:jc w:val="center"/>
              <w:rPr>
                <w:rFonts w:ascii="Arial Narrow" w:hAnsi="Arial Narrow"/>
                <w:sz w:val="20"/>
                <w:lang w:val="en-US"/>
              </w:rPr>
            </w:pPr>
            <w:r>
              <w:rPr>
                <w:rFonts w:ascii="Arial Narrow" w:hAnsi="Arial Narrow"/>
                <w:sz w:val="20"/>
                <w:lang w:val="en-US"/>
              </w:rPr>
              <w:t xml:space="preserve">Change from baseline in: spleen volume (primary outcome), haemoglobin level, platelet </w:t>
            </w:r>
            <w:r w:rsidR="00F01E48">
              <w:rPr>
                <w:rFonts w:ascii="Arial Narrow" w:hAnsi="Arial Narrow"/>
                <w:sz w:val="20"/>
                <w:lang w:val="en-US"/>
              </w:rPr>
              <w:t>count</w:t>
            </w:r>
            <w:r>
              <w:rPr>
                <w:rFonts w:ascii="Arial Narrow" w:hAnsi="Arial Narrow"/>
                <w:sz w:val="20"/>
                <w:lang w:val="en-US"/>
              </w:rPr>
              <w:t xml:space="preserve"> and liver volume</w:t>
            </w:r>
          </w:p>
        </w:tc>
      </w:tr>
    </w:tbl>
    <w:p w:rsidR="007F1017" w:rsidRDefault="007F1017" w:rsidP="00994E94">
      <w:pPr>
        <w:pStyle w:val="TableFooter"/>
        <w:keepNext/>
        <w:ind w:firstLine="720"/>
      </w:pPr>
      <w:r w:rsidRPr="0072416F">
        <w:t>DB=double blind;</w:t>
      </w:r>
      <w:r w:rsidR="00AD5DB6">
        <w:t xml:space="preserve"> ERT = Enzyme replacement therapy;</w:t>
      </w:r>
      <w:r w:rsidRPr="0072416F">
        <w:t xml:space="preserve"> MC=multi-centre; OL=open label</w:t>
      </w:r>
      <w:r w:rsidR="00CA6A19" w:rsidRPr="0072416F">
        <w:t>;</w:t>
      </w:r>
      <w:r w:rsidRPr="0072416F">
        <w:t xml:space="preserve"> R=randomised.</w:t>
      </w:r>
    </w:p>
    <w:p w:rsidR="006A6231" w:rsidRPr="0072416F" w:rsidRDefault="006A6231" w:rsidP="00994E94">
      <w:pPr>
        <w:pStyle w:val="TableFooter"/>
        <w:keepNext/>
        <w:tabs>
          <w:tab w:val="left" w:pos="993"/>
        </w:tabs>
        <w:ind w:left="993" w:hanging="284"/>
      </w:pPr>
      <w:r>
        <w:t>*</w:t>
      </w:r>
      <w:r>
        <w:tab/>
      </w:r>
      <w:r w:rsidRPr="006A6231">
        <w:t>Although ENCORE was open-label, the risk of bias is partially mitigated as some efficacy and safety outcomes (organ volume and bone imaging data, ECG and holter monitor data and nerve conduction data) were assessed by blinded central evaluators</w:t>
      </w:r>
    </w:p>
    <w:p w:rsidR="007F1017" w:rsidRPr="0072416F" w:rsidRDefault="007F1017" w:rsidP="00E22A0D">
      <w:pPr>
        <w:pStyle w:val="TableFooter"/>
        <w:ind w:firstLine="720"/>
      </w:pPr>
      <w:r w:rsidRPr="0072416F">
        <w:t>Source: compiled during the evaluation</w:t>
      </w:r>
    </w:p>
    <w:p w:rsidR="007F1017" w:rsidRPr="0009045E" w:rsidRDefault="007F1017" w:rsidP="007F1017"/>
    <w:p w:rsidR="00AD5DB6" w:rsidRPr="0009045E" w:rsidRDefault="00C11B3E" w:rsidP="001D15DC">
      <w:pPr>
        <w:pStyle w:val="BodyText"/>
        <w:widowControl/>
        <w:numPr>
          <w:ilvl w:val="1"/>
          <w:numId w:val="31"/>
        </w:numPr>
        <w:jc w:val="both"/>
        <w:rPr>
          <w:iCs/>
        </w:rPr>
      </w:pPr>
      <w:r w:rsidRPr="0009045E">
        <w:rPr>
          <w:iCs/>
        </w:rPr>
        <w:t>Whilst t</w:t>
      </w:r>
      <w:r w:rsidR="00AD5DB6" w:rsidRPr="0009045E">
        <w:rPr>
          <w:iCs/>
        </w:rPr>
        <w:t xml:space="preserve">he outcomes measured in ENGAGE </w:t>
      </w:r>
      <w:r w:rsidR="00273B63">
        <w:rPr>
          <w:iCs/>
        </w:rPr>
        <w:t>were</w:t>
      </w:r>
      <w:r w:rsidR="00273B63" w:rsidRPr="0009045E">
        <w:rPr>
          <w:iCs/>
        </w:rPr>
        <w:t xml:space="preserve"> </w:t>
      </w:r>
      <w:r w:rsidR="00AD5DB6" w:rsidRPr="0009045E">
        <w:rPr>
          <w:iCs/>
        </w:rPr>
        <w:t>similar to those in ENCORE (spleen volume, liver volume, platel</w:t>
      </w:r>
      <w:r w:rsidRPr="0009045E">
        <w:rPr>
          <w:iCs/>
        </w:rPr>
        <w:t xml:space="preserve">et count and haemoglobin level), the interpretation within the trials </w:t>
      </w:r>
      <w:r w:rsidR="002E78BA">
        <w:rPr>
          <w:iCs/>
        </w:rPr>
        <w:t>wa</w:t>
      </w:r>
      <w:r w:rsidR="0054080D" w:rsidRPr="0009045E">
        <w:rPr>
          <w:iCs/>
        </w:rPr>
        <w:t>s</w:t>
      </w:r>
      <w:r w:rsidRPr="0009045E">
        <w:rPr>
          <w:iCs/>
        </w:rPr>
        <w:t xml:space="preserve"> different.</w:t>
      </w:r>
      <w:r w:rsidR="00AD5DB6" w:rsidRPr="0009045E">
        <w:rPr>
          <w:iCs/>
        </w:rPr>
        <w:t xml:space="preserve">  </w:t>
      </w:r>
      <w:r w:rsidRPr="0009045E">
        <w:rPr>
          <w:iCs/>
        </w:rPr>
        <w:t>P</w:t>
      </w:r>
      <w:r w:rsidR="00AD5DB6" w:rsidRPr="0009045E">
        <w:rPr>
          <w:iCs/>
        </w:rPr>
        <w:t xml:space="preserve">atients in ENCORE (a non-inferiority trial) </w:t>
      </w:r>
      <w:r w:rsidR="00556823" w:rsidRPr="0009045E">
        <w:rPr>
          <w:iCs/>
        </w:rPr>
        <w:t xml:space="preserve">had </w:t>
      </w:r>
      <w:r w:rsidR="00AD5DB6" w:rsidRPr="0009045E">
        <w:rPr>
          <w:iCs/>
        </w:rPr>
        <w:t>already achieved a predefined therapeutic goal in all four measures prior to enrolment</w:t>
      </w:r>
      <w:r w:rsidR="00556823" w:rsidRPr="0009045E">
        <w:rPr>
          <w:iCs/>
        </w:rPr>
        <w:t>,</w:t>
      </w:r>
      <w:r w:rsidR="00AD5DB6" w:rsidRPr="0009045E">
        <w:rPr>
          <w:iCs/>
        </w:rPr>
        <w:t xml:space="preserve"> and ENCORE was designed to compare the proportion of patients in which the therapeutic goals were maintained </w:t>
      </w:r>
      <w:r w:rsidRPr="0009045E">
        <w:rPr>
          <w:iCs/>
        </w:rPr>
        <w:t xml:space="preserve">within a predefined margin </w:t>
      </w:r>
      <w:r w:rsidR="00AD5DB6" w:rsidRPr="0009045E">
        <w:rPr>
          <w:iCs/>
        </w:rPr>
        <w:t>after 52</w:t>
      </w:r>
      <w:r w:rsidR="00556823" w:rsidRPr="0009045E">
        <w:rPr>
          <w:iCs/>
        </w:rPr>
        <w:t> </w:t>
      </w:r>
      <w:r w:rsidR="00AD5DB6" w:rsidRPr="0009045E">
        <w:rPr>
          <w:iCs/>
        </w:rPr>
        <w:t>weeks of treatment with eliglustat or imiglucerase</w:t>
      </w:r>
      <w:r w:rsidR="00556823" w:rsidRPr="0009045E">
        <w:rPr>
          <w:iCs/>
        </w:rPr>
        <w:t>.  W</w:t>
      </w:r>
      <w:r w:rsidR="00AD5DB6" w:rsidRPr="0009045E">
        <w:rPr>
          <w:iCs/>
        </w:rPr>
        <w:t>hereas ENGAGE (a superiority trial) compare</w:t>
      </w:r>
      <w:r w:rsidR="00273B63">
        <w:rPr>
          <w:iCs/>
        </w:rPr>
        <w:t>d</w:t>
      </w:r>
      <w:r w:rsidR="00AD5DB6" w:rsidRPr="0009045E">
        <w:rPr>
          <w:iCs/>
        </w:rPr>
        <w:t xml:space="preserve"> the </w:t>
      </w:r>
      <w:r w:rsidRPr="0009045E">
        <w:rPr>
          <w:iCs/>
        </w:rPr>
        <w:t>absolute and relative changes</w:t>
      </w:r>
      <w:r w:rsidR="00AD5DB6" w:rsidRPr="0009045E">
        <w:rPr>
          <w:iCs/>
        </w:rPr>
        <w:t xml:space="preserve"> in the four outcomes from baseline </w:t>
      </w:r>
      <w:r w:rsidRPr="0009045E">
        <w:rPr>
          <w:iCs/>
        </w:rPr>
        <w:t xml:space="preserve">at 39 weeks of treatment </w:t>
      </w:r>
      <w:r w:rsidR="00F25211">
        <w:rPr>
          <w:iCs/>
        </w:rPr>
        <w:t>with eliglustat and placebo.</w:t>
      </w:r>
    </w:p>
    <w:p w:rsidR="00B23DD3" w:rsidRPr="00F25211" w:rsidRDefault="00B23DD3" w:rsidP="00F25211">
      <w:pPr>
        <w:rPr>
          <w:iCs/>
        </w:rPr>
      </w:pPr>
    </w:p>
    <w:p w:rsidR="00DD5782" w:rsidRPr="00AA1839" w:rsidRDefault="00B23DD3" w:rsidP="001D15DC">
      <w:pPr>
        <w:pStyle w:val="BodyText"/>
        <w:widowControl/>
        <w:numPr>
          <w:ilvl w:val="1"/>
          <w:numId w:val="31"/>
        </w:numPr>
        <w:jc w:val="both"/>
        <w:rPr>
          <w:iCs/>
        </w:rPr>
      </w:pPr>
      <w:r w:rsidRPr="00B23DD3">
        <w:t xml:space="preserve">Eliglustat was considered to be non-inferior to imiglucerase if the lower bound of the 95% confidence interval for the difference in the percentage of patients who remained stable at 52 weeks between eliglustat and imiglucerase was </w:t>
      </w:r>
      <w:r w:rsidR="001A320A">
        <w:t xml:space="preserve">above </w:t>
      </w:r>
      <w:r w:rsidR="006A6231">
        <w:t>-</w:t>
      </w:r>
      <w:r w:rsidRPr="00B23DD3">
        <w:t>25%</w:t>
      </w:r>
      <w:r w:rsidR="005911B5">
        <w:t xml:space="preserve"> </w:t>
      </w:r>
      <w:r w:rsidR="001A320A">
        <w:t>from</w:t>
      </w:r>
      <w:r w:rsidR="005911B5">
        <w:t xml:space="preserve"> the null</w:t>
      </w:r>
      <w:r w:rsidRPr="00AA1839">
        <w:t>.</w:t>
      </w:r>
      <w:r w:rsidRPr="00AA1839">
        <w:rPr>
          <w:iCs/>
        </w:rPr>
        <w:t xml:space="preserve">  </w:t>
      </w:r>
      <w:r w:rsidRPr="00AA1839">
        <w:t xml:space="preserve">From the ENCORE </w:t>
      </w:r>
      <w:r w:rsidR="00556823" w:rsidRPr="00AA1839">
        <w:t>Clinical Study Report (</w:t>
      </w:r>
      <w:r w:rsidRPr="00AA1839">
        <w:t>CSR (p34)</w:t>
      </w:r>
      <w:r w:rsidR="00556823" w:rsidRPr="00AA1839">
        <w:t>)</w:t>
      </w:r>
      <w:r w:rsidRPr="00AA1839">
        <w:t xml:space="preserve">, the non-inferiority margin </w:t>
      </w:r>
      <w:r w:rsidR="005911B5" w:rsidRPr="00AA1839">
        <w:t xml:space="preserve">was determined to be about halfway between the expected 95% for imiglucerase and the observed 51% for matched patients who had responded to imiglucerase and then discontinued treatment for 1 year. </w:t>
      </w:r>
      <w:r w:rsidR="00962434" w:rsidRPr="00AA1839">
        <w:t xml:space="preserve"> </w:t>
      </w:r>
      <w:r w:rsidR="005911B5" w:rsidRPr="00AA1839">
        <w:t xml:space="preserve">Although </w:t>
      </w:r>
      <w:r w:rsidR="006C3AB6" w:rsidRPr="00AA1839">
        <w:t xml:space="preserve">neither the </w:t>
      </w:r>
      <w:r w:rsidR="005911B5" w:rsidRPr="00AA1839">
        <w:t xml:space="preserve">CSR </w:t>
      </w:r>
      <w:r w:rsidR="006C3AB6" w:rsidRPr="00AA1839">
        <w:t xml:space="preserve">nor the sponsor </w:t>
      </w:r>
      <w:r w:rsidR="005911B5" w:rsidRPr="00AA1839">
        <w:t>provide</w:t>
      </w:r>
      <w:r w:rsidR="006C3AB6" w:rsidRPr="00AA1839">
        <w:t>d</w:t>
      </w:r>
      <w:r w:rsidR="005911B5" w:rsidRPr="00AA1839">
        <w:t xml:space="preserve"> a </w:t>
      </w:r>
      <w:r w:rsidR="006C3AB6" w:rsidRPr="00AA1839">
        <w:t xml:space="preserve">clear </w:t>
      </w:r>
      <w:r w:rsidR="005911B5" w:rsidRPr="00AA1839">
        <w:t>rationale</w:t>
      </w:r>
      <w:r w:rsidR="006C3AB6" w:rsidRPr="00AA1839">
        <w:t xml:space="preserve"> for this approach</w:t>
      </w:r>
      <w:r w:rsidR="005911B5" w:rsidRPr="00AA1839">
        <w:t xml:space="preserve">, </w:t>
      </w:r>
      <w:r w:rsidR="006C3AB6" w:rsidRPr="00AA1839">
        <w:t xml:space="preserve">the ESC noted that </w:t>
      </w:r>
      <w:r w:rsidR="005911B5" w:rsidRPr="00AA1839">
        <w:t xml:space="preserve">setting an MCID halfway between an expected treatment effect </w:t>
      </w:r>
      <w:r w:rsidR="006C3AB6" w:rsidRPr="00AA1839">
        <w:t xml:space="preserve">outcome </w:t>
      </w:r>
      <w:r w:rsidR="005911B5" w:rsidRPr="00AA1839">
        <w:t xml:space="preserve">and an expected </w:t>
      </w:r>
      <w:r w:rsidR="006C3AB6" w:rsidRPr="00AA1839">
        <w:t>non-treated outcome has been used by regulatory agencies to provide indirect assurance of intrinsic efficacy when active-controlled trials are necessary rather than placebo-controlled trials.</w:t>
      </w:r>
      <w:r w:rsidR="005911B5" w:rsidRPr="00AA1839">
        <w:t xml:space="preserve"> </w:t>
      </w:r>
      <w:r w:rsidR="00962434" w:rsidRPr="00AA1839">
        <w:t xml:space="preserve"> </w:t>
      </w:r>
      <w:r w:rsidR="0006452A" w:rsidRPr="00AA1839">
        <w:t>If applied here</w:t>
      </w:r>
      <w:r w:rsidR="006C3AB6" w:rsidRPr="00AA1839">
        <w:t xml:space="preserve">, this prespecified minimal clinically important difference (MCID) </w:t>
      </w:r>
      <w:r w:rsidR="001A320A" w:rsidRPr="00AA1839">
        <w:t xml:space="preserve">of 25% </w:t>
      </w:r>
      <w:r w:rsidR="006C3AB6" w:rsidRPr="00AA1839">
        <w:t xml:space="preserve">does not have a clinical basis. </w:t>
      </w:r>
      <w:r w:rsidR="00962434" w:rsidRPr="00AA1839">
        <w:t xml:space="preserve"> </w:t>
      </w:r>
      <w:r w:rsidR="006C3AB6" w:rsidRPr="00AA1839">
        <w:t>The CSR further state</w:t>
      </w:r>
      <w:r w:rsidR="001A320A" w:rsidRPr="00AA1839">
        <w:t>d</w:t>
      </w:r>
      <w:r w:rsidR="006C3AB6" w:rsidRPr="00AA1839">
        <w:t xml:space="preserve"> that this </w:t>
      </w:r>
      <w:r w:rsidRPr="00AA1839">
        <w:t xml:space="preserve">accounts for a 10% difference between the active-comparator (imiglucerase, </w:t>
      </w:r>
      <w:r w:rsidR="001A320A" w:rsidRPr="00AA1839">
        <w:t xml:space="preserve">expected </w:t>
      </w:r>
      <w:r w:rsidRPr="00AA1839">
        <w:t xml:space="preserve">to have a response rate of 95%) and test treatment (eliglustat, </w:t>
      </w:r>
      <w:r w:rsidR="001A320A" w:rsidRPr="00AA1839">
        <w:t xml:space="preserve">expected </w:t>
      </w:r>
      <w:r w:rsidRPr="00AA1839">
        <w:t>to have a</w:t>
      </w:r>
      <w:r w:rsidR="006C3AB6" w:rsidRPr="00AA1839">
        <w:t xml:space="preserve"> numerically inferior</w:t>
      </w:r>
      <w:r w:rsidRPr="00AA1839">
        <w:t xml:space="preserve"> response rate of 85%) arms plus an additional 15% for the inherent variability in estimating the difference between these two treatments.  The submission also claim</w:t>
      </w:r>
      <w:r w:rsidR="0054080D" w:rsidRPr="00AA1839">
        <w:t>ed</w:t>
      </w:r>
      <w:r w:rsidRPr="00AA1839">
        <w:t xml:space="preserve"> that the</w:t>
      </w:r>
      <w:r w:rsidR="00BC7A62" w:rsidRPr="00AA1839">
        <w:t xml:space="preserve"> European Medicines Agency (</w:t>
      </w:r>
      <w:r w:rsidRPr="00AA1839">
        <w:t>EMA</w:t>
      </w:r>
      <w:r w:rsidR="00BC7A62" w:rsidRPr="00AA1839">
        <w:t>)</w:t>
      </w:r>
      <w:r w:rsidRPr="00AA1839">
        <w:t xml:space="preserve"> suggested a non-inferiority margin of 20%.  </w:t>
      </w:r>
      <w:r w:rsidRPr="00AA1839">
        <w:rPr>
          <w:iCs/>
        </w:rPr>
        <w:t>The submission’s assumption that eliglustat c</w:t>
      </w:r>
      <w:r w:rsidR="001A320A" w:rsidRPr="00AA1839">
        <w:rPr>
          <w:iCs/>
        </w:rPr>
        <w:t>ould</w:t>
      </w:r>
      <w:r w:rsidRPr="00AA1839">
        <w:rPr>
          <w:iCs/>
        </w:rPr>
        <w:t xml:space="preserve"> be considered non-inferior to imiglucerase even though it has a 10% lower </w:t>
      </w:r>
      <w:r w:rsidR="001A320A" w:rsidRPr="00AA1839">
        <w:rPr>
          <w:iCs/>
        </w:rPr>
        <w:t xml:space="preserve">expected </w:t>
      </w:r>
      <w:r w:rsidRPr="00AA1839">
        <w:rPr>
          <w:iCs/>
        </w:rPr>
        <w:t>response rate implie</w:t>
      </w:r>
      <w:r w:rsidR="001A320A" w:rsidRPr="00AA1839">
        <w:rPr>
          <w:iCs/>
        </w:rPr>
        <w:t>d</w:t>
      </w:r>
      <w:r w:rsidRPr="00AA1839">
        <w:rPr>
          <w:iCs/>
        </w:rPr>
        <w:t xml:space="preserve"> that a 10% lower response rate would not be clinically significant i.e. that the </w:t>
      </w:r>
      <w:r w:rsidR="0054080D" w:rsidRPr="00AA1839">
        <w:rPr>
          <w:iCs/>
        </w:rPr>
        <w:t>MCID</w:t>
      </w:r>
      <w:r w:rsidRPr="00AA1839">
        <w:rPr>
          <w:iCs/>
        </w:rPr>
        <w:t xml:space="preserve"> for the proportion of GD1 patient who remain stable on treatment </w:t>
      </w:r>
      <w:r w:rsidR="001A320A" w:rsidRPr="00AA1839">
        <w:rPr>
          <w:iCs/>
        </w:rPr>
        <w:t>would be</w:t>
      </w:r>
      <w:r w:rsidRPr="00AA1839">
        <w:rPr>
          <w:iCs/>
        </w:rPr>
        <w:t xml:space="preserve"> 10%.  However, no evidence has been provided to support this claim.</w:t>
      </w:r>
      <w:r w:rsidR="00F25211" w:rsidRPr="00AA1839">
        <w:rPr>
          <w:iCs/>
        </w:rPr>
        <w:t xml:space="preserve"> </w:t>
      </w:r>
      <w:r w:rsidR="00DD5782" w:rsidRPr="00AA1839">
        <w:rPr>
          <w:iCs/>
        </w:rPr>
        <w:t xml:space="preserve"> The PSCR </w:t>
      </w:r>
      <w:r w:rsidR="00DD5782" w:rsidRPr="00AA1839">
        <w:rPr>
          <w:szCs w:val="22"/>
        </w:rPr>
        <w:t xml:space="preserve">contended that </w:t>
      </w:r>
      <w:r w:rsidR="00962434" w:rsidRPr="00AA1839">
        <w:rPr>
          <w:szCs w:val="22"/>
        </w:rPr>
        <w:t>“[</w:t>
      </w:r>
      <w:r w:rsidR="00380170" w:rsidRPr="00AA1839">
        <w:rPr>
          <w:szCs w:val="22"/>
        </w:rPr>
        <w:t>t</w:t>
      </w:r>
      <w:r w:rsidR="00962434" w:rsidRPr="00AA1839">
        <w:rPr>
          <w:szCs w:val="22"/>
        </w:rPr>
        <w:t>]</w:t>
      </w:r>
      <w:r w:rsidR="00DD5782" w:rsidRPr="00AA1839">
        <w:rPr>
          <w:szCs w:val="22"/>
        </w:rPr>
        <w:t>he assumed 10% difference between eliglustat and imiglucerase was considered clinically acceptable in light of the variability of individual assessments and the nature of the composite endpoint that required stability in all four domains</w:t>
      </w:r>
      <w:r w:rsidR="00962434" w:rsidRPr="00AA1839">
        <w:rPr>
          <w:szCs w:val="22"/>
        </w:rPr>
        <w:t>”</w:t>
      </w:r>
      <w:r w:rsidR="00DD5782" w:rsidRPr="00AA1839">
        <w:rPr>
          <w:szCs w:val="22"/>
        </w:rPr>
        <w:t>.</w:t>
      </w:r>
    </w:p>
    <w:p w:rsidR="00DD5782" w:rsidRPr="00AA1839" w:rsidRDefault="00DD5782" w:rsidP="00F25211">
      <w:pPr>
        <w:pStyle w:val="BodyText"/>
        <w:widowControl/>
        <w:jc w:val="both"/>
        <w:rPr>
          <w:iCs/>
        </w:rPr>
      </w:pPr>
    </w:p>
    <w:p w:rsidR="00B23DD3" w:rsidRPr="00AA1839" w:rsidRDefault="00F375B1" w:rsidP="001D15DC">
      <w:pPr>
        <w:pStyle w:val="BodyText"/>
        <w:widowControl/>
        <w:numPr>
          <w:ilvl w:val="1"/>
          <w:numId w:val="31"/>
        </w:numPr>
        <w:jc w:val="both"/>
        <w:rPr>
          <w:iCs/>
        </w:rPr>
      </w:pPr>
      <w:r w:rsidRPr="00AA1839">
        <w:rPr>
          <w:iCs/>
        </w:rPr>
        <w:t xml:space="preserve">The ESC </w:t>
      </w:r>
      <w:r w:rsidR="00DD5782" w:rsidRPr="00AA1839">
        <w:rPr>
          <w:iCs/>
        </w:rPr>
        <w:t xml:space="preserve">did not </w:t>
      </w:r>
      <w:r w:rsidR="0006452A" w:rsidRPr="00AA1839">
        <w:rPr>
          <w:iCs/>
        </w:rPr>
        <w:t>find</w:t>
      </w:r>
      <w:r w:rsidR="00DD5782" w:rsidRPr="00AA1839">
        <w:rPr>
          <w:iCs/>
        </w:rPr>
        <w:t xml:space="preserve"> the arguments provided in the PSCR </w:t>
      </w:r>
      <w:r w:rsidR="0006452A" w:rsidRPr="00AA1839">
        <w:rPr>
          <w:iCs/>
        </w:rPr>
        <w:t xml:space="preserve">to be sufficient </w:t>
      </w:r>
      <w:r w:rsidR="009A73A0" w:rsidRPr="00AA1839">
        <w:rPr>
          <w:iCs/>
        </w:rPr>
        <w:t xml:space="preserve">clinical justification for </w:t>
      </w:r>
      <w:r w:rsidR="0006452A" w:rsidRPr="00AA1839">
        <w:rPr>
          <w:iCs/>
        </w:rPr>
        <w:t xml:space="preserve">the stated </w:t>
      </w:r>
      <w:r w:rsidR="009A73A0" w:rsidRPr="00AA1839">
        <w:rPr>
          <w:iCs/>
        </w:rPr>
        <w:t>non-inferiority margin</w:t>
      </w:r>
      <w:r w:rsidR="00DD5782" w:rsidRPr="00AA1839">
        <w:rPr>
          <w:iCs/>
        </w:rPr>
        <w:t xml:space="preserve"> between eliglustat and imiglucerase</w:t>
      </w:r>
      <w:r w:rsidRPr="00AA1839">
        <w:rPr>
          <w:iCs/>
        </w:rPr>
        <w:t>.</w:t>
      </w:r>
    </w:p>
    <w:p w:rsidR="00401FD5" w:rsidRPr="00F25211" w:rsidRDefault="00401FD5" w:rsidP="00F25211">
      <w:pPr>
        <w:rPr>
          <w:iCs/>
        </w:rPr>
      </w:pPr>
    </w:p>
    <w:p w:rsidR="00B60939" w:rsidRPr="00E37AB3" w:rsidRDefault="006A6231" w:rsidP="00B60939">
      <w:pPr>
        <w:pStyle w:val="BodyText"/>
        <w:widowControl/>
        <w:numPr>
          <w:ilvl w:val="1"/>
          <w:numId w:val="31"/>
        </w:numPr>
        <w:jc w:val="both"/>
        <w:rPr>
          <w:i/>
          <w:iCs/>
        </w:rPr>
      </w:pPr>
      <w:r>
        <w:t>Although the submission state</w:t>
      </w:r>
      <w:r w:rsidR="002E78BA">
        <w:t>d</w:t>
      </w:r>
      <w:r>
        <w:t xml:space="preserve"> that the </w:t>
      </w:r>
      <w:r w:rsidR="00401FD5" w:rsidRPr="00401FD5">
        <w:t>criteria for stability in the com</w:t>
      </w:r>
      <w:r w:rsidR="00401FD5">
        <w:t xml:space="preserve">posite outcome </w:t>
      </w:r>
      <w:r>
        <w:t xml:space="preserve">was based on Kishnani et al 2009, the criteria </w:t>
      </w:r>
      <w:r w:rsidR="00401FD5">
        <w:t>used in ENCORE was</w:t>
      </w:r>
      <w:r w:rsidR="00401FD5" w:rsidRPr="00401FD5">
        <w:t xml:space="preserve"> broader than that in Kishnani et al 2009</w:t>
      </w:r>
      <w:r w:rsidR="00401FD5">
        <w:t xml:space="preserve">, </w:t>
      </w:r>
      <w:r w:rsidR="00401FD5" w:rsidRPr="00401FD5">
        <w:t xml:space="preserve">a randomised trial that compared the efficacy and safety of imiglucerase infusion given every 4 weeks versus every 2 weeks in GD1 patients.  </w:t>
      </w:r>
      <w:r w:rsidR="00401FD5" w:rsidRPr="00273B63">
        <w:rPr>
          <w:iCs/>
        </w:rPr>
        <w:t xml:space="preserve">No explanation </w:t>
      </w:r>
      <w:r w:rsidR="009A73A0">
        <w:rPr>
          <w:iCs/>
        </w:rPr>
        <w:t xml:space="preserve">was provided </w:t>
      </w:r>
      <w:r w:rsidR="00401FD5" w:rsidRPr="00273B63">
        <w:rPr>
          <w:iCs/>
        </w:rPr>
        <w:t>as to why the margins for stability in ENCORE are greater than that in Kishnani et al 2009.</w:t>
      </w:r>
    </w:p>
    <w:p w:rsidR="00111628" w:rsidRDefault="00111628" w:rsidP="00C20466">
      <w:pPr>
        <w:pStyle w:val="BodyText"/>
      </w:pPr>
    </w:p>
    <w:p w:rsidR="00B60939" w:rsidRPr="002C2775" w:rsidRDefault="00B60939" w:rsidP="002C2775">
      <w:pPr>
        <w:pStyle w:val="Heading2"/>
        <w:rPr>
          <w:i/>
        </w:rPr>
      </w:pPr>
      <w:bookmarkStart w:id="21" w:name="_Toc419465015"/>
      <w:r w:rsidRPr="002C2775">
        <w:rPr>
          <w:i/>
        </w:rPr>
        <w:t>Comparative effectiveness</w:t>
      </w:r>
      <w:bookmarkEnd w:id="21"/>
    </w:p>
    <w:p w:rsidR="00B60939" w:rsidRPr="00882085" w:rsidRDefault="00B60939" w:rsidP="00B60939">
      <w:pPr>
        <w:rPr>
          <w:szCs w:val="22"/>
        </w:rPr>
      </w:pPr>
    </w:p>
    <w:p w:rsidR="002C2775" w:rsidRPr="001D76F3" w:rsidRDefault="001D76F3" w:rsidP="001D15DC">
      <w:pPr>
        <w:pStyle w:val="BodyText"/>
        <w:widowControl/>
        <w:numPr>
          <w:ilvl w:val="1"/>
          <w:numId w:val="31"/>
        </w:numPr>
        <w:jc w:val="both"/>
        <w:rPr>
          <w:szCs w:val="22"/>
        </w:rPr>
      </w:pPr>
      <w:r w:rsidRPr="001D76F3">
        <w:rPr>
          <w:szCs w:val="22"/>
        </w:rPr>
        <w:t>Table 3 summarises the results in ENCORE</w:t>
      </w:r>
      <w:r w:rsidR="00F5726E">
        <w:rPr>
          <w:szCs w:val="22"/>
        </w:rPr>
        <w:t>.</w:t>
      </w:r>
    </w:p>
    <w:p w:rsidR="001D76F3" w:rsidRPr="0006452A" w:rsidRDefault="001D76F3" w:rsidP="001D76F3">
      <w:pPr>
        <w:pStyle w:val="PBACHeading1"/>
        <w:numPr>
          <w:ilvl w:val="0"/>
          <w:numId w:val="0"/>
        </w:numPr>
        <w:ind w:left="720" w:hanging="720"/>
        <w:rPr>
          <w:b w:val="0"/>
        </w:rPr>
      </w:pPr>
    </w:p>
    <w:p w:rsidR="00C11B3E" w:rsidRPr="00C11B3E" w:rsidRDefault="00C11B3E" w:rsidP="001D76F3">
      <w:pPr>
        <w:ind w:left="709"/>
        <w:rPr>
          <w:rFonts w:ascii="Arial Narrow" w:hAnsi="Arial Narrow"/>
          <w:b/>
          <w:bCs/>
          <w:sz w:val="20"/>
        </w:rPr>
      </w:pPr>
      <w:r w:rsidRPr="00934DE7">
        <w:rPr>
          <w:rFonts w:ascii="Arial Narrow" w:hAnsi="Arial Narrow"/>
          <w:b/>
          <w:bCs/>
          <w:sz w:val="20"/>
        </w:rPr>
        <w:t xml:space="preserve">Table </w:t>
      </w:r>
      <w:r>
        <w:rPr>
          <w:rFonts w:ascii="Arial Narrow" w:hAnsi="Arial Narrow"/>
          <w:b/>
          <w:bCs/>
          <w:sz w:val="20"/>
        </w:rPr>
        <w:t>3:</w:t>
      </w:r>
      <w:r w:rsidRPr="00934DE7">
        <w:rPr>
          <w:rFonts w:ascii="Arial Narrow" w:hAnsi="Arial Narrow"/>
          <w:b/>
          <w:bCs/>
          <w:sz w:val="20"/>
        </w:rPr>
        <w:t xml:space="preserve"> Proportion of patients who remained stable in ENCORE based on the primary composite outcome and individual components of the composite outcome</w:t>
      </w:r>
      <w:r w:rsidR="00861F77">
        <w:rPr>
          <w:rFonts w:ascii="Arial Narrow" w:hAnsi="Arial Narrow"/>
          <w:b/>
          <w:bCs/>
          <w:sz w:val="20"/>
        </w:rPr>
        <w:t xml:space="preserve"> in per protocol set</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3: Proportion of patients who remained stable in ENCORE based on the primary composite outcome and individual components of the composite outcome in per protocol set"/>
        <w:tblDescription w:val="This table summarises the results from the ENCORE study. "/>
      </w:tblPr>
      <w:tblGrid>
        <w:gridCol w:w="2977"/>
        <w:gridCol w:w="992"/>
        <w:gridCol w:w="1134"/>
        <w:gridCol w:w="992"/>
        <w:gridCol w:w="1134"/>
        <w:gridCol w:w="1134"/>
      </w:tblGrid>
      <w:tr w:rsidR="00861F77" w:rsidRPr="00CC771C" w:rsidTr="00211259">
        <w:trPr>
          <w:tblHeader/>
        </w:trPr>
        <w:tc>
          <w:tcPr>
            <w:tcW w:w="2977" w:type="dxa"/>
            <w:vAlign w:val="center"/>
          </w:tcPr>
          <w:p w:rsidR="00861F77" w:rsidRPr="00CC771C" w:rsidRDefault="00861F77" w:rsidP="005D616E">
            <w:pPr>
              <w:jc w:val="left"/>
              <w:rPr>
                <w:rFonts w:ascii="Arial Narrow" w:hAnsi="Arial Narrow"/>
                <w:sz w:val="20"/>
              </w:rPr>
            </w:pPr>
          </w:p>
        </w:tc>
        <w:tc>
          <w:tcPr>
            <w:tcW w:w="992" w:type="dxa"/>
            <w:vAlign w:val="center"/>
          </w:tcPr>
          <w:p w:rsidR="00861F77" w:rsidRDefault="00861F77" w:rsidP="00E82D3B">
            <w:pPr>
              <w:jc w:val="center"/>
              <w:rPr>
                <w:rFonts w:ascii="Arial Narrow" w:hAnsi="Arial Narrow"/>
                <w:b/>
                <w:sz w:val="20"/>
              </w:rPr>
            </w:pPr>
            <w:r w:rsidRPr="00934DE7">
              <w:rPr>
                <w:rFonts w:ascii="Arial Narrow" w:hAnsi="Arial Narrow"/>
                <w:b/>
                <w:sz w:val="20"/>
              </w:rPr>
              <w:t xml:space="preserve">Eliglustat </w:t>
            </w:r>
          </w:p>
          <w:p w:rsidR="00861F77" w:rsidRPr="00934DE7" w:rsidRDefault="00861F77" w:rsidP="00E82D3B">
            <w:pPr>
              <w:jc w:val="center"/>
              <w:rPr>
                <w:rFonts w:ascii="Arial Narrow" w:hAnsi="Arial Narrow"/>
                <w:b/>
                <w:sz w:val="20"/>
              </w:rPr>
            </w:pPr>
            <w:r>
              <w:rPr>
                <w:rFonts w:ascii="Arial Narrow" w:hAnsi="Arial Narrow"/>
                <w:b/>
                <w:sz w:val="20"/>
              </w:rPr>
              <w:t>N=99, n(%)</w:t>
            </w:r>
          </w:p>
        </w:tc>
        <w:tc>
          <w:tcPr>
            <w:tcW w:w="1134" w:type="dxa"/>
            <w:vAlign w:val="center"/>
          </w:tcPr>
          <w:p w:rsidR="00861F77" w:rsidRPr="00934DE7" w:rsidRDefault="00861F77" w:rsidP="00E82D3B">
            <w:pPr>
              <w:jc w:val="center"/>
              <w:rPr>
                <w:rFonts w:ascii="Arial Narrow" w:hAnsi="Arial Narrow"/>
                <w:b/>
                <w:sz w:val="20"/>
              </w:rPr>
            </w:pPr>
            <w:r w:rsidRPr="00934DE7">
              <w:rPr>
                <w:rFonts w:ascii="Arial Narrow" w:hAnsi="Arial Narrow"/>
                <w:b/>
                <w:sz w:val="20"/>
              </w:rPr>
              <w:t xml:space="preserve">Imiglucerase </w:t>
            </w:r>
            <w:r>
              <w:rPr>
                <w:rFonts w:ascii="Arial Narrow" w:hAnsi="Arial Narrow"/>
                <w:b/>
                <w:sz w:val="20"/>
              </w:rPr>
              <w:t>N=47, n(%)</w:t>
            </w:r>
          </w:p>
        </w:tc>
        <w:tc>
          <w:tcPr>
            <w:tcW w:w="992" w:type="dxa"/>
            <w:vAlign w:val="center"/>
          </w:tcPr>
          <w:p w:rsidR="00861F77" w:rsidRPr="00934DE7" w:rsidRDefault="00861F77" w:rsidP="005D616E">
            <w:pPr>
              <w:jc w:val="center"/>
              <w:rPr>
                <w:rFonts w:ascii="Arial Narrow" w:hAnsi="Arial Narrow"/>
                <w:b/>
                <w:sz w:val="20"/>
              </w:rPr>
            </w:pPr>
            <w:r w:rsidRPr="00934DE7">
              <w:rPr>
                <w:rFonts w:ascii="Arial Narrow" w:hAnsi="Arial Narrow"/>
                <w:b/>
                <w:sz w:val="20"/>
              </w:rPr>
              <w:t>Difference (95%CI)</w:t>
            </w:r>
          </w:p>
        </w:tc>
        <w:tc>
          <w:tcPr>
            <w:tcW w:w="1134" w:type="dxa"/>
            <w:vAlign w:val="center"/>
          </w:tcPr>
          <w:p w:rsidR="00861F77" w:rsidRPr="00934DE7" w:rsidRDefault="00861F77" w:rsidP="005D616E">
            <w:pPr>
              <w:jc w:val="center"/>
              <w:rPr>
                <w:rFonts w:ascii="Arial Narrow" w:hAnsi="Arial Narrow"/>
                <w:b/>
                <w:sz w:val="20"/>
              </w:rPr>
            </w:pPr>
            <w:r w:rsidRPr="00934DE7">
              <w:rPr>
                <w:rFonts w:ascii="Arial Narrow" w:hAnsi="Arial Narrow"/>
                <w:b/>
                <w:sz w:val="20"/>
              </w:rPr>
              <w:t>OR</w:t>
            </w:r>
          </w:p>
          <w:p w:rsidR="00861F77" w:rsidRPr="00934DE7" w:rsidRDefault="00861F77" w:rsidP="005D616E">
            <w:pPr>
              <w:jc w:val="center"/>
              <w:rPr>
                <w:rFonts w:ascii="Arial Narrow" w:hAnsi="Arial Narrow"/>
                <w:b/>
                <w:sz w:val="20"/>
              </w:rPr>
            </w:pPr>
            <w:r w:rsidRPr="00934DE7">
              <w:rPr>
                <w:rFonts w:ascii="Arial Narrow" w:hAnsi="Arial Narrow"/>
                <w:b/>
                <w:sz w:val="20"/>
              </w:rPr>
              <w:t>(95% CI)</w:t>
            </w:r>
          </w:p>
        </w:tc>
        <w:tc>
          <w:tcPr>
            <w:tcW w:w="1134" w:type="dxa"/>
            <w:vAlign w:val="center"/>
          </w:tcPr>
          <w:p w:rsidR="00861F77" w:rsidRPr="00934DE7" w:rsidRDefault="00861F77" w:rsidP="005D616E">
            <w:pPr>
              <w:jc w:val="center"/>
              <w:rPr>
                <w:rFonts w:ascii="Arial Narrow" w:hAnsi="Arial Narrow"/>
                <w:b/>
                <w:sz w:val="20"/>
              </w:rPr>
            </w:pPr>
            <w:r w:rsidRPr="00934DE7">
              <w:rPr>
                <w:rFonts w:ascii="Arial Narrow" w:hAnsi="Arial Narrow"/>
                <w:b/>
                <w:sz w:val="20"/>
              </w:rPr>
              <w:t>RR</w:t>
            </w:r>
          </w:p>
          <w:p w:rsidR="00861F77" w:rsidRPr="00934DE7" w:rsidRDefault="00861F77" w:rsidP="005D616E">
            <w:pPr>
              <w:jc w:val="center"/>
              <w:rPr>
                <w:rFonts w:ascii="Arial Narrow" w:hAnsi="Arial Narrow"/>
                <w:b/>
                <w:sz w:val="20"/>
              </w:rPr>
            </w:pPr>
            <w:r w:rsidRPr="00934DE7">
              <w:rPr>
                <w:rFonts w:ascii="Arial Narrow" w:hAnsi="Arial Narrow"/>
                <w:b/>
                <w:sz w:val="20"/>
              </w:rPr>
              <w:t>(95% CI)</w:t>
            </w:r>
          </w:p>
        </w:tc>
      </w:tr>
      <w:tr w:rsidR="006A6231" w:rsidRPr="00CC771C" w:rsidTr="00861F77">
        <w:tc>
          <w:tcPr>
            <w:tcW w:w="2977" w:type="dxa"/>
            <w:vAlign w:val="center"/>
          </w:tcPr>
          <w:p w:rsidR="006A6231" w:rsidRPr="00CC771C" w:rsidRDefault="006A6231" w:rsidP="005D616E">
            <w:pPr>
              <w:jc w:val="left"/>
              <w:rPr>
                <w:rFonts w:ascii="Arial Narrow" w:hAnsi="Arial Narrow"/>
                <w:sz w:val="20"/>
              </w:rPr>
            </w:pPr>
            <w:r w:rsidRPr="00CC771C">
              <w:rPr>
                <w:rFonts w:ascii="Arial Narrow" w:hAnsi="Arial Narrow"/>
                <w:sz w:val="20"/>
              </w:rPr>
              <w:t>Proportion of patients stable at week 52</w:t>
            </w:r>
          </w:p>
        </w:tc>
        <w:tc>
          <w:tcPr>
            <w:tcW w:w="992" w:type="dxa"/>
            <w:vAlign w:val="center"/>
          </w:tcPr>
          <w:p w:rsidR="006A6231" w:rsidRPr="00CC771C" w:rsidRDefault="006A6231" w:rsidP="005D616E">
            <w:pPr>
              <w:jc w:val="center"/>
              <w:rPr>
                <w:rFonts w:ascii="Arial Narrow" w:hAnsi="Arial Narrow"/>
                <w:sz w:val="20"/>
              </w:rPr>
            </w:pPr>
            <w:r w:rsidRPr="00CC771C">
              <w:rPr>
                <w:rFonts w:ascii="Arial Narrow" w:hAnsi="Arial Narrow"/>
                <w:sz w:val="20"/>
              </w:rPr>
              <w:t>84 (84.8)</w:t>
            </w:r>
          </w:p>
        </w:tc>
        <w:tc>
          <w:tcPr>
            <w:tcW w:w="1134" w:type="dxa"/>
            <w:vAlign w:val="center"/>
          </w:tcPr>
          <w:p w:rsidR="006A6231" w:rsidRPr="00CC771C" w:rsidRDefault="006A6231" w:rsidP="005D616E">
            <w:pPr>
              <w:jc w:val="center"/>
              <w:rPr>
                <w:rFonts w:ascii="Arial Narrow" w:hAnsi="Arial Narrow"/>
                <w:sz w:val="20"/>
              </w:rPr>
            </w:pPr>
            <w:r w:rsidRPr="00CC771C">
              <w:rPr>
                <w:rFonts w:ascii="Arial Narrow" w:hAnsi="Arial Narrow"/>
                <w:sz w:val="20"/>
              </w:rPr>
              <w:t>44 (93.6)</w:t>
            </w:r>
          </w:p>
        </w:tc>
        <w:tc>
          <w:tcPr>
            <w:tcW w:w="992" w:type="dxa"/>
            <w:vAlign w:val="center"/>
          </w:tcPr>
          <w:p w:rsidR="006A6231" w:rsidRPr="00CC771C" w:rsidRDefault="006A6231" w:rsidP="005D616E">
            <w:pPr>
              <w:jc w:val="center"/>
              <w:rPr>
                <w:rFonts w:ascii="Arial Narrow" w:hAnsi="Arial Narrow"/>
                <w:sz w:val="20"/>
              </w:rPr>
            </w:pPr>
            <w:r w:rsidRPr="00CC771C">
              <w:rPr>
                <w:rFonts w:ascii="Arial Narrow" w:hAnsi="Arial Narrow"/>
                <w:sz w:val="20"/>
              </w:rPr>
              <w:t>-8.8%</w:t>
            </w:r>
          </w:p>
          <w:p w:rsidR="006A6231" w:rsidRPr="00CC771C" w:rsidRDefault="006A6231" w:rsidP="005D616E">
            <w:pPr>
              <w:jc w:val="center"/>
              <w:rPr>
                <w:rFonts w:ascii="Arial Narrow" w:hAnsi="Arial Narrow"/>
                <w:sz w:val="20"/>
              </w:rPr>
            </w:pPr>
            <w:r w:rsidRPr="00CC771C">
              <w:rPr>
                <w:rFonts w:ascii="Arial Narrow" w:hAnsi="Arial Narrow"/>
                <w:sz w:val="20"/>
              </w:rPr>
              <w:t>(-17.6, 4.2)</w:t>
            </w:r>
          </w:p>
        </w:tc>
        <w:tc>
          <w:tcPr>
            <w:tcW w:w="1134" w:type="dxa"/>
            <w:vAlign w:val="center"/>
          </w:tcPr>
          <w:p w:rsidR="006A6231" w:rsidRPr="00CC771C" w:rsidRDefault="006A6231" w:rsidP="005D616E">
            <w:pPr>
              <w:jc w:val="center"/>
              <w:rPr>
                <w:rFonts w:ascii="Arial Narrow" w:hAnsi="Arial Narrow"/>
                <w:sz w:val="20"/>
              </w:rPr>
            </w:pPr>
            <w:r w:rsidRPr="00CC771C">
              <w:rPr>
                <w:rFonts w:ascii="Arial Narrow" w:hAnsi="Arial Narrow"/>
                <w:sz w:val="20"/>
              </w:rPr>
              <w:t>0.38</w:t>
            </w:r>
          </w:p>
          <w:p w:rsidR="006A6231" w:rsidRPr="00CC771C" w:rsidRDefault="006A6231" w:rsidP="005D616E">
            <w:pPr>
              <w:jc w:val="center"/>
              <w:rPr>
                <w:rFonts w:ascii="Arial Narrow" w:hAnsi="Arial Narrow"/>
                <w:sz w:val="20"/>
              </w:rPr>
            </w:pPr>
            <w:r w:rsidRPr="00CC771C">
              <w:rPr>
                <w:rFonts w:ascii="Arial Narrow" w:hAnsi="Arial Narrow"/>
                <w:sz w:val="20"/>
              </w:rPr>
              <w:t>(0.10, 1.39)</w:t>
            </w:r>
          </w:p>
        </w:tc>
        <w:tc>
          <w:tcPr>
            <w:tcW w:w="1134" w:type="dxa"/>
            <w:vAlign w:val="center"/>
          </w:tcPr>
          <w:p w:rsidR="006A6231" w:rsidRPr="00CC771C" w:rsidRDefault="006A6231" w:rsidP="005D616E">
            <w:pPr>
              <w:jc w:val="center"/>
              <w:rPr>
                <w:rFonts w:ascii="Arial Narrow" w:hAnsi="Arial Narrow"/>
                <w:sz w:val="20"/>
              </w:rPr>
            </w:pPr>
            <w:r w:rsidRPr="00CC771C">
              <w:rPr>
                <w:rFonts w:ascii="Arial Narrow" w:hAnsi="Arial Narrow"/>
                <w:sz w:val="20"/>
              </w:rPr>
              <w:t>0.91</w:t>
            </w:r>
          </w:p>
          <w:p w:rsidR="006A6231" w:rsidRPr="00CC771C" w:rsidRDefault="006A6231" w:rsidP="005D616E">
            <w:pPr>
              <w:jc w:val="center"/>
              <w:rPr>
                <w:rFonts w:ascii="Arial Narrow" w:hAnsi="Arial Narrow"/>
                <w:sz w:val="20"/>
              </w:rPr>
            </w:pPr>
            <w:r w:rsidRPr="00CC771C">
              <w:rPr>
                <w:rFonts w:ascii="Arial Narrow" w:hAnsi="Arial Narrow"/>
                <w:sz w:val="20"/>
              </w:rPr>
              <w:t>(0.81, 1.01)</w:t>
            </w:r>
          </w:p>
        </w:tc>
      </w:tr>
      <w:tr w:rsidR="006A6231" w:rsidRPr="00CC771C" w:rsidTr="00861F77">
        <w:tc>
          <w:tcPr>
            <w:tcW w:w="2977" w:type="dxa"/>
            <w:vAlign w:val="center"/>
          </w:tcPr>
          <w:p w:rsidR="006A6231" w:rsidRPr="00CC771C" w:rsidRDefault="006A6231" w:rsidP="00BC71A8">
            <w:pPr>
              <w:jc w:val="left"/>
              <w:rPr>
                <w:rFonts w:ascii="Arial Narrow" w:hAnsi="Arial Narrow"/>
                <w:sz w:val="20"/>
              </w:rPr>
            </w:pPr>
            <w:r w:rsidRPr="00CC771C">
              <w:rPr>
                <w:rFonts w:ascii="Arial Narrow" w:hAnsi="Arial Narrow"/>
                <w:sz w:val="20"/>
              </w:rPr>
              <w:t>Patients whose haemoglobin did not decrease &gt;</w:t>
            </w:r>
            <w:r w:rsidR="00BC71A8">
              <w:rPr>
                <w:rFonts w:ascii="Arial Narrow" w:hAnsi="Arial Narrow"/>
                <w:sz w:val="20"/>
              </w:rPr>
              <w:t> </w:t>
            </w:r>
            <w:r w:rsidRPr="00CC771C">
              <w:rPr>
                <w:rFonts w:ascii="Arial Narrow" w:hAnsi="Arial Narrow"/>
                <w:sz w:val="20"/>
              </w:rPr>
              <w:t>1.5</w:t>
            </w:r>
            <w:r w:rsidR="00BC71A8">
              <w:rPr>
                <w:rFonts w:ascii="Arial Narrow" w:hAnsi="Arial Narrow"/>
                <w:sz w:val="20"/>
              </w:rPr>
              <w:t> </w:t>
            </w:r>
            <w:r w:rsidRPr="00CC771C">
              <w:rPr>
                <w:rFonts w:ascii="Arial Narrow" w:hAnsi="Arial Narrow"/>
                <w:sz w:val="20"/>
              </w:rPr>
              <w:t xml:space="preserve">g/dL from </w:t>
            </w:r>
            <w:r w:rsidR="00325B64" w:rsidRPr="00CC771C">
              <w:rPr>
                <w:rFonts w:ascii="Arial Narrow" w:hAnsi="Arial Narrow"/>
                <w:sz w:val="20"/>
              </w:rPr>
              <w:t>b</w:t>
            </w:r>
            <w:r w:rsidRPr="00CC771C">
              <w:rPr>
                <w:rFonts w:ascii="Arial Narrow" w:hAnsi="Arial Narrow"/>
                <w:sz w:val="20"/>
              </w:rPr>
              <w:t>aseline</w:t>
            </w:r>
          </w:p>
        </w:tc>
        <w:tc>
          <w:tcPr>
            <w:tcW w:w="992" w:type="dxa"/>
            <w:vAlign w:val="center"/>
          </w:tcPr>
          <w:p w:rsidR="006A6231" w:rsidRPr="00CC771C" w:rsidRDefault="006A6231" w:rsidP="005D616E">
            <w:pPr>
              <w:jc w:val="center"/>
              <w:rPr>
                <w:rFonts w:ascii="Arial Narrow" w:hAnsi="Arial Narrow"/>
                <w:sz w:val="20"/>
              </w:rPr>
            </w:pPr>
            <w:r>
              <w:rPr>
                <w:rFonts w:ascii="Arial Narrow" w:hAnsi="Arial Narrow"/>
                <w:sz w:val="20"/>
              </w:rPr>
              <w:t>94 (94.9)</w:t>
            </w:r>
          </w:p>
        </w:tc>
        <w:tc>
          <w:tcPr>
            <w:tcW w:w="1134" w:type="dxa"/>
            <w:vAlign w:val="center"/>
          </w:tcPr>
          <w:p w:rsidR="006A6231" w:rsidRPr="00CC771C" w:rsidRDefault="006A6231" w:rsidP="005D616E">
            <w:pPr>
              <w:jc w:val="center"/>
              <w:rPr>
                <w:rFonts w:ascii="Arial Narrow" w:hAnsi="Arial Narrow"/>
                <w:sz w:val="20"/>
              </w:rPr>
            </w:pPr>
            <w:r>
              <w:rPr>
                <w:rFonts w:ascii="Arial Narrow" w:hAnsi="Arial Narrow"/>
                <w:sz w:val="20"/>
              </w:rPr>
              <w:t>47 (100)</w:t>
            </w:r>
          </w:p>
        </w:tc>
        <w:tc>
          <w:tcPr>
            <w:tcW w:w="992" w:type="dxa"/>
            <w:vAlign w:val="center"/>
          </w:tcPr>
          <w:p w:rsidR="006A6231" w:rsidRDefault="006A6231" w:rsidP="005D616E">
            <w:pPr>
              <w:jc w:val="center"/>
              <w:rPr>
                <w:rFonts w:ascii="Arial Narrow" w:hAnsi="Arial Narrow"/>
                <w:sz w:val="20"/>
              </w:rPr>
            </w:pPr>
            <w:r>
              <w:rPr>
                <w:rFonts w:ascii="Arial Narrow" w:hAnsi="Arial Narrow"/>
                <w:sz w:val="20"/>
              </w:rPr>
              <w:t>-5.1%</w:t>
            </w:r>
          </w:p>
          <w:p w:rsidR="006A6231" w:rsidRPr="00877E7D" w:rsidRDefault="006A6231" w:rsidP="005D616E">
            <w:pPr>
              <w:jc w:val="center"/>
              <w:rPr>
                <w:rFonts w:ascii="Arial Narrow" w:hAnsi="Arial Narrow"/>
                <w:i/>
                <w:iCs/>
                <w:sz w:val="20"/>
              </w:rPr>
            </w:pPr>
            <w:r w:rsidRPr="00877E7D">
              <w:rPr>
                <w:rFonts w:ascii="Arial Narrow" w:hAnsi="Arial Narrow"/>
                <w:i/>
                <w:iCs/>
                <w:sz w:val="20"/>
              </w:rPr>
              <w:t>(-11.3, 2.7)</w:t>
            </w:r>
          </w:p>
        </w:tc>
        <w:tc>
          <w:tcPr>
            <w:tcW w:w="1134" w:type="dxa"/>
            <w:vAlign w:val="center"/>
          </w:tcPr>
          <w:p w:rsidR="006A6231" w:rsidRDefault="006A6231" w:rsidP="005D616E">
            <w:pPr>
              <w:jc w:val="center"/>
              <w:rPr>
                <w:rFonts w:ascii="Arial Narrow" w:hAnsi="Arial Narrow"/>
                <w:sz w:val="20"/>
              </w:rPr>
            </w:pPr>
            <w:r>
              <w:rPr>
                <w:rFonts w:ascii="Arial Narrow" w:hAnsi="Arial Narrow"/>
                <w:sz w:val="20"/>
              </w:rPr>
              <w:t>0.18</w:t>
            </w:r>
          </w:p>
          <w:p w:rsidR="006A6231" w:rsidRPr="00CC771C" w:rsidRDefault="006A6231" w:rsidP="005D616E">
            <w:pPr>
              <w:jc w:val="center"/>
              <w:rPr>
                <w:rFonts w:ascii="Arial Narrow" w:hAnsi="Arial Narrow"/>
                <w:sz w:val="20"/>
              </w:rPr>
            </w:pPr>
            <w:r>
              <w:rPr>
                <w:rFonts w:ascii="Arial Narrow" w:hAnsi="Arial Narrow"/>
                <w:sz w:val="20"/>
              </w:rPr>
              <w:t>(0.01, 3.34)</w:t>
            </w:r>
          </w:p>
        </w:tc>
        <w:tc>
          <w:tcPr>
            <w:tcW w:w="1134" w:type="dxa"/>
            <w:vAlign w:val="center"/>
          </w:tcPr>
          <w:p w:rsidR="006A6231" w:rsidRDefault="006A6231" w:rsidP="005D616E">
            <w:pPr>
              <w:jc w:val="center"/>
              <w:rPr>
                <w:rFonts w:ascii="Arial Narrow" w:hAnsi="Arial Narrow"/>
                <w:sz w:val="20"/>
              </w:rPr>
            </w:pPr>
            <w:r>
              <w:rPr>
                <w:rFonts w:ascii="Arial Narrow" w:hAnsi="Arial Narrow"/>
                <w:sz w:val="20"/>
              </w:rPr>
              <w:t>0.95</w:t>
            </w:r>
          </w:p>
          <w:p w:rsidR="006A6231" w:rsidRPr="00CC771C" w:rsidRDefault="006A6231" w:rsidP="005D616E">
            <w:pPr>
              <w:jc w:val="center"/>
              <w:rPr>
                <w:rFonts w:ascii="Arial Narrow" w:hAnsi="Arial Narrow"/>
                <w:sz w:val="20"/>
              </w:rPr>
            </w:pPr>
            <w:r>
              <w:rPr>
                <w:rFonts w:ascii="Arial Narrow" w:hAnsi="Arial Narrow"/>
                <w:sz w:val="20"/>
              </w:rPr>
              <w:t>(0.90, 1.01)</w:t>
            </w:r>
          </w:p>
        </w:tc>
      </w:tr>
      <w:tr w:rsidR="006A6231" w:rsidRPr="00CC771C" w:rsidTr="00861F77">
        <w:tc>
          <w:tcPr>
            <w:tcW w:w="2977" w:type="dxa"/>
            <w:vAlign w:val="center"/>
          </w:tcPr>
          <w:p w:rsidR="006A6231" w:rsidRPr="00CC771C" w:rsidRDefault="006A6231" w:rsidP="005D616E">
            <w:pPr>
              <w:jc w:val="left"/>
              <w:rPr>
                <w:rFonts w:ascii="Arial Narrow" w:hAnsi="Arial Narrow"/>
                <w:sz w:val="20"/>
              </w:rPr>
            </w:pPr>
            <w:r w:rsidRPr="00CC771C">
              <w:rPr>
                <w:rFonts w:ascii="Arial Narrow" w:hAnsi="Arial Narrow"/>
                <w:sz w:val="20"/>
              </w:rPr>
              <w:t>Patients whose platelet count did not decrease &gt;</w:t>
            </w:r>
            <w:r w:rsidR="00BC71A8">
              <w:rPr>
                <w:rFonts w:ascii="Arial Narrow" w:hAnsi="Arial Narrow"/>
                <w:sz w:val="20"/>
              </w:rPr>
              <w:t> </w:t>
            </w:r>
            <w:r w:rsidRPr="00CC771C">
              <w:rPr>
                <w:rFonts w:ascii="Arial Narrow" w:hAnsi="Arial Narrow"/>
                <w:sz w:val="20"/>
              </w:rPr>
              <w:t xml:space="preserve">25% from </w:t>
            </w:r>
            <w:r w:rsidR="00325B64" w:rsidRPr="00CC771C">
              <w:rPr>
                <w:rFonts w:ascii="Arial Narrow" w:hAnsi="Arial Narrow"/>
                <w:sz w:val="20"/>
              </w:rPr>
              <w:t>b</w:t>
            </w:r>
            <w:r w:rsidRPr="00CC771C">
              <w:rPr>
                <w:rFonts w:ascii="Arial Narrow" w:hAnsi="Arial Narrow"/>
                <w:sz w:val="20"/>
              </w:rPr>
              <w:t>aseline</w:t>
            </w:r>
          </w:p>
        </w:tc>
        <w:tc>
          <w:tcPr>
            <w:tcW w:w="992" w:type="dxa"/>
            <w:vAlign w:val="center"/>
          </w:tcPr>
          <w:p w:rsidR="006A6231" w:rsidRPr="00CC771C" w:rsidRDefault="006A6231" w:rsidP="005D616E">
            <w:pPr>
              <w:jc w:val="center"/>
              <w:rPr>
                <w:rFonts w:ascii="Arial Narrow" w:hAnsi="Arial Narrow"/>
                <w:sz w:val="20"/>
              </w:rPr>
            </w:pPr>
            <w:r>
              <w:rPr>
                <w:rFonts w:ascii="Arial Narrow" w:hAnsi="Arial Narrow"/>
                <w:sz w:val="20"/>
              </w:rPr>
              <w:t>92 (92.9)</w:t>
            </w:r>
          </w:p>
        </w:tc>
        <w:tc>
          <w:tcPr>
            <w:tcW w:w="1134" w:type="dxa"/>
            <w:vAlign w:val="center"/>
          </w:tcPr>
          <w:p w:rsidR="006A6231" w:rsidRPr="00CC771C" w:rsidRDefault="006A6231" w:rsidP="005D616E">
            <w:pPr>
              <w:jc w:val="center"/>
              <w:rPr>
                <w:rFonts w:ascii="Arial Narrow" w:hAnsi="Arial Narrow"/>
                <w:sz w:val="20"/>
              </w:rPr>
            </w:pPr>
            <w:r>
              <w:rPr>
                <w:rFonts w:ascii="Arial Narrow" w:hAnsi="Arial Narrow"/>
                <w:sz w:val="20"/>
              </w:rPr>
              <w:t>47 (100)</w:t>
            </w:r>
          </w:p>
        </w:tc>
        <w:tc>
          <w:tcPr>
            <w:tcW w:w="992" w:type="dxa"/>
            <w:vAlign w:val="center"/>
          </w:tcPr>
          <w:p w:rsidR="006A6231" w:rsidRDefault="006A6231" w:rsidP="005D616E">
            <w:pPr>
              <w:jc w:val="center"/>
              <w:rPr>
                <w:rFonts w:ascii="Arial Narrow" w:hAnsi="Arial Narrow"/>
                <w:sz w:val="20"/>
              </w:rPr>
            </w:pPr>
            <w:r>
              <w:rPr>
                <w:rFonts w:ascii="Arial Narrow" w:hAnsi="Arial Narrow"/>
                <w:sz w:val="20"/>
              </w:rPr>
              <w:t>-7.1%</w:t>
            </w:r>
          </w:p>
          <w:p w:rsidR="006A6231" w:rsidRPr="00877E7D" w:rsidRDefault="006A6231" w:rsidP="005D616E">
            <w:pPr>
              <w:jc w:val="center"/>
              <w:rPr>
                <w:rFonts w:ascii="Arial Narrow" w:hAnsi="Arial Narrow"/>
                <w:i/>
                <w:iCs/>
                <w:sz w:val="20"/>
              </w:rPr>
            </w:pPr>
            <w:r w:rsidRPr="00877E7D">
              <w:rPr>
                <w:rFonts w:ascii="Arial Narrow" w:hAnsi="Arial Narrow"/>
                <w:i/>
                <w:iCs/>
                <w:sz w:val="20"/>
              </w:rPr>
              <w:t>(-13.9, 0.7)</w:t>
            </w:r>
          </w:p>
        </w:tc>
        <w:tc>
          <w:tcPr>
            <w:tcW w:w="1134" w:type="dxa"/>
            <w:vAlign w:val="center"/>
          </w:tcPr>
          <w:p w:rsidR="006A6231" w:rsidRPr="008E56FB" w:rsidRDefault="006A6231" w:rsidP="005D616E">
            <w:pPr>
              <w:jc w:val="center"/>
              <w:rPr>
                <w:rFonts w:ascii="Arial Narrow" w:hAnsi="Arial Narrow"/>
                <w:b/>
                <w:sz w:val="20"/>
              </w:rPr>
            </w:pPr>
            <w:r w:rsidRPr="008E56FB">
              <w:rPr>
                <w:rFonts w:ascii="Arial Narrow" w:hAnsi="Arial Narrow"/>
                <w:b/>
                <w:sz w:val="20"/>
              </w:rPr>
              <w:t>0.13</w:t>
            </w:r>
          </w:p>
          <w:p w:rsidR="006A6231" w:rsidRPr="008E56FB" w:rsidRDefault="006A6231" w:rsidP="005D616E">
            <w:pPr>
              <w:jc w:val="center"/>
              <w:rPr>
                <w:rFonts w:ascii="Arial Narrow" w:hAnsi="Arial Narrow"/>
                <w:b/>
                <w:sz w:val="20"/>
              </w:rPr>
            </w:pPr>
            <w:r w:rsidRPr="008E56FB">
              <w:rPr>
                <w:rFonts w:ascii="Arial Narrow" w:hAnsi="Arial Narrow"/>
                <w:b/>
                <w:sz w:val="20"/>
              </w:rPr>
              <w:t>(0.01, 2.32)</w:t>
            </w:r>
          </w:p>
        </w:tc>
        <w:tc>
          <w:tcPr>
            <w:tcW w:w="1134" w:type="dxa"/>
            <w:vAlign w:val="center"/>
          </w:tcPr>
          <w:p w:rsidR="006A6231" w:rsidRPr="00861F77" w:rsidRDefault="00861F77" w:rsidP="005D616E">
            <w:pPr>
              <w:jc w:val="center"/>
              <w:rPr>
                <w:rFonts w:ascii="Arial Narrow" w:hAnsi="Arial Narrow"/>
                <w:bCs/>
                <w:sz w:val="20"/>
              </w:rPr>
            </w:pPr>
            <w:r w:rsidRPr="00861F77">
              <w:rPr>
                <w:rFonts w:ascii="Arial Narrow" w:hAnsi="Arial Narrow"/>
                <w:bCs/>
                <w:sz w:val="20"/>
              </w:rPr>
              <w:t>0.9</w:t>
            </w:r>
            <w:r w:rsidR="006A6231" w:rsidRPr="00861F77">
              <w:rPr>
                <w:rFonts w:ascii="Arial Narrow" w:hAnsi="Arial Narrow"/>
                <w:bCs/>
                <w:sz w:val="20"/>
              </w:rPr>
              <w:t>3</w:t>
            </w:r>
          </w:p>
          <w:p w:rsidR="006A6231" w:rsidRPr="008E56FB" w:rsidRDefault="00861F77" w:rsidP="005D616E">
            <w:pPr>
              <w:jc w:val="center"/>
              <w:rPr>
                <w:rFonts w:ascii="Arial Narrow" w:hAnsi="Arial Narrow"/>
                <w:b/>
                <w:sz w:val="20"/>
              </w:rPr>
            </w:pPr>
            <w:r w:rsidRPr="00861F77">
              <w:rPr>
                <w:rFonts w:ascii="Arial Narrow" w:hAnsi="Arial Narrow"/>
                <w:bCs/>
                <w:sz w:val="20"/>
              </w:rPr>
              <w:t>(0.87, 1.03</w:t>
            </w:r>
            <w:r w:rsidR="006A6231" w:rsidRPr="00861F77">
              <w:rPr>
                <w:rFonts w:ascii="Arial Narrow" w:hAnsi="Arial Narrow"/>
                <w:bCs/>
                <w:sz w:val="20"/>
              </w:rPr>
              <w:t>)</w:t>
            </w:r>
          </w:p>
        </w:tc>
      </w:tr>
      <w:tr w:rsidR="006A6231" w:rsidRPr="00CC771C" w:rsidTr="00861F77">
        <w:tc>
          <w:tcPr>
            <w:tcW w:w="2977" w:type="dxa"/>
            <w:vAlign w:val="center"/>
          </w:tcPr>
          <w:p w:rsidR="006A6231" w:rsidRPr="00CC771C" w:rsidRDefault="006A6231" w:rsidP="005D616E">
            <w:pPr>
              <w:jc w:val="left"/>
              <w:rPr>
                <w:rFonts w:ascii="Arial Narrow" w:hAnsi="Arial Narrow"/>
                <w:sz w:val="20"/>
              </w:rPr>
            </w:pPr>
            <w:r w:rsidRPr="00CC771C">
              <w:rPr>
                <w:rFonts w:ascii="Arial Narrow" w:hAnsi="Arial Narrow"/>
                <w:sz w:val="20"/>
              </w:rPr>
              <w:t xml:space="preserve">Spleen volume (in MN) did </w:t>
            </w:r>
            <w:r>
              <w:rPr>
                <w:rFonts w:ascii="Arial Narrow" w:hAnsi="Arial Narrow"/>
                <w:sz w:val="20"/>
              </w:rPr>
              <w:t>not increase &gt;</w:t>
            </w:r>
            <w:r w:rsidR="00BC71A8">
              <w:rPr>
                <w:rFonts w:ascii="Arial Narrow" w:hAnsi="Arial Narrow"/>
                <w:sz w:val="20"/>
              </w:rPr>
              <w:t> </w:t>
            </w:r>
            <w:r>
              <w:rPr>
                <w:rFonts w:ascii="Arial Narrow" w:hAnsi="Arial Narrow"/>
                <w:sz w:val="20"/>
              </w:rPr>
              <w:t xml:space="preserve">25% from </w:t>
            </w:r>
            <w:r w:rsidR="00325B64">
              <w:rPr>
                <w:rFonts w:ascii="Arial Narrow" w:hAnsi="Arial Narrow"/>
                <w:sz w:val="20"/>
              </w:rPr>
              <w:t>b</w:t>
            </w:r>
            <w:r>
              <w:rPr>
                <w:rFonts w:ascii="Arial Narrow" w:hAnsi="Arial Narrow"/>
                <w:sz w:val="20"/>
              </w:rPr>
              <w:t>aseline*</w:t>
            </w:r>
            <w:r w:rsidRPr="00CC771C">
              <w:rPr>
                <w:rFonts w:ascii="Arial Narrow" w:hAnsi="Arial Narrow"/>
                <w:sz w:val="20"/>
              </w:rPr>
              <w:t xml:space="preserve"> </w:t>
            </w:r>
          </w:p>
        </w:tc>
        <w:tc>
          <w:tcPr>
            <w:tcW w:w="992" w:type="dxa"/>
            <w:vAlign w:val="center"/>
          </w:tcPr>
          <w:p w:rsidR="006A6231" w:rsidRPr="00CC771C" w:rsidRDefault="006A6231" w:rsidP="005D616E">
            <w:pPr>
              <w:jc w:val="center"/>
              <w:rPr>
                <w:rFonts w:ascii="Arial Narrow" w:hAnsi="Arial Narrow"/>
                <w:sz w:val="20"/>
              </w:rPr>
            </w:pPr>
            <w:r>
              <w:rPr>
                <w:rFonts w:ascii="Arial Narrow" w:hAnsi="Arial Narrow"/>
                <w:sz w:val="20"/>
              </w:rPr>
              <w:t>68 (95.8)</w:t>
            </w:r>
          </w:p>
        </w:tc>
        <w:tc>
          <w:tcPr>
            <w:tcW w:w="1134" w:type="dxa"/>
            <w:vAlign w:val="center"/>
          </w:tcPr>
          <w:p w:rsidR="006A6231" w:rsidRPr="00CC771C" w:rsidRDefault="006A6231" w:rsidP="005D616E">
            <w:pPr>
              <w:jc w:val="center"/>
              <w:rPr>
                <w:rFonts w:ascii="Arial Narrow" w:hAnsi="Arial Narrow"/>
                <w:sz w:val="20"/>
              </w:rPr>
            </w:pPr>
            <w:r>
              <w:rPr>
                <w:rFonts w:ascii="Arial Narrow" w:hAnsi="Arial Narrow"/>
                <w:sz w:val="20"/>
              </w:rPr>
              <w:t>39 (100)</w:t>
            </w:r>
          </w:p>
        </w:tc>
        <w:tc>
          <w:tcPr>
            <w:tcW w:w="992" w:type="dxa"/>
            <w:vAlign w:val="center"/>
          </w:tcPr>
          <w:p w:rsidR="006A6231" w:rsidRDefault="006A6231" w:rsidP="005D616E">
            <w:pPr>
              <w:jc w:val="center"/>
              <w:rPr>
                <w:rFonts w:ascii="Arial Narrow" w:hAnsi="Arial Narrow"/>
                <w:sz w:val="20"/>
              </w:rPr>
            </w:pPr>
            <w:r>
              <w:rPr>
                <w:rFonts w:ascii="Arial Narrow" w:hAnsi="Arial Narrow"/>
                <w:sz w:val="20"/>
              </w:rPr>
              <w:t>-4.2%</w:t>
            </w:r>
          </w:p>
          <w:p w:rsidR="006A6231" w:rsidRPr="00877E7D" w:rsidRDefault="006A6231" w:rsidP="005D616E">
            <w:pPr>
              <w:jc w:val="center"/>
              <w:rPr>
                <w:rFonts w:ascii="Arial Narrow" w:hAnsi="Arial Narrow"/>
                <w:i/>
                <w:iCs/>
                <w:sz w:val="20"/>
              </w:rPr>
            </w:pPr>
            <w:r w:rsidRPr="00877E7D">
              <w:rPr>
                <w:rFonts w:ascii="Arial Narrow" w:hAnsi="Arial Narrow"/>
                <w:i/>
                <w:iCs/>
                <w:sz w:val="20"/>
              </w:rPr>
              <w:t>(-11.7, 5.0)</w:t>
            </w:r>
          </w:p>
        </w:tc>
        <w:tc>
          <w:tcPr>
            <w:tcW w:w="1134" w:type="dxa"/>
            <w:vAlign w:val="center"/>
          </w:tcPr>
          <w:p w:rsidR="006A6231" w:rsidRDefault="006A6231" w:rsidP="005D616E">
            <w:pPr>
              <w:jc w:val="center"/>
              <w:rPr>
                <w:rFonts w:ascii="Arial Narrow" w:hAnsi="Arial Narrow"/>
                <w:sz w:val="20"/>
              </w:rPr>
            </w:pPr>
            <w:r>
              <w:rPr>
                <w:rFonts w:ascii="Arial Narrow" w:hAnsi="Arial Narrow"/>
                <w:sz w:val="20"/>
              </w:rPr>
              <w:t>0.25</w:t>
            </w:r>
          </w:p>
          <w:p w:rsidR="006A6231" w:rsidRPr="00CC771C" w:rsidRDefault="006A6231" w:rsidP="005D616E">
            <w:pPr>
              <w:jc w:val="center"/>
              <w:rPr>
                <w:rFonts w:ascii="Arial Narrow" w:hAnsi="Arial Narrow"/>
                <w:sz w:val="20"/>
              </w:rPr>
            </w:pPr>
            <w:r>
              <w:rPr>
                <w:rFonts w:ascii="Arial Narrow" w:hAnsi="Arial Narrow"/>
                <w:sz w:val="20"/>
              </w:rPr>
              <w:t>(0.01, 4.92)</w:t>
            </w:r>
          </w:p>
        </w:tc>
        <w:tc>
          <w:tcPr>
            <w:tcW w:w="1134" w:type="dxa"/>
            <w:vAlign w:val="center"/>
          </w:tcPr>
          <w:p w:rsidR="006A6231" w:rsidRDefault="006A6231" w:rsidP="005D616E">
            <w:pPr>
              <w:jc w:val="center"/>
              <w:rPr>
                <w:rFonts w:ascii="Arial Narrow" w:hAnsi="Arial Narrow"/>
                <w:sz w:val="20"/>
              </w:rPr>
            </w:pPr>
            <w:r>
              <w:rPr>
                <w:rFonts w:ascii="Arial Narrow" w:hAnsi="Arial Narrow"/>
                <w:sz w:val="20"/>
              </w:rPr>
              <w:t>0.96</w:t>
            </w:r>
          </w:p>
          <w:p w:rsidR="006A6231" w:rsidRPr="00CC771C" w:rsidRDefault="006A6231" w:rsidP="005D616E">
            <w:pPr>
              <w:jc w:val="center"/>
              <w:rPr>
                <w:rFonts w:ascii="Arial Narrow" w:hAnsi="Arial Narrow"/>
                <w:sz w:val="20"/>
              </w:rPr>
            </w:pPr>
            <w:r>
              <w:rPr>
                <w:rFonts w:ascii="Arial Narrow" w:hAnsi="Arial Narrow"/>
                <w:sz w:val="20"/>
              </w:rPr>
              <w:t>(0.90, 1.03)</w:t>
            </w:r>
          </w:p>
        </w:tc>
      </w:tr>
      <w:tr w:rsidR="006A6231" w:rsidRPr="00CC771C" w:rsidTr="00861F77">
        <w:tc>
          <w:tcPr>
            <w:tcW w:w="2977" w:type="dxa"/>
            <w:vAlign w:val="center"/>
          </w:tcPr>
          <w:p w:rsidR="006A6231" w:rsidRPr="00CC771C" w:rsidRDefault="006A6231" w:rsidP="005D616E">
            <w:pPr>
              <w:jc w:val="left"/>
              <w:rPr>
                <w:rFonts w:ascii="Arial Narrow" w:hAnsi="Arial Narrow"/>
                <w:sz w:val="20"/>
              </w:rPr>
            </w:pPr>
            <w:r w:rsidRPr="00CC771C">
              <w:rPr>
                <w:rFonts w:ascii="Arial Narrow" w:hAnsi="Arial Narrow"/>
                <w:sz w:val="20"/>
              </w:rPr>
              <w:t xml:space="preserve">Liver volume (in MN) did </w:t>
            </w:r>
            <w:r>
              <w:rPr>
                <w:rFonts w:ascii="Arial Narrow" w:hAnsi="Arial Narrow"/>
                <w:sz w:val="20"/>
              </w:rPr>
              <w:t>not increase &gt;</w:t>
            </w:r>
            <w:r w:rsidR="00BC71A8">
              <w:rPr>
                <w:rFonts w:ascii="Arial Narrow" w:hAnsi="Arial Narrow"/>
                <w:sz w:val="20"/>
              </w:rPr>
              <w:t> </w:t>
            </w:r>
            <w:r>
              <w:rPr>
                <w:rFonts w:ascii="Arial Narrow" w:hAnsi="Arial Narrow"/>
                <w:sz w:val="20"/>
              </w:rPr>
              <w:t xml:space="preserve">20% from </w:t>
            </w:r>
            <w:r w:rsidR="00325B64">
              <w:rPr>
                <w:rFonts w:ascii="Arial Narrow" w:hAnsi="Arial Narrow"/>
                <w:sz w:val="20"/>
              </w:rPr>
              <w:t>b</w:t>
            </w:r>
            <w:r>
              <w:rPr>
                <w:rFonts w:ascii="Arial Narrow" w:hAnsi="Arial Narrow"/>
                <w:sz w:val="20"/>
              </w:rPr>
              <w:t>aseline</w:t>
            </w:r>
          </w:p>
        </w:tc>
        <w:tc>
          <w:tcPr>
            <w:tcW w:w="992" w:type="dxa"/>
            <w:vAlign w:val="center"/>
          </w:tcPr>
          <w:p w:rsidR="006A6231" w:rsidRPr="00CC771C" w:rsidRDefault="006A6231" w:rsidP="005D616E">
            <w:pPr>
              <w:jc w:val="center"/>
              <w:rPr>
                <w:rFonts w:ascii="Arial Narrow" w:hAnsi="Arial Narrow"/>
                <w:sz w:val="20"/>
              </w:rPr>
            </w:pPr>
            <w:r>
              <w:rPr>
                <w:rFonts w:ascii="Arial Narrow" w:hAnsi="Arial Narrow"/>
                <w:sz w:val="20"/>
              </w:rPr>
              <w:t>95 (96.0)</w:t>
            </w:r>
          </w:p>
        </w:tc>
        <w:tc>
          <w:tcPr>
            <w:tcW w:w="1134" w:type="dxa"/>
            <w:vAlign w:val="center"/>
          </w:tcPr>
          <w:p w:rsidR="006A6231" w:rsidRPr="00CC771C" w:rsidRDefault="006A6231" w:rsidP="005D616E">
            <w:pPr>
              <w:jc w:val="center"/>
              <w:rPr>
                <w:rFonts w:ascii="Arial Narrow" w:hAnsi="Arial Narrow"/>
                <w:sz w:val="20"/>
              </w:rPr>
            </w:pPr>
            <w:r>
              <w:rPr>
                <w:rFonts w:ascii="Arial Narrow" w:hAnsi="Arial Narrow"/>
                <w:sz w:val="20"/>
              </w:rPr>
              <w:t>44 (93.6)</w:t>
            </w:r>
          </w:p>
        </w:tc>
        <w:tc>
          <w:tcPr>
            <w:tcW w:w="992" w:type="dxa"/>
            <w:vAlign w:val="center"/>
          </w:tcPr>
          <w:p w:rsidR="006A6231" w:rsidRDefault="006A6231" w:rsidP="005D616E">
            <w:pPr>
              <w:jc w:val="center"/>
              <w:rPr>
                <w:rFonts w:ascii="Arial Narrow" w:hAnsi="Arial Narrow"/>
                <w:sz w:val="20"/>
              </w:rPr>
            </w:pPr>
            <w:r>
              <w:rPr>
                <w:rFonts w:ascii="Arial Narrow" w:hAnsi="Arial Narrow"/>
                <w:sz w:val="20"/>
              </w:rPr>
              <w:t>2.4%</w:t>
            </w:r>
          </w:p>
          <w:p w:rsidR="006A6231" w:rsidRPr="00877E7D" w:rsidRDefault="006A6231" w:rsidP="005D616E">
            <w:pPr>
              <w:jc w:val="center"/>
              <w:rPr>
                <w:rFonts w:ascii="Arial Narrow" w:hAnsi="Arial Narrow"/>
                <w:i/>
                <w:iCs/>
                <w:sz w:val="20"/>
              </w:rPr>
            </w:pPr>
            <w:r w:rsidRPr="00877E7D">
              <w:rPr>
                <w:rFonts w:ascii="Arial Narrow" w:hAnsi="Arial Narrow"/>
                <w:i/>
                <w:iCs/>
                <w:sz w:val="20"/>
              </w:rPr>
              <w:t>(-4.9, 13.5)</w:t>
            </w:r>
          </w:p>
        </w:tc>
        <w:tc>
          <w:tcPr>
            <w:tcW w:w="1134" w:type="dxa"/>
            <w:vAlign w:val="center"/>
          </w:tcPr>
          <w:p w:rsidR="006A6231" w:rsidRDefault="006A6231" w:rsidP="005D616E">
            <w:pPr>
              <w:jc w:val="center"/>
              <w:rPr>
                <w:rFonts w:ascii="Arial Narrow" w:hAnsi="Arial Narrow"/>
                <w:sz w:val="20"/>
              </w:rPr>
            </w:pPr>
            <w:r>
              <w:rPr>
                <w:rFonts w:ascii="Arial Narrow" w:hAnsi="Arial Narrow"/>
                <w:sz w:val="20"/>
              </w:rPr>
              <w:t>1.62</w:t>
            </w:r>
          </w:p>
          <w:p w:rsidR="006A6231" w:rsidRPr="00CC771C" w:rsidRDefault="006A6231" w:rsidP="005D616E">
            <w:pPr>
              <w:jc w:val="center"/>
              <w:rPr>
                <w:rFonts w:ascii="Arial Narrow" w:hAnsi="Arial Narrow"/>
                <w:sz w:val="20"/>
              </w:rPr>
            </w:pPr>
            <w:r>
              <w:rPr>
                <w:rFonts w:ascii="Arial Narrow" w:hAnsi="Arial Narrow"/>
                <w:sz w:val="20"/>
              </w:rPr>
              <w:t>(0.35, 7.55)</w:t>
            </w:r>
          </w:p>
        </w:tc>
        <w:tc>
          <w:tcPr>
            <w:tcW w:w="1134" w:type="dxa"/>
            <w:vAlign w:val="center"/>
          </w:tcPr>
          <w:p w:rsidR="006A6231" w:rsidRDefault="006A6231" w:rsidP="005D616E">
            <w:pPr>
              <w:jc w:val="center"/>
              <w:rPr>
                <w:rFonts w:ascii="Arial Narrow" w:hAnsi="Arial Narrow"/>
                <w:sz w:val="20"/>
              </w:rPr>
            </w:pPr>
            <w:r>
              <w:rPr>
                <w:rFonts w:ascii="Arial Narrow" w:hAnsi="Arial Narrow"/>
                <w:sz w:val="20"/>
              </w:rPr>
              <w:t>1.03</w:t>
            </w:r>
          </w:p>
          <w:p w:rsidR="006A6231" w:rsidRPr="00CC771C" w:rsidRDefault="006A6231" w:rsidP="005D616E">
            <w:pPr>
              <w:jc w:val="center"/>
              <w:rPr>
                <w:rFonts w:ascii="Arial Narrow" w:hAnsi="Arial Narrow"/>
                <w:sz w:val="20"/>
              </w:rPr>
            </w:pPr>
            <w:r>
              <w:rPr>
                <w:rFonts w:ascii="Arial Narrow" w:hAnsi="Arial Narrow"/>
                <w:sz w:val="20"/>
              </w:rPr>
              <w:t>(0.94, 1.12)</w:t>
            </w:r>
          </w:p>
        </w:tc>
      </w:tr>
    </w:tbl>
    <w:p w:rsidR="00C11B3E" w:rsidRPr="006A6231" w:rsidRDefault="008858E0" w:rsidP="001D76F3">
      <w:pPr>
        <w:tabs>
          <w:tab w:val="left" w:pos="284"/>
        </w:tabs>
        <w:ind w:left="709"/>
        <w:rPr>
          <w:rFonts w:ascii="Arial Narrow" w:hAnsi="Arial Narrow"/>
          <w:sz w:val="18"/>
          <w:lang w:val="pt-PT"/>
        </w:rPr>
      </w:pPr>
      <w:r>
        <w:rPr>
          <w:rFonts w:ascii="Arial Narrow" w:hAnsi="Arial Narrow"/>
          <w:sz w:val="18"/>
        </w:rPr>
        <w:t xml:space="preserve">* </w:t>
      </w:r>
      <w:r w:rsidR="00C11B3E" w:rsidRPr="0080652C">
        <w:rPr>
          <w:rFonts w:ascii="Arial Narrow" w:hAnsi="Arial Narrow"/>
          <w:sz w:val="18"/>
        </w:rPr>
        <w:t>Not applicable for splenectomised patients</w:t>
      </w:r>
      <w:r w:rsidR="00325B64">
        <w:rPr>
          <w:rFonts w:ascii="Arial Narrow" w:hAnsi="Arial Narrow"/>
          <w:sz w:val="18"/>
        </w:rPr>
        <w:t>, so</w:t>
      </w:r>
      <w:r w:rsidR="00C11B3E" w:rsidRPr="0080652C">
        <w:rPr>
          <w:rFonts w:ascii="Arial Narrow" w:hAnsi="Arial Narrow"/>
          <w:sz w:val="18"/>
        </w:rPr>
        <w:t xml:space="preserve"> </w:t>
      </w:r>
      <w:r w:rsidR="00325B64">
        <w:rPr>
          <w:rFonts w:ascii="Arial Narrow" w:hAnsi="Arial Narrow"/>
          <w:sz w:val="18"/>
        </w:rPr>
        <w:t>e</w:t>
      </w:r>
      <w:r w:rsidR="00325B64">
        <w:rPr>
          <w:rFonts w:ascii="Arial Narrow" w:hAnsi="Arial Narrow"/>
          <w:sz w:val="18"/>
          <w:lang w:val="pt-PT"/>
        </w:rPr>
        <w:t>liglustat N=</w:t>
      </w:r>
      <w:r w:rsidR="00C11B3E" w:rsidRPr="006A6231">
        <w:rPr>
          <w:rFonts w:ascii="Arial Narrow" w:hAnsi="Arial Narrow"/>
          <w:sz w:val="18"/>
          <w:lang w:val="pt-PT"/>
        </w:rPr>
        <w:t xml:space="preserve">71, </w:t>
      </w:r>
      <w:r w:rsidR="00325B64">
        <w:rPr>
          <w:rFonts w:ascii="Arial Narrow" w:hAnsi="Arial Narrow"/>
          <w:sz w:val="18"/>
          <w:lang w:val="pt-PT"/>
        </w:rPr>
        <w:t>i</w:t>
      </w:r>
      <w:r w:rsidR="006A6231" w:rsidRPr="006A6231">
        <w:rPr>
          <w:rFonts w:ascii="Arial Narrow" w:hAnsi="Arial Narrow"/>
          <w:sz w:val="18"/>
          <w:lang w:val="pt-PT"/>
        </w:rPr>
        <w:t>miglu</w:t>
      </w:r>
      <w:r w:rsidR="00C11B3E" w:rsidRPr="006A6231">
        <w:rPr>
          <w:rFonts w:ascii="Arial Narrow" w:hAnsi="Arial Narrow"/>
          <w:sz w:val="18"/>
          <w:lang w:val="pt-PT"/>
        </w:rPr>
        <w:t>cerase N=39</w:t>
      </w:r>
    </w:p>
    <w:p w:rsidR="00C11B3E" w:rsidRPr="0080652C" w:rsidRDefault="00C11B3E" w:rsidP="00F01E48">
      <w:pPr>
        <w:ind w:firstLine="709"/>
        <w:rPr>
          <w:rFonts w:ascii="Arial Narrow" w:hAnsi="Arial Narrow"/>
          <w:sz w:val="18"/>
        </w:rPr>
      </w:pPr>
      <w:r w:rsidRPr="0080652C">
        <w:rPr>
          <w:rFonts w:ascii="Arial Narrow" w:hAnsi="Arial Narrow"/>
          <w:sz w:val="18"/>
        </w:rPr>
        <w:t xml:space="preserve">Text in italics indicate values calculated using </w:t>
      </w:r>
      <w:r w:rsidR="00F01E48">
        <w:rPr>
          <w:rFonts w:ascii="Arial Narrow" w:hAnsi="Arial Narrow"/>
          <w:sz w:val="18"/>
        </w:rPr>
        <w:t>S</w:t>
      </w:r>
      <w:r w:rsidRPr="0080652C">
        <w:rPr>
          <w:rFonts w:ascii="Arial Narrow" w:hAnsi="Arial Narrow"/>
          <w:sz w:val="18"/>
        </w:rPr>
        <w:t>tats</w:t>
      </w:r>
      <w:r w:rsidR="00F01E48">
        <w:rPr>
          <w:rFonts w:ascii="Arial Narrow" w:hAnsi="Arial Narrow"/>
          <w:sz w:val="18"/>
        </w:rPr>
        <w:t>D</w:t>
      </w:r>
      <w:r w:rsidRPr="0080652C">
        <w:rPr>
          <w:rFonts w:ascii="Arial Narrow" w:hAnsi="Arial Narrow"/>
          <w:sz w:val="18"/>
        </w:rPr>
        <w:t>irect during evaluation</w:t>
      </w:r>
    </w:p>
    <w:p w:rsidR="00C11B3E" w:rsidRPr="0080652C" w:rsidRDefault="00C11B3E" w:rsidP="001D76F3">
      <w:pPr>
        <w:ind w:firstLine="709"/>
        <w:rPr>
          <w:rFonts w:ascii="Arial Narrow" w:hAnsi="Arial Narrow"/>
          <w:sz w:val="18"/>
        </w:rPr>
      </w:pPr>
      <w:r w:rsidRPr="0080652C">
        <w:rPr>
          <w:rFonts w:ascii="Arial Narrow" w:hAnsi="Arial Narrow"/>
          <w:sz w:val="18"/>
        </w:rPr>
        <w:t>Text in bold indicates statistically significant difference at 5%</w:t>
      </w:r>
    </w:p>
    <w:p w:rsidR="001D76F3" w:rsidRPr="001D76F3" w:rsidRDefault="00C11B3E" w:rsidP="001D76F3">
      <w:pPr>
        <w:ind w:firstLine="709"/>
        <w:rPr>
          <w:rFonts w:ascii="Arial Narrow" w:hAnsi="Arial Narrow"/>
          <w:sz w:val="18"/>
        </w:rPr>
      </w:pPr>
      <w:r w:rsidRPr="0080652C">
        <w:rPr>
          <w:rFonts w:ascii="Arial Narrow" w:hAnsi="Arial Narrow"/>
          <w:sz w:val="18"/>
        </w:rPr>
        <w:t>Source: Table 26, p75 and table 27, p76 of the submission</w:t>
      </w:r>
    </w:p>
    <w:p w:rsidR="001D76F3" w:rsidRPr="0009045E" w:rsidRDefault="001D76F3" w:rsidP="0006452A">
      <w:pPr>
        <w:rPr>
          <w:iCs/>
        </w:rPr>
      </w:pPr>
    </w:p>
    <w:p w:rsidR="001D76F3" w:rsidRPr="0009045E" w:rsidRDefault="006A6231" w:rsidP="001D15DC">
      <w:pPr>
        <w:pStyle w:val="BodyText"/>
        <w:widowControl/>
        <w:numPr>
          <w:ilvl w:val="1"/>
          <w:numId w:val="31"/>
        </w:numPr>
        <w:jc w:val="both"/>
        <w:rPr>
          <w:iCs/>
        </w:rPr>
      </w:pPr>
      <w:r w:rsidRPr="0009045E">
        <w:t>T</w:t>
      </w:r>
      <w:r w:rsidR="001D76F3" w:rsidRPr="0009045E">
        <w:t xml:space="preserve">he lower bound of the 95% CI for the primary outcome </w:t>
      </w:r>
      <w:r w:rsidR="00273B63">
        <w:t>was</w:t>
      </w:r>
      <w:r w:rsidR="00273B63" w:rsidRPr="0009045E">
        <w:t xml:space="preserve"> </w:t>
      </w:r>
      <w:r w:rsidR="001D76F3" w:rsidRPr="0009045E">
        <w:t xml:space="preserve">-17.6%, </w:t>
      </w:r>
      <w:r w:rsidRPr="0009045E">
        <w:t xml:space="preserve">thus </w:t>
      </w:r>
      <w:r w:rsidR="001D76F3" w:rsidRPr="0009045E">
        <w:t xml:space="preserve">the </w:t>
      </w:r>
      <w:r w:rsidR="009A73A0">
        <w:t xml:space="preserve">prespecified </w:t>
      </w:r>
      <w:r w:rsidR="001D76F3" w:rsidRPr="0009045E">
        <w:t>non-inferiority margin of -25%</w:t>
      </w:r>
      <w:r w:rsidRPr="0009045E">
        <w:t xml:space="preserve"> </w:t>
      </w:r>
      <w:r w:rsidR="00273B63">
        <w:t>was</w:t>
      </w:r>
      <w:r w:rsidRPr="0009045E">
        <w:t xml:space="preserve"> met.  </w:t>
      </w:r>
      <w:r w:rsidR="003676D1" w:rsidRPr="0009045E">
        <w:rPr>
          <w:iCs/>
        </w:rPr>
        <w:t xml:space="preserve">Consideration </w:t>
      </w:r>
      <w:r w:rsidR="009A73A0">
        <w:rPr>
          <w:iCs/>
        </w:rPr>
        <w:t>wa</w:t>
      </w:r>
      <w:r w:rsidR="003676D1" w:rsidRPr="0009045E">
        <w:rPr>
          <w:iCs/>
        </w:rPr>
        <w:t xml:space="preserve">s </w:t>
      </w:r>
      <w:r w:rsidR="009A73A0">
        <w:rPr>
          <w:iCs/>
        </w:rPr>
        <w:t>given</w:t>
      </w:r>
      <w:r w:rsidR="003676D1" w:rsidRPr="0009045E">
        <w:rPr>
          <w:iCs/>
        </w:rPr>
        <w:t xml:space="preserve"> as to whether the magnitude of change</w:t>
      </w:r>
      <w:r w:rsidR="001D76F3" w:rsidRPr="0009045E">
        <w:rPr>
          <w:iCs/>
        </w:rPr>
        <w:t xml:space="preserve"> from baseline in the composite outcome are reasonably indicative of a “stable” patient AND the </w:t>
      </w:r>
      <w:r w:rsidR="003676D1" w:rsidRPr="0009045E">
        <w:rPr>
          <w:iCs/>
        </w:rPr>
        <w:t xml:space="preserve">acceptance of the </w:t>
      </w:r>
      <w:r w:rsidR="001D76F3" w:rsidRPr="0009045E">
        <w:rPr>
          <w:iCs/>
        </w:rPr>
        <w:t>non-inferiority margin proposed by the submission.  In the request for ACPM advice (p20) the TGA delegate commented that, “although non-inferiority was established at 52 weeks based on pre-defined criterion (composite outcome for stability) which was appropriate, the numerical results were in favour of CEREZYME (imiglucerase) for all outcomes (spleen volume, platelet count, haemoglobin) except liver volume.  It is not clear whether this may be clinically significant over the long-term for any patients switching to eliglustat from ERT.” and had requested that the sponsor to comment on this i</w:t>
      </w:r>
      <w:r w:rsidR="009A73A0">
        <w:rPr>
          <w:iCs/>
        </w:rPr>
        <w:t>ssue in its pre-ACPM response.</w:t>
      </w:r>
    </w:p>
    <w:p w:rsidR="001D76F3" w:rsidRDefault="001D76F3" w:rsidP="009A73A0">
      <w:pPr>
        <w:rPr>
          <w:i/>
          <w:iCs/>
        </w:rPr>
      </w:pPr>
    </w:p>
    <w:p w:rsidR="00D162C7" w:rsidRPr="00D162C7" w:rsidRDefault="00D162C7" w:rsidP="001D15DC">
      <w:pPr>
        <w:pStyle w:val="BodyText"/>
        <w:widowControl/>
        <w:numPr>
          <w:ilvl w:val="1"/>
          <w:numId w:val="31"/>
        </w:numPr>
        <w:jc w:val="both"/>
      </w:pPr>
      <w:r>
        <w:t>There was</w:t>
      </w:r>
      <w:r w:rsidRPr="00D162C7">
        <w:t xml:space="preserve"> no statistically significant difference in any of the measures for skeletal or bone disease or disability</w:t>
      </w:r>
      <w:r>
        <w:t xml:space="preserve"> or in quality of life data reported with the SF-36</w:t>
      </w:r>
      <w:r w:rsidRPr="00D162C7">
        <w:t xml:space="preserve"> between eliglustat and imiglucerase treated patients.</w:t>
      </w:r>
    </w:p>
    <w:p w:rsidR="00D162C7" w:rsidRPr="009A73A0" w:rsidRDefault="00D162C7" w:rsidP="009A73A0">
      <w:pPr>
        <w:rPr>
          <w:iCs/>
        </w:rPr>
      </w:pPr>
    </w:p>
    <w:p w:rsidR="00401FD5" w:rsidRDefault="009A73A0" w:rsidP="001D15DC">
      <w:pPr>
        <w:pStyle w:val="BodyText"/>
        <w:widowControl/>
        <w:numPr>
          <w:ilvl w:val="1"/>
          <w:numId w:val="31"/>
        </w:numPr>
        <w:jc w:val="both"/>
        <w:rPr>
          <w:iCs/>
        </w:rPr>
      </w:pPr>
      <w:r>
        <w:rPr>
          <w:iCs/>
        </w:rPr>
        <w:t>T</w:t>
      </w:r>
      <w:r w:rsidR="00401FD5" w:rsidRPr="0009045E">
        <w:rPr>
          <w:iCs/>
        </w:rPr>
        <w:t xml:space="preserve">he proposed dosing of eliglustat </w:t>
      </w:r>
      <w:r>
        <w:rPr>
          <w:iCs/>
        </w:rPr>
        <w:t>in Australia was noted to be</w:t>
      </w:r>
      <w:r w:rsidR="00401FD5" w:rsidRPr="0009045E">
        <w:rPr>
          <w:iCs/>
        </w:rPr>
        <w:t xml:space="preserve"> markedly different to that used in ENCORE.  In ENCORE, all patients were started on 50</w:t>
      </w:r>
      <w:r>
        <w:rPr>
          <w:iCs/>
        </w:rPr>
        <w:t> </w:t>
      </w:r>
      <w:r w:rsidR="00401FD5" w:rsidRPr="0009045E">
        <w:rPr>
          <w:iCs/>
        </w:rPr>
        <w:t>mg twice daily, irrespective of CYP2D6 metaboliser status, and increased every fortnightly if the plasma trough level of eliglustat is &lt;</w:t>
      </w:r>
      <w:r w:rsidR="00BC71A8">
        <w:rPr>
          <w:iCs/>
        </w:rPr>
        <w:t> </w:t>
      </w:r>
      <w:r w:rsidR="00401FD5" w:rsidRPr="0009045E">
        <w:rPr>
          <w:iCs/>
        </w:rPr>
        <w:t>5</w:t>
      </w:r>
      <w:r>
        <w:rPr>
          <w:iCs/>
        </w:rPr>
        <w:t> </w:t>
      </w:r>
      <w:r w:rsidR="00401FD5" w:rsidRPr="0009045E">
        <w:rPr>
          <w:iCs/>
        </w:rPr>
        <w:t>ng/mL, up to a maximum of 150</w:t>
      </w:r>
      <w:r>
        <w:rPr>
          <w:iCs/>
        </w:rPr>
        <w:t> </w:t>
      </w:r>
      <w:r w:rsidR="00401FD5" w:rsidRPr="0009045E">
        <w:rPr>
          <w:iCs/>
        </w:rPr>
        <w:t>mg twice daily.  Whereas the proposed dose in the product information for eliglustat is 100</w:t>
      </w:r>
      <w:r>
        <w:rPr>
          <w:iCs/>
        </w:rPr>
        <w:t> </w:t>
      </w:r>
      <w:r w:rsidR="00401FD5" w:rsidRPr="0009045E">
        <w:rPr>
          <w:iCs/>
        </w:rPr>
        <w:t>mg once daily for CYP2D6 poor metabolisers and 100</w:t>
      </w:r>
      <w:r>
        <w:rPr>
          <w:iCs/>
        </w:rPr>
        <w:t> </w:t>
      </w:r>
      <w:r w:rsidR="00401FD5" w:rsidRPr="0009045E">
        <w:rPr>
          <w:iCs/>
        </w:rPr>
        <w:t xml:space="preserve">mg twice daily for CYP2D6 </w:t>
      </w:r>
      <w:r w:rsidR="006374FE" w:rsidRPr="0009045E">
        <w:rPr>
          <w:iCs/>
        </w:rPr>
        <w:t>i</w:t>
      </w:r>
      <w:r w:rsidR="00401FD5" w:rsidRPr="0009045E">
        <w:rPr>
          <w:iCs/>
        </w:rPr>
        <w:t xml:space="preserve">ntermediate or extensive metabolisers (patients who are ultra-rapid or indeterminate metabolisers are contraindicated) with no regards to plasma trough levels.  </w:t>
      </w:r>
      <w:r w:rsidR="00401FD5" w:rsidRPr="0009045E">
        <w:t>The submission argue</w:t>
      </w:r>
      <w:r w:rsidR="006374FE">
        <w:t>d</w:t>
      </w:r>
      <w:r w:rsidR="00401FD5" w:rsidRPr="0009045E">
        <w:t xml:space="preserve"> that population pharmacokinetic analysis using data from health</w:t>
      </w:r>
      <w:r w:rsidR="005511DD">
        <w:t>y</w:t>
      </w:r>
      <w:r w:rsidR="00401FD5" w:rsidRPr="0009045E">
        <w:t xml:space="preserve"> subjects and GD1 patients show that similar efficacy results would be achieved if patients used 100</w:t>
      </w:r>
      <w:r w:rsidR="006374FE">
        <w:t> </w:t>
      </w:r>
      <w:r w:rsidR="00401FD5" w:rsidRPr="0009045E">
        <w:t>mg twice daily instead of 150</w:t>
      </w:r>
      <w:r w:rsidR="006374FE">
        <w:t> </w:t>
      </w:r>
      <w:r w:rsidR="00401FD5" w:rsidRPr="0009045E">
        <w:t>mg twice daily, with an estimated 4% maximum increase for individual patient spleen volume with the higher dose.</w:t>
      </w:r>
      <w:r w:rsidR="00401FD5" w:rsidRPr="0009045E">
        <w:rPr>
          <w:iCs/>
        </w:rPr>
        <w:t xml:space="preserve">  This claim could not be independently verified.  The population pharmacokinetic (PopPK) simulation model provided with the submission only reported bioavailability (Cmax, AUC) as the outcome, with no clinical outcomes reported.</w:t>
      </w:r>
    </w:p>
    <w:p w:rsidR="00B61BEA" w:rsidRDefault="00B61BEA" w:rsidP="006374FE">
      <w:pPr>
        <w:pStyle w:val="BodyText"/>
        <w:widowControl/>
        <w:jc w:val="both"/>
        <w:rPr>
          <w:iCs/>
        </w:rPr>
      </w:pPr>
    </w:p>
    <w:p w:rsidR="00B61BEA" w:rsidRPr="00AA1839" w:rsidRDefault="00B61BEA" w:rsidP="00915695">
      <w:pPr>
        <w:pStyle w:val="BodyText"/>
        <w:widowControl/>
        <w:numPr>
          <w:ilvl w:val="1"/>
          <w:numId w:val="31"/>
        </w:numPr>
        <w:jc w:val="both"/>
        <w:rPr>
          <w:iCs/>
        </w:rPr>
      </w:pPr>
      <w:r w:rsidRPr="00AA1839">
        <w:rPr>
          <w:iCs/>
        </w:rPr>
        <w:t>The PSCR presented the results of a comparison of the observed change from baseline in spleen volume of six patients in ENCORE who received eliglustat 150</w:t>
      </w:r>
      <w:r w:rsidR="006374FE" w:rsidRPr="00AA1839">
        <w:rPr>
          <w:iCs/>
        </w:rPr>
        <w:t> </w:t>
      </w:r>
      <w:r w:rsidRPr="00AA1839">
        <w:rPr>
          <w:iCs/>
        </w:rPr>
        <w:t>mg twice daily compared to the predicted change from baseline in spleen volume if the patient was to have received eliglustat 100</w:t>
      </w:r>
      <w:r w:rsidR="006374FE" w:rsidRPr="00AA1839">
        <w:rPr>
          <w:iCs/>
        </w:rPr>
        <w:t> </w:t>
      </w:r>
      <w:r w:rsidRPr="00AA1839">
        <w:rPr>
          <w:iCs/>
        </w:rPr>
        <w:t>mg instead.  The PSCR claimed</w:t>
      </w:r>
      <w:r w:rsidR="00915695" w:rsidRPr="00AA1839">
        <w:rPr>
          <w:iCs/>
        </w:rPr>
        <w:t xml:space="preserve"> that these six</w:t>
      </w:r>
      <w:r w:rsidRPr="00AA1839">
        <w:rPr>
          <w:iCs/>
        </w:rPr>
        <w:t xml:space="preserve"> patients would have received 100</w:t>
      </w:r>
      <w:r w:rsidR="006374FE" w:rsidRPr="00AA1839">
        <w:rPr>
          <w:iCs/>
        </w:rPr>
        <w:t> </w:t>
      </w:r>
      <w:r w:rsidRPr="00AA1839">
        <w:rPr>
          <w:iCs/>
        </w:rPr>
        <w:t>mg twice daily based on phenotype dosing rather than 150</w:t>
      </w:r>
      <w:r w:rsidR="006374FE" w:rsidRPr="00AA1839">
        <w:rPr>
          <w:iCs/>
        </w:rPr>
        <w:t> </w:t>
      </w:r>
      <w:r w:rsidRPr="00AA1839">
        <w:rPr>
          <w:iCs/>
        </w:rPr>
        <w:t>mg twice daily based on the ENCORE trial dosing.</w:t>
      </w:r>
      <w:r w:rsidR="00045F7B" w:rsidRPr="00AA1839">
        <w:rPr>
          <w:iCs/>
        </w:rPr>
        <w:t xml:space="preserve"> </w:t>
      </w:r>
      <w:r w:rsidRPr="00AA1839">
        <w:rPr>
          <w:iCs/>
        </w:rPr>
        <w:t xml:space="preserve"> The ESC noted the PSCR’s claim, however considered that since there were 42 </w:t>
      </w:r>
      <w:r w:rsidR="006374FE" w:rsidRPr="00AA1839">
        <w:rPr>
          <w:iCs/>
        </w:rPr>
        <w:t>i</w:t>
      </w:r>
      <w:r w:rsidRPr="00AA1839">
        <w:rPr>
          <w:iCs/>
        </w:rPr>
        <w:t xml:space="preserve">ntermediate or </w:t>
      </w:r>
      <w:r w:rsidR="006374FE" w:rsidRPr="00AA1839">
        <w:rPr>
          <w:iCs/>
        </w:rPr>
        <w:t>e</w:t>
      </w:r>
      <w:r w:rsidRPr="00AA1839">
        <w:rPr>
          <w:iCs/>
        </w:rPr>
        <w:t>xtensive CYP2D6 metabolisers on 150</w:t>
      </w:r>
      <w:r w:rsidR="006374FE" w:rsidRPr="00AA1839">
        <w:rPr>
          <w:iCs/>
        </w:rPr>
        <w:t> </w:t>
      </w:r>
      <w:r w:rsidRPr="00AA1839">
        <w:rPr>
          <w:iCs/>
        </w:rPr>
        <w:t>mg twice daily in the ENCORE trial, a post-hoc simulation of just six patients may not be adequately representative of all patients in ENCORE who received 150</w:t>
      </w:r>
      <w:r w:rsidR="006374FE" w:rsidRPr="00AA1839">
        <w:rPr>
          <w:iCs/>
        </w:rPr>
        <w:t> </w:t>
      </w:r>
      <w:r w:rsidRPr="00AA1839">
        <w:rPr>
          <w:iCs/>
        </w:rPr>
        <w:t>mg twice daily.</w:t>
      </w:r>
      <w:r w:rsidR="002E78BA" w:rsidRPr="00AA1839">
        <w:t xml:space="preserve"> </w:t>
      </w:r>
      <w:r w:rsidR="006374FE" w:rsidRPr="00AA1839">
        <w:t xml:space="preserve"> </w:t>
      </w:r>
      <w:r w:rsidR="00915695" w:rsidRPr="00AA1839">
        <w:rPr>
          <w:iCs/>
        </w:rPr>
        <w:t>In addition, given the simulation only presented change in spleen volume (a secondary outcome), the results may not be representative of the proportion of patients who remain stable (the primary composite outcome including haemoglobin level, platelet count, change in liver volume and change in spleen volume).</w:t>
      </w:r>
    </w:p>
    <w:p w:rsidR="00E80C5F" w:rsidRPr="006374FE" w:rsidRDefault="00E80C5F" w:rsidP="006374FE">
      <w:pPr>
        <w:pStyle w:val="BodyText"/>
        <w:widowControl/>
        <w:jc w:val="both"/>
        <w:rPr>
          <w:iCs/>
        </w:rPr>
      </w:pPr>
    </w:p>
    <w:p w:rsidR="00897D05" w:rsidRPr="00AA1839" w:rsidRDefault="00897D05" w:rsidP="00325B64">
      <w:pPr>
        <w:pStyle w:val="BodyText"/>
        <w:widowControl/>
        <w:numPr>
          <w:ilvl w:val="1"/>
          <w:numId w:val="31"/>
        </w:numPr>
        <w:jc w:val="both"/>
        <w:rPr>
          <w:iCs/>
        </w:rPr>
      </w:pPr>
      <w:r w:rsidRPr="00AA1839">
        <w:rPr>
          <w:iCs/>
        </w:rPr>
        <w:t>The ESC considered that</w:t>
      </w:r>
      <w:r w:rsidR="006374FE" w:rsidRPr="00AA1839">
        <w:rPr>
          <w:iCs/>
        </w:rPr>
        <w:t>, given</w:t>
      </w:r>
      <w:r w:rsidRPr="00AA1839">
        <w:rPr>
          <w:iCs/>
        </w:rPr>
        <w:t xml:space="preserve"> eliglustat </w:t>
      </w:r>
      <w:r w:rsidR="006374FE" w:rsidRPr="00AA1839">
        <w:rPr>
          <w:iCs/>
        </w:rPr>
        <w:t xml:space="preserve">would </w:t>
      </w:r>
      <w:r w:rsidRPr="00AA1839">
        <w:rPr>
          <w:iCs/>
        </w:rPr>
        <w:t>be dosed according to the T</w:t>
      </w:r>
      <w:r w:rsidR="00570AD2" w:rsidRPr="00AA1839">
        <w:rPr>
          <w:iCs/>
        </w:rPr>
        <w:t>GA</w:t>
      </w:r>
      <w:r w:rsidR="006374FE" w:rsidRPr="00AA1839">
        <w:rPr>
          <w:iCs/>
        </w:rPr>
        <w:t>-</w:t>
      </w:r>
      <w:r w:rsidR="00570AD2" w:rsidRPr="00AA1839">
        <w:rPr>
          <w:iCs/>
        </w:rPr>
        <w:t>approved dosing regimen, it wa</w:t>
      </w:r>
      <w:r w:rsidRPr="00AA1839">
        <w:rPr>
          <w:iCs/>
        </w:rPr>
        <w:t>s unclear whether a claim of non-inferiority with imiglucerase could be supported, given:</w:t>
      </w:r>
    </w:p>
    <w:p w:rsidR="00897D05" w:rsidRPr="00AA1839" w:rsidRDefault="00897D05" w:rsidP="00325B64">
      <w:pPr>
        <w:pStyle w:val="BodyText"/>
        <w:widowControl/>
        <w:numPr>
          <w:ilvl w:val="0"/>
          <w:numId w:val="22"/>
        </w:numPr>
        <w:ind w:left="993" w:hanging="284"/>
        <w:jc w:val="both"/>
        <w:rPr>
          <w:szCs w:val="22"/>
        </w:rPr>
      </w:pPr>
      <w:r w:rsidRPr="00AA1839">
        <w:rPr>
          <w:bCs/>
          <w:iCs/>
          <w:szCs w:val="22"/>
        </w:rPr>
        <w:t>patients who received 150</w:t>
      </w:r>
      <w:r w:rsidR="006374FE" w:rsidRPr="00AA1839">
        <w:rPr>
          <w:bCs/>
          <w:iCs/>
          <w:szCs w:val="22"/>
        </w:rPr>
        <w:t> </w:t>
      </w:r>
      <w:r w:rsidRPr="00AA1839">
        <w:rPr>
          <w:bCs/>
          <w:iCs/>
          <w:szCs w:val="22"/>
        </w:rPr>
        <w:t>mg BD in ENCORE would receive 100</w:t>
      </w:r>
      <w:r w:rsidR="006374FE" w:rsidRPr="00AA1839">
        <w:rPr>
          <w:bCs/>
          <w:iCs/>
          <w:szCs w:val="22"/>
        </w:rPr>
        <w:t> </w:t>
      </w:r>
      <w:r w:rsidRPr="00AA1839">
        <w:rPr>
          <w:bCs/>
          <w:iCs/>
          <w:szCs w:val="22"/>
        </w:rPr>
        <w:t xml:space="preserve">mg BD on the PBS; </w:t>
      </w:r>
    </w:p>
    <w:p w:rsidR="00897D05" w:rsidRPr="00AA1839" w:rsidRDefault="00897D05" w:rsidP="00325B64">
      <w:pPr>
        <w:pStyle w:val="BodyText"/>
        <w:widowControl/>
        <w:numPr>
          <w:ilvl w:val="0"/>
          <w:numId w:val="22"/>
        </w:numPr>
        <w:ind w:left="993" w:hanging="284"/>
        <w:jc w:val="both"/>
        <w:rPr>
          <w:szCs w:val="22"/>
        </w:rPr>
      </w:pPr>
      <w:r w:rsidRPr="00AA1839">
        <w:rPr>
          <w:bCs/>
          <w:iCs/>
          <w:szCs w:val="22"/>
        </w:rPr>
        <w:t>there is some evidence that the lower dose of eliglustat will lead to a lower plasma concentration which may lead to worse clinical outcomes;</w:t>
      </w:r>
    </w:p>
    <w:p w:rsidR="00897D05" w:rsidRPr="00AA1839" w:rsidRDefault="00897D05" w:rsidP="00325B64">
      <w:pPr>
        <w:pStyle w:val="BodyText"/>
        <w:widowControl/>
        <w:numPr>
          <w:ilvl w:val="0"/>
          <w:numId w:val="22"/>
        </w:numPr>
        <w:ind w:left="993" w:hanging="284"/>
        <w:jc w:val="both"/>
        <w:rPr>
          <w:szCs w:val="22"/>
        </w:rPr>
      </w:pPr>
      <w:r w:rsidRPr="00AA1839">
        <w:rPr>
          <w:szCs w:val="22"/>
        </w:rPr>
        <w:t xml:space="preserve">the </w:t>
      </w:r>
      <w:r w:rsidR="006374FE" w:rsidRPr="00AA1839">
        <w:rPr>
          <w:szCs w:val="22"/>
        </w:rPr>
        <w:t xml:space="preserve">additional </w:t>
      </w:r>
      <w:r w:rsidRPr="00AA1839">
        <w:rPr>
          <w:szCs w:val="22"/>
        </w:rPr>
        <w:t xml:space="preserve">pharmacokinetic modelling presented in the PSCR </w:t>
      </w:r>
      <w:r w:rsidR="00570AD2" w:rsidRPr="00AA1839">
        <w:rPr>
          <w:szCs w:val="22"/>
        </w:rPr>
        <w:t>(as discussed above)</w:t>
      </w:r>
      <w:r w:rsidRPr="00AA1839">
        <w:rPr>
          <w:szCs w:val="22"/>
        </w:rPr>
        <w:t xml:space="preserve"> is for one secondary outcome only and may not be representative of other relevant outcomes; and</w:t>
      </w:r>
    </w:p>
    <w:p w:rsidR="00897D05" w:rsidRPr="00AA1839" w:rsidRDefault="00897D05" w:rsidP="00325B64">
      <w:pPr>
        <w:pStyle w:val="BodyText"/>
        <w:widowControl/>
        <w:numPr>
          <w:ilvl w:val="0"/>
          <w:numId w:val="22"/>
        </w:numPr>
        <w:ind w:left="993" w:hanging="284"/>
        <w:jc w:val="both"/>
        <w:rPr>
          <w:szCs w:val="22"/>
        </w:rPr>
      </w:pPr>
      <w:r w:rsidRPr="00AA1839">
        <w:rPr>
          <w:szCs w:val="22"/>
        </w:rPr>
        <w:t>the primary outcome of ENCORE is sensitive</w:t>
      </w:r>
      <w:r w:rsidR="002E78BA" w:rsidRPr="00AA1839">
        <w:rPr>
          <w:szCs w:val="22"/>
        </w:rPr>
        <w:t xml:space="preserve"> – </w:t>
      </w:r>
      <w:r w:rsidRPr="00AA1839">
        <w:rPr>
          <w:szCs w:val="22"/>
        </w:rPr>
        <w:t>if treatment with 100</w:t>
      </w:r>
      <w:r w:rsidR="006374FE" w:rsidRPr="00AA1839">
        <w:rPr>
          <w:szCs w:val="22"/>
        </w:rPr>
        <w:t> </w:t>
      </w:r>
      <w:r w:rsidRPr="00AA1839">
        <w:rPr>
          <w:szCs w:val="22"/>
        </w:rPr>
        <w:t>mg BD instead of 150</w:t>
      </w:r>
      <w:r w:rsidR="006374FE" w:rsidRPr="00AA1839">
        <w:rPr>
          <w:szCs w:val="22"/>
        </w:rPr>
        <w:t> </w:t>
      </w:r>
      <w:r w:rsidRPr="00AA1839">
        <w:rPr>
          <w:szCs w:val="22"/>
        </w:rPr>
        <w:t>mg BD resulted in 2 fewer eliglustat patients remaining ‘stable’ (i.e. 82/99), the results would not support non-inferiority at the 20% margin proposed by EMA (risk difference -10.8%; 95% CI: -20.8, 1.5).</w:t>
      </w:r>
    </w:p>
    <w:p w:rsidR="00401FD5" w:rsidRPr="006374FE" w:rsidRDefault="00401FD5" w:rsidP="006374FE">
      <w:pPr>
        <w:rPr>
          <w:iCs/>
        </w:rPr>
      </w:pPr>
    </w:p>
    <w:p w:rsidR="00401FD5" w:rsidRDefault="001D76F3" w:rsidP="001D15DC">
      <w:pPr>
        <w:pStyle w:val="BodyText"/>
        <w:widowControl/>
        <w:numPr>
          <w:ilvl w:val="1"/>
          <w:numId w:val="31"/>
        </w:numPr>
        <w:jc w:val="both"/>
      </w:pPr>
      <w:r w:rsidRPr="00D162C7">
        <w:t>In ENGAGE, treatment</w:t>
      </w:r>
      <w:r w:rsidR="005D781F">
        <w:t xml:space="preserve"> with</w:t>
      </w:r>
      <w:r w:rsidRPr="00D162C7">
        <w:t xml:space="preserve"> eliglustat resulted in statistically significantly increased haemoglobin and platelet counts and statistically significant reductions in spleen and liver volumes compared with placebo, in a population of predominantly (87.5%) treatment-naïve patients.  Patients treated with eliglustat did not perceive a change in their quality of life other than a modest improvement in physical functioning as measured by the SF-36 compared to those treated with placebo.</w:t>
      </w:r>
    </w:p>
    <w:p w:rsidR="00570AD2" w:rsidRDefault="00570AD2" w:rsidP="006374FE">
      <w:pPr>
        <w:pStyle w:val="BodyText"/>
        <w:widowControl/>
        <w:jc w:val="both"/>
      </w:pPr>
    </w:p>
    <w:p w:rsidR="00570AD2" w:rsidRPr="00AA1839" w:rsidRDefault="00570AD2" w:rsidP="00325B64">
      <w:pPr>
        <w:pStyle w:val="BodyText"/>
        <w:widowControl/>
        <w:numPr>
          <w:ilvl w:val="1"/>
          <w:numId w:val="31"/>
        </w:numPr>
        <w:jc w:val="both"/>
        <w:rPr>
          <w:iCs/>
        </w:rPr>
      </w:pPr>
      <w:r w:rsidRPr="00AA1839">
        <w:rPr>
          <w:iCs/>
        </w:rPr>
        <w:t xml:space="preserve">The PSCR also responded to issues raised in the Commentary regarding the reliability of using a genotype test to inform the appropriate dose of eliglustat, especially </w:t>
      </w:r>
      <w:r w:rsidR="00062C9A" w:rsidRPr="00AA1839">
        <w:rPr>
          <w:iCs/>
        </w:rPr>
        <w:t xml:space="preserve">if </w:t>
      </w:r>
      <w:r w:rsidRPr="00AA1839">
        <w:rPr>
          <w:iCs/>
        </w:rPr>
        <w:t xml:space="preserve">this method differed from the </w:t>
      </w:r>
      <w:r w:rsidR="006374FE" w:rsidRPr="00AA1839">
        <w:rPr>
          <w:iCs/>
        </w:rPr>
        <w:t xml:space="preserve">type(s) of test </w:t>
      </w:r>
      <w:r w:rsidRPr="00AA1839">
        <w:rPr>
          <w:iCs/>
        </w:rPr>
        <w:t xml:space="preserve">used in the </w:t>
      </w:r>
      <w:r w:rsidR="006374FE" w:rsidRPr="00AA1839">
        <w:rPr>
          <w:iCs/>
        </w:rPr>
        <w:t>studies which contributed data to the pharmacokinetic analyses</w:t>
      </w:r>
      <w:r w:rsidRPr="00AA1839">
        <w:rPr>
          <w:iCs/>
        </w:rPr>
        <w:t>. The PSCR advised that the method used in the</w:t>
      </w:r>
      <w:r w:rsidR="006374FE" w:rsidRPr="00AA1839">
        <w:rPr>
          <w:iCs/>
        </w:rPr>
        <w:t>se</w:t>
      </w:r>
      <w:r w:rsidRPr="00AA1839">
        <w:rPr>
          <w:iCs/>
        </w:rPr>
        <w:t xml:space="preserve"> studies was the same as </w:t>
      </w:r>
      <w:r w:rsidR="006374FE" w:rsidRPr="00AA1839">
        <w:rPr>
          <w:iCs/>
        </w:rPr>
        <w:t xml:space="preserve">would be used </w:t>
      </w:r>
      <w:r w:rsidRPr="00AA1839">
        <w:rPr>
          <w:iCs/>
        </w:rPr>
        <w:t xml:space="preserve">for the assessment of Australian patients and that the highly reproducible genotyping test produces phenotypic categories that have been standardised in pharmacogenomics. It was highlighted that the use of the phenotypic categories is illustrated in the Clinical Pharmacogenetic Implementation </w:t>
      </w:r>
      <w:r w:rsidR="006374FE" w:rsidRPr="00AA1839">
        <w:rPr>
          <w:iCs/>
        </w:rPr>
        <w:t>G</w:t>
      </w:r>
      <w:r w:rsidRPr="00AA1839">
        <w:rPr>
          <w:iCs/>
        </w:rPr>
        <w:t>uidelines for drugs metabolised by CYP2D6 and the laboratory being used for Australian patient testing is a</w:t>
      </w:r>
      <w:r w:rsidR="00325B64" w:rsidRPr="00AA1839">
        <w:rPr>
          <w:iCs/>
        </w:rPr>
        <w:t>ccredited by the</w:t>
      </w:r>
      <w:r w:rsidRPr="00AA1839">
        <w:rPr>
          <w:iCs/>
        </w:rPr>
        <w:t xml:space="preserve"> N</w:t>
      </w:r>
      <w:r w:rsidR="00446115" w:rsidRPr="00AA1839">
        <w:rPr>
          <w:iCs/>
        </w:rPr>
        <w:t>ational Association of Testing Authorities (N</w:t>
      </w:r>
      <w:r w:rsidRPr="00AA1839">
        <w:rPr>
          <w:iCs/>
        </w:rPr>
        <w:t>ATA</w:t>
      </w:r>
      <w:r w:rsidR="00446115" w:rsidRPr="00AA1839">
        <w:rPr>
          <w:iCs/>
        </w:rPr>
        <w:t>)</w:t>
      </w:r>
      <w:r w:rsidRPr="00AA1839">
        <w:rPr>
          <w:iCs/>
        </w:rPr>
        <w:t xml:space="preserve"> for pharmacogenomics (</w:t>
      </w:r>
      <w:r w:rsidR="00446115" w:rsidRPr="00AA1839">
        <w:rPr>
          <w:iCs/>
        </w:rPr>
        <w:t xml:space="preserve">specifically, </w:t>
      </w:r>
      <w:r w:rsidRPr="00AA1839">
        <w:rPr>
          <w:iCs/>
        </w:rPr>
        <w:t>NATA</w:t>
      </w:r>
      <w:r w:rsidR="00446115" w:rsidRPr="00AA1839">
        <w:rPr>
          <w:iCs/>
        </w:rPr>
        <w:t>-</w:t>
      </w:r>
      <w:r w:rsidRPr="00AA1839">
        <w:rPr>
          <w:iCs/>
        </w:rPr>
        <w:t>accredited laboratory 3427).</w:t>
      </w:r>
    </w:p>
    <w:p w:rsidR="00570AD2" w:rsidRDefault="00570AD2" w:rsidP="00570AD2">
      <w:pPr>
        <w:pStyle w:val="BodyText"/>
        <w:widowControl/>
        <w:rPr>
          <w:i/>
          <w:iCs/>
        </w:rPr>
      </w:pPr>
    </w:p>
    <w:p w:rsidR="00570AD2" w:rsidRPr="00AA1839" w:rsidRDefault="00570AD2" w:rsidP="00325B64">
      <w:pPr>
        <w:pStyle w:val="BodyText"/>
        <w:widowControl/>
        <w:numPr>
          <w:ilvl w:val="1"/>
          <w:numId w:val="31"/>
        </w:numPr>
        <w:jc w:val="both"/>
        <w:rPr>
          <w:iCs/>
        </w:rPr>
      </w:pPr>
      <w:r w:rsidRPr="00AA1839">
        <w:rPr>
          <w:iCs/>
        </w:rPr>
        <w:t>Advice on th</w:t>
      </w:r>
      <w:r w:rsidR="00446115" w:rsidRPr="00AA1839">
        <w:rPr>
          <w:iCs/>
        </w:rPr>
        <w:t>is</w:t>
      </w:r>
      <w:r w:rsidRPr="00AA1839">
        <w:rPr>
          <w:iCs/>
        </w:rPr>
        <w:t xml:space="preserve"> testing issue was also sought from</w:t>
      </w:r>
      <w:r w:rsidR="00446115" w:rsidRPr="00AA1839">
        <w:rPr>
          <w:iCs/>
        </w:rPr>
        <w:t xml:space="preserve"> the Medicare Benefits Division of the Department</w:t>
      </w:r>
      <w:r w:rsidRPr="00AA1839">
        <w:rPr>
          <w:iCs/>
        </w:rPr>
        <w:t>, wh</w:t>
      </w:r>
      <w:r w:rsidR="00446115" w:rsidRPr="00AA1839">
        <w:rPr>
          <w:iCs/>
        </w:rPr>
        <w:t>ich</w:t>
      </w:r>
      <w:r w:rsidRPr="00AA1839">
        <w:rPr>
          <w:iCs/>
        </w:rPr>
        <w:t xml:space="preserve"> advised that </w:t>
      </w:r>
      <w:r w:rsidR="00446115" w:rsidRPr="00AA1839">
        <w:rPr>
          <w:iCs/>
        </w:rPr>
        <w:t xml:space="preserve">although advice </w:t>
      </w:r>
      <w:r w:rsidRPr="00AA1839">
        <w:rPr>
          <w:iCs/>
        </w:rPr>
        <w:t xml:space="preserve">could not </w:t>
      </w:r>
      <w:r w:rsidR="00446115" w:rsidRPr="00AA1839">
        <w:rPr>
          <w:iCs/>
        </w:rPr>
        <w:t xml:space="preserve">be </w:t>
      </w:r>
      <w:r w:rsidRPr="00AA1839">
        <w:rPr>
          <w:iCs/>
        </w:rPr>
        <w:t>provide</w:t>
      </w:r>
      <w:r w:rsidR="00446115" w:rsidRPr="00AA1839">
        <w:rPr>
          <w:iCs/>
        </w:rPr>
        <w:t>d</w:t>
      </w:r>
      <w:r w:rsidRPr="00AA1839">
        <w:rPr>
          <w:iCs/>
        </w:rPr>
        <w:t xml:space="preserve"> on the CYP2D6 test until a co-dependent application was submitted to MSAC, </w:t>
      </w:r>
      <w:r w:rsidR="00446115" w:rsidRPr="00AA1839">
        <w:rPr>
          <w:iCs/>
        </w:rPr>
        <w:t xml:space="preserve">performing </w:t>
      </w:r>
      <w:r w:rsidRPr="00AA1839">
        <w:rPr>
          <w:iCs/>
        </w:rPr>
        <w:t>the testing in a NATA</w:t>
      </w:r>
      <w:r w:rsidR="00446115" w:rsidRPr="00AA1839">
        <w:rPr>
          <w:iCs/>
        </w:rPr>
        <w:t>-</w:t>
      </w:r>
      <w:r w:rsidRPr="00AA1839">
        <w:rPr>
          <w:iCs/>
        </w:rPr>
        <w:t xml:space="preserve">accredited </w:t>
      </w:r>
      <w:r w:rsidR="00446115" w:rsidRPr="00AA1839">
        <w:rPr>
          <w:iCs/>
        </w:rPr>
        <w:t xml:space="preserve">pathology </w:t>
      </w:r>
      <w:r w:rsidRPr="00AA1839">
        <w:rPr>
          <w:iCs/>
        </w:rPr>
        <w:t>lab</w:t>
      </w:r>
      <w:r w:rsidR="00446115" w:rsidRPr="00AA1839">
        <w:rPr>
          <w:iCs/>
        </w:rPr>
        <w:t>oratory</w:t>
      </w:r>
      <w:r w:rsidRPr="00AA1839">
        <w:rPr>
          <w:iCs/>
        </w:rPr>
        <w:t xml:space="preserve"> provided some re-assurance that </w:t>
      </w:r>
      <w:r w:rsidR="00446115" w:rsidRPr="00AA1839">
        <w:rPr>
          <w:iCs/>
        </w:rPr>
        <w:t xml:space="preserve">safety and quality standards relating to </w:t>
      </w:r>
      <w:r w:rsidRPr="00AA1839">
        <w:rPr>
          <w:iCs/>
        </w:rPr>
        <w:t>the test would be performed to Australian standards</w:t>
      </w:r>
      <w:r w:rsidR="00446115" w:rsidRPr="00AA1839">
        <w:rPr>
          <w:iCs/>
        </w:rPr>
        <w:t xml:space="preserve"> given that this is not necessarily the case for testing conducted outside the provisions of the Schedule of Medicare Benefits</w:t>
      </w:r>
      <w:r w:rsidRPr="00AA1839">
        <w:rPr>
          <w:iCs/>
        </w:rPr>
        <w:t>.</w:t>
      </w:r>
    </w:p>
    <w:p w:rsidR="00570AD2" w:rsidRPr="00AA1839" w:rsidRDefault="00570AD2" w:rsidP="00446115">
      <w:pPr>
        <w:pStyle w:val="BodyText"/>
        <w:widowControl/>
        <w:rPr>
          <w:iCs/>
        </w:rPr>
      </w:pPr>
    </w:p>
    <w:p w:rsidR="00570AD2" w:rsidRPr="00AA1839" w:rsidRDefault="00570AD2" w:rsidP="00325B64">
      <w:pPr>
        <w:pStyle w:val="BodyText"/>
        <w:widowControl/>
        <w:numPr>
          <w:ilvl w:val="1"/>
          <w:numId w:val="31"/>
        </w:numPr>
        <w:jc w:val="both"/>
      </w:pPr>
      <w:r w:rsidRPr="00AA1839">
        <w:rPr>
          <w:iCs/>
        </w:rPr>
        <w:t xml:space="preserve">The ESC noted the advice from the PSCR and MBD regarding the CYP2D6 testing and </w:t>
      </w:r>
      <w:r w:rsidR="00446115" w:rsidRPr="00AA1839">
        <w:rPr>
          <w:iCs/>
        </w:rPr>
        <w:t>was also reassured that the test processing used in Australia was the same as the test processing used to generate the evidence for the pharmacokinetic analyses, thus avoi</w:t>
      </w:r>
      <w:r w:rsidR="00325B64" w:rsidRPr="00AA1839">
        <w:rPr>
          <w:iCs/>
        </w:rPr>
        <w:t>ding the need for an assessment of comparative test performance.  The ESC</w:t>
      </w:r>
      <w:r w:rsidR="00446115" w:rsidRPr="00AA1839">
        <w:rPr>
          <w:iCs/>
        </w:rPr>
        <w:t xml:space="preserve"> therefore </w:t>
      </w:r>
      <w:r w:rsidRPr="00AA1839">
        <w:rPr>
          <w:iCs/>
        </w:rPr>
        <w:t>accepted that the test was a reasonable method of informing eliglustat dose in the Australian context.</w:t>
      </w:r>
    </w:p>
    <w:p w:rsidR="001D76F3" w:rsidRPr="00882085" w:rsidRDefault="001D76F3" w:rsidP="00B60939">
      <w:pPr>
        <w:rPr>
          <w:szCs w:val="22"/>
        </w:rPr>
      </w:pPr>
    </w:p>
    <w:p w:rsidR="00B60939" w:rsidRPr="002C2775" w:rsidRDefault="00B60939" w:rsidP="002C2775">
      <w:pPr>
        <w:pStyle w:val="Heading2"/>
        <w:rPr>
          <w:i/>
        </w:rPr>
      </w:pPr>
      <w:bookmarkStart w:id="22" w:name="_Toc419465016"/>
      <w:r w:rsidRPr="002C2775">
        <w:rPr>
          <w:i/>
        </w:rPr>
        <w:t>Comparative harms</w:t>
      </w:r>
      <w:bookmarkEnd w:id="22"/>
    </w:p>
    <w:p w:rsidR="00B60939" w:rsidRPr="00882085" w:rsidRDefault="00B60939" w:rsidP="00B60939">
      <w:pPr>
        <w:ind w:left="720" w:hanging="720"/>
        <w:rPr>
          <w:szCs w:val="22"/>
        </w:rPr>
      </w:pPr>
    </w:p>
    <w:p w:rsidR="005D616E" w:rsidRPr="005D616E" w:rsidRDefault="00634EBD" w:rsidP="001D15DC">
      <w:pPr>
        <w:pStyle w:val="BodyText"/>
        <w:widowControl/>
        <w:numPr>
          <w:ilvl w:val="1"/>
          <w:numId w:val="31"/>
        </w:numPr>
        <w:jc w:val="both"/>
        <w:rPr>
          <w:szCs w:val="22"/>
        </w:rPr>
      </w:pPr>
      <w:r>
        <w:t>In ENCORE, there were statistically significantly more (RR</w:t>
      </w:r>
      <w:r w:rsidR="003676D1">
        <w:t>=1.15; 95% CI:</w:t>
      </w:r>
      <w:r>
        <w:t xml:space="preserve"> 1.01</w:t>
      </w:r>
      <w:r w:rsidR="003676D1">
        <w:t>, 1.38</w:t>
      </w:r>
      <w:r>
        <w:t xml:space="preserve">) patients treated with eliglustat who experienced any adverse events (97/106, 92%) compared with those treated with imiglucerase (42/53, 79%).  There </w:t>
      </w:r>
      <w:r w:rsidR="005D781F">
        <w:t xml:space="preserve">was </w:t>
      </w:r>
      <w:r>
        <w:t xml:space="preserve">also </w:t>
      </w:r>
      <w:r w:rsidR="003676D1">
        <w:t xml:space="preserve">a </w:t>
      </w:r>
      <w:r>
        <w:t xml:space="preserve">statistically significantly </w:t>
      </w:r>
      <w:r w:rsidR="003676D1">
        <w:t xml:space="preserve">greater proportion </w:t>
      </w:r>
      <w:r>
        <w:t>(RR</w:t>
      </w:r>
      <w:r w:rsidR="003676D1">
        <w:t>=</w:t>
      </w:r>
      <w:r>
        <w:t>3.33, 95% CI</w:t>
      </w:r>
      <w:r w:rsidR="003676D1">
        <w:t>:</w:t>
      </w:r>
      <w:r>
        <w:t xml:space="preserve"> 1.59, 7.37) </w:t>
      </w:r>
      <w:r w:rsidR="005D781F">
        <w:t xml:space="preserve">of </w:t>
      </w:r>
      <w:r>
        <w:t>patients treated with eliglustat who experienced treatment</w:t>
      </w:r>
      <w:r w:rsidR="00156742">
        <w:t>-</w:t>
      </w:r>
      <w:r>
        <w:t>related adverse events (40/106, 38%) compared with those treated with imiglucerase (6/53, 11%).  The most significant differences were in gastrointestinal (RR</w:t>
      </w:r>
      <w:r w:rsidR="003676D1">
        <w:t>=</w:t>
      </w:r>
      <w:r>
        <w:t>10.0, 95% CI 1.8</w:t>
      </w:r>
      <w:r w:rsidR="003676D1">
        <w:t>2, 58.1) and nervous system (RR=</w:t>
      </w:r>
      <w:r>
        <w:t xml:space="preserve">14.64, 95% CI 1.93, infinite) disorders.  </w:t>
      </w:r>
      <w:r w:rsidR="00071EC2" w:rsidRPr="00AA1839">
        <w:t>The PSCR argued that as the ENCORE trial was not powered or designed to detect significant differences in adverse events, the safety results reported in ENCORE should be interpreted with caution.</w:t>
      </w:r>
      <w:r w:rsidR="00C95C4A" w:rsidRPr="00AA1839">
        <w:t xml:space="preserve">  The ESC noted that this is best achieved with reference to the confidence intervals presented.</w:t>
      </w:r>
    </w:p>
    <w:p w:rsidR="005D616E" w:rsidRPr="00325B64" w:rsidRDefault="005D616E" w:rsidP="005D616E">
      <w:pPr>
        <w:widowControl/>
        <w:rPr>
          <w:szCs w:val="22"/>
        </w:rPr>
      </w:pPr>
    </w:p>
    <w:p w:rsidR="00B60939" w:rsidRPr="005D616E" w:rsidRDefault="00634EBD" w:rsidP="001D15DC">
      <w:pPr>
        <w:pStyle w:val="BodyText"/>
        <w:widowControl/>
        <w:numPr>
          <w:ilvl w:val="1"/>
          <w:numId w:val="31"/>
        </w:numPr>
        <w:jc w:val="both"/>
        <w:rPr>
          <w:szCs w:val="22"/>
        </w:rPr>
      </w:pPr>
      <w:r w:rsidRPr="00634EBD">
        <w:t xml:space="preserve">There were eight total medical events of interest reported in patients treated with eliglustat; four events of syncope in three patients and four events of cardiac arrhythmia in three patients.  However, only three atrioventricular blocks were adjudicated </w:t>
      </w:r>
      <w:r w:rsidR="00E82D3B">
        <w:t xml:space="preserve">(investigator considered whether adverse events were possibly, probably or definitely related to the study drug) </w:t>
      </w:r>
      <w:r w:rsidRPr="00634EBD">
        <w:t>to be possibly related to eliglustat and all of the syncope events were considered to be unrelated or only remotely possibly related to eliglustat treatment in ENCORE.</w:t>
      </w:r>
    </w:p>
    <w:p w:rsidR="00B60939" w:rsidRDefault="00B60939" w:rsidP="007F1017">
      <w:pPr>
        <w:pStyle w:val="ListParagraph"/>
        <w:ind w:left="0"/>
        <w:rPr>
          <w:szCs w:val="22"/>
        </w:rPr>
      </w:pPr>
    </w:p>
    <w:p w:rsidR="007F1017" w:rsidRPr="002C2775" w:rsidRDefault="007F1017" w:rsidP="002C2775">
      <w:pPr>
        <w:pStyle w:val="Heading2"/>
        <w:rPr>
          <w:i/>
          <w:szCs w:val="22"/>
        </w:rPr>
      </w:pPr>
      <w:bookmarkStart w:id="23" w:name="_Toc419465017"/>
      <w:r w:rsidRPr="002C2775">
        <w:rPr>
          <w:i/>
        </w:rPr>
        <w:t>Benefits/harms</w:t>
      </w:r>
      <w:bookmarkEnd w:id="23"/>
    </w:p>
    <w:p w:rsidR="007F1017" w:rsidRPr="007F1017" w:rsidRDefault="007F1017" w:rsidP="007F1017">
      <w:pPr>
        <w:pStyle w:val="ListParagraph"/>
        <w:ind w:left="0"/>
        <w:rPr>
          <w:szCs w:val="22"/>
        </w:rPr>
      </w:pPr>
    </w:p>
    <w:p w:rsidR="00EC00C9" w:rsidRPr="00B50DB8" w:rsidRDefault="00EC00C9" w:rsidP="001D15DC">
      <w:pPr>
        <w:pStyle w:val="BodyText"/>
        <w:widowControl/>
        <w:numPr>
          <w:ilvl w:val="1"/>
          <w:numId w:val="31"/>
        </w:numPr>
        <w:jc w:val="both"/>
        <w:rPr>
          <w:szCs w:val="22"/>
        </w:rPr>
      </w:pPr>
      <w:r w:rsidRPr="00B50DB8">
        <w:rPr>
          <w:szCs w:val="22"/>
        </w:rPr>
        <w:t xml:space="preserve">A summary of the comparative harms for </w:t>
      </w:r>
      <w:r w:rsidR="00634EBD">
        <w:rPr>
          <w:szCs w:val="22"/>
        </w:rPr>
        <w:t>eliglustat</w:t>
      </w:r>
      <w:r w:rsidRPr="00B50DB8">
        <w:rPr>
          <w:szCs w:val="22"/>
        </w:rPr>
        <w:t xml:space="preserve"> versus </w:t>
      </w:r>
      <w:r w:rsidR="00634EBD">
        <w:rPr>
          <w:szCs w:val="22"/>
        </w:rPr>
        <w:t>imiglucerase</w:t>
      </w:r>
      <w:r w:rsidRPr="00B50DB8">
        <w:rPr>
          <w:szCs w:val="22"/>
        </w:rPr>
        <w:t xml:space="preserve"> is presented in the table below.</w:t>
      </w:r>
    </w:p>
    <w:p w:rsidR="00162913" w:rsidRDefault="00162913" w:rsidP="004B1CB4"/>
    <w:p w:rsidR="00B62715" w:rsidRPr="00A578DC" w:rsidRDefault="00B23DD3" w:rsidP="00B23DD3">
      <w:pPr>
        <w:ind w:left="720"/>
        <w:rPr>
          <w:rStyle w:val="CommentReference"/>
        </w:rPr>
      </w:pPr>
      <w:r>
        <w:rPr>
          <w:rStyle w:val="CommentReference"/>
        </w:rPr>
        <w:t>Table 4</w:t>
      </w:r>
      <w:r w:rsidR="00B62715" w:rsidRPr="00A578DC">
        <w:rPr>
          <w:rStyle w:val="CommentReference"/>
        </w:rPr>
        <w:t xml:space="preserve">: Summary of comparative </w:t>
      </w:r>
      <w:r>
        <w:rPr>
          <w:rStyle w:val="CommentReference"/>
        </w:rPr>
        <w:t xml:space="preserve">harms (adjudicated to be related to treatment) </w:t>
      </w:r>
      <w:r w:rsidR="00B62715" w:rsidRPr="00A578DC">
        <w:rPr>
          <w:rStyle w:val="CommentReference"/>
        </w:rPr>
        <w:t xml:space="preserve">for </w:t>
      </w:r>
      <w:r>
        <w:rPr>
          <w:rStyle w:val="CommentReference"/>
        </w:rPr>
        <w:t>eliglustat and imiglucerase in ENCORE</w:t>
      </w:r>
      <w:r w:rsidR="00E82D3B">
        <w:rPr>
          <w:rStyle w:val="CommentReference"/>
        </w:rPr>
        <w:t>, safety/full analysis set</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4: Summary of comparative harms (adjudicated to be related to treatment) for eliglustat and imiglucerase in ENCORE, safety/full analysis set"/>
        <w:tblDescription w:val="This table summarises the comparative harms for eliglustat versus imiglucerase. "/>
      </w:tblPr>
      <w:tblGrid>
        <w:gridCol w:w="1314"/>
        <w:gridCol w:w="1145"/>
        <w:gridCol w:w="1146"/>
        <w:gridCol w:w="1568"/>
        <w:gridCol w:w="1141"/>
        <w:gridCol w:w="1083"/>
        <w:gridCol w:w="1141"/>
      </w:tblGrid>
      <w:tr w:rsidR="00552BD3" w:rsidRPr="00E2771E" w:rsidTr="00211259">
        <w:trPr>
          <w:trHeight w:val="70"/>
          <w:tblHeader/>
        </w:trPr>
        <w:tc>
          <w:tcPr>
            <w:tcW w:w="770" w:type="pct"/>
            <w:vMerge w:val="restart"/>
            <w:shd w:val="clear" w:color="auto" w:fill="auto"/>
            <w:vAlign w:val="center"/>
          </w:tcPr>
          <w:p w:rsidR="00B62715" w:rsidRPr="00E2771E" w:rsidRDefault="00B62715" w:rsidP="00EC00C9">
            <w:pPr>
              <w:rPr>
                <w:rFonts w:ascii="Arial Narrow" w:hAnsi="Arial Narrow"/>
                <w:b/>
                <w:color w:val="000000"/>
                <w:sz w:val="20"/>
                <w:szCs w:val="18"/>
              </w:rPr>
            </w:pPr>
          </w:p>
        </w:tc>
        <w:tc>
          <w:tcPr>
            <w:tcW w:w="671" w:type="pct"/>
            <w:vMerge w:val="restart"/>
            <w:vAlign w:val="center"/>
          </w:tcPr>
          <w:p w:rsidR="00B62715" w:rsidRDefault="00B23DD3" w:rsidP="00EC00C9">
            <w:pPr>
              <w:jc w:val="center"/>
              <w:rPr>
                <w:rFonts w:ascii="Arial Narrow" w:hAnsi="Arial Narrow"/>
                <w:b/>
                <w:color w:val="000000"/>
                <w:sz w:val="20"/>
                <w:szCs w:val="18"/>
              </w:rPr>
            </w:pPr>
            <w:r>
              <w:rPr>
                <w:rFonts w:ascii="Arial Narrow" w:hAnsi="Arial Narrow"/>
                <w:b/>
                <w:color w:val="000000"/>
                <w:sz w:val="20"/>
                <w:szCs w:val="18"/>
              </w:rPr>
              <w:t xml:space="preserve">Eliglustat </w:t>
            </w:r>
          </w:p>
          <w:p w:rsidR="00B23DD3" w:rsidRPr="00E2771E" w:rsidRDefault="00B23DD3" w:rsidP="00EC00C9">
            <w:pPr>
              <w:jc w:val="center"/>
              <w:rPr>
                <w:rFonts w:ascii="Arial Narrow" w:hAnsi="Arial Narrow"/>
                <w:b/>
                <w:color w:val="000000"/>
                <w:sz w:val="20"/>
                <w:szCs w:val="18"/>
              </w:rPr>
            </w:pPr>
            <w:r>
              <w:rPr>
                <w:rFonts w:ascii="Arial Narrow" w:hAnsi="Arial Narrow"/>
                <w:b/>
                <w:color w:val="000000"/>
                <w:sz w:val="20"/>
                <w:szCs w:val="18"/>
              </w:rPr>
              <w:t>N=106</w:t>
            </w:r>
            <w:r w:rsidR="00E82D3B">
              <w:rPr>
                <w:rFonts w:ascii="Arial Narrow" w:hAnsi="Arial Narrow"/>
                <w:b/>
                <w:color w:val="000000"/>
                <w:sz w:val="20"/>
                <w:szCs w:val="18"/>
              </w:rPr>
              <w:t>, n (%)</w:t>
            </w:r>
          </w:p>
        </w:tc>
        <w:tc>
          <w:tcPr>
            <w:tcW w:w="671" w:type="pct"/>
            <w:vMerge w:val="restart"/>
            <w:vAlign w:val="center"/>
          </w:tcPr>
          <w:p w:rsidR="00B62715" w:rsidRDefault="00B23DD3" w:rsidP="00EC00C9">
            <w:pPr>
              <w:jc w:val="center"/>
              <w:rPr>
                <w:rFonts w:ascii="Arial Narrow" w:hAnsi="Arial Narrow"/>
                <w:b/>
                <w:color w:val="000000"/>
                <w:sz w:val="20"/>
                <w:szCs w:val="18"/>
              </w:rPr>
            </w:pPr>
            <w:r>
              <w:rPr>
                <w:rFonts w:ascii="Arial Narrow" w:hAnsi="Arial Narrow"/>
                <w:b/>
                <w:color w:val="000000"/>
                <w:sz w:val="20"/>
                <w:szCs w:val="18"/>
              </w:rPr>
              <w:t>Imiglucerase</w:t>
            </w:r>
          </w:p>
          <w:p w:rsidR="00B23DD3" w:rsidRPr="00E2771E" w:rsidRDefault="00B23DD3" w:rsidP="00682CAA">
            <w:pPr>
              <w:jc w:val="center"/>
              <w:rPr>
                <w:rFonts w:ascii="Arial Narrow" w:hAnsi="Arial Narrow"/>
                <w:b/>
                <w:color w:val="000000"/>
                <w:sz w:val="20"/>
                <w:szCs w:val="18"/>
              </w:rPr>
            </w:pPr>
            <w:r>
              <w:rPr>
                <w:rFonts w:ascii="Arial Narrow" w:hAnsi="Arial Narrow"/>
                <w:b/>
                <w:color w:val="000000"/>
                <w:sz w:val="20"/>
                <w:szCs w:val="18"/>
              </w:rPr>
              <w:t>N=53</w:t>
            </w:r>
            <w:r w:rsidR="00E82D3B">
              <w:rPr>
                <w:rFonts w:ascii="Arial Narrow" w:hAnsi="Arial Narrow"/>
                <w:b/>
                <w:color w:val="000000"/>
                <w:sz w:val="20"/>
                <w:szCs w:val="18"/>
              </w:rPr>
              <w:t>, n (%)</w:t>
            </w:r>
          </w:p>
        </w:tc>
        <w:tc>
          <w:tcPr>
            <w:tcW w:w="918" w:type="pct"/>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RR</w:t>
            </w:r>
          </w:p>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02" w:type="pct"/>
            <w:gridSpan w:val="2"/>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668" w:type="pct"/>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RD</w:t>
            </w:r>
          </w:p>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552BD3" w:rsidRPr="00E2771E" w:rsidTr="00211259">
        <w:trPr>
          <w:trHeight w:val="70"/>
          <w:tblHeader/>
        </w:trPr>
        <w:tc>
          <w:tcPr>
            <w:tcW w:w="770" w:type="pct"/>
            <w:vMerge/>
            <w:shd w:val="clear" w:color="auto" w:fill="auto"/>
            <w:vAlign w:val="center"/>
          </w:tcPr>
          <w:p w:rsidR="00B62715" w:rsidRPr="00E2771E" w:rsidRDefault="00B62715" w:rsidP="00EC00C9">
            <w:pPr>
              <w:rPr>
                <w:rFonts w:ascii="Arial Narrow" w:hAnsi="Arial Narrow"/>
                <w:b/>
                <w:color w:val="000000"/>
                <w:sz w:val="20"/>
                <w:szCs w:val="18"/>
              </w:rPr>
            </w:pPr>
          </w:p>
        </w:tc>
        <w:tc>
          <w:tcPr>
            <w:tcW w:w="671" w:type="pct"/>
            <w:vMerge/>
            <w:vAlign w:val="center"/>
          </w:tcPr>
          <w:p w:rsidR="00B62715" w:rsidRPr="00E2771E" w:rsidRDefault="00B62715" w:rsidP="00EC00C9">
            <w:pPr>
              <w:jc w:val="center"/>
              <w:rPr>
                <w:rFonts w:ascii="Arial Narrow" w:hAnsi="Arial Narrow"/>
                <w:b/>
                <w:color w:val="000000"/>
                <w:sz w:val="20"/>
                <w:szCs w:val="18"/>
              </w:rPr>
            </w:pPr>
          </w:p>
        </w:tc>
        <w:tc>
          <w:tcPr>
            <w:tcW w:w="671" w:type="pct"/>
            <w:vMerge/>
            <w:vAlign w:val="center"/>
          </w:tcPr>
          <w:p w:rsidR="00B62715" w:rsidRPr="00E2771E" w:rsidRDefault="00B62715" w:rsidP="00EC00C9">
            <w:pPr>
              <w:jc w:val="center"/>
              <w:rPr>
                <w:rFonts w:ascii="Arial Narrow" w:hAnsi="Arial Narrow"/>
                <w:b/>
                <w:color w:val="000000"/>
                <w:sz w:val="20"/>
                <w:szCs w:val="18"/>
              </w:rPr>
            </w:pPr>
          </w:p>
        </w:tc>
        <w:tc>
          <w:tcPr>
            <w:tcW w:w="918" w:type="pct"/>
            <w:vMerge/>
            <w:vAlign w:val="center"/>
          </w:tcPr>
          <w:p w:rsidR="00B62715" w:rsidRPr="00E2771E" w:rsidRDefault="00B62715" w:rsidP="00EC00C9">
            <w:pPr>
              <w:jc w:val="center"/>
              <w:rPr>
                <w:rFonts w:ascii="Arial Narrow" w:hAnsi="Arial Narrow"/>
                <w:b/>
                <w:color w:val="000000"/>
                <w:sz w:val="20"/>
                <w:szCs w:val="18"/>
              </w:rPr>
            </w:pPr>
          </w:p>
        </w:tc>
        <w:tc>
          <w:tcPr>
            <w:tcW w:w="668" w:type="pct"/>
            <w:vAlign w:val="center"/>
          </w:tcPr>
          <w:p w:rsidR="00B62715" w:rsidRPr="00E2771E" w:rsidRDefault="00B23DD3" w:rsidP="00EC00C9">
            <w:pPr>
              <w:jc w:val="center"/>
              <w:rPr>
                <w:rFonts w:ascii="Arial Narrow" w:hAnsi="Arial Narrow"/>
                <w:b/>
                <w:color w:val="000000"/>
                <w:sz w:val="20"/>
                <w:szCs w:val="18"/>
              </w:rPr>
            </w:pPr>
            <w:r>
              <w:rPr>
                <w:rFonts w:ascii="Arial Narrow" w:hAnsi="Arial Narrow"/>
                <w:b/>
                <w:color w:val="000000"/>
                <w:sz w:val="20"/>
                <w:szCs w:val="18"/>
              </w:rPr>
              <w:t>Eliglustat</w:t>
            </w:r>
          </w:p>
        </w:tc>
        <w:tc>
          <w:tcPr>
            <w:tcW w:w="634" w:type="pct"/>
            <w:vAlign w:val="center"/>
          </w:tcPr>
          <w:p w:rsidR="00B62715" w:rsidRPr="00E2771E" w:rsidRDefault="00B23DD3" w:rsidP="00EC00C9">
            <w:pPr>
              <w:jc w:val="center"/>
              <w:rPr>
                <w:rFonts w:ascii="Arial Narrow" w:hAnsi="Arial Narrow"/>
                <w:b/>
                <w:color w:val="000000"/>
                <w:sz w:val="20"/>
                <w:szCs w:val="18"/>
              </w:rPr>
            </w:pPr>
            <w:r>
              <w:rPr>
                <w:rFonts w:ascii="Arial Narrow" w:hAnsi="Arial Narrow"/>
                <w:b/>
                <w:color w:val="000000"/>
                <w:sz w:val="20"/>
                <w:szCs w:val="18"/>
              </w:rPr>
              <w:t>Imiglucerase</w:t>
            </w:r>
          </w:p>
        </w:tc>
        <w:tc>
          <w:tcPr>
            <w:tcW w:w="668" w:type="pct"/>
            <w:vMerge/>
            <w:vAlign w:val="center"/>
          </w:tcPr>
          <w:p w:rsidR="00B62715" w:rsidRPr="00E2771E" w:rsidRDefault="00B62715" w:rsidP="00EC00C9">
            <w:pPr>
              <w:jc w:val="center"/>
              <w:rPr>
                <w:rFonts w:ascii="Arial Narrow" w:hAnsi="Arial Narrow"/>
                <w:b/>
                <w:color w:val="000000"/>
                <w:sz w:val="20"/>
                <w:szCs w:val="18"/>
              </w:rPr>
            </w:pPr>
          </w:p>
        </w:tc>
      </w:tr>
      <w:tr w:rsidR="00B23DD3" w:rsidRPr="00E2771E" w:rsidTr="00E82D3B">
        <w:tc>
          <w:tcPr>
            <w:tcW w:w="770" w:type="pct"/>
            <w:shd w:val="clear" w:color="auto" w:fill="auto"/>
          </w:tcPr>
          <w:p w:rsidR="00B23DD3" w:rsidRPr="00B318DA" w:rsidRDefault="00B23DD3" w:rsidP="00B23DD3">
            <w:pPr>
              <w:tabs>
                <w:tab w:val="left" w:pos="11"/>
              </w:tabs>
              <w:jc w:val="left"/>
              <w:rPr>
                <w:rFonts w:ascii="Arial Narrow" w:hAnsi="Arial Narrow"/>
                <w:sz w:val="20"/>
                <w:lang w:val="pt-PT"/>
              </w:rPr>
            </w:pPr>
            <w:r w:rsidRPr="00B318DA">
              <w:rPr>
                <w:rFonts w:ascii="Arial Narrow" w:hAnsi="Arial Narrow"/>
                <w:sz w:val="20"/>
                <w:lang w:val="pt-PT"/>
              </w:rPr>
              <w:t xml:space="preserve">Gastrointestinal </w:t>
            </w:r>
          </w:p>
          <w:p w:rsidR="00B23DD3" w:rsidRPr="00B318DA" w:rsidRDefault="00B23DD3" w:rsidP="005D616E">
            <w:pPr>
              <w:tabs>
                <w:tab w:val="left" w:pos="150"/>
              </w:tabs>
              <w:ind w:left="284"/>
              <w:jc w:val="right"/>
              <w:rPr>
                <w:rFonts w:ascii="Arial Narrow" w:hAnsi="Arial Narrow"/>
                <w:sz w:val="20"/>
                <w:lang w:val="pt-PT"/>
              </w:rPr>
            </w:pPr>
            <w:r w:rsidRPr="00B318DA">
              <w:rPr>
                <w:rFonts w:ascii="Arial Narrow" w:hAnsi="Arial Narrow"/>
                <w:sz w:val="20"/>
                <w:lang w:val="pt-PT"/>
              </w:rPr>
              <w:t>Diarrhoea</w:t>
            </w:r>
          </w:p>
          <w:p w:rsidR="00B23DD3" w:rsidRPr="00B318DA" w:rsidRDefault="00B23DD3" w:rsidP="005D616E">
            <w:pPr>
              <w:tabs>
                <w:tab w:val="left" w:pos="150"/>
              </w:tabs>
              <w:ind w:left="284"/>
              <w:jc w:val="right"/>
              <w:rPr>
                <w:rFonts w:ascii="Arial Narrow" w:hAnsi="Arial Narrow"/>
                <w:sz w:val="20"/>
                <w:lang w:val="pt-PT"/>
              </w:rPr>
            </w:pPr>
            <w:r w:rsidRPr="00B318DA">
              <w:rPr>
                <w:rFonts w:ascii="Arial Narrow" w:hAnsi="Arial Narrow"/>
                <w:sz w:val="20"/>
                <w:lang w:val="pt-PT"/>
              </w:rPr>
              <w:t>Dyspepsia</w:t>
            </w:r>
          </w:p>
          <w:p w:rsidR="00B23DD3" w:rsidRPr="00B318DA" w:rsidRDefault="00B23DD3" w:rsidP="005D616E">
            <w:pPr>
              <w:tabs>
                <w:tab w:val="left" w:pos="150"/>
              </w:tabs>
              <w:ind w:left="284"/>
              <w:jc w:val="right"/>
              <w:rPr>
                <w:rFonts w:ascii="Arial Narrow" w:hAnsi="Arial Narrow"/>
                <w:sz w:val="20"/>
                <w:lang w:val="pt-PT"/>
              </w:rPr>
            </w:pPr>
            <w:r w:rsidRPr="00B318DA">
              <w:rPr>
                <w:rFonts w:ascii="Arial Narrow" w:hAnsi="Arial Narrow"/>
                <w:sz w:val="20"/>
                <w:lang w:val="pt-PT"/>
              </w:rPr>
              <w:t>Nausea</w:t>
            </w:r>
          </w:p>
          <w:p w:rsidR="00B23DD3" w:rsidRPr="00B318DA" w:rsidRDefault="00B23DD3" w:rsidP="005D616E">
            <w:pPr>
              <w:tabs>
                <w:tab w:val="left" w:pos="150"/>
              </w:tabs>
              <w:ind w:left="284"/>
              <w:jc w:val="right"/>
              <w:rPr>
                <w:rFonts w:ascii="Arial Narrow" w:hAnsi="Arial Narrow"/>
                <w:sz w:val="20"/>
                <w:lang w:val="pt-PT"/>
              </w:rPr>
            </w:pPr>
            <w:r w:rsidRPr="00B318DA">
              <w:rPr>
                <w:rFonts w:ascii="Arial Narrow" w:hAnsi="Arial Narrow"/>
                <w:sz w:val="20"/>
                <w:lang w:val="pt-PT"/>
              </w:rPr>
              <w:t>GORD</w:t>
            </w:r>
          </w:p>
        </w:tc>
        <w:tc>
          <w:tcPr>
            <w:tcW w:w="671" w:type="pct"/>
          </w:tcPr>
          <w:p w:rsidR="00B23DD3" w:rsidRDefault="00B23DD3" w:rsidP="005D616E">
            <w:pPr>
              <w:jc w:val="center"/>
              <w:rPr>
                <w:rFonts w:ascii="Arial Narrow" w:hAnsi="Arial Narrow"/>
                <w:sz w:val="20"/>
              </w:rPr>
            </w:pPr>
            <w:r>
              <w:rPr>
                <w:rFonts w:ascii="Arial Narrow" w:hAnsi="Arial Narrow"/>
                <w:sz w:val="20"/>
              </w:rPr>
              <w:t>20 (19)</w:t>
            </w:r>
          </w:p>
          <w:p w:rsidR="00B23DD3" w:rsidRDefault="00B23DD3" w:rsidP="005D616E">
            <w:pPr>
              <w:jc w:val="center"/>
              <w:rPr>
                <w:rFonts w:ascii="Arial Narrow" w:hAnsi="Arial Narrow"/>
                <w:sz w:val="20"/>
              </w:rPr>
            </w:pPr>
            <w:r>
              <w:rPr>
                <w:rFonts w:ascii="Arial Narrow" w:hAnsi="Arial Narrow"/>
                <w:sz w:val="20"/>
              </w:rPr>
              <w:t>5 (5)</w:t>
            </w:r>
          </w:p>
          <w:p w:rsidR="00B23DD3" w:rsidRDefault="00B23DD3" w:rsidP="005D616E">
            <w:pPr>
              <w:jc w:val="center"/>
              <w:rPr>
                <w:rFonts w:ascii="Arial Narrow" w:hAnsi="Arial Narrow"/>
                <w:sz w:val="20"/>
              </w:rPr>
            </w:pPr>
            <w:r>
              <w:rPr>
                <w:rFonts w:ascii="Arial Narrow" w:hAnsi="Arial Narrow"/>
                <w:sz w:val="20"/>
              </w:rPr>
              <w:t>3</w:t>
            </w:r>
            <w:r w:rsidR="00E82D3B">
              <w:rPr>
                <w:rFonts w:ascii="Arial Narrow" w:hAnsi="Arial Narrow"/>
                <w:sz w:val="20"/>
              </w:rPr>
              <w:t xml:space="preserve"> </w:t>
            </w:r>
            <w:r>
              <w:rPr>
                <w:rFonts w:ascii="Arial Narrow" w:hAnsi="Arial Narrow"/>
                <w:sz w:val="20"/>
              </w:rPr>
              <w:t>(3)</w:t>
            </w:r>
          </w:p>
          <w:p w:rsidR="00B23DD3" w:rsidRDefault="00B23DD3" w:rsidP="005D616E">
            <w:pPr>
              <w:jc w:val="center"/>
              <w:rPr>
                <w:rFonts w:ascii="Arial Narrow" w:hAnsi="Arial Narrow"/>
                <w:sz w:val="20"/>
              </w:rPr>
            </w:pPr>
            <w:r>
              <w:rPr>
                <w:rFonts w:ascii="Arial Narrow" w:hAnsi="Arial Narrow"/>
                <w:sz w:val="20"/>
              </w:rPr>
              <w:t>3</w:t>
            </w:r>
            <w:r w:rsidR="00E82D3B">
              <w:rPr>
                <w:rFonts w:ascii="Arial Narrow" w:hAnsi="Arial Narrow"/>
                <w:sz w:val="20"/>
              </w:rPr>
              <w:t xml:space="preserve"> </w:t>
            </w:r>
            <w:r>
              <w:rPr>
                <w:rFonts w:ascii="Arial Narrow" w:hAnsi="Arial Narrow"/>
                <w:sz w:val="20"/>
              </w:rPr>
              <w:t>(3)</w:t>
            </w:r>
          </w:p>
          <w:p w:rsidR="00B23DD3" w:rsidRPr="004E2ADC" w:rsidRDefault="00B23DD3" w:rsidP="005D616E">
            <w:pPr>
              <w:jc w:val="center"/>
              <w:rPr>
                <w:rFonts w:ascii="Arial Narrow" w:hAnsi="Arial Narrow"/>
                <w:sz w:val="20"/>
              </w:rPr>
            </w:pPr>
            <w:r>
              <w:rPr>
                <w:rFonts w:ascii="Arial Narrow" w:hAnsi="Arial Narrow"/>
                <w:sz w:val="20"/>
              </w:rPr>
              <w:t>3</w:t>
            </w:r>
            <w:r w:rsidR="00E82D3B">
              <w:rPr>
                <w:rFonts w:ascii="Arial Narrow" w:hAnsi="Arial Narrow"/>
                <w:sz w:val="20"/>
              </w:rPr>
              <w:t xml:space="preserve"> </w:t>
            </w:r>
            <w:r>
              <w:rPr>
                <w:rFonts w:ascii="Arial Narrow" w:hAnsi="Arial Narrow"/>
                <w:sz w:val="20"/>
              </w:rPr>
              <w:t>(3)</w:t>
            </w:r>
          </w:p>
        </w:tc>
        <w:tc>
          <w:tcPr>
            <w:tcW w:w="671" w:type="pct"/>
          </w:tcPr>
          <w:p w:rsidR="00B23DD3" w:rsidRDefault="00B23DD3" w:rsidP="005D616E">
            <w:pPr>
              <w:jc w:val="center"/>
              <w:rPr>
                <w:rFonts w:ascii="Arial Narrow" w:hAnsi="Arial Narrow"/>
                <w:sz w:val="20"/>
              </w:rPr>
            </w:pPr>
            <w:r>
              <w:rPr>
                <w:rFonts w:ascii="Arial Narrow" w:hAnsi="Arial Narrow"/>
                <w:sz w:val="20"/>
              </w:rPr>
              <w:t>1 (2)</w:t>
            </w:r>
          </w:p>
          <w:p w:rsidR="00B23DD3" w:rsidRDefault="00B23DD3" w:rsidP="005D616E">
            <w:pPr>
              <w:jc w:val="center"/>
              <w:rPr>
                <w:rFonts w:ascii="Arial Narrow" w:hAnsi="Arial Narrow"/>
                <w:sz w:val="20"/>
              </w:rPr>
            </w:pPr>
            <w:r>
              <w:rPr>
                <w:rFonts w:ascii="Arial Narrow" w:hAnsi="Arial Narrow"/>
                <w:sz w:val="20"/>
              </w:rPr>
              <w:t>0 (0)</w:t>
            </w:r>
          </w:p>
          <w:p w:rsidR="00B23DD3" w:rsidRDefault="00B23DD3" w:rsidP="005D616E">
            <w:pPr>
              <w:jc w:val="center"/>
              <w:rPr>
                <w:rFonts w:ascii="Arial Narrow" w:hAnsi="Arial Narrow"/>
                <w:sz w:val="20"/>
              </w:rPr>
            </w:pPr>
            <w:r>
              <w:rPr>
                <w:rFonts w:ascii="Arial Narrow" w:hAnsi="Arial Narrow"/>
                <w:sz w:val="20"/>
              </w:rPr>
              <w:t>1</w:t>
            </w:r>
            <w:r w:rsidR="00E82D3B">
              <w:rPr>
                <w:rFonts w:ascii="Arial Narrow" w:hAnsi="Arial Narrow"/>
                <w:sz w:val="20"/>
              </w:rPr>
              <w:t xml:space="preserve"> </w:t>
            </w:r>
            <w:r>
              <w:rPr>
                <w:rFonts w:ascii="Arial Narrow" w:hAnsi="Arial Narrow"/>
                <w:sz w:val="20"/>
              </w:rPr>
              <w:t>(2)</w:t>
            </w:r>
          </w:p>
          <w:p w:rsidR="00B23DD3" w:rsidRDefault="00B23DD3" w:rsidP="005D616E">
            <w:pPr>
              <w:jc w:val="center"/>
              <w:rPr>
                <w:rFonts w:ascii="Arial Narrow" w:hAnsi="Arial Narrow"/>
                <w:sz w:val="20"/>
              </w:rPr>
            </w:pPr>
            <w:r>
              <w:rPr>
                <w:rFonts w:ascii="Arial Narrow" w:hAnsi="Arial Narrow"/>
                <w:sz w:val="20"/>
              </w:rPr>
              <w:t>0</w:t>
            </w:r>
            <w:r w:rsidR="00E82D3B">
              <w:rPr>
                <w:rFonts w:ascii="Arial Narrow" w:hAnsi="Arial Narrow"/>
                <w:sz w:val="20"/>
              </w:rPr>
              <w:t xml:space="preserve"> </w:t>
            </w:r>
            <w:r>
              <w:rPr>
                <w:rFonts w:ascii="Arial Narrow" w:hAnsi="Arial Narrow"/>
                <w:sz w:val="20"/>
              </w:rPr>
              <w:t>(0)</w:t>
            </w:r>
          </w:p>
          <w:p w:rsidR="00B23DD3" w:rsidRPr="004E2ADC" w:rsidRDefault="00B23DD3" w:rsidP="005D616E">
            <w:pPr>
              <w:jc w:val="center"/>
              <w:rPr>
                <w:rFonts w:ascii="Arial Narrow" w:hAnsi="Arial Narrow"/>
                <w:sz w:val="20"/>
              </w:rPr>
            </w:pPr>
            <w:r>
              <w:rPr>
                <w:rFonts w:ascii="Arial Narrow" w:hAnsi="Arial Narrow"/>
                <w:sz w:val="20"/>
              </w:rPr>
              <w:t>0</w:t>
            </w:r>
            <w:r w:rsidR="00E82D3B">
              <w:rPr>
                <w:rFonts w:ascii="Arial Narrow" w:hAnsi="Arial Narrow"/>
                <w:sz w:val="20"/>
              </w:rPr>
              <w:t xml:space="preserve"> </w:t>
            </w:r>
            <w:r>
              <w:rPr>
                <w:rFonts w:ascii="Arial Narrow" w:hAnsi="Arial Narrow"/>
                <w:sz w:val="20"/>
              </w:rPr>
              <w:t>(0)</w:t>
            </w:r>
          </w:p>
        </w:tc>
        <w:tc>
          <w:tcPr>
            <w:tcW w:w="918" w:type="pct"/>
          </w:tcPr>
          <w:p w:rsidR="00B23DD3" w:rsidRPr="00B10EB3" w:rsidRDefault="00B23DD3" w:rsidP="005D616E">
            <w:pPr>
              <w:jc w:val="center"/>
              <w:rPr>
                <w:rFonts w:ascii="Arial Narrow" w:hAnsi="Arial Narrow"/>
                <w:b/>
                <w:bCs/>
                <w:i/>
                <w:iCs/>
                <w:sz w:val="20"/>
              </w:rPr>
            </w:pPr>
            <w:r w:rsidRPr="00B10EB3">
              <w:rPr>
                <w:rFonts w:ascii="Arial Narrow" w:hAnsi="Arial Narrow"/>
                <w:b/>
                <w:bCs/>
                <w:i/>
                <w:iCs/>
                <w:sz w:val="20"/>
              </w:rPr>
              <w:t>10.0 (1.82, 58.1)</w:t>
            </w:r>
          </w:p>
          <w:p w:rsidR="00B23DD3" w:rsidRPr="00B10EB3" w:rsidRDefault="00B23DD3" w:rsidP="005D616E">
            <w:pPr>
              <w:jc w:val="center"/>
              <w:rPr>
                <w:rFonts w:ascii="Arial Narrow" w:hAnsi="Arial Narrow"/>
                <w:i/>
                <w:iCs/>
                <w:sz w:val="20"/>
              </w:rPr>
            </w:pPr>
            <w:r w:rsidRPr="00B10EB3">
              <w:rPr>
                <w:rFonts w:ascii="Arial Narrow" w:hAnsi="Arial Narrow"/>
                <w:i/>
                <w:iCs/>
                <w:sz w:val="20"/>
              </w:rPr>
              <w:t>5.55 (0.68, inf)</w:t>
            </w:r>
          </w:p>
          <w:p w:rsidR="00B23DD3" w:rsidRPr="00B10EB3" w:rsidRDefault="00B23DD3" w:rsidP="005D616E">
            <w:pPr>
              <w:jc w:val="center"/>
              <w:rPr>
                <w:rFonts w:ascii="Arial Narrow" w:hAnsi="Arial Narrow"/>
                <w:i/>
                <w:iCs/>
                <w:sz w:val="20"/>
              </w:rPr>
            </w:pPr>
            <w:r w:rsidRPr="00B10EB3">
              <w:rPr>
                <w:rFonts w:ascii="Arial Narrow" w:hAnsi="Arial Narrow"/>
                <w:i/>
                <w:iCs/>
                <w:sz w:val="20"/>
              </w:rPr>
              <w:t>1.50 (0.22, 10.</w:t>
            </w:r>
            <w:r>
              <w:rPr>
                <w:rFonts w:ascii="Arial Narrow" w:hAnsi="Arial Narrow"/>
                <w:i/>
                <w:iCs/>
                <w:sz w:val="20"/>
              </w:rPr>
              <w:t>4</w:t>
            </w:r>
            <w:r w:rsidRPr="00B10EB3">
              <w:rPr>
                <w:rFonts w:ascii="Arial Narrow" w:hAnsi="Arial Narrow"/>
                <w:i/>
                <w:iCs/>
                <w:sz w:val="20"/>
              </w:rPr>
              <w:t>)</w:t>
            </w:r>
          </w:p>
          <w:p w:rsidR="00B23DD3" w:rsidRPr="00B10EB3" w:rsidRDefault="00B23DD3" w:rsidP="005D616E">
            <w:pPr>
              <w:jc w:val="center"/>
              <w:rPr>
                <w:rFonts w:ascii="Arial Narrow" w:hAnsi="Arial Narrow"/>
                <w:i/>
                <w:iCs/>
                <w:sz w:val="20"/>
              </w:rPr>
            </w:pPr>
            <w:r w:rsidRPr="00B10EB3">
              <w:rPr>
                <w:rFonts w:ascii="Arial Narrow" w:hAnsi="Arial Narrow"/>
                <w:i/>
                <w:iCs/>
                <w:sz w:val="20"/>
              </w:rPr>
              <w:t>3.53 (0.40, inf)</w:t>
            </w:r>
          </w:p>
          <w:p w:rsidR="00B23DD3" w:rsidRPr="00B10EB3" w:rsidRDefault="00B23DD3" w:rsidP="005D616E">
            <w:pPr>
              <w:jc w:val="center"/>
              <w:rPr>
                <w:rFonts w:ascii="Arial Narrow" w:hAnsi="Arial Narrow"/>
                <w:i/>
                <w:iCs/>
                <w:sz w:val="20"/>
              </w:rPr>
            </w:pPr>
            <w:r w:rsidRPr="00B10EB3">
              <w:rPr>
                <w:rFonts w:ascii="Arial Narrow" w:hAnsi="Arial Narrow"/>
                <w:i/>
                <w:iCs/>
                <w:sz w:val="20"/>
              </w:rPr>
              <w:t>3.53 (0.40, inf)</w:t>
            </w:r>
          </w:p>
        </w:tc>
        <w:tc>
          <w:tcPr>
            <w:tcW w:w="668" w:type="pct"/>
            <w:vAlign w:val="center"/>
          </w:tcPr>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19</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5</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3</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3</w:t>
            </w:r>
          </w:p>
          <w:p w:rsidR="00B23DD3" w:rsidRPr="00E2771E" w:rsidRDefault="00B23DD3" w:rsidP="00B23DD3">
            <w:pPr>
              <w:jc w:val="center"/>
              <w:rPr>
                <w:rFonts w:ascii="Arial Narrow" w:hAnsi="Arial Narrow"/>
                <w:color w:val="000000"/>
                <w:sz w:val="20"/>
                <w:szCs w:val="18"/>
              </w:rPr>
            </w:pPr>
            <w:r>
              <w:rPr>
                <w:rFonts w:ascii="Arial Narrow" w:hAnsi="Arial Narrow"/>
                <w:color w:val="000000"/>
                <w:sz w:val="20"/>
                <w:szCs w:val="18"/>
              </w:rPr>
              <w:t>3</w:t>
            </w:r>
          </w:p>
        </w:tc>
        <w:tc>
          <w:tcPr>
            <w:tcW w:w="634" w:type="pct"/>
            <w:vAlign w:val="center"/>
          </w:tcPr>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2</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0</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2</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0</w:t>
            </w:r>
          </w:p>
          <w:p w:rsidR="00B23DD3" w:rsidRPr="00E2771E" w:rsidRDefault="00B23DD3" w:rsidP="00B23DD3">
            <w:pPr>
              <w:jc w:val="center"/>
              <w:rPr>
                <w:rFonts w:ascii="Arial Narrow" w:hAnsi="Arial Narrow"/>
                <w:color w:val="000000"/>
                <w:sz w:val="20"/>
                <w:szCs w:val="18"/>
              </w:rPr>
            </w:pPr>
            <w:r>
              <w:rPr>
                <w:rFonts w:ascii="Arial Narrow" w:hAnsi="Arial Narrow"/>
                <w:color w:val="000000"/>
                <w:sz w:val="20"/>
                <w:szCs w:val="18"/>
              </w:rPr>
              <w:t>0</w:t>
            </w:r>
          </w:p>
        </w:tc>
        <w:tc>
          <w:tcPr>
            <w:tcW w:w="668" w:type="pct"/>
            <w:vAlign w:val="center"/>
          </w:tcPr>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17 (7.5,25.9)</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4.7 (-2.2,10.6)</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0.9 (-7.3, 6.5)</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2.8 (-4.0,8.0)</w:t>
            </w:r>
          </w:p>
          <w:p w:rsidR="00B23DD3" w:rsidRPr="00E2771E" w:rsidRDefault="00B23DD3" w:rsidP="00EC00C9">
            <w:pPr>
              <w:jc w:val="center"/>
              <w:rPr>
                <w:rFonts w:ascii="Arial Narrow" w:hAnsi="Arial Narrow"/>
                <w:color w:val="000000"/>
                <w:sz w:val="20"/>
                <w:szCs w:val="18"/>
              </w:rPr>
            </w:pPr>
            <w:r>
              <w:rPr>
                <w:rFonts w:ascii="Arial Narrow" w:hAnsi="Arial Narrow"/>
                <w:color w:val="000000"/>
                <w:sz w:val="20"/>
                <w:szCs w:val="18"/>
              </w:rPr>
              <w:t>2.8 (-4.0,8.0)</w:t>
            </w:r>
          </w:p>
        </w:tc>
      </w:tr>
      <w:tr w:rsidR="00B23DD3" w:rsidRPr="00E2771E" w:rsidTr="00E82D3B">
        <w:tc>
          <w:tcPr>
            <w:tcW w:w="770" w:type="pct"/>
            <w:shd w:val="clear" w:color="auto" w:fill="auto"/>
            <w:vAlign w:val="center"/>
          </w:tcPr>
          <w:p w:rsidR="00B23DD3" w:rsidRDefault="00B23DD3" w:rsidP="00B23DD3">
            <w:pPr>
              <w:tabs>
                <w:tab w:val="left" w:pos="11"/>
              </w:tabs>
              <w:jc w:val="left"/>
              <w:rPr>
                <w:rFonts w:ascii="Arial Narrow" w:hAnsi="Arial Narrow"/>
                <w:sz w:val="20"/>
              </w:rPr>
            </w:pPr>
            <w:r>
              <w:rPr>
                <w:rFonts w:ascii="Arial Narrow" w:hAnsi="Arial Narrow"/>
                <w:sz w:val="20"/>
              </w:rPr>
              <w:t xml:space="preserve">Nervous system </w:t>
            </w:r>
          </w:p>
          <w:p w:rsidR="00B23DD3" w:rsidRDefault="00B23DD3" w:rsidP="00B23DD3">
            <w:pPr>
              <w:tabs>
                <w:tab w:val="left" w:pos="150"/>
              </w:tabs>
              <w:ind w:left="284"/>
              <w:jc w:val="right"/>
              <w:rPr>
                <w:rFonts w:ascii="Arial Narrow" w:hAnsi="Arial Narrow"/>
                <w:sz w:val="20"/>
              </w:rPr>
            </w:pPr>
            <w:r>
              <w:rPr>
                <w:rFonts w:ascii="Arial Narrow" w:hAnsi="Arial Narrow"/>
                <w:sz w:val="20"/>
              </w:rPr>
              <w:t>Headache</w:t>
            </w:r>
          </w:p>
          <w:p w:rsidR="00B23DD3" w:rsidRPr="00E2771E" w:rsidRDefault="00B23DD3" w:rsidP="00B23DD3">
            <w:pPr>
              <w:jc w:val="right"/>
              <w:rPr>
                <w:rFonts w:ascii="Arial Narrow" w:hAnsi="Arial Narrow"/>
                <w:color w:val="000000"/>
                <w:sz w:val="20"/>
                <w:szCs w:val="18"/>
              </w:rPr>
            </w:pPr>
            <w:r>
              <w:rPr>
                <w:rFonts w:ascii="Arial Narrow" w:hAnsi="Arial Narrow"/>
                <w:sz w:val="20"/>
              </w:rPr>
              <w:t>Somnolence</w:t>
            </w:r>
          </w:p>
        </w:tc>
        <w:tc>
          <w:tcPr>
            <w:tcW w:w="671" w:type="pct"/>
          </w:tcPr>
          <w:p w:rsidR="00B23DD3" w:rsidRDefault="00B23DD3" w:rsidP="005D616E">
            <w:pPr>
              <w:jc w:val="center"/>
              <w:rPr>
                <w:rFonts w:ascii="Arial Narrow" w:hAnsi="Arial Narrow"/>
                <w:sz w:val="20"/>
              </w:rPr>
            </w:pPr>
            <w:r>
              <w:rPr>
                <w:rFonts w:ascii="Arial Narrow" w:hAnsi="Arial Narrow"/>
                <w:sz w:val="20"/>
              </w:rPr>
              <w:t>14</w:t>
            </w:r>
            <w:r w:rsidR="00E82D3B">
              <w:rPr>
                <w:rFonts w:ascii="Arial Narrow" w:hAnsi="Arial Narrow"/>
                <w:sz w:val="20"/>
              </w:rPr>
              <w:t xml:space="preserve"> </w:t>
            </w:r>
            <w:r>
              <w:rPr>
                <w:rFonts w:ascii="Arial Narrow" w:hAnsi="Arial Narrow"/>
                <w:sz w:val="20"/>
              </w:rPr>
              <w:t>(13)</w:t>
            </w:r>
          </w:p>
          <w:p w:rsidR="00B23DD3" w:rsidRDefault="00B23DD3" w:rsidP="005D616E">
            <w:pPr>
              <w:jc w:val="center"/>
              <w:rPr>
                <w:rFonts w:ascii="Arial Narrow" w:hAnsi="Arial Narrow"/>
                <w:sz w:val="20"/>
              </w:rPr>
            </w:pPr>
            <w:r>
              <w:rPr>
                <w:rFonts w:ascii="Arial Narrow" w:hAnsi="Arial Narrow"/>
                <w:sz w:val="20"/>
              </w:rPr>
              <w:t>4</w:t>
            </w:r>
            <w:r w:rsidR="00E82D3B">
              <w:rPr>
                <w:rFonts w:ascii="Arial Narrow" w:hAnsi="Arial Narrow"/>
                <w:sz w:val="20"/>
              </w:rPr>
              <w:t xml:space="preserve"> </w:t>
            </w:r>
            <w:r>
              <w:rPr>
                <w:rFonts w:ascii="Arial Narrow" w:hAnsi="Arial Narrow"/>
                <w:sz w:val="20"/>
              </w:rPr>
              <w:t>(4)</w:t>
            </w:r>
          </w:p>
          <w:p w:rsidR="00B23DD3" w:rsidRPr="004E2ADC" w:rsidRDefault="00B23DD3" w:rsidP="005D616E">
            <w:pPr>
              <w:jc w:val="center"/>
              <w:rPr>
                <w:rFonts w:ascii="Arial Narrow" w:hAnsi="Arial Narrow"/>
                <w:sz w:val="20"/>
              </w:rPr>
            </w:pPr>
            <w:r>
              <w:rPr>
                <w:rFonts w:ascii="Arial Narrow" w:hAnsi="Arial Narrow"/>
                <w:sz w:val="20"/>
              </w:rPr>
              <w:t>3</w:t>
            </w:r>
            <w:r w:rsidR="00E82D3B">
              <w:rPr>
                <w:rFonts w:ascii="Arial Narrow" w:hAnsi="Arial Narrow"/>
                <w:sz w:val="20"/>
              </w:rPr>
              <w:t xml:space="preserve"> </w:t>
            </w:r>
            <w:r>
              <w:rPr>
                <w:rFonts w:ascii="Arial Narrow" w:hAnsi="Arial Narrow"/>
                <w:sz w:val="20"/>
              </w:rPr>
              <w:t>(3)</w:t>
            </w:r>
          </w:p>
        </w:tc>
        <w:tc>
          <w:tcPr>
            <w:tcW w:w="671" w:type="pct"/>
          </w:tcPr>
          <w:p w:rsidR="00B23DD3" w:rsidRDefault="00B23DD3" w:rsidP="005D616E">
            <w:pPr>
              <w:jc w:val="center"/>
              <w:rPr>
                <w:rFonts w:ascii="Arial Narrow" w:hAnsi="Arial Narrow"/>
                <w:sz w:val="20"/>
              </w:rPr>
            </w:pPr>
            <w:r>
              <w:rPr>
                <w:rFonts w:ascii="Arial Narrow" w:hAnsi="Arial Narrow"/>
                <w:sz w:val="20"/>
              </w:rPr>
              <w:t>0</w:t>
            </w:r>
            <w:r w:rsidR="00E82D3B">
              <w:rPr>
                <w:rFonts w:ascii="Arial Narrow" w:hAnsi="Arial Narrow"/>
                <w:sz w:val="20"/>
              </w:rPr>
              <w:t xml:space="preserve"> </w:t>
            </w:r>
            <w:r>
              <w:rPr>
                <w:rFonts w:ascii="Arial Narrow" w:hAnsi="Arial Narrow"/>
                <w:sz w:val="20"/>
              </w:rPr>
              <w:t>(0)</w:t>
            </w:r>
          </w:p>
          <w:p w:rsidR="00B23DD3" w:rsidRDefault="00B23DD3" w:rsidP="005D616E">
            <w:pPr>
              <w:jc w:val="center"/>
              <w:rPr>
                <w:rFonts w:ascii="Arial Narrow" w:hAnsi="Arial Narrow"/>
                <w:sz w:val="20"/>
              </w:rPr>
            </w:pPr>
            <w:r>
              <w:rPr>
                <w:rFonts w:ascii="Arial Narrow" w:hAnsi="Arial Narrow"/>
                <w:sz w:val="20"/>
              </w:rPr>
              <w:t>0</w:t>
            </w:r>
            <w:r w:rsidR="00E82D3B">
              <w:rPr>
                <w:rFonts w:ascii="Arial Narrow" w:hAnsi="Arial Narrow"/>
                <w:sz w:val="20"/>
              </w:rPr>
              <w:t xml:space="preserve"> </w:t>
            </w:r>
            <w:r>
              <w:rPr>
                <w:rFonts w:ascii="Arial Narrow" w:hAnsi="Arial Narrow"/>
                <w:sz w:val="20"/>
              </w:rPr>
              <w:t>(0)</w:t>
            </w:r>
          </w:p>
          <w:p w:rsidR="00B23DD3" w:rsidRPr="004E2ADC" w:rsidRDefault="00B23DD3" w:rsidP="005D616E">
            <w:pPr>
              <w:jc w:val="center"/>
              <w:rPr>
                <w:rFonts w:ascii="Arial Narrow" w:hAnsi="Arial Narrow"/>
                <w:sz w:val="20"/>
              </w:rPr>
            </w:pPr>
            <w:r>
              <w:rPr>
                <w:rFonts w:ascii="Arial Narrow" w:hAnsi="Arial Narrow"/>
                <w:sz w:val="20"/>
              </w:rPr>
              <w:t>0</w:t>
            </w:r>
            <w:r w:rsidR="00E82D3B">
              <w:rPr>
                <w:rFonts w:ascii="Arial Narrow" w:hAnsi="Arial Narrow"/>
                <w:sz w:val="20"/>
              </w:rPr>
              <w:t xml:space="preserve"> </w:t>
            </w:r>
            <w:r>
              <w:rPr>
                <w:rFonts w:ascii="Arial Narrow" w:hAnsi="Arial Narrow"/>
                <w:sz w:val="20"/>
              </w:rPr>
              <w:t>(0)</w:t>
            </w:r>
          </w:p>
        </w:tc>
        <w:tc>
          <w:tcPr>
            <w:tcW w:w="918" w:type="pct"/>
          </w:tcPr>
          <w:p w:rsidR="00B23DD3" w:rsidRPr="00B10EB3" w:rsidRDefault="00B23DD3" w:rsidP="005D616E">
            <w:pPr>
              <w:jc w:val="center"/>
              <w:rPr>
                <w:rFonts w:ascii="Arial Narrow" w:hAnsi="Arial Narrow"/>
                <w:b/>
                <w:bCs/>
                <w:i/>
                <w:iCs/>
                <w:sz w:val="20"/>
              </w:rPr>
            </w:pPr>
            <w:r w:rsidRPr="00B10EB3">
              <w:rPr>
                <w:rFonts w:ascii="Arial Narrow" w:hAnsi="Arial Narrow"/>
                <w:b/>
                <w:bCs/>
                <w:i/>
                <w:iCs/>
                <w:sz w:val="20"/>
              </w:rPr>
              <w:t>14.64 (1.93, inf)</w:t>
            </w:r>
          </w:p>
          <w:p w:rsidR="00B23DD3" w:rsidRPr="00B10EB3" w:rsidRDefault="00B23DD3" w:rsidP="005D616E">
            <w:pPr>
              <w:jc w:val="center"/>
              <w:rPr>
                <w:rFonts w:ascii="Arial Narrow" w:hAnsi="Arial Narrow"/>
                <w:i/>
                <w:iCs/>
                <w:sz w:val="20"/>
              </w:rPr>
            </w:pPr>
            <w:r w:rsidRPr="00B10EB3">
              <w:rPr>
                <w:rFonts w:ascii="Arial Narrow" w:hAnsi="Arial Narrow"/>
                <w:i/>
                <w:iCs/>
                <w:sz w:val="20"/>
              </w:rPr>
              <w:t>4.54 (0.54,inf)</w:t>
            </w:r>
          </w:p>
          <w:p w:rsidR="00B23DD3" w:rsidRPr="00B10EB3" w:rsidRDefault="00B23DD3" w:rsidP="005D616E">
            <w:pPr>
              <w:jc w:val="center"/>
              <w:rPr>
                <w:rFonts w:ascii="Arial Narrow" w:hAnsi="Arial Narrow"/>
                <w:i/>
                <w:iCs/>
                <w:sz w:val="20"/>
              </w:rPr>
            </w:pPr>
            <w:r w:rsidRPr="00B10EB3">
              <w:rPr>
                <w:rFonts w:ascii="Arial Narrow" w:hAnsi="Arial Narrow"/>
                <w:i/>
                <w:iCs/>
                <w:sz w:val="20"/>
              </w:rPr>
              <w:t>3.53 (0.40, inf)</w:t>
            </w:r>
          </w:p>
        </w:tc>
        <w:tc>
          <w:tcPr>
            <w:tcW w:w="668" w:type="pct"/>
            <w:vAlign w:val="center"/>
          </w:tcPr>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13</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4</w:t>
            </w:r>
          </w:p>
          <w:p w:rsidR="00B23DD3" w:rsidRPr="00E2771E" w:rsidRDefault="00B23DD3" w:rsidP="00EC00C9">
            <w:pPr>
              <w:jc w:val="center"/>
              <w:rPr>
                <w:rFonts w:ascii="Arial Narrow" w:hAnsi="Arial Narrow"/>
                <w:color w:val="000000"/>
                <w:sz w:val="20"/>
                <w:szCs w:val="18"/>
              </w:rPr>
            </w:pPr>
            <w:r>
              <w:rPr>
                <w:rFonts w:ascii="Arial Narrow" w:hAnsi="Arial Narrow"/>
                <w:color w:val="000000"/>
                <w:sz w:val="20"/>
                <w:szCs w:val="18"/>
              </w:rPr>
              <w:t>3</w:t>
            </w:r>
          </w:p>
        </w:tc>
        <w:tc>
          <w:tcPr>
            <w:tcW w:w="634" w:type="pct"/>
            <w:vAlign w:val="center"/>
          </w:tcPr>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0</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0</w:t>
            </w:r>
          </w:p>
          <w:p w:rsidR="00B23DD3" w:rsidRPr="00E2771E" w:rsidRDefault="00B23DD3" w:rsidP="00EC00C9">
            <w:pPr>
              <w:jc w:val="center"/>
              <w:rPr>
                <w:rFonts w:ascii="Arial Narrow" w:hAnsi="Arial Narrow"/>
                <w:color w:val="000000"/>
                <w:sz w:val="20"/>
                <w:szCs w:val="18"/>
              </w:rPr>
            </w:pPr>
            <w:r>
              <w:rPr>
                <w:rFonts w:ascii="Arial Narrow" w:hAnsi="Arial Narrow"/>
                <w:color w:val="000000"/>
                <w:sz w:val="20"/>
                <w:szCs w:val="18"/>
              </w:rPr>
              <w:t>0</w:t>
            </w:r>
          </w:p>
        </w:tc>
        <w:tc>
          <w:tcPr>
            <w:tcW w:w="668" w:type="pct"/>
            <w:vAlign w:val="center"/>
          </w:tcPr>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13.2 (6.1, 21)</w:t>
            </w:r>
          </w:p>
          <w:p w:rsidR="00B23DD3" w:rsidRDefault="00B23DD3" w:rsidP="00EC00C9">
            <w:pPr>
              <w:jc w:val="center"/>
              <w:rPr>
                <w:rFonts w:ascii="Arial Narrow" w:hAnsi="Arial Narrow"/>
                <w:color w:val="000000"/>
                <w:sz w:val="20"/>
                <w:szCs w:val="18"/>
              </w:rPr>
            </w:pPr>
            <w:r>
              <w:rPr>
                <w:rFonts w:ascii="Arial Narrow" w:hAnsi="Arial Narrow"/>
                <w:color w:val="000000"/>
                <w:sz w:val="20"/>
                <w:szCs w:val="18"/>
              </w:rPr>
              <w:t>3.8 (-3.1, 9.3)</w:t>
            </w:r>
          </w:p>
          <w:p w:rsidR="00B23DD3" w:rsidRPr="00E2771E" w:rsidRDefault="00B23DD3" w:rsidP="00EC00C9">
            <w:pPr>
              <w:jc w:val="center"/>
              <w:rPr>
                <w:rFonts w:ascii="Arial Narrow" w:hAnsi="Arial Narrow"/>
                <w:color w:val="000000"/>
                <w:sz w:val="20"/>
                <w:szCs w:val="18"/>
              </w:rPr>
            </w:pPr>
            <w:r>
              <w:rPr>
                <w:rFonts w:ascii="Arial Narrow" w:hAnsi="Arial Narrow"/>
                <w:color w:val="000000"/>
                <w:sz w:val="20"/>
                <w:szCs w:val="18"/>
              </w:rPr>
              <w:t>2.8 (-4.8,8.0)</w:t>
            </w:r>
          </w:p>
        </w:tc>
      </w:tr>
    </w:tbl>
    <w:p w:rsidR="00B62715" w:rsidRPr="0072416F" w:rsidRDefault="00B62715" w:rsidP="00B23DD3">
      <w:pPr>
        <w:pStyle w:val="TableFooter"/>
        <w:ind w:left="720"/>
      </w:pPr>
      <w:r w:rsidRPr="0072416F">
        <w:t xml:space="preserve">* </w:t>
      </w:r>
      <w:r w:rsidR="00B23DD3">
        <w:t xml:space="preserve">Mean (SD) duration of follow-up was 421.4 (35.23) days for </w:t>
      </w:r>
      <w:r w:rsidR="008B68AA">
        <w:t>eliglustat and</w:t>
      </w:r>
      <w:r w:rsidR="00B23DD3">
        <w:t xml:space="preserve"> 404.4 (33.29) days for imiglucerase </w:t>
      </w:r>
    </w:p>
    <w:p w:rsidR="00B62715" w:rsidRPr="0072416F" w:rsidRDefault="005D616E" w:rsidP="005D616E">
      <w:pPr>
        <w:pStyle w:val="TableFooter"/>
        <w:ind w:firstLine="720"/>
      </w:pPr>
      <w:r>
        <w:t>Abbreviations</w:t>
      </w:r>
      <w:r w:rsidR="00B62715" w:rsidRPr="0072416F">
        <w:t xml:space="preserve"> RD = risk difference; RR = risk ratio</w:t>
      </w:r>
    </w:p>
    <w:p w:rsidR="005D616E" w:rsidRDefault="005D616E" w:rsidP="005D616E">
      <w:pPr>
        <w:pStyle w:val="TableFooter"/>
        <w:tabs>
          <w:tab w:val="left" w:pos="284"/>
        </w:tabs>
        <w:ind w:left="709"/>
      </w:pPr>
      <w:r>
        <w:t>Text in italics indicate values calculated during evaluation using StatsDirect v2.7.8</w:t>
      </w:r>
    </w:p>
    <w:p w:rsidR="005D616E" w:rsidRDefault="005D616E" w:rsidP="005D616E">
      <w:pPr>
        <w:pStyle w:val="TableFooter"/>
        <w:ind w:left="709"/>
      </w:pPr>
      <w:r>
        <w:t xml:space="preserve">Text in bold indicates statistically significant differences </w:t>
      </w:r>
    </w:p>
    <w:p w:rsidR="005D616E" w:rsidRPr="00415FAD" w:rsidRDefault="005D616E" w:rsidP="005D616E">
      <w:pPr>
        <w:pStyle w:val="TableFooter"/>
        <w:ind w:left="709"/>
      </w:pPr>
      <w:r w:rsidRPr="00D13A3E">
        <w:t xml:space="preserve">Source: </w:t>
      </w:r>
      <w:r>
        <w:t xml:space="preserve">Table 37, p90 of the submission </w:t>
      </w:r>
      <w:r w:rsidRPr="00415FAD">
        <w:rPr>
          <w:i/>
        </w:rPr>
        <w:t>and Table 11-5, pp130-132 of ENCORE CSR</w:t>
      </w:r>
    </w:p>
    <w:p w:rsidR="00B60939" w:rsidRPr="00882085" w:rsidRDefault="00B60939" w:rsidP="004B1CB4"/>
    <w:p w:rsidR="005C7B1E" w:rsidRPr="005C7B1E" w:rsidRDefault="005D616E" w:rsidP="001D15DC">
      <w:pPr>
        <w:pStyle w:val="BodyText"/>
        <w:widowControl/>
        <w:numPr>
          <w:ilvl w:val="1"/>
          <w:numId w:val="31"/>
        </w:numPr>
        <w:jc w:val="both"/>
        <w:rPr>
          <w:szCs w:val="22"/>
        </w:rPr>
      </w:pPr>
      <w:r>
        <w:t xml:space="preserve">On the basis of </w:t>
      </w:r>
      <w:r w:rsidR="00EC00C9" w:rsidRPr="00CF6EE4">
        <w:t>direct</w:t>
      </w:r>
      <w:r>
        <w:t xml:space="preserve"> </w:t>
      </w:r>
      <w:r w:rsidR="00EC00C9" w:rsidRPr="00CF6EE4">
        <w:t>evidence presented by the submission</w:t>
      </w:r>
      <w:r>
        <w:t xml:space="preserve"> in ENCORE</w:t>
      </w:r>
      <w:r w:rsidR="00EC00C9" w:rsidRPr="00CF6EE4">
        <w:t xml:space="preserve">, for every 100 patients treated with </w:t>
      </w:r>
      <w:r>
        <w:t>eliglustat</w:t>
      </w:r>
      <w:r w:rsidR="00EC00C9" w:rsidRPr="00CF6EE4">
        <w:t xml:space="preserve"> in comparison to </w:t>
      </w:r>
      <w:r>
        <w:t>imiglucerase</w:t>
      </w:r>
      <w:r w:rsidR="005C7B1E">
        <w:t>:</w:t>
      </w:r>
    </w:p>
    <w:p w:rsidR="005C7B1E" w:rsidRPr="00AA1839" w:rsidRDefault="006D50AD" w:rsidP="005C7B1E">
      <w:pPr>
        <w:pStyle w:val="ListParagraph"/>
        <w:widowControl/>
        <w:numPr>
          <w:ilvl w:val="0"/>
          <w:numId w:val="7"/>
        </w:numPr>
        <w:ind w:left="993" w:hanging="284"/>
      </w:pPr>
      <w:r w:rsidRPr="00AA1839">
        <w:t xml:space="preserve">Approximately 9 </w:t>
      </w:r>
      <w:r w:rsidR="007E5C53" w:rsidRPr="00AA1839">
        <w:t>fewer</w:t>
      </w:r>
      <w:r w:rsidRPr="00AA1839">
        <w:t xml:space="preserve"> patients would be stable at week 52</w:t>
      </w:r>
      <w:r w:rsidR="00F60C98" w:rsidRPr="00AA1839">
        <w:t>;</w:t>
      </w:r>
    </w:p>
    <w:p w:rsidR="006D50AD" w:rsidRPr="00AA1839" w:rsidRDefault="006D50AD" w:rsidP="005C7B1E">
      <w:pPr>
        <w:pStyle w:val="ListParagraph"/>
        <w:widowControl/>
        <w:numPr>
          <w:ilvl w:val="0"/>
          <w:numId w:val="7"/>
        </w:numPr>
        <w:ind w:left="993" w:hanging="284"/>
      </w:pPr>
      <w:r w:rsidRPr="00AA1839">
        <w:t xml:space="preserve">Approximately 5 </w:t>
      </w:r>
      <w:r w:rsidR="007E5C53" w:rsidRPr="00AA1839">
        <w:t>fewer</w:t>
      </w:r>
      <w:r w:rsidRPr="00AA1839">
        <w:t xml:space="preserve"> patients would have haemoglobin levels that </w:t>
      </w:r>
      <w:r w:rsidR="007E5C53" w:rsidRPr="00AA1839">
        <w:t xml:space="preserve">had </w:t>
      </w:r>
      <w:r w:rsidR="00F60C98" w:rsidRPr="00AA1839">
        <w:t>not decrease</w:t>
      </w:r>
      <w:r w:rsidR="007E5C53" w:rsidRPr="00AA1839">
        <w:t>d</w:t>
      </w:r>
      <w:r w:rsidRPr="00AA1839">
        <w:rPr>
          <w:rFonts w:ascii="Arial Narrow" w:hAnsi="Arial Narrow"/>
          <w:sz w:val="20"/>
        </w:rPr>
        <w:t xml:space="preserve"> </w:t>
      </w:r>
      <w:r w:rsidRPr="00AA1839">
        <w:rPr>
          <w:szCs w:val="22"/>
        </w:rPr>
        <w:t>from &gt;</w:t>
      </w:r>
      <w:r w:rsidR="00BC71A8" w:rsidRPr="00AA1839">
        <w:rPr>
          <w:szCs w:val="22"/>
        </w:rPr>
        <w:t> </w:t>
      </w:r>
      <w:r w:rsidRPr="00AA1839">
        <w:rPr>
          <w:szCs w:val="22"/>
        </w:rPr>
        <w:t>1.5</w:t>
      </w:r>
      <w:r w:rsidR="007E5C53" w:rsidRPr="00AA1839">
        <w:rPr>
          <w:szCs w:val="22"/>
        </w:rPr>
        <w:t> </w:t>
      </w:r>
      <w:r w:rsidRPr="00AA1839">
        <w:rPr>
          <w:szCs w:val="22"/>
        </w:rPr>
        <w:t xml:space="preserve">g/dL from </w:t>
      </w:r>
      <w:r w:rsidR="00325B64" w:rsidRPr="00AA1839">
        <w:rPr>
          <w:szCs w:val="22"/>
        </w:rPr>
        <w:t>b</w:t>
      </w:r>
      <w:r w:rsidRPr="00AA1839">
        <w:rPr>
          <w:szCs w:val="22"/>
        </w:rPr>
        <w:t>aseline</w:t>
      </w:r>
      <w:r w:rsidR="00F60C98" w:rsidRPr="00AA1839">
        <w:rPr>
          <w:szCs w:val="22"/>
        </w:rPr>
        <w:t xml:space="preserve"> </w:t>
      </w:r>
      <w:r w:rsidR="007E5C53" w:rsidRPr="00AA1839">
        <w:rPr>
          <w:szCs w:val="22"/>
        </w:rPr>
        <w:t xml:space="preserve">by </w:t>
      </w:r>
      <w:r w:rsidR="00F60C98" w:rsidRPr="00AA1839">
        <w:rPr>
          <w:szCs w:val="22"/>
        </w:rPr>
        <w:t>week 52;</w:t>
      </w:r>
    </w:p>
    <w:p w:rsidR="006D50AD" w:rsidRPr="00AA1839" w:rsidRDefault="006D50AD" w:rsidP="005C7B1E">
      <w:pPr>
        <w:pStyle w:val="ListParagraph"/>
        <w:widowControl/>
        <w:numPr>
          <w:ilvl w:val="0"/>
          <w:numId w:val="7"/>
        </w:numPr>
        <w:ind w:left="993" w:hanging="284"/>
      </w:pPr>
      <w:r w:rsidRPr="00AA1839">
        <w:rPr>
          <w:szCs w:val="22"/>
        </w:rPr>
        <w:t xml:space="preserve">Approximately 7 </w:t>
      </w:r>
      <w:r w:rsidR="007E5C53" w:rsidRPr="00AA1839">
        <w:rPr>
          <w:szCs w:val="22"/>
        </w:rPr>
        <w:t>fewer</w:t>
      </w:r>
      <w:r w:rsidRPr="00AA1839">
        <w:rPr>
          <w:szCs w:val="22"/>
        </w:rPr>
        <w:t xml:space="preserve"> patients would have platelet counts that </w:t>
      </w:r>
      <w:r w:rsidR="007E5C53" w:rsidRPr="00AA1839">
        <w:rPr>
          <w:szCs w:val="22"/>
        </w:rPr>
        <w:t xml:space="preserve">had </w:t>
      </w:r>
      <w:r w:rsidR="00F60C98" w:rsidRPr="00AA1839">
        <w:rPr>
          <w:szCs w:val="22"/>
        </w:rPr>
        <w:t>not decrease</w:t>
      </w:r>
      <w:r w:rsidR="007E5C53" w:rsidRPr="00AA1839">
        <w:rPr>
          <w:szCs w:val="22"/>
        </w:rPr>
        <w:t>d</w:t>
      </w:r>
      <w:r w:rsidRPr="00AA1839">
        <w:rPr>
          <w:szCs w:val="22"/>
        </w:rPr>
        <w:t xml:space="preserve"> from &gt;</w:t>
      </w:r>
      <w:r w:rsidR="00BC71A8" w:rsidRPr="00AA1839">
        <w:rPr>
          <w:szCs w:val="22"/>
        </w:rPr>
        <w:t> </w:t>
      </w:r>
      <w:r w:rsidRPr="00AA1839">
        <w:rPr>
          <w:szCs w:val="22"/>
        </w:rPr>
        <w:t xml:space="preserve">25% from </w:t>
      </w:r>
      <w:r w:rsidR="00325B64" w:rsidRPr="00AA1839">
        <w:rPr>
          <w:szCs w:val="22"/>
        </w:rPr>
        <w:t>b</w:t>
      </w:r>
      <w:r w:rsidRPr="00AA1839">
        <w:rPr>
          <w:szCs w:val="22"/>
        </w:rPr>
        <w:t>aseline</w:t>
      </w:r>
      <w:r w:rsidR="00F60C98" w:rsidRPr="00AA1839">
        <w:rPr>
          <w:szCs w:val="22"/>
        </w:rPr>
        <w:t xml:space="preserve"> </w:t>
      </w:r>
      <w:r w:rsidR="007E5C53" w:rsidRPr="00AA1839">
        <w:rPr>
          <w:szCs w:val="22"/>
        </w:rPr>
        <w:t xml:space="preserve">by </w:t>
      </w:r>
      <w:r w:rsidR="00F60C98" w:rsidRPr="00AA1839">
        <w:rPr>
          <w:szCs w:val="22"/>
        </w:rPr>
        <w:t>week 52;</w:t>
      </w:r>
    </w:p>
    <w:p w:rsidR="00F60C98" w:rsidRPr="00AA1839" w:rsidRDefault="00F60C98" w:rsidP="005C7B1E">
      <w:pPr>
        <w:pStyle w:val="ListParagraph"/>
        <w:widowControl/>
        <w:numPr>
          <w:ilvl w:val="0"/>
          <w:numId w:val="7"/>
        </w:numPr>
        <w:ind w:left="993" w:hanging="284"/>
      </w:pPr>
      <w:r w:rsidRPr="00AA1839">
        <w:rPr>
          <w:szCs w:val="22"/>
        </w:rPr>
        <w:t xml:space="preserve">Approximately 4 </w:t>
      </w:r>
      <w:r w:rsidR="007E5C53" w:rsidRPr="00AA1839">
        <w:rPr>
          <w:szCs w:val="22"/>
        </w:rPr>
        <w:t>fewer</w:t>
      </w:r>
      <w:r w:rsidRPr="00AA1839">
        <w:rPr>
          <w:szCs w:val="22"/>
        </w:rPr>
        <w:t xml:space="preserve"> </w:t>
      </w:r>
      <w:r w:rsidR="007E5C53" w:rsidRPr="00AA1839">
        <w:rPr>
          <w:szCs w:val="22"/>
        </w:rPr>
        <w:t xml:space="preserve">non-splenectomised </w:t>
      </w:r>
      <w:r w:rsidRPr="00AA1839">
        <w:rPr>
          <w:szCs w:val="22"/>
        </w:rPr>
        <w:t xml:space="preserve">patients would have a spleen volume that </w:t>
      </w:r>
      <w:r w:rsidR="007E5C53" w:rsidRPr="00AA1839">
        <w:rPr>
          <w:szCs w:val="22"/>
        </w:rPr>
        <w:t xml:space="preserve">had </w:t>
      </w:r>
      <w:r w:rsidRPr="00AA1839">
        <w:rPr>
          <w:szCs w:val="22"/>
        </w:rPr>
        <w:t>not increase</w:t>
      </w:r>
      <w:r w:rsidR="007E5C53" w:rsidRPr="00AA1839">
        <w:rPr>
          <w:szCs w:val="22"/>
        </w:rPr>
        <w:t>d</w:t>
      </w:r>
      <w:r w:rsidRPr="00AA1839">
        <w:rPr>
          <w:szCs w:val="22"/>
        </w:rPr>
        <w:t xml:space="preserve"> &gt;</w:t>
      </w:r>
      <w:r w:rsidR="00BC71A8" w:rsidRPr="00AA1839">
        <w:rPr>
          <w:szCs w:val="22"/>
        </w:rPr>
        <w:t> </w:t>
      </w:r>
      <w:r w:rsidRPr="00AA1839">
        <w:rPr>
          <w:szCs w:val="22"/>
        </w:rPr>
        <w:t xml:space="preserve">25% from </w:t>
      </w:r>
      <w:r w:rsidR="007E5C53" w:rsidRPr="00AA1839">
        <w:rPr>
          <w:szCs w:val="22"/>
        </w:rPr>
        <w:t>b</w:t>
      </w:r>
      <w:r w:rsidRPr="00AA1839">
        <w:rPr>
          <w:szCs w:val="22"/>
        </w:rPr>
        <w:t xml:space="preserve">aseline </w:t>
      </w:r>
      <w:r w:rsidR="007E5C53" w:rsidRPr="00AA1839">
        <w:rPr>
          <w:szCs w:val="22"/>
        </w:rPr>
        <w:t xml:space="preserve">by </w:t>
      </w:r>
      <w:r w:rsidRPr="00AA1839">
        <w:rPr>
          <w:szCs w:val="22"/>
        </w:rPr>
        <w:t>week 52;</w:t>
      </w:r>
    </w:p>
    <w:p w:rsidR="00F60C98" w:rsidRPr="00AA1839" w:rsidRDefault="00F60C98" w:rsidP="005C7B1E">
      <w:pPr>
        <w:pStyle w:val="ListParagraph"/>
        <w:widowControl/>
        <w:numPr>
          <w:ilvl w:val="0"/>
          <w:numId w:val="7"/>
        </w:numPr>
        <w:ind w:left="993" w:hanging="284"/>
      </w:pPr>
      <w:r w:rsidRPr="00AA1839">
        <w:rPr>
          <w:szCs w:val="22"/>
        </w:rPr>
        <w:t xml:space="preserve">Approximately </w:t>
      </w:r>
      <w:r w:rsidR="00C95C4A" w:rsidRPr="00AA1839">
        <w:rPr>
          <w:szCs w:val="22"/>
        </w:rPr>
        <w:t>2</w:t>
      </w:r>
      <w:r w:rsidRPr="00AA1839">
        <w:rPr>
          <w:szCs w:val="22"/>
        </w:rPr>
        <w:t xml:space="preserve"> more patients would have a liver volume that </w:t>
      </w:r>
      <w:r w:rsidR="007E5C53" w:rsidRPr="00AA1839">
        <w:rPr>
          <w:szCs w:val="22"/>
        </w:rPr>
        <w:t xml:space="preserve">would </w:t>
      </w:r>
      <w:r w:rsidRPr="00AA1839">
        <w:rPr>
          <w:szCs w:val="22"/>
        </w:rPr>
        <w:t>not increase &gt;</w:t>
      </w:r>
      <w:r w:rsidR="00BC71A8" w:rsidRPr="00AA1839">
        <w:rPr>
          <w:szCs w:val="22"/>
        </w:rPr>
        <w:t> </w:t>
      </w:r>
      <w:r w:rsidRPr="00AA1839">
        <w:rPr>
          <w:szCs w:val="22"/>
        </w:rPr>
        <w:t xml:space="preserve">20% from </w:t>
      </w:r>
      <w:r w:rsidR="007E5C53" w:rsidRPr="00AA1839">
        <w:rPr>
          <w:szCs w:val="22"/>
        </w:rPr>
        <w:t>b</w:t>
      </w:r>
      <w:r w:rsidRPr="00AA1839">
        <w:rPr>
          <w:szCs w:val="22"/>
        </w:rPr>
        <w:t xml:space="preserve">aseline </w:t>
      </w:r>
      <w:r w:rsidR="007E5C53" w:rsidRPr="00AA1839">
        <w:rPr>
          <w:szCs w:val="22"/>
        </w:rPr>
        <w:t xml:space="preserve">by </w:t>
      </w:r>
      <w:r w:rsidRPr="00AA1839">
        <w:rPr>
          <w:szCs w:val="22"/>
        </w:rPr>
        <w:t>week 52;</w:t>
      </w:r>
    </w:p>
    <w:p w:rsidR="00FC1884" w:rsidRPr="00CF6EE4" w:rsidRDefault="005D616E" w:rsidP="005D616E">
      <w:pPr>
        <w:pStyle w:val="ListParagraph"/>
        <w:widowControl/>
        <w:numPr>
          <w:ilvl w:val="0"/>
          <w:numId w:val="7"/>
        </w:numPr>
        <w:ind w:left="993" w:hanging="284"/>
      </w:pPr>
      <w:r>
        <w:t>Approximately 17</w:t>
      </w:r>
      <w:r w:rsidR="00FC1884" w:rsidRPr="00CF6EE4">
        <w:t xml:space="preserve"> additional patients would have </w:t>
      </w:r>
      <w:r>
        <w:t>gastrointestinal disorders</w:t>
      </w:r>
      <w:r w:rsidR="00FC1884" w:rsidRPr="00CF6EE4">
        <w:t xml:space="preserve"> over a  </w:t>
      </w:r>
      <w:r>
        <w:t xml:space="preserve">mean </w:t>
      </w:r>
      <w:r w:rsidR="00FC1884" w:rsidRPr="00CF6EE4">
        <w:t>duration of follow-up</w:t>
      </w:r>
      <w:r>
        <w:t xml:space="preserve"> of 404.4 days to 421.4 days</w:t>
      </w:r>
      <w:r w:rsidR="005C7B1E">
        <w:t>; and</w:t>
      </w:r>
    </w:p>
    <w:p w:rsidR="00FC1884" w:rsidRDefault="005D616E" w:rsidP="005D616E">
      <w:pPr>
        <w:pStyle w:val="ListParagraph"/>
        <w:widowControl/>
        <w:numPr>
          <w:ilvl w:val="0"/>
          <w:numId w:val="7"/>
        </w:numPr>
        <w:ind w:left="993" w:hanging="284"/>
      </w:pPr>
      <w:r>
        <w:t>Approximately 13</w:t>
      </w:r>
      <w:r w:rsidR="00FC1884" w:rsidRPr="00CF6EE4">
        <w:t xml:space="preserve"> additional patients would have </w:t>
      </w:r>
      <w:r>
        <w:t>nervous system disorders</w:t>
      </w:r>
      <w:r w:rsidR="00FC1884" w:rsidRPr="00CF6EE4">
        <w:t xml:space="preserve"> </w:t>
      </w:r>
      <w:r w:rsidRPr="00CF6EE4">
        <w:t xml:space="preserve">over a </w:t>
      </w:r>
      <w:r>
        <w:t xml:space="preserve">mean </w:t>
      </w:r>
      <w:r w:rsidRPr="00CF6EE4">
        <w:t>duration of follow-up</w:t>
      </w:r>
      <w:r>
        <w:t xml:space="preserve"> of 404.4 days to 421.4 days</w:t>
      </w:r>
      <w:r w:rsidR="005C7B1E">
        <w:t>.</w:t>
      </w:r>
    </w:p>
    <w:p w:rsidR="00FC1884" w:rsidRPr="007E5C53" w:rsidRDefault="00FC1884" w:rsidP="007E5C53">
      <w:pPr>
        <w:rPr>
          <w:szCs w:val="22"/>
        </w:rPr>
      </w:pPr>
    </w:p>
    <w:p w:rsidR="003A44C2" w:rsidRDefault="003A44C2" w:rsidP="002C2775">
      <w:pPr>
        <w:pStyle w:val="Heading2"/>
        <w:rPr>
          <w:i/>
        </w:rPr>
      </w:pPr>
      <w:bookmarkStart w:id="24" w:name="_Toc419465018"/>
    </w:p>
    <w:p w:rsidR="003A44C2" w:rsidRDefault="003A44C2">
      <w:pPr>
        <w:widowControl/>
        <w:jc w:val="left"/>
        <w:rPr>
          <w:b/>
          <w:i/>
        </w:rPr>
      </w:pPr>
      <w:r>
        <w:rPr>
          <w:i/>
        </w:rPr>
        <w:br w:type="page"/>
      </w:r>
    </w:p>
    <w:p w:rsidR="00B60939" w:rsidRPr="002C2775" w:rsidRDefault="00B60939" w:rsidP="002C2775">
      <w:pPr>
        <w:pStyle w:val="Heading2"/>
        <w:rPr>
          <w:i/>
        </w:rPr>
      </w:pPr>
      <w:r w:rsidRPr="002C2775">
        <w:rPr>
          <w:i/>
        </w:rPr>
        <w:t>Clinical claim</w:t>
      </w:r>
      <w:bookmarkEnd w:id="24"/>
    </w:p>
    <w:p w:rsidR="00B60939" w:rsidRPr="00401FD5" w:rsidRDefault="00B60939" w:rsidP="00B60939">
      <w:pPr>
        <w:ind w:left="720" w:hanging="720"/>
        <w:rPr>
          <w:szCs w:val="22"/>
        </w:rPr>
      </w:pPr>
    </w:p>
    <w:p w:rsidR="00B60939" w:rsidRPr="006B7CEC" w:rsidRDefault="00401FD5" w:rsidP="00401FD5">
      <w:pPr>
        <w:pStyle w:val="BodyText"/>
        <w:widowControl/>
        <w:numPr>
          <w:ilvl w:val="1"/>
          <w:numId w:val="31"/>
        </w:numPr>
        <w:jc w:val="both"/>
        <w:rPr>
          <w:iCs/>
        </w:rPr>
      </w:pPr>
      <w:r w:rsidRPr="00401FD5">
        <w:t>The submission describe</w:t>
      </w:r>
      <w:r w:rsidR="005C7B1E">
        <w:t>d</w:t>
      </w:r>
      <w:r w:rsidRPr="00401FD5">
        <w:t xml:space="preserve"> eliglustat as non-inferior in terms of comparative effectiveness and non-inferior in terms of compara</w:t>
      </w:r>
      <w:r w:rsidR="007E5C53">
        <w:t>tive safety over imiglucerase.</w:t>
      </w:r>
      <w:r w:rsidR="006B7CEC">
        <w:t xml:space="preserve">  </w:t>
      </w:r>
      <w:r w:rsidRPr="006B7CEC">
        <w:rPr>
          <w:iCs/>
        </w:rPr>
        <w:t>Th</w:t>
      </w:r>
      <w:r w:rsidR="005E59D8">
        <w:rPr>
          <w:iCs/>
        </w:rPr>
        <w:t>ese</w:t>
      </w:r>
      <w:r w:rsidRPr="006B7CEC">
        <w:rPr>
          <w:iCs/>
        </w:rPr>
        <w:t xml:space="preserve"> claims </w:t>
      </w:r>
      <w:r w:rsidR="005E59D8">
        <w:rPr>
          <w:iCs/>
        </w:rPr>
        <w:t xml:space="preserve">were </w:t>
      </w:r>
      <w:r w:rsidRPr="006B7CEC">
        <w:rPr>
          <w:iCs/>
        </w:rPr>
        <w:t>not adequately supported as:</w:t>
      </w:r>
    </w:p>
    <w:p w:rsidR="00401FD5" w:rsidRPr="0009045E" w:rsidRDefault="00401FD5" w:rsidP="003676D1">
      <w:pPr>
        <w:pStyle w:val="ListParagraph"/>
        <w:numPr>
          <w:ilvl w:val="0"/>
          <w:numId w:val="26"/>
        </w:numPr>
        <w:ind w:left="1134" w:hanging="425"/>
        <w:rPr>
          <w:iCs/>
          <w:szCs w:val="22"/>
        </w:rPr>
      </w:pPr>
      <w:r w:rsidRPr="0009045E">
        <w:rPr>
          <w:iCs/>
          <w:szCs w:val="22"/>
        </w:rPr>
        <w:t xml:space="preserve">The definition of a “stable” response in ENCORE </w:t>
      </w:r>
      <w:r w:rsidR="00273B63">
        <w:rPr>
          <w:iCs/>
          <w:szCs w:val="22"/>
        </w:rPr>
        <w:t>wa</w:t>
      </w:r>
      <w:r w:rsidRPr="0009045E">
        <w:rPr>
          <w:iCs/>
          <w:szCs w:val="22"/>
        </w:rPr>
        <w:t>s broader and more relaxed compared to Kishnani et al 2009 and the non-inferiority margin of 25% assume</w:t>
      </w:r>
      <w:r w:rsidR="00C4205A">
        <w:rPr>
          <w:iCs/>
          <w:szCs w:val="22"/>
        </w:rPr>
        <w:t>d</w:t>
      </w:r>
      <w:r w:rsidRPr="0009045E">
        <w:rPr>
          <w:iCs/>
          <w:szCs w:val="22"/>
        </w:rPr>
        <w:t xml:space="preserve"> that eliglustat is 10% worse than imiglucerase, which may not be reasonable for a non-inferiority claim as no </w:t>
      </w:r>
      <w:r w:rsidR="00C4205A" w:rsidRPr="009901C2">
        <w:rPr>
          <w:iCs/>
          <w:szCs w:val="22"/>
        </w:rPr>
        <w:t>reasonable</w:t>
      </w:r>
      <w:r w:rsidR="00C4205A">
        <w:rPr>
          <w:iCs/>
          <w:szCs w:val="22"/>
        </w:rPr>
        <w:t xml:space="preserve"> </w:t>
      </w:r>
      <w:r w:rsidRPr="0009045E">
        <w:rPr>
          <w:iCs/>
          <w:szCs w:val="22"/>
        </w:rPr>
        <w:t>justification for a MCID was provided</w:t>
      </w:r>
      <w:r w:rsidR="00273B63">
        <w:rPr>
          <w:iCs/>
          <w:szCs w:val="22"/>
        </w:rPr>
        <w:t xml:space="preserve"> </w:t>
      </w:r>
      <w:r w:rsidR="00273B63" w:rsidRPr="00AA1839">
        <w:rPr>
          <w:iCs/>
          <w:szCs w:val="22"/>
        </w:rPr>
        <w:t>in either the submission or the PSCR.</w:t>
      </w:r>
    </w:p>
    <w:p w:rsidR="00401FD5" w:rsidRPr="0009045E" w:rsidRDefault="00401FD5" w:rsidP="003676D1">
      <w:pPr>
        <w:numPr>
          <w:ilvl w:val="0"/>
          <w:numId w:val="26"/>
        </w:numPr>
        <w:ind w:left="1134" w:hanging="425"/>
      </w:pPr>
      <w:r w:rsidRPr="0009045E">
        <w:t>Whilst ENCORE, the pivotal clinical trial, did demonstrate that eliglustat is likely to be non-inferior to imiglucerase in the ability to maintain therapeutic goals in GD1, the dose of eliglustat used in ENCORE is greater than that proposed by the submission for the PBS population and therefore it is unclear if the efficacy from ENCORE is applicable to the PBS population.</w:t>
      </w:r>
    </w:p>
    <w:p w:rsidR="00401FD5" w:rsidRPr="0009045E" w:rsidRDefault="00401FD5" w:rsidP="003676D1">
      <w:pPr>
        <w:numPr>
          <w:ilvl w:val="0"/>
          <w:numId w:val="26"/>
        </w:numPr>
        <w:ind w:left="1134" w:hanging="425"/>
      </w:pPr>
      <w:r w:rsidRPr="0009045E">
        <w:t>ENCORE demonstrated that patients treated with eliglustat had statistically significantly more treatment</w:t>
      </w:r>
      <w:r w:rsidR="00156742">
        <w:t>-</w:t>
      </w:r>
      <w:r w:rsidRPr="0009045E">
        <w:t>related adverse events than patients treated with imiglucerase, including severe events such as syncope, arrhythmias and cardiac conduction disorders.</w:t>
      </w:r>
    </w:p>
    <w:p w:rsidR="00B60939" w:rsidRDefault="00B60939" w:rsidP="00B60939">
      <w:pPr>
        <w:ind w:left="720" w:hanging="720"/>
        <w:rPr>
          <w:szCs w:val="22"/>
        </w:rPr>
      </w:pPr>
    </w:p>
    <w:p w:rsidR="001B264B" w:rsidRPr="001B264B" w:rsidRDefault="001B264B" w:rsidP="001B264B">
      <w:pPr>
        <w:pStyle w:val="BodyText"/>
        <w:widowControl/>
        <w:numPr>
          <w:ilvl w:val="1"/>
          <w:numId w:val="31"/>
        </w:numPr>
        <w:jc w:val="both"/>
        <w:rPr>
          <w:bCs/>
          <w:szCs w:val="22"/>
        </w:rPr>
      </w:pPr>
      <w:r w:rsidRPr="001B264B">
        <w:rPr>
          <w:bCs/>
          <w:szCs w:val="22"/>
        </w:rPr>
        <w:t>The PBAC considered that the claim of non-inferior comparative effectiveness was not adequately supported by the data.</w:t>
      </w:r>
    </w:p>
    <w:p w:rsidR="001B264B" w:rsidRPr="00682CAA" w:rsidRDefault="001B264B" w:rsidP="00682CAA">
      <w:pPr>
        <w:widowControl/>
        <w:rPr>
          <w:szCs w:val="22"/>
        </w:rPr>
      </w:pPr>
    </w:p>
    <w:p w:rsidR="001B264B" w:rsidRPr="00222855" w:rsidRDefault="001B264B" w:rsidP="001B264B">
      <w:pPr>
        <w:pStyle w:val="BodyText"/>
        <w:widowControl/>
        <w:numPr>
          <w:ilvl w:val="1"/>
          <w:numId w:val="31"/>
        </w:numPr>
        <w:jc w:val="both"/>
        <w:rPr>
          <w:szCs w:val="22"/>
        </w:rPr>
      </w:pPr>
      <w:r w:rsidRPr="00222855">
        <w:rPr>
          <w:szCs w:val="22"/>
        </w:rPr>
        <w:t>The PBA</w:t>
      </w:r>
      <w:r w:rsidR="009901C2" w:rsidRPr="00222855">
        <w:rPr>
          <w:szCs w:val="22"/>
        </w:rPr>
        <w:t xml:space="preserve">C considered that the claim of non-inferior safety </w:t>
      </w:r>
      <w:r w:rsidRPr="00222855">
        <w:rPr>
          <w:szCs w:val="22"/>
        </w:rPr>
        <w:t>was not adequately supported by the data.</w:t>
      </w:r>
    </w:p>
    <w:p w:rsidR="001B264B" w:rsidRPr="00882085" w:rsidRDefault="001B264B" w:rsidP="00B60939">
      <w:pPr>
        <w:ind w:left="720" w:hanging="720"/>
        <w:rPr>
          <w:szCs w:val="22"/>
        </w:rPr>
      </w:pPr>
    </w:p>
    <w:p w:rsidR="00B60939" w:rsidRPr="002C2775" w:rsidRDefault="00B60939" w:rsidP="002C2775">
      <w:pPr>
        <w:pStyle w:val="Heading2"/>
        <w:rPr>
          <w:i/>
        </w:rPr>
      </w:pPr>
      <w:bookmarkStart w:id="25" w:name="_Toc419465019"/>
      <w:r w:rsidRPr="002C2775">
        <w:rPr>
          <w:i/>
        </w:rPr>
        <w:t>Economic analysis</w:t>
      </w:r>
      <w:bookmarkEnd w:id="25"/>
    </w:p>
    <w:p w:rsidR="00B60939" w:rsidRPr="00401FD5" w:rsidRDefault="00B60939" w:rsidP="00B60939">
      <w:pPr>
        <w:ind w:left="720" w:hanging="720"/>
        <w:rPr>
          <w:szCs w:val="22"/>
        </w:rPr>
      </w:pPr>
    </w:p>
    <w:p w:rsidR="00B60939" w:rsidRPr="00401FD5" w:rsidRDefault="006B7CEC" w:rsidP="001D15DC">
      <w:pPr>
        <w:pStyle w:val="BodyText"/>
        <w:widowControl/>
        <w:numPr>
          <w:ilvl w:val="1"/>
          <w:numId w:val="31"/>
        </w:numPr>
        <w:jc w:val="both"/>
        <w:rPr>
          <w:szCs w:val="22"/>
        </w:rPr>
      </w:pPr>
      <w:r>
        <w:t>A cost-</w:t>
      </w:r>
      <w:r w:rsidR="00401FD5" w:rsidRPr="00401FD5">
        <w:t xml:space="preserve">minimisation </w:t>
      </w:r>
      <w:r>
        <w:t xml:space="preserve">analysis </w:t>
      </w:r>
      <w:r w:rsidR="00401FD5" w:rsidRPr="00401FD5">
        <w:t xml:space="preserve">against imiglucerase (as a representative for ERT) </w:t>
      </w:r>
      <w:r>
        <w:t>was presented by the submission.</w:t>
      </w:r>
    </w:p>
    <w:p w:rsidR="00275C5A" w:rsidRPr="0009045E" w:rsidRDefault="00275C5A" w:rsidP="00275C5A">
      <w:pPr>
        <w:widowControl/>
        <w:rPr>
          <w:szCs w:val="22"/>
        </w:rPr>
      </w:pPr>
    </w:p>
    <w:p w:rsidR="00C4205A" w:rsidRPr="00BD25A9" w:rsidRDefault="00A86E8B" w:rsidP="001D15DC">
      <w:pPr>
        <w:pStyle w:val="BodyText"/>
        <w:widowControl/>
        <w:numPr>
          <w:ilvl w:val="1"/>
          <w:numId w:val="31"/>
        </w:numPr>
        <w:jc w:val="both"/>
        <w:rPr>
          <w:szCs w:val="22"/>
        </w:rPr>
      </w:pPr>
      <w:r w:rsidRPr="00BD25A9">
        <w:t xml:space="preserve">The equi-effective doses </w:t>
      </w:r>
      <w:r w:rsidR="00D219A6" w:rsidRPr="00BD25A9">
        <w:t xml:space="preserve">were </w:t>
      </w:r>
      <w:r w:rsidRPr="00BD25A9">
        <w:t xml:space="preserve">estimated as </w:t>
      </w:r>
      <w:r w:rsidR="00D219A6" w:rsidRPr="00BD25A9">
        <w:rPr>
          <w:szCs w:val="22"/>
        </w:rPr>
        <w:t>ERT (imiglucerase or velaglucerase-alfa) 42.4</w:t>
      </w:r>
      <w:r w:rsidR="006B7CEC" w:rsidRPr="00BD25A9">
        <w:rPr>
          <w:szCs w:val="22"/>
        </w:rPr>
        <w:t> </w:t>
      </w:r>
      <w:r w:rsidR="00D219A6" w:rsidRPr="00BD25A9">
        <w:rPr>
          <w:szCs w:val="22"/>
        </w:rPr>
        <w:t xml:space="preserve">U/kg/fortnight </w:t>
      </w:r>
      <w:r w:rsidR="005D781F" w:rsidRPr="00BD25A9">
        <w:rPr>
          <w:szCs w:val="22"/>
        </w:rPr>
        <w:t>being</w:t>
      </w:r>
      <w:r w:rsidR="00D219A6" w:rsidRPr="00BD25A9">
        <w:rPr>
          <w:szCs w:val="22"/>
        </w:rPr>
        <w:t xml:space="preserve"> equi-effective to eliglustat 196.81</w:t>
      </w:r>
      <w:r w:rsidR="006B7CEC" w:rsidRPr="00BD25A9">
        <w:rPr>
          <w:szCs w:val="22"/>
        </w:rPr>
        <w:t> </w:t>
      </w:r>
      <w:r w:rsidR="00D219A6" w:rsidRPr="00BD25A9">
        <w:rPr>
          <w:szCs w:val="22"/>
        </w:rPr>
        <w:t>mg daily (2755.34</w:t>
      </w:r>
      <w:r w:rsidR="006B7CEC" w:rsidRPr="00BD25A9">
        <w:rPr>
          <w:szCs w:val="22"/>
        </w:rPr>
        <w:t> </w:t>
      </w:r>
      <w:r w:rsidR="00D219A6" w:rsidRPr="00BD25A9">
        <w:rPr>
          <w:szCs w:val="22"/>
        </w:rPr>
        <w:t xml:space="preserve">mg per fortnight). </w:t>
      </w:r>
      <w:r w:rsidR="00D219A6" w:rsidRPr="00BD25A9">
        <w:rPr>
          <w:color w:val="3366FF"/>
        </w:rPr>
        <w:t xml:space="preserve"> </w:t>
      </w:r>
      <w:r w:rsidR="00D219A6" w:rsidRPr="00BD25A9">
        <w:t>The dose of ERT was taken from the 52</w:t>
      </w:r>
      <w:r w:rsidR="006B7CEC" w:rsidRPr="00BD25A9">
        <w:t>-</w:t>
      </w:r>
      <w:r w:rsidR="00D219A6" w:rsidRPr="00BD25A9">
        <w:t xml:space="preserve">week mean dose of imiglucerase in ENCORE and the dose of eliglustat was taken from a weighted mean dose based on the estimated proportion of patients with poor versus intermediate/extensive metaboliser status based on the patients enrolled in ENCORE and ENGAGE with the recommended dose in the product information.  </w:t>
      </w:r>
      <w:r w:rsidR="00D219A6" w:rsidRPr="00BD25A9">
        <w:rPr>
          <w:iCs/>
        </w:rPr>
        <w:t xml:space="preserve">The dose equivalence may not be appropriate as the approach to estimating the dose for each drug is inconsistent.  The mean dose of eliglustat in ENCORE </w:t>
      </w:r>
      <w:r w:rsidR="00C4205A" w:rsidRPr="00BD25A9">
        <w:rPr>
          <w:iCs/>
        </w:rPr>
        <w:t>wa</w:t>
      </w:r>
      <w:r w:rsidR="00D219A6" w:rsidRPr="00BD25A9">
        <w:rPr>
          <w:iCs/>
        </w:rPr>
        <w:t>s calculated to be 228.3</w:t>
      </w:r>
      <w:r w:rsidR="006B7CEC" w:rsidRPr="00BD25A9">
        <w:rPr>
          <w:iCs/>
        </w:rPr>
        <w:t> </w:t>
      </w:r>
      <w:r w:rsidR="00D219A6" w:rsidRPr="00BD25A9">
        <w:rPr>
          <w:iCs/>
        </w:rPr>
        <w:t xml:space="preserve">mg daily, whilst the weighted mean Australian dose for imiglucerase (from years 1-10 post initiation of treatment) according to the ICGG registry </w:t>
      </w:r>
      <w:r w:rsidR="006B7CEC" w:rsidRPr="00BD25A9">
        <w:rPr>
          <w:iCs/>
        </w:rPr>
        <w:t>wa</w:t>
      </w:r>
      <w:r w:rsidR="00D219A6" w:rsidRPr="00BD25A9">
        <w:rPr>
          <w:iCs/>
        </w:rPr>
        <w:t>s 32.4</w:t>
      </w:r>
      <w:r w:rsidR="006B7CEC" w:rsidRPr="00BD25A9">
        <w:rPr>
          <w:iCs/>
        </w:rPr>
        <w:t> </w:t>
      </w:r>
      <w:r w:rsidR="00D219A6" w:rsidRPr="00BD25A9">
        <w:rPr>
          <w:iCs/>
        </w:rPr>
        <w:t>U/kg</w:t>
      </w:r>
      <w:r w:rsidR="00062C9A" w:rsidRPr="00BD25A9">
        <w:rPr>
          <w:iCs/>
        </w:rPr>
        <w:t>/fortnight</w:t>
      </w:r>
      <w:r w:rsidR="00D219A6" w:rsidRPr="00BD25A9">
        <w:rPr>
          <w:iCs/>
        </w:rPr>
        <w:t xml:space="preserve">.  </w:t>
      </w:r>
      <w:r w:rsidR="006B7CEC" w:rsidRPr="00BD25A9">
        <w:rPr>
          <w:iCs/>
        </w:rPr>
        <w:t xml:space="preserve">The </w:t>
      </w:r>
      <w:r w:rsidR="00E23594" w:rsidRPr="00BD25A9">
        <w:rPr>
          <w:iCs/>
        </w:rPr>
        <w:t xml:space="preserve">ESC noted that the </w:t>
      </w:r>
      <w:r w:rsidR="006B7CEC" w:rsidRPr="00BD25A9">
        <w:rPr>
          <w:iCs/>
        </w:rPr>
        <w:t>submission’s approach of adjusting the eliglustat do</w:t>
      </w:r>
      <w:r w:rsidR="003004E6" w:rsidRPr="00BD25A9">
        <w:rPr>
          <w:iCs/>
        </w:rPr>
        <w:t>s</w:t>
      </w:r>
      <w:r w:rsidR="006B7CEC" w:rsidRPr="00BD25A9">
        <w:rPr>
          <w:iCs/>
        </w:rPr>
        <w:t>e from the trial to reflect likely Australian usage</w:t>
      </w:r>
      <w:r w:rsidR="003004E6" w:rsidRPr="00BD25A9">
        <w:rPr>
          <w:iCs/>
        </w:rPr>
        <w:t>,</w:t>
      </w:r>
      <w:r w:rsidR="006B7CEC" w:rsidRPr="00BD25A9">
        <w:rPr>
          <w:iCs/>
        </w:rPr>
        <w:t xml:space="preserve"> but not </w:t>
      </w:r>
      <w:r w:rsidR="00C2787E" w:rsidRPr="00BD25A9">
        <w:rPr>
          <w:iCs/>
        </w:rPr>
        <w:t xml:space="preserve">adjusting </w:t>
      </w:r>
      <w:r w:rsidR="006B7CEC" w:rsidRPr="00BD25A9">
        <w:rPr>
          <w:iCs/>
        </w:rPr>
        <w:t>the imiglucerase do</w:t>
      </w:r>
      <w:r w:rsidR="00C2787E" w:rsidRPr="00BD25A9">
        <w:rPr>
          <w:iCs/>
        </w:rPr>
        <w:t>s</w:t>
      </w:r>
      <w:r w:rsidR="006B7CEC" w:rsidRPr="00BD25A9">
        <w:rPr>
          <w:iCs/>
        </w:rPr>
        <w:t>e was considered to be in</w:t>
      </w:r>
      <w:r w:rsidR="00D219A6" w:rsidRPr="00BD25A9">
        <w:rPr>
          <w:iCs/>
        </w:rPr>
        <w:t>consistent</w:t>
      </w:r>
      <w:r w:rsidR="006B7CEC" w:rsidRPr="00BD25A9">
        <w:rPr>
          <w:iCs/>
        </w:rPr>
        <w:t xml:space="preserve">. </w:t>
      </w:r>
      <w:r w:rsidR="00D219A6" w:rsidRPr="00BD25A9">
        <w:rPr>
          <w:iCs/>
        </w:rPr>
        <w:t xml:space="preserve"> </w:t>
      </w:r>
      <w:r w:rsidR="006B7CEC" w:rsidRPr="00BD25A9">
        <w:rPr>
          <w:iCs/>
        </w:rPr>
        <w:t xml:space="preserve">Alternative </w:t>
      </w:r>
      <w:r w:rsidR="00D219A6" w:rsidRPr="00BD25A9">
        <w:rPr>
          <w:iCs/>
        </w:rPr>
        <w:t>approach</w:t>
      </w:r>
      <w:r w:rsidR="006B7CEC" w:rsidRPr="00BD25A9">
        <w:rPr>
          <w:iCs/>
        </w:rPr>
        <w:t>es</w:t>
      </w:r>
      <w:r w:rsidR="00D219A6" w:rsidRPr="00BD25A9">
        <w:rPr>
          <w:iCs/>
        </w:rPr>
        <w:t xml:space="preserve"> would be to compare the </w:t>
      </w:r>
      <w:r w:rsidR="00C2787E" w:rsidRPr="00BD25A9">
        <w:rPr>
          <w:iCs/>
        </w:rPr>
        <w:t xml:space="preserve">likely Australian </w:t>
      </w:r>
      <w:r w:rsidR="00D219A6" w:rsidRPr="00BD25A9">
        <w:rPr>
          <w:iCs/>
        </w:rPr>
        <w:t>doses of eliglustat (196.8</w:t>
      </w:r>
      <w:r w:rsidR="00C2787E" w:rsidRPr="00BD25A9">
        <w:rPr>
          <w:iCs/>
        </w:rPr>
        <w:t> </w:t>
      </w:r>
      <w:r w:rsidR="00D219A6" w:rsidRPr="00BD25A9">
        <w:rPr>
          <w:iCs/>
        </w:rPr>
        <w:t>mg daily)</w:t>
      </w:r>
      <w:r w:rsidR="00C2787E" w:rsidRPr="00BD25A9">
        <w:rPr>
          <w:iCs/>
        </w:rPr>
        <w:t xml:space="preserve"> </w:t>
      </w:r>
      <w:r w:rsidR="00D219A6" w:rsidRPr="00BD25A9">
        <w:rPr>
          <w:iCs/>
        </w:rPr>
        <w:t>with imiglucerase (32.</w:t>
      </w:r>
      <w:r w:rsidR="0064340C" w:rsidRPr="00BD25A9">
        <w:rPr>
          <w:iCs/>
        </w:rPr>
        <w:t>4</w:t>
      </w:r>
      <w:r w:rsidR="00C2787E" w:rsidRPr="00BD25A9">
        <w:rPr>
          <w:iCs/>
        </w:rPr>
        <w:t> </w:t>
      </w:r>
      <w:r w:rsidR="0064340C" w:rsidRPr="00BD25A9">
        <w:rPr>
          <w:iCs/>
        </w:rPr>
        <w:t>U</w:t>
      </w:r>
      <w:r w:rsidR="00D219A6" w:rsidRPr="00BD25A9">
        <w:rPr>
          <w:iCs/>
        </w:rPr>
        <w:t>/kg</w:t>
      </w:r>
      <w:r w:rsidR="00C2787E" w:rsidRPr="00BD25A9">
        <w:rPr>
          <w:iCs/>
        </w:rPr>
        <w:t>/fortnight</w:t>
      </w:r>
      <w:r w:rsidR="00D219A6" w:rsidRPr="00BD25A9">
        <w:rPr>
          <w:iCs/>
        </w:rPr>
        <w:t>)</w:t>
      </w:r>
      <w:r w:rsidR="00C2787E" w:rsidRPr="00BD25A9">
        <w:rPr>
          <w:iCs/>
        </w:rPr>
        <w:t>, which would no longer provide assurance of equi-effectiveness,</w:t>
      </w:r>
      <w:r w:rsidR="00D219A6" w:rsidRPr="00BD25A9">
        <w:rPr>
          <w:iCs/>
        </w:rPr>
        <w:t xml:space="preserve"> OR to rely on the mean dose</w:t>
      </w:r>
      <w:r w:rsidR="00C2787E" w:rsidRPr="00BD25A9">
        <w:rPr>
          <w:iCs/>
        </w:rPr>
        <w:t>s</w:t>
      </w:r>
      <w:r w:rsidR="00D219A6" w:rsidRPr="00BD25A9">
        <w:rPr>
          <w:iCs/>
        </w:rPr>
        <w:t xml:space="preserve"> used in ENCORE, which </w:t>
      </w:r>
      <w:r w:rsidR="00C2787E" w:rsidRPr="00BD25A9">
        <w:rPr>
          <w:iCs/>
        </w:rPr>
        <w:t>were</w:t>
      </w:r>
      <w:r w:rsidR="00D219A6" w:rsidRPr="00BD25A9">
        <w:rPr>
          <w:iCs/>
        </w:rPr>
        <w:t xml:space="preserve"> 228.3</w:t>
      </w:r>
      <w:r w:rsidR="00BC71A8" w:rsidRPr="00BD25A9">
        <w:rPr>
          <w:iCs/>
        </w:rPr>
        <w:t> </w:t>
      </w:r>
      <w:r w:rsidR="00D219A6" w:rsidRPr="00BD25A9">
        <w:rPr>
          <w:iCs/>
        </w:rPr>
        <w:t>mg daily of eliglustat compared to 42.4</w:t>
      </w:r>
      <w:r w:rsidR="00C2787E" w:rsidRPr="00BD25A9">
        <w:rPr>
          <w:iCs/>
        </w:rPr>
        <w:t> </w:t>
      </w:r>
      <w:r w:rsidR="00D219A6" w:rsidRPr="00BD25A9">
        <w:rPr>
          <w:iCs/>
        </w:rPr>
        <w:t>U/kg</w:t>
      </w:r>
      <w:r w:rsidR="00C2787E" w:rsidRPr="00BD25A9">
        <w:rPr>
          <w:iCs/>
        </w:rPr>
        <w:t>/fortnight</w:t>
      </w:r>
      <w:r w:rsidR="00D219A6" w:rsidRPr="00BD25A9">
        <w:rPr>
          <w:iCs/>
        </w:rPr>
        <w:t xml:space="preserve"> of imiglucerase</w:t>
      </w:r>
      <w:r w:rsidR="00C2787E" w:rsidRPr="00BD25A9">
        <w:rPr>
          <w:iCs/>
        </w:rPr>
        <w:t xml:space="preserve"> (which more directly reflect the evidentiary basis for any PBAC conclusion of non-inferiority)</w:t>
      </w:r>
      <w:r w:rsidR="00D219A6" w:rsidRPr="00BD25A9">
        <w:rPr>
          <w:iCs/>
        </w:rPr>
        <w:t>.</w:t>
      </w:r>
    </w:p>
    <w:p w:rsidR="00C4205A" w:rsidRPr="00C4205A" w:rsidRDefault="00C4205A" w:rsidP="00E23594">
      <w:pPr>
        <w:pStyle w:val="BodyText"/>
        <w:widowControl/>
        <w:jc w:val="both"/>
        <w:rPr>
          <w:szCs w:val="22"/>
        </w:rPr>
      </w:pPr>
    </w:p>
    <w:p w:rsidR="00C4205A" w:rsidRPr="00211259" w:rsidRDefault="00C4205A" w:rsidP="00C4205A">
      <w:pPr>
        <w:pStyle w:val="BodyText"/>
        <w:widowControl/>
        <w:numPr>
          <w:ilvl w:val="1"/>
          <w:numId w:val="31"/>
        </w:numPr>
        <w:jc w:val="both"/>
        <w:rPr>
          <w:szCs w:val="22"/>
        </w:rPr>
      </w:pPr>
      <w:r w:rsidRPr="00211259">
        <w:rPr>
          <w:szCs w:val="22"/>
        </w:rPr>
        <w:t>The PSCR claimed that the dose equivalence of 196.81</w:t>
      </w:r>
      <w:r w:rsidR="00E23594" w:rsidRPr="00211259">
        <w:rPr>
          <w:szCs w:val="22"/>
        </w:rPr>
        <w:t> </w:t>
      </w:r>
      <w:r w:rsidRPr="00211259">
        <w:rPr>
          <w:szCs w:val="22"/>
        </w:rPr>
        <w:t>mg eliglustat daily to 42.4</w:t>
      </w:r>
      <w:r w:rsidR="00E23594" w:rsidRPr="00211259">
        <w:rPr>
          <w:szCs w:val="22"/>
        </w:rPr>
        <w:t> </w:t>
      </w:r>
      <w:r w:rsidRPr="00211259">
        <w:rPr>
          <w:szCs w:val="22"/>
        </w:rPr>
        <w:t>U/kg imiglucerase twice weekly was a “trial based relativity” based on ENCORE.  The ESC considered this to be inaccurate as the mean dose of eliglustat in ENCORE was 228.3</w:t>
      </w:r>
      <w:r w:rsidR="00E23594" w:rsidRPr="00211259">
        <w:rPr>
          <w:szCs w:val="22"/>
        </w:rPr>
        <w:t> </w:t>
      </w:r>
      <w:r w:rsidRPr="00211259">
        <w:rPr>
          <w:szCs w:val="22"/>
        </w:rPr>
        <w:t>mg</w:t>
      </w:r>
      <w:r w:rsidR="00BC71A8" w:rsidRPr="00211259">
        <w:rPr>
          <w:szCs w:val="22"/>
        </w:rPr>
        <w:t xml:space="preserve"> </w:t>
      </w:r>
      <w:r w:rsidRPr="00211259">
        <w:rPr>
          <w:szCs w:val="22"/>
        </w:rPr>
        <w:t>daily; 196.81</w:t>
      </w:r>
      <w:r w:rsidR="00BC71A8" w:rsidRPr="00211259">
        <w:rPr>
          <w:szCs w:val="22"/>
        </w:rPr>
        <w:t> </w:t>
      </w:r>
      <w:r w:rsidRPr="00211259">
        <w:rPr>
          <w:szCs w:val="22"/>
        </w:rPr>
        <w:t xml:space="preserve">mg was an ‘adjusted’ mean dose based </w:t>
      </w:r>
      <w:r w:rsidR="00E23594" w:rsidRPr="00211259">
        <w:rPr>
          <w:szCs w:val="22"/>
        </w:rPr>
        <w:t xml:space="preserve">on </w:t>
      </w:r>
      <w:r w:rsidRPr="00211259">
        <w:rPr>
          <w:szCs w:val="22"/>
        </w:rPr>
        <w:t>patient CYP2D6 metaboliser status and the TGA approved dosing regimen (100</w:t>
      </w:r>
      <w:r w:rsidR="00E23594" w:rsidRPr="00211259">
        <w:rPr>
          <w:szCs w:val="22"/>
        </w:rPr>
        <w:t> </w:t>
      </w:r>
      <w:r w:rsidRPr="00211259">
        <w:rPr>
          <w:szCs w:val="22"/>
        </w:rPr>
        <w:t>mg BD for intermediate/high metabolisers; 100</w:t>
      </w:r>
      <w:r w:rsidR="00E23594" w:rsidRPr="00211259">
        <w:rPr>
          <w:szCs w:val="22"/>
        </w:rPr>
        <w:t> </w:t>
      </w:r>
      <w:r w:rsidRPr="00211259">
        <w:rPr>
          <w:szCs w:val="22"/>
        </w:rPr>
        <w:t>mg D for poor metabolisers).  ENCORE d</w:t>
      </w:r>
      <w:r w:rsidR="00E23594" w:rsidRPr="00211259">
        <w:rPr>
          <w:szCs w:val="22"/>
        </w:rPr>
        <w:t>id</w:t>
      </w:r>
      <w:r w:rsidRPr="00211259">
        <w:rPr>
          <w:szCs w:val="22"/>
        </w:rPr>
        <w:t xml:space="preserve"> not directly provide evidence that 196.81</w:t>
      </w:r>
      <w:r w:rsidR="00E23594" w:rsidRPr="00211259">
        <w:rPr>
          <w:szCs w:val="22"/>
        </w:rPr>
        <w:t> </w:t>
      </w:r>
      <w:r w:rsidRPr="00211259">
        <w:rPr>
          <w:szCs w:val="22"/>
        </w:rPr>
        <w:t>mg eliglustat daily is equivalent to 42.4</w:t>
      </w:r>
      <w:r w:rsidR="00E23594" w:rsidRPr="00211259">
        <w:rPr>
          <w:szCs w:val="22"/>
        </w:rPr>
        <w:t> </w:t>
      </w:r>
      <w:r w:rsidRPr="00211259">
        <w:rPr>
          <w:szCs w:val="22"/>
        </w:rPr>
        <w:t>U/kg imiglucerase twice weekly.</w:t>
      </w:r>
    </w:p>
    <w:p w:rsidR="00E23594" w:rsidRPr="00211259" w:rsidRDefault="00E23594" w:rsidP="00E23594">
      <w:pPr>
        <w:pStyle w:val="BodyText"/>
        <w:widowControl/>
        <w:jc w:val="both"/>
        <w:rPr>
          <w:szCs w:val="22"/>
        </w:rPr>
      </w:pPr>
    </w:p>
    <w:p w:rsidR="004862CB" w:rsidRPr="00AA1839" w:rsidRDefault="00F375B1" w:rsidP="001D15DC">
      <w:pPr>
        <w:pStyle w:val="BodyText"/>
        <w:widowControl/>
        <w:numPr>
          <w:ilvl w:val="1"/>
          <w:numId w:val="31"/>
        </w:numPr>
        <w:jc w:val="both"/>
        <w:rPr>
          <w:szCs w:val="22"/>
        </w:rPr>
      </w:pPr>
      <w:r w:rsidRPr="00211259">
        <w:rPr>
          <w:iCs/>
        </w:rPr>
        <w:t xml:space="preserve">The ESC </w:t>
      </w:r>
      <w:r w:rsidR="00C4205A" w:rsidRPr="00211259">
        <w:rPr>
          <w:iCs/>
        </w:rPr>
        <w:t xml:space="preserve">thus </w:t>
      </w:r>
      <w:r w:rsidRPr="00211259">
        <w:rPr>
          <w:iCs/>
        </w:rPr>
        <w:t>considered that the equi-effective dose should be based on the ENCORE trial</w:t>
      </w:r>
      <w:r w:rsidR="00273B63" w:rsidRPr="00211259">
        <w:rPr>
          <w:iCs/>
        </w:rPr>
        <w:t xml:space="preserve"> as this was the highest standard of evidence available</w:t>
      </w:r>
      <w:r w:rsidRPr="00211259">
        <w:rPr>
          <w:iCs/>
        </w:rPr>
        <w:t>, whereby the equi-effective doses would be 228.3</w:t>
      </w:r>
      <w:r w:rsidR="00E23594" w:rsidRPr="00211259">
        <w:rPr>
          <w:iCs/>
        </w:rPr>
        <w:t> </w:t>
      </w:r>
      <w:r w:rsidRPr="00211259">
        <w:rPr>
          <w:iCs/>
        </w:rPr>
        <w:t>mg daily of eliglustat compared to 42.4</w:t>
      </w:r>
      <w:r w:rsidR="00E23594" w:rsidRPr="00211259">
        <w:rPr>
          <w:iCs/>
        </w:rPr>
        <w:t> </w:t>
      </w:r>
      <w:r w:rsidRPr="00211259">
        <w:rPr>
          <w:iCs/>
        </w:rPr>
        <w:t>U/kg imiglucerase</w:t>
      </w:r>
      <w:r w:rsidR="00FF3E55" w:rsidRPr="00211259">
        <w:rPr>
          <w:iCs/>
        </w:rPr>
        <w:t xml:space="preserve"> twice weekly</w:t>
      </w:r>
      <w:r w:rsidRPr="00211259">
        <w:rPr>
          <w:iCs/>
        </w:rPr>
        <w:t xml:space="preserve">. </w:t>
      </w:r>
      <w:r w:rsidR="00E23594" w:rsidRPr="00211259">
        <w:rPr>
          <w:iCs/>
        </w:rPr>
        <w:t xml:space="preserve"> </w:t>
      </w:r>
      <w:r w:rsidR="00FD67DE" w:rsidRPr="00211259">
        <w:rPr>
          <w:iCs/>
        </w:rPr>
        <w:t xml:space="preserve">The ESC noted, however, that these </w:t>
      </w:r>
      <w:r w:rsidR="00E23594" w:rsidRPr="00211259">
        <w:rPr>
          <w:iCs/>
        </w:rPr>
        <w:t xml:space="preserve">equi-effective </w:t>
      </w:r>
      <w:r w:rsidR="00FD67DE" w:rsidRPr="00211259">
        <w:rPr>
          <w:iCs/>
        </w:rPr>
        <w:t>doses</w:t>
      </w:r>
      <w:r w:rsidR="00FD67DE" w:rsidRPr="00AA1839">
        <w:rPr>
          <w:iCs/>
        </w:rPr>
        <w:t xml:space="preserve"> were higher than the TGA-recommended doses. </w:t>
      </w:r>
      <w:r w:rsidR="00E23594" w:rsidRPr="00AA1839">
        <w:rPr>
          <w:iCs/>
        </w:rPr>
        <w:t xml:space="preserve"> Given the uncertainty of the applicability of these doses to Australia and the low clinical need for a potentially inferior alternative, there is little basis to give benefit of the doubt to the sponsor.</w:t>
      </w:r>
    </w:p>
    <w:p w:rsidR="001D15DC" w:rsidRDefault="001D15DC" w:rsidP="00754A98">
      <w:pPr>
        <w:pStyle w:val="BodyText"/>
      </w:pPr>
    </w:p>
    <w:p w:rsidR="001D15DC" w:rsidRDefault="00D219A6" w:rsidP="00144DAE">
      <w:pPr>
        <w:pStyle w:val="Heading2"/>
        <w:rPr>
          <w:i/>
        </w:rPr>
      </w:pPr>
      <w:bookmarkStart w:id="26" w:name="_Toc419465020"/>
      <w:r>
        <w:rPr>
          <w:i/>
        </w:rPr>
        <w:t>Drug cost/patient/year</w:t>
      </w:r>
      <w:bookmarkEnd w:id="26"/>
    </w:p>
    <w:p w:rsidR="001D15DC" w:rsidRDefault="001D15DC" w:rsidP="001D15DC">
      <w:pPr>
        <w:pStyle w:val="BodyText"/>
      </w:pPr>
    </w:p>
    <w:p w:rsidR="00C25D9C" w:rsidRPr="009E674D" w:rsidRDefault="00C25D9C" w:rsidP="009E674D">
      <w:pPr>
        <w:pStyle w:val="BodyText"/>
        <w:widowControl/>
        <w:numPr>
          <w:ilvl w:val="1"/>
          <w:numId w:val="31"/>
        </w:numPr>
        <w:jc w:val="both"/>
      </w:pPr>
      <w:r w:rsidRPr="009E674D">
        <w:t>$</w:t>
      </w:r>
      <w:r w:rsidR="007B626C">
        <w:rPr>
          <w:noProof/>
          <w:color w:val="000000"/>
          <w:highlight w:val="black"/>
        </w:rPr>
        <w:t>'''''''''''''''''''</w:t>
      </w:r>
      <w:r w:rsidR="00994E94">
        <w:t xml:space="preserve"> </w:t>
      </w:r>
      <w:r w:rsidR="00641DBF" w:rsidRPr="009E674D">
        <w:t>(</w:t>
      </w:r>
      <w:r w:rsidR="00144DAE" w:rsidRPr="009E674D">
        <w:t xml:space="preserve">assuming </w:t>
      </w:r>
      <w:r w:rsidR="00641DBF" w:rsidRPr="009E674D">
        <w:t>100</w:t>
      </w:r>
      <w:r w:rsidR="00BC71A8">
        <w:t> </w:t>
      </w:r>
      <w:r w:rsidR="00641DBF" w:rsidRPr="009E674D">
        <w:t xml:space="preserve">mg BD and </w:t>
      </w:r>
      <w:r w:rsidR="00144DAE" w:rsidRPr="00994E94">
        <w:t>13</w:t>
      </w:r>
      <w:r w:rsidR="00144DAE" w:rsidRPr="009E674D">
        <w:t xml:space="preserve"> scripts per year</w:t>
      </w:r>
      <w:r w:rsidR="00641DBF" w:rsidRPr="009E674D">
        <w:t>)</w:t>
      </w:r>
      <w:r w:rsidR="00144DAE" w:rsidRPr="009E674D">
        <w:t xml:space="preserve"> compared with $</w:t>
      </w:r>
      <w:r w:rsidR="007B626C">
        <w:rPr>
          <w:noProof/>
          <w:color w:val="000000"/>
          <w:highlight w:val="black"/>
        </w:rPr>
        <w:t>''''''''''''''''''</w:t>
      </w:r>
      <w:r w:rsidR="00144DAE" w:rsidRPr="009E674D">
        <w:t xml:space="preserve"> for imiglucerase (</w:t>
      </w:r>
      <w:r w:rsidR="00144DAE" w:rsidRPr="00BD25A9">
        <w:t xml:space="preserve">assuming </w:t>
      </w:r>
      <w:r w:rsidR="007B626C">
        <w:rPr>
          <w:noProof/>
          <w:color w:val="000000"/>
          <w:highlight w:val="black"/>
        </w:rPr>
        <w:t>''''''''''</w:t>
      </w:r>
      <w:r w:rsidR="00144DAE" w:rsidRPr="00BD25A9">
        <w:t xml:space="preserve"> vials</w:t>
      </w:r>
      <w:r w:rsidR="00144DAE" w:rsidRPr="009E674D">
        <w:t xml:space="preserve"> used per fortnightly infusion, for 26 infusions a year)</w:t>
      </w:r>
      <w:r w:rsidR="00E23594">
        <w:t>.</w:t>
      </w:r>
    </w:p>
    <w:p w:rsidR="00C25D9C" w:rsidRPr="00C25D9C" w:rsidRDefault="00C25D9C" w:rsidP="00C25D9C">
      <w:pPr>
        <w:widowControl/>
        <w:rPr>
          <w:szCs w:val="22"/>
        </w:rPr>
      </w:pPr>
    </w:p>
    <w:p w:rsidR="00D219A6" w:rsidRDefault="00D219A6" w:rsidP="00754A98">
      <w:pPr>
        <w:pStyle w:val="BodyText"/>
        <w:widowControl/>
        <w:numPr>
          <w:ilvl w:val="1"/>
          <w:numId w:val="31"/>
        </w:numPr>
        <w:jc w:val="both"/>
        <w:rPr>
          <w:szCs w:val="22"/>
        </w:rPr>
      </w:pPr>
      <w:r>
        <w:rPr>
          <w:szCs w:val="22"/>
        </w:rPr>
        <w:t xml:space="preserve">The submission’s estimate </w:t>
      </w:r>
      <w:r w:rsidR="00273B63">
        <w:rPr>
          <w:szCs w:val="22"/>
        </w:rPr>
        <w:t>wa</w:t>
      </w:r>
      <w:r>
        <w:rPr>
          <w:szCs w:val="22"/>
        </w:rPr>
        <w:t xml:space="preserve">s based on an assumption of an average dose of </w:t>
      </w:r>
      <w:r w:rsidRPr="00BD25A9">
        <w:rPr>
          <w:szCs w:val="22"/>
        </w:rPr>
        <w:t>42.4</w:t>
      </w:r>
      <w:r w:rsidR="00FF3E55">
        <w:rPr>
          <w:szCs w:val="22"/>
        </w:rPr>
        <w:t> </w:t>
      </w:r>
      <w:r>
        <w:rPr>
          <w:szCs w:val="22"/>
        </w:rPr>
        <w:t>U/kg of imiglucerase in an average patient of 69.7</w:t>
      </w:r>
      <w:r w:rsidR="00FF3E55">
        <w:rPr>
          <w:szCs w:val="22"/>
        </w:rPr>
        <w:t> </w:t>
      </w:r>
      <w:r>
        <w:rPr>
          <w:szCs w:val="22"/>
        </w:rPr>
        <w:t xml:space="preserve">kg, </w:t>
      </w:r>
      <w:r w:rsidR="00B46BB4" w:rsidRPr="00BD25A9">
        <w:rPr>
          <w:szCs w:val="22"/>
        </w:rPr>
        <w:t xml:space="preserve">resulting in </w:t>
      </w:r>
      <w:r w:rsidR="007B626C">
        <w:rPr>
          <w:noProof/>
          <w:color w:val="000000"/>
          <w:szCs w:val="22"/>
          <w:highlight w:val="black"/>
        </w:rPr>
        <w:t>'''''''''''</w:t>
      </w:r>
      <w:r w:rsidR="00B46BB4">
        <w:rPr>
          <w:szCs w:val="22"/>
        </w:rPr>
        <w:t xml:space="preserve"> vials (at $</w:t>
      </w:r>
      <w:r w:rsidR="007B626C">
        <w:rPr>
          <w:noProof/>
          <w:color w:val="000000"/>
          <w:szCs w:val="22"/>
          <w:highlight w:val="black"/>
        </w:rPr>
        <w:t>'''''''''''''</w:t>
      </w:r>
      <w:r w:rsidR="00B46BB4">
        <w:rPr>
          <w:szCs w:val="22"/>
        </w:rPr>
        <w:t xml:space="preserve"> </w:t>
      </w:r>
      <w:r w:rsidR="00FF3E55">
        <w:rPr>
          <w:szCs w:val="22"/>
        </w:rPr>
        <w:t>per</w:t>
      </w:r>
      <w:r w:rsidR="00B46BB4">
        <w:rPr>
          <w:szCs w:val="22"/>
        </w:rPr>
        <w:t xml:space="preserve"> vial) used per fortnightly infusion, </w:t>
      </w:r>
      <w:r>
        <w:rPr>
          <w:szCs w:val="22"/>
        </w:rPr>
        <w:t>for 26 infusions a year</w:t>
      </w:r>
      <w:r w:rsidR="00B46BB4">
        <w:rPr>
          <w:szCs w:val="22"/>
        </w:rPr>
        <w:t xml:space="preserve">.  Each infusion </w:t>
      </w:r>
      <w:r w:rsidR="00FF3E55">
        <w:rPr>
          <w:szCs w:val="22"/>
        </w:rPr>
        <w:t xml:space="preserve">would </w:t>
      </w:r>
      <w:r w:rsidR="00B46BB4">
        <w:rPr>
          <w:szCs w:val="22"/>
        </w:rPr>
        <w:t xml:space="preserve">also </w:t>
      </w:r>
      <w:r w:rsidR="00FF3E55">
        <w:rPr>
          <w:szCs w:val="22"/>
        </w:rPr>
        <w:t xml:space="preserve">be </w:t>
      </w:r>
      <w:r w:rsidR="00B46BB4">
        <w:rPr>
          <w:szCs w:val="22"/>
        </w:rPr>
        <w:t>associated wi</w:t>
      </w:r>
      <w:r w:rsidR="00FF3E55">
        <w:rPr>
          <w:szCs w:val="22"/>
        </w:rPr>
        <w:t>th a MBS item cost for $97.95.</w:t>
      </w:r>
    </w:p>
    <w:p w:rsidR="00B46BB4" w:rsidRPr="00FF3E55" w:rsidRDefault="00B46BB4" w:rsidP="00B46BB4">
      <w:pPr>
        <w:widowControl/>
        <w:rPr>
          <w:szCs w:val="22"/>
        </w:rPr>
      </w:pPr>
    </w:p>
    <w:p w:rsidR="00915695" w:rsidRDefault="00D219A6" w:rsidP="00FF3E55">
      <w:pPr>
        <w:pStyle w:val="BodyText"/>
        <w:widowControl/>
        <w:numPr>
          <w:ilvl w:val="1"/>
          <w:numId w:val="31"/>
        </w:numPr>
        <w:jc w:val="both"/>
        <w:rPr>
          <w:iCs/>
        </w:rPr>
      </w:pPr>
      <w:r w:rsidRPr="00D219A6">
        <w:t xml:space="preserve">The </w:t>
      </w:r>
      <w:r w:rsidRPr="00FF3E55">
        <w:rPr>
          <w:szCs w:val="22"/>
        </w:rPr>
        <w:t>submission</w:t>
      </w:r>
      <w:r w:rsidRPr="00D219A6">
        <w:t xml:space="preserve"> estimate</w:t>
      </w:r>
      <w:r w:rsidR="00273B63">
        <w:t>d</w:t>
      </w:r>
      <w:r w:rsidRPr="00D219A6">
        <w:t xml:space="preserve"> </w:t>
      </w:r>
      <w:r w:rsidRPr="00FF3E55">
        <w:rPr>
          <w:snapToGrid/>
          <w:szCs w:val="22"/>
        </w:rPr>
        <w:t>that</w:t>
      </w:r>
      <w:r w:rsidRPr="00D219A6">
        <w:t xml:space="preserve"> each eliglustat 100</w:t>
      </w:r>
      <w:r w:rsidR="00BC71A8">
        <w:t> </w:t>
      </w:r>
      <w:r w:rsidRPr="00D219A6">
        <w:t xml:space="preserve">mg capsule </w:t>
      </w:r>
      <w:r w:rsidR="00273B63">
        <w:t>would</w:t>
      </w:r>
      <w:r w:rsidR="00273B63" w:rsidRPr="00D219A6">
        <w:t xml:space="preserve"> </w:t>
      </w:r>
      <w:r w:rsidRPr="00D219A6">
        <w:t>cost $</w:t>
      </w:r>
      <w:r w:rsidR="007B626C">
        <w:rPr>
          <w:noProof/>
          <w:color w:val="000000"/>
          <w:highlight w:val="black"/>
        </w:rPr>
        <w:t>''''''''''''''''''</w:t>
      </w:r>
      <w:r w:rsidR="005D4A6D">
        <w:t xml:space="preserve">, </w:t>
      </w:r>
      <w:r w:rsidR="005D4A6D" w:rsidRPr="00BD25A9">
        <w:t>based on a dose equivalence of eliglustat 196.8</w:t>
      </w:r>
      <w:r w:rsidR="00BC71A8" w:rsidRPr="00BD25A9">
        <w:t> </w:t>
      </w:r>
      <w:r w:rsidR="005D4A6D" w:rsidRPr="00BD25A9">
        <w:t xml:space="preserve">mg </w:t>
      </w:r>
      <w:r w:rsidR="00062C9A" w:rsidRPr="00BD25A9">
        <w:t xml:space="preserve">daily </w:t>
      </w:r>
      <w:r w:rsidR="005D4A6D" w:rsidRPr="00BD25A9">
        <w:t>and imiglucerase 42.4</w:t>
      </w:r>
      <w:r w:rsidR="00062C9A" w:rsidRPr="00BD25A9">
        <w:t> </w:t>
      </w:r>
      <w:r w:rsidR="005D4A6D" w:rsidRPr="00BD25A9">
        <w:t>U/kg</w:t>
      </w:r>
      <w:r w:rsidR="00062C9A" w:rsidRPr="00BD25A9">
        <w:t xml:space="preserve"> fortnightly</w:t>
      </w:r>
      <w:r w:rsidRPr="00BD25A9">
        <w:t xml:space="preserve">.  </w:t>
      </w:r>
      <w:r w:rsidRPr="00BD25A9">
        <w:rPr>
          <w:iCs/>
        </w:rPr>
        <w:t>If using the dose equivalence from the mean dose in ENCORE (i.e. eliglustat 228.3</w:t>
      </w:r>
      <w:r w:rsidR="00FF3E55" w:rsidRPr="00BD25A9">
        <w:rPr>
          <w:iCs/>
        </w:rPr>
        <w:t> </w:t>
      </w:r>
      <w:r w:rsidRPr="00BD25A9">
        <w:rPr>
          <w:iCs/>
        </w:rPr>
        <w:t xml:space="preserve">mg </w:t>
      </w:r>
      <w:r w:rsidR="00FF3E55" w:rsidRPr="00BD25A9">
        <w:rPr>
          <w:iCs/>
        </w:rPr>
        <w:t xml:space="preserve">daily </w:t>
      </w:r>
      <w:r w:rsidRPr="00BD25A9">
        <w:rPr>
          <w:iCs/>
        </w:rPr>
        <w:t>and imiglucerase 42.4</w:t>
      </w:r>
      <w:r w:rsidR="00FF3E55" w:rsidRPr="00BD25A9">
        <w:rPr>
          <w:iCs/>
        </w:rPr>
        <w:t> </w:t>
      </w:r>
      <w:r w:rsidRPr="00BD25A9">
        <w:rPr>
          <w:iCs/>
        </w:rPr>
        <w:t xml:space="preserve">U/kg </w:t>
      </w:r>
      <w:r w:rsidR="00FF3E55" w:rsidRPr="00BD25A9">
        <w:rPr>
          <w:iCs/>
        </w:rPr>
        <w:t xml:space="preserve">fortnightly </w:t>
      </w:r>
      <w:r w:rsidRPr="00BD25A9">
        <w:rPr>
          <w:iCs/>
        </w:rPr>
        <w:t xml:space="preserve">assuming </w:t>
      </w:r>
      <w:r w:rsidR="00FF3E55" w:rsidRPr="00BD25A9">
        <w:rPr>
          <w:iCs/>
        </w:rPr>
        <w:t xml:space="preserve">a </w:t>
      </w:r>
      <w:r w:rsidRPr="00BD25A9">
        <w:rPr>
          <w:iCs/>
        </w:rPr>
        <w:t>mean patient weight of 69.7</w:t>
      </w:r>
      <w:r w:rsidR="00FF3E55" w:rsidRPr="00BD25A9">
        <w:rPr>
          <w:iCs/>
        </w:rPr>
        <w:t> </w:t>
      </w:r>
      <w:r w:rsidRPr="00BD25A9">
        <w:rPr>
          <w:iCs/>
        </w:rPr>
        <w:t>kg) was used, a cost of $</w:t>
      </w:r>
      <w:r w:rsidR="007B626C">
        <w:rPr>
          <w:iCs/>
          <w:noProof/>
          <w:color w:val="000000"/>
          <w:highlight w:val="black"/>
        </w:rPr>
        <w:t>'''''''''''''''</w:t>
      </w:r>
      <w:r w:rsidRPr="00BD25A9">
        <w:rPr>
          <w:iCs/>
        </w:rPr>
        <w:t xml:space="preserve"> per eliglustat 100</w:t>
      </w:r>
      <w:r w:rsidR="00BC71A8" w:rsidRPr="00BD25A9">
        <w:rPr>
          <w:iCs/>
        </w:rPr>
        <w:t> </w:t>
      </w:r>
      <w:r w:rsidRPr="00BD25A9">
        <w:rPr>
          <w:iCs/>
        </w:rPr>
        <w:t xml:space="preserve">mg capsule </w:t>
      </w:r>
      <w:r w:rsidR="00FF3E55" w:rsidRPr="00BD25A9">
        <w:rPr>
          <w:iCs/>
        </w:rPr>
        <w:t xml:space="preserve">would be </w:t>
      </w:r>
      <w:r w:rsidRPr="00BD25A9">
        <w:rPr>
          <w:iCs/>
        </w:rPr>
        <w:t>estimated, a 13% decrease</w:t>
      </w:r>
      <w:r w:rsidRPr="0009045E">
        <w:rPr>
          <w:iCs/>
        </w:rPr>
        <w:t xml:space="preserve"> from the submission’s estimate.</w:t>
      </w:r>
    </w:p>
    <w:p w:rsidR="00FF3E55" w:rsidRDefault="00FF3E55" w:rsidP="00FF3E55">
      <w:pPr>
        <w:pStyle w:val="BodyText"/>
        <w:rPr>
          <w:i/>
          <w:iCs/>
        </w:rPr>
      </w:pPr>
    </w:p>
    <w:p w:rsidR="00D219A6" w:rsidRPr="00AA1839" w:rsidRDefault="00DD5782" w:rsidP="00754A98">
      <w:pPr>
        <w:pStyle w:val="BodyText"/>
        <w:widowControl/>
        <w:numPr>
          <w:ilvl w:val="1"/>
          <w:numId w:val="31"/>
        </w:numPr>
        <w:jc w:val="both"/>
        <w:rPr>
          <w:szCs w:val="22"/>
        </w:rPr>
      </w:pPr>
      <w:r w:rsidRPr="00AA1839">
        <w:rPr>
          <w:iCs/>
        </w:rPr>
        <w:t xml:space="preserve">As the ESC considered that the </w:t>
      </w:r>
      <w:r w:rsidR="00FF3E55" w:rsidRPr="00AA1839">
        <w:rPr>
          <w:iCs/>
        </w:rPr>
        <w:t>equi-effective doses were</w:t>
      </w:r>
      <w:r w:rsidRPr="00AA1839">
        <w:rPr>
          <w:iCs/>
        </w:rPr>
        <w:t xml:space="preserve"> more appropriately derived from the mean doses in the ENCORE trial, the estimated cost of $</w:t>
      </w:r>
      <w:r w:rsidR="007B626C">
        <w:rPr>
          <w:iCs/>
          <w:noProof/>
          <w:color w:val="000000"/>
          <w:highlight w:val="black"/>
        </w:rPr>
        <w:t>''''''''''''''''''</w:t>
      </w:r>
      <w:r w:rsidRPr="00AA1839">
        <w:rPr>
          <w:iCs/>
        </w:rPr>
        <w:t xml:space="preserve"> per eliglustat 100</w:t>
      </w:r>
      <w:r w:rsidR="00BC71A8" w:rsidRPr="00AA1839">
        <w:rPr>
          <w:iCs/>
        </w:rPr>
        <w:t> </w:t>
      </w:r>
      <w:r w:rsidRPr="00AA1839">
        <w:rPr>
          <w:iCs/>
        </w:rPr>
        <w:t>mg capsule was considered more acceptable.</w:t>
      </w:r>
    </w:p>
    <w:p w:rsidR="00B60939" w:rsidRPr="001E2B1E" w:rsidRDefault="00B60939" w:rsidP="001456B0">
      <w:pPr>
        <w:rPr>
          <w:szCs w:val="22"/>
        </w:rPr>
      </w:pPr>
    </w:p>
    <w:p w:rsidR="00B60939" w:rsidRPr="002C2775" w:rsidRDefault="00B60939" w:rsidP="002C2775">
      <w:pPr>
        <w:pStyle w:val="Heading2"/>
        <w:rPr>
          <w:i/>
        </w:rPr>
      </w:pPr>
      <w:bookmarkStart w:id="27" w:name="_Toc419465021"/>
      <w:r w:rsidRPr="002C2775">
        <w:rPr>
          <w:i/>
        </w:rPr>
        <w:t>Estimated PBS usage &amp; financial implications</w:t>
      </w:r>
      <w:bookmarkEnd w:id="27"/>
    </w:p>
    <w:p w:rsidR="00B60939" w:rsidRPr="00FF3E55" w:rsidRDefault="00B60939" w:rsidP="00B60939">
      <w:pPr>
        <w:ind w:left="720" w:hanging="720"/>
        <w:rPr>
          <w:szCs w:val="22"/>
        </w:rPr>
      </w:pPr>
    </w:p>
    <w:p w:rsidR="00890682" w:rsidRPr="0009045E" w:rsidRDefault="00B46BB4" w:rsidP="00754A98">
      <w:pPr>
        <w:pStyle w:val="BodyText"/>
        <w:widowControl/>
        <w:numPr>
          <w:ilvl w:val="1"/>
          <w:numId w:val="31"/>
        </w:numPr>
        <w:jc w:val="both"/>
      </w:pPr>
      <w:r w:rsidRPr="0009045E">
        <w:t xml:space="preserve">This submission </w:t>
      </w:r>
      <w:r w:rsidR="00E42974">
        <w:t>was not</w:t>
      </w:r>
      <w:r w:rsidR="00C25D9C" w:rsidRPr="0009045E">
        <w:t xml:space="preserve"> considered by DUSC</w:t>
      </w:r>
      <w:r w:rsidR="00C25D9C" w:rsidRPr="0009045E">
        <w:rPr>
          <w:color w:val="0070C0"/>
        </w:rPr>
        <w:t xml:space="preserve">.  </w:t>
      </w:r>
      <w:r w:rsidRPr="0009045E">
        <w:t>The submission use</w:t>
      </w:r>
      <w:r w:rsidR="00273B63">
        <w:t>d</w:t>
      </w:r>
      <w:r w:rsidRPr="0009045E">
        <w:t xml:space="preserve"> a combination of epidemiological and market share approach to estimate the financial implications for the listing of eliglustat</w:t>
      </w:r>
      <w:r w:rsidR="00EF559E" w:rsidRPr="0009045E">
        <w:t xml:space="preserve"> on the LSDP</w:t>
      </w:r>
      <w:r w:rsidRPr="0009045E">
        <w:t xml:space="preserve">, relying on information from the ICGG registry and the LSDP for inputs.  </w:t>
      </w:r>
      <w:r w:rsidR="00B839C2" w:rsidRPr="0009045E">
        <w:rPr>
          <w:iCs/>
        </w:rPr>
        <w:t>T</w:t>
      </w:r>
      <w:r w:rsidRPr="0009045E">
        <w:rPr>
          <w:iCs/>
        </w:rPr>
        <w:t xml:space="preserve">here </w:t>
      </w:r>
      <w:r w:rsidR="00273B63">
        <w:rPr>
          <w:iCs/>
        </w:rPr>
        <w:t>were</w:t>
      </w:r>
      <w:r w:rsidR="00273B63" w:rsidRPr="0009045E">
        <w:rPr>
          <w:iCs/>
        </w:rPr>
        <w:t xml:space="preserve"> </w:t>
      </w:r>
      <w:r w:rsidRPr="0009045E">
        <w:rPr>
          <w:iCs/>
        </w:rPr>
        <w:t xml:space="preserve">no adjustments for patient </w:t>
      </w:r>
      <w:r w:rsidR="00CA6A19" w:rsidRPr="0009045E">
        <w:rPr>
          <w:iCs/>
        </w:rPr>
        <w:t>co-payments</w:t>
      </w:r>
      <w:r w:rsidRPr="0009045E">
        <w:rPr>
          <w:iCs/>
        </w:rPr>
        <w:t>.</w:t>
      </w:r>
      <w:r w:rsidR="00FF3E55">
        <w:rPr>
          <w:iCs/>
        </w:rPr>
        <w:t xml:space="preserve"> </w:t>
      </w:r>
      <w:r w:rsidRPr="0009045E">
        <w:t xml:space="preserve"> The submission’s financial estimates are shown in </w:t>
      </w:r>
      <w:r w:rsidR="003676D1" w:rsidRPr="0009045E">
        <w:t>T</w:t>
      </w:r>
      <w:r w:rsidR="00FF3E55">
        <w:t>able 5.</w:t>
      </w:r>
    </w:p>
    <w:p w:rsidR="00333BE8" w:rsidRDefault="00333BE8">
      <w:pPr>
        <w:widowControl/>
        <w:jc w:val="left"/>
        <w:rPr>
          <w:rFonts w:ascii="Arial Narrow" w:hAnsi="Arial Narrow"/>
          <w:b/>
          <w:sz w:val="20"/>
        </w:rPr>
      </w:pPr>
    </w:p>
    <w:p w:rsidR="003715D7" w:rsidRDefault="003715D7">
      <w:pPr>
        <w:widowControl/>
        <w:jc w:val="left"/>
        <w:rPr>
          <w:rFonts w:ascii="Arial Narrow" w:hAnsi="Arial Narrow"/>
          <w:b/>
          <w:sz w:val="20"/>
        </w:rPr>
      </w:pPr>
      <w:r>
        <w:rPr>
          <w:rFonts w:ascii="Arial Narrow" w:hAnsi="Arial Narrow"/>
          <w:b/>
          <w:sz w:val="20"/>
        </w:rPr>
        <w:br w:type="page"/>
      </w:r>
    </w:p>
    <w:p w:rsidR="00B46BB4" w:rsidRPr="00E175F5" w:rsidRDefault="00B46BB4" w:rsidP="00B46BB4">
      <w:pPr>
        <w:widowControl/>
        <w:ind w:left="709"/>
        <w:jc w:val="left"/>
        <w:rPr>
          <w:rFonts w:ascii="Arial Narrow" w:hAnsi="Arial Narrow"/>
          <w:b/>
          <w:sz w:val="20"/>
        </w:rPr>
      </w:pPr>
      <w:r>
        <w:rPr>
          <w:rFonts w:ascii="Arial Narrow" w:hAnsi="Arial Narrow"/>
          <w:b/>
          <w:sz w:val="20"/>
        </w:rPr>
        <w:t>Table 5</w:t>
      </w:r>
      <w:r w:rsidR="00FF3E55">
        <w:rPr>
          <w:rFonts w:ascii="Arial Narrow" w:hAnsi="Arial Narrow"/>
          <w:b/>
          <w:sz w:val="20"/>
        </w:rPr>
        <w:t>:</w:t>
      </w:r>
      <w:r w:rsidRPr="00E175F5">
        <w:rPr>
          <w:rFonts w:ascii="Arial Narrow" w:hAnsi="Arial Narrow"/>
          <w:b/>
          <w:sz w:val="20"/>
        </w:rPr>
        <w:t xml:space="preserve"> Submission’s financial estimates for listing of eliglustat</w:t>
      </w:r>
      <w:r w:rsidR="00EF559E">
        <w:rPr>
          <w:rFonts w:ascii="Arial Narrow" w:hAnsi="Arial Narrow"/>
          <w:b/>
          <w:sz w:val="20"/>
        </w:rPr>
        <w:t xml:space="preserve"> on the LSDP</w:t>
      </w:r>
    </w:p>
    <w:tbl>
      <w:tblPr>
        <w:tblStyle w:val="TableGrid"/>
        <w:tblW w:w="0" w:type="auto"/>
        <w:tblInd w:w="737" w:type="dxa"/>
        <w:tblCellMar>
          <w:left w:w="28" w:type="dxa"/>
          <w:right w:w="28" w:type="dxa"/>
        </w:tblCellMar>
        <w:tblLook w:val="04A0" w:firstRow="1" w:lastRow="0" w:firstColumn="1" w:lastColumn="0" w:noHBand="0" w:noVBand="1"/>
        <w:tblCaption w:val="Table 5: Submission’s financial estimates for listing of eliglustat on the LSDP"/>
        <w:tblDescription w:val="This redacted table summarises the submission's financial estimates for listing of eliglustat on the LSDP. "/>
      </w:tblPr>
      <w:tblGrid>
        <w:gridCol w:w="2268"/>
        <w:gridCol w:w="1215"/>
        <w:gridCol w:w="1215"/>
        <w:gridCol w:w="1216"/>
        <w:gridCol w:w="1215"/>
        <w:gridCol w:w="1216"/>
      </w:tblGrid>
      <w:tr w:rsidR="00B46BB4" w:rsidRPr="00E175F5" w:rsidTr="00211259">
        <w:trPr>
          <w:tblHeader/>
        </w:trPr>
        <w:tc>
          <w:tcPr>
            <w:tcW w:w="2268" w:type="dxa"/>
          </w:tcPr>
          <w:p w:rsidR="00B46BB4" w:rsidRPr="00E175F5" w:rsidRDefault="00B46BB4" w:rsidP="00B318DA">
            <w:pPr>
              <w:rPr>
                <w:rFonts w:ascii="Arial Narrow" w:hAnsi="Arial Narrow"/>
                <w:sz w:val="20"/>
              </w:rPr>
            </w:pPr>
          </w:p>
        </w:tc>
        <w:tc>
          <w:tcPr>
            <w:tcW w:w="1215" w:type="dxa"/>
            <w:vAlign w:val="center"/>
          </w:tcPr>
          <w:p w:rsidR="00B46BB4" w:rsidRPr="00E175F5" w:rsidRDefault="00B46BB4" w:rsidP="00B318DA">
            <w:pPr>
              <w:jc w:val="center"/>
              <w:rPr>
                <w:rFonts w:ascii="Arial Narrow" w:hAnsi="Arial Narrow"/>
                <w:b/>
                <w:sz w:val="20"/>
              </w:rPr>
            </w:pPr>
            <w:r w:rsidRPr="00E175F5">
              <w:rPr>
                <w:rFonts w:ascii="Arial Narrow" w:hAnsi="Arial Narrow"/>
                <w:b/>
                <w:sz w:val="20"/>
              </w:rPr>
              <w:t>2016</w:t>
            </w:r>
          </w:p>
        </w:tc>
        <w:tc>
          <w:tcPr>
            <w:tcW w:w="1215" w:type="dxa"/>
            <w:vAlign w:val="center"/>
          </w:tcPr>
          <w:p w:rsidR="00B46BB4" w:rsidRPr="00E175F5" w:rsidRDefault="00B46BB4" w:rsidP="00B318DA">
            <w:pPr>
              <w:jc w:val="center"/>
              <w:rPr>
                <w:rFonts w:ascii="Arial Narrow" w:hAnsi="Arial Narrow"/>
                <w:b/>
                <w:sz w:val="20"/>
              </w:rPr>
            </w:pPr>
            <w:r w:rsidRPr="00E175F5">
              <w:rPr>
                <w:rFonts w:ascii="Arial Narrow" w:hAnsi="Arial Narrow"/>
                <w:b/>
                <w:sz w:val="20"/>
              </w:rPr>
              <w:t>2017</w:t>
            </w:r>
          </w:p>
        </w:tc>
        <w:tc>
          <w:tcPr>
            <w:tcW w:w="1216" w:type="dxa"/>
            <w:vAlign w:val="center"/>
          </w:tcPr>
          <w:p w:rsidR="00B46BB4" w:rsidRPr="00E175F5" w:rsidRDefault="00B46BB4" w:rsidP="00B318DA">
            <w:pPr>
              <w:jc w:val="center"/>
              <w:rPr>
                <w:rFonts w:ascii="Arial Narrow" w:hAnsi="Arial Narrow"/>
                <w:b/>
                <w:sz w:val="20"/>
              </w:rPr>
            </w:pPr>
            <w:r w:rsidRPr="00E175F5">
              <w:rPr>
                <w:rFonts w:ascii="Arial Narrow" w:hAnsi="Arial Narrow"/>
                <w:b/>
                <w:sz w:val="20"/>
              </w:rPr>
              <w:t>2018</w:t>
            </w:r>
          </w:p>
        </w:tc>
        <w:tc>
          <w:tcPr>
            <w:tcW w:w="1215" w:type="dxa"/>
            <w:vAlign w:val="center"/>
          </w:tcPr>
          <w:p w:rsidR="00B46BB4" w:rsidRPr="00E175F5" w:rsidRDefault="00B46BB4" w:rsidP="00B318DA">
            <w:pPr>
              <w:jc w:val="center"/>
              <w:rPr>
                <w:rFonts w:ascii="Arial Narrow" w:hAnsi="Arial Narrow"/>
                <w:b/>
                <w:sz w:val="20"/>
              </w:rPr>
            </w:pPr>
            <w:r w:rsidRPr="00E175F5">
              <w:rPr>
                <w:rFonts w:ascii="Arial Narrow" w:hAnsi="Arial Narrow"/>
                <w:b/>
                <w:sz w:val="20"/>
              </w:rPr>
              <w:t>2019</w:t>
            </w:r>
          </w:p>
        </w:tc>
        <w:tc>
          <w:tcPr>
            <w:tcW w:w="1216" w:type="dxa"/>
            <w:vAlign w:val="center"/>
          </w:tcPr>
          <w:p w:rsidR="00B46BB4" w:rsidRPr="00E175F5" w:rsidRDefault="00B46BB4" w:rsidP="00B318DA">
            <w:pPr>
              <w:jc w:val="center"/>
              <w:rPr>
                <w:rFonts w:ascii="Arial Narrow" w:hAnsi="Arial Narrow"/>
                <w:b/>
                <w:sz w:val="20"/>
              </w:rPr>
            </w:pPr>
            <w:r w:rsidRPr="00E175F5">
              <w:rPr>
                <w:rFonts w:ascii="Arial Narrow" w:hAnsi="Arial Narrow"/>
                <w:b/>
                <w:sz w:val="20"/>
              </w:rPr>
              <w:t>2020</w:t>
            </w:r>
          </w:p>
        </w:tc>
      </w:tr>
      <w:tr w:rsidR="00B46BB4" w:rsidRPr="00E175F5" w:rsidTr="00B46BB4">
        <w:tc>
          <w:tcPr>
            <w:tcW w:w="8345" w:type="dxa"/>
            <w:gridSpan w:val="6"/>
          </w:tcPr>
          <w:p w:rsidR="00B46BB4" w:rsidRPr="00E175F5" w:rsidRDefault="00B46BB4" w:rsidP="00B318DA">
            <w:pPr>
              <w:rPr>
                <w:rFonts w:ascii="Arial Narrow" w:hAnsi="Arial Narrow"/>
                <w:b/>
                <w:sz w:val="20"/>
              </w:rPr>
            </w:pPr>
            <w:r w:rsidRPr="00E175F5">
              <w:rPr>
                <w:rFonts w:ascii="Arial Narrow" w:hAnsi="Arial Narrow"/>
                <w:b/>
                <w:sz w:val="20"/>
              </w:rPr>
              <w:t>Number of patients</w:t>
            </w:r>
          </w:p>
        </w:tc>
      </w:tr>
      <w:tr w:rsidR="00B46BB4" w:rsidRPr="00E175F5" w:rsidTr="00B46BB4">
        <w:tc>
          <w:tcPr>
            <w:tcW w:w="2268" w:type="dxa"/>
          </w:tcPr>
          <w:p w:rsidR="00B46BB4" w:rsidRPr="00E175F5" w:rsidRDefault="00B46BB4" w:rsidP="00B318DA">
            <w:pPr>
              <w:rPr>
                <w:rFonts w:ascii="Arial Narrow" w:hAnsi="Arial Narrow"/>
                <w:sz w:val="20"/>
              </w:rPr>
            </w:pPr>
            <w:r w:rsidRPr="00E175F5">
              <w:rPr>
                <w:rFonts w:ascii="Arial Narrow" w:hAnsi="Arial Narrow"/>
                <w:sz w:val="20"/>
              </w:rPr>
              <w:t>Eliglustat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B46BB4">
        <w:tc>
          <w:tcPr>
            <w:tcW w:w="2268" w:type="dxa"/>
          </w:tcPr>
          <w:p w:rsidR="00B46BB4" w:rsidRPr="00E175F5" w:rsidRDefault="000B5F32" w:rsidP="00B318DA">
            <w:pPr>
              <w:rPr>
                <w:rFonts w:ascii="Arial Narrow" w:hAnsi="Arial Narrow"/>
                <w:sz w:val="20"/>
              </w:rPr>
            </w:pPr>
            <w:r>
              <w:rPr>
                <w:rFonts w:ascii="Arial Narrow" w:hAnsi="Arial Narrow"/>
                <w:sz w:val="20"/>
              </w:rPr>
              <w:t>Velaglucerase-alfa</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B46BB4">
        <w:tc>
          <w:tcPr>
            <w:tcW w:w="2268" w:type="dxa"/>
          </w:tcPr>
          <w:p w:rsidR="00B46BB4" w:rsidRPr="00E175F5" w:rsidRDefault="00B46BB4" w:rsidP="00B318DA">
            <w:pPr>
              <w:rPr>
                <w:rFonts w:ascii="Arial Narrow" w:hAnsi="Arial Narrow"/>
                <w:sz w:val="20"/>
              </w:rPr>
            </w:pPr>
            <w:r w:rsidRPr="00E175F5">
              <w:rPr>
                <w:rFonts w:ascii="Arial Narrow" w:hAnsi="Arial Narrow"/>
                <w:sz w:val="20"/>
              </w:rPr>
              <w:t>Imiglucerase</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B46BB4">
        <w:tc>
          <w:tcPr>
            <w:tcW w:w="2268" w:type="dxa"/>
          </w:tcPr>
          <w:p w:rsidR="00B46BB4" w:rsidRPr="00E175F5" w:rsidRDefault="00B46BB4" w:rsidP="00B318DA">
            <w:pPr>
              <w:rPr>
                <w:rFonts w:ascii="Arial Narrow" w:hAnsi="Arial Narrow"/>
                <w:sz w:val="20"/>
              </w:rPr>
            </w:pPr>
            <w:r w:rsidRPr="00E175F5">
              <w:rPr>
                <w:rFonts w:ascii="Arial Narrow" w:hAnsi="Arial Narrow"/>
                <w:sz w:val="20"/>
              </w:rPr>
              <w:t xml:space="preserve">Total </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3715D7">
        <w:trPr>
          <w:trHeight w:val="361"/>
        </w:trPr>
        <w:tc>
          <w:tcPr>
            <w:tcW w:w="2268" w:type="dxa"/>
          </w:tcPr>
          <w:p w:rsidR="00B46BB4" w:rsidRPr="00E175F5" w:rsidRDefault="00B46BB4" w:rsidP="00B318DA">
            <w:pPr>
              <w:rPr>
                <w:rFonts w:ascii="Arial Narrow" w:hAnsi="Arial Narrow"/>
                <w:sz w:val="20"/>
              </w:rPr>
            </w:pPr>
            <w:r w:rsidRPr="00E175F5">
              <w:rPr>
                <w:rFonts w:ascii="Arial Narrow" w:hAnsi="Arial Narrow"/>
                <w:sz w:val="20"/>
              </w:rPr>
              <w:t>ERT patients substituted for</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B46BB4">
        <w:tc>
          <w:tcPr>
            <w:tcW w:w="8345" w:type="dxa"/>
            <w:gridSpan w:val="6"/>
          </w:tcPr>
          <w:p w:rsidR="00B46BB4" w:rsidRPr="00E175F5" w:rsidRDefault="00B46BB4" w:rsidP="00B839C2">
            <w:pPr>
              <w:rPr>
                <w:rFonts w:ascii="Arial Narrow" w:hAnsi="Arial Narrow"/>
                <w:b/>
                <w:sz w:val="20"/>
              </w:rPr>
            </w:pPr>
            <w:r w:rsidRPr="00E175F5">
              <w:rPr>
                <w:rFonts w:ascii="Arial Narrow" w:hAnsi="Arial Narrow"/>
                <w:b/>
                <w:sz w:val="20"/>
              </w:rPr>
              <w:t xml:space="preserve">Total dispensed packs/vials </w:t>
            </w:r>
            <w:r w:rsidR="00EF559E">
              <w:rPr>
                <w:rFonts w:ascii="Arial Narrow" w:hAnsi="Arial Narrow"/>
                <w:b/>
                <w:sz w:val="20"/>
              </w:rPr>
              <w:t>on LSDP</w:t>
            </w:r>
            <w:r>
              <w:rPr>
                <w:rFonts w:ascii="Arial Narrow" w:hAnsi="Arial Narrow"/>
                <w:b/>
                <w:sz w:val="20"/>
              </w:rPr>
              <w:t>^</w:t>
            </w:r>
          </w:p>
        </w:tc>
      </w:tr>
      <w:tr w:rsidR="00B46BB4" w:rsidRPr="00E175F5" w:rsidTr="001857EE">
        <w:tc>
          <w:tcPr>
            <w:tcW w:w="2268" w:type="dxa"/>
          </w:tcPr>
          <w:p w:rsidR="00B46BB4" w:rsidRPr="00E175F5" w:rsidRDefault="00B46BB4" w:rsidP="00B318DA">
            <w:pPr>
              <w:rPr>
                <w:rFonts w:ascii="Arial Narrow" w:hAnsi="Arial Narrow"/>
                <w:sz w:val="20"/>
              </w:rPr>
            </w:pPr>
            <w:r w:rsidRPr="00E175F5">
              <w:rPr>
                <w:rFonts w:ascii="Arial Narrow" w:hAnsi="Arial Narrow"/>
                <w:sz w:val="20"/>
              </w:rPr>
              <w:t>Eliglustat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1857EE">
        <w:tc>
          <w:tcPr>
            <w:tcW w:w="2268" w:type="dxa"/>
          </w:tcPr>
          <w:p w:rsidR="00B46BB4" w:rsidRPr="00E175F5" w:rsidRDefault="000B5F32" w:rsidP="00B318DA">
            <w:pPr>
              <w:rPr>
                <w:rFonts w:ascii="Arial Narrow" w:hAnsi="Arial Narrow"/>
                <w:sz w:val="20"/>
              </w:rPr>
            </w:pPr>
            <w:r>
              <w:rPr>
                <w:rFonts w:ascii="Arial Narrow" w:hAnsi="Arial Narrow"/>
                <w:sz w:val="20"/>
              </w:rPr>
              <w:t>Velaglucerase-alfa</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1857EE">
        <w:tc>
          <w:tcPr>
            <w:tcW w:w="2268" w:type="dxa"/>
          </w:tcPr>
          <w:p w:rsidR="00B46BB4" w:rsidRPr="00E175F5" w:rsidRDefault="00B46BB4" w:rsidP="00B318DA">
            <w:pPr>
              <w:rPr>
                <w:rFonts w:ascii="Arial Narrow" w:hAnsi="Arial Narrow"/>
                <w:sz w:val="20"/>
              </w:rPr>
            </w:pPr>
            <w:r w:rsidRPr="00E175F5">
              <w:rPr>
                <w:rFonts w:ascii="Arial Narrow" w:hAnsi="Arial Narrow"/>
                <w:sz w:val="20"/>
              </w:rPr>
              <w:t>Imiglucerase</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1857EE">
        <w:tc>
          <w:tcPr>
            <w:tcW w:w="2268" w:type="dxa"/>
          </w:tcPr>
          <w:p w:rsidR="00B46BB4" w:rsidRPr="00E175F5" w:rsidRDefault="00B46BB4" w:rsidP="00B318DA">
            <w:pPr>
              <w:jc w:val="left"/>
              <w:rPr>
                <w:rFonts w:ascii="Arial Narrow" w:hAnsi="Arial Narrow"/>
                <w:sz w:val="20"/>
              </w:rPr>
            </w:pPr>
            <w:r w:rsidRPr="00E175F5">
              <w:rPr>
                <w:rFonts w:ascii="Arial Narrow" w:hAnsi="Arial Narrow"/>
                <w:sz w:val="20"/>
              </w:rPr>
              <w:t>Vials of ERT substituted for</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5"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c>
          <w:tcPr>
            <w:tcW w:w="1216" w:type="dxa"/>
            <w:vAlign w:val="center"/>
          </w:tcPr>
          <w:p w:rsidR="00B46BB4" w:rsidRPr="007B626C" w:rsidRDefault="007B626C" w:rsidP="00B318DA">
            <w:pPr>
              <w:jc w:val="center"/>
              <w:rPr>
                <w:rFonts w:ascii="Arial Narrow" w:hAnsi="Arial Narrow"/>
                <w:sz w:val="20"/>
                <w:highlight w:val="black"/>
              </w:rPr>
            </w:pPr>
            <w:r>
              <w:rPr>
                <w:rFonts w:ascii="Arial Narrow" w:hAnsi="Arial Narrow"/>
                <w:noProof/>
                <w:color w:val="000000"/>
                <w:sz w:val="20"/>
                <w:highlight w:val="black"/>
              </w:rPr>
              <w:t>''''''''''''</w:t>
            </w:r>
          </w:p>
        </w:tc>
      </w:tr>
      <w:tr w:rsidR="00B46BB4" w:rsidRPr="00E175F5" w:rsidTr="001857EE">
        <w:tc>
          <w:tcPr>
            <w:tcW w:w="2268" w:type="dxa"/>
          </w:tcPr>
          <w:p w:rsidR="00B46BB4" w:rsidRPr="00E175F5" w:rsidRDefault="00B46BB4" w:rsidP="00B318DA">
            <w:pPr>
              <w:rPr>
                <w:rFonts w:ascii="Arial Narrow" w:hAnsi="Arial Narrow"/>
                <w:sz w:val="20"/>
              </w:rPr>
            </w:pPr>
            <w:r w:rsidRPr="00E175F5">
              <w:rPr>
                <w:rFonts w:ascii="Arial Narrow" w:hAnsi="Arial Narrow"/>
                <w:sz w:val="20"/>
              </w:rPr>
              <w:t>Total cost of eliglustat</w:t>
            </w:r>
          </w:p>
        </w:tc>
        <w:tc>
          <w:tcPr>
            <w:tcW w:w="1215" w:type="dxa"/>
            <w:vAlign w:val="center"/>
          </w:tcPr>
          <w:p w:rsidR="00B46BB4" w:rsidRPr="00E175F5" w:rsidRDefault="00B46BB4" w:rsidP="00B318DA">
            <w:pPr>
              <w:jc w:val="center"/>
              <w:rPr>
                <w:rFonts w:ascii="Arial Narrow" w:hAnsi="Arial Narrow"/>
                <w:sz w:val="20"/>
              </w:rPr>
            </w:pPr>
            <w:r w:rsidRPr="001857EE">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r>
      <w:tr w:rsidR="00B46BB4" w:rsidRPr="00E175F5" w:rsidTr="001857EE">
        <w:tc>
          <w:tcPr>
            <w:tcW w:w="2268" w:type="dxa"/>
          </w:tcPr>
          <w:p w:rsidR="00B46BB4" w:rsidRPr="00E175F5" w:rsidRDefault="00B46BB4" w:rsidP="00B318DA">
            <w:pPr>
              <w:rPr>
                <w:rFonts w:ascii="Arial Narrow" w:hAnsi="Arial Narrow"/>
                <w:sz w:val="20"/>
              </w:rPr>
            </w:pPr>
            <w:r w:rsidRPr="00E175F5">
              <w:rPr>
                <w:rFonts w:ascii="Arial Narrow" w:hAnsi="Arial Narrow"/>
                <w:sz w:val="20"/>
              </w:rPr>
              <w:t>Total cost of ERT substituted for</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r>
      <w:tr w:rsidR="00B46BB4" w:rsidRPr="00E175F5" w:rsidTr="001857EE">
        <w:tc>
          <w:tcPr>
            <w:tcW w:w="2268" w:type="dxa"/>
          </w:tcPr>
          <w:p w:rsidR="00B46BB4" w:rsidRPr="00E175F5" w:rsidRDefault="00B46BB4" w:rsidP="00B839C2">
            <w:pPr>
              <w:rPr>
                <w:rFonts w:ascii="Arial Narrow" w:hAnsi="Arial Narrow"/>
                <w:b/>
                <w:sz w:val="20"/>
              </w:rPr>
            </w:pPr>
            <w:r w:rsidRPr="00E175F5">
              <w:rPr>
                <w:rFonts w:ascii="Arial Narrow" w:hAnsi="Arial Narrow"/>
                <w:b/>
                <w:sz w:val="20"/>
              </w:rPr>
              <w:t xml:space="preserve">Net cost </w:t>
            </w:r>
            <w:r w:rsidR="00EF559E">
              <w:rPr>
                <w:rFonts w:ascii="Arial Narrow" w:hAnsi="Arial Narrow"/>
                <w:b/>
                <w:sz w:val="20"/>
              </w:rPr>
              <w:t>to LSDP</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r>
      <w:tr w:rsidR="00B46BB4" w:rsidRPr="00E175F5" w:rsidTr="001857EE">
        <w:tc>
          <w:tcPr>
            <w:tcW w:w="2268" w:type="dxa"/>
          </w:tcPr>
          <w:p w:rsidR="00B46BB4" w:rsidRPr="00E175F5" w:rsidRDefault="00B46BB4" w:rsidP="00B318DA">
            <w:pPr>
              <w:rPr>
                <w:rFonts w:ascii="Arial Narrow" w:hAnsi="Arial Narrow"/>
                <w:sz w:val="20"/>
              </w:rPr>
            </w:pPr>
            <w:r w:rsidRPr="00E175F5">
              <w:rPr>
                <w:rFonts w:ascii="Arial Narrow" w:hAnsi="Arial Narrow"/>
                <w:sz w:val="20"/>
              </w:rPr>
              <w:t>Cost savings from MBS*</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r>
      <w:tr w:rsidR="00B46BB4" w:rsidRPr="00E175F5" w:rsidTr="001857EE">
        <w:tc>
          <w:tcPr>
            <w:tcW w:w="2268" w:type="dxa"/>
          </w:tcPr>
          <w:p w:rsidR="00B46BB4" w:rsidRPr="00E175F5" w:rsidRDefault="00B46BB4" w:rsidP="00B318DA">
            <w:pPr>
              <w:rPr>
                <w:rFonts w:ascii="Arial Narrow" w:hAnsi="Arial Narrow"/>
                <w:b/>
                <w:sz w:val="20"/>
              </w:rPr>
            </w:pPr>
            <w:r w:rsidRPr="00E175F5">
              <w:rPr>
                <w:rFonts w:ascii="Arial Narrow" w:hAnsi="Arial Narrow"/>
                <w:b/>
                <w:sz w:val="20"/>
              </w:rPr>
              <w:t>Net cost to the budget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5"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c>
          <w:tcPr>
            <w:tcW w:w="1216" w:type="dxa"/>
            <w:vAlign w:val="center"/>
          </w:tcPr>
          <w:p w:rsidR="00B46BB4" w:rsidRPr="00E175F5" w:rsidRDefault="00B46BB4" w:rsidP="00B318DA">
            <w:pPr>
              <w:jc w:val="center"/>
              <w:rPr>
                <w:rFonts w:ascii="Arial Narrow" w:hAnsi="Arial Narrow"/>
                <w:sz w:val="20"/>
              </w:rPr>
            </w:pPr>
            <w:r w:rsidRPr="00E175F5">
              <w:rPr>
                <w:rFonts w:ascii="Arial Narrow" w:hAnsi="Arial Narrow"/>
                <w:sz w:val="20"/>
              </w:rPr>
              <w:t>-$</w:t>
            </w:r>
            <w:r w:rsidR="007B626C">
              <w:rPr>
                <w:rFonts w:ascii="Arial Narrow" w:hAnsi="Arial Narrow"/>
                <w:noProof/>
                <w:color w:val="000000"/>
                <w:sz w:val="20"/>
                <w:highlight w:val="black"/>
              </w:rPr>
              <w:t>''''''''''''''</w:t>
            </w:r>
          </w:p>
        </w:tc>
      </w:tr>
    </w:tbl>
    <w:p w:rsidR="00B46BB4" w:rsidRDefault="00B46BB4" w:rsidP="00B46BB4">
      <w:pPr>
        <w:tabs>
          <w:tab w:val="left" w:pos="284"/>
        </w:tabs>
        <w:ind w:left="709"/>
        <w:rPr>
          <w:rFonts w:ascii="Arial Narrow" w:hAnsi="Arial Narrow"/>
          <w:sz w:val="18"/>
        </w:rPr>
      </w:pPr>
      <w:r>
        <w:rPr>
          <w:rFonts w:ascii="Arial Narrow" w:hAnsi="Arial Narrow"/>
          <w:sz w:val="18"/>
        </w:rPr>
        <w:t xml:space="preserve">^Assumes each patient will </w:t>
      </w:r>
      <w:r w:rsidRPr="00BD25A9">
        <w:rPr>
          <w:rFonts w:ascii="Arial Narrow" w:hAnsi="Arial Narrow"/>
          <w:sz w:val="18"/>
        </w:rPr>
        <w:t xml:space="preserve">use </w:t>
      </w:r>
      <w:r w:rsidR="007B626C">
        <w:rPr>
          <w:rFonts w:ascii="Arial Narrow" w:hAnsi="Arial Narrow"/>
          <w:noProof/>
          <w:color w:val="000000"/>
          <w:sz w:val="18"/>
          <w:highlight w:val="black"/>
        </w:rPr>
        <w:t>''''''''''''</w:t>
      </w:r>
      <w:r w:rsidRPr="00BD25A9">
        <w:rPr>
          <w:rFonts w:ascii="Arial Narrow" w:hAnsi="Arial Narrow"/>
          <w:sz w:val="18"/>
        </w:rPr>
        <w:t xml:space="preserve"> packs of eliglustat per year or </w:t>
      </w:r>
      <w:r w:rsidR="007B626C">
        <w:rPr>
          <w:rFonts w:ascii="Arial Narrow" w:hAnsi="Arial Narrow"/>
          <w:noProof/>
          <w:color w:val="000000"/>
          <w:sz w:val="18"/>
          <w:highlight w:val="black"/>
        </w:rPr>
        <w:t>'''''''''</w:t>
      </w:r>
      <w:r w:rsidR="00B839C2">
        <w:rPr>
          <w:rFonts w:ascii="Arial Narrow" w:hAnsi="Arial Narrow"/>
          <w:sz w:val="18"/>
        </w:rPr>
        <w:t xml:space="preserve"> </w:t>
      </w:r>
      <w:r>
        <w:rPr>
          <w:rFonts w:ascii="Arial Narrow" w:hAnsi="Arial Narrow"/>
          <w:sz w:val="18"/>
        </w:rPr>
        <w:t>vials of imiglucerase per infusion</w:t>
      </w:r>
    </w:p>
    <w:p w:rsidR="00B46BB4" w:rsidRPr="00E175F5" w:rsidRDefault="00B46BB4" w:rsidP="00B46BB4">
      <w:pPr>
        <w:tabs>
          <w:tab w:val="left" w:pos="284"/>
        </w:tabs>
        <w:ind w:left="709"/>
        <w:rPr>
          <w:rFonts w:ascii="Arial Narrow" w:hAnsi="Arial Narrow"/>
          <w:sz w:val="18"/>
        </w:rPr>
      </w:pPr>
      <w:r w:rsidRPr="00E175F5">
        <w:rPr>
          <w:rFonts w:ascii="Arial Narrow" w:hAnsi="Arial Narrow"/>
          <w:sz w:val="18"/>
        </w:rPr>
        <w:t xml:space="preserve">*Based on assumption of reduced ERT administration costs.  </w:t>
      </w:r>
    </w:p>
    <w:p w:rsidR="00B46BB4" w:rsidRPr="00E175F5" w:rsidRDefault="00B46BB4" w:rsidP="00B46BB4">
      <w:pPr>
        <w:ind w:left="709"/>
        <w:rPr>
          <w:rFonts w:ascii="Arial Narrow" w:hAnsi="Arial Narrow"/>
          <w:sz w:val="18"/>
        </w:rPr>
      </w:pPr>
      <w:r w:rsidRPr="00E175F5">
        <w:rPr>
          <w:rFonts w:ascii="Arial Narrow" w:hAnsi="Arial Narrow"/>
          <w:sz w:val="18"/>
        </w:rPr>
        <w:t>Source: Attachment 9, Eliglustat_Section E_March 2015 PBAC.xlsx</w:t>
      </w:r>
    </w:p>
    <w:p w:rsidR="00C25D9C" w:rsidRPr="00C25D9C" w:rsidRDefault="00C25D9C" w:rsidP="00C25D9C">
      <w:pPr>
        <w:widowControl/>
        <w:rPr>
          <w:szCs w:val="22"/>
        </w:rPr>
      </w:pPr>
    </w:p>
    <w:p w:rsidR="00C25D9C" w:rsidRPr="00865309" w:rsidRDefault="00616235" w:rsidP="00754A98">
      <w:pPr>
        <w:pStyle w:val="BodyText"/>
        <w:widowControl/>
        <w:numPr>
          <w:ilvl w:val="1"/>
          <w:numId w:val="31"/>
        </w:numPr>
        <w:jc w:val="both"/>
        <w:rPr>
          <w:iCs/>
          <w:szCs w:val="22"/>
        </w:rPr>
      </w:pPr>
      <w:r w:rsidRPr="0009045E">
        <w:rPr>
          <w:iCs/>
        </w:rPr>
        <w:t>The financial estimates may be an underestimate as the submission d</w:t>
      </w:r>
      <w:r w:rsidR="00FF3E55">
        <w:rPr>
          <w:iCs/>
        </w:rPr>
        <w:t>id</w:t>
      </w:r>
      <w:r w:rsidRPr="0009045E">
        <w:rPr>
          <w:iCs/>
        </w:rPr>
        <w:t xml:space="preserve"> not include cost</w:t>
      </w:r>
      <w:r w:rsidR="00FF3E55">
        <w:rPr>
          <w:iCs/>
        </w:rPr>
        <w:t>s</w:t>
      </w:r>
      <w:r w:rsidRPr="0009045E">
        <w:rPr>
          <w:iCs/>
        </w:rPr>
        <w:t xml:space="preserve"> for management of additional adverse events associated with eliglustat; and there </w:t>
      </w:r>
      <w:r w:rsidR="00FF3E55">
        <w:rPr>
          <w:iCs/>
        </w:rPr>
        <w:t>wa</w:t>
      </w:r>
      <w:r w:rsidRPr="0009045E">
        <w:rPr>
          <w:iCs/>
        </w:rPr>
        <w:t xml:space="preserve">s likely double counting involved in the inclusion of MBS savings (as this </w:t>
      </w:r>
      <w:r w:rsidR="00FF3E55">
        <w:rPr>
          <w:iCs/>
        </w:rPr>
        <w:t>wa</w:t>
      </w:r>
      <w:r w:rsidRPr="0009045E">
        <w:rPr>
          <w:iCs/>
        </w:rPr>
        <w:t>s included in the cost-minimisation analysis for deriving the price of eliglustat).</w:t>
      </w:r>
    </w:p>
    <w:p w:rsidR="00865309" w:rsidRPr="00865309" w:rsidRDefault="00865309" w:rsidP="00661D83">
      <w:pPr>
        <w:pStyle w:val="BodyText"/>
        <w:widowControl/>
        <w:jc w:val="both"/>
        <w:rPr>
          <w:iCs/>
          <w:szCs w:val="22"/>
        </w:rPr>
      </w:pPr>
    </w:p>
    <w:p w:rsidR="00865309" w:rsidRPr="00025701" w:rsidRDefault="00994E94" w:rsidP="00754A98">
      <w:pPr>
        <w:pStyle w:val="BodyText"/>
        <w:widowControl/>
        <w:numPr>
          <w:ilvl w:val="1"/>
          <w:numId w:val="31"/>
        </w:numPr>
        <w:jc w:val="both"/>
        <w:rPr>
          <w:iCs/>
          <w:szCs w:val="22"/>
        </w:rPr>
      </w:pPr>
      <w:r>
        <w:rPr>
          <w:bCs/>
          <w:szCs w:val="22"/>
        </w:rPr>
        <w:t xml:space="preserve">The redacted table above shows that </w:t>
      </w:r>
      <w:r w:rsidR="00B25F40">
        <w:rPr>
          <w:bCs/>
          <w:szCs w:val="22"/>
        </w:rPr>
        <w:t>in</w:t>
      </w:r>
      <w:r w:rsidR="00865309" w:rsidRPr="00025701">
        <w:rPr>
          <w:bCs/>
          <w:szCs w:val="22"/>
        </w:rPr>
        <w:t xml:space="preserve"> year 5, the </w:t>
      </w:r>
      <w:r w:rsidR="00222855">
        <w:rPr>
          <w:bCs/>
          <w:szCs w:val="22"/>
        </w:rPr>
        <w:t xml:space="preserve">submission’s </w:t>
      </w:r>
      <w:r w:rsidR="00865309" w:rsidRPr="00025701">
        <w:rPr>
          <w:bCs/>
          <w:szCs w:val="22"/>
        </w:rPr>
        <w:t>estimated number of patients w</w:t>
      </w:r>
      <w:r w:rsidR="005E59D8">
        <w:rPr>
          <w:bCs/>
          <w:szCs w:val="22"/>
        </w:rPr>
        <w:t>ould be</w:t>
      </w:r>
      <w:r w:rsidR="00865309" w:rsidRPr="00025701">
        <w:rPr>
          <w:bCs/>
          <w:szCs w:val="22"/>
        </w:rPr>
        <w:t xml:space="preserve"> </w:t>
      </w:r>
      <w:r w:rsidR="005F4AC6" w:rsidRPr="005F4AC6">
        <w:rPr>
          <w:bCs/>
          <w:szCs w:val="22"/>
        </w:rPr>
        <w:t>less than 10,000</w:t>
      </w:r>
      <w:r w:rsidR="00865309" w:rsidRPr="00025701">
        <w:rPr>
          <w:bCs/>
          <w:szCs w:val="22"/>
        </w:rPr>
        <w:t xml:space="preserve"> and the </w:t>
      </w:r>
      <w:r w:rsidR="005E59D8">
        <w:rPr>
          <w:bCs/>
          <w:szCs w:val="22"/>
        </w:rPr>
        <w:t xml:space="preserve">estimated </w:t>
      </w:r>
      <w:r w:rsidR="005F4AC6">
        <w:rPr>
          <w:bCs/>
          <w:szCs w:val="22"/>
        </w:rPr>
        <w:t xml:space="preserve">net cost to the LSDP would be less than </w:t>
      </w:r>
      <w:r w:rsidR="005F4AC6" w:rsidRPr="00025701">
        <w:rPr>
          <w:bCs/>
          <w:szCs w:val="22"/>
        </w:rPr>
        <w:t>$</w:t>
      </w:r>
      <w:r w:rsidR="005F4AC6">
        <w:rPr>
          <w:bCs/>
          <w:szCs w:val="22"/>
        </w:rPr>
        <w:t>10 million per year</w:t>
      </w:r>
      <w:r w:rsidR="003F4462">
        <w:rPr>
          <w:bCs/>
          <w:szCs w:val="22"/>
        </w:rPr>
        <w:t xml:space="preserve">. </w:t>
      </w:r>
    </w:p>
    <w:p w:rsidR="00576972" w:rsidRDefault="00576972" w:rsidP="00576972">
      <w:pPr>
        <w:widowControl/>
        <w:rPr>
          <w:szCs w:val="22"/>
        </w:rPr>
      </w:pPr>
    </w:p>
    <w:p w:rsidR="00576972" w:rsidRPr="002C2775" w:rsidRDefault="00576972" w:rsidP="002C2775">
      <w:pPr>
        <w:pStyle w:val="Heading2"/>
        <w:rPr>
          <w:i/>
        </w:rPr>
      </w:pPr>
      <w:bookmarkStart w:id="28" w:name="_Toc419465022"/>
      <w:r w:rsidRPr="002C2775">
        <w:rPr>
          <w:i/>
        </w:rPr>
        <w:t>Quality Use of Medicines</w:t>
      </w:r>
      <w:bookmarkEnd w:id="28"/>
    </w:p>
    <w:p w:rsidR="00576972" w:rsidRPr="00576972" w:rsidRDefault="00576972" w:rsidP="00576972">
      <w:pPr>
        <w:widowControl/>
        <w:rPr>
          <w:szCs w:val="22"/>
        </w:rPr>
      </w:pPr>
    </w:p>
    <w:p w:rsidR="00576972" w:rsidRPr="00616235" w:rsidRDefault="000A1BA3" w:rsidP="00754A98">
      <w:pPr>
        <w:pStyle w:val="BodyText"/>
        <w:widowControl/>
        <w:numPr>
          <w:ilvl w:val="1"/>
          <w:numId w:val="31"/>
        </w:numPr>
        <w:jc w:val="both"/>
        <w:rPr>
          <w:szCs w:val="22"/>
        </w:rPr>
      </w:pPr>
      <w:r w:rsidRPr="000A1BA3">
        <w:t>The submission state</w:t>
      </w:r>
      <w:r w:rsidR="00273B63">
        <w:t>d</w:t>
      </w:r>
      <w:r w:rsidRPr="000A1BA3">
        <w:t xml:space="preserve"> that risk minimisation material to support the quality use of eliglustat ha</w:t>
      </w:r>
      <w:r w:rsidR="00FF3E55">
        <w:t>d</w:t>
      </w:r>
      <w:r w:rsidRPr="000A1BA3">
        <w:t xml:space="preserve"> been developed to guide patients and prescribers on the appropriate use of eliglustat.  The sponsor also expressed a willingness to replace up to one box of eliglustat per year to any patient whose therapy has been lost or damaged.  It </w:t>
      </w:r>
      <w:r w:rsidR="00FF3E55">
        <w:t>wa</w:t>
      </w:r>
      <w:r w:rsidRPr="000A1BA3">
        <w:t xml:space="preserve">s unknown if this </w:t>
      </w:r>
      <w:r w:rsidR="00FF3E55">
        <w:t>wa</w:t>
      </w:r>
      <w:r w:rsidRPr="000A1BA3">
        <w:t xml:space="preserve">s a calendar year or per year of treatment.  </w:t>
      </w:r>
      <w:r>
        <w:t xml:space="preserve">The </w:t>
      </w:r>
      <w:r w:rsidR="00616235" w:rsidRPr="00616235">
        <w:t xml:space="preserve">submission </w:t>
      </w:r>
      <w:r w:rsidR="00BC71A8">
        <w:t xml:space="preserve">also </w:t>
      </w:r>
      <w:r w:rsidR="00616235" w:rsidRPr="00616235">
        <w:t>discusse</w:t>
      </w:r>
      <w:r w:rsidR="00273B63">
        <w:t>d</w:t>
      </w:r>
      <w:r w:rsidR="00616235" w:rsidRPr="00616235">
        <w:t xml:space="preserve"> how eliglustat addresses the criteria for listing on the LSDP</w:t>
      </w:r>
      <w:r w:rsidR="001E10C4">
        <w:t>.</w:t>
      </w:r>
    </w:p>
    <w:p w:rsidR="00A3400D" w:rsidRPr="00661D83" w:rsidRDefault="00A3400D" w:rsidP="00A3400D">
      <w:pPr>
        <w:rPr>
          <w:szCs w:val="22"/>
          <w:highlight w:val="yellow"/>
        </w:rPr>
      </w:pPr>
    </w:p>
    <w:p w:rsidR="00A3400D" w:rsidRDefault="00A3400D" w:rsidP="00A3400D">
      <w:pPr>
        <w:pStyle w:val="ListParagraph"/>
        <w:rPr>
          <w:i/>
          <w:szCs w:val="22"/>
        </w:rPr>
      </w:pPr>
      <w:r w:rsidRPr="004862CB">
        <w:rPr>
          <w:i/>
          <w:szCs w:val="22"/>
        </w:rPr>
        <w:t>For more detail on PBAC’s view, see section 7 “PBAC outcome”</w:t>
      </w:r>
      <w:r w:rsidR="00661D83">
        <w:rPr>
          <w:i/>
          <w:szCs w:val="22"/>
        </w:rPr>
        <w:t>.</w:t>
      </w:r>
    </w:p>
    <w:p w:rsidR="00E42974" w:rsidRDefault="00E42974" w:rsidP="001E10C4">
      <w:pPr>
        <w:contextualSpacing/>
        <w:rPr>
          <w:bCs/>
          <w:szCs w:val="22"/>
        </w:rPr>
      </w:pPr>
    </w:p>
    <w:p w:rsidR="00661D83" w:rsidRPr="00661D83" w:rsidRDefault="00661D83" w:rsidP="001E10C4">
      <w:pPr>
        <w:contextualSpacing/>
        <w:rPr>
          <w:bCs/>
          <w:szCs w:val="22"/>
        </w:rPr>
      </w:pPr>
    </w:p>
    <w:p w:rsidR="00A3400D" w:rsidRPr="00B606FB" w:rsidRDefault="00A3400D" w:rsidP="00A3400D">
      <w:pPr>
        <w:pStyle w:val="Heading2"/>
        <w:widowControl/>
        <w:numPr>
          <w:ilvl w:val="0"/>
          <w:numId w:val="31"/>
        </w:numPr>
        <w:ind w:left="709" w:hanging="709"/>
        <w:rPr>
          <w:b w:val="0"/>
          <w:bCs/>
          <w:szCs w:val="22"/>
        </w:rPr>
      </w:pPr>
      <w:r w:rsidRPr="00B606FB">
        <w:rPr>
          <w:bCs/>
          <w:szCs w:val="22"/>
        </w:rPr>
        <w:t>PBAC Outcome</w:t>
      </w:r>
    </w:p>
    <w:p w:rsidR="00A3400D" w:rsidRPr="005E59D8" w:rsidRDefault="00A3400D" w:rsidP="00A3400D">
      <w:pPr>
        <w:contextualSpacing/>
        <w:rPr>
          <w:bCs/>
          <w:szCs w:val="22"/>
          <w:lang w:val="en-GB"/>
        </w:rPr>
      </w:pPr>
    </w:p>
    <w:p w:rsidR="003C0CFA" w:rsidRDefault="00865309" w:rsidP="00A3400D">
      <w:pPr>
        <w:pStyle w:val="BodyText"/>
        <w:widowControl/>
        <w:numPr>
          <w:ilvl w:val="1"/>
          <w:numId w:val="31"/>
        </w:numPr>
        <w:jc w:val="both"/>
        <w:rPr>
          <w:bCs/>
          <w:szCs w:val="22"/>
          <w:lang w:val="en-GB"/>
        </w:rPr>
      </w:pPr>
      <w:r w:rsidRPr="00B606FB">
        <w:rPr>
          <w:bCs/>
          <w:szCs w:val="22"/>
          <w:lang w:val="en-GB"/>
        </w:rPr>
        <w:t xml:space="preserve">The PBAC rejected the request to list eliglustat on the PBS for the treatment of </w:t>
      </w:r>
      <w:r w:rsidR="001C22E2" w:rsidRPr="00B606FB">
        <w:t xml:space="preserve">Gaucher Disease type 1 </w:t>
      </w:r>
      <w:r w:rsidRPr="00B606FB">
        <w:rPr>
          <w:bCs/>
          <w:szCs w:val="22"/>
          <w:lang w:val="en-GB"/>
        </w:rPr>
        <w:t xml:space="preserve">on the basis </w:t>
      </w:r>
      <w:r w:rsidR="003C0CFA" w:rsidRPr="00B606FB">
        <w:rPr>
          <w:bCs/>
          <w:szCs w:val="22"/>
          <w:lang w:val="en-GB"/>
        </w:rPr>
        <w:t xml:space="preserve">that the </w:t>
      </w:r>
      <w:r w:rsidR="00156742">
        <w:rPr>
          <w:bCs/>
          <w:szCs w:val="22"/>
          <w:lang w:val="en-GB"/>
        </w:rPr>
        <w:t xml:space="preserve">results of the direct randomised trial (ENCORE) suggested inferiority, and </w:t>
      </w:r>
      <w:r w:rsidR="005E59D8">
        <w:rPr>
          <w:bCs/>
          <w:szCs w:val="22"/>
          <w:lang w:val="en-GB"/>
        </w:rPr>
        <w:t xml:space="preserve">that clinically important </w:t>
      </w:r>
      <w:r w:rsidR="00B83FB7">
        <w:rPr>
          <w:bCs/>
          <w:szCs w:val="22"/>
          <w:lang w:val="en-GB"/>
        </w:rPr>
        <w:t>inferiority</w:t>
      </w:r>
      <w:r w:rsidR="00156742">
        <w:rPr>
          <w:bCs/>
          <w:szCs w:val="22"/>
          <w:lang w:val="en-GB"/>
        </w:rPr>
        <w:t xml:space="preserve"> could not be excluded with confidence</w:t>
      </w:r>
      <w:r w:rsidR="00B83FB7">
        <w:rPr>
          <w:bCs/>
          <w:szCs w:val="22"/>
          <w:lang w:val="en-GB"/>
        </w:rPr>
        <w:t>.</w:t>
      </w:r>
    </w:p>
    <w:p w:rsidR="00B606FB" w:rsidRDefault="00B606FB" w:rsidP="00661D83">
      <w:pPr>
        <w:pStyle w:val="BodyText"/>
        <w:widowControl/>
        <w:jc w:val="both"/>
        <w:rPr>
          <w:bCs/>
          <w:szCs w:val="22"/>
          <w:lang w:val="en-GB"/>
        </w:rPr>
      </w:pPr>
    </w:p>
    <w:p w:rsidR="00B606FB" w:rsidRPr="00B606FB" w:rsidRDefault="00B606FB" w:rsidP="00A3400D">
      <w:pPr>
        <w:pStyle w:val="BodyText"/>
        <w:widowControl/>
        <w:numPr>
          <w:ilvl w:val="1"/>
          <w:numId w:val="31"/>
        </w:numPr>
        <w:jc w:val="both"/>
        <w:rPr>
          <w:bCs/>
          <w:szCs w:val="22"/>
          <w:lang w:val="en-GB"/>
        </w:rPr>
      </w:pPr>
      <w:r>
        <w:rPr>
          <w:bCs/>
          <w:szCs w:val="22"/>
          <w:lang w:val="en-GB"/>
        </w:rPr>
        <w:t xml:space="preserve">The </w:t>
      </w:r>
      <w:r w:rsidRPr="00B606FB">
        <w:rPr>
          <w:bCs/>
          <w:szCs w:val="22"/>
          <w:lang w:val="en-GB"/>
        </w:rPr>
        <w:t>PBAC accepted that the nominated comparators</w:t>
      </w:r>
      <w:r w:rsidR="00222855">
        <w:rPr>
          <w:bCs/>
          <w:szCs w:val="22"/>
          <w:lang w:val="en-GB"/>
        </w:rPr>
        <w:t xml:space="preserve">, </w:t>
      </w:r>
      <w:r w:rsidRPr="00B606FB">
        <w:t>imiglucerase and velaglucerase-alfa</w:t>
      </w:r>
      <w:r w:rsidR="00222855">
        <w:t>,</w:t>
      </w:r>
      <w:r w:rsidRPr="00B606FB">
        <w:rPr>
          <w:bCs/>
          <w:szCs w:val="22"/>
          <w:lang w:val="en-GB"/>
        </w:rPr>
        <w:t xml:space="preserve"> were appropriate.</w:t>
      </w:r>
    </w:p>
    <w:p w:rsidR="00DF083C" w:rsidRPr="00C72860" w:rsidRDefault="00DF083C" w:rsidP="00661D83">
      <w:pPr>
        <w:pStyle w:val="BodyText"/>
        <w:widowControl/>
        <w:jc w:val="both"/>
      </w:pPr>
    </w:p>
    <w:p w:rsidR="00FF3540" w:rsidRPr="005C7B1E" w:rsidRDefault="00FF3540" w:rsidP="00FF3540">
      <w:pPr>
        <w:pStyle w:val="BodyText"/>
        <w:widowControl/>
        <w:numPr>
          <w:ilvl w:val="1"/>
          <w:numId w:val="31"/>
        </w:numPr>
        <w:jc w:val="both"/>
        <w:rPr>
          <w:szCs w:val="22"/>
        </w:rPr>
      </w:pPr>
      <w:r w:rsidRPr="00FF3540">
        <w:rPr>
          <w:bCs/>
          <w:szCs w:val="22"/>
          <w:lang w:val="en-GB"/>
        </w:rPr>
        <w:t xml:space="preserve">The PBAC noted that </w:t>
      </w:r>
      <w:r w:rsidRPr="00FF3540">
        <w:t>on the basis of direct evidence presented by the submission in ENCORE, for every 100</w:t>
      </w:r>
      <w:r w:rsidRPr="00CF6EE4">
        <w:t xml:space="preserve"> patients treated with </w:t>
      </w:r>
      <w:r>
        <w:t>eliglustat</w:t>
      </w:r>
      <w:r w:rsidRPr="00CF6EE4">
        <w:t xml:space="preserve"> in comparison to </w:t>
      </w:r>
      <w:r>
        <w:t>imiglucerase:</w:t>
      </w:r>
    </w:p>
    <w:p w:rsidR="00FF3540" w:rsidRPr="00AA1839" w:rsidRDefault="00FF3540" w:rsidP="00FF3540">
      <w:pPr>
        <w:pStyle w:val="ListParagraph"/>
        <w:widowControl/>
        <w:numPr>
          <w:ilvl w:val="0"/>
          <w:numId w:val="7"/>
        </w:numPr>
        <w:ind w:left="993" w:hanging="284"/>
      </w:pPr>
      <w:r w:rsidRPr="00AA1839">
        <w:t>Approximately 9 fewer patients would be stable at week 52;</w:t>
      </w:r>
    </w:p>
    <w:p w:rsidR="00FF3540" w:rsidRPr="00AA1839" w:rsidRDefault="00FF3540" w:rsidP="00FF3540">
      <w:pPr>
        <w:pStyle w:val="ListParagraph"/>
        <w:widowControl/>
        <w:numPr>
          <w:ilvl w:val="0"/>
          <w:numId w:val="7"/>
        </w:numPr>
        <w:ind w:left="993" w:hanging="284"/>
      </w:pPr>
      <w:r w:rsidRPr="00AA1839">
        <w:t>Approximately 5 fewer patients would have haemoglobin levels that had not decreased</w:t>
      </w:r>
      <w:r w:rsidRPr="00AA1839">
        <w:rPr>
          <w:rFonts w:ascii="Arial Narrow" w:hAnsi="Arial Narrow"/>
          <w:sz w:val="20"/>
        </w:rPr>
        <w:t xml:space="preserve"> </w:t>
      </w:r>
      <w:r w:rsidRPr="00AA1839">
        <w:rPr>
          <w:szCs w:val="22"/>
        </w:rPr>
        <w:t>from &gt; 1.5 g/dL from baseline by week 52;</w:t>
      </w:r>
    </w:p>
    <w:p w:rsidR="00FF3540" w:rsidRPr="00AA1839" w:rsidRDefault="00FF3540" w:rsidP="00FF3540">
      <w:pPr>
        <w:pStyle w:val="ListParagraph"/>
        <w:widowControl/>
        <w:numPr>
          <w:ilvl w:val="0"/>
          <w:numId w:val="7"/>
        </w:numPr>
        <w:ind w:left="993" w:hanging="284"/>
      </w:pPr>
      <w:r w:rsidRPr="00AA1839">
        <w:rPr>
          <w:szCs w:val="22"/>
        </w:rPr>
        <w:t>Approximately 7 fewer patients would have platelet counts that had not decreased from &gt; 25% from baseline by week 52;</w:t>
      </w:r>
    </w:p>
    <w:p w:rsidR="00FF3540" w:rsidRPr="00AA1839" w:rsidRDefault="00FF3540" w:rsidP="00FF3540">
      <w:pPr>
        <w:pStyle w:val="ListParagraph"/>
        <w:widowControl/>
        <w:numPr>
          <w:ilvl w:val="0"/>
          <w:numId w:val="7"/>
        </w:numPr>
        <w:ind w:left="993" w:hanging="284"/>
      </w:pPr>
      <w:r w:rsidRPr="00AA1839">
        <w:rPr>
          <w:szCs w:val="22"/>
        </w:rPr>
        <w:t>Approximately 4 fewer non-splenectomised patients would have a spleen volume that had not increased &gt; 25% from baseline by week 52;</w:t>
      </w:r>
    </w:p>
    <w:p w:rsidR="00FF3540" w:rsidRPr="00AA1839" w:rsidRDefault="00FF3540" w:rsidP="00FF3540">
      <w:pPr>
        <w:pStyle w:val="ListParagraph"/>
        <w:widowControl/>
        <w:numPr>
          <w:ilvl w:val="0"/>
          <w:numId w:val="7"/>
        </w:numPr>
        <w:ind w:left="993" w:hanging="284"/>
      </w:pPr>
      <w:r w:rsidRPr="00AA1839">
        <w:rPr>
          <w:szCs w:val="22"/>
        </w:rPr>
        <w:t>Approximately 2 more patients would have a liver volume that would not increase &gt; 20% from baseline by week 52;</w:t>
      </w:r>
    </w:p>
    <w:p w:rsidR="00FF3540" w:rsidRPr="00CF6EE4" w:rsidRDefault="00FF3540" w:rsidP="00FF3540">
      <w:pPr>
        <w:pStyle w:val="ListParagraph"/>
        <w:widowControl/>
        <w:numPr>
          <w:ilvl w:val="0"/>
          <w:numId w:val="7"/>
        </w:numPr>
        <w:ind w:left="993" w:hanging="284"/>
      </w:pPr>
      <w:r>
        <w:t>Approximately 17</w:t>
      </w:r>
      <w:r w:rsidRPr="00CF6EE4">
        <w:t xml:space="preserve"> additional patients would have </w:t>
      </w:r>
      <w:r>
        <w:t>gastrointestinal disorders</w:t>
      </w:r>
      <w:r w:rsidRPr="00CF6EE4">
        <w:t xml:space="preserve"> over a  </w:t>
      </w:r>
      <w:r>
        <w:t xml:space="preserve">mean </w:t>
      </w:r>
      <w:r w:rsidRPr="00CF6EE4">
        <w:t>duration of follow-up</w:t>
      </w:r>
      <w:r>
        <w:t xml:space="preserve"> of 404.4 days to 421.4 days; and</w:t>
      </w:r>
    </w:p>
    <w:p w:rsidR="00FF3540" w:rsidRDefault="00FF3540" w:rsidP="00FF3540">
      <w:pPr>
        <w:pStyle w:val="ListParagraph"/>
        <w:widowControl/>
        <w:numPr>
          <w:ilvl w:val="0"/>
          <w:numId w:val="7"/>
        </w:numPr>
        <w:ind w:left="993" w:hanging="284"/>
      </w:pPr>
      <w:r>
        <w:t>Approximately 13</w:t>
      </w:r>
      <w:r w:rsidRPr="00CF6EE4">
        <w:t xml:space="preserve"> additional patients would have </w:t>
      </w:r>
      <w:r>
        <w:t>nervous system disorders</w:t>
      </w:r>
      <w:r w:rsidRPr="00CF6EE4">
        <w:t xml:space="preserve"> over a </w:t>
      </w:r>
      <w:r>
        <w:t xml:space="preserve">mean </w:t>
      </w:r>
      <w:r w:rsidRPr="00CF6EE4">
        <w:t>duration of follow-up</w:t>
      </w:r>
      <w:r>
        <w:t xml:space="preserve"> of 404.4 days to 421.4 days.</w:t>
      </w:r>
    </w:p>
    <w:p w:rsidR="00DF083C" w:rsidRPr="00D803ED" w:rsidRDefault="00FF3540" w:rsidP="00FF3540">
      <w:pPr>
        <w:pStyle w:val="BodyText"/>
        <w:widowControl/>
        <w:ind w:left="720"/>
        <w:jc w:val="both"/>
        <w:rPr>
          <w:iCs/>
        </w:rPr>
      </w:pPr>
      <w:r>
        <w:rPr>
          <w:iCs/>
        </w:rPr>
        <w:t xml:space="preserve">The PBAC noted that </w:t>
      </w:r>
      <w:r w:rsidR="00C72860">
        <w:rPr>
          <w:iCs/>
        </w:rPr>
        <w:t>the</w:t>
      </w:r>
      <w:r w:rsidR="00222855">
        <w:rPr>
          <w:iCs/>
        </w:rPr>
        <w:t>se</w:t>
      </w:r>
      <w:r w:rsidR="00C72860">
        <w:rPr>
          <w:iCs/>
        </w:rPr>
        <w:t xml:space="preserve"> results </w:t>
      </w:r>
      <w:r>
        <w:rPr>
          <w:iCs/>
        </w:rPr>
        <w:t>w</w:t>
      </w:r>
      <w:r w:rsidR="00222855">
        <w:rPr>
          <w:iCs/>
        </w:rPr>
        <w:t>ere</w:t>
      </w:r>
      <w:r>
        <w:rPr>
          <w:iCs/>
        </w:rPr>
        <w:t xml:space="preserve"> based on the per protocol </w:t>
      </w:r>
      <w:r w:rsidR="001B6AF8">
        <w:rPr>
          <w:iCs/>
        </w:rPr>
        <w:t>analysis</w:t>
      </w:r>
      <w:r>
        <w:rPr>
          <w:iCs/>
        </w:rPr>
        <w:t xml:space="preserve">. The PBAC considered that this comparison </w:t>
      </w:r>
      <w:r w:rsidR="001B6AF8">
        <w:rPr>
          <w:iCs/>
        </w:rPr>
        <w:t xml:space="preserve">might more clearly show inferiority of eliglustat compared with </w:t>
      </w:r>
      <w:r>
        <w:rPr>
          <w:iCs/>
        </w:rPr>
        <w:t xml:space="preserve">imiglucerase if it were based on the </w:t>
      </w:r>
      <w:r w:rsidR="00C72860">
        <w:rPr>
          <w:iCs/>
        </w:rPr>
        <w:t xml:space="preserve">intention to treat </w:t>
      </w:r>
      <w:r w:rsidR="001B6AF8">
        <w:rPr>
          <w:iCs/>
        </w:rPr>
        <w:t>analysis</w:t>
      </w:r>
      <w:r>
        <w:rPr>
          <w:iCs/>
        </w:rPr>
        <w:t>.</w:t>
      </w:r>
    </w:p>
    <w:p w:rsidR="004E6F4F" w:rsidRDefault="004E6F4F" w:rsidP="009D5191">
      <w:pPr>
        <w:pStyle w:val="BodyText"/>
        <w:widowControl/>
        <w:jc w:val="both"/>
        <w:rPr>
          <w:bCs/>
          <w:szCs w:val="22"/>
          <w:highlight w:val="yellow"/>
          <w:lang w:val="en-GB"/>
        </w:rPr>
      </w:pPr>
    </w:p>
    <w:p w:rsidR="00E32B0C" w:rsidRDefault="009D5191" w:rsidP="009D5191">
      <w:pPr>
        <w:pStyle w:val="BodyText"/>
        <w:widowControl/>
        <w:numPr>
          <w:ilvl w:val="1"/>
          <w:numId w:val="31"/>
        </w:numPr>
        <w:jc w:val="both"/>
        <w:rPr>
          <w:iCs/>
        </w:rPr>
      </w:pPr>
      <w:r w:rsidRPr="009D5191">
        <w:rPr>
          <w:bCs/>
          <w:szCs w:val="22"/>
          <w:lang w:val="en-GB"/>
        </w:rPr>
        <w:t xml:space="preserve">The PBAC noted that the </w:t>
      </w:r>
      <w:r w:rsidRPr="009D5191">
        <w:t>lower bound of the 95% confidence interval for the primary outcome from ENCORE (</w:t>
      </w:r>
      <w:r w:rsidRPr="009D5191">
        <w:rPr>
          <w:szCs w:val="22"/>
        </w:rPr>
        <w:t>% stabilised at week 52)</w:t>
      </w:r>
      <w:r w:rsidRPr="009D5191">
        <w:t xml:space="preserve"> was -17.6%, which fell within the pre-specified non-inferiority margin of -25%. The </w:t>
      </w:r>
      <w:r w:rsidRPr="009D5191">
        <w:rPr>
          <w:bCs/>
          <w:szCs w:val="22"/>
          <w:lang w:val="en-GB"/>
        </w:rPr>
        <w:t>PBAC agreed with ESC, however, that the submission did not provide</w:t>
      </w:r>
      <w:r w:rsidRPr="009D5191">
        <w:rPr>
          <w:iCs/>
        </w:rPr>
        <w:t xml:space="preserve"> sufficient clinical justification for the 25% non-inferiority margin between eliglustat and imiglucerase.</w:t>
      </w:r>
    </w:p>
    <w:p w:rsidR="00E32B0C" w:rsidRDefault="00E32B0C" w:rsidP="00661D83">
      <w:pPr>
        <w:pStyle w:val="BodyText"/>
        <w:widowControl/>
        <w:jc w:val="both"/>
        <w:rPr>
          <w:iCs/>
        </w:rPr>
      </w:pPr>
    </w:p>
    <w:p w:rsidR="009D5191" w:rsidRPr="009D5191" w:rsidRDefault="009D5191" w:rsidP="009D5191">
      <w:pPr>
        <w:pStyle w:val="BodyText"/>
        <w:widowControl/>
        <w:numPr>
          <w:ilvl w:val="1"/>
          <w:numId w:val="31"/>
        </w:numPr>
        <w:jc w:val="both"/>
        <w:rPr>
          <w:iCs/>
        </w:rPr>
      </w:pPr>
      <w:r w:rsidRPr="009D5191">
        <w:rPr>
          <w:iCs/>
        </w:rPr>
        <w:t>The PBAC also noted that the lower bound</w:t>
      </w:r>
      <w:r w:rsidR="00E32B0C">
        <w:rPr>
          <w:iCs/>
        </w:rPr>
        <w:t xml:space="preserve"> for the primary outcome </w:t>
      </w:r>
      <w:r w:rsidRPr="009D5191">
        <w:rPr>
          <w:iCs/>
        </w:rPr>
        <w:t>would also fall within the EMA</w:t>
      </w:r>
      <w:r w:rsidR="00CB2956">
        <w:rPr>
          <w:iCs/>
        </w:rPr>
        <w:t xml:space="preserve"> suggested</w:t>
      </w:r>
      <w:r w:rsidRPr="009D5191">
        <w:rPr>
          <w:iCs/>
        </w:rPr>
        <w:t xml:space="preserve"> non-inferiority margin of 20%, however this was considered unreliable due to the high sensitivity of the primary outcome and the differences in dosing in the trial compared with that proposed for the PBS population.  The PBAC noted that the dose</w:t>
      </w:r>
      <w:r w:rsidRPr="009D5191">
        <w:t xml:space="preserve"> of eliglustat used in the ENCORE trial (</w:t>
      </w:r>
      <w:r w:rsidRPr="009D5191">
        <w:rPr>
          <w:bCs/>
          <w:iCs/>
          <w:szCs w:val="22"/>
        </w:rPr>
        <w:t>150 mg BD)</w:t>
      </w:r>
      <w:r w:rsidRPr="009D5191">
        <w:t xml:space="preserve"> was greater than that proposed by the submission for the PBS population (</w:t>
      </w:r>
      <w:r w:rsidRPr="009D5191">
        <w:rPr>
          <w:bCs/>
          <w:iCs/>
          <w:szCs w:val="22"/>
        </w:rPr>
        <w:t>100 mg BD</w:t>
      </w:r>
      <w:r w:rsidRPr="009D5191">
        <w:t xml:space="preserve">) and </w:t>
      </w:r>
      <w:r w:rsidRPr="009D5191">
        <w:rPr>
          <w:iCs/>
        </w:rPr>
        <w:t xml:space="preserve">that </w:t>
      </w:r>
      <w:r w:rsidRPr="009D5191">
        <w:rPr>
          <w:szCs w:val="22"/>
        </w:rPr>
        <w:t xml:space="preserve">if treatment with 100 mg BD instead of 150 mg BD resulted in 2 fewer eliglustat patients remaining ‘stable’ (i.e. 82/99), the results would not support non-inferiority at the 20% margin </w:t>
      </w:r>
      <w:r w:rsidR="00CB2956">
        <w:rPr>
          <w:szCs w:val="22"/>
        </w:rPr>
        <w:t>suggested</w:t>
      </w:r>
      <w:r w:rsidRPr="009D5191">
        <w:rPr>
          <w:szCs w:val="22"/>
        </w:rPr>
        <w:t xml:space="preserve"> by</w:t>
      </w:r>
      <w:r w:rsidR="00CB2956">
        <w:rPr>
          <w:szCs w:val="22"/>
        </w:rPr>
        <w:t xml:space="preserve"> the</w:t>
      </w:r>
      <w:r w:rsidRPr="009D5191">
        <w:rPr>
          <w:szCs w:val="22"/>
        </w:rPr>
        <w:t xml:space="preserve"> EMA. The PBAC thus</w:t>
      </w:r>
      <w:r w:rsidRPr="009D5191">
        <w:rPr>
          <w:iCs/>
        </w:rPr>
        <w:t xml:space="preserve"> </w:t>
      </w:r>
      <w:r w:rsidRPr="009D5191">
        <w:rPr>
          <w:bCs/>
          <w:szCs w:val="22"/>
          <w:lang w:val="en-GB"/>
        </w:rPr>
        <w:t>determined</w:t>
      </w:r>
      <w:r w:rsidRPr="009D5191">
        <w:rPr>
          <w:iCs/>
        </w:rPr>
        <w:t xml:space="preserve"> that the primary outcome measure did not </w:t>
      </w:r>
      <w:r w:rsidR="00B606FB">
        <w:rPr>
          <w:iCs/>
        </w:rPr>
        <w:t xml:space="preserve">conclusively </w:t>
      </w:r>
      <w:r w:rsidRPr="009D5191">
        <w:rPr>
          <w:iCs/>
        </w:rPr>
        <w:t>demonstrate non-inferiority.</w:t>
      </w:r>
    </w:p>
    <w:p w:rsidR="009D5191" w:rsidRPr="009D5191" w:rsidRDefault="009D5191" w:rsidP="00661D83">
      <w:pPr>
        <w:pStyle w:val="BodyText"/>
        <w:widowControl/>
        <w:jc w:val="both"/>
        <w:rPr>
          <w:iCs/>
        </w:rPr>
      </w:pPr>
    </w:p>
    <w:p w:rsidR="003C0CFA" w:rsidRPr="007636B3" w:rsidRDefault="00025701" w:rsidP="007D12F9">
      <w:pPr>
        <w:pStyle w:val="BodyText"/>
        <w:widowControl/>
        <w:numPr>
          <w:ilvl w:val="1"/>
          <w:numId w:val="31"/>
        </w:numPr>
        <w:jc w:val="both"/>
        <w:rPr>
          <w:bCs/>
          <w:szCs w:val="22"/>
          <w:lang w:val="en-GB"/>
        </w:rPr>
      </w:pPr>
      <w:r w:rsidRPr="007636B3">
        <w:rPr>
          <w:szCs w:val="22"/>
        </w:rPr>
        <w:t xml:space="preserve">The PBAC also noted </w:t>
      </w:r>
      <w:r w:rsidR="006B7967" w:rsidRPr="007636B3">
        <w:rPr>
          <w:bCs/>
          <w:szCs w:val="22"/>
          <w:lang w:val="en-GB"/>
        </w:rPr>
        <w:t xml:space="preserve">that in the ENCORE trial </w:t>
      </w:r>
      <w:r w:rsidR="006B7967" w:rsidRPr="007636B3">
        <w:t>patients treated with eliglustat had statistically significantly more treatment</w:t>
      </w:r>
      <w:r w:rsidR="00156742">
        <w:t>-</w:t>
      </w:r>
      <w:r w:rsidR="006B7967" w:rsidRPr="007636B3">
        <w:t>related adverse events than patients treated with imiglucerase, including severe events such as syncope, arrhythmias and cardiac conduction disorders</w:t>
      </w:r>
      <w:r w:rsidR="003C0CFA" w:rsidRPr="007636B3">
        <w:rPr>
          <w:bCs/>
          <w:szCs w:val="22"/>
          <w:lang w:val="en-GB"/>
        </w:rPr>
        <w:t>.</w:t>
      </w:r>
    </w:p>
    <w:p w:rsidR="006B7967" w:rsidRPr="007636B3" w:rsidRDefault="006B7967" w:rsidP="006B7967">
      <w:pPr>
        <w:pStyle w:val="BodyText"/>
        <w:widowControl/>
        <w:jc w:val="both"/>
        <w:rPr>
          <w:bCs/>
          <w:szCs w:val="22"/>
          <w:lang w:val="en-GB"/>
        </w:rPr>
      </w:pPr>
    </w:p>
    <w:p w:rsidR="00025701" w:rsidRPr="004859B6" w:rsidRDefault="00037319" w:rsidP="00025701">
      <w:pPr>
        <w:pStyle w:val="BodyText"/>
        <w:widowControl/>
        <w:numPr>
          <w:ilvl w:val="1"/>
          <w:numId w:val="31"/>
        </w:numPr>
        <w:jc w:val="both"/>
        <w:rPr>
          <w:iCs/>
          <w:szCs w:val="22"/>
        </w:rPr>
      </w:pPr>
      <w:r>
        <w:rPr>
          <w:bCs/>
          <w:szCs w:val="22"/>
          <w:lang w:val="en-GB"/>
        </w:rPr>
        <w:t xml:space="preserve">Given that </w:t>
      </w:r>
      <w:r w:rsidR="00025701">
        <w:rPr>
          <w:bCs/>
          <w:szCs w:val="22"/>
          <w:lang w:val="en-GB"/>
        </w:rPr>
        <w:t>the</w:t>
      </w:r>
      <w:r w:rsidR="003C0CFA" w:rsidRPr="007636B3">
        <w:rPr>
          <w:bCs/>
          <w:szCs w:val="22"/>
          <w:lang w:val="en-GB"/>
        </w:rPr>
        <w:t xml:space="preserve"> PBAC </w:t>
      </w:r>
      <w:r w:rsidR="00025701">
        <w:rPr>
          <w:bCs/>
          <w:szCs w:val="22"/>
          <w:lang w:val="en-GB"/>
        </w:rPr>
        <w:t xml:space="preserve">did not consider that the submission </w:t>
      </w:r>
      <w:r>
        <w:rPr>
          <w:bCs/>
          <w:szCs w:val="22"/>
          <w:lang w:val="en-GB"/>
        </w:rPr>
        <w:t xml:space="preserve">had conclusively </w:t>
      </w:r>
      <w:r w:rsidR="00025701">
        <w:rPr>
          <w:bCs/>
          <w:szCs w:val="22"/>
          <w:lang w:val="en-GB"/>
        </w:rPr>
        <w:t>demonstrated non-inferiority</w:t>
      </w:r>
      <w:r w:rsidR="00156742">
        <w:rPr>
          <w:bCs/>
          <w:szCs w:val="22"/>
          <w:lang w:val="en-GB"/>
        </w:rPr>
        <w:t>,</w:t>
      </w:r>
      <w:r w:rsidR="00025701">
        <w:rPr>
          <w:bCs/>
          <w:szCs w:val="22"/>
          <w:lang w:val="en-GB"/>
        </w:rPr>
        <w:t xml:space="preserve"> it </w:t>
      </w:r>
      <w:r>
        <w:rPr>
          <w:bCs/>
          <w:szCs w:val="22"/>
          <w:lang w:val="en-GB"/>
        </w:rPr>
        <w:t xml:space="preserve">also </w:t>
      </w:r>
      <w:r w:rsidR="00025701">
        <w:rPr>
          <w:bCs/>
          <w:szCs w:val="22"/>
          <w:lang w:val="en-GB"/>
        </w:rPr>
        <w:t>did not accept the cost-minimisation analysi</w:t>
      </w:r>
      <w:r w:rsidR="004859B6">
        <w:rPr>
          <w:bCs/>
          <w:szCs w:val="22"/>
          <w:lang w:val="en-GB"/>
        </w:rPr>
        <w:t>s. T</w:t>
      </w:r>
      <w:r w:rsidR="00025701">
        <w:rPr>
          <w:bCs/>
          <w:szCs w:val="22"/>
          <w:lang w:val="en-GB"/>
        </w:rPr>
        <w:t xml:space="preserve">he PBAC further noted that the </w:t>
      </w:r>
      <w:r w:rsidR="00025701" w:rsidRPr="0009045E">
        <w:rPr>
          <w:iCs/>
        </w:rPr>
        <w:t xml:space="preserve">financial estimates </w:t>
      </w:r>
      <w:r w:rsidR="004859B6">
        <w:rPr>
          <w:iCs/>
        </w:rPr>
        <w:t xml:space="preserve">presented </w:t>
      </w:r>
      <w:r w:rsidR="00025701" w:rsidRPr="0009045E">
        <w:rPr>
          <w:iCs/>
        </w:rPr>
        <w:t xml:space="preserve">may be </w:t>
      </w:r>
      <w:r w:rsidR="004859B6">
        <w:rPr>
          <w:iCs/>
        </w:rPr>
        <w:t>underestimated</w:t>
      </w:r>
      <w:r w:rsidR="00025701" w:rsidRPr="0009045E">
        <w:rPr>
          <w:iCs/>
        </w:rPr>
        <w:t xml:space="preserve"> as the </w:t>
      </w:r>
      <w:r w:rsidR="004859B6">
        <w:rPr>
          <w:iCs/>
        </w:rPr>
        <w:t xml:space="preserve">submission </w:t>
      </w:r>
      <w:r w:rsidR="00025701" w:rsidRPr="0009045E">
        <w:rPr>
          <w:iCs/>
        </w:rPr>
        <w:t xml:space="preserve">likely double </w:t>
      </w:r>
      <w:r w:rsidR="004859B6">
        <w:rPr>
          <w:iCs/>
        </w:rPr>
        <w:t>counted the</w:t>
      </w:r>
      <w:r w:rsidR="00025701" w:rsidRPr="0009045E">
        <w:rPr>
          <w:iCs/>
        </w:rPr>
        <w:t xml:space="preserve"> inclusion </w:t>
      </w:r>
      <w:r w:rsidR="00156742">
        <w:rPr>
          <w:iCs/>
        </w:rPr>
        <w:t>of MBS savings.</w:t>
      </w:r>
    </w:p>
    <w:p w:rsidR="004859B6" w:rsidRPr="00661D83" w:rsidRDefault="004859B6" w:rsidP="004859B6">
      <w:pPr>
        <w:rPr>
          <w:iCs/>
          <w:szCs w:val="22"/>
        </w:rPr>
      </w:pPr>
    </w:p>
    <w:p w:rsidR="004859B6" w:rsidRPr="00865309" w:rsidRDefault="004859B6" w:rsidP="00025701">
      <w:pPr>
        <w:pStyle w:val="BodyText"/>
        <w:widowControl/>
        <w:numPr>
          <w:ilvl w:val="1"/>
          <w:numId w:val="31"/>
        </w:numPr>
        <w:jc w:val="both"/>
        <w:rPr>
          <w:iCs/>
          <w:szCs w:val="22"/>
        </w:rPr>
      </w:pPr>
      <w:r>
        <w:rPr>
          <w:iCs/>
          <w:szCs w:val="22"/>
        </w:rPr>
        <w:t>The PBAC noted that this submission is eligible for an independent review.</w:t>
      </w:r>
    </w:p>
    <w:p w:rsidR="00A3400D" w:rsidRPr="00661D83" w:rsidRDefault="00A3400D" w:rsidP="00A3400D">
      <w:pPr>
        <w:rPr>
          <w:bCs/>
          <w:szCs w:val="22"/>
          <w:highlight w:val="yellow"/>
          <w:lang w:val="en-GB"/>
        </w:rPr>
      </w:pPr>
    </w:p>
    <w:p w:rsidR="00A3400D" w:rsidRPr="007636B3" w:rsidRDefault="00A3400D" w:rsidP="00A3400D">
      <w:pPr>
        <w:rPr>
          <w:b/>
          <w:bCs/>
          <w:szCs w:val="22"/>
          <w:lang w:val="en-GB"/>
        </w:rPr>
      </w:pPr>
      <w:r w:rsidRPr="007636B3">
        <w:rPr>
          <w:b/>
          <w:bCs/>
          <w:szCs w:val="22"/>
          <w:lang w:val="en-GB"/>
        </w:rPr>
        <w:t>Outcome:</w:t>
      </w:r>
    </w:p>
    <w:p w:rsidR="00A3400D" w:rsidRDefault="00661D83" w:rsidP="00A3400D">
      <w:pPr>
        <w:rPr>
          <w:bCs/>
          <w:szCs w:val="22"/>
          <w:lang w:val="en-GB"/>
        </w:rPr>
      </w:pPr>
      <w:r>
        <w:rPr>
          <w:bCs/>
          <w:szCs w:val="22"/>
          <w:lang w:val="en-GB"/>
        </w:rPr>
        <w:t>Rejected.</w:t>
      </w:r>
    </w:p>
    <w:p w:rsidR="0095619A" w:rsidRDefault="0095619A" w:rsidP="00A3400D">
      <w:pPr>
        <w:rPr>
          <w:bCs/>
          <w:szCs w:val="22"/>
          <w:lang w:val="en-GB"/>
        </w:rPr>
      </w:pPr>
    </w:p>
    <w:p w:rsidR="007D3EDB" w:rsidRDefault="007D3EDB" w:rsidP="00A3400D">
      <w:pPr>
        <w:rPr>
          <w:bCs/>
          <w:szCs w:val="22"/>
          <w:lang w:val="en-GB"/>
        </w:rPr>
      </w:pPr>
    </w:p>
    <w:p w:rsidR="0095619A" w:rsidRPr="0095619A" w:rsidRDefault="0095619A" w:rsidP="0095619A">
      <w:pPr>
        <w:pStyle w:val="PBACHeading1"/>
      </w:pPr>
      <w:r w:rsidRPr="0095619A">
        <w:t>Context for Decision</w:t>
      </w:r>
    </w:p>
    <w:p w:rsidR="0095619A" w:rsidRPr="0095619A" w:rsidRDefault="0095619A" w:rsidP="0095619A">
      <w:pPr>
        <w:rPr>
          <w:b/>
          <w:bCs/>
          <w:szCs w:val="22"/>
        </w:rPr>
      </w:pPr>
    </w:p>
    <w:p w:rsidR="0095619A" w:rsidRPr="0095619A" w:rsidRDefault="0095619A" w:rsidP="0095619A">
      <w:pPr>
        <w:ind w:left="720"/>
        <w:rPr>
          <w:bCs/>
          <w:szCs w:val="22"/>
        </w:rPr>
      </w:pPr>
      <w:r w:rsidRPr="0095619A">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5619A" w:rsidRDefault="0095619A" w:rsidP="0095619A">
      <w:pPr>
        <w:rPr>
          <w:bCs/>
          <w:szCs w:val="22"/>
        </w:rPr>
      </w:pPr>
    </w:p>
    <w:p w:rsidR="007D3EDB" w:rsidRPr="0095619A" w:rsidRDefault="007D3EDB" w:rsidP="0095619A">
      <w:pPr>
        <w:rPr>
          <w:bCs/>
          <w:szCs w:val="22"/>
        </w:rPr>
      </w:pPr>
    </w:p>
    <w:p w:rsidR="0095619A" w:rsidRDefault="0095619A" w:rsidP="0095619A">
      <w:pPr>
        <w:numPr>
          <w:ilvl w:val="0"/>
          <w:numId w:val="8"/>
        </w:numPr>
        <w:rPr>
          <w:b/>
          <w:bCs/>
          <w:szCs w:val="22"/>
        </w:rPr>
      </w:pPr>
      <w:r w:rsidRPr="0095619A">
        <w:rPr>
          <w:b/>
          <w:bCs/>
          <w:szCs w:val="22"/>
        </w:rPr>
        <w:t>Sponsor’s Comment</w:t>
      </w:r>
    </w:p>
    <w:p w:rsidR="00BD25A9" w:rsidRDefault="00BD25A9" w:rsidP="003A7B06">
      <w:pPr>
        <w:pStyle w:val="CommentText"/>
        <w:rPr>
          <w:bCs/>
          <w:szCs w:val="22"/>
        </w:rPr>
      </w:pPr>
    </w:p>
    <w:p w:rsidR="008A10D7" w:rsidRPr="00BD25A9" w:rsidRDefault="008A10D7" w:rsidP="00BD25A9">
      <w:pPr>
        <w:pStyle w:val="CommentText"/>
        <w:ind w:left="720"/>
        <w:rPr>
          <w:rFonts w:ascii="Arial" w:hAnsi="Arial" w:cs="Arial"/>
          <w:bCs/>
          <w:sz w:val="22"/>
          <w:szCs w:val="22"/>
        </w:rPr>
      </w:pPr>
      <w:r w:rsidRPr="00BD25A9">
        <w:rPr>
          <w:rFonts w:ascii="Arial" w:hAnsi="Arial" w:cs="Arial"/>
          <w:bCs/>
          <w:sz w:val="22"/>
          <w:szCs w:val="22"/>
        </w:rPr>
        <w:t xml:space="preserve">Genzyme firmly believes that Cerdelga provides significant clinical benefits through proven </w:t>
      </w:r>
      <w:r w:rsidR="00773775" w:rsidRPr="00BD25A9">
        <w:rPr>
          <w:rFonts w:ascii="Arial" w:hAnsi="Arial" w:cs="Arial"/>
          <w:bCs/>
          <w:sz w:val="22"/>
          <w:szCs w:val="22"/>
        </w:rPr>
        <w:t>efficacy</w:t>
      </w:r>
      <w:r w:rsidRPr="00BD25A9">
        <w:rPr>
          <w:rFonts w:ascii="Arial" w:hAnsi="Arial" w:cs="Arial"/>
          <w:bCs/>
          <w:sz w:val="22"/>
          <w:szCs w:val="22"/>
        </w:rPr>
        <w:t xml:space="preserve"> and safety for patients with Gaucher disease. This is the result of the </w:t>
      </w:r>
      <w:r w:rsidR="00773775" w:rsidRPr="00BD25A9">
        <w:rPr>
          <w:rFonts w:ascii="Arial" w:hAnsi="Arial" w:cs="Arial"/>
          <w:bCs/>
          <w:sz w:val="22"/>
          <w:szCs w:val="22"/>
        </w:rPr>
        <w:t>largest</w:t>
      </w:r>
      <w:r w:rsidRPr="00BD25A9">
        <w:rPr>
          <w:rFonts w:ascii="Arial" w:hAnsi="Arial" w:cs="Arial"/>
          <w:bCs/>
          <w:sz w:val="22"/>
          <w:szCs w:val="22"/>
        </w:rPr>
        <w:t xml:space="preserve"> Gaucher program ever developed</w:t>
      </w:r>
      <w:r w:rsidR="005130CE" w:rsidRPr="00BD25A9">
        <w:rPr>
          <w:rFonts w:ascii="Arial" w:hAnsi="Arial" w:cs="Arial"/>
          <w:bCs/>
          <w:sz w:val="22"/>
          <w:szCs w:val="22"/>
        </w:rPr>
        <w:t xml:space="preserve"> </w:t>
      </w:r>
      <w:r w:rsidR="003A7B06" w:rsidRPr="00BD25A9">
        <w:rPr>
          <w:rFonts w:ascii="Arial" w:hAnsi="Arial" w:cs="Arial"/>
          <w:bCs/>
          <w:sz w:val="22"/>
          <w:szCs w:val="22"/>
        </w:rPr>
        <w:t>and regulatory and health authorities in the US, Europe, Japan and Australia have approved Cerdelga as first-line therapy for adults with Gaucher disease type 1. Cerdelga is the only first-line oral therapy indicated for the treatment of Gaucher disease type 1.</w:t>
      </w:r>
      <w:r w:rsidR="005130CE" w:rsidRPr="00BD25A9">
        <w:rPr>
          <w:rFonts w:ascii="Arial" w:hAnsi="Arial" w:cs="Arial"/>
          <w:bCs/>
          <w:sz w:val="22"/>
          <w:szCs w:val="22"/>
        </w:rPr>
        <w:t xml:space="preserve"> Genzyme is committed to bringing Cerdelga to patients around the world, and will explore ways to work with the </w:t>
      </w:r>
      <w:r w:rsidR="00FA4904" w:rsidRPr="00BD25A9">
        <w:rPr>
          <w:rFonts w:ascii="Arial" w:hAnsi="Arial" w:cs="Arial"/>
          <w:bCs/>
          <w:sz w:val="22"/>
          <w:szCs w:val="22"/>
        </w:rPr>
        <w:t>D</w:t>
      </w:r>
      <w:r w:rsidR="005130CE" w:rsidRPr="00BD25A9">
        <w:rPr>
          <w:rFonts w:ascii="Arial" w:hAnsi="Arial" w:cs="Arial"/>
          <w:bCs/>
          <w:sz w:val="22"/>
          <w:szCs w:val="22"/>
        </w:rPr>
        <w:t>epartment of Health to make this important therapy available to Australian patients</w:t>
      </w:r>
      <w:r w:rsidR="00684381" w:rsidRPr="00BD25A9">
        <w:rPr>
          <w:rFonts w:ascii="Arial" w:hAnsi="Arial" w:cs="Arial"/>
          <w:bCs/>
          <w:sz w:val="22"/>
          <w:szCs w:val="22"/>
        </w:rPr>
        <w:t>.</w:t>
      </w:r>
    </w:p>
    <w:sectPr w:rsidR="008A10D7" w:rsidRPr="00BD25A9" w:rsidSect="00E42974">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6C" w:rsidRDefault="007B626C" w:rsidP="00124A51">
      <w:r>
        <w:separator/>
      </w:r>
    </w:p>
  </w:endnote>
  <w:endnote w:type="continuationSeparator" w:id="0">
    <w:p w:rsidR="007B626C" w:rsidRDefault="007B626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9" w:rsidRDefault="00BD25A9">
    <w:pPr>
      <w:pStyle w:val="Footer"/>
    </w:pPr>
  </w:p>
  <w:p w:rsidR="00BD25A9" w:rsidRDefault="00BD25A9" w:rsidP="00AA1839">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207AFA">
      <w:rPr>
        <w:noProof/>
        <w:sz w:val="20"/>
      </w:rPr>
      <w:t>1</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6C" w:rsidRDefault="007B626C" w:rsidP="00124A51">
      <w:r>
        <w:separator/>
      </w:r>
    </w:p>
  </w:footnote>
  <w:footnote w:type="continuationSeparator" w:id="0">
    <w:p w:rsidR="007B626C" w:rsidRDefault="007B626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A9" w:rsidRPr="00831600" w:rsidRDefault="00BD25A9" w:rsidP="0095619A">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BD25A9" w:rsidRDefault="00BD25A9" w:rsidP="00994E94">
    <w:pPr>
      <w:tabs>
        <w:tab w:val="left" w:pos="142"/>
        <w:tab w:val="right" w:pos="9027"/>
      </w:tabs>
    </w:pPr>
    <w:r>
      <w:rPr>
        <w:color w:val="D9D9D9" w:themeColor="background1" w:themeShade="D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190"/>
    <w:multiLevelType w:val="hybridMultilevel"/>
    <w:tmpl w:val="30ACBB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DB40B718"/>
    <w:lvl w:ilvl="0" w:tplc="04090001">
      <w:start w:val="1"/>
      <w:numFmt w:val="bullet"/>
      <w:lvlText w:val=""/>
      <w:lvlJc w:val="left"/>
      <w:pPr>
        <w:ind w:left="720" w:hanging="360"/>
      </w:pPr>
      <w:rPr>
        <w:rFonts w:ascii="Symbol" w:hAnsi="Symbol" w:hint="default"/>
      </w:rPr>
    </w:lvl>
    <w:lvl w:ilvl="1" w:tplc="9B988C9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1745D"/>
    <w:multiLevelType w:val="hybridMultilevel"/>
    <w:tmpl w:val="B04CE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AF2C58"/>
    <w:multiLevelType w:val="multilevel"/>
    <w:tmpl w:val="40F43C6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6503A53"/>
    <w:multiLevelType w:val="hybridMultilevel"/>
    <w:tmpl w:val="567C58A0"/>
    <w:lvl w:ilvl="0" w:tplc="F0E049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7531E1"/>
    <w:multiLevelType w:val="hybridMultilevel"/>
    <w:tmpl w:val="954E4B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A266A6"/>
    <w:multiLevelType w:val="hybridMultilevel"/>
    <w:tmpl w:val="907A1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6638C1"/>
    <w:multiLevelType w:val="hybridMultilevel"/>
    <w:tmpl w:val="4C1A1A3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4C72C6"/>
    <w:multiLevelType w:val="hybridMultilevel"/>
    <w:tmpl w:val="B27A6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821623"/>
    <w:multiLevelType w:val="hybridMultilevel"/>
    <w:tmpl w:val="DFFEA4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210458C1"/>
    <w:multiLevelType w:val="multilevel"/>
    <w:tmpl w:val="3800CD0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111EAF"/>
    <w:multiLevelType w:val="hybridMultilevel"/>
    <w:tmpl w:val="B404A456"/>
    <w:lvl w:ilvl="0" w:tplc="0C090001">
      <w:start w:val="1"/>
      <w:numFmt w:val="bullet"/>
      <w:lvlText w:val=""/>
      <w:lvlJc w:val="left"/>
      <w:pPr>
        <w:ind w:left="720" w:hanging="360"/>
      </w:pPr>
      <w:rPr>
        <w:rFonts w:ascii="Symbol" w:hAnsi="Symbol" w:hint="default"/>
      </w:rPr>
    </w:lvl>
    <w:lvl w:ilvl="1" w:tplc="F488CFD6">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4">
    <w:nsid w:val="299F6B26"/>
    <w:multiLevelType w:val="hybridMultilevel"/>
    <w:tmpl w:val="DC007B8A"/>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2302118"/>
    <w:multiLevelType w:val="hybridMultilevel"/>
    <w:tmpl w:val="BE46F7B8"/>
    <w:lvl w:ilvl="0" w:tplc="04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nsid w:val="34C77B20"/>
    <w:multiLevelType w:val="hybridMultilevel"/>
    <w:tmpl w:val="1D6066F0"/>
    <w:lvl w:ilvl="0" w:tplc="F488CFD6">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A492FAA"/>
    <w:multiLevelType w:val="hybridMultilevel"/>
    <w:tmpl w:val="788C0304"/>
    <w:lvl w:ilvl="0" w:tplc="3438C9E2">
      <w:start w:val="1"/>
      <w:numFmt w:val="upperLetter"/>
      <w:lvlText w:val="%1."/>
      <w:lvlJc w:val="left"/>
      <w:pPr>
        <w:ind w:left="4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7C34E2"/>
    <w:multiLevelType w:val="hybridMultilevel"/>
    <w:tmpl w:val="EABC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9FF02A6"/>
    <w:multiLevelType w:val="hybridMultilevel"/>
    <w:tmpl w:val="17A6BAB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4A1F5B36"/>
    <w:multiLevelType w:val="hybridMultilevel"/>
    <w:tmpl w:val="D3EA7A02"/>
    <w:lvl w:ilvl="0" w:tplc="916A2D22">
      <w:start w:val="20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D06139"/>
    <w:multiLevelType w:val="hybridMultilevel"/>
    <w:tmpl w:val="3658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860778"/>
    <w:multiLevelType w:val="multilevel"/>
    <w:tmpl w:val="902C6F7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5">
    <w:nsid w:val="54730352"/>
    <w:multiLevelType w:val="hybridMultilevel"/>
    <w:tmpl w:val="053AE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5B7920"/>
    <w:multiLevelType w:val="hybridMultilevel"/>
    <w:tmpl w:val="ACE664CE"/>
    <w:lvl w:ilvl="0" w:tplc="6170756E">
      <w:start w:val="1"/>
      <w:numFmt w:val="decimal"/>
      <w:lvlText w:val="1.%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533040"/>
    <w:multiLevelType w:val="hybridMultilevel"/>
    <w:tmpl w:val="954E4B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BFF7279"/>
    <w:multiLevelType w:val="hybridMultilevel"/>
    <w:tmpl w:val="C8002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E452EBA"/>
    <w:multiLevelType w:val="hybridMultilevel"/>
    <w:tmpl w:val="0582D0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6ED81D70"/>
    <w:multiLevelType w:val="hybridMultilevel"/>
    <w:tmpl w:val="90381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0CD4A94"/>
    <w:multiLevelType w:val="hybridMultilevel"/>
    <w:tmpl w:val="1EC0262E"/>
    <w:lvl w:ilvl="0" w:tplc="2A6E2FEC">
      <w:start w:val="1"/>
      <w:numFmt w:val="upperLetter"/>
      <w:lvlText w:val="%1."/>
      <w:lvlJc w:val="left"/>
      <w:pPr>
        <w:ind w:left="453" w:hanging="360"/>
      </w:pPr>
      <w:rPr>
        <w:rFonts w:hint="default"/>
      </w:rPr>
    </w:lvl>
    <w:lvl w:ilvl="1" w:tplc="FBCC877C">
      <w:start w:val="1"/>
      <w:numFmt w:val="decimal"/>
      <w:lvlText w:val="%2."/>
      <w:lvlJc w:val="left"/>
      <w:pPr>
        <w:ind w:left="1173" w:hanging="360"/>
      </w:pPr>
      <w:rPr>
        <w:rFonts w:hint="default"/>
      </w:rPr>
    </w:lvl>
    <w:lvl w:ilvl="2" w:tplc="0C09001B" w:tentative="1">
      <w:start w:val="1"/>
      <w:numFmt w:val="lowerRoman"/>
      <w:lvlText w:val="%3."/>
      <w:lvlJc w:val="right"/>
      <w:pPr>
        <w:ind w:left="1893" w:hanging="180"/>
      </w:pPr>
    </w:lvl>
    <w:lvl w:ilvl="3" w:tplc="0C09000F" w:tentative="1">
      <w:start w:val="1"/>
      <w:numFmt w:val="decimal"/>
      <w:lvlText w:val="%4."/>
      <w:lvlJc w:val="left"/>
      <w:pPr>
        <w:ind w:left="2613" w:hanging="360"/>
      </w:pPr>
    </w:lvl>
    <w:lvl w:ilvl="4" w:tplc="0C090019" w:tentative="1">
      <w:start w:val="1"/>
      <w:numFmt w:val="lowerLetter"/>
      <w:lvlText w:val="%5."/>
      <w:lvlJc w:val="left"/>
      <w:pPr>
        <w:ind w:left="3333" w:hanging="360"/>
      </w:pPr>
    </w:lvl>
    <w:lvl w:ilvl="5" w:tplc="0C09001B" w:tentative="1">
      <w:start w:val="1"/>
      <w:numFmt w:val="lowerRoman"/>
      <w:lvlText w:val="%6."/>
      <w:lvlJc w:val="right"/>
      <w:pPr>
        <w:ind w:left="4053" w:hanging="180"/>
      </w:pPr>
    </w:lvl>
    <w:lvl w:ilvl="6" w:tplc="0C09000F" w:tentative="1">
      <w:start w:val="1"/>
      <w:numFmt w:val="decimal"/>
      <w:lvlText w:val="%7."/>
      <w:lvlJc w:val="left"/>
      <w:pPr>
        <w:ind w:left="4773" w:hanging="360"/>
      </w:pPr>
    </w:lvl>
    <w:lvl w:ilvl="7" w:tplc="0C090019" w:tentative="1">
      <w:start w:val="1"/>
      <w:numFmt w:val="lowerLetter"/>
      <w:lvlText w:val="%8."/>
      <w:lvlJc w:val="left"/>
      <w:pPr>
        <w:ind w:left="5493" w:hanging="360"/>
      </w:pPr>
    </w:lvl>
    <w:lvl w:ilvl="8" w:tplc="0C09001B" w:tentative="1">
      <w:start w:val="1"/>
      <w:numFmt w:val="lowerRoman"/>
      <w:lvlText w:val="%9."/>
      <w:lvlJc w:val="right"/>
      <w:pPr>
        <w:ind w:left="6213" w:hanging="180"/>
      </w:pPr>
    </w:lvl>
  </w:abstractNum>
  <w:abstractNum w:abstractNumId="34">
    <w:nsid w:val="71DA168E"/>
    <w:multiLevelType w:val="hybridMultilevel"/>
    <w:tmpl w:val="567C58A0"/>
    <w:lvl w:ilvl="0" w:tplc="F0E049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7391E2B"/>
    <w:multiLevelType w:val="hybridMultilevel"/>
    <w:tmpl w:val="2DC68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83F528B"/>
    <w:multiLevelType w:val="hybridMultilevel"/>
    <w:tmpl w:val="CE4E0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4D033C"/>
    <w:multiLevelType w:val="multilevel"/>
    <w:tmpl w:val="93BCF692"/>
    <w:lvl w:ilvl="0">
      <w:start w:val="8"/>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EFD7FDF"/>
    <w:multiLevelType w:val="hybridMultilevel"/>
    <w:tmpl w:val="CC14B2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20"/>
  </w:num>
  <w:num w:numId="3">
    <w:abstractNumId w:val="27"/>
  </w:num>
  <w:num w:numId="4">
    <w:abstractNumId w:val="19"/>
  </w:num>
  <w:num w:numId="5">
    <w:abstractNumId w:val="13"/>
  </w:num>
  <w:num w:numId="6">
    <w:abstractNumId w:val="18"/>
  </w:num>
  <w:num w:numId="7">
    <w:abstractNumId w:val="1"/>
  </w:num>
  <w:num w:numId="8">
    <w:abstractNumId w:val="37"/>
  </w:num>
  <w:num w:numId="9">
    <w:abstractNumId w:val="10"/>
  </w:num>
  <w:num w:numId="10">
    <w:abstractNumId w:val="31"/>
  </w:num>
  <w:num w:numId="11">
    <w:abstractNumId w:val="21"/>
  </w:num>
  <w:num w:numId="12">
    <w:abstractNumId w:val="24"/>
  </w:num>
  <w:num w:numId="13">
    <w:abstractNumId w:val="28"/>
  </w:num>
  <w:num w:numId="14">
    <w:abstractNumId w:val="32"/>
  </w:num>
  <w:num w:numId="15">
    <w:abstractNumId w:val="25"/>
  </w:num>
  <w:num w:numId="16">
    <w:abstractNumId w:val="0"/>
  </w:num>
  <w:num w:numId="17">
    <w:abstractNumId w:val="30"/>
  </w:num>
  <w:num w:numId="18">
    <w:abstractNumId w:val="33"/>
  </w:num>
  <w:num w:numId="19">
    <w:abstractNumId w:val="14"/>
  </w:num>
  <w:num w:numId="20">
    <w:abstractNumId w:val="17"/>
  </w:num>
  <w:num w:numId="21">
    <w:abstractNumId w:val="15"/>
  </w:num>
  <w:num w:numId="22">
    <w:abstractNumId w:val="8"/>
  </w:num>
  <w:num w:numId="23">
    <w:abstractNumId w:val="36"/>
  </w:num>
  <w:num w:numId="24">
    <w:abstractNumId w:val="2"/>
  </w:num>
  <w:num w:numId="25">
    <w:abstractNumId w:val="7"/>
  </w:num>
  <w:num w:numId="26">
    <w:abstractNumId w:val="38"/>
  </w:num>
  <w:num w:numId="27">
    <w:abstractNumId w:val="23"/>
  </w:num>
  <w:num w:numId="28">
    <w:abstractNumId w:val="12"/>
  </w:num>
  <w:num w:numId="29">
    <w:abstractNumId w:val="16"/>
  </w:num>
  <w:num w:numId="30">
    <w:abstractNumId w:val="37"/>
  </w:num>
  <w:num w:numId="31">
    <w:abstractNumId w:val="11"/>
  </w:num>
  <w:num w:numId="32">
    <w:abstractNumId w:val="3"/>
  </w:num>
  <w:num w:numId="33">
    <w:abstractNumId w:val="29"/>
  </w:num>
  <w:num w:numId="34">
    <w:abstractNumId w:val="22"/>
  </w:num>
  <w:num w:numId="35">
    <w:abstractNumId w:val="34"/>
  </w:num>
  <w:num w:numId="36">
    <w:abstractNumId w:val="5"/>
  </w:num>
  <w:num w:numId="37">
    <w:abstractNumId w:val="6"/>
  </w:num>
  <w:num w:numId="38">
    <w:abstractNumId w:val="35"/>
  </w:num>
  <w:num w:numId="39">
    <w:abstractNumId w:val="9"/>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5D86"/>
    <w:rsid w:val="00005F41"/>
    <w:rsid w:val="00013247"/>
    <w:rsid w:val="00015048"/>
    <w:rsid w:val="00015886"/>
    <w:rsid w:val="000162EF"/>
    <w:rsid w:val="00016479"/>
    <w:rsid w:val="0002225F"/>
    <w:rsid w:val="00023763"/>
    <w:rsid w:val="00024B1C"/>
    <w:rsid w:val="00025193"/>
    <w:rsid w:val="00025701"/>
    <w:rsid w:val="00027D5F"/>
    <w:rsid w:val="00033718"/>
    <w:rsid w:val="00034E79"/>
    <w:rsid w:val="00037319"/>
    <w:rsid w:val="00040895"/>
    <w:rsid w:val="00042D51"/>
    <w:rsid w:val="00042E31"/>
    <w:rsid w:val="00043C37"/>
    <w:rsid w:val="00045F7B"/>
    <w:rsid w:val="000469AF"/>
    <w:rsid w:val="00051C23"/>
    <w:rsid w:val="00051FB0"/>
    <w:rsid w:val="000526F3"/>
    <w:rsid w:val="0005411B"/>
    <w:rsid w:val="000546D7"/>
    <w:rsid w:val="000563F8"/>
    <w:rsid w:val="00057A7E"/>
    <w:rsid w:val="00057AD3"/>
    <w:rsid w:val="00062C9A"/>
    <w:rsid w:val="0006452A"/>
    <w:rsid w:val="00071248"/>
    <w:rsid w:val="0007159A"/>
    <w:rsid w:val="00071EC2"/>
    <w:rsid w:val="000720B9"/>
    <w:rsid w:val="000812CA"/>
    <w:rsid w:val="000825E5"/>
    <w:rsid w:val="00086CF6"/>
    <w:rsid w:val="0009045E"/>
    <w:rsid w:val="00090654"/>
    <w:rsid w:val="00090C7E"/>
    <w:rsid w:val="000936B7"/>
    <w:rsid w:val="000942F1"/>
    <w:rsid w:val="000A1BA3"/>
    <w:rsid w:val="000A4FE5"/>
    <w:rsid w:val="000A505B"/>
    <w:rsid w:val="000A7DED"/>
    <w:rsid w:val="000B29B7"/>
    <w:rsid w:val="000B5F32"/>
    <w:rsid w:val="000C60C1"/>
    <w:rsid w:val="000D131F"/>
    <w:rsid w:val="000D1BFC"/>
    <w:rsid w:val="000E33FD"/>
    <w:rsid w:val="000E6F34"/>
    <w:rsid w:val="000E7071"/>
    <w:rsid w:val="000F2FA0"/>
    <w:rsid w:val="000F4BB8"/>
    <w:rsid w:val="000F7127"/>
    <w:rsid w:val="00100F8A"/>
    <w:rsid w:val="0010355C"/>
    <w:rsid w:val="00106CD5"/>
    <w:rsid w:val="00107EB1"/>
    <w:rsid w:val="0011032E"/>
    <w:rsid w:val="00111628"/>
    <w:rsid w:val="0011348B"/>
    <w:rsid w:val="00114C82"/>
    <w:rsid w:val="00121799"/>
    <w:rsid w:val="001222FC"/>
    <w:rsid w:val="00123AFD"/>
    <w:rsid w:val="0012453A"/>
    <w:rsid w:val="00124A51"/>
    <w:rsid w:val="00126621"/>
    <w:rsid w:val="001301E9"/>
    <w:rsid w:val="00137645"/>
    <w:rsid w:val="00137808"/>
    <w:rsid w:val="0014015A"/>
    <w:rsid w:val="00140E99"/>
    <w:rsid w:val="00144DAE"/>
    <w:rsid w:val="00145540"/>
    <w:rsid w:val="001456B0"/>
    <w:rsid w:val="00150371"/>
    <w:rsid w:val="001543E7"/>
    <w:rsid w:val="00156742"/>
    <w:rsid w:val="00157130"/>
    <w:rsid w:val="00162913"/>
    <w:rsid w:val="00163EFF"/>
    <w:rsid w:val="001651C0"/>
    <w:rsid w:val="001661FB"/>
    <w:rsid w:val="00173937"/>
    <w:rsid w:val="001857EE"/>
    <w:rsid w:val="0018752F"/>
    <w:rsid w:val="001922B5"/>
    <w:rsid w:val="00195222"/>
    <w:rsid w:val="001975D8"/>
    <w:rsid w:val="00197C59"/>
    <w:rsid w:val="001A320A"/>
    <w:rsid w:val="001A4E4A"/>
    <w:rsid w:val="001B264B"/>
    <w:rsid w:val="001B3443"/>
    <w:rsid w:val="001B5C95"/>
    <w:rsid w:val="001B6AF8"/>
    <w:rsid w:val="001C22E2"/>
    <w:rsid w:val="001C47FA"/>
    <w:rsid w:val="001C6E66"/>
    <w:rsid w:val="001C7A57"/>
    <w:rsid w:val="001D15DC"/>
    <w:rsid w:val="001D76F3"/>
    <w:rsid w:val="001E10C4"/>
    <w:rsid w:val="001E238E"/>
    <w:rsid w:val="001E2B1E"/>
    <w:rsid w:val="001E52EB"/>
    <w:rsid w:val="001E740C"/>
    <w:rsid w:val="001F1235"/>
    <w:rsid w:val="001F1CB3"/>
    <w:rsid w:val="001F26DA"/>
    <w:rsid w:val="001F727E"/>
    <w:rsid w:val="001F7361"/>
    <w:rsid w:val="00201411"/>
    <w:rsid w:val="0020385F"/>
    <w:rsid w:val="00207021"/>
    <w:rsid w:val="00207AFA"/>
    <w:rsid w:val="00207D00"/>
    <w:rsid w:val="002105C1"/>
    <w:rsid w:val="00211259"/>
    <w:rsid w:val="00217156"/>
    <w:rsid w:val="00222855"/>
    <w:rsid w:val="00223B49"/>
    <w:rsid w:val="00224200"/>
    <w:rsid w:val="00224DD4"/>
    <w:rsid w:val="00225DE0"/>
    <w:rsid w:val="00227645"/>
    <w:rsid w:val="002309CC"/>
    <w:rsid w:val="00236663"/>
    <w:rsid w:val="00236C5F"/>
    <w:rsid w:val="00245E8C"/>
    <w:rsid w:val="00247B60"/>
    <w:rsid w:val="002532EE"/>
    <w:rsid w:val="00254DCF"/>
    <w:rsid w:val="0025534B"/>
    <w:rsid w:val="00255BB7"/>
    <w:rsid w:val="00257027"/>
    <w:rsid w:val="002575B3"/>
    <w:rsid w:val="0025792A"/>
    <w:rsid w:val="00262A87"/>
    <w:rsid w:val="00266DEF"/>
    <w:rsid w:val="00273B63"/>
    <w:rsid w:val="00275C5A"/>
    <w:rsid w:val="00281014"/>
    <w:rsid w:val="0028174B"/>
    <w:rsid w:val="00283A05"/>
    <w:rsid w:val="00283C02"/>
    <w:rsid w:val="00285889"/>
    <w:rsid w:val="00297DA6"/>
    <w:rsid w:val="002A041F"/>
    <w:rsid w:val="002A10AF"/>
    <w:rsid w:val="002A14AB"/>
    <w:rsid w:val="002A6E6D"/>
    <w:rsid w:val="002A789E"/>
    <w:rsid w:val="002B1C1F"/>
    <w:rsid w:val="002B2546"/>
    <w:rsid w:val="002B26AE"/>
    <w:rsid w:val="002B432F"/>
    <w:rsid w:val="002B4C73"/>
    <w:rsid w:val="002B5A53"/>
    <w:rsid w:val="002B661F"/>
    <w:rsid w:val="002B6CCE"/>
    <w:rsid w:val="002C2597"/>
    <w:rsid w:val="002C2775"/>
    <w:rsid w:val="002C27C1"/>
    <w:rsid w:val="002C3C7C"/>
    <w:rsid w:val="002C63E2"/>
    <w:rsid w:val="002C6ACF"/>
    <w:rsid w:val="002D2868"/>
    <w:rsid w:val="002E3070"/>
    <w:rsid w:val="002E41AF"/>
    <w:rsid w:val="002E78BA"/>
    <w:rsid w:val="003000ED"/>
    <w:rsid w:val="003004E6"/>
    <w:rsid w:val="00301017"/>
    <w:rsid w:val="00302144"/>
    <w:rsid w:val="0030361C"/>
    <w:rsid w:val="0030786C"/>
    <w:rsid w:val="0031031A"/>
    <w:rsid w:val="003105A1"/>
    <w:rsid w:val="00310981"/>
    <w:rsid w:val="00315498"/>
    <w:rsid w:val="00316770"/>
    <w:rsid w:val="00316F77"/>
    <w:rsid w:val="00317492"/>
    <w:rsid w:val="00317B4E"/>
    <w:rsid w:val="00325B64"/>
    <w:rsid w:val="00333BE8"/>
    <w:rsid w:val="003366C9"/>
    <w:rsid w:val="003371B0"/>
    <w:rsid w:val="00345516"/>
    <w:rsid w:val="0035620E"/>
    <w:rsid w:val="003645EF"/>
    <w:rsid w:val="003676D1"/>
    <w:rsid w:val="003715D7"/>
    <w:rsid w:val="00375A85"/>
    <w:rsid w:val="00380170"/>
    <w:rsid w:val="00381A83"/>
    <w:rsid w:val="0038365C"/>
    <w:rsid w:val="0038420B"/>
    <w:rsid w:val="003870CE"/>
    <w:rsid w:val="00396FD0"/>
    <w:rsid w:val="003A1A7A"/>
    <w:rsid w:val="003A2B9F"/>
    <w:rsid w:val="003A44C2"/>
    <w:rsid w:val="003A7B06"/>
    <w:rsid w:val="003B02AC"/>
    <w:rsid w:val="003B283F"/>
    <w:rsid w:val="003B38E3"/>
    <w:rsid w:val="003B4504"/>
    <w:rsid w:val="003C0CFA"/>
    <w:rsid w:val="003C28CD"/>
    <w:rsid w:val="003C3A18"/>
    <w:rsid w:val="003C4664"/>
    <w:rsid w:val="003D1828"/>
    <w:rsid w:val="003D2422"/>
    <w:rsid w:val="003D34EF"/>
    <w:rsid w:val="003D3B96"/>
    <w:rsid w:val="003D66E3"/>
    <w:rsid w:val="003D72E3"/>
    <w:rsid w:val="003F010A"/>
    <w:rsid w:val="003F4156"/>
    <w:rsid w:val="003F4462"/>
    <w:rsid w:val="003F6922"/>
    <w:rsid w:val="00401FD5"/>
    <w:rsid w:val="00402163"/>
    <w:rsid w:val="004023D3"/>
    <w:rsid w:val="004025C4"/>
    <w:rsid w:val="00403AD6"/>
    <w:rsid w:val="004071A5"/>
    <w:rsid w:val="00410708"/>
    <w:rsid w:val="00410EC7"/>
    <w:rsid w:val="00414476"/>
    <w:rsid w:val="00414D4C"/>
    <w:rsid w:val="00415697"/>
    <w:rsid w:val="00415FAD"/>
    <w:rsid w:val="00420B9F"/>
    <w:rsid w:val="004211AB"/>
    <w:rsid w:val="00421E24"/>
    <w:rsid w:val="0042568A"/>
    <w:rsid w:val="004305F9"/>
    <w:rsid w:val="004319F8"/>
    <w:rsid w:val="00433044"/>
    <w:rsid w:val="00436BD2"/>
    <w:rsid w:val="00442B16"/>
    <w:rsid w:val="004443A7"/>
    <w:rsid w:val="00446115"/>
    <w:rsid w:val="004464EB"/>
    <w:rsid w:val="00450371"/>
    <w:rsid w:val="00455D45"/>
    <w:rsid w:val="00457618"/>
    <w:rsid w:val="00462FE6"/>
    <w:rsid w:val="00464595"/>
    <w:rsid w:val="004662BE"/>
    <w:rsid w:val="00470197"/>
    <w:rsid w:val="0047225B"/>
    <w:rsid w:val="00481114"/>
    <w:rsid w:val="00482AB9"/>
    <w:rsid w:val="00483FC1"/>
    <w:rsid w:val="004859B6"/>
    <w:rsid w:val="004862CB"/>
    <w:rsid w:val="004867E2"/>
    <w:rsid w:val="00491B3A"/>
    <w:rsid w:val="00492CFD"/>
    <w:rsid w:val="004962D2"/>
    <w:rsid w:val="004A0B38"/>
    <w:rsid w:val="004A0DA1"/>
    <w:rsid w:val="004A290B"/>
    <w:rsid w:val="004A2A95"/>
    <w:rsid w:val="004A3843"/>
    <w:rsid w:val="004A6326"/>
    <w:rsid w:val="004A6597"/>
    <w:rsid w:val="004A68D4"/>
    <w:rsid w:val="004B1CB4"/>
    <w:rsid w:val="004B2F18"/>
    <w:rsid w:val="004B3AA9"/>
    <w:rsid w:val="004B3DDB"/>
    <w:rsid w:val="004B44FD"/>
    <w:rsid w:val="004B58EA"/>
    <w:rsid w:val="004B5CFC"/>
    <w:rsid w:val="004B63BA"/>
    <w:rsid w:val="004C0C5D"/>
    <w:rsid w:val="004C31A2"/>
    <w:rsid w:val="004C4AED"/>
    <w:rsid w:val="004E0EB8"/>
    <w:rsid w:val="004E2649"/>
    <w:rsid w:val="004E2ADC"/>
    <w:rsid w:val="004E325E"/>
    <w:rsid w:val="004E43B2"/>
    <w:rsid w:val="004E68D7"/>
    <w:rsid w:val="004E6F4F"/>
    <w:rsid w:val="004F1D02"/>
    <w:rsid w:val="004F2679"/>
    <w:rsid w:val="004F44DB"/>
    <w:rsid w:val="004F5D21"/>
    <w:rsid w:val="004F7865"/>
    <w:rsid w:val="0050146A"/>
    <w:rsid w:val="00503F15"/>
    <w:rsid w:val="00505FE6"/>
    <w:rsid w:val="00506928"/>
    <w:rsid w:val="00507378"/>
    <w:rsid w:val="00507C0A"/>
    <w:rsid w:val="00507C22"/>
    <w:rsid w:val="005130CE"/>
    <w:rsid w:val="00513C69"/>
    <w:rsid w:val="005152B5"/>
    <w:rsid w:val="005176AD"/>
    <w:rsid w:val="00521319"/>
    <w:rsid w:val="00522BED"/>
    <w:rsid w:val="00523C28"/>
    <w:rsid w:val="00524E25"/>
    <w:rsid w:val="00531AB7"/>
    <w:rsid w:val="00531DC3"/>
    <w:rsid w:val="00534B16"/>
    <w:rsid w:val="00540596"/>
    <w:rsid w:val="0054080D"/>
    <w:rsid w:val="005439C0"/>
    <w:rsid w:val="00543A94"/>
    <w:rsid w:val="005511DD"/>
    <w:rsid w:val="00551311"/>
    <w:rsid w:val="00552BD3"/>
    <w:rsid w:val="00555109"/>
    <w:rsid w:val="00556823"/>
    <w:rsid w:val="005665DC"/>
    <w:rsid w:val="0056696F"/>
    <w:rsid w:val="00570AD2"/>
    <w:rsid w:val="00572BAB"/>
    <w:rsid w:val="00575D8D"/>
    <w:rsid w:val="00576972"/>
    <w:rsid w:val="00583699"/>
    <w:rsid w:val="005871E1"/>
    <w:rsid w:val="005911B5"/>
    <w:rsid w:val="0059209E"/>
    <w:rsid w:val="00596ABC"/>
    <w:rsid w:val="005A7DA1"/>
    <w:rsid w:val="005B5857"/>
    <w:rsid w:val="005C0D4B"/>
    <w:rsid w:val="005C1B83"/>
    <w:rsid w:val="005C346B"/>
    <w:rsid w:val="005C503E"/>
    <w:rsid w:val="005C7B1E"/>
    <w:rsid w:val="005D044D"/>
    <w:rsid w:val="005D06A0"/>
    <w:rsid w:val="005D18AD"/>
    <w:rsid w:val="005D4A6D"/>
    <w:rsid w:val="005D616E"/>
    <w:rsid w:val="005D6507"/>
    <w:rsid w:val="005D71F3"/>
    <w:rsid w:val="005D76DC"/>
    <w:rsid w:val="005D781F"/>
    <w:rsid w:val="005E3B82"/>
    <w:rsid w:val="005E59D8"/>
    <w:rsid w:val="005E6490"/>
    <w:rsid w:val="005E6F90"/>
    <w:rsid w:val="005E73C0"/>
    <w:rsid w:val="005F1ADB"/>
    <w:rsid w:val="005F2706"/>
    <w:rsid w:val="005F4AC6"/>
    <w:rsid w:val="005F64A5"/>
    <w:rsid w:val="005F6A8F"/>
    <w:rsid w:val="006020AB"/>
    <w:rsid w:val="0060551C"/>
    <w:rsid w:val="00607669"/>
    <w:rsid w:val="00612F97"/>
    <w:rsid w:val="0061348F"/>
    <w:rsid w:val="00616235"/>
    <w:rsid w:val="00616802"/>
    <w:rsid w:val="006172F5"/>
    <w:rsid w:val="00617E12"/>
    <w:rsid w:val="00621477"/>
    <w:rsid w:val="006244B0"/>
    <w:rsid w:val="00625A56"/>
    <w:rsid w:val="00626CB8"/>
    <w:rsid w:val="00631D6B"/>
    <w:rsid w:val="0063479F"/>
    <w:rsid w:val="00634EBD"/>
    <w:rsid w:val="006360BC"/>
    <w:rsid w:val="006364A1"/>
    <w:rsid w:val="00637237"/>
    <w:rsid w:val="006374FE"/>
    <w:rsid w:val="00637BFD"/>
    <w:rsid w:val="006414A7"/>
    <w:rsid w:val="00641DBF"/>
    <w:rsid w:val="0064340C"/>
    <w:rsid w:val="006443B5"/>
    <w:rsid w:val="006471CC"/>
    <w:rsid w:val="0065079F"/>
    <w:rsid w:val="00661D83"/>
    <w:rsid w:val="00663D20"/>
    <w:rsid w:val="006657B1"/>
    <w:rsid w:val="006664D0"/>
    <w:rsid w:val="006701C4"/>
    <w:rsid w:val="00674E42"/>
    <w:rsid w:val="00676444"/>
    <w:rsid w:val="006769C4"/>
    <w:rsid w:val="00676DC1"/>
    <w:rsid w:val="00677D0E"/>
    <w:rsid w:val="0068103A"/>
    <w:rsid w:val="00681589"/>
    <w:rsid w:val="00682112"/>
    <w:rsid w:val="00682CAA"/>
    <w:rsid w:val="00684381"/>
    <w:rsid w:val="006845C2"/>
    <w:rsid w:val="0068520B"/>
    <w:rsid w:val="006872BA"/>
    <w:rsid w:val="006917D7"/>
    <w:rsid w:val="00691F59"/>
    <w:rsid w:val="006937BC"/>
    <w:rsid w:val="006949F3"/>
    <w:rsid w:val="00694F44"/>
    <w:rsid w:val="006A1475"/>
    <w:rsid w:val="006A1D03"/>
    <w:rsid w:val="006A6231"/>
    <w:rsid w:val="006B7967"/>
    <w:rsid w:val="006B7CEC"/>
    <w:rsid w:val="006C2A55"/>
    <w:rsid w:val="006C2A8E"/>
    <w:rsid w:val="006C3AB6"/>
    <w:rsid w:val="006C6A3B"/>
    <w:rsid w:val="006D0004"/>
    <w:rsid w:val="006D3C7D"/>
    <w:rsid w:val="006D50AD"/>
    <w:rsid w:val="006D5D5F"/>
    <w:rsid w:val="006E6DDC"/>
    <w:rsid w:val="006E7A13"/>
    <w:rsid w:val="006F2C51"/>
    <w:rsid w:val="006F5082"/>
    <w:rsid w:val="006F63A5"/>
    <w:rsid w:val="006F7649"/>
    <w:rsid w:val="006F7DC3"/>
    <w:rsid w:val="0070276E"/>
    <w:rsid w:val="00702F8F"/>
    <w:rsid w:val="007106B4"/>
    <w:rsid w:val="00711A36"/>
    <w:rsid w:val="00714DAF"/>
    <w:rsid w:val="007172AD"/>
    <w:rsid w:val="0072416F"/>
    <w:rsid w:val="00735328"/>
    <w:rsid w:val="0073685B"/>
    <w:rsid w:val="00736AB3"/>
    <w:rsid w:val="00751BE9"/>
    <w:rsid w:val="00753BF4"/>
    <w:rsid w:val="00754A98"/>
    <w:rsid w:val="007636B3"/>
    <w:rsid w:val="00773775"/>
    <w:rsid w:val="007740DA"/>
    <w:rsid w:val="00780526"/>
    <w:rsid w:val="0078357B"/>
    <w:rsid w:val="00785BE5"/>
    <w:rsid w:val="00790C47"/>
    <w:rsid w:val="0079114B"/>
    <w:rsid w:val="007947F2"/>
    <w:rsid w:val="0079789E"/>
    <w:rsid w:val="007A09A9"/>
    <w:rsid w:val="007A0A12"/>
    <w:rsid w:val="007A1C7C"/>
    <w:rsid w:val="007B08D7"/>
    <w:rsid w:val="007B0DCF"/>
    <w:rsid w:val="007B251D"/>
    <w:rsid w:val="007B3F4E"/>
    <w:rsid w:val="007B626C"/>
    <w:rsid w:val="007B7350"/>
    <w:rsid w:val="007B77D1"/>
    <w:rsid w:val="007C305B"/>
    <w:rsid w:val="007C361D"/>
    <w:rsid w:val="007D0B38"/>
    <w:rsid w:val="007D0E42"/>
    <w:rsid w:val="007D12F9"/>
    <w:rsid w:val="007D3EDB"/>
    <w:rsid w:val="007E3D4D"/>
    <w:rsid w:val="007E5C53"/>
    <w:rsid w:val="007F06C1"/>
    <w:rsid w:val="007F1017"/>
    <w:rsid w:val="007F29AD"/>
    <w:rsid w:val="007F4A3F"/>
    <w:rsid w:val="008024D5"/>
    <w:rsid w:val="00802BB9"/>
    <w:rsid w:val="00805142"/>
    <w:rsid w:val="0080652C"/>
    <w:rsid w:val="00807A20"/>
    <w:rsid w:val="00807A8B"/>
    <w:rsid w:val="0081131E"/>
    <w:rsid w:val="00811AA8"/>
    <w:rsid w:val="00812149"/>
    <w:rsid w:val="00815BD6"/>
    <w:rsid w:val="008166EF"/>
    <w:rsid w:val="0082604B"/>
    <w:rsid w:val="008264EB"/>
    <w:rsid w:val="00826B09"/>
    <w:rsid w:val="00831A83"/>
    <w:rsid w:val="00832252"/>
    <w:rsid w:val="008323B0"/>
    <w:rsid w:val="00833B05"/>
    <w:rsid w:val="00836FD4"/>
    <w:rsid w:val="00840CA2"/>
    <w:rsid w:val="0084625E"/>
    <w:rsid w:val="00850321"/>
    <w:rsid w:val="00854FBE"/>
    <w:rsid w:val="00856E9A"/>
    <w:rsid w:val="00861F77"/>
    <w:rsid w:val="00862502"/>
    <w:rsid w:val="008637D7"/>
    <w:rsid w:val="00865309"/>
    <w:rsid w:val="00865DCA"/>
    <w:rsid w:val="00867F90"/>
    <w:rsid w:val="00875B45"/>
    <w:rsid w:val="00876F31"/>
    <w:rsid w:val="00877E7D"/>
    <w:rsid w:val="00881A90"/>
    <w:rsid w:val="00882874"/>
    <w:rsid w:val="008830F2"/>
    <w:rsid w:val="0088373A"/>
    <w:rsid w:val="00883787"/>
    <w:rsid w:val="008851B2"/>
    <w:rsid w:val="008858E0"/>
    <w:rsid w:val="00885CBF"/>
    <w:rsid w:val="00885FD8"/>
    <w:rsid w:val="00887704"/>
    <w:rsid w:val="00890682"/>
    <w:rsid w:val="00894489"/>
    <w:rsid w:val="0089629D"/>
    <w:rsid w:val="008963A5"/>
    <w:rsid w:val="00897D05"/>
    <w:rsid w:val="008A10D7"/>
    <w:rsid w:val="008A2CC4"/>
    <w:rsid w:val="008A3C3E"/>
    <w:rsid w:val="008A7381"/>
    <w:rsid w:val="008A79DE"/>
    <w:rsid w:val="008B237C"/>
    <w:rsid w:val="008B68AA"/>
    <w:rsid w:val="008B7D7E"/>
    <w:rsid w:val="008C004E"/>
    <w:rsid w:val="008C27CE"/>
    <w:rsid w:val="008C7ECB"/>
    <w:rsid w:val="008D0BAF"/>
    <w:rsid w:val="008E1119"/>
    <w:rsid w:val="008E1B9E"/>
    <w:rsid w:val="008E2AC5"/>
    <w:rsid w:val="008E56FB"/>
    <w:rsid w:val="008E67D4"/>
    <w:rsid w:val="008F0F7E"/>
    <w:rsid w:val="008F120A"/>
    <w:rsid w:val="008F145A"/>
    <w:rsid w:val="008F36A7"/>
    <w:rsid w:val="008F3A08"/>
    <w:rsid w:val="008F48EB"/>
    <w:rsid w:val="008F4F0B"/>
    <w:rsid w:val="008F5617"/>
    <w:rsid w:val="0090592E"/>
    <w:rsid w:val="009062A5"/>
    <w:rsid w:val="00907F2F"/>
    <w:rsid w:val="00910AF5"/>
    <w:rsid w:val="00911272"/>
    <w:rsid w:val="00911A72"/>
    <w:rsid w:val="0091555B"/>
    <w:rsid w:val="00915695"/>
    <w:rsid w:val="00916A76"/>
    <w:rsid w:val="00916CC6"/>
    <w:rsid w:val="00920563"/>
    <w:rsid w:val="0092307A"/>
    <w:rsid w:val="00925B96"/>
    <w:rsid w:val="00932DF4"/>
    <w:rsid w:val="00934DE7"/>
    <w:rsid w:val="0093678C"/>
    <w:rsid w:val="009377C6"/>
    <w:rsid w:val="00937959"/>
    <w:rsid w:val="00944A3F"/>
    <w:rsid w:val="00944AE3"/>
    <w:rsid w:val="0094750B"/>
    <w:rsid w:val="00952756"/>
    <w:rsid w:val="00953007"/>
    <w:rsid w:val="00953184"/>
    <w:rsid w:val="0095619A"/>
    <w:rsid w:val="00960C04"/>
    <w:rsid w:val="00962434"/>
    <w:rsid w:val="00962BA7"/>
    <w:rsid w:val="00962CB9"/>
    <w:rsid w:val="0096345A"/>
    <w:rsid w:val="00964312"/>
    <w:rsid w:val="009646BA"/>
    <w:rsid w:val="00973BED"/>
    <w:rsid w:val="00975316"/>
    <w:rsid w:val="00977BDD"/>
    <w:rsid w:val="00983E57"/>
    <w:rsid w:val="009901C2"/>
    <w:rsid w:val="00994E94"/>
    <w:rsid w:val="00995A82"/>
    <w:rsid w:val="00996B1A"/>
    <w:rsid w:val="009A4EF4"/>
    <w:rsid w:val="009A73A0"/>
    <w:rsid w:val="009A7F1C"/>
    <w:rsid w:val="009B0223"/>
    <w:rsid w:val="009B1A9C"/>
    <w:rsid w:val="009B397B"/>
    <w:rsid w:val="009B3E26"/>
    <w:rsid w:val="009C144A"/>
    <w:rsid w:val="009C4235"/>
    <w:rsid w:val="009D01A8"/>
    <w:rsid w:val="009D0892"/>
    <w:rsid w:val="009D2548"/>
    <w:rsid w:val="009D5191"/>
    <w:rsid w:val="009D5B91"/>
    <w:rsid w:val="009D64FF"/>
    <w:rsid w:val="009E1E28"/>
    <w:rsid w:val="009E4C07"/>
    <w:rsid w:val="009E674D"/>
    <w:rsid w:val="009F182B"/>
    <w:rsid w:val="009F1DB4"/>
    <w:rsid w:val="009F4CC9"/>
    <w:rsid w:val="009F54F1"/>
    <w:rsid w:val="009F6D92"/>
    <w:rsid w:val="00A00348"/>
    <w:rsid w:val="00A036AD"/>
    <w:rsid w:val="00A03D43"/>
    <w:rsid w:val="00A04380"/>
    <w:rsid w:val="00A05B4B"/>
    <w:rsid w:val="00A05D0B"/>
    <w:rsid w:val="00A13948"/>
    <w:rsid w:val="00A21240"/>
    <w:rsid w:val="00A27AEC"/>
    <w:rsid w:val="00A27B61"/>
    <w:rsid w:val="00A3400D"/>
    <w:rsid w:val="00A35D16"/>
    <w:rsid w:val="00A41B26"/>
    <w:rsid w:val="00A43C59"/>
    <w:rsid w:val="00A451E6"/>
    <w:rsid w:val="00A45DCD"/>
    <w:rsid w:val="00A50ECD"/>
    <w:rsid w:val="00A52729"/>
    <w:rsid w:val="00A53675"/>
    <w:rsid w:val="00A53A9D"/>
    <w:rsid w:val="00A56774"/>
    <w:rsid w:val="00A56B6A"/>
    <w:rsid w:val="00A578DC"/>
    <w:rsid w:val="00A60766"/>
    <w:rsid w:val="00A62661"/>
    <w:rsid w:val="00A6491E"/>
    <w:rsid w:val="00A6725B"/>
    <w:rsid w:val="00A72CE0"/>
    <w:rsid w:val="00A827EB"/>
    <w:rsid w:val="00A82D95"/>
    <w:rsid w:val="00A83640"/>
    <w:rsid w:val="00A84219"/>
    <w:rsid w:val="00A86E8B"/>
    <w:rsid w:val="00A9017A"/>
    <w:rsid w:val="00A90486"/>
    <w:rsid w:val="00A908FF"/>
    <w:rsid w:val="00A93072"/>
    <w:rsid w:val="00A937DE"/>
    <w:rsid w:val="00A957B0"/>
    <w:rsid w:val="00A959D8"/>
    <w:rsid w:val="00A96AD8"/>
    <w:rsid w:val="00A96BBF"/>
    <w:rsid w:val="00A976AA"/>
    <w:rsid w:val="00AA1839"/>
    <w:rsid w:val="00AA5CCA"/>
    <w:rsid w:val="00AB042A"/>
    <w:rsid w:val="00AB117A"/>
    <w:rsid w:val="00AB1B1B"/>
    <w:rsid w:val="00AB2D34"/>
    <w:rsid w:val="00AB3430"/>
    <w:rsid w:val="00AB3BD8"/>
    <w:rsid w:val="00AB7CFA"/>
    <w:rsid w:val="00AC11F0"/>
    <w:rsid w:val="00AC41B5"/>
    <w:rsid w:val="00AC420C"/>
    <w:rsid w:val="00AD0D6A"/>
    <w:rsid w:val="00AD23B5"/>
    <w:rsid w:val="00AD318D"/>
    <w:rsid w:val="00AD4D9D"/>
    <w:rsid w:val="00AD5DB6"/>
    <w:rsid w:val="00AD6511"/>
    <w:rsid w:val="00AE5D74"/>
    <w:rsid w:val="00AE5F78"/>
    <w:rsid w:val="00AF1F5C"/>
    <w:rsid w:val="00AF3372"/>
    <w:rsid w:val="00B01445"/>
    <w:rsid w:val="00B075AA"/>
    <w:rsid w:val="00B10EB3"/>
    <w:rsid w:val="00B17320"/>
    <w:rsid w:val="00B17AFD"/>
    <w:rsid w:val="00B23DD3"/>
    <w:rsid w:val="00B24EA4"/>
    <w:rsid w:val="00B25F40"/>
    <w:rsid w:val="00B318DA"/>
    <w:rsid w:val="00B36FC5"/>
    <w:rsid w:val="00B409AB"/>
    <w:rsid w:val="00B42851"/>
    <w:rsid w:val="00B43123"/>
    <w:rsid w:val="00B46BB4"/>
    <w:rsid w:val="00B50DB8"/>
    <w:rsid w:val="00B5162D"/>
    <w:rsid w:val="00B52792"/>
    <w:rsid w:val="00B52FB7"/>
    <w:rsid w:val="00B53905"/>
    <w:rsid w:val="00B54B5B"/>
    <w:rsid w:val="00B5562E"/>
    <w:rsid w:val="00B57000"/>
    <w:rsid w:val="00B57C03"/>
    <w:rsid w:val="00B606FB"/>
    <w:rsid w:val="00B60939"/>
    <w:rsid w:val="00B60AFD"/>
    <w:rsid w:val="00B61BEA"/>
    <w:rsid w:val="00B62715"/>
    <w:rsid w:val="00B66BD0"/>
    <w:rsid w:val="00B71115"/>
    <w:rsid w:val="00B76FFB"/>
    <w:rsid w:val="00B80CE6"/>
    <w:rsid w:val="00B80D84"/>
    <w:rsid w:val="00B818A4"/>
    <w:rsid w:val="00B83278"/>
    <w:rsid w:val="00B839C2"/>
    <w:rsid w:val="00B83FB7"/>
    <w:rsid w:val="00B8611B"/>
    <w:rsid w:val="00B8649C"/>
    <w:rsid w:val="00B92D0B"/>
    <w:rsid w:val="00B94945"/>
    <w:rsid w:val="00B97197"/>
    <w:rsid w:val="00BA32A6"/>
    <w:rsid w:val="00BA79C7"/>
    <w:rsid w:val="00BB467F"/>
    <w:rsid w:val="00BB6E9C"/>
    <w:rsid w:val="00BB7405"/>
    <w:rsid w:val="00BC5DC3"/>
    <w:rsid w:val="00BC71A8"/>
    <w:rsid w:val="00BC7A62"/>
    <w:rsid w:val="00BD25A9"/>
    <w:rsid w:val="00BD3357"/>
    <w:rsid w:val="00BD5C7E"/>
    <w:rsid w:val="00BD6CF3"/>
    <w:rsid w:val="00BE2180"/>
    <w:rsid w:val="00BE4275"/>
    <w:rsid w:val="00BE49BA"/>
    <w:rsid w:val="00BE5473"/>
    <w:rsid w:val="00BF2433"/>
    <w:rsid w:val="00BF3175"/>
    <w:rsid w:val="00BF3EBC"/>
    <w:rsid w:val="00BF435A"/>
    <w:rsid w:val="00BF61C9"/>
    <w:rsid w:val="00BF6D78"/>
    <w:rsid w:val="00C05C50"/>
    <w:rsid w:val="00C11B3E"/>
    <w:rsid w:val="00C15BE6"/>
    <w:rsid w:val="00C20466"/>
    <w:rsid w:val="00C25418"/>
    <w:rsid w:val="00C25D9C"/>
    <w:rsid w:val="00C2784D"/>
    <w:rsid w:val="00C2787E"/>
    <w:rsid w:val="00C31649"/>
    <w:rsid w:val="00C35E19"/>
    <w:rsid w:val="00C37F2B"/>
    <w:rsid w:val="00C401DF"/>
    <w:rsid w:val="00C40385"/>
    <w:rsid w:val="00C4085B"/>
    <w:rsid w:val="00C4205A"/>
    <w:rsid w:val="00C447AC"/>
    <w:rsid w:val="00C453E2"/>
    <w:rsid w:val="00C469C4"/>
    <w:rsid w:val="00C508F4"/>
    <w:rsid w:val="00C56A19"/>
    <w:rsid w:val="00C63ED7"/>
    <w:rsid w:val="00C65576"/>
    <w:rsid w:val="00C66165"/>
    <w:rsid w:val="00C675B5"/>
    <w:rsid w:val="00C72860"/>
    <w:rsid w:val="00C74B67"/>
    <w:rsid w:val="00C750C8"/>
    <w:rsid w:val="00C81648"/>
    <w:rsid w:val="00C8213F"/>
    <w:rsid w:val="00C859AC"/>
    <w:rsid w:val="00C8797A"/>
    <w:rsid w:val="00C938CF"/>
    <w:rsid w:val="00C95C4A"/>
    <w:rsid w:val="00CA1826"/>
    <w:rsid w:val="00CA5245"/>
    <w:rsid w:val="00CA6A19"/>
    <w:rsid w:val="00CA7733"/>
    <w:rsid w:val="00CA7B09"/>
    <w:rsid w:val="00CB224F"/>
    <w:rsid w:val="00CB2956"/>
    <w:rsid w:val="00CB5B1A"/>
    <w:rsid w:val="00CC27FC"/>
    <w:rsid w:val="00CC771C"/>
    <w:rsid w:val="00CD3085"/>
    <w:rsid w:val="00CD6ADC"/>
    <w:rsid w:val="00CE00BC"/>
    <w:rsid w:val="00CE34DA"/>
    <w:rsid w:val="00CE6274"/>
    <w:rsid w:val="00CF0207"/>
    <w:rsid w:val="00CF3750"/>
    <w:rsid w:val="00CF4405"/>
    <w:rsid w:val="00CF456B"/>
    <w:rsid w:val="00CF5A22"/>
    <w:rsid w:val="00CF7284"/>
    <w:rsid w:val="00D0262E"/>
    <w:rsid w:val="00D07BFE"/>
    <w:rsid w:val="00D1090B"/>
    <w:rsid w:val="00D110BD"/>
    <w:rsid w:val="00D14C1D"/>
    <w:rsid w:val="00D162C7"/>
    <w:rsid w:val="00D17D6C"/>
    <w:rsid w:val="00D219A6"/>
    <w:rsid w:val="00D21B70"/>
    <w:rsid w:val="00D23061"/>
    <w:rsid w:val="00D275FC"/>
    <w:rsid w:val="00D31705"/>
    <w:rsid w:val="00D326A4"/>
    <w:rsid w:val="00D347FD"/>
    <w:rsid w:val="00D357FF"/>
    <w:rsid w:val="00D35C97"/>
    <w:rsid w:val="00D401D6"/>
    <w:rsid w:val="00D413B1"/>
    <w:rsid w:val="00D4211C"/>
    <w:rsid w:val="00D43E7E"/>
    <w:rsid w:val="00D46B37"/>
    <w:rsid w:val="00D50E24"/>
    <w:rsid w:val="00D51D03"/>
    <w:rsid w:val="00D552C6"/>
    <w:rsid w:val="00D63B4A"/>
    <w:rsid w:val="00D703B3"/>
    <w:rsid w:val="00D7050D"/>
    <w:rsid w:val="00D7601F"/>
    <w:rsid w:val="00D76A44"/>
    <w:rsid w:val="00D7723F"/>
    <w:rsid w:val="00D77885"/>
    <w:rsid w:val="00D803ED"/>
    <w:rsid w:val="00D816C9"/>
    <w:rsid w:val="00D83D5A"/>
    <w:rsid w:val="00D84408"/>
    <w:rsid w:val="00D86EE5"/>
    <w:rsid w:val="00D904CF"/>
    <w:rsid w:val="00D93753"/>
    <w:rsid w:val="00D938F6"/>
    <w:rsid w:val="00D93C2F"/>
    <w:rsid w:val="00D95685"/>
    <w:rsid w:val="00DA099E"/>
    <w:rsid w:val="00DA38D0"/>
    <w:rsid w:val="00DA3CE6"/>
    <w:rsid w:val="00DA77A5"/>
    <w:rsid w:val="00DB6935"/>
    <w:rsid w:val="00DB6FBF"/>
    <w:rsid w:val="00DC1091"/>
    <w:rsid w:val="00DC2B69"/>
    <w:rsid w:val="00DC3621"/>
    <w:rsid w:val="00DC5501"/>
    <w:rsid w:val="00DC6FCD"/>
    <w:rsid w:val="00DD2C55"/>
    <w:rsid w:val="00DD3F28"/>
    <w:rsid w:val="00DD4537"/>
    <w:rsid w:val="00DD4E15"/>
    <w:rsid w:val="00DD5782"/>
    <w:rsid w:val="00DE4FCB"/>
    <w:rsid w:val="00DE6B4E"/>
    <w:rsid w:val="00DF083C"/>
    <w:rsid w:val="00DF5D2B"/>
    <w:rsid w:val="00DF61E0"/>
    <w:rsid w:val="00E00853"/>
    <w:rsid w:val="00E07E2E"/>
    <w:rsid w:val="00E10149"/>
    <w:rsid w:val="00E10256"/>
    <w:rsid w:val="00E16372"/>
    <w:rsid w:val="00E16A3C"/>
    <w:rsid w:val="00E16AB6"/>
    <w:rsid w:val="00E175F5"/>
    <w:rsid w:val="00E20ED6"/>
    <w:rsid w:val="00E21358"/>
    <w:rsid w:val="00E2249B"/>
    <w:rsid w:val="00E22A0D"/>
    <w:rsid w:val="00E23594"/>
    <w:rsid w:val="00E26F14"/>
    <w:rsid w:val="00E2771E"/>
    <w:rsid w:val="00E32B0C"/>
    <w:rsid w:val="00E34567"/>
    <w:rsid w:val="00E371B2"/>
    <w:rsid w:val="00E3723D"/>
    <w:rsid w:val="00E37569"/>
    <w:rsid w:val="00E37AB3"/>
    <w:rsid w:val="00E41E30"/>
    <w:rsid w:val="00E42330"/>
    <w:rsid w:val="00E42974"/>
    <w:rsid w:val="00E43D70"/>
    <w:rsid w:val="00E46A6B"/>
    <w:rsid w:val="00E47B2C"/>
    <w:rsid w:val="00E51560"/>
    <w:rsid w:val="00E5266B"/>
    <w:rsid w:val="00E55424"/>
    <w:rsid w:val="00E55BB5"/>
    <w:rsid w:val="00E5620D"/>
    <w:rsid w:val="00E6217D"/>
    <w:rsid w:val="00E659A7"/>
    <w:rsid w:val="00E65E79"/>
    <w:rsid w:val="00E67416"/>
    <w:rsid w:val="00E718B6"/>
    <w:rsid w:val="00E72D59"/>
    <w:rsid w:val="00E73581"/>
    <w:rsid w:val="00E80C5F"/>
    <w:rsid w:val="00E81612"/>
    <w:rsid w:val="00E82D3B"/>
    <w:rsid w:val="00E83AE2"/>
    <w:rsid w:val="00E83BDF"/>
    <w:rsid w:val="00E87DD2"/>
    <w:rsid w:val="00E93F92"/>
    <w:rsid w:val="00E97FC0"/>
    <w:rsid w:val="00EA3864"/>
    <w:rsid w:val="00EB15B6"/>
    <w:rsid w:val="00EB40D3"/>
    <w:rsid w:val="00EB4916"/>
    <w:rsid w:val="00EB602B"/>
    <w:rsid w:val="00EB6FFA"/>
    <w:rsid w:val="00EB7FC7"/>
    <w:rsid w:val="00EC00C9"/>
    <w:rsid w:val="00EC081D"/>
    <w:rsid w:val="00EC15A1"/>
    <w:rsid w:val="00EC6C5B"/>
    <w:rsid w:val="00ED4FA5"/>
    <w:rsid w:val="00EE07D3"/>
    <w:rsid w:val="00EF01C9"/>
    <w:rsid w:val="00EF02A9"/>
    <w:rsid w:val="00EF559E"/>
    <w:rsid w:val="00EF6F07"/>
    <w:rsid w:val="00F01E48"/>
    <w:rsid w:val="00F067A2"/>
    <w:rsid w:val="00F1160E"/>
    <w:rsid w:val="00F152AB"/>
    <w:rsid w:val="00F24837"/>
    <w:rsid w:val="00F25211"/>
    <w:rsid w:val="00F2575F"/>
    <w:rsid w:val="00F271EE"/>
    <w:rsid w:val="00F30481"/>
    <w:rsid w:val="00F3263F"/>
    <w:rsid w:val="00F33DE9"/>
    <w:rsid w:val="00F3619A"/>
    <w:rsid w:val="00F375B1"/>
    <w:rsid w:val="00F43D4A"/>
    <w:rsid w:val="00F43E6C"/>
    <w:rsid w:val="00F46CB6"/>
    <w:rsid w:val="00F47CF9"/>
    <w:rsid w:val="00F53BD9"/>
    <w:rsid w:val="00F55E73"/>
    <w:rsid w:val="00F5726E"/>
    <w:rsid w:val="00F60092"/>
    <w:rsid w:val="00F60C98"/>
    <w:rsid w:val="00F658FD"/>
    <w:rsid w:val="00F67878"/>
    <w:rsid w:val="00F74762"/>
    <w:rsid w:val="00F80A96"/>
    <w:rsid w:val="00F80CC5"/>
    <w:rsid w:val="00F80E5D"/>
    <w:rsid w:val="00F851CE"/>
    <w:rsid w:val="00F85FEF"/>
    <w:rsid w:val="00F871BF"/>
    <w:rsid w:val="00F913F2"/>
    <w:rsid w:val="00F93B7B"/>
    <w:rsid w:val="00F94B0C"/>
    <w:rsid w:val="00F97450"/>
    <w:rsid w:val="00F97A78"/>
    <w:rsid w:val="00FA24D1"/>
    <w:rsid w:val="00FA24E7"/>
    <w:rsid w:val="00FA456F"/>
    <w:rsid w:val="00FA4904"/>
    <w:rsid w:val="00FA5A7E"/>
    <w:rsid w:val="00FB2FCB"/>
    <w:rsid w:val="00FB3113"/>
    <w:rsid w:val="00FB54F0"/>
    <w:rsid w:val="00FC1074"/>
    <w:rsid w:val="00FC1884"/>
    <w:rsid w:val="00FC5936"/>
    <w:rsid w:val="00FC6903"/>
    <w:rsid w:val="00FD054C"/>
    <w:rsid w:val="00FD1BA6"/>
    <w:rsid w:val="00FD2100"/>
    <w:rsid w:val="00FD446D"/>
    <w:rsid w:val="00FD67DE"/>
    <w:rsid w:val="00FF0A45"/>
    <w:rsid w:val="00FF3540"/>
    <w:rsid w:val="00FF3DCF"/>
    <w:rsid w:val="00FF3E55"/>
    <w:rsid w:val="00FF5AA3"/>
    <w:rsid w:val="00FF6260"/>
    <w:rsid w:val="00FF696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07A20"/>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911A72"/>
    <w:rPr>
      <w:sz w:val="20"/>
    </w:rPr>
  </w:style>
  <w:style w:type="character" w:customStyle="1" w:styleId="FootnoteTextChar">
    <w:name w:val="Footnote Text Char"/>
    <w:basedOn w:val="DefaultParagraphFont"/>
    <w:link w:val="FootnoteText"/>
    <w:semiHidden/>
    <w:rsid w:val="00911A72"/>
    <w:rPr>
      <w:rFonts w:ascii="Arial" w:hAnsi="Arial" w:cs="Arial"/>
      <w:snapToGrid w:val="0"/>
      <w:lang w:eastAsia="en-US"/>
    </w:rPr>
  </w:style>
  <w:style w:type="character" w:styleId="FootnoteReference">
    <w:name w:val="footnote reference"/>
    <w:basedOn w:val="DefaultParagraphFont"/>
    <w:semiHidden/>
    <w:unhideWhenUsed/>
    <w:rsid w:val="00911A72"/>
    <w:rPr>
      <w:vertAlign w:val="superscript"/>
    </w:rPr>
  </w:style>
  <w:style w:type="character" w:styleId="PlaceholderText">
    <w:name w:val="Placeholder Text"/>
    <w:basedOn w:val="DefaultParagraphFont"/>
    <w:uiPriority w:val="99"/>
    <w:semiHidden/>
    <w:rsid w:val="003000ED"/>
    <w:rPr>
      <w:color w:val="808080"/>
    </w:rPr>
  </w:style>
  <w:style w:type="character" w:customStyle="1" w:styleId="ListParagraphChar">
    <w:name w:val="List Paragraph Char"/>
    <w:link w:val="ListParagraph"/>
    <w:uiPriority w:val="34"/>
    <w:rsid w:val="0042568A"/>
    <w:rPr>
      <w:rFonts w:ascii="Arial" w:hAnsi="Arial" w:cs="Arial"/>
      <w:snapToGrid w:val="0"/>
      <w:sz w:val="22"/>
      <w:lang w:eastAsia="en-US"/>
    </w:rPr>
  </w:style>
  <w:style w:type="paragraph" w:styleId="DocumentMap">
    <w:name w:val="Document Map"/>
    <w:basedOn w:val="Normal"/>
    <w:link w:val="DocumentMapChar"/>
    <w:semiHidden/>
    <w:unhideWhenUsed/>
    <w:rsid w:val="00470197"/>
    <w:rPr>
      <w:rFonts w:ascii="Tahoma" w:hAnsi="Tahoma" w:cs="Tahoma"/>
      <w:sz w:val="16"/>
      <w:szCs w:val="16"/>
    </w:rPr>
  </w:style>
  <w:style w:type="character" w:customStyle="1" w:styleId="DocumentMapChar">
    <w:name w:val="Document Map Char"/>
    <w:basedOn w:val="DefaultParagraphFont"/>
    <w:link w:val="DocumentMap"/>
    <w:semiHidden/>
    <w:rsid w:val="00470197"/>
    <w:rPr>
      <w:rFonts w:ascii="Tahoma" w:hAnsi="Tahoma" w:cs="Tahoma"/>
      <w:snapToGrid w:val="0"/>
      <w:sz w:val="16"/>
      <w:szCs w:val="16"/>
      <w:lang w:eastAsia="en-US"/>
    </w:rPr>
  </w:style>
  <w:style w:type="paragraph" w:customStyle="1" w:styleId="TableText1">
    <w:name w:val="Table Text"/>
    <w:basedOn w:val="Normal"/>
    <w:link w:val="TableTextChar0"/>
    <w:qFormat/>
    <w:rsid w:val="00CC771C"/>
    <w:pPr>
      <w:keepNext/>
      <w:keepLines/>
      <w:widowControl/>
      <w:spacing w:before="40"/>
      <w:jc w:val="left"/>
    </w:pPr>
    <w:rPr>
      <w:rFonts w:cs="Times New Roman"/>
      <w:snapToGrid/>
      <w:color w:val="000000"/>
      <w:sz w:val="20"/>
      <w:szCs w:val="18"/>
    </w:rPr>
  </w:style>
  <w:style w:type="character" w:customStyle="1" w:styleId="TableTextChar0">
    <w:name w:val="Table Text Char"/>
    <w:link w:val="TableText1"/>
    <w:rsid w:val="00CC771C"/>
    <w:rPr>
      <w:rFonts w:ascii="Arial" w:hAnsi="Arial"/>
      <w:color w:val="000000"/>
      <w:szCs w:val="18"/>
      <w:lang w:eastAsia="en-US"/>
    </w:rPr>
  </w:style>
  <w:style w:type="paragraph" w:customStyle="1" w:styleId="TableNote">
    <w:name w:val="Table Note"/>
    <w:basedOn w:val="Normal"/>
    <w:link w:val="TableNoteChar"/>
    <w:qFormat/>
    <w:rsid w:val="00D401D6"/>
    <w:pPr>
      <w:widowControl/>
      <w:spacing w:line="276" w:lineRule="auto"/>
    </w:pPr>
    <w:rPr>
      <w:rFonts w:asciiTheme="minorHAnsi" w:eastAsiaTheme="minorHAnsi" w:hAnsiTheme="minorHAnsi"/>
      <w:snapToGrid/>
      <w:sz w:val="16"/>
      <w:szCs w:val="22"/>
    </w:rPr>
  </w:style>
  <w:style w:type="character" w:customStyle="1" w:styleId="TableNoteChar">
    <w:name w:val="Table Note Char"/>
    <w:basedOn w:val="DefaultParagraphFont"/>
    <w:link w:val="TableNote"/>
    <w:rsid w:val="00D401D6"/>
    <w:rPr>
      <w:rFonts w:asciiTheme="minorHAnsi" w:eastAsiaTheme="minorHAnsi" w:hAnsiTheme="minorHAnsi" w:cs="Arial"/>
      <w:sz w:val="1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07A20"/>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8"/>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911A72"/>
    <w:rPr>
      <w:sz w:val="20"/>
    </w:rPr>
  </w:style>
  <w:style w:type="character" w:customStyle="1" w:styleId="FootnoteTextChar">
    <w:name w:val="Footnote Text Char"/>
    <w:basedOn w:val="DefaultParagraphFont"/>
    <w:link w:val="FootnoteText"/>
    <w:semiHidden/>
    <w:rsid w:val="00911A72"/>
    <w:rPr>
      <w:rFonts w:ascii="Arial" w:hAnsi="Arial" w:cs="Arial"/>
      <w:snapToGrid w:val="0"/>
      <w:lang w:eastAsia="en-US"/>
    </w:rPr>
  </w:style>
  <w:style w:type="character" w:styleId="FootnoteReference">
    <w:name w:val="footnote reference"/>
    <w:basedOn w:val="DefaultParagraphFont"/>
    <w:semiHidden/>
    <w:unhideWhenUsed/>
    <w:rsid w:val="00911A72"/>
    <w:rPr>
      <w:vertAlign w:val="superscript"/>
    </w:rPr>
  </w:style>
  <w:style w:type="character" w:styleId="PlaceholderText">
    <w:name w:val="Placeholder Text"/>
    <w:basedOn w:val="DefaultParagraphFont"/>
    <w:uiPriority w:val="99"/>
    <w:semiHidden/>
    <w:rsid w:val="003000ED"/>
    <w:rPr>
      <w:color w:val="808080"/>
    </w:rPr>
  </w:style>
  <w:style w:type="character" w:customStyle="1" w:styleId="ListParagraphChar">
    <w:name w:val="List Paragraph Char"/>
    <w:link w:val="ListParagraph"/>
    <w:uiPriority w:val="34"/>
    <w:rsid w:val="0042568A"/>
    <w:rPr>
      <w:rFonts w:ascii="Arial" w:hAnsi="Arial" w:cs="Arial"/>
      <w:snapToGrid w:val="0"/>
      <w:sz w:val="22"/>
      <w:lang w:eastAsia="en-US"/>
    </w:rPr>
  </w:style>
  <w:style w:type="paragraph" w:styleId="DocumentMap">
    <w:name w:val="Document Map"/>
    <w:basedOn w:val="Normal"/>
    <w:link w:val="DocumentMapChar"/>
    <w:semiHidden/>
    <w:unhideWhenUsed/>
    <w:rsid w:val="00470197"/>
    <w:rPr>
      <w:rFonts w:ascii="Tahoma" w:hAnsi="Tahoma" w:cs="Tahoma"/>
      <w:sz w:val="16"/>
      <w:szCs w:val="16"/>
    </w:rPr>
  </w:style>
  <w:style w:type="character" w:customStyle="1" w:styleId="DocumentMapChar">
    <w:name w:val="Document Map Char"/>
    <w:basedOn w:val="DefaultParagraphFont"/>
    <w:link w:val="DocumentMap"/>
    <w:semiHidden/>
    <w:rsid w:val="00470197"/>
    <w:rPr>
      <w:rFonts w:ascii="Tahoma" w:hAnsi="Tahoma" w:cs="Tahoma"/>
      <w:snapToGrid w:val="0"/>
      <w:sz w:val="16"/>
      <w:szCs w:val="16"/>
      <w:lang w:eastAsia="en-US"/>
    </w:rPr>
  </w:style>
  <w:style w:type="paragraph" w:customStyle="1" w:styleId="TableText1">
    <w:name w:val="Table Text"/>
    <w:basedOn w:val="Normal"/>
    <w:link w:val="TableTextChar0"/>
    <w:qFormat/>
    <w:rsid w:val="00CC771C"/>
    <w:pPr>
      <w:keepNext/>
      <w:keepLines/>
      <w:widowControl/>
      <w:spacing w:before="40"/>
      <w:jc w:val="left"/>
    </w:pPr>
    <w:rPr>
      <w:rFonts w:cs="Times New Roman"/>
      <w:snapToGrid/>
      <w:color w:val="000000"/>
      <w:sz w:val="20"/>
      <w:szCs w:val="18"/>
    </w:rPr>
  </w:style>
  <w:style w:type="character" w:customStyle="1" w:styleId="TableTextChar0">
    <w:name w:val="Table Text Char"/>
    <w:link w:val="TableText1"/>
    <w:rsid w:val="00CC771C"/>
    <w:rPr>
      <w:rFonts w:ascii="Arial" w:hAnsi="Arial"/>
      <w:color w:val="000000"/>
      <w:szCs w:val="18"/>
      <w:lang w:eastAsia="en-US"/>
    </w:rPr>
  </w:style>
  <w:style w:type="paragraph" w:customStyle="1" w:styleId="TableNote">
    <w:name w:val="Table Note"/>
    <w:basedOn w:val="Normal"/>
    <w:link w:val="TableNoteChar"/>
    <w:qFormat/>
    <w:rsid w:val="00D401D6"/>
    <w:pPr>
      <w:widowControl/>
      <w:spacing w:line="276" w:lineRule="auto"/>
    </w:pPr>
    <w:rPr>
      <w:rFonts w:asciiTheme="minorHAnsi" w:eastAsiaTheme="minorHAnsi" w:hAnsiTheme="minorHAnsi"/>
      <w:snapToGrid/>
      <w:sz w:val="16"/>
      <w:szCs w:val="22"/>
    </w:rPr>
  </w:style>
  <w:style w:type="character" w:customStyle="1" w:styleId="TableNoteChar">
    <w:name w:val="Table Note Char"/>
    <w:basedOn w:val="DefaultParagraphFont"/>
    <w:link w:val="TableNote"/>
    <w:rsid w:val="00D401D6"/>
    <w:rPr>
      <w:rFonts w:asciiTheme="minorHAnsi" w:eastAsiaTheme="minorHAnsi" w:hAnsiTheme="minorHAnsi" w:cs="Arial"/>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F607D-F7E9-4941-A531-9CF9A535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6016</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2015-10-26T04:48:00Z</dcterms:created>
  <dcterms:modified xsi:type="dcterms:W3CDTF">2015-10-26T04:51:00Z</dcterms:modified>
</cp:coreProperties>
</file>