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94" w:rsidRDefault="007F64F1" w:rsidP="007478B9">
      <w:pPr>
        <w:widowControl/>
        <w:ind w:left="675" w:hanging="675"/>
        <w:jc w:val="left"/>
        <w:rPr>
          <w:rFonts w:ascii="Arial Bold" w:hAnsi="Arial Bold"/>
          <w:b/>
          <w:sz w:val="28"/>
        </w:rPr>
      </w:pPr>
      <w:bookmarkStart w:id="0" w:name="_GoBack"/>
      <w:bookmarkEnd w:id="0"/>
      <w:r w:rsidRPr="0057392E">
        <w:rPr>
          <w:rFonts w:ascii="Arial Bold" w:hAnsi="Arial Bold"/>
          <w:b/>
          <w:caps/>
          <w:sz w:val="28"/>
        </w:rPr>
        <w:t>6.01</w:t>
      </w:r>
      <w:r w:rsidR="00666194" w:rsidRPr="0057392E">
        <w:rPr>
          <w:rFonts w:ascii="Arial Bold" w:hAnsi="Arial Bold"/>
          <w:b/>
          <w:caps/>
          <w:sz w:val="28"/>
        </w:rPr>
        <w:tab/>
      </w:r>
      <w:r w:rsidR="00B62BF4" w:rsidRPr="0057392E">
        <w:rPr>
          <w:rFonts w:ascii="Arial Bold" w:hAnsi="Arial Bold"/>
          <w:b/>
          <w:caps/>
          <w:sz w:val="28"/>
        </w:rPr>
        <w:t>DEFERASIROX</w:t>
      </w:r>
      <w:r w:rsidR="00666194" w:rsidRPr="0057392E">
        <w:rPr>
          <w:rFonts w:ascii="Arial Bold" w:hAnsi="Arial Bold"/>
          <w:b/>
          <w:caps/>
          <w:sz w:val="28"/>
        </w:rPr>
        <w:t>,</w:t>
      </w:r>
      <w:r w:rsidR="00666194" w:rsidRPr="00B62BF4">
        <w:rPr>
          <w:sz w:val="28"/>
        </w:rPr>
        <w:t xml:space="preserve"> </w:t>
      </w:r>
      <w:r w:rsidR="00B62BF4" w:rsidRPr="0057392E">
        <w:rPr>
          <w:rFonts w:ascii="Arial Bold" w:hAnsi="Arial Bold"/>
          <w:b/>
          <w:sz w:val="28"/>
        </w:rPr>
        <w:t>125 mg dispersible tablet, 28, 250 mg dispersible tablet, 28, 500 mg dispersible tablet, 28, Exjade</w:t>
      </w:r>
      <w:r w:rsidR="00B62BF4" w:rsidRPr="006733DB">
        <w:rPr>
          <w:rFonts w:ascii="Arial Bold" w:hAnsi="Arial Bold"/>
          <w:b/>
          <w:sz w:val="28"/>
          <w:vertAlign w:val="superscript"/>
        </w:rPr>
        <w:t>®</w:t>
      </w:r>
      <w:r w:rsidR="00B62BF4" w:rsidRPr="0057392E">
        <w:rPr>
          <w:rFonts w:ascii="Arial Bold" w:hAnsi="Arial Bold"/>
          <w:b/>
          <w:sz w:val="28"/>
        </w:rPr>
        <w:t>, Novartis Pharmaceuticals Pty Ltd</w:t>
      </w:r>
    </w:p>
    <w:p w:rsidR="00666194" w:rsidRPr="00575319" w:rsidRDefault="00666194" w:rsidP="007478B9">
      <w:pPr>
        <w:widowControl/>
      </w:pPr>
    </w:p>
    <w:p w:rsidR="00666194" w:rsidRPr="00575319" w:rsidRDefault="00666194" w:rsidP="007478B9">
      <w:pPr>
        <w:pStyle w:val="Heading2"/>
        <w:widowControl/>
        <w:numPr>
          <w:ilvl w:val="0"/>
          <w:numId w:val="4"/>
        </w:numPr>
        <w:ind w:left="709" w:hanging="709"/>
      </w:pPr>
      <w:bookmarkStart w:id="1" w:name="_Toc419798693"/>
      <w:r w:rsidRPr="00575319">
        <w:t>Purpose of Application</w:t>
      </w:r>
      <w:bookmarkEnd w:id="1"/>
    </w:p>
    <w:p w:rsidR="00666194" w:rsidRPr="00575319" w:rsidRDefault="00666194" w:rsidP="007478B9">
      <w:pPr>
        <w:widowControl/>
        <w:rPr>
          <w:szCs w:val="22"/>
        </w:rPr>
      </w:pPr>
    </w:p>
    <w:p w:rsidR="001E0142" w:rsidRDefault="006B6B29" w:rsidP="007478B9">
      <w:pPr>
        <w:widowControl/>
        <w:ind w:left="709" w:hanging="709"/>
      </w:pPr>
      <w:r>
        <w:t>1.1</w:t>
      </w:r>
      <w:r>
        <w:tab/>
        <w:t>Section 100</w:t>
      </w:r>
      <w:r w:rsidR="00551890" w:rsidRPr="00575319">
        <w:t xml:space="preserve"> listing for deferasirox</w:t>
      </w:r>
      <w:r w:rsidR="00321485">
        <w:t xml:space="preserve"> (DFX)</w:t>
      </w:r>
      <w:r w:rsidR="00551890" w:rsidRPr="00575319">
        <w:t xml:space="preserve"> for treatment of iron overload</w:t>
      </w:r>
      <w:r w:rsidR="00321485">
        <w:t xml:space="preserve"> </w:t>
      </w:r>
      <w:r w:rsidR="00551890" w:rsidRPr="00575319">
        <w:t>associated with transfusion dependent malignant disorder of erythropoiesis and non-transfusion dependent thalassaemia.</w:t>
      </w:r>
    </w:p>
    <w:p w:rsidR="001E0142" w:rsidRPr="00575319" w:rsidRDefault="001E0142" w:rsidP="007478B9">
      <w:pPr>
        <w:widowControl/>
      </w:pPr>
    </w:p>
    <w:p w:rsidR="00666194" w:rsidRDefault="00666194" w:rsidP="007478B9">
      <w:pPr>
        <w:pStyle w:val="Heading2"/>
        <w:widowControl/>
        <w:numPr>
          <w:ilvl w:val="0"/>
          <w:numId w:val="4"/>
        </w:numPr>
        <w:ind w:left="709" w:hanging="709"/>
      </w:pPr>
      <w:bookmarkStart w:id="2" w:name="_Toc419798694"/>
      <w:r w:rsidRPr="00575319">
        <w:t>Requested listing</w:t>
      </w:r>
      <w:bookmarkEnd w:id="2"/>
    </w:p>
    <w:p w:rsidR="00561EF6" w:rsidRDefault="00561EF6" w:rsidP="007478B9">
      <w:pPr>
        <w:pStyle w:val="PBACHeading1"/>
        <w:numPr>
          <w:ilvl w:val="0"/>
          <w:numId w:val="0"/>
        </w:numPr>
        <w:ind w:left="720"/>
      </w:pPr>
    </w:p>
    <w:p w:rsidR="00503BC2" w:rsidRPr="00575319" w:rsidRDefault="00503BC2" w:rsidP="007478B9">
      <w:pPr>
        <w:pStyle w:val="ListParagraph"/>
        <w:widowControl/>
        <w:numPr>
          <w:ilvl w:val="1"/>
          <w:numId w:val="4"/>
        </w:numPr>
        <w:rPr>
          <w:szCs w:val="22"/>
        </w:rPr>
      </w:pPr>
      <w:r w:rsidRPr="00575319">
        <w:t xml:space="preserve">Two alternative listings (achieving the same coverage) </w:t>
      </w:r>
      <w:r w:rsidR="00C31F07">
        <w:t>were</w:t>
      </w:r>
      <w:r w:rsidRPr="00575319">
        <w:t xml:space="preserve"> proposed: </w:t>
      </w:r>
    </w:p>
    <w:p w:rsidR="00503BC2" w:rsidRPr="00575319" w:rsidRDefault="00503BC2" w:rsidP="007478B9">
      <w:pPr>
        <w:pStyle w:val="ListParagraph"/>
        <w:widowControl/>
        <w:numPr>
          <w:ilvl w:val="0"/>
          <w:numId w:val="9"/>
        </w:numPr>
        <w:tabs>
          <w:tab w:val="left" w:pos="1276"/>
        </w:tabs>
        <w:ind w:left="1276" w:hanging="567"/>
      </w:pPr>
      <w:r w:rsidRPr="00575319">
        <w:t>maintain the existing PBS listing (</w:t>
      </w:r>
      <w:r w:rsidR="00A84463" w:rsidRPr="00575319">
        <w:t>i.e.</w:t>
      </w:r>
      <w:r w:rsidRPr="00575319">
        <w:t>, prior to the Nov</w:t>
      </w:r>
      <w:r w:rsidR="001E0142">
        <w:t>ember</w:t>
      </w:r>
      <w:r w:rsidRPr="00575319">
        <w:t xml:space="preserve"> 2014 PBAC recommendation) so both malignant and non-malignant conditions of erythropoiesis are included under one listing; OR </w:t>
      </w:r>
    </w:p>
    <w:p w:rsidR="00503BC2" w:rsidRDefault="00463C27" w:rsidP="007478B9">
      <w:pPr>
        <w:pStyle w:val="ListParagraph"/>
        <w:widowControl/>
        <w:numPr>
          <w:ilvl w:val="0"/>
          <w:numId w:val="9"/>
        </w:numPr>
        <w:tabs>
          <w:tab w:val="left" w:pos="1276"/>
        </w:tabs>
        <w:ind w:left="1276" w:hanging="567"/>
      </w:pPr>
      <w:r>
        <w:t>a</w:t>
      </w:r>
      <w:r w:rsidR="009A770C" w:rsidRPr="00575319">
        <w:t>mend</w:t>
      </w:r>
      <w:r w:rsidR="00503BC2" w:rsidRPr="00575319">
        <w:t xml:space="preserve"> the listing so that there would be separate listings for a) non-malignant conditions and b) transfusion-dependent malignant conditions of erythropoiesis requiring</w:t>
      </w:r>
      <w:r w:rsidR="009E67F8">
        <w:t xml:space="preserve"> iron chelation therapy (</w:t>
      </w:r>
      <w:r w:rsidR="00503BC2" w:rsidRPr="00575319">
        <w:t>ICT</w:t>
      </w:r>
      <w:r w:rsidR="009E67F8">
        <w:t>)</w:t>
      </w:r>
      <w:r w:rsidR="00503BC2" w:rsidRPr="00575319">
        <w:t>.</w:t>
      </w:r>
    </w:p>
    <w:p w:rsidR="00561EF6" w:rsidRPr="00575319" w:rsidRDefault="00561EF6" w:rsidP="007478B9">
      <w:pPr>
        <w:pStyle w:val="ListParagraph"/>
        <w:widowControl/>
        <w:tabs>
          <w:tab w:val="left" w:pos="1276"/>
        </w:tabs>
        <w:ind w:left="1276"/>
      </w:pPr>
    </w:p>
    <w:p w:rsidR="00503BC2" w:rsidRDefault="00503BC2" w:rsidP="007478B9">
      <w:pPr>
        <w:pStyle w:val="ListParagraph"/>
        <w:widowControl/>
        <w:numPr>
          <w:ilvl w:val="1"/>
          <w:numId w:val="4"/>
        </w:numPr>
      </w:pPr>
      <w:r w:rsidRPr="00C872A9">
        <w:t>The submission request</w:t>
      </w:r>
      <w:r w:rsidR="00C872A9" w:rsidRPr="00C872A9">
        <w:t>ed</w:t>
      </w:r>
      <w:r w:rsidRPr="00C872A9">
        <w:t xml:space="preserve"> identical published prices for DFX compared to the current listing</w:t>
      </w:r>
      <w:r w:rsidR="00C872A9" w:rsidRPr="00C872A9">
        <w:t>,</w:t>
      </w:r>
      <w:r w:rsidRPr="00C872A9">
        <w:t xml:space="preserve"> but is offering a higher rebate of </w:t>
      </w:r>
      <w:r w:rsidR="00D57F00">
        <w:rPr>
          <w:noProof/>
          <w:color w:val="000000"/>
          <w:highlight w:val="black"/>
        </w:rPr>
        <w:t>''''''''''''''</w:t>
      </w:r>
      <w:r w:rsidRPr="00C872A9">
        <w:t xml:space="preserve">% off the ex-manufacturer price (an increase from the current </w:t>
      </w:r>
      <w:r w:rsidR="00D57F00">
        <w:rPr>
          <w:noProof/>
          <w:color w:val="000000"/>
          <w:highlight w:val="black"/>
        </w:rPr>
        <w:t>''''''</w:t>
      </w:r>
      <w:r w:rsidRPr="00C872A9">
        <w:t xml:space="preserve">% rebate) in patients with transfusion dependent malignant conditions and </w:t>
      </w:r>
      <w:r w:rsidR="009E67F8">
        <w:t>non-transfusion dependent thalassemia (</w:t>
      </w:r>
      <w:r w:rsidRPr="00C872A9">
        <w:t>NTDT</w:t>
      </w:r>
      <w:r w:rsidR="009E67F8">
        <w:t>)</w:t>
      </w:r>
      <w:r w:rsidRPr="00C872A9">
        <w:t>.</w:t>
      </w:r>
    </w:p>
    <w:p w:rsidR="00083E3E" w:rsidRDefault="00083E3E" w:rsidP="007478B9">
      <w:pPr>
        <w:pStyle w:val="ListParagraph"/>
        <w:widowControl/>
      </w:pPr>
      <w:r>
        <w:t xml:space="preserve"> </w:t>
      </w:r>
    </w:p>
    <w:p w:rsidR="00083E3E" w:rsidRPr="00D1526E" w:rsidRDefault="00083E3E" w:rsidP="007478B9">
      <w:pPr>
        <w:pStyle w:val="ListParagraph"/>
        <w:widowControl/>
        <w:numPr>
          <w:ilvl w:val="1"/>
          <w:numId w:val="4"/>
        </w:numPr>
      </w:pPr>
      <w:r w:rsidRPr="00D1526E">
        <w:t xml:space="preserve">Suggestions and additions proposed by the Secretariat </w:t>
      </w:r>
      <w:r w:rsidR="009B5FE4">
        <w:t>were addressed in the PSCR</w:t>
      </w:r>
      <w:r w:rsidR="00E77E55" w:rsidRPr="00D1526E">
        <w:t xml:space="preserve"> and the revised</w:t>
      </w:r>
      <w:r w:rsidRPr="00D1526E">
        <w:t xml:space="preserve"> requested listing</w:t>
      </w:r>
      <w:r w:rsidR="00E77E55" w:rsidRPr="00D1526E">
        <w:t>s</w:t>
      </w:r>
      <w:r w:rsidRPr="00D1526E">
        <w:t xml:space="preserve"> are </w:t>
      </w:r>
      <w:r w:rsidR="00E77E55" w:rsidRPr="00D1526E">
        <w:t>presented below</w:t>
      </w:r>
      <w:r w:rsidRPr="00D1526E">
        <w:t>.</w:t>
      </w:r>
    </w:p>
    <w:p w:rsidR="00083E3E" w:rsidRDefault="00083E3E" w:rsidP="007478B9">
      <w:pPr>
        <w:widowControl/>
        <w:rPr>
          <w:szCs w:val="22"/>
        </w:rPr>
      </w:pPr>
    </w:p>
    <w:p w:rsidR="00083E3E" w:rsidRPr="002E2D44" w:rsidRDefault="00083E3E" w:rsidP="007478B9">
      <w:pPr>
        <w:widowControl/>
        <w:ind w:left="550" w:firstLine="170"/>
        <w:rPr>
          <w:szCs w:val="22"/>
          <w:u w:val="single"/>
        </w:rPr>
      </w:pPr>
      <w:r w:rsidRPr="002E2D44">
        <w:rPr>
          <w:szCs w:val="22"/>
          <w:u w:val="single"/>
        </w:rPr>
        <w:t>Non-malignant disorders restriction: Public</w:t>
      </w:r>
    </w:p>
    <w:p w:rsidR="00083E3E" w:rsidRPr="004B538D" w:rsidRDefault="00083E3E" w:rsidP="007478B9">
      <w:pPr>
        <w:widowControl/>
        <w:rPr>
          <w:sz w:val="14"/>
          <w:szCs w:val="22"/>
        </w:rPr>
      </w:pPr>
    </w:p>
    <w:tbl>
      <w:tblPr>
        <w:tblW w:w="8505" w:type="dxa"/>
        <w:tblInd w:w="817" w:type="dxa"/>
        <w:tblLayout w:type="fixed"/>
        <w:tblLook w:val="0000" w:firstRow="0" w:lastRow="0" w:firstColumn="0" w:lastColumn="0" w:noHBand="0" w:noVBand="0"/>
      </w:tblPr>
      <w:tblGrid>
        <w:gridCol w:w="2126"/>
        <w:gridCol w:w="426"/>
        <w:gridCol w:w="708"/>
        <w:gridCol w:w="851"/>
        <w:gridCol w:w="2268"/>
        <w:gridCol w:w="283"/>
        <w:gridCol w:w="1843"/>
      </w:tblGrid>
      <w:tr w:rsidR="00083E3E" w:rsidRPr="00260CE3" w:rsidTr="00550AED">
        <w:trPr>
          <w:cantSplit/>
          <w:trHeight w:val="471"/>
        </w:trPr>
        <w:tc>
          <w:tcPr>
            <w:tcW w:w="2552" w:type="dxa"/>
            <w:gridSpan w:val="2"/>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Name, Restriction,</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083E3E" w:rsidRPr="00260CE3" w:rsidRDefault="00083E3E" w:rsidP="007478B9">
            <w:pPr>
              <w:keepNext/>
              <w:widowControl/>
              <w:ind w:left="-108"/>
              <w:rPr>
                <w:rFonts w:ascii="Arial Narrow" w:hAnsi="Arial Narrow"/>
                <w:sz w:val="20"/>
              </w:rPr>
            </w:pPr>
            <w:r>
              <w:rPr>
                <w:rFonts w:ascii="Arial Narrow" w:hAnsi="Arial Narrow"/>
                <w:sz w:val="20"/>
              </w:rPr>
              <w:t>Max.</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Qty</w:t>
            </w:r>
          </w:p>
        </w:tc>
        <w:tc>
          <w:tcPr>
            <w:tcW w:w="851" w:type="dxa"/>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№.of</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Rpts</w:t>
            </w:r>
          </w:p>
        </w:tc>
        <w:tc>
          <w:tcPr>
            <w:tcW w:w="2268" w:type="dxa"/>
            <w:tcBorders>
              <w:bottom w:val="single" w:sz="4" w:space="0" w:color="auto"/>
            </w:tcBorders>
          </w:tcPr>
          <w:p w:rsidR="00083E3E" w:rsidRDefault="00083E3E" w:rsidP="007478B9">
            <w:pPr>
              <w:keepNext/>
              <w:widowControl/>
              <w:ind w:left="-108"/>
              <w:rPr>
                <w:rFonts w:ascii="Arial Narrow" w:hAnsi="Arial Narrow"/>
                <w:sz w:val="20"/>
              </w:rPr>
            </w:pPr>
            <w:r w:rsidRPr="00260CE3">
              <w:rPr>
                <w:rFonts w:ascii="Arial Narrow" w:hAnsi="Arial Narrow"/>
                <w:sz w:val="20"/>
              </w:rPr>
              <w:t>Dispensed Price for Max. Qty</w:t>
            </w:r>
            <w:r>
              <w:rPr>
                <w:rFonts w:ascii="Arial Narrow" w:hAnsi="Arial Narrow"/>
                <w:sz w:val="20"/>
              </w:rPr>
              <w:t xml:space="preserve"> -Public</w:t>
            </w:r>
          </w:p>
          <w:p w:rsidR="00083E3E" w:rsidRPr="00260CE3" w:rsidRDefault="00083E3E" w:rsidP="007478B9">
            <w:pPr>
              <w:keepNext/>
              <w:widowControl/>
              <w:ind w:left="-108"/>
              <w:rPr>
                <w:rFonts w:ascii="Arial Narrow" w:hAnsi="Arial Narrow"/>
                <w:sz w:val="20"/>
              </w:rPr>
            </w:pPr>
            <w:r>
              <w:rPr>
                <w:rFonts w:ascii="Arial Narrow" w:hAnsi="Arial Narrow"/>
                <w:sz w:val="20"/>
              </w:rPr>
              <w:t>Published (effective)</w:t>
            </w:r>
          </w:p>
        </w:tc>
        <w:tc>
          <w:tcPr>
            <w:tcW w:w="283" w:type="dxa"/>
            <w:tcBorders>
              <w:bottom w:val="single" w:sz="4" w:space="0" w:color="auto"/>
            </w:tcBorders>
          </w:tcPr>
          <w:p w:rsidR="00083E3E" w:rsidRPr="00260CE3" w:rsidRDefault="00083E3E" w:rsidP="007478B9">
            <w:pPr>
              <w:keepNext/>
              <w:widowControl/>
              <w:rPr>
                <w:rFonts w:ascii="Arial Narrow" w:hAnsi="Arial Narrow"/>
                <w:sz w:val="20"/>
              </w:rPr>
            </w:pPr>
          </w:p>
        </w:tc>
        <w:tc>
          <w:tcPr>
            <w:tcW w:w="1843" w:type="dxa"/>
            <w:tcBorders>
              <w:bottom w:val="single" w:sz="4" w:space="0" w:color="auto"/>
            </w:tcBorders>
          </w:tcPr>
          <w:p w:rsidR="00083E3E" w:rsidRPr="00260CE3" w:rsidRDefault="00083E3E" w:rsidP="007478B9">
            <w:pPr>
              <w:keepNext/>
              <w:widowControl/>
              <w:rPr>
                <w:rFonts w:ascii="Arial Narrow" w:hAnsi="Arial Narrow"/>
                <w:sz w:val="20"/>
                <w:lang w:val="fr-FR"/>
              </w:rPr>
            </w:pPr>
            <w:r w:rsidRPr="00260CE3">
              <w:rPr>
                <w:rFonts w:ascii="Arial Narrow" w:hAnsi="Arial Narrow"/>
                <w:sz w:val="20"/>
              </w:rPr>
              <w:t>Proprietary Name and Manufacturer</w:t>
            </w:r>
          </w:p>
        </w:tc>
      </w:tr>
      <w:tr w:rsidR="00083E3E" w:rsidRPr="00260CE3" w:rsidTr="00550AED">
        <w:trPr>
          <w:cantSplit/>
          <w:trHeight w:val="577"/>
        </w:trPr>
        <w:tc>
          <w:tcPr>
            <w:tcW w:w="2552" w:type="dxa"/>
            <w:gridSpan w:val="2"/>
            <w:tcBorders>
              <w:top w:val="single" w:sz="4" w:space="0" w:color="auto"/>
            </w:tcBorders>
          </w:tcPr>
          <w:p w:rsidR="00083E3E" w:rsidRPr="001E2914" w:rsidRDefault="00083E3E" w:rsidP="007478B9">
            <w:pPr>
              <w:keepNext/>
              <w:widowControl/>
              <w:ind w:left="-108"/>
              <w:rPr>
                <w:rFonts w:ascii="Arial Narrow" w:hAnsi="Arial Narrow"/>
                <w:sz w:val="20"/>
              </w:rPr>
            </w:pPr>
            <w:r w:rsidRPr="001E2914">
              <w:rPr>
                <w:rFonts w:ascii="Arial Narrow" w:hAnsi="Arial Narrow"/>
                <w:smallCaps/>
                <w:sz w:val="20"/>
              </w:rPr>
              <w:t>DEFERASIROX</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125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250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500 mg tablet: dispersible, 28</w:t>
            </w:r>
          </w:p>
        </w:tc>
        <w:tc>
          <w:tcPr>
            <w:tcW w:w="708" w:type="dxa"/>
            <w:tcBorders>
              <w:top w:val="single" w:sz="4" w:space="0" w:color="auto"/>
            </w:tcBorders>
          </w:tcPr>
          <w:p w:rsidR="00083E3E" w:rsidRPr="001E2914"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Pr="00260CE3" w:rsidRDefault="00083E3E" w:rsidP="007478B9">
            <w:pPr>
              <w:keepNext/>
              <w:widowControl/>
              <w:ind w:left="-108"/>
              <w:rPr>
                <w:rFonts w:ascii="Arial Narrow" w:hAnsi="Arial Narrow"/>
                <w:sz w:val="20"/>
              </w:rPr>
            </w:pPr>
            <w:r>
              <w:rPr>
                <w:rFonts w:ascii="Arial Narrow" w:hAnsi="Arial Narrow"/>
                <w:sz w:val="20"/>
              </w:rPr>
              <w:t>6</w:t>
            </w:r>
          </w:p>
        </w:tc>
        <w:tc>
          <w:tcPr>
            <w:tcW w:w="851"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5</w:t>
            </w:r>
          </w:p>
          <w:p w:rsidR="00083E3E" w:rsidRDefault="00083E3E" w:rsidP="007478B9">
            <w:pPr>
              <w:keepNext/>
              <w:widowControl/>
              <w:ind w:left="-108"/>
              <w:rPr>
                <w:rFonts w:ascii="Arial Narrow" w:hAnsi="Arial Narrow"/>
                <w:sz w:val="20"/>
              </w:rPr>
            </w:pPr>
            <w:r>
              <w:rPr>
                <w:rFonts w:ascii="Arial Narrow" w:hAnsi="Arial Narrow"/>
                <w:sz w:val="20"/>
              </w:rPr>
              <w:t>5</w:t>
            </w:r>
          </w:p>
          <w:p w:rsidR="00083E3E" w:rsidRPr="00260CE3" w:rsidRDefault="00083E3E" w:rsidP="007478B9">
            <w:pPr>
              <w:keepNext/>
              <w:widowControl/>
              <w:ind w:left="-108"/>
              <w:rPr>
                <w:rFonts w:ascii="Arial Narrow" w:hAnsi="Arial Narrow"/>
                <w:sz w:val="20"/>
              </w:rPr>
            </w:pPr>
            <w:r>
              <w:rPr>
                <w:rFonts w:ascii="Arial Narrow" w:hAnsi="Arial Narrow"/>
                <w:sz w:val="20"/>
              </w:rPr>
              <w:t>5</w:t>
            </w:r>
          </w:p>
        </w:tc>
        <w:tc>
          <w:tcPr>
            <w:tcW w:w="2268"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sidRPr="00260CE3">
              <w:rPr>
                <w:rFonts w:ascii="Arial Narrow" w:hAnsi="Arial Narrow"/>
                <w:sz w:val="20"/>
              </w:rPr>
              <w:t>$</w:t>
            </w:r>
            <w:r>
              <w:rPr>
                <w:rFonts w:ascii="Arial Narrow" w:hAnsi="Arial Narrow"/>
                <w:sz w:val="20"/>
              </w:rPr>
              <w:t>1401.48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ind w:left="-108"/>
              <w:rPr>
                <w:rFonts w:ascii="Arial Narrow" w:hAnsi="Arial Narrow"/>
                <w:sz w:val="20"/>
              </w:rPr>
            </w:pPr>
            <w:r>
              <w:rPr>
                <w:rFonts w:ascii="Arial Narrow" w:hAnsi="Arial Narrow"/>
                <w:sz w:val="20"/>
              </w:rPr>
              <w:t>$2802.90 ($</w:t>
            </w:r>
            <w:r w:rsidR="00D57F00">
              <w:rPr>
                <w:rFonts w:ascii="Arial Narrow" w:hAnsi="Arial Narrow"/>
                <w:noProof/>
                <w:color w:val="000000"/>
                <w:sz w:val="20"/>
                <w:highlight w:val="black"/>
              </w:rPr>
              <w:t>'''''''''''''''''''</w:t>
            </w:r>
            <w:r>
              <w:rPr>
                <w:rFonts w:ascii="Arial Narrow" w:hAnsi="Arial Narrow"/>
                <w:sz w:val="20"/>
              </w:rPr>
              <w:t>)</w:t>
            </w:r>
          </w:p>
          <w:p w:rsidR="00083E3E" w:rsidRPr="00260CE3" w:rsidRDefault="00083E3E" w:rsidP="007478B9">
            <w:pPr>
              <w:keepNext/>
              <w:widowControl/>
              <w:ind w:left="-108"/>
              <w:rPr>
                <w:rFonts w:ascii="Arial Narrow" w:hAnsi="Arial Narrow"/>
                <w:sz w:val="20"/>
              </w:rPr>
            </w:pPr>
            <w:r>
              <w:rPr>
                <w:rFonts w:ascii="Arial Narrow" w:hAnsi="Arial Narrow"/>
                <w:sz w:val="20"/>
              </w:rPr>
              <w:t>$5605.80 ($</w:t>
            </w:r>
            <w:r w:rsidR="00D57F00">
              <w:rPr>
                <w:rFonts w:ascii="Arial Narrow" w:hAnsi="Arial Narrow"/>
                <w:noProof/>
                <w:color w:val="000000"/>
                <w:sz w:val="20"/>
                <w:highlight w:val="black"/>
              </w:rPr>
              <w:t>'''''''''''''''''''''</w:t>
            </w:r>
            <w:r>
              <w:rPr>
                <w:rFonts w:ascii="Arial Narrow" w:hAnsi="Arial Narrow"/>
                <w:sz w:val="20"/>
              </w:rPr>
              <w:t>)</w:t>
            </w:r>
          </w:p>
        </w:tc>
        <w:tc>
          <w:tcPr>
            <w:tcW w:w="283" w:type="dxa"/>
            <w:tcBorders>
              <w:top w:val="single" w:sz="4" w:space="0" w:color="auto"/>
            </w:tcBorders>
          </w:tcPr>
          <w:p w:rsidR="00083E3E" w:rsidRDefault="00083E3E" w:rsidP="007478B9">
            <w:pPr>
              <w:keepNext/>
              <w:widowControl/>
              <w:rPr>
                <w:rFonts w:ascii="Arial Narrow" w:hAnsi="Arial Narrow"/>
                <w:sz w:val="20"/>
              </w:rPr>
            </w:pPr>
          </w:p>
          <w:p w:rsidR="00083E3E" w:rsidRDefault="00083E3E" w:rsidP="007478B9">
            <w:pPr>
              <w:keepNext/>
              <w:widowControl/>
              <w:rPr>
                <w:rFonts w:ascii="Arial Narrow" w:hAnsi="Arial Narrow"/>
                <w:sz w:val="20"/>
              </w:rPr>
            </w:pPr>
          </w:p>
        </w:tc>
        <w:tc>
          <w:tcPr>
            <w:tcW w:w="1843" w:type="dxa"/>
            <w:tcBorders>
              <w:top w:val="single" w:sz="4" w:space="0" w:color="auto"/>
            </w:tcBorders>
          </w:tcPr>
          <w:p w:rsidR="00083E3E" w:rsidRDefault="00083E3E" w:rsidP="007478B9">
            <w:pPr>
              <w:keepNext/>
              <w:widowControl/>
              <w:rPr>
                <w:rFonts w:ascii="Arial Narrow" w:hAnsi="Arial Narrow"/>
                <w:sz w:val="20"/>
              </w:rPr>
            </w:pPr>
          </w:p>
          <w:p w:rsidR="00083E3E" w:rsidRPr="006D5811" w:rsidRDefault="00083E3E" w:rsidP="006D5811">
            <w:pPr>
              <w:keepNext/>
              <w:widowControl/>
              <w:rPr>
                <w:rFonts w:ascii="Arial Narrow" w:hAnsi="Arial Narrow"/>
                <w:sz w:val="20"/>
              </w:rPr>
            </w:pPr>
            <w:r>
              <w:rPr>
                <w:rFonts w:ascii="Arial Narrow" w:hAnsi="Arial Narrow"/>
                <w:sz w:val="20"/>
              </w:rPr>
              <w:t>Exjade</w:t>
            </w:r>
            <w:r w:rsidR="006D5811">
              <w:rPr>
                <w:rFonts w:ascii="Arial Narrow" w:hAnsi="Arial Narrow"/>
                <w:sz w:val="20"/>
                <w:vertAlign w:val="superscript"/>
              </w:rPr>
              <w:t xml:space="preserve">®   </w:t>
            </w:r>
            <w:r w:rsidR="006D5811">
              <w:rPr>
                <w:rFonts w:ascii="Arial Narrow" w:hAnsi="Arial Narrow"/>
                <w:sz w:val="20"/>
              </w:rPr>
              <w:t>NV</w:t>
            </w:r>
          </w:p>
        </w:tc>
      </w:tr>
      <w:tr w:rsidR="00083E3E" w:rsidRPr="00260CE3" w:rsidTr="00550AED">
        <w:trPr>
          <w:cantSplit/>
          <w:trHeight w:val="360"/>
        </w:trPr>
        <w:tc>
          <w:tcPr>
            <w:tcW w:w="8505" w:type="dxa"/>
            <w:gridSpan w:val="7"/>
            <w:tcBorders>
              <w:bottom w:val="single" w:sz="4" w:space="0" w:color="auto"/>
            </w:tcBorders>
          </w:tcPr>
          <w:p w:rsidR="00083E3E" w:rsidRPr="00260CE3" w:rsidRDefault="00083E3E" w:rsidP="007478B9">
            <w:pPr>
              <w:widowControl/>
              <w:rPr>
                <w:rFonts w:ascii="Arial Narrow" w:hAnsi="Arial Narrow"/>
                <w:sz w:val="20"/>
              </w:rPr>
            </w:pP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 xml:space="preserve">Category / </w:t>
            </w:r>
          </w:p>
          <w:p w:rsidR="00083E3E" w:rsidRPr="00260CE3" w:rsidRDefault="00083E3E" w:rsidP="007478B9">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b/>
                <w:sz w:val="20"/>
              </w:rPr>
            </w:pPr>
            <w:r w:rsidRPr="00260CE3">
              <w:rPr>
                <w:rFonts w:ascii="Arial Narrow" w:hAnsi="Arial Narrow"/>
                <w:b/>
                <w:sz w:val="20"/>
              </w:rPr>
              <w:t>Prescriber type:</w:t>
            </w:r>
          </w:p>
          <w:p w:rsidR="00083E3E" w:rsidRPr="00260CE3" w:rsidRDefault="00083E3E" w:rsidP="007478B9">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742A70" w:rsidP="007478B9">
            <w:pPr>
              <w:widowControl/>
              <w:rPr>
                <w:rFonts w:ascii="Arial Narrow" w:hAnsi="Arial Narrow"/>
                <w:b/>
                <w:sz w:val="20"/>
              </w:rPr>
            </w:pPr>
            <w:r>
              <w:rPr>
                <w:rFonts w:ascii="Arial Narrow" w:hAnsi="Arial Narrow"/>
                <w:b/>
                <w:sz w:val="20"/>
              </w:rPr>
              <w:t>Episodic</w:t>
            </w:r>
            <w:r w:rsidR="00083E3E">
              <w:rPr>
                <w:rFonts w:ascii="Arial Narrow" w:hAnsi="Arial Narrow"/>
                <w:b/>
                <w:sz w:val="20"/>
              </w:rPr>
              <w:t>i</w:t>
            </w:r>
            <w:r>
              <w:rPr>
                <w:rFonts w:ascii="Arial Narrow" w:hAnsi="Arial Narrow"/>
                <w:b/>
                <w:sz w:val="20"/>
              </w:rPr>
              <w:t>t</w:t>
            </w:r>
            <w:r w:rsidR="00083E3E">
              <w:rPr>
                <w:rFonts w:ascii="Arial Narrow" w:hAnsi="Arial Narrow"/>
                <w:b/>
                <w:sz w:val="20"/>
              </w:rPr>
              <w:t>y</w:t>
            </w:r>
            <w:r w:rsidR="00083E3E"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Iron overload </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 iron overload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632C1D" w:rsidRDefault="00083E3E" w:rsidP="007478B9">
            <w:pPr>
              <w:widowControl/>
              <w:rPr>
                <w:rFonts w:ascii="Arial Narrow" w:hAnsi="Arial Narrow"/>
                <w:b/>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83E3E" w:rsidRPr="00260CE3" w:rsidRDefault="00083E3E" w:rsidP="007478B9">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3" w:name="Check5"/>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Streamlined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007E06" w:rsidRDefault="00083E3E" w:rsidP="007478B9">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Patient must not have a malignant disease </w:t>
            </w:r>
          </w:p>
        </w:tc>
      </w:tr>
    </w:tbl>
    <w:p w:rsidR="00083E3E" w:rsidRDefault="00083E3E" w:rsidP="007478B9">
      <w:pPr>
        <w:widowControl/>
        <w:rPr>
          <w:szCs w:val="22"/>
        </w:rPr>
      </w:pPr>
    </w:p>
    <w:p w:rsidR="00083E3E" w:rsidRPr="002E2D44" w:rsidRDefault="00083E3E" w:rsidP="007478B9">
      <w:pPr>
        <w:widowControl/>
        <w:ind w:left="680"/>
        <w:rPr>
          <w:szCs w:val="22"/>
          <w:u w:val="single"/>
        </w:rPr>
      </w:pPr>
      <w:r w:rsidRPr="002E2D44">
        <w:rPr>
          <w:szCs w:val="22"/>
          <w:u w:val="single"/>
        </w:rPr>
        <w:t>Non-malignant disorders restriction: Private</w:t>
      </w:r>
    </w:p>
    <w:p w:rsidR="00083E3E" w:rsidRPr="00552722" w:rsidRDefault="00083E3E" w:rsidP="007478B9">
      <w:pPr>
        <w:widowControl/>
        <w:rPr>
          <w:szCs w:val="22"/>
        </w:rPr>
      </w:pPr>
    </w:p>
    <w:tbl>
      <w:tblPr>
        <w:tblW w:w="8505" w:type="dxa"/>
        <w:tblInd w:w="817" w:type="dxa"/>
        <w:tblLayout w:type="fixed"/>
        <w:tblLook w:val="0000" w:firstRow="0" w:lastRow="0" w:firstColumn="0" w:lastColumn="0" w:noHBand="0" w:noVBand="0"/>
      </w:tblPr>
      <w:tblGrid>
        <w:gridCol w:w="2126"/>
        <w:gridCol w:w="284"/>
        <w:gridCol w:w="567"/>
        <w:gridCol w:w="992"/>
        <w:gridCol w:w="284"/>
        <w:gridCol w:w="2551"/>
        <w:gridCol w:w="1701"/>
      </w:tblGrid>
      <w:tr w:rsidR="00083E3E" w:rsidRPr="00260CE3" w:rsidTr="00550AED">
        <w:trPr>
          <w:cantSplit/>
          <w:trHeight w:val="471"/>
        </w:trPr>
        <w:tc>
          <w:tcPr>
            <w:tcW w:w="2410" w:type="dxa"/>
            <w:gridSpan w:val="2"/>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Name, Restriction,</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083E3E" w:rsidRPr="00260CE3" w:rsidRDefault="00083E3E" w:rsidP="007478B9">
            <w:pPr>
              <w:keepNext/>
              <w:widowControl/>
              <w:ind w:left="-108"/>
              <w:rPr>
                <w:rFonts w:ascii="Arial Narrow" w:hAnsi="Arial Narrow"/>
                <w:sz w:val="20"/>
              </w:rPr>
            </w:pPr>
            <w:r>
              <w:rPr>
                <w:rFonts w:ascii="Arial Narrow" w:hAnsi="Arial Narrow"/>
                <w:sz w:val="20"/>
              </w:rPr>
              <w:t>Max.</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Qty</w:t>
            </w:r>
          </w:p>
        </w:tc>
        <w:tc>
          <w:tcPr>
            <w:tcW w:w="992" w:type="dxa"/>
            <w:tcBorders>
              <w:bottom w:val="single" w:sz="4" w:space="0" w:color="auto"/>
            </w:tcBorders>
          </w:tcPr>
          <w:p w:rsidR="00083E3E" w:rsidRPr="00260CE3" w:rsidRDefault="00083E3E" w:rsidP="007478B9">
            <w:pPr>
              <w:keepNext/>
              <w:widowControl/>
              <w:ind w:left="-108"/>
              <w:jc w:val="center"/>
              <w:rPr>
                <w:rFonts w:ascii="Arial Narrow" w:hAnsi="Arial Narrow"/>
                <w:sz w:val="20"/>
              </w:rPr>
            </w:pPr>
            <w:r w:rsidRPr="00260CE3">
              <w:rPr>
                <w:rFonts w:ascii="Arial Narrow" w:hAnsi="Arial Narrow"/>
                <w:sz w:val="20"/>
              </w:rPr>
              <w:t>№.of</w:t>
            </w:r>
          </w:p>
          <w:p w:rsidR="00083E3E" w:rsidRPr="00260CE3" w:rsidRDefault="00083E3E" w:rsidP="007478B9">
            <w:pPr>
              <w:keepNext/>
              <w:widowControl/>
              <w:ind w:left="-108"/>
              <w:jc w:val="center"/>
              <w:rPr>
                <w:rFonts w:ascii="Arial Narrow" w:hAnsi="Arial Narrow"/>
                <w:sz w:val="20"/>
              </w:rPr>
            </w:pPr>
            <w:r w:rsidRPr="00260CE3">
              <w:rPr>
                <w:rFonts w:ascii="Arial Narrow" w:hAnsi="Arial Narrow"/>
                <w:sz w:val="20"/>
              </w:rPr>
              <w:t>Rpts</w:t>
            </w:r>
          </w:p>
        </w:tc>
        <w:tc>
          <w:tcPr>
            <w:tcW w:w="284" w:type="dxa"/>
            <w:tcBorders>
              <w:bottom w:val="single" w:sz="4" w:space="0" w:color="auto"/>
            </w:tcBorders>
          </w:tcPr>
          <w:p w:rsidR="00083E3E" w:rsidRPr="00260CE3" w:rsidRDefault="00083E3E" w:rsidP="007478B9">
            <w:pPr>
              <w:keepNext/>
              <w:widowControl/>
              <w:ind w:left="-108"/>
              <w:rPr>
                <w:rFonts w:ascii="Arial Narrow" w:hAnsi="Arial Narrow"/>
                <w:sz w:val="20"/>
              </w:rPr>
            </w:pPr>
          </w:p>
        </w:tc>
        <w:tc>
          <w:tcPr>
            <w:tcW w:w="2551" w:type="dxa"/>
            <w:tcBorders>
              <w:bottom w:val="single" w:sz="4" w:space="0" w:color="auto"/>
            </w:tcBorders>
          </w:tcPr>
          <w:p w:rsidR="00083E3E" w:rsidRDefault="00083E3E" w:rsidP="007478B9">
            <w:pPr>
              <w:keepNext/>
              <w:widowControl/>
              <w:rPr>
                <w:rFonts w:ascii="Arial Narrow" w:hAnsi="Arial Narrow"/>
                <w:sz w:val="20"/>
              </w:rPr>
            </w:pPr>
            <w:r>
              <w:rPr>
                <w:rFonts w:ascii="Arial Narrow" w:hAnsi="Arial Narrow"/>
                <w:sz w:val="20"/>
              </w:rPr>
              <w:t xml:space="preserve">Dispensed Price for Max. Qty </w:t>
            </w:r>
          </w:p>
          <w:p w:rsidR="00083E3E" w:rsidRPr="00260CE3" w:rsidRDefault="00083E3E" w:rsidP="007478B9">
            <w:pPr>
              <w:keepNext/>
              <w:widowControl/>
              <w:rPr>
                <w:rFonts w:ascii="Arial Narrow" w:hAnsi="Arial Narrow"/>
                <w:sz w:val="20"/>
              </w:rPr>
            </w:pPr>
            <w:r>
              <w:rPr>
                <w:rFonts w:ascii="Arial Narrow" w:hAnsi="Arial Narrow"/>
                <w:sz w:val="20"/>
              </w:rPr>
              <w:t>(effective)</w:t>
            </w:r>
          </w:p>
        </w:tc>
        <w:tc>
          <w:tcPr>
            <w:tcW w:w="1701" w:type="dxa"/>
            <w:tcBorders>
              <w:bottom w:val="single" w:sz="4" w:space="0" w:color="auto"/>
            </w:tcBorders>
          </w:tcPr>
          <w:p w:rsidR="00083E3E" w:rsidRPr="00260CE3" w:rsidRDefault="00083E3E" w:rsidP="007478B9">
            <w:pPr>
              <w:keepNext/>
              <w:widowControl/>
              <w:rPr>
                <w:rFonts w:ascii="Arial Narrow" w:hAnsi="Arial Narrow"/>
                <w:sz w:val="20"/>
                <w:lang w:val="fr-FR"/>
              </w:rPr>
            </w:pPr>
            <w:r w:rsidRPr="00260CE3">
              <w:rPr>
                <w:rFonts w:ascii="Arial Narrow" w:hAnsi="Arial Narrow"/>
                <w:sz w:val="20"/>
              </w:rPr>
              <w:t>Proprietary Name and Manufacturer</w:t>
            </w:r>
          </w:p>
        </w:tc>
      </w:tr>
      <w:tr w:rsidR="00083E3E" w:rsidRPr="00260CE3" w:rsidTr="00550AED">
        <w:trPr>
          <w:cantSplit/>
          <w:trHeight w:val="577"/>
        </w:trPr>
        <w:tc>
          <w:tcPr>
            <w:tcW w:w="2410" w:type="dxa"/>
            <w:gridSpan w:val="2"/>
            <w:tcBorders>
              <w:top w:val="single" w:sz="4" w:space="0" w:color="auto"/>
            </w:tcBorders>
          </w:tcPr>
          <w:p w:rsidR="00083E3E" w:rsidRPr="001E2914" w:rsidRDefault="00083E3E" w:rsidP="007478B9">
            <w:pPr>
              <w:keepNext/>
              <w:widowControl/>
              <w:ind w:left="-108"/>
              <w:rPr>
                <w:rFonts w:ascii="Arial Narrow" w:hAnsi="Arial Narrow"/>
                <w:sz w:val="20"/>
              </w:rPr>
            </w:pPr>
            <w:r w:rsidRPr="001E2914">
              <w:rPr>
                <w:rFonts w:ascii="Arial Narrow" w:hAnsi="Arial Narrow"/>
                <w:smallCaps/>
                <w:sz w:val="20"/>
              </w:rPr>
              <w:t>DEFERASIROX</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125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250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500 mg tablet: dispersible, 28</w:t>
            </w:r>
          </w:p>
        </w:tc>
        <w:tc>
          <w:tcPr>
            <w:tcW w:w="567" w:type="dxa"/>
            <w:tcBorders>
              <w:top w:val="single" w:sz="4" w:space="0" w:color="auto"/>
            </w:tcBorders>
          </w:tcPr>
          <w:p w:rsidR="00083E3E" w:rsidRPr="001E2914"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Pr="00260CE3" w:rsidRDefault="00083E3E" w:rsidP="007478B9">
            <w:pPr>
              <w:keepNext/>
              <w:widowControl/>
              <w:ind w:left="-108"/>
              <w:rPr>
                <w:rFonts w:ascii="Arial Narrow" w:hAnsi="Arial Narrow"/>
                <w:sz w:val="20"/>
              </w:rPr>
            </w:pPr>
            <w:r>
              <w:rPr>
                <w:rFonts w:ascii="Arial Narrow" w:hAnsi="Arial Narrow"/>
                <w:sz w:val="20"/>
              </w:rPr>
              <w:t>6</w:t>
            </w:r>
          </w:p>
        </w:tc>
        <w:tc>
          <w:tcPr>
            <w:tcW w:w="992"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5</w:t>
            </w:r>
          </w:p>
          <w:p w:rsidR="00083E3E" w:rsidRDefault="00083E3E" w:rsidP="007478B9">
            <w:pPr>
              <w:keepNext/>
              <w:widowControl/>
              <w:ind w:left="-108"/>
              <w:rPr>
                <w:rFonts w:ascii="Arial Narrow" w:hAnsi="Arial Narrow"/>
                <w:sz w:val="20"/>
              </w:rPr>
            </w:pPr>
            <w:r>
              <w:rPr>
                <w:rFonts w:ascii="Arial Narrow" w:hAnsi="Arial Narrow"/>
                <w:sz w:val="20"/>
              </w:rPr>
              <w:t>5</w:t>
            </w:r>
          </w:p>
          <w:p w:rsidR="00083E3E" w:rsidRPr="00260CE3" w:rsidRDefault="00083E3E" w:rsidP="007478B9">
            <w:pPr>
              <w:keepNext/>
              <w:widowControl/>
              <w:ind w:left="-108"/>
              <w:rPr>
                <w:rFonts w:ascii="Arial Narrow" w:hAnsi="Arial Narrow"/>
                <w:sz w:val="20"/>
              </w:rPr>
            </w:pPr>
            <w:r>
              <w:rPr>
                <w:rFonts w:ascii="Arial Narrow" w:hAnsi="Arial Narrow"/>
                <w:sz w:val="20"/>
              </w:rPr>
              <w:t>5</w:t>
            </w:r>
          </w:p>
        </w:tc>
        <w:tc>
          <w:tcPr>
            <w:tcW w:w="284"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Pr="00260CE3" w:rsidRDefault="00083E3E" w:rsidP="007478B9">
            <w:pPr>
              <w:keepNext/>
              <w:widowControl/>
              <w:rPr>
                <w:rFonts w:ascii="Arial Narrow" w:hAnsi="Arial Narrow"/>
                <w:sz w:val="20"/>
              </w:rPr>
            </w:pPr>
          </w:p>
        </w:tc>
        <w:tc>
          <w:tcPr>
            <w:tcW w:w="2551" w:type="dxa"/>
            <w:tcBorders>
              <w:top w:val="single" w:sz="4" w:space="0" w:color="auto"/>
            </w:tcBorders>
          </w:tcPr>
          <w:p w:rsidR="00083E3E" w:rsidRDefault="00083E3E" w:rsidP="007478B9">
            <w:pPr>
              <w:keepNext/>
              <w:widowControl/>
              <w:rPr>
                <w:rFonts w:ascii="Arial Narrow" w:hAnsi="Arial Narrow"/>
                <w:sz w:val="20"/>
              </w:rPr>
            </w:pPr>
          </w:p>
          <w:p w:rsidR="00083E3E" w:rsidRDefault="00083E3E" w:rsidP="007478B9">
            <w:pPr>
              <w:keepNext/>
              <w:widowControl/>
              <w:rPr>
                <w:rFonts w:ascii="Arial Narrow" w:hAnsi="Arial Narrow"/>
                <w:sz w:val="20"/>
              </w:rPr>
            </w:pPr>
            <w:r>
              <w:rPr>
                <w:rFonts w:ascii="Arial Narrow" w:hAnsi="Arial Narrow"/>
                <w:sz w:val="20"/>
              </w:rPr>
              <w:t>$1448.26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$2849.68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$5652.58 ($</w:t>
            </w:r>
            <w:r w:rsidR="00D57F00">
              <w:rPr>
                <w:rFonts w:ascii="Arial Narrow" w:hAnsi="Arial Narrow"/>
                <w:noProof/>
                <w:color w:val="000000"/>
                <w:sz w:val="20"/>
                <w:highlight w:val="black"/>
              </w:rPr>
              <w:t>'''''''''''''''''''''</w:t>
            </w:r>
            <w:r>
              <w:rPr>
                <w:rFonts w:ascii="Arial Narrow" w:hAnsi="Arial Narrow"/>
                <w:sz w:val="20"/>
              </w:rPr>
              <w:t>)</w:t>
            </w:r>
          </w:p>
        </w:tc>
        <w:tc>
          <w:tcPr>
            <w:tcW w:w="1701" w:type="dxa"/>
            <w:tcBorders>
              <w:top w:val="single" w:sz="4" w:space="0" w:color="auto"/>
            </w:tcBorders>
          </w:tcPr>
          <w:p w:rsidR="00083E3E" w:rsidRDefault="00083E3E" w:rsidP="007478B9">
            <w:pPr>
              <w:keepNext/>
              <w:widowControl/>
              <w:rPr>
                <w:rFonts w:ascii="Arial Narrow" w:hAnsi="Arial Narrow"/>
                <w:sz w:val="20"/>
              </w:rPr>
            </w:pPr>
          </w:p>
          <w:p w:rsidR="00083E3E" w:rsidRPr="00260CE3" w:rsidRDefault="006D5811" w:rsidP="007478B9">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083E3E" w:rsidRPr="00260CE3" w:rsidTr="00550AED">
        <w:trPr>
          <w:cantSplit/>
          <w:trHeight w:val="360"/>
        </w:trPr>
        <w:tc>
          <w:tcPr>
            <w:tcW w:w="8505" w:type="dxa"/>
            <w:gridSpan w:val="7"/>
            <w:tcBorders>
              <w:bottom w:val="single" w:sz="4" w:space="0" w:color="auto"/>
            </w:tcBorders>
          </w:tcPr>
          <w:p w:rsidR="00083E3E" w:rsidRPr="00260CE3" w:rsidRDefault="00083E3E" w:rsidP="007478B9">
            <w:pPr>
              <w:widowControl/>
              <w:rPr>
                <w:rFonts w:ascii="Arial Narrow" w:hAnsi="Arial Narrow"/>
                <w:sz w:val="20"/>
              </w:rPr>
            </w:pP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 xml:space="preserve">Category / </w:t>
            </w:r>
          </w:p>
          <w:p w:rsidR="00083E3E" w:rsidRPr="00260CE3" w:rsidRDefault="00083E3E" w:rsidP="007478B9">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Section 100 – Highly Specialised Drugs Program (Private)</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b/>
                <w:sz w:val="20"/>
              </w:rPr>
            </w:pPr>
            <w:r w:rsidRPr="00260CE3">
              <w:rPr>
                <w:rFonts w:ascii="Arial Narrow" w:hAnsi="Arial Narrow"/>
                <w:b/>
                <w:sz w:val="20"/>
              </w:rPr>
              <w:t>Prescriber type:</w:t>
            </w:r>
          </w:p>
          <w:p w:rsidR="00083E3E" w:rsidRPr="00260CE3" w:rsidRDefault="00083E3E" w:rsidP="007478B9">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742A70" w:rsidP="007478B9">
            <w:pPr>
              <w:widowControl/>
              <w:rPr>
                <w:rFonts w:ascii="Arial Narrow" w:hAnsi="Arial Narrow"/>
                <w:b/>
                <w:sz w:val="20"/>
              </w:rPr>
            </w:pPr>
            <w:r>
              <w:rPr>
                <w:rFonts w:ascii="Arial Narrow" w:hAnsi="Arial Narrow"/>
                <w:b/>
                <w:sz w:val="20"/>
              </w:rPr>
              <w:t>Episodic</w:t>
            </w:r>
            <w:r w:rsidR="00083E3E">
              <w:rPr>
                <w:rFonts w:ascii="Arial Narrow" w:hAnsi="Arial Narrow"/>
                <w:b/>
                <w:sz w:val="20"/>
              </w:rPr>
              <w:t>i</w:t>
            </w:r>
            <w:r>
              <w:rPr>
                <w:rFonts w:ascii="Arial Narrow" w:hAnsi="Arial Narrow"/>
                <w:b/>
                <w:sz w:val="20"/>
              </w:rPr>
              <w:t>t</w:t>
            </w:r>
            <w:r w:rsidR="00083E3E">
              <w:rPr>
                <w:rFonts w:ascii="Arial Narrow" w:hAnsi="Arial Narrow"/>
                <w:b/>
                <w:sz w:val="20"/>
              </w:rPr>
              <w:t>y</w:t>
            </w:r>
            <w:r w:rsidR="00083E3E"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Iron overload </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 iron overload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632C1D" w:rsidRDefault="00083E3E" w:rsidP="007478B9">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Authority Required - Telephone</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083E3E" w:rsidRPr="00260CE3" w:rsidRDefault="00083E3E" w:rsidP="007478B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007E06" w:rsidRDefault="00083E3E" w:rsidP="007478B9">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Patient must not have a malignant disease </w:t>
            </w:r>
          </w:p>
        </w:tc>
      </w:tr>
    </w:tbl>
    <w:p w:rsidR="00550AED" w:rsidRDefault="00550AED" w:rsidP="007478B9">
      <w:pPr>
        <w:widowControl/>
        <w:rPr>
          <w:szCs w:val="22"/>
        </w:rPr>
      </w:pPr>
    </w:p>
    <w:p w:rsidR="00083E3E" w:rsidRPr="002E2D44" w:rsidRDefault="00083E3E" w:rsidP="007478B9">
      <w:pPr>
        <w:widowControl/>
        <w:ind w:left="510" w:firstLine="170"/>
        <w:rPr>
          <w:szCs w:val="22"/>
          <w:u w:val="single"/>
        </w:rPr>
      </w:pPr>
      <w:r w:rsidRPr="002E2D44">
        <w:rPr>
          <w:szCs w:val="22"/>
          <w:u w:val="single"/>
        </w:rPr>
        <w:t>Malignant disorders restriction: Public and Private (Initial)</w:t>
      </w:r>
    </w:p>
    <w:p w:rsidR="00083E3E" w:rsidRPr="002E2D44" w:rsidRDefault="00083E3E" w:rsidP="007478B9">
      <w:pPr>
        <w:widowControl/>
        <w:rPr>
          <w:szCs w:val="22"/>
          <w:u w:val="single"/>
        </w:rPr>
      </w:pPr>
    </w:p>
    <w:tbl>
      <w:tblPr>
        <w:tblW w:w="8505" w:type="dxa"/>
        <w:tblInd w:w="817" w:type="dxa"/>
        <w:tblLayout w:type="fixed"/>
        <w:tblLook w:val="0000" w:firstRow="0" w:lastRow="0" w:firstColumn="0" w:lastColumn="0" w:noHBand="0" w:noVBand="0"/>
      </w:tblPr>
      <w:tblGrid>
        <w:gridCol w:w="2126"/>
        <w:gridCol w:w="426"/>
        <w:gridCol w:w="425"/>
        <w:gridCol w:w="567"/>
        <w:gridCol w:w="1701"/>
        <w:gridCol w:w="1843"/>
        <w:gridCol w:w="1417"/>
      </w:tblGrid>
      <w:tr w:rsidR="00083E3E" w:rsidRPr="00260CE3" w:rsidTr="00550AED">
        <w:trPr>
          <w:cantSplit/>
          <w:trHeight w:val="471"/>
        </w:trPr>
        <w:tc>
          <w:tcPr>
            <w:tcW w:w="2552" w:type="dxa"/>
            <w:gridSpan w:val="2"/>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Name, Restriction,</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Manner of administration and form</w:t>
            </w:r>
          </w:p>
        </w:tc>
        <w:tc>
          <w:tcPr>
            <w:tcW w:w="425" w:type="dxa"/>
            <w:tcBorders>
              <w:bottom w:val="single" w:sz="4" w:space="0" w:color="auto"/>
            </w:tcBorders>
          </w:tcPr>
          <w:p w:rsidR="00083E3E" w:rsidRPr="00260CE3" w:rsidRDefault="00083E3E" w:rsidP="007478B9">
            <w:pPr>
              <w:keepNext/>
              <w:widowControl/>
              <w:ind w:left="-108"/>
              <w:rPr>
                <w:rFonts w:ascii="Arial Narrow" w:hAnsi="Arial Narrow"/>
                <w:sz w:val="20"/>
              </w:rPr>
            </w:pPr>
            <w:r>
              <w:rPr>
                <w:rFonts w:ascii="Arial Narrow" w:hAnsi="Arial Narrow"/>
                <w:sz w:val="20"/>
              </w:rPr>
              <w:t>Max.</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№.of</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083E3E" w:rsidRDefault="00083E3E" w:rsidP="007478B9">
            <w:pPr>
              <w:keepNext/>
              <w:widowControl/>
              <w:ind w:left="-108"/>
              <w:rPr>
                <w:rFonts w:ascii="Arial Narrow" w:hAnsi="Arial Narrow"/>
                <w:sz w:val="20"/>
              </w:rPr>
            </w:pPr>
            <w:r w:rsidRPr="00260CE3">
              <w:rPr>
                <w:rFonts w:ascii="Arial Narrow" w:hAnsi="Arial Narrow"/>
                <w:sz w:val="20"/>
              </w:rPr>
              <w:t>Dispensed Price for Max. Qty</w:t>
            </w:r>
            <w:r>
              <w:rPr>
                <w:rFonts w:ascii="Arial Narrow" w:hAnsi="Arial Narrow"/>
                <w:sz w:val="20"/>
              </w:rPr>
              <w:t xml:space="preserve"> -Public</w:t>
            </w:r>
          </w:p>
          <w:p w:rsidR="00083E3E" w:rsidRPr="00260CE3" w:rsidRDefault="00083E3E" w:rsidP="007478B9">
            <w:pPr>
              <w:keepNext/>
              <w:widowControl/>
              <w:ind w:left="-108"/>
              <w:rPr>
                <w:rFonts w:ascii="Arial Narrow" w:hAnsi="Arial Narrow"/>
                <w:sz w:val="20"/>
              </w:rPr>
            </w:pPr>
            <w:r>
              <w:rPr>
                <w:rFonts w:ascii="Arial Narrow" w:hAnsi="Arial Narrow"/>
                <w:sz w:val="20"/>
              </w:rPr>
              <w:t>Published (effective)</w:t>
            </w:r>
          </w:p>
        </w:tc>
        <w:tc>
          <w:tcPr>
            <w:tcW w:w="1843" w:type="dxa"/>
            <w:tcBorders>
              <w:bottom w:val="single" w:sz="4" w:space="0" w:color="auto"/>
            </w:tcBorders>
          </w:tcPr>
          <w:p w:rsidR="00083E3E" w:rsidRDefault="00083E3E" w:rsidP="007478B9">
            <w:pPr>
              <w:keepNext/>
              <w:widowControl/>
              <w:rPr>
                <w:rFonts w:ascii="Arial Narrow" w:hAnsi="Arial Narrow"/>
                <w:sz w:val="20"/>
              </w:rPr>
            </w:pPr>
            <w:r>
              <w:rPr>
                <w:rFonts w:ascii="Arial Narrow" w:hAnsi="Arial Narrow"/>
                <w:sz w:val="20"/>
              </w:rPr>
              <w:t>Dispensed Price for Max. Qty - Private</w:t>
            </w:r>
          </w:p>
          <w:p w:rsidR="00083E3E" w:rsidRPr="00260CE3" w:rsidRDefault="00083E3E" w:rsidP="007478B9">
            <w:pPr>
              <w:keepNext/>
              <w:widowControl/>
              <w:rPr>
                <w:rFonts w:ascii="Arial Narrow" w:hAnsi="Arial Narrow"/>
                <w:sz w:val="20"/>
              </w:rPr>
            </w:pPr>
            <w:r>
              <w:rPr>
                <w:rFonts w:ascii="Arial Narrow" w:hAnsi="Arial Narrow"/>
                <w:sz w:val="20"/>
              </w:rPr>
              <w:t>Published (effective)</w:t>
            </w:r>
          </w:p>
        </w:tc>
        <w:tc>
          <w:tcPr>
            <w:tcW w:w="1417" w:type="dxa"/>
            <w:tcBorders>
              <w:bottom w:val="single" w:sz="4" w:space="0" w:color="auto"/>
            </w:tcBorders>
          </w:tcPr>
          <w:p w:rsidR="00083E3E" w:rsidRPr="00260CE3" w:rsidRDefault="00083E3E" w:rsidP="007478B9">
            <w:pPr>
              <w:keepNext/>
              <w:widowControl/>
              <w:rPr>
                <w:rFonts w:ascii="Arial Narrow" w:hAnsi="Arial Narrow"/>
                <w:sz w:val="20"/>
                <w:lang w:val="fr-FR"/>
              </w:rPr>
            </w:pPr>
            <w:r w:rsidRPr="00260CE3">
              <w:rPr>
                <w:rFonts w:ascii="Arial Narrow" w:hAnsi="Arial Narrow"/>
                <w:sz w:val="20"/>
              </w:rPr>
              <w:t>Proprietary Name and Manufacturer</w:t>
            </w:r>
          </w:p>
        </w:tc>
      </w:tr>
      <w:tr w:rsidR="00083E3E" w:rsidRPr="00260CE3" w:rsidTr="00550AED">
        <w:trPr>
          <w:cantSplit/>
          <w:trHeight w:val="577"/>
        </w:trPr>
        <w:tc>
          <w:tcPr>
            <w:tcW w:w="2552" w:type="dxa"/>
            <w:gridSpan w:val="2"/>
            <w:tcBorders>
              <w:top w:val="single" w:sz="4" w:space="0" w:color="auto"/>
            </w:tcBorders>
          </w:tcPr>
          <w:p w:rsidR="00083E3E" w:rsidRPr="001E2914" w:rsidRDefault="00083E3E" w:rsidP="007478B9">
            <w:pPr>
              <w:keepNext/>
              <w:widowControl/>
              <w:ind w:left="-108"/>
              <w:rPr>
                <w:rFonts w:ascii="Arial Narrow" w:hAnsi="Arial Narrow"/>
                <w:sz w:val="20"/>
              </w:rPr>
            </w:pPr>
            <w:r w:rsidRPr="001E2914">
              <w:rPr>
                <w:rFonts w:ascii="Arial Narrow" w:hAnsi="Arial Narrow"/>
                <w:smallCaps/>
                <w:sz w:val="20"/>
              </w:rPr>
              <w:t>DEFERASIROX</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125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250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500 mg tablet: dispersible, 28</w:t>
            </w:r>
          </w:p>
        </w:tc>
        <w:tc>
          <w:tcPr>
            <w:tcW w:w="425" w:type="dxa"/>
            <w:tcBorders>
              <w:top w:val="single" w:sz="4" w:space="0" w:color="auto"/>
            </w:tcBorders>
          </w:tcPr>
          <w:p w:rsidR="00083E3E" w:rsidRPr="001E2914"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Pr="00260CE3" w:rsidRDefault="00083E3E" w:rsidP="007478B9">
            <w:pPr>
              <w:keepNext/>
              <w:widowControl/>
              <w:ind w:left="-108"/>
              <w:rPr>
                <w:rFonts w:ascii="Arial Narrow" w:hAnsi="Arial Narrow"/>
                <w:sz w:val="20"/>
              </w:rPr>
            </w:pPr>
            <w:r>
              <w:rPr>
                <w:rFonts w:ascii="Arial Narrow" w:hAnsi="Arial Narrow"/>
                <w:sz w:val="20"/>
              </w:rPr>
              <w:t>6</w:t>
            </w:r>
          </w:p>
        </w:tc>
        <w:tc>
          <w:tcPr>
            <w:tcW w:w="567"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2</w:t>
            </w:r>
          </w:p>
          <w:p w:rsidR="00083E3E" w:rsidRDefault="00083E3E" w:rsidP="007478B9">
            <w:pPr>
              <w:keepNext/>
              <w:widowControl/>
              <w:ind w:left="-108"/>
              <w:rPr>
                <w:rFonts w:ascii="Arial Narrow" w:hAnsi="Arial Narrow"/>
                <w:sz w:val="20"/>
              </w:rPr>
            </w:pPr>
            <w:r>
              <w:rPr>
                <w:rFonts w:ascii="Arial Narrow" w:hAnsi="Arial Narrow"/>
                <w:sz w:val="20"/>
              </w:rPr>
              <w:t>2</w:t>
            </w:r>
          </w:p>
          <w:p w:rsidR="00083E3E" w:rsidRPr="00260CE3" w:rsidRDefault="00083E3E" w:rsidP="007478B9">
            <w:pPr>
              <w:keepNext/>
              <w:widowControl/>
              <w:ind w:left="-108"/>
              <w:rPr>
                <w:rFonts w:ascii="Arial Narrow" w:hAnsi="Arial Narrow"/>
                <w:sz w:val="20"/>
              </w:rPr>
            </w:pPr>
            <w:r>
              <w:rPr>
                <w:rFonts w:ascii="Arial Narrow" w:hAnsi="Arial Narrow"/>
                <w:sz w:val="20"/>
              </w:rPr>
              <w:t>2</w:t>
            </w:r>
          </w:p>
        </w:tc>
        <w:tc>
          <w:tcPr>
            <w:tcW w:w="1701"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sidRPr="00260CE3">
              <w:rPr>
                <w:rFonts w:ascii="Arial Narrow" w:hAnsi="Arial Narrow"/>
                <w:sz w:val="20"/>
              </w:rPr>
              <w:t>$</w:t>
            </w:r>
            <w:r>
              <w:rPr>
                <w:rFonts w:ascii="Arial Narrow" w:hAnsi="Arial Narrow"/>
                <w:sz w:val="20"/>
              </w:rPr>
              <w:t>1401.48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ind w:left="-108"/>
              <w:rPr>
                <w:rFonts w:ascii="Arial Narrow" w:hAnsi="Arial Narrow"/>
                <w:sz w:val="20"/>
              </w:rPr>
            </w:pPr>
            <w:r>
              <w:rPr>
                <w:rFonts w:ascii="Arial Narrow" w:hAnsi="Arial Narrow"/>
                <w:sz w:val="20"/>
              </w:rPr>
              <w:t>$2802.90 ($</w:t>
            </w:r>
            <w:r w:rsidR="00D57F00">
              <w:rPr>
                <w:rFonts w:ascii="Arial Narrow" w:hAnsi="Arial Narrow"/>
                <w:noProof/>
                <w:color w:val="000000"/>
                <w:sz w:val="20"/>
                <w:highlight w:val="black"/>
              </w:rPr>
              <w:t>'''''''''''''''''''''</w:t>
            </w:r>
            <w:r>
              <w:rPr>
                <w:rFonts w:ascii="Arial Narrow" w:hAnsi="Arial Narrow"/>
                <w:sz w:val="20"/>
              </w:rPr>
              <w:t>)</w:t>
            </w:r>
          </w:p>
          <w:p w:rsidR="00083E3E" w:rsidRPr="00260CE3" w:rsidRDefault="00083E3E" w:rsidP="007478B9">
            <w:pPr>
              <w:keepNext/>
              <w:widowControl/>
              <w:ind w:left="-108"/>
              <w:rPr>
                <w:rFonts w:ascii="Arial Narrow" w:hAnsi="Arial Narrow"/>
                <w:sz w:val="20"/>
              </w:rPr>
            </w:pPr>
            <w:r>
              <w:rPr>
                <w:rFonts w:ascii="Arial Narrow" w:hAnsi="Arial Narrow"/>
                <w:sz w:val="20"/>
              </w:rPr>
              <w:t>$5605.80 ($</w:t>
            </w:r>
            <w:r w:rsidR="00D57F00">
              <w:rPr>
                <w:rFonts w:ascii="Arial Narrow" w:hAnsi="Arial Narrow"/>
                <w:noProof/>
                <w:color w:val="000000"/>
                <w:sz w:val="20"/>
                <w:highlight w:val="black"/>
              </w:rPr>
              <w:t>'''''''''''''''''''</w:t>
            </w:r>
            <w:r>
              <w:rPr>
                <w:rFonts w:ascii="Arial Narrow" w:hAnsi="Arial Narrow"/>
                <w:sz w:val="20"/>
              </w:rPr>
              <w:t>)</w:t>
            </w:r>
          </w:p>
        </w:tc>
        <w:tc>
          <w:tcPr>
            <w:tcW w:w="1843" w:type="dxa"/>
            <w:tcBorders>
              <w:top w:val="single" w:sz="4" w:space="0" w:color="auto"/>
            </w:tcBorders>
          </w:tcPr>
          <w:p w:rsidR="00083E3E" w:rsidRDefault="00083E3E" w:rsidP="007478B9">
            <w:pPr>
              <w:keepNext/>
              <w:widowControl/>
              <w:rPr>
                <w:rFonts w:ascii="Arial Narrow" w:hAnsi="Arial Narrow"/>
                <w:sz w:val="20"/>
              </w:rPr>
            </w:pPr>
          </w:p>
          <w:p w:rsidR="00083E3E" w:rsidRDefault="00083E3E" w:rsidP="007478B9">
            <w:pPr>
              <w:keepNext/>
              <w:widowControl/>
              <w:rPr>
                <w:rFonts w:ascii="Arial Narrow" w:hAnsi="Arial Narrow"/>
                <w:sz w:val="20"/>
              </w:rPr>
            </w:pPr>
            <w:r>
              <w:rPr>
                <w:rFonts w:ascii="Arial Narrow" w:hAnsi="Arial Narrow"/>
                <w:sz w:val="20"/>
              </w:rPr>
              <w:t>$1448.26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$2849.68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$5652.58 ($</w:t>
            </w:r>
            <w:r w:rsidR="00D57F00">
              <w:rPr>
                <w:rFonts w:ascii="Arial Narrow" w:hAnsi="Arial Narrow"/>
                <w:noProof/>
                <w:color w:val="000000"/>
                <w:sz w:val="20"/>
                <w:highlight w:val="black"/>
              </w:rPr>
              <w:t>'''''''''''''''''''</w:t>
            </w:r>
            <w:r>
              <w:rPr>
                <w:rFonts w:ascii="Arial Narrow" w:hAnsi="Arial Narrow"/>
                <w:sz w:val="20"/>
              </w:rPr>
              <w:t>)</w:t>
            </w:r>
          </w:p>
        </w:tc>
        <w:tc>
          <w:tcPr>
            <w:tcW w:w="1417" w:type="dxa"/>
            <w:tcBorders>
              <w:top w:val="single" w:sz="4" w:space="0" w:color="auto"/>
            </w:tcBorders>
          </w:tcPr>
          <w:p w:rsidR="00083E3E" w:rsidRDefault="00083E3E" w:rsidP="007478B9">
            <w:pPr>
              <w:keepNext/>
              <w:widowControl/>
              <w:rPr>
                <w:rFonts w:ascii="Arial Narrow" w:hAnsi="Arial Narrow"/>
                <w:sz w:val="20"/>
              </w:rPr>
            </w:pPr>
          </w:p>
          <w:p w:rsidR="00083E3E" w:rsidRPr="00260CE3" w:rsidRDefault="006D5811" w:rsidP="007478B9">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083E3E" w:rsidRPr="00260CE3" w:rsidTr="00550AED">
        <w:trPr>
          <w:cantSplit/>
          <w:trHeight w:val="360"/>
        </w:trPr>
        <w:tc>
          <w:tcPr>
            <w:tcW w:w="8505" w:type="dxa"/>
            <w:gridSpan w:val="7"/>
            <w:tcBorders>
              <w:bottom w:val="single" w:sz="4" w:space="0" w:color="auto"/>
            </w:tcBorders>
          </w:tcPr>
          <w:p w:rsidR="00083E3E" w:rsidRPr="00260CE3" w:rsidRDefault="00083E3E" w:rsidP="007478B9">
            <w:pPr>
              <w:widowControl/>
              <w:rPr>
                <w:rFonts w:ascii="Arial Narrow" w:hAnsi="Arial Narrow"/>
                <w:sz w:val="20"/>
              </w:rPr>
            </w:pP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 xml:space="preserve">Category / </w:t>
            </w:r>
          </w:p>
          <w:p w:rsidR="00083E3E" w:rsidRPr="00260CE3" w:rsidRDefault="00083E3E" w:rsidP="007478B9">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083E3E" w:rsidRPr="00260CE3" w:rsidRDefault="00083E3E" w:rsidP="007478B9">
            <w:pPr>
              <w:widowControl/>
              <w:rPr>
                <w:rFonts w:ascii="Arial Narrow" w:hAnsi="Arial Narrow"/>
                <w:sz w:val="20"/>
              </w:rPr>
            </w:pPr>
            <w:r>
              <w:rPr>
                <w:rFonts w:ascii="Arial Narrow" w:hAnsi="Arial Narrow"/>
                <w:sz w:val="20"/>
              </w:rPr>
              <w:t>Section 100 – Highly Specialised Drugs Program (Private)</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lastRenderedPageBreak/>
              <w:t>Condition: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Iron overload </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 iron overload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Treatment phase:</w:t>
            </w:r>
          </w:p>
          <w:p w:rsidR="00083E3E" w:rsidRPr="00260CE3" w:rsidRDefault="00083E3E" w:rsidP="007478B9">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Initial</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83E3E" w:rsidRPr="00CD28F3" w:rsidRDefault="00083E3E" w:rsidP="007478B9">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83E3E" w:rsidRPr="00260CE3" w:rsidRDefault="00083E3E" w:rsidP="007478B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Clinical criteria:</w:t>
            </w:r>
          </w:p>
          <w:p w:rsidR="00083E3E" w:rsidRPr="00260CE3" w:rsidRDefault="00083E3E" w:rsidP="007478B9">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sz w:val="20"/>
              </w:rPr>
            </w:pPr>
            <w:r w:rsidRPr="00EE1B74">
              <w:rPr>
                <w:rFonts w:ascii="Arial Narrow" w:hAnsi="Arial Narrow"/>
                <w:sz w:val="20"/>
              </w:rPr>
              <w:t>Patient must be red blood cell transfusion dependent.</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 xml:space="preserve">AND </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 xml:space="preserve">Patient must have received at least 20 units of red blood cell transfusion prior to commencing therapy. </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AND</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Patient must have a serum ferritin level of greater than 1000 microgram/L.</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 xml:space="preserve">AND </w:t>
            </w:r>
          </w:p>
          <w:p w:rsidR="00083E3E" w:rsidRDefault="00083E3E" w:rsidP="007478B9">
            <w:pPr>
              <w:widowControl/>
              <w:rPr>
                <w:rFonts w:ascii="Arial Narrow" w:hAnsi="Arial Narrow"/>
                <w:sz w:val="20"/>
              </w:rPr>
            </w:pPr>
          </w:p>
          <w:p w:rsidR="00083E3E" w:rsidRPr="00260CE3" w:rsidRDefault="00083E3E" w:rsidP="007478B9">
            <w:pPr>
              <w:widowControl/>
              <w:rPr>
                <w:rFonts w:ascii="Arial Narrow" w:hAnsi="Arial Narrow"/>
                <w:sz w:val="20"/>
              </w:rPr>
            </w:pPr>
            <w:r>
              <w:rPr>
                <w:rFonts w:ascii="Arial Narrow" w:hAnsi="Arial Narrow"/>
                <w:sz w:val="20"/>
              </w:rPr>
              <w:t xml:space="preserve">Patient must have an underlying malignant disease with a prognosis of 1 year or greater that is scored as low or intermediate-1 risk according to the International Prognostic Scoring System (IPSS). </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Administrative Advice</w:t>
            </w:r>
          </w:p>
          <w:p w:rsidR="00083E3E" w:rsidRPr="00260CE3" w:rsidRDefault="00083E3E" w:rsidP="007478B9">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3C43BD" w:rsidRDefault="00083E3E" w:rsidP="007478B9">
            <w:pPr>
              <w:widowControl/>
              <w:rPr>
                <w:rFonts w:ascii="Arial Narrow" w:hAnsi="Arial Narrow"/>
                <w:sz w:val="20"/>
              </w:rPr>
            </w:pPr>
            <w:r>
              <w:rPr>
                <w:rFonts w:ascii="Arial Narrow" w:hAnsi="Arial Narrow"/>
                <w:sz w:val="20"/>
              </w:rPr>
              <w:t xml:space="preserve">A patient is considered to have an underlying disease with a prognosis of 1 year or greater year if </w:t>
            </w:r>
            <w:r w:rsidR="003C43BD">
              <w:rPr>
                <w:rFonts w:ascii="Arial Narrow" w:hAnsi="Arial Narrow"/>
                <w:sz w:val="20"/>
              </w:rPr>
              <w:t>they do not possess any</w:t>
            </w:r>
            <w:r>
              <w:rPr>
                <w:rFonts w:ascii="Arial Narrow" w:hAnsi="Arial Narrow"/>
                <w:sz w:val="20"/>
              </w:rPr>
              <w:t xml:space="preserve"> life shortening co-morbidities</w:t>
            </w:r>
            <w:r w:rsidR="00447819">
              <w:rPr>
                <w:rFonts w:ascii="Arial Narrow" w:hAnsi="Arial Narrow"/>
                <w:sz w:val="20"/>
              </w:rPr>
              <w:t xml:space="preserve">. </w:t>
            </w:r>
          </w:p>
        </w:tc>
      </w:tr>
    </w:tbl>
    <w:p w:rsidR="00083E3E" w:rsidRDefault="00083E3E" w:rsidP="007478B9">
      <w:pPr>
        <w:widowControl/>
        <w:rPr>
          <w:szCs w:val="22"/>
        </w:rPr>
      </w:pPr>
    </w:p>
    <w:p w:rsidR="00083E3E" w:rsidRDefault="00083E3E" w:rsidP="007478B9">
      <w:pPr>
        <w:widowControl/>
        <w:rPr>
          <w:szCs w:val="22"/>
        </w:rPr>
      </w:pPr>
    </w:p>
    <w:p w:rsidR="00083E3E" w:rsidRPr="002E2D44" w:rsidRDefault="00083E3E" w:rsidP="007478B9">
      <w:pPr>
        <w:widowControl/>
        <w:ind w:left="510" w:firstLine="170"/>
        <w:rPr>
          <w:szCs w:val="22"/>
          <w:u w:val="single"/>
        </w:rPr>
      </w:pPr>
      <w:r w:rsidRPr="002E2D44">
        <w:rPr>
          <w:szCs w:val="22"/>
          <w:u w:val="single"/>
        </w:rPr>
        <w:t>Malignant disorders restriction: Public and Private (Continuing)</w:t>
      </w:r>
    </w:p>
    <w:p w:rsidR="00083E3E" w:rsidRPr="00552722" w:rsidRDefault="00083E3E" w:rsidP="007478B9">
      <w:pPr>
        <w:widowControl/>
        <w:rPr>
          <w:szCs w:val="22"/>
        </w:rPr>
      </w:pPr>
    </w:p>
    <w:tbl>
      <w:tblPr>
        <w:tblW w:w="8505" w:type="dxa"/>
        <w:tblInd w:w="817" w:type="dxa"/>
        <w:tblLayout w:type="fixed"/>
        <w:tblLook w:val="0000" w:firstRow="0" w:lastRow="0" w:firstColumn="0" w:lastColumn="0" w:noHBand="0" w:noVBand="0"/>
      </w:tblPr>
      <w:tblGrid>
        <w:gridCol w:w="2126"/>
        <w:gridCol w:w="426"/>
        <w:gridCol w:w="425"/>
        <w:gridCol w:w="567"/>
        <w:gridCol w:w="1701"/>
        <w:gridCol w:w="1843"/>
        <w:gridCol w:w="1417"/>
      </w:tblGrid>
      <w:tr w:rsidR="00083E3E" w:rsidRPr="00260CE3" w:rsidTr="00550AED">
        <w:trPr>
          <w:cantSplit/>
          <w:trHeight w:val="471"/>
        </w:trPr>
        <w:tc>
          <w:tcPr>
            <w:tcW w:w="2552" w:type="dxa"/>
            <w:gridSpan w:val="2"/>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Name, Restriction,</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Manner of administration and form</w:t>
            </w:r>
          </w:p>
        </w:tc>
        <w:tc>
          <w:tcPr>
            <w:tcW w:w="425" w:type="dxa"/>
            <w:tcBorders>
              <w:bottom w:val="single" w:sz="4" w:space="0" w:color="auto"/>
            </w:tcBorders>
          </w:tcPr>
          <w:p w:rsidR="00083E3E" w:rsidRPr="00260CE3" w:rsidRDefault="00083E3E" w:rsidP="007478B9">
            <w:pPr>
              <w:keepNext/>
              <w:widowControl/>
              <w:ind w:left="-108"/>
              <w:rPr>
                <w:rFonts w:ascii="Arial Narrow" w:hAnsi="Arial Narrow"/>
                <w:sz w:val="20"/>
              </w:rPr>
            </w:pPr>
            <w:r>
              <w:rPr>
                <w:rFonts w:ascii="Arial Narrow" w:hAnsi="Arial Narrow"/>
                <w:sz w:val="20"/>
              </w:rPr>
              <w:t>Max.</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083E3E" w:rsidRPr="00260CE3" w:rsidRDefault="00083E3E" w:rsidP="007478B9">
            <w:pPr>
              <w:keepNext/>
              <w:widowControl/>
              <w:ind w:left="-108"/>
              <w:rPr>
                <w:rFonts w:ascii="Arial Narrow" w:hAnsi="Arial Narrow"/>
                <w:sz w:val="20"/>
              </w:rPr>
            </w:pPr>
            <w:r w:rsidRPr="00260CE3">
              <w:rPr>
                <w:rFonts w:ascii="Arial Narrow" w:hAnsi="Arial Narrow"/>
                <w:sz w:val="20"/>
              </w:rPr>
              <w:t>№.of</w:t>
            </w:r>
          </w:p>
          <w:p w:rsidR="00083E3E" w:rsidRPr="00260CE3" w:rsidRDefault="00083E3E" w:rsidP="007478B9">
            <w:pPr>
              <w:keepNext/>
              <w:widowControl/>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083E3E" w:rsidRDefault="00083E3E" w:rsidP="007478B9">
            <w:pPr>
              <w:keepNext/>
              <w:widowControl/>
              <w:ind w:left="-108"/>
              <w:rPr>
                <w:rFonts w:ascii="Arial Narrow" w:hAnsi="Arial Narrow"/>
                <w:sz w:val="20"/>
              </w:rPr>
            </w:pPr>
            <w:r w:rsidRPr="00260CE3">
              <w:rPr>
                <w:rFonts w:ascii="Arial Narrow" w:hAnsi="Arial Narrow"/>
                <w:sz w:val="20"/>
              </w:rPr>
              <w:t>Dispensed Price for Max. Qty</w:t>
            </w:r>
            <w:r>
              <w:rPr>
                <w:rFonts w:ascii="Arial Narrow" w:hAnsi="Arial Narrow"/>
                <w:sz w:val="20"/>
              </w:rPr>
              <w:t xml:space="preserve"> -Public</w:t>
            </w:r>
          </w:p>
          <w:p w:rsidR="00083E3E" w:rsidRPr="00260CE3" w:rsidRDefault="00083E3E" w:rsidP="007478B9">
            <w:pPr>
              <w:keepNext/>
              <w:widowControl/>
              <w:ind w:left="-108"/>
              <w:rPr>
                <w:rFonts w:ascii="Arial Narrow" w:hAnsi="Arial Narrow"/>
                <w:sz w:val="20"/>
              </w:rPr>
            </w:pPr>
            <w:r>
              <w:rPr>
                <w:rFonts w:ascii="Arial Narrow" w:hAnsi="Arial Narrow"/>
                <w:sz w:val="20"/>
              </w:rPr>
              <w:t>Published (effective)</w:t>
            </w:r>
          </w:p>
        </w:tc>
        <w:tc>
          <w:tcPr>
            <w:tcW w:w="1843" w:type="dxa"/>
            <w:tcBorders>
              <w:bottom w:val="single" w:sz="4" w:space="0" w:color="auto"/>
            </w:tcBorders>
          </w:tcPr>
          <w:p w:rsidR="00083E3E" w:rsidRDefault="00083E3E" w:rsidP="007478B9">
            <w:pPr>
              <w:keepNext/>
              <w:widowControl/>
              <w:rPr>
                <w:rFonts w:ascii="Arial Narrow" w:hAnsi="Arial Narrow"/>
                <w:sz w:val="20"/>
              </w:rPr>
            </w:pPr>
            <w:r>
              <w:rPr>
                <w:rFonts w:ascii="Arial Narrow" w:hAnsi="Arial Narrow"/>
                <w:sz w:val="20"/>
              </w:rPr>
              <w:t>Dispensed Price for Max. Qty - Private</w:t>
            </w:r>
          </w:p>
          <w:p w:rsidR="00083E3E" w:rsidRPr="00260CE3" w:rsidRDefault="00083E3E" w:rsidP="007478B9">
            <w:pPr>
              <w:keepNext/>
              <w:widowControl/>
              <w:rPr>
                <w:rFonts w:ascii="Arial Narrow" w:hAnsi="Arial Narrow"/>
                <w:sz w:val="20"/>
              </w:rPr>
            </w:pPr>
            <w:r>
              <w:rPr>
                <w:rFonts w:ascii="Arial Narrow" w:hAnsi="Arial Narrow"/>
                <w:sz w:val="20"/>
              </w:rPr>
              <w:t>Published (effective)</w:t>
            </w:r>
          </w:p>
        </w:tc>
        <w:tc>
          <w:tcPr>
            <w:tcW w:w="1417" w:type="dxa"/>
            <w:tcBorders>
              <w:bottom w:val="single" w:sz="4" w:space="0" w:color="auto"/>
            </w:tcBorders>
          </w:tcPr>
          <w:p w:rsidR="00083E3E" w:rsidRPr="00260CE3" w:rsidRDefault="00083E3E" w:rsidP="007478B9">
            <w:pPr>
              <w:keepNext/>
              <w:widowControl/>
              <w:rPr>
                <w:rFonts w:ascii="Arial Narrow" w:hAnsi="Arial Narrow"/>
                <w:sz w:val="20"/>
                <w:lang w:val="fr-FR"/>
              </w:rPr>
            </w:pPr>
            <w:r w:rsidRPr="00260CE3">
              <w:rPr>
                <w:rFonts w:ascii="Arial Narrow" w:hAnsi="Arial Narrow"/>
                <w:sz w:val="20"/>
              </w:rPr>
              <w:t>Proprietary Name and Manufacturer</w:t>
            </w:r>
          </w:p>
        </w:tc>
      </w:tr>
      <w:tr w:rsidR="00083E3E" w:rsidRPr="00260CE3" w:rsidTr="00550AED">
        <w:trPr>
          <w:cantSplit/>
          <w:trHeight w:val="577"/>
        </w:trPr>
        <w:tc>
          <w:tcPr>
            <w:tcW w:w="2552" w:type="dxa"/>
            <w:gridSpan w:val="2"/>
            <w:tcBorders>
              <w:top w:val="single" w:sz="4" w:space="0" w:color="auto"/>
            </w:tcBorders>
          </w:tcPr>
          <w:p w:rsidR="00083E3E" w:rsidRPr="001E2914" w:rsidRDefault="00083E3E" w:rsidP="007478B9">
            <w:pPr>
              <w:keepNext/>
              <w:widowControl/>
              <w:ind w:left="-108"/>
              <w:rPr>
                <w:rFonts w:ascii="Arial Narrow" w:hAnsi="Arial Narrow"/>
                <w:sz w:val="20"/>
              </w:rPr>
            </w:pPr>
            <w:r w:rsidRPr="001E2914">
              <w:rPr>
                <w:rFonts w:ascii="Arial Narrow" w:hAnsi="Arial Narrow"/>
                <w:smallCaps/>
                <w:sz w:val="20"/>
              </w:rPr>
              <w:t>DEFERASIROX</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125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250 mg tablet: dispersible, 28</w:t>
            </w:r>
          </w:p>
          <w:p w:rsidR="00083E3E" w:rsidRPr="001E2914" w:rsidRDefault="00083E3E" w:rsidP="007478B9">
            <w:pPr>
              <w:keepNext/>
              <w:widowControl/>
              <w:ind w:left="-108"/>
              <w:rPr>
                <w:rFonts w:ascii="Arial Narrow" w:hAnsi="Arial Narrow"/>
                <w:sz w:val="20"/>
              </w:rPr>
            </w:pPr>
            <w:r w:rsidRPr="001E2914">
              <w:rPr>
                <w:rFonts w:ascii="Arial Narrow" w:hAnsi="Arial Narrow"/>
                <w:sz w:val="20"/>
              </w:rPr>
              <w:t>500 mg tablet: dispersible, 28</w:t>
            </w:r>
          </w:p>
        </w:tc>
        <w:tc>
          <w:tcPr>
            <w:tcW w:w="425" w:type="dxa"/>
            <w:tcBorders>
              <w:top w:val="single" w:sz="4" w:space="0" w:color="auto"/>
            </w:tcBorders>
          </w:tcPr>
          <w:p w:rsidR="00083E3E" w:rsidRPr="001E2914"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Default="00083E3E" w:rsidP="007478B9">
            <w:pPr>
              <w:keepNext/>
              <w:widowControl/>
              <w:ind w:left="-108"/>
              <w:rPr>
                <w:rFonts w:ascii="Arial Narrow" w:hAnsi="Arial Narrow"/>
                <w:sz w:val="20"/>
              </w:rPr>
            </w:pPr>
            <w:r>
              <w:rPr>
                <w:rFonts w:ascii="Arial Narrow" w:hAnsi="Arial Narrow"/>
                <w:sz w:val="20"/>
              </w:rPr>
              <w:t>6</w:t>
            </w:r>
          </w:p>
          <w:p w:rsidR="00083E3E" w:rsidRPr="00260CE3" w:rsidRDefault="00083E3E" w:rsidP="007478B9">
            <w:pPr>
              <w:keepNext/>
              <w:widowControl/>
              <w:ind w:left="-108"/>
              <w:rPr>
                <w:rFonts w:ascii="Arial Narrow" w:hAnsi="Arial Narrow"/>
                <w:sz w:val="20"/>
              </w:rPr>
            </w:pPr>
            <w:r>
              <w:rPr>
                <w:rFonts w:ascii="Arial Narrow" w:hAnsi="Arial Narrow"/>
                <w:sz w:val="20"/>
              </w:rPr>
              <w:t>6</w:t>
            </w:r>
          </w:p>
        </w:tc>
        <w:tc>
          <w:tcPr>
            <w:tcW w:w="567"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Pr>
                <w:rFonts w:ascii="Arial Narrow" w:hAnsi="Arial Narrow"/>
                <w:sz w:val="20"/>
              </w:rPr>
              <w:t>2</w:t>
            </w:r>
          </w:p>
          <w:p w:rsidR="00083E3E" w:rsidRDefault="00083E3E" w:rsidP="007478B9">
            <w:pPr>
              <w:keepNext/>
              <w:widowControl/>
              <w:ind w:left="-108"/>
              <w:rPr>
                <w:rFonts w:ascii="Arial Narrow" w:hAnsi="Arial Narrow"/>
                <w:sz w:val="20"/>
              </w:rPr>
            </w:pPr>
            <w:r>
              <w:rPr>
                <w:rFonts w:ascii="Arial Narrow" w:hAnsi="Arial Narrow"/>
                <w:sz w:val="20"/>
              </w:rPr>
              <w:t>2</w:t>
            </w:r>
          </w:p>
          <w:p w:rsidR="00083E3E" w:rsidRPr="00260CE3" w:rsidRDefault="00083E3E" w:rsidP="007478B9">
            <w:pPr>
              <w:keepNext/>
              <w:widowControl/>
              <w:ind w:left="-108"/>
              <w:rPr>
                <w:rFonts w:ascii="Arial Narrow" w:hAnsi="Arial Narrow"/>
                <w:sz w:val="20"/>
              </w:rPr>
            </w:pPr>
            <w:r>
              <w:rPr>
                <w:rFonts w:ascii="Arial Narrow" w:hAnsi="Arial Narrow"/>
                <w:sz w:val="20"/>
              </w:rPr>
              <w:t>2</w:t>
            </w:r>
          </w:p>
        </w:tc>
        <w:tc>
          <w:tcPr>
            <w:tcW w:w="1701" w:type="dxa"/>
            <w:tcBorders>
              <w:top w:val="single" w:sz="4" w:space="0" w:color="auto"/>
            </w:tcBorders>
          </w:tcPr>
          <w:p w:rsidR="00083E3E" w:rsidRPr="00260CE3" w:rsidRDefault="00083E3E" w:rsidP="007478B9">
            <w:pPr>
              <w:keepNext/>
              <w:widowControl/>
              <w:ind w:left="-108"/>
              <w:rPr>
                <w:rFonts w:ascii="Arial Narrow" w:hAnsi="Arial Narrow"/>
                <w:sz w:val="20"/>
              </w:rPr>
            </w:pPr>
          </w:p>
          <w:p w:rsidR="00083E3E" w:rsidRDefault="00083E3E" w:rsidP="007478B9">
            <w:pPr>
              <w:keepNext/>
              <w:widowControl/>
              <w:ind w:left="-108"/>
              <w:rPr>
                <w:rFonts w:ascii="Arial Narrow" w:hAnsi="Arial Narrow"/>
                <w:sz w:val="20"/>
              </w:rPr>
            </w:pPr>
            <w:r w:rsidRPr="00260CE3">
              <w:rPr>
                <w:rFonts w:ascii="Arial Narrow" w:hAnsi="Arial Narrow"/>
                <w:sz w:val="20"/>
              </w:rPr>
              <w:t>$</w:t>
            </w:r>
            <w:r>
              <w:rPr>
                <w:rFonts w:ascii="Arial Narrow" w:hAnsi="Arial Narrow"/>
                <w:sz w:val="20"/>
              </w:rPr>
              <w:t>1401.48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ind w:left="-108"/>
              <w:rPr>
                <w:rFonts w:ascii="Arial Narrow" w:hAnsi="Arial Narrow"/>
                <w:sz w:val="20"/>
              </w:rPr>
            </w:pPr>
            <w:r>
              <w:rPr>
                <w:rFonts w:ascii="Arial Narrow" w:hAnsi="Arial Narrow"/>
                <w:sz w:val="20"/>
              </w:rPr>
              <w:t>$2802.90 ($</w:t>
            </w:r>
            <w:r w:rsidR="00D57F00">
              <w:rPr>
                <w:rFonts w:ascii="Arial Narrow" w:hAnsi="Arial Narrow"/>
                <w:noProof/>
                <w:color w:val="000000"/>
                <w:sz w:val="20"/>
                <w:highlight w:val="black"/>
              </w:rPr>
              <w:t>'''''''''''''''''''''</w:t>
            </w:r>
            <w:r>
              <w:rPr>
                <w:rFonts w:ascii="Arial Narrow" w:hAnsi="Arial Narrow"/>
                <w:sz w:val="20"/>
              </w:rPr>
              <w:t>)</w:t>
            </w:r>
          </w:p>
          <w:p w:rsidR="00083E3E" w:rsidRPr="00260CE3" w:rsidRDefault="00083E3E" w:rsidP="007478B9">
            <w:pPr>
              <w:keepNext/>
              <w:widowControl/>
              <w:ind w:left="-108"/>
              <w:rPr>
                <w:rFonts w:ascii="Arial Narrow" w:hAnsi="Arial Narrow"/>
                <w:sz w:val="20"/>
              </w:rPr>
            </w:pPr>
            <w:r>
              <w:rPr>
                <w:rFonts w:ascii="Arial Narrow" w:hAnsi="Arial Narrow"/>
                <w:sz w:val="20"/>
              </w:rPr>
              <w:t>$5605.80 ($</w:t>
            </w:r>
            <w:r w:rsidR="00D57F00">
              <w:rPr>
                <w:rFonts w:ascii="Arial Narrow" w:hAnsi="Arial Narrow"/>
                <w:noProof/>
                <w:color w:val="000000"/>
                <w:sz w:val="20"/>
                <w:highlight w:val="black"/>
              </w:rPr>
              <w:t>'''''''''''''''''</w:t>
            </w:r>
            <w:r>
              <w:rPr>
                <w:rFonts w:ascii="Arial Narrow" w:hAnsi="Arial Narrow"/>
                <w:sz w:val="20"/>
              </w:rPr>
              <w:t>)</w:t>
            </w:r>
          </w:p>
        </w:tc>
        <w:tc>
          <w:tcPr>
            <w:tcW w:w="1843" w:type="dxa"/>
            <w:tcBorders>
              <w:top w:val="single" w:sz="4" w:space="0" w:color="auto"/>
            </w:tcBorders>
          </w:tcPr>
          <w:p w:rsidR="00083E3E" w:rsidRDefault="00083E3E" w:rsidP="007478B9">
            <w:pPr>
              <w:keepNext/>
              <w:widowControl/>
              <w:rPr>
                <w:rFonts w:ascii="Arial Narrow" w:hAnsi="Arial Narrow"/>
                <w:sz w:val="20"/>
              </w:rPr>
            </w:pPr>
          </w:p>
          <w:p w:rsidR="00083E3E" w:rsidRDefault="00083E3E" w:rsidP="007478B9">
            <w:pPr>
              <w:keepNext/>
              <w:widowControl/>
              <w:rPr>
                <w:rFonts w:ascii="Arial Narrow" w:hAnsi="Arial Narrow"/>
                <w:sz w:val="20"/>
              </w:rPr>
            </w:pPr>
            <w:r>
              <w:rPr>
                <w:rFonts w:ascii="Arial Narrow" w:hAnsi="Arial Narrow"/>
                <w:sz w:val="20"/>
              </w:rPr>
              <w:t>$1448.26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$2849.68 ($</w:t>
            </w:r>
            <w:r w:rsidR="00D57F00">
              <w:rPr>
                <w:rFonts w:ascii="Arial Narrow" w:hAnsi="Arial Narrow"/>
                <w:noProof/>
                <w:color w:val="000000"/>
                <w:sz w:val="20"/>
                <w:highlight w:val="black"/>
              </w:rPr>
              <w:t>'''''''''''''''''''</w:t>
            </w:r>
            <w:r>
              <w:rPr>
                <w:rFonts w:ascii="Arial Narrow" w:hAnsi="Arial Narrow"/>
                <w:sz w:val="20"/>
              </w:rPr>
              <w:t>)</w:t>
            </w:r>
          </w:p>
          <w:p w:rsidR="00083E3E" w:rsidRDefault="00083E3E" w:rsidP="007478B9">
            <w:pPr>
              <w:keepNext/>
              <w:widowControl/>
              <w:rPr>
                <w:rFonts w:ascii="Arial Narrow" w:hAnsi="Arial Narrow"/>
                <w:sz w:val="20"/>
              </w:rPr>
            </w:pPr>
            <w:r>
              <w:rPr>
                <w:rFonts w:ascii="Arial Narrow" w:hAnsi="Arial Narrow"/>
                <w:sz w:val="20"/>
              </w:rPr>
              <w:t>$5652.58 ($</w:t>
            </w:r>
            <w:r w:rsidR="00D57F00">
              <w:rPr>
                <w:rFonts w:ascii="Arial Narrow" w:hAnsi="Arial Narrow"/>
                <w:noProof/>
                <w:color w:val="000000"/>
                <w:sz w:val="20"/>
                <w:highlight w:val="black"/>
              </w:rPr>
              <w:t>'''''''''''''''''''''</w:t>
            </w:r>
            <w:r>
              <w:rPr>
                <w:rFonts w:ascii="Arial Narrow" w:hAnsi="Arial Narrow"/>
                <w:sz w:val="20"/>
              </w:rPr>
              <w:t>)</w:t>
            </w:r>
          </w:p>
        </w:tc>
        <w:tc>
          <w:tcPr>
            <w:tcW w:w="1417" w:type="dxa"/>
            <w:tcBorders>
              <w:top w:val="single" w:sz="4" w:space="0" w:color="auto"/>
            </w:tcBorders>
          </w:tcPr>
          <w:p w:rsidR="00083E3E" w:rsidRDefault="00083E3E" w:rsidP="007478B9">
            <w:pPr>
              <w:keepNext/>
              <w:widowControl/>
              <w:rPr>
                <w:rFonts w:ascii="Arial Narrow" w:hAnsi="Arial Narrow"/>
                <w:sz w:val="20"/>
              </w:rPr>
            </w:pPr>
          </w:p>
          <w:p w:rsidR="00083E3E" w:rsidRPr="00260CE3" w:rsidRDefault="006D5811" w:rsidP="007478B9">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083E3E" w:rsidRPr="00260CE3" w:rsidTr="00550AED">
        <w:trPr>
          <w:cantSplit/>
          <w:trHeight w:val="360"/>
        </w:trPr>
        <w:tc>
          <w:tcPr>
            <w:tcW w:w="8505" w:type="dxa"/>
            <w:gridSpan w:val="7"/>
            <w:tcBorders>
              <w:bottom w:val="single" w:sz="4" w:space="0" w:color="auto"/>
            </w:tcBorders>
          </w:tcPr>
          <w:p w:rsidR="00083E3E" w:rsidRPr="00260CE3" w:rsidRDefault="00083E3E" w:rsidP="007478B9">
            <w:pPr>
              <w:widowControl/>
              <w:rPr>
                <w:rFonts w:ascii="Arial Narrow" w:hAnsi="Arial Narrow"/>
                <w:sz w:val="20"/>
              </w:rPr>
            </w:pP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 xml:space="preserve">Category / </w:t>
            </w:r>
          </w:p>
          <w:p w:rsidR="00083E3E" w:rsidRPr="00260CE3" w:rsidRDefault="00083E3E" w:rsidP="007478B9">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083E3E" w:rsidRPr="00260CE3" w:rsidRDefault="00083E3E" w:rsidP="007478B9">
            <w:pPr>
              <w:widowControl/>
              <w:rPr>
                <w:rFonts w:ascii="Arial Narrow" w:hAnsi="Arial Narrow"/>
                <w:sz w:val="20"/>
              </w:rPr>
            </w:pPr>
            <w:r>
              <w:rPr>
                <w:rFonts w:ascii="Arial Narrow" w:hAnsi="Arial Narrow"/>
                <w:sz w:val="20"/>
              </w:rPr>
              <w:t>Section 100 – Highly Specialised Drugs Program (Private)</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83E3E" w:rsidRPr="00260CE3" w:rsidRDefault="00083E3E" w:rsidP="007478B9">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 xml:space="preserve">Iron overload </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Chronic iron overload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t>Treatment phase:</w:t>
            </w:r>
          </w:p>
          <w:p w:rsidR="00083E3E" w:rsidRPr="00260CE3" w:rsidRDefault="00083E3E" w:rsidP="007478B9">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sz w:val="20"/>
              </w:rPr>
            </w:pPr>
            <w:r>
              <w:rPr>
                <w:rFonts w:ascii="Arial Narrow" w:hAnsi="Arial Narrow"/>
                <w:sz w:val="20"/>
              </w:rPr>
              <w:t>Continuing</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60CE3" w:rsidRDefault="00083E3E" w:rsidP="007478B9">
            <w:pPr>
              <w:widowControl/>
              <w:rPr>
                <w:rFonts w:ascii="Arial Narrow" w:hAnsi="Arial Narrow"/>
                <w:b/>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p w:rsidR="00083E3E" w:rsidRDefault="00083E3E" w:rsidP="007478B9">
            <w:pPr>
              <w:widowControl/>
              <w:rPr>
                <w:rFonts w:ascii="Arial Narrow" w:hAnsi="Arial Narrow"/>
                <w:i/>
                <w:sz w:val="20"/>
                <w:highlight w:val="yellow"/>
              </w:rPr>
            </w:pPr>
          </w:p>
          <w:p w:rsidR="00083E3E" w:rsidRPr="00CD28F3" w:rsidRDefault="00083E3E" w:rsidP="007478B9">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83E3E" w:rsidRPr="00106BCF" w:rsidRDefault="00083E3E" w:rsidP="007478B9">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083E3E" w:rsidRPr="00106BCF" w:rsidRDefault="00083E3E" w:rsidP="007478B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083E3E" w:rsidRPr="00260CE3" w:rsidRDefault="00083E3E" w:rsidP="007478B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83E3E" w:rsidRPr="00260CE3"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083E3E" w:rsidRPr="002D587E" w:rsidRDefault="002D587E" w:rsidP="007478B9">
            <w:pPr>
              <w:widowControl/>
              <w:rPr>
                <w:rFonts w:ascii="Arial Narrow" w:hAnsi="Arial Narrow"/>
                <w:b/>
                <w:sz w:val="20"/>
              </w:rPr>
            </w:pPr>
            <w:r>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83E3E" w:rsidRDefault="00083E3E" w:rsidP="007478B9">
            <w:pPr>
              <w:widowControl/>
              <w:rPr>
                <w:rFonts w:ascii="Arial Narrow" w:hAnsi="Arial Narrow"/>
                <w:sz w:val="20"/>
              </w:rPr>
            </w:pPr>
            <w:r w:rsidRPr="005856C5">
              <w:rPr>
                <w:rFonts w:ascii="Arial Narrow" w:hAnsi="Arial Narrow"/>
                <w:sz w:val="20"/>
              </w:rPr>
              <w:t>Patient must have previously received PBS-subsidised therapy with this drug for this condition</w:t>
            </w:r>
            <w:r>
              <w:rPr>
                <w:rFonts w:ascii="Arial Narrow" w:hAnsi="Arial Narrow"/>
                <w:sz w:val="20"/>
              </w:rPr>
              <w:t>.</w:t>
            </w:r>
          </w:p>
          <w:p w:rsidR="00083E3E" w:rsidRDefault="00083E3E" w:rsidP="007478B9">
            <w:pPr>
              <w:widowControl/>
              <w:rPr>
                <w:rFonts w:ascii="Arial Narrow" w:hAnsi="Arial Narrow"/>
                <w:sz w:val="20"/>
              </w:rPr>
            </w:pPr>
          </w:p>
          <w:p w:rsidR="00083E3E" w:rsidRDefault="00083E3E" w:rsidP="007478B9">
            <w:pPr>
              <w:widowControl/>
              <w:rPr>
                <w:rFonts w:ascii="Arial Narrow" w:hAnsi="Arial Narrow"/>
                <w:sz w:val="20"/>
              </w:rPr>
            </w:pPr>
            <w:r>
              <w:rPr>
                <w:rFonts w:ascii="Arial Narrow" w:hAnsi="Arial Narrow"/>
                <w:sz w:val="20"/>
              </w:rPr>
              <w:t>AND</w:t>
            </w:r>
          </w:p>
          <w:p w:rsidR="00083E3E" w:rsidRDefault="00083E3E" w:rsidP="007478B9">
            <w:pPr>
              <w:widowControl/>
              <w:rPr>
                <w:rFonts w:ascii="Arial Narrow" w:hAnsi="Arial Narrow"/>
                <w:sz w:val="20"/>
              </w:rPr>
            </w:pPr>
          </w:p>
          <w:p w:rsidR="00083E3E" w:rsidRPr="003C43BD" w:rsidRDefault="00083E3E" w:rsidP="007478B9">
            <w:pPr>
              <w:widowControl/>
              <w:rPr>
                <w:rFonts w:ascii="Arial Narrow" w:hAnsi="Arial Narrow"/>
                <w:i/>
                <w:sz w:val="20"/>
              </w:rPr>
            </w:pPr>
            <w:r>
              <w:rPr>
                <w:rFonts w:ascii="Arial Narrow" w:hAnsi="Arial Narrow"/>
                <w:sz w:val="20"/>
              </w:rPr>
              <w:t>Patient must have a blast percentage of less than</w:t>
            </w:r>
            <w:r w:rsidRPr="00CC0831">
              <w:rPr>
                <w:rFonts w:ascii="Arial Narrow" w:hAnsi="Arial Narrow"/>
                <w:sz w:val="20"/>
              </w:rPr>
              <w:t xml:space="preserve"> </w:t>
            </w:r>
            <w:r w:rsidR="003C43BD">
              <w:rPr>
                <w:rFonts w:ascii="Arial Narrow" w:hAnsi="Arial Narrow"/>
                <w:sz w:val="20"/>
              </w:rPr>
              <w:t>2</w:t>
            </w:r>
            <w:r w:rsidRPr="00CC0831">
              <w:rPr>
                <w:rFonts w:ascii="Arial Narrow" w:hAnsi="Arial Narrow"/>
                <w:sz w:val="20"/>
              </w:rPr>
              <w:t xml:space="preserve">0% in bone marrow or peripheral </w:t>
            </w:r>
            <w:r>
              <w:rPr>
                <w:rFonts w:ascii="Arial Narrow" w:hAnsi="Arial Narrow"/>
                <w:sz w:val="20"/>
              </w:rPr>
              <w:t>blood.</w:t>
            </w:r>
          </w:p>
        </w:tc>
      </w:tr>
      <w:tr w:rsidR="003C43BD" w:rsidRPr="003C43BD" w:rsidTr="00550AED">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43BD" w:rsidRPr="00260CE3" w:rsidRDefault="003C43BD" w:rsidP="007478B9">
            <w:pPr>
              <w:widowControl/>
              <w:rPr>
                <w:rFonts w:ascii="Arial Narrow" w:hAnsi="Arial Narrow"/>
                <w:b/>
                <w:sz w:val="20"/>
              </w:rPr>
            </w:pPr>
            <w:r w:rsidRPr="00260CE3">
              <w:rPr>
                <w:rFonts w:ascii="Arial Narrow" w:hAnsi="Arial Narrow"/>
                <w:b/>
                <w:sz w:val="20"/>
              </w:rPr>
              <w:t>Administrative Advice</w:t>
            </w:r>
          </w:p>
          <w:p w:rsidR="003C43BD" w:rsidRPr="003C43BD" w:rsidRDefault="003C43BD" w:rsidP="007478B9">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C43BD" w:rsidRPr="003C43BD" w:rsidRDefault="003C43BD" w:rsidP="007478B9">
            <w:pPr>
              <w:widowControl/>
              <w:rPr>
                <w:rFonts w:ascii="Arial Narrow" w:hAnsi="Arial Narrow"/>
                <w:sz w:val="20"/>
              </w:rPr>
            </w:pPr>
            <w:r>
              <w:rPr>
                <w:rFonts w:ascii="Arial Narrow" w:hAnsi="Arial Narrow"/>
                <w:sz w:val="20"/>
              </w:rPr>
              <w:t xml:space="preserve">Interruption of treatment should be considered if serum ferritin levels fall consistently below 500 microgram/ml. </w:t>
            </w:r>
          </w:p>
        </w:tc>
      </w:tr>
    </w:tbl>
    <w:p w:rsidR="00083E3E" w:rsidRPr="00C872A9" w:rsidRDefault="00083E3E" w:rsidP="007478B9">
      <w:pPr>
        <w:pStyle w:val="PBACHeading1"/>
        <w:numPr>
          <w:ilvl w:val="0"/>
          <w:numId w:val="0"/>
        </w:numPr>
      </w:pPr>
    </w:p>
    <w:p w:rsidR="004D3593" w:rsidRPr="00575319" w:rsidRDefault="004D3593" w:rsidP="007478B9">
      <w:pPr>
        <w:widowControl/>
        <w:rPr>
          <w:szCs w:val="22"/>
        </w:rPr>
      </w:pPr>
    </w:p>
    <w:p w:rsidR="00666194" w:rsidRPr="00D1526E" w:rsidRDefault="00503BC2" w:rsidP="007478B9">
      <w:pPr>
        <w:pStyle w:val="ListParagraph"/>
        <w:widowControl/>
        <w:numPr>
          <w:ilvl w:val="1"/>
          <w:numId w:val="4"/>
        </w:numPr>
      </w:pPr>
      <w:r w:rsidRPr="00D1526E">
        <w:rPr>
          <w:szCs w:val="22"/>
        </w:rPr>
        <w:t>The requested listing</w:t>
      </w:r>
      <w:r w:rsidR="00C0400F" w:rsidRPr="00D1526E">
        <w:rPr>
          <w:szCs w:val="22"/>
        </w:rPr>
        <w:t xml:space="preserve"> covering </w:t>
      </w:r>
      <w:r w:rsidR="009E67F8">
        <w:t>myelodysplastic syndrome</w:t>
      </w:r>
      <w:r w:rsidR="009E67F8" w:rsidRPr="00575319">
        <w:t xml:space="preserve"> </w:t>
      </w:r>
      <w:r w:rsidR="009E67F8">
        <w:t>(</w:t>
      </w:r>
      <w:r w:rsidR="00C0400F" w:rsidRPr="00D1526E">
        <w:rPr>
          <w:szCs w:val="22"/>
        </w:rPr>
        <w:t>MDS</w:t>
      </w:r>
      <w:r w:rsidR="009E67F8">
        <w:rPr>
          <w:szCs w:val="22"/>
        </w:rPr>
        <w:t>)</w:t>
      </w:r>
      <w:r w:rsidRPr="00D1526E">
        <w:rPr>
          <w:szCs w:val="22"/>
        </w:rPr>
        <w:t xml:space="preserve"> </w:t>
      </w:r>
      <w:r w:rsidR="00C31F07" w:rsidRPr="00D1526E">
        <w:rPr>
          <w:szCs w:val="22"/>
        </w:rPr>
        <w:t>was</w:t>
      </w:r>
      <w:r w:rsidRPr="00D1526E">
        <w:rPr>
          <w:szCs w:val="22"/>
        </w:rPr>
        <w:t xml:space="preserve"> based on a claim of superior efficacy and similar safety compared to basic supportive care without </w:t>
      </w:r>
      <w:r w:rsidR="00EA764C" w:rsidRPr="00D1526E">
        <w:rPr>
          <w:szCs w:val="22"/>
        </w:rPr>
        <w:t>ICT</w:t>
      </w:r>
      <w:r w:rsidRPr="00D1526E">
        <w:rPr>
          <w:szCs w:val="22"/>
        </w:rPr>
        <w:t>.  However</w:t>
      </w:r>
      <w:r w:rsidR="00C872A9" w:rsidRPr="00D1526E">
        <w:rPr>
          <w:szCs w:val="22"/>
        </w:rPr>
        <w:t>,</w:t>
      </w:r>
      <w:r w:rsidRPr="00D1526E">
        <w:rPr>
          <w:szCs w:val="22"/>
        </w:rPr>
        <w:t xml:space="preserve"> no randomised controlled trials</w:t>
      </w:r>
      <w:r w:rsidR="00C0400F" w:rsidRPr="00D1526E">
        <w:rPr>
          <w:szCs w:val="22"/>
        </w:rPr>
        <w:t xml:space="preserve"> or sufficiently adjusted observational </w:t>
      </w:r>
      <w:r w:rsidR="00742A70" w:rsidRPr="00D1526E">
        <w:rPr>
          <w:szCs w:val="22"/>
        </w:rPr>
        <w:t>data</w:t>
      </w:r>
      <w:r w:rsidRPr="00D1526E">
        <w:rPr>
          <w:szCs w:val="22"/>
        </w:rPr>
        <w:t xml:space="preserve"> </w:t>
      </w:r>
      <w:r w:rsidR="00C872A9" w:rsidRPr="00D1526E">
        <w:rPr>
          <w:szCs w:val="22"/>
        </w:rPr>
        <w:t>were</w:t>
      </w:r>
      <w:r w:rsidRPr="00D1526E">
        <w:rPr>
          <w:szCs w:val="22"/>
        </w:rPr>
        <w:t xml:space="preserve"> presented to support this claim.</w:t>
      </w:r>
      <w:r w:rsidR="00C0400F" w:rsidRPr="00D1526E">
        <w:rPr>
          <w:szCs w:val="22"/>
        </w:rPr>
        <w:t xml:space="preserve"> The listing covering NTDT </w:t>
      </w:r>
      <w:r w:rsidR="00C31F07" w:rsidRPr="00D1526E">
        <w:rPr>
          <w:szCs w:val="22"/>
        </w:rPr>
        <w:t>wa</w:t>
      </w:r>
      <w:r w:rsidR="00C0400F" w:rsidRPr="00D1526E">
        <w:rPr>
          <w:szCs w:val="22"/>
        </w:rPr>
        <w:t xml:space="preserve">s based on a claim of superior effectiveness relative to placebo, although no economic evidence </w:t>
      </w:r>
      <w:r w:rsidR="00042029" w:rsidRPr="00D1526E">
        <w:rPr>
          <w:szCs w:val="22"/>
        </w:rPr>
        <w:t>was</w:t>
      </w:r>
      <w:r w:rsidR="00C0400F" w:rsidRPr="00D1526E">
        <w:rPr>
          <w:szCs w:val="22"/>
        </w:rPr>
        <w:t xml:space="preserve"> presented for DFX for this indication. </w:t>
      </w:r>
    </w:p>
    <w:p w:rsidR="00C0400F" w:rsidRPr="00BC2DF9" w:rsidRDefault="00C0400F" w:rsidP="007478B9">
      <w:pPr>
        <w:pStyle w:val="ListParagraph"/>
        <w:widowControl/>
      </w:pPr>
    </w:p>
    <w:p w:rsidR="00C0400F" w:rsidRPr="00D1526E" w:rsidRDefault="00C0400F" w:rsidP="007478B9">
      <w:pPr>
        <w:pStyle w:val="ListParagraph"/>
        <w:widowControl/>
        <w:numPr>
          <w:ilvl w:val="1"/>
          <w:numId w:val="4"/>
        </w:numPr>
      </w:pPr>
      <w:r w:rsidRPr="00D1526E">
        <w:rPr>
          <w:szCs w:val="22"/>
        </w:rPr>
        <w:t xml:space="preserve">The ESC noted that </w:t>
      </w:r>
      <w:r w:rsidR="00321485">
        <w:rPr>
          <w:szCs w:val="22"/>
        </w:rPr>
        <w:t>DFX</w:t>
      </w:r>
      <w:r w:rsidR="00321485" w:rsidRPr="00D1526E">
        <w:rPr>
          <w:szCs w:val="22"/>
        </w:rPr>
        <w:t xml:space="preserve"> </w:t>
      </w:r>
      <w:r w:rsidR="00A8437C" w:rsidRPr="00D1526E">
        <w:rPr>
          <w:bCs/>
          <w:szCs w:val="22"/>
        </w:rPr>
        <w:t>is</w:t>
      </w:r>
      <w:r w:rsidR="00106609" w:rsidRPr="00D1526E">
        <w:rPr>
          <w:bCs/>
          <w:szCs w:val="22"/>
        </w:rPr>
        <w:t xml:space="preserve"> a</w:t>
      </w:r>
      <w:r w:rsidR="00A8437C" w:rsidRPr="00D1526E">
        <w:rPr>
          <w:bCs/>
          <w:szCs w:val="22"/>
        </w:rPr>
        <w:t xml:space="preserve"> highly specialised</w:t>
      </w:r>
      <w:r w:rsidR="00106609" w:rsidRPr="00D1526E">
        <w:rPr>
          <w:bCs/>
          <w:szCs w:val="22"/>
        </w:rPr>
        <w:t xml:space="preserve"> drug,</w:t>
      </w:r>
      <w:r w:rsidR="00A8437C" w:rsidRPr="00D1526E">
        <w:rPr>
          <w:bCs/>
          <w:szCs w:val="22"/>
        </w:rPr>
        <w:t xml:space="preserve"> </w:t>
      </w:r>
      <w:r w:rsidR="00106609" w:rsidRPr="00D1526E">
        <w:rPr>
          <w:bCs/>
          <w:szCs w:val="22"/>
        </w:rPr>
        <w:t>which makes</w:t>
      </w:r>
      <w:r w:rsidR="00A8437C" w:rsidRPr="00D1526E">
        <w:rPr>
          <w:bCs/>
          <w:szCs w:val="22"/>
        </w:rPr>
        <w:t xml:space="preserve"> administration outside an institutional environment problematic</w:t>
      </w:r>
      <w:r w:rsidR="00106609" w:rsidRPr="00D1526E">
        <w:rPr>
          <w:bCs/>
          <w:szCs w:val="22"/>
        </w:rPr>
        <w:t>; the ESC also agreed that</w:t>
      </w:r>
      <w:r w:rsidR="00A8437C" w:rsidRPr="00D1526E">
        <w:rPr>
          <w:bCs/>
          <w:szCs w:val="22"/>
        </w:rPr>
        <w:t xml:space="preserve"> the patient target group </w:t>
      </w:r>
      <w:r w:rsidR="00106609" w:rsidRPr="00D1526E">
        <w:rPr>
          <w:bCs/>
          <w:szCs w:val="22"/>
        </w:rPr>
        <w:t>was</w:t>
      </w:r>
      <w:r w:rsidR="00A8437C" w:rsidRPr="00D1526E">
        <w:rPr>
          <w:bCs/>
          <w:szCs w:val="22"/>
        </w:rPr>
        <w:t xml:space="preserve"> clearly identifiable</w:t>
      </w:r>
      <w:r w:rsidR="00106609" w:rsidRPr="00D1526E">
        <w:rPr>
          <w:bCs/>
          <w:szCs w:val="22"/>
        </w:rPr>
        <w:t>. In considering this, the ESC</w:t>
      </w:r>
      <w:r w:rsidR="00A8437C" w:rsidRPr="00D1526E">
        <w:rPr>
          <w:szCs w:val="22"/>
        </w:rPr>
        <w:t xml:space="preserve"> </w:t>
      </w:r>
      <w:r w:rsidR="00106609" w:rsidRPr="00D1526E">
        <w:rPr>
          <w:szCs w:val="22"/>
        </w:rPr>
        <w:t>accepted</w:t>
      </w:r>
      <w:r w:rsidRPr="00D1526E">
        <w:rPr>
          <w:szCs w:val="22"/>
        </w:rPr>
        <w:t xml:space="preserve"> </w:t>
      </w:r>
      <w:r w:rsidR="00106609" w:rsidRPr="00D1526E">
        <w:rPr>
          <w:szCs w:val="22"/>
        </w:rPr>
        <w:t xml:space="preserve">that </w:t>
      </w:r>
      <w:r w:rsidRPr="00D1526E">
        <w:rPr>
          <w:szCs w:val="22"/>
        </w:rPr>
        <w:t xml:space="preserve">the request for a S100 (Highly Specialised Drugs) listing </w:t>
      </w:r>
      <w:r w:rsidR="00106609" w:rsidRPr="00D1526E">
        <w:rPr>
          <w:szCs w:val="22"/>
        </w:rPr>
        <w:t xml:space="preserve">was </w:t>
      </w:r>
      <w:r w:rsidRPr="00D1526E">
        <w:rPr>
          <w:szCs w:val="22"/>
        </w:rPr>
        <w:t xml:space="preserve">appropriate. </w:t>
      </w:r>
    </w:p>
    <w:p w:rsidR="00D1526E" w:rsidRDefault="00D1526E" w:rsidP="007478B9">
      <w:pPr>
        <w:pStyle w:val="ListParagraph"/>
        <w:widowControl/>
      </w:pPr>
    </w:p>
    <w:p w:rsidR="00D1526E" w:rsidRDefault="00D1526E" w:rsidP="007478B9">
      <w:pPr>
        <w:pStyle w:val="ListParagraph"/>
        <w:widowControl/>
        <w:ind w:left="709"/>
        <w:rPr>
          <w:i/>
          <w:szCs w:val="22"/>
        </w:rPr>
      </w:pPr>
      <w:r w:rsidRPr="008308E6">
        <w:rPr>
          <w:i/>
          <w:szCs w:val="22"/>
        </w:rPr>
        <w:t>For more detail on PBAC’s view, see section 7 “PBAC outcome”</w:t>
      </w:r>
    </w:p>
    <w:p w:rsidR="00550AED" w:rsidRDefault="00550AED" w:rsidP="007478B9">
      <w:pPr>
        <w:pStyle w:val="ListParagraph"/>
        <w:widowControl/>
      </w:pPr>
    </w:p>
    <w:p w:rsidR="00503BC2" w:rsidRPr="00575319" w:rsidRDefault="00503BC2" w:rsidP="007478B9">
      <w:pPr>
        <w:pStyle w:val="ListParagraph"/>
        <w:widowControl/>
      </w:pPr>
    </w:p>
    <w:p w:rsidR="00666194" w:rsidRPr="00575319" w:rsidRDefault="00666194" w:rsidP="007478B9">
      <w:pPr>
        <w:pStyle w:val="Heading2"/>
        <w:widowControl/>
        <w:numPr>
          <w:ilvl w:val="0"/>
          <w:numId w:val="4"/>
        </w:numPr>
        <w:ind w:left="709" w:hanging="709"/>
      </w:pPr>
      <w:bookmarkStart w:id="5" w:name="_Toc419798695"/>
      <w:r w:rsidRPr="00575319">
        <w:t>Background</w:t>
      </w:r>
      <w:bookmarkEnd w:id="5"/>
    </w:p>
    <w:p w:rsidR="00666194" w:rsidRPr="00575319" w:rsidRDefault="00666194" w:rsidP="007478B9">
      <w:pPr>
        <w:widowControl/>
        <w:rPr>
          <w:szCs w:val="22"/>
        </w:rPr>
      </w:pPr>
    </w:p>
    <w:p w:rsidR="000C481B" w:rsidRPr="00575319" w:rsidRDefault="00374D23" w:rsidP="007478B9">
      <w:pPr>
        <w:pStyle w:val="ListParagraph"/>
        <w:widowControl/>
        <w:numPr>
          <w:ilvl w:val="1"/>
          <w:numId w:val="4"/>
        </w:numPr>
        <w:rPr>
          <w:szCs w:val="22"/>
        </w:rPr>
      </w:pPr>
      <w:r>
        <w:rPr>
          <w:szCs w:val="22"/>
        </w:rPr>
        <w:t>DFX</w:t>
      </w:r>
      <w:r w:rsidR="000C481B" w:rsidRPr="00575319">
        <w:rPr>
          <w:szCs w:val="22"/>
        </w:rPr>
        <w:t xml:space="preserve"> was TGA registered on </w:t>
      </w:r>
      <w:r w:rsidR="00B5042F">
        <w:rPr>
          <w:szCs w:val="22"/>
        </w:rPr>
        <w:t xml:space="preserve">6 July </w:t>
      </w:r>
      <w:r w:rsidR="000C481B" w:rsidRPr="00575319">
        <w:rPr>
          <w:szCs w:val="22"/>
        </w:rPr>
        <w:t xml:space="preserve">2006 for the treatment of chronic </w:t>
      </w:r>
      <w:r w:rsidR="007C06CD">
        <w:rPr>
          <w:szCs w:val="22"/>
        </w:rPr>
        <w:t>iron overload</w:t>
      </w:r>
      <w:r w:rsidR="000C481B" w:rsidRPr="00575319">
        <w:rPr>
          <w:szCs w:val="22"/>
        </w:rPr>
        <w:t>:</w:t>
      </w:r>
    </w:p>
    <w:p w:rsidR="000C481B" w:rsidRPr="00575319" w:rsidRDefault="000C481B" w:rsidP="007478B9">
      <w:pPr>
        <w:pStyle w:val="ListParagraph"/>
        <w:widowControl/>
        <w:numPr>
          <w:ilvl w:val="0"/>
          <w:numId w:val="42"/>
        </w:numPr>
        <w:ind w:left="1134" w:hanging="283"/>
        <w:rPr>
          <w:szCs w:val="22"/>
        </w:rPr>
      </w:pPr>
      <w:r w:rsidRPr="00575319">
        <w:rPr>
          <w:szCs w:val="22"/>
        </w:rPr>
        <w:t>due to blood transfusions (transfusional haemosiderosis) in adults and paediatric patients 6 years and older;</w:t>
      </w:r>
    </w:p>
    <w:p w:rsidR="000C481B" w:rsidRDefault="000C481B" w:rsidP="007478B9">
      <w:pPr>
        <w:pStyle w:val="ListParagraph"/>
        <w:widowControl/>
        <w:numPr>
          <w:ilvl w:val="0"/>
          <w:numId w:val="42"/>
        </w:numPr>
        <w:ind w:left="1134" w:hanging="283"/>
        <w:rPr>
          <w:szCs w:val="22"/>
        </w:rPr>
      </w:pPr>
      <w:r w:rsidRPr="00575319">
        <w:rPr>
          <w:szCs w:val="22"/>
        </w:rPr>
        <w:t xml:space="preserve">in paediatric patients aged 2 to 5 years who are unable to take desferrioxamine </w:t>
      </w:r>
      <w:r w:rsidR="00374D23">
        <w:rPr>
          <w:szCs w:val="22"/>
        </w:rPr>
        <w:t>(DFO) therapy or in whom DFO</w:t>
      </w:r>
      <w:r w:rsidRPr="00575319">
        <w:rPr>
          <w:szCs w:val="22"/>
        </w:rPr>
        <w:t xml:space="preserve"> has proven ineffective.</w:t>
      </w:r>
    </w:p>
    <w:p w:rsidR="000C481B" w:rsidRPr="00575319" w:rsidRDefault="000C481B" w:rsidP="007478B9">
      <w:pPr>
        <w:pStyle w:val="ListParagraph"/>
        <w:widowControl/>
        <w:rPr>
          <w:szCs w:val="22"/>
        </w:rPr>
      </w:pPr>
    </w:p>
    <w:p w:rsidR="000C481B" w:rsidRPr="00D1526E" w:rsidRDefault="000C481B" w:rsidP="007478B9">
      <w:pPr>
        <w:pStyle w:val="ListParagraph"/>
        <w:widowControl/>
        <w:numPr>
          <w:ilvl w:val="1"/>
          <w:numId w:val="4"/>
        </w:numPr>
        <w:rPr>
          <w:szCs w:val="22"/>
        </w:rPr>
      </w:pPr>
      <w:r w:rsidRPr="00575319">
        <w:rPr>
          <w:szCs w:val="22"/>
        </w:rPr>
        <w:t xml:space="preserve">At the ACPM 294th meeting in October 2013 it was additionally approved for treatment of chronic </w:t>
      </w:r>
      <w:r w:rsidR="00575755">
        <w:rPr>
          <w:szCs w:val="22"/>
        </w:rPr>
        <w:t>iron overload</w:t>
      </w:r>
      <w:r w:rsidRPr="00575319">
        <w:rPr>
          <w:szCs w:val="22"/>
        </w:rPr>
        <w:t xml:space="preserve"> in patients with </w:t>
      </w:r>
      <w:r w:rsidR="00321485">
        <w:rPr>
          <w:szCs w:val="22"/>
        </w:rPr>
        <w:t>NTDT</w:t>
      </w:r>
      <w:r w:rsidRPr="00575319">
        <w:rPr>
          <w:szCs w:val="22"/>
        </w:rPr>
        <w:t xml:space="preserve"> syndromes aged 10 years and older (</w:t>
      </w:r>
      <w:r w:rsidR="00A84463" w:rsidRPr="00575319">
        <w:rPr>
          <w:szCs w:val="22"/>
        </w:rPr>
        <w:t>i.e.</w:t>
      </w:r>
      <w:r w:rsidRPr="00575319">
        <w:rPr>
          <w:szCs w:val="22"/>
        </w:rPr>
        <w:t xml:space="preserve"> new indication since DFX PBS listing in </w:t>
      </w:r>
      <w:r w:rsidRPr="00D1526E">
        <w:rPr>
          <w:szCs w:val="22"/>
        </w:rPr>
        <w:t>2006).</w:t>
      </w:r>
    </w:p>
    <w:p w:rsidR="000C481B" w:rsidRPr="00D1526E" w:rsidRDefault="000C481B" w:rsidP="007478B9">
      <w:pPr>
        <w:pStyle w:val="ListParagraph"/>
        <w:widowControl/>
      </w:pPr>
    </w:p>
    <w:p w:rsidR="00D36946" w:rsidRDefault="000C481B" w:rsidP="007478B9">
      <w:pPr>
        <w:pStyle w:val="ListParagraph"/>
        <w:widowControl/>
        <w:numPr>
          <w:ilvl w:val="1"/>
          <w:numId w:val="4"/>
        </w:numPr>
      </w:pPr>
      <w:r w:rsidRPr="00D1526E">
        <w:t xml:space="preserve">DFX was PBS listed in 2006 for the indication of “chronic </w:t>
      </w:r>
      <w:r w:rsidR="00575755">
        <w:t>iron overload</w:t>
      </w:r>
      <w:r w:rsidRPr="00D1526E">
        <w:t xml:space="preserve"> in </w:t>
      </w:r>
      <w:r w:rsidRPr="00D1526E">
        <w:rPr>
          <w:szCs w:val="22"/>
        </w:rPr>
        <w:t>patients</w:t>
      </w:r>
      <w:r w:rsidRPr="00D1526E">
        <w:t xml:space="preserve"> with disorders of erythropoiesis”.  At the November 2014 meeting, </w:t>
      </w:r>
      <w:r w:rsidR="005B154F">
        <w:t xml:space="preserve">the PBAC </w:t>
      </w:r>
      <w:r w:rsidR="005B154F" w:rsidRPr="00D1526E">
        <w:t>reflect</w:t>
      </w:r>
      <w:r w:rsidR="005B154F">
        <w:t>ed</w:t>
      </w:r>
      <w:r w:rsidR="005B154F" w:rsidRPr="00D1526E">
        <w:t xml:space="preserve"> </w:t>
      </w:r>
      <w:r w:rsidRPr="00D1526E">
        <w:t xml:space="preserve">upon the higher than expected utilisations </w:t>
      </w:r>
      <w:r w:rsidR="007C06CD">
        <w:t>and the ages of initiating patients</w:t>
      </w:r>
      <w:r w:rsidR="00D36946">
        <w:t xml:space="preserve"> revealed by the DUSC review</w:t>
      </w:r>
      <w:r w:rsidR="007C06CD">
        <w:t xml:space="preserve">, </w:t>
      </w:r>
      <w:r w:rsidR="005B154F">
        <w:t xml:space="preserve">and considered </w:t>
      </w:r>
      <w:r w:rsidR="007C06CD">
        <w:t xml:space="preserve">it was apparent that most use was now outside the transfusion-dependent thalassemia population where DFX was shown to be cost effective. Further, it seemed highly likely that most use was now </w:t>
      </w:r>
      <w:r w:rsidRPr="00D1526E">
        <w:t>in patients with MDS</w:t>
      </w:r>
      <w:r w:rsidR="007C06CD">
        <w:t xml:space="preserve"> where no data for cost effectiveness had been considered by the PBAC. T</w:t>
      </w:r>
      <w:r w:rsidRPr="00D1526E">
        <w:t xml:space="preserve">he PBAC </w:t>
      </w:r>
      <w:r w:rsidR="007C06CD">
        <w:t xml:space="preserve">therefore </w:t>
      </w:r>
      <w:r w:rsidRPr="00D1526E">
        <w:t xml:space="preserve">recommended the PBS listing of DFX be restricted to “chronic </w:t>
      </w:r>
      <w:r w:rsidR="00575755">
        <w:t>iron overload</w:t>
      </w:r>
      <w:r w:rsidRPr="00D1526E">
        <w:t xml:space="preserve"> in patients with transfusion dependent non-malignant disorders of erythropoiesis”, </w:t>
      </w:r>
      <w:r w:rsidR="007C06CD">
        <w:t>until it received an evidence-based application to include other clinical indication</w:t>
      </w:r>
      <w:r w:rsidR="005B154F">
        <w:t>s</w:t>
      </w:r>
      <w:r w:rsidR="007C06CD">
        <w:t xml:space="preserve">. This would re-align </w:t>
      </w:r>
      <w:r w:rsidR="00D16F4E">
        <w:t>Australian Government</w:t>
      </w:r>
      <w:r w:rsidR="007C06CD">
        <w:t xml:space="preserve"> funding</w:t>
      </w:r>
      <w:r w:rsidR="007C06CD" w:rsidRPr="00D1526E">
        <w:t xml:space="preserve"> </w:t>
      </w:r>
      <w:r w:rsidRPr="00D1526E">
        <w:t xml:space="preserve">with </w:t>
      </w:r>
      <w:r w:rsidR="007C06CD">
        <w:t>the previously considered</w:t>
      </w:r>
      <w:r w:rsidR="007C06CD" w:rsidRPr="00D1526E">
        <w:t xml:space="preserve"> </w:t>
      </w:r>
      <w:r w:rsidRPr="00D1526E">
        <w:t xml:space="preserve">clinical and cost effectiveness evidence.  </w:t>
      </w:r>
      <w:r w:rsidR="007C06CD">
        <w:t>In doing so, the PBAC encouraged a new application, as t</w:t>
      </w:r>
      <w:r w:rsidRPr="00D1526E">
        <w:t>his recommendation</w:t>
      </w:r>
      <w:r w:rsidR="005B154F">
        <w:t>, if implemented,</w:t>
      </w:r>
      <w:r w:rsidRPr="00D1526E">
        <w:t xml:space="preserve"> </w:t>
      </w:r>
      <w:r w:rsidR="005B154F">
        <w:t xml:space="preserve">would </w:t>
      </w:r>
      <w:r w:rsidRPr="00D1526E">
        <w:t xml:space="preserve">mean that </w:t>
      </w:r>
      <w:r w:rsidR="005B154F">
        <w:t xml:space="preserve">some </w:t>
      </w:r>
      <w:r w:rsidRPr="00D1526E">
        <w:t>patient</w:t>
      </w:r>
      <w:r w:rsidR="00260AA6" w:rsidRPr="00D1526E">
        <w:t>s</w:t>
      </w:r>
      <w:r w:rsidRPr="00D1526E">
        <w:t xml:space="preserve"> </w:t>
      </w:r>
      <w:r w:rsidR="005B154F">
        <w:t>currently being prescribed PBS-subsidised DFX would</w:t>
      </w:r>
      <w:r w:rsidRPr="00D1526E">
        <w:t xml:space="preserve"> no longer be able to access DFX on the PBS.</w:t>
      </w:r>
      <w:r w:rsidR="00C0400F" w:rsidRPr="00D1526E">
        <w:t xml:space="preserve"> </w:t>
      </w:r>
    </w:p>
    <w:p w:rsidR="00D36946" w:rsidRDefault="00D36946" w:rsidP="007478B9">
      <w:pPr>
        <w:pStyle w:val="ListParagraph"/>
        <w:widowControl/>
      </w:pPr>
    </w:p>
    <w:p w:rsidR="000C481B" w:rsidRPr="008308E6" w:rsidRDefault="00D36946" w:rsidP="007478B9">
      <w:pPr>
        <w:pStyle w:val="ListParagraph"/>
        <w:widowControl/>
        <w:numPr>
          <w:ilvl w:val="1"/>
          <w:numId w:val="4"/>
        </w:numPr>
      </w:pPr>
      <w:r>
        <w:t>T</w:t>
      </w:r>
      <w:r w:rsidR="00C0400F" w:rsidRPr="00D1526E">
        <w:t xml:space="preserve">he ESC noted the </w:t>
      </w:r>
      <w:r w:rsidR="00D82E11" w:rsidRPr="00D1526E">
        <w:t>submission’s assumption that the</w:t>
      </w:r>
      <w:r w:rsidR="00C0400F" w:rsidRPr="00D1526E">
        <w:t xml:space="preserve"> requested revision</w:t>
      </w:r>
      <w:r w:rsidR="00D82E11" w:rsidRPr="00D1526E">
        <w:t xml:space="preserve"> was</w:t>
      </w:r>
      <w:r w:rsidR="00C0400F" w:rsidRPr="00D1526E">
        <w:t xml:space="preserve"> to apply equally to DFX and DFO</w:t>
      </w:r>
      <w:r w:rsidR="003C10D7" w:rsidRPr="00D1526E">
        <w:t xml:space="preserve"> (and that </w:t>
      </w:r>
      <w:r w:rsidR="00C0400F" w:rsidRPr="00D1526E">
        <w:t>such a revision could leave MDS and NTDT patients</w:t>
      </w:r>
      <w:r w:rsidR="003C10D7" w:rsidRPr="00D1526E">
        <w:t xml:space="preserve"> with no access to subsidi</w:t>
      </w:r>
      <w:r w:rsidR="00D82E11" w:rsidRPr="00D1526E">
        <w:t>sed</w:t>
      </w:r>
      <w:r w:rsidR="003C10D7" w:rsidRPr="00D1526E">
        <w:t xml:space="preserve"> ICT)</w:t>
      </w:r>
      <w:r w:rsidR="008254B6" w:rsidRPr="00D1526E">
        <w:t>,</w:t>
      </w:r>
      <w:r w:rsidR="00C0400F" w:rsidRPr="00D1526E">
        <w:t xml:space="preserve"> </w:t>
      </w:r>
      <w:r>
        <w:t>but</w:t>
      </w:r>
      <w:r w:rsidR="00C0400F" w:rsidRPr="00D1526E">
        <w:t xml:space="preserve"> </w:t>
      </w:r>
      <w:r w:rsidR="008254B6" w:rsidRPr="00D1526E">
        <w:t>understood</w:t>
      </w:r>
      <w:r w:rsidR="00C0400F" w:rsidRPr="00D1526E">
        <w:t xml:space="preserve"> it was </w:t>
      </w:r>
      <w:r w:rsidR="008254B6" w:rsidRPr="00D1526E">
        <w:t xml:space="preserve">not </w:t>
      </w:r>
      <w:r w:rsidR="00C0400F" w:rsidRPr="00D1526E">
        <w:t xml:space="preserve">PBAC’s intention to apply </w:t>
      </w:r>
      <w:r w:rsidR="00C0400F" w:rsidRPr="008308E6">
        <w:t xml:space="preserve">the requested revision to DFO. </w:t>
      </w:r>
    </w:p>
    <w:p w:rsidR="00D1526E" w:rsidRPr="008308E6" w:rsidRDefault="00D1526E" w:rsidP="007478B9">
      <w:pPr>
        <w:pStyle w:val="ListParagraph"/>
        <w:widowControl/>
      </w:pPr>
    </w:p>
    <w:p w:rsidR="00D1526E" w:rsidRPr="008308E6" w:rsidRDefault="00D1526E" w:rsidP="007478B9">
      <w:pPr>
        <w:pStyle w:val="ListParagraph"/>
        <w:widowControl/>
        <w:ind w:left="709"/>
        <w:rPr>
          <w:i/>
          <w:szCs w:val="22"/>
        </w:rPr>
      </w:pPr>
      <w:r w:rsidRPr="008308E6">
        <w:rPr>
          <w:i/>
          <w:szCs w:val="22"/>
        </w:rPr>
        <w:t>For more detail on PBAC’s view, see section 7 “PBAC outcome”</w:t>
      </w:r>
    </w:p>
    <w:p w:rsidR="003E55FD" w:rsidRDefault="003E55FD" w:rsidP="007478B9">
      <w:pPr>
        <w:widowControl/>
      </w:pPr>
    </w:p>
    <w:p w:rsidR="007478B9" w:rsidRPr="008308E6" w:rsidRDefault="007478B9" w:rsidP="007478B9">
      <w:pPr>
        <w:widowControl/>
      </w:pPr>
    </w:p>
    <w:p w:rsidR="00666194" w:rsidRPr="008308E6" w:rsidRDefault="00666194" w:rsidP="007478B9">
      <w:pPr>
        <w:pStyle w:val="Heading2"/>
        <w:widowControl/>
        <w:numPr>
          <w:ilvl w:val="0"/>
          <w:numId w:val="4"/>
        </w:numPr>
        <w:ind w:left="709" w:hanging="709"/>
      </w:pPr>
      <w:bookmarkStart w:id="6" w:name="_Toc419798696"/>
      <w:r w:rsidRPr="008308E6">
        <w:t>Clinical place for the proposed therapy</w:t>
      </w:r>
      <w:bookmarkEnd w:id="6"/>
    </w:p>
    <w:p w:rsidR="00666194" w:rsidRPr="008308E6" w:rsidRDefault="00666194" w:rsidP="007478B9">
      <w:pPr>
        <w:widowControl/>
        <w:rPr>
          <w:szCs w:val="22"/>
        </w:rPr>
      </w:pPr>
    </w:p>
    <w:p w:rsidR="000C481B" w:rsidRPr="008308E6" w:rsidRDefault="000C481B" w:rsidP="007478B9">
      <w:pPr>
        <w:pStyle w:val="ListParagraph"/>
        <w:widowControl/>
        <w:numPr>
          <w:ilvl w:val="1"/>
          <w:numId w:val="4"/>
        </w:numPr>
        <w:rPr>
          <w:iCs/>
        </w:rPr>
      </w:pPr>
      <w:r w:rsidRPr="008308E6">
        <w:rPr>
          <w:iCs/>
        </w:rPr>
        <w:t xml:space="preserve">DFX is an oral treatment for patients with </w:t>
      </w:r>
      <w:r w:rsidR="00575755">
        <w:rPr>
          <w:iCs/>
        </w:rPr>
        <w:t>iron overload</w:t>
      </w:r>
      <w:r w:rsidRPr="008308E6">
        <w:rPr>
          <w:iCs/>
        </w:rPr>
        <w:t xml:space="preserve">, </w:t>
      </w:r>
      <w:r w:rsidR="001E0142" w:rsidRPr="008308E6">
        <w:rPr>
          <w:iCs/>
        </w:rPr>
        <w:t>which</w:t>
      </w:r>
      <w:r w:rsidRPr="008308E6">
        <w:rPr>
          <w:iCs/>
        </w:rPr>
        <w:t xml:space="preserve"> can occur as a consequence of frequent red blood cell (RBC) transfusions required to manage a range of disorders of erythropoiesis, such as </w:t>
      </w:r>
      <w:r w:rsidR="00260AA6" w:rsidRPr="008308E6">
        <w:rPr>
          <w:iCs/>
        </w:rPr>
        <w:t>β</w:t>
      </w:r>
      <w:r w:rsidRPr="008308E6">
        <w:rPr>
          <w:iCs/>
        </w:rPr>
        <w:t xml:space="preserve"> thalassaemia and MDS</w:t>
      </w:r>
      <w:r w:rsidR="00C872A9" w:rsidRPr="008308E6">
        <w:rPr>
          <w:iCs/>
        </w:rPr>
        <w:t xml:space="preserve"> (</w:t>
      </w:r>
      <w:r w:rsidRPr="008308E6">
        <w:rPr>
          <w:iCs/>
        </w:rPr>
        <w:t xml:space="preserve">a disorder where immature blood cells fail to develop normally).  </w:t>
      </w:r>
      <w:r w:rsidR="00575755">
        <w:rPr>
          <w:iCs/>
        </w:rPr>
        <w:t>Iron overload</w:t>
      </w:r>
      <w:r w:rsidRPr="008308E6">
        <w:rPr>
          <w:iCs/>
        </w:rPr>
        <w:t xml:space="preserve"> can also occur in transfusion independent patients where accumulation of iron is due to increased absorption.  Excess body iron is thought to deposit in organs such as </w:t>
      </w:r>
      <w:r w:rsidR="00C872A9" w:rsidRPr="008308E6">
        <w:rPr>
          <w:iCs/>
        </w:rPr>
        <w:t xml:space="preserve">the </w:t>
      </w:r>
      <w:r w:rsidRPr="008308E6">
        <w:rPr>
          <w:iCs/>
        </w:rPr>
        <w:t>liver and heart</w:t>
      </w:r>
      <w:r w:rsidR="001E0142" w:rsidRPr="008308E6">
        <w:rPr>
          <w:iCs/>
        </w:rPr>
        <w:t xml:space="preserve"> (</w:t>
      </w:r>
      <w:r w:rsidRPr="008308E6">
        <w:rPr>
          <w:iCs/>
        </w:rPr>
        <w:t xml:space="preserve">in </w:t>
      </w:r>
      <w:r w:rsidR="001E0142" w:rsidRPr="008308E6">
        <w:rPr>
          <w:iCs/>
        </w:rPr>
        <w:t xml:space="preserve">β </w:t>
      </w:r>
      <w:r w:rsidRPr="008308E6">
        <w:rPr>
          <w:iCs/>
        </w:rPr>
        <w:t>thalassemia patients who begin transfusions at birth</w:t>
      </w:r>
      <w:r w:rsidR="001E0142" w:rsidRPr="008308E6">
        <w:rPr>
          <w:iCs/>
        </w:rPr>
        <w:t>,</w:t>
      </w:r>
      <w:r w:rsidRPr="008308E6">
        <w:rPr>
          <w:iCs/>
        </w:rPr>
        <w:t xml:space="preserve"> this is observed at around 10 years</w:t>
      </w:r>
      <w:r w:rsidR="00260AA6" w:rsidRPr="008308E6">
        <w:rPr>
          <w:iCs/>
        </w:rPr>
        <w:t xml:space="preserve"> of age</w:t>
      </w:r>
      <w:r w:rsidR="00561EF6" w:rsidRPr="008308E6">
        <w:rPr>
          <w:iCs/>
        </w:rPr>
        <w:t xml:space="preserve"> on average</w:t>
      </w:r>
      <w:r w:rsidR="001E0142" w:rsidRPr="008308E6">
        <w:rPr>
          <w:iCs/>
        </w:rPr>
        <w:t>)</w:t>
      </w:r>
      <w:r w:rsidRPr="008308E6">
        <w:rPr>
          <w:iCs/>
        </w:rPr>
        <w:t xml:space="preserve">.  </w:t>
      </w:r>
      <w:r w:rsidR="00575755">
        <w:rPr>
          <w:iCs/>
        </w:rPr>
        <w:t>iron overload</w:t>
      </w:r>
      <w:r w:rsidRPr="008308E6">
        <w:rPr>
          <w:iCs/>
        </w:rPr>
        <w:t xml:space="preserve"> and the improvement in survival with ICT have been unequivocally demonstrated in transfusion dependent </w:t>
      </w:r>
      <w:r w:rsidR="00260AA6" w:rsidRPr="008308E6">
        <w:rPr>
          <w:iCs/>
        </w:rPr>
        <w:t>β</w:t>
      </w:r>
      <w:r w:rsidRPr="008308E6">
        <w:rPr>
          <w:iCs/>
        </w:rPr>
        <w:t xml:space="preserve"> thalassaemia, but the consequences of </w:t>
      </w:r>
      <w:r w:rsidR="00575755">
        <w:rPr>
          <w:iCs/>
        </w:rPr>
        <w:t>iron overload</w:t>
      </w:r>
      <w:r w:rsidRPr="008308E6">
        <w:rPr>
          <w:iCs/>
        </w:rPr>
        <w:t xml:space="preserve"> and the benefits of ICT are less well understood in MDS or </w:t>
      </w:r>
      <w:r w:rsidR="00C872A9" w:rsidRPr="008308E6">
        <w:rPr>
          <w:iCs/>
        </w:rPr>
        <w:t>NTDT</w:t>
      </w:r>
      <w:r w:rsidRPr="008308E6">
        <w:rPr>
          <w:iCs/>
        </w:rPr>
        <w:t>.  However</w:t>
      </w:r>
      <w:r w:rsidR="001E0142" w:rsidRPr="008308E6">
        <w:rPr>
          <w:iCs/>
        </w:rPr>
        <w:t>,</w:t>
      </w:r>
      <w:r w:rsidRPr="008308E6">
        <w:rPr>
          <w:iCs/>
        </w:rPr>
        <w:t xml:space="preserve"> </w:t>
      </w:r>
      <w:r w:rsidR="002E2D44">
        <w:rPr>
          <w:iCs/>
        </w:rPr>
        <w:t>it appeared</w:t>
      </w:r>
      <w:r w:rsidR="00F52626" w:rsidRPr="008308E6">
        <w:rPr>
          <w:iCs/>
        </w:rPr>
        <w:t xml:space="preserve"> </w:t>
      </w:r>
      <w:r w:rsidR="002E2D44">
        <w:rPr>
          <w:iCs/>
        </w:rPr>
        <w:t>ICT in MDS wa</w:t>
      </w:r>
      <w:r w:rsidRPr="008308E6">
        <w:rPr>
          <w:iCs/>
        </w:rPr>
        <w:t>s gaining traction due to publication of large observational studies showing a potential benefit.</w:t>
      </w:r>
    </w:p>
    <w:p w:rsidR="00666194" w:rsidRDefault="00666194" w:rsidP="007478B9">
      <w:pPr>
        <w:pStyle w:val="ListParagraph"/>
        <w:widowControl/>
        <w:rPr>
          <w:szCs w:val="22"/>
        </w:rPr>
      </w:pPr>
    </w:p>
    <w:p w:rsidR="00D1526E" w:rsidRDefault="00D1526E" w:rsidP="007478B9">
      <w:pPr>
        <w:pStyle w:val="ListParagraph"/>
        <w:widowControl/>
        <w:ind w:left="709"/>
        <w:rPr>
          <w:i/>
          <w:szCs w:val="22"/>
        </w:rPr>
      </w:pPr>
      <w:r w:rsidRPr="008308E6">
        <w:rPr>
          <w:i/>
          <w:szCs w:val="22"/>
        </w:rPr>
        <w:t>For more detail on PBAC’s view, see section 7 “PBAC outcome”</w:t>
      </w:r>
    </w:p>
    <w:p w:rsidR="00D1526E" w:rsidRDefault="00D1526E" w:rsidP="007478B9">
      <w:pPr>
        <w:pStyle w:val="ListParagraph"/>
        <w:widowControl/>
        <w:rPr>
          <w:szCs w:val="22"/>
        </w:rPr>
      </w:pPr>
    </w:p>
    <w:p w:rsidR="002E2D44" w:rsidRPr="00575319" w:rsidRDefault="002E2D44" w:rsidP="007478B9">
      <w:pPr>
        <w:pStyle w:val="ListParagraph"/>
        <w:widowControl/>
        <w:rPr>
          <w:szCs w:val="22"/>
        </w:rPr>
      </w:pPr>
    </w:p>
    <w:p w:rsidR="00666194" w:rsidRPr="00575319" w:rsidRDefault="00666194" w:rsidP="007478B9">
      <w:pPr>
        <w:pStyle w:val="Heading2"/>
        <w:widowControl/>
        <w:numPr>
          <w:ilvl w:val="0"/>
          <w:numId w:val="4"/>
        </w:numPr>
        <w:ind w:left="709" w:hanging="709"/>
        <w:rPr>
          <w:b w:val="0"/>
        </w:rPr>
      </w:pPr>
      <w:bookmarkStart w:id="7" w:name="_Toc419798697"/>
      <w:r w:rsidRPr="00575319">
        <w:t>Comparator</w:t>
      </w:r>
      <w:bookmarkEnd w:id="7"/>
    </w:p>
    <w:p w:rsidR="00666194" w:rsidRPr="000470B1" w:rsidRDefault="00666194" w:rsidP="007478B9">
      <w:pPr>
        <w:widowControl/>
      </w:pPr>
    </w:p>
    <w:p w:rsidR="000C481B" w:rsidRPr="00D1526E" w:rsidRDefault="000C481B" w:rsidP="007478B9">
      <w:pPr>
        <w:pStyle w:val="ListParagraph"/>
        <w:widowControl/>
        <w:numPr>
          <w:ilvl w:val="1"/>
          <w:numId w:val="4"/>
        </w:numPr>
      </w:pPr>
      <w:r w:rsidRPr="00D1526E">
        <w:t>The submission nominated best supportive care without ICT</w:t>
      </w:r>
      <w:r w:rsidR="002E2D44">
        <w:t xml:space="preserve"> as the main comparator.  This wa</w:t>
      </w:r>
      <w:r w:rsidRPr="00D1526E">
        <w:t xml:space="preserve">s </w:t>
      </w:r>
      <w:r w:rsidR="00561EF6" w:rsidRPr="00D1526E">
        <w:t xml:space="preserve">mainly </w:t>
      </w:r>
      <w:r w:rsidRPr="00D1526E">
        <w:t>based on the assumption that the PBAC recommendation for DFX in November 2014 would apply equally to DFO</w:t>
      </w:r>
      <w:r w:rsidR="007A1585" w:rsidRPr="00D1526E">
        <w:t>,</w:t>
      </w:r>
      <w:r w:rsidRPr="00D1526E">
        <w:t xml:space="preserve"> thus no chelating agents would be available on </w:t>
      </w:r>
      <w:r w:rsidR="007A1585" w:rsidRPr="00D1526E">
        <w:t xml:space="preserve">the </w:t>
      </w:r>
      <w:r w:rsidRPr="00D1526E">
        <w:t>PBS for patients with MDS. However</w:t>
      </w:r>
      <w:r w:rsidR="007A1585" w:rsidRPr="00D1526E">
        <w:t>,</w:t>
      </w:r>
      <w:r w:rsidRPr="00D1526E">
        <w:t xml:space="preserve"> this </w:t>
      </w:r>
      <w:r w:rsidR="002E2D44">
        <w:t>wa</w:t>
      </w:r>
      <w:r w:rsidR="001B02D4" w:rsidRPr="00D1526E">
        <w:t>s</w:t>
      </w:r>
      <w:r w:rsidR="006462BB" w:rsidRPr="00D1526E">
        <w:t xml:space="preserve"> not appropriate </w:t>
      </w:r>
      <w:r w:rsidRPr="00D1526E">
        <w:t xml:space="preserve">given the PBAC recommendation </w:t>
      </w:r>
      <w:r w:rsidR="001B02D4" w:rsidRPr="00D1526E">
        <w:t>was</w:t>
      </w:r>
      <w:r w:rsidR="006462BB" w:rsidRPr="00D1526E">
        <w:t xml:space="preserve"> </w:t>
      </w:r>
      <w:r w:rsidRPr="00D1526E">
        <w:t xml:space="preserve">limited to DFX. </w:t>
      </w:r>
      <w:r w:rsidR="00392E4E" w:rsidRPr="00D1526E">
        <w:t>The ESC considered that while</w:t>
      </w:r>
      <w:r w:rsidR="006D3AD2" w:rsidRPr="00D1526E">
        <w:t xml:space="preserve"> substitution to DFO c</w:t>
      </w:r>
      <w:r w:rsidR="005010A6" w:rsidRPr="00D1526E">
        <w:t xml:space="preserve">ould not </w:t>
      </w:r>
      <w:r w:rsidR="006D3AD2" w:rsidRPr="00D1526E">
        <w:t>be ruled out,</w:t>
      </w:r>
      <w:r w:rsidR="007A1585" w:rsidRPr="00D1526E">
        <w:t xml:space="preserve"> a comparison versus placebo </w:t>
      </w:r>
      <w:r w:rsidR="006D3AD2" w:rsidRPr="00D1526E">
        <w:t>remain</w:t>
      </w:r>
      <w:r w:rsidR="00392E4E" w:rsidRPr="00D1526E">
        <w:t>ed</w:t>
      </w:r>
      <w:r w:rsidR="006D3AD2" w:rsidRPr="00D1526E">
        <w:t xml:space="preserve"> informative</w:t>
      </w:r>
      <w:r w:rsidR="00C31F07" w:rsidRPr="00D1526E">
        <w:t>;</w:t>
      </w:r>
      <w:r w:rsidR="008254B6" w:rsidRPr="00D1526E">
        <w:t xml:space="preserve"> </w:t>
      </w:r>
      <w:r w:rsidR="006462BB" w:rsidRPr="00D1526E">
        <w:t xml:space="preserve">utilisation data indicate that DFO’s utilisation </w:t>
      </w:r>
      <w:r w:rsidR="002E2D44">
        <w:t>on PBS wa</w:t>
      </w:r>
      <w:r w:rsidR="005F22F8" w:rsidRPr="00D1526E">
        <w:t>s low and declining</w:t>
      </w:r>
      <w:r w:rsidR="006462BB" w:rsidRPr="00D1526E">
        <w:t xml:space="preserve"> and</w:t>
      </w:r>
      <w:r w:rsidR="00362C03" w:rsidRPr="00D1526E">
        <w:t>,</w:t>
      </w:r>
      <w:r w:rsidR="006462BB" w:rsidRPr="00D1526E">
        <w:t xml:space="preserve"> more importantly</w:t>
      </w:r>
      <w:r w:rsidR="00362C03" w:rsidRPr="00D1526E">
        <w:t>,</w:t>
      </w:r>
      <w:r w:rsidR="006462BB" w:rsidRPr="00D1526E">
        <w:t xml:space="preserve"> </w:t>
      </w:r>
      <w:r w:rsidR="00481214" w:rsidRPr="00D1526E">
        <w:t xml:space="preserve">the </w:t>
      </w:r>
      <w:r w:rsidR="007A1585" w:rsidRPr="00D1526E">
        <w:t xml:space="preserve">cost effectiveness of DFO in MDS </w:t>
      </w:r>
      <w:r w:rsidR="002E2D44">
        <w:t>wa</w:t>
      </w:r>
      <w:r w:rsidR="00B5042F" w:rsidRPr="00D1526E">
        <w:t>s unknown.</w:t>
      </w:r>
    </w:p>
    <w:p w:rsidR="000C481B" w:rsidRPr="00D1526E" w:rsidRDefault="000C481B" w:rsidP="007478B9">
      <w:pPr>
        <w:widowControl/>
      </w:pPr>
    </w:p>
    <w:p w:rsidR="00296461" w:rsidRDefault="000C481B" w:rsidP="007478B9">
      <w:pPr>
        <w:pStyle w:val="ListParagraph"/>
        <w:widowControl/>
        <w:numPr>
          <w:ilvl w:val="1"/>
          <w:numId w:val="4"/>
        </w:numPr>
      </w:pPr>
      <w:r w:rsidRPr="00D1526E">
        <w:t xml:space="preserve">For the </w:t>
      </w:r>
      <w:r w:rsidR="003400D9">
        <w:t xml:space="preserve">specific </w:t>
      </w:r>
      <w:r w:rsidRPr="00D1526E">
        <w:t xml:space="preserve">requested listing for patients with </w:t>
      </w:r>
      <w:r w:rsidR="000470B1" w:rsidRPr="00D1526E">
        <w:t>NTDT</w:t>
      </w:r>
      <w:r w:rsidRPr="00D1526E">
        <w:t xml:space="preserve">, </w:t>
      </w:r>
      <w:r w:rsidR="003C10D7" w:rsidRPr="00D1526E">
        <w:t>supporting data from the THALASSA trial was provided subsequent to the main submission as an additional appendix</w:t>
      </w:r>
      <w:r w:rsidR="00260AA6" w:rsidRPr="00D1526E">
        <w:t>.</w:t>
      </w:r>
      <w:r w:rsidRPr="00D1526E">
        <w:t xml:space="preserve"> </w:t>
      </w:r>
      <w:r w:rsidR="008254B6" w:rsidRPr="00D1526E">
        <w:t xml:space="preserve">No comparator was </w:t>
      </w:r>
      <w:r w:rsidR="00392E4E" w:rsidRPr="00D1526E">
        <w:t xml:space="preserve">nominated </w:t>
      </w:r>
      <w:r w:rsidR="008254B6" w:rsidRPr="00D1526E">
        <w:t>by the submission for NTDT</w:t>
      </w:r>
      <w:r w:rsidR="00392E4E" w:rsidRPr="00D1526E">
        <w:t xml:space="preserve">. The </w:t>
      </w:r>
      <w:r w:rsidR="008254B6" w:rsidRPr="00D1526E">
        <w:t xml:space="preserve">THALASSA </w:t>
      </w:r>
      <w:r w:rsidR="00392E4E" w:rsidRPr="00D1526E">
        <w:t>trial investigated the efficacy of DFX in NTD</w:t>
      </w:r>
      <w:r w:rsidR="008254B6" w:rsidRPr="00D1526E">
        <w:t>T</w:t>
      </w:r>
      <w:r w:rsidR="00392E4E" w:rsidRPr="00D1526E">
        <w:t xml:space="preserve"> compared with placebo. </w:t>
      </w:r>
      <w:r w:rsidRPr="00D1526E">
        <w:t>The submission contend</w:t>
      </w:r>
      <w:r w:rsidR="00392E4E" w:rsidRPr="00D1526E">
        <w:t>ed</w:t>
      </w:r>
      <w:r w:rsidRPr="00D1526E">
        <w:t xml:space="preserve"> the u</w:t>
      </w:r>
      <w:r w:rsidR="002E2D44">
        <w:t>sage of DFX in this population wa</w:t>
      </w:r>
      <w:r w:rsidRPr="00D1526E">
        <w:t>s likely to be low (5% of total DFX usage) and a listing would ensure continuity of care.</w:t>
      </w:r>
    </w:p>
    <w:p w:rsidR="00D1526E" w:rsidRPr="008308E6" w:rsidRDefault="00D1526E" w:rsidP="007478B9">
      <w:pPr>
        <w:pStyle w:val="ListParagraph"/>
        <w:widowControl/>
      </w:pPr>
    </w:p>
    <w:p w:rsidR="00D1526E" w:rsidRDefault="00D1526E" w:rsidP="007478B9">
      <w:pPr>
        <w:pStyle w:val="ListParagraph"/>
        <w:widowControl/>
        <w:ind w:left="709"/>
        <w:rPr>
          <w:i/>
          <w:szCs w:val="22"/>
        </w:rPr>
      </w:pPr>
      <w:r w:rsidRPr="008308E6">
        <w:rPr>
          <w:i/>
          <w:szCs w:val="22"/>
        </w:rPr>
        <w:t>For more detail on PBAC’s view, see section 7 “PBAC outcome”</w:t>
      </w:r>
    </w:p>
    <w:p w:rsidR="00666194" w:rsidRDefault="00666194" w:rsidP="007478B9">
      <w:pPr>
        <w:widowControl/>
        <w:rPr>
          <w:i/>
        </w:rPr>
      </w:pPr>
    </w:p>
    <w:p w:rsidR="007478B9" w:rsidRPr="0014062C" w:rsidRDefault="007478B9" w:rsidP="007478B9">
      <w:pPr>
        <w:widowControl/>
        <w:rPr>
          <w:i/>
        </w:rPr>
      </w:pPr>
    </w:p>
    <w:p w:rsidR="00666194" w:rsidRPr="00575319" w:rsidRDefault="00666194" w:rsidP="007478B9">
      <w:pPr>
        <w:pStyle w:val="Heading2"/>
        <w:widowControl/>
        <w:numPr>
          <w:ilvl w:val="0"/>
          <w:numId w:val="4"/>
        </w:numPr>
        <w:ind w:left="709" w:hanging="709"/>
      </w:pPr>
      <w:bookmarkStart w:id="8" w:name="_Toc419798698"/>
      <w:r w:rsidRPr="00575319">
        <w:t>Consideration of the evidence</w:t>
      </w:r>
      <w:bookmarkEnd w:id="8"/>
    </w:p>
    <w:p w:rsidR="00666194" w:rsidRPr="00575319" w:rsidRDefault="00666194" w:rsidP="007478B9">
      <w:pPr>
        <w:widowControl/>
      </w:pPr>
    </w:p>
    <w:p w:rsidR="00D1526E" w:rsidRPr="002B7EB9" w:rsidRDefault="00D1526E" w:rsidP="007478B9">
      <w:pPr>
        <w:widowControl/>
        <w:spacing w:after="200" w:line="276" w:lineRule="auto"/>
        <w:rPr>
          <w:b/>
          <w:bCs/>
          <w:i/>
          <w:szCs w:val="22"/>
        </w:rPr>
      </w:pPr>
      <w:r w:rsidRPr="002B7EB9">
        <w:rPr>
          <w:b/>
          <w:bCs/>
          <w:i/>
          <w:szCs w:val="22"/>
        </w:rPr>
        <w:t>Sponsor hearing</w:t>
      </w:r>
    </w:p>
    <w:p w:rsidR="00D1526E" w:rsidRPr="002B7EB9" w:rsidRDefault="00D1526E" w:rsidP="007478B9">
      <w:pPr>
        <w:widowControl/>
        <w:numPr>
          <w:ilvl w:val="1"/>
          <w:numId w:val="4"/>
        </w:numPr>
        <w:contextualSpacing/>
        <w:rPr>
          <w:bCs/>
          <w:szCs w:val="22"/>
        </w:rPr>
      </w:pPr>
      <w:r w:rsidRPr="002B7EB9">
        <w:rPr>
          <w:bCs/>
          <w:szCs w:val="22"/>
        </w:rPr>
        <w:t>Ther</w:t>
      </w:r>
      <w:r w:rsidR="004B07D3" w:rsidRPr="002B7EB9">
        <w:rPr>
          <w:bCs/>
          <w:szCs w:val="22"/>
        </w:rPr>
        <w:t xml:space="preserve">e was no hearing for this item. </w:t>
      </w:r>
    </w:p>
    <w:p w:rsidR="00D1526E" w:rsidRPr="002B7EB9" w:rsidRDefault="00D1526E" w:rsidP="007478B9">
      <w:pPr>
        <w:widowControl/>
        <w:rPr>
          <w:bCs/>
          <w:szCs w:val="22"/>
        </w:rPr>
      </w:pPr>
    </w:p>
    <w:p w:rsidR="00D1526E" w:rsidRPr="007478B9" w:rsidRDefault="00D1526E" w:rsidP="007478B9">
      <w:pPr>
        <w:widowControl/>
        <w:spacing w:after="200" w:line="276" w:lineRule="auto"/>
        <w:rPr>
          <w:b/>
          <w:bCs/>
          <w:i/>
          <w:szCs w:val="22"/>
        </w:rPr>
      </w:pPr>
      <w:r w:rsidRPr="007478B9">
        <w:rPr>
          <w:b/>
          <w:bCs/>
          <w:i/>
          <w:szCs w:val="22"/>
        </w:rPr>
        <w:t>Consumer comments</w:t>
      </w:r>
    </w:p>
    <w:p w:rsidR="004B07D3" w:rsidRPr="007478B9" w:rsidRDefault="004B07D3" w:rsidP="007478B9">
      <w:pPr>
        <w:widowControl/>
        <w:numPr>
          <w:ilvl w:val="1"/>
          <w:numId w:val="4"/>
        </w:numPr>
        <w:contextualSpacing/>
        <w:rPr>
          <w:bCs/>
          <w:szCs w:val="22"/>
        </w:rPr>
      </w:pPr>
      <w:r w:rsidRPr="007478B9">
        <w:rPr>
          <w:bCs/>
          <w:szCs w:val="22"/>
        </w:rPr>
        <w:t>The PBAC noted and welcomed the input from individuals (3), health care professionals (2) and organisations (3) via the Consumer Comments facility on the PBS website.  The comments described a range of benefits of treatment with deferasirox, including improvement in quality of life</w:t>
      </w:r>
      <w:r w:rsidR="00F060DA" w:rsidRPr="007478B9">
        <w:rPr>
          <w:bCs/>
          <w:szCs w:val="22"/>
        </w:rPr>
        <w:t xml:space="preserve"> </w:t>
      </w:r>
      <w:r w:rsidR="00F060DA" w:rsidRPr="007478B9">
        <w:t xml:space="preserve">once the </w:t>
      </w:r>
      <w:r w:rsidR="00575755" w:rsidRPr="007478B9">
        <w:t>iron overload</w:t>
      </w:r>
      <w:r w:rsidR="00F060DA" w:rsidRPr="007478B9">
        <w:t xml:space="preserve"> is reduced</w:t>
      </w:r>
      <w:r w:rsidRPr="007478B9">
        <w:rPr>
          <w:bCs/>
          <w:szCs w:val="22"/>
        </w:rPr>
        <w:t xml:space="preserve">, and a reduction in both the patient’s requirement for transfusion and the risk of complications of transfusional </w:t>
      </w:r>
      <w:r w:rsidR="00575755" w:rsidRPr="007478B9">
        <w:rPr>
          <w:bCs/>
          <w:szCs w:val="22"/>
        </w:rPr>
        <w:t>iron overload</w:t>
      </w:r>
      <w:r w:rsidRPr="007478B9">
        <w:rPr>
          <w:bCs/>
          <w:szCs w:val="22"/>
        </w:rPr>
        <w:t xml:space="preserve">. It was considered that deferasirox would be unaffordable to patients if not PBS-subsidised. </w:t>
      </w:r>
    </w:p>
    <w:p w:rsidR="00D1526E" w:rsidRPr="007478B9" w:rsidRDefault="00D1526E" w:rsidP="007478B9">
      <w:pPr>
        <w:widowControl/>
        <w:contextualSpacing/>
        <w:rPr>
          <w:bCs/>
          <w:szCs w:val="22"/>
        </w:rPr>
      </w:pPr>
    </w:p>
    <w:p w:rsidR="00D1526E" w:rsidRPr="007478B9" w:rsidRDefault="00D1526E" w:rsidP="007478B9">
      <w:pPr>
        <w:widowControl/>
        <w:numPr>
          <w:ilvl w:val="1"/>
          <w:numId w:val="4"/>
        </w:numPr>
        <w:contextualSpacing/>
        <w:rPr>
          <w:bCs/>
          <w:szCs w:val="22"/>
        </w:rPr>
      </w:pPr>
      <w:r w:rsidRPr="007478B9">
        <w:rPr>
          <w:bCs/>
          <w:szCs w:val="22"/>
        </w:rPr>
        <w:t>The PBAC noted the advice received from</w:t>
      </w:r>
      <w:r w:rsidR="001A40A1" w:rsidRPr="007478B9">
        <w:rPr>
          <w:bCs/>
          <w:szCs w:val="22"/>
        </w:rPr>
        <w:t xml:space="preserve"> the Haematological Society of Australia and New Zealand (HSANZ) </w:t>
      </w:r>
      <w:r w:rsidR="004A469F" w:rsidRPr="007478B9">
        <w:rPr>
          <w:bCs/>
          <w:szCs w:val="22"/>
        </w:rPr>
        <w:t xml:space="preserve">and the Thalassaemia Society of NSW </w:t>
      </w:r>
      <w:r w:rsidRPr="007478B9">
        <w:rPr>
          <w:bCs/>
          <w:szCs w:val="22"/>
        </w:rPr>
        <w:t xml:space="preserve">clarifying the likely use of </w:t>
      </w:r>
      <w:r w:rsidR="001A40A1" w:rsidRPr="007478B9">
        <w:rPr>
          <w:bCs/>
          <w:szCs w:val="22"/>
        </w:rPr>
        <w:t xml:space="preserve">deferasirox </w:t>
      </w:r>
      <w:r w:rsidR="00A6231C" w:rsidRPr="007478B9">
        <w:rPr>
          <w:bCs/>
          <w:szCs w:val="22"/>
        </w:rPr>
        <w:t xml:space="preserve">for NTDT patients in </w:t>
      </w:r>
      <w:r w:rsidRPr="007478B9">
        <w:rPr>
          <w:bCs/>
          <w:szCs w:val="22"/>
        </w:rPr>
        <w:t>clinical practice.  The PBAC specifically noted the advice that the use of</w:t>
      </w:r>
      <w:r w:rsidR="001A40A1" w:rsidRPr="007478B9">
        <w:rPr>
          <w:bCs/>
          <w:szCs w:val="22"/>
        </w:rPr>
        <w:t xml:space="preserve"> deferasirox</w:t>
      </w:r>
      <w:r w:rsidR="008308E6" w:rsidRPr="007478B9">
        <w:rPr>
          <w:bCs/>
          <w:szCs w:val="22"/>
        </w:rPr>
        <w:t xml:space="preserve"> </w:t>
      </w:r>
      <w:r w:rsidR="002E2D44" w:rsidRPr="007478B9">
        <w:rPr>
          <w:bCs/>
          <w:szCs w:val="22"/>
        </w:rPr>
        <w:t>wa</w:t>
      </w:r>
      <w:r w:rsidR="008308E6" w:rsidRPr="007478B9">
        <w:rPr>
          <w:bCs/>
          <w:szCs w:val="22"/>
        </w:rPr>
        <w:t xml:space="preserve">s very important in the treatment of patients with </w:t>
      </w:r>
      <w:r w:rsidR="004A469F" w:rsidRPr="007478B9">
        <w:rPr>
          <w:bCs/>
          <w:szCs w:val="22"/>
        </w:rPr>
        <w:t>NTDT</w:t>
      </w:r>
      <w:r w:rsidR="008308E6" w:rsidRPr="007478B9">
        <w:rPr>
          <w:bCs/>
          <w:szCs w:val="22"/>
        </w:rPr>
        <w:t xml:space="preserve"> who are at significant risk of </w:t>
      </w:r>
      <w:r w:rsidR="00575755" w:rsidRPr="007478B9">
        <w:rPr>
          <w:bCs/>
          <w:szCs w:val="22"/>
        </w:rPr>
        <w:t>iron overload</w:t>
      </w:r>
      <w:r w:rsidR="008308E6" w:rsidRPr="007478B9">
        <w:rPr>
          <w:bCs/>
          <w:szCs w:val="22"/>
        </w:rPr>
        <w:t xml:space="preserve">. </w:t>
      </w:r>
      <w:r w:rsidR="004A469F" w:rsidRPr="007478B9">
        <w:rPr>
          <w:bCs/>
          <w:szCs w:val="22"/>
        </w:rPr>
        <w:t xml:space="preserve">NTDT patients can suffer </w:t>
      </w:r>
      <w:r w:rsidR="00575755" w:rsidRPr="007478B9">
        <w:rPr>
          <w:bCs/>
          <w:szCs w:val="22"/>
        </w:rPr>
        <w:t>iron overload</w:t>
      </w:r>
      <w:r w:rsidR="004A469F" w:rsidRPr="007478B9">
        <w:rPr>
          <w:bCs/>
          <w:szCs w:val="22"/>
        </w:rPr>
        <w:t xml:space="preserve"> even though not regularly transfused, with iron deposition predominantly in the liver (causing liver fibrosis and cirrhosis, associated with the risk of hepatocellular carcinoma) and endocrine glands (leading to a variety of endocrine disturbances </w:t>
      </w:r>
      <w:r w:rsidR="00742A70" w:rsidRPr="007478B9">
        <w:rPr>
          <w:bCs/>
          <w:szCs w:val="22"/>
        </w:rPr>
        <w:t>e.g.</w:t>
      </w:r>
      <w:r w:rsidR="004A469F" w:rsidRPr="007478B9">
        <w:rPr>
          <w:bCs/>
          <w:szCs w:val="22"/>
        </w:rPr>
        <w:t xml:space="preserve"> hypothyroidism and hypogonadism). HSANZ and the Thalassaemia Society of NSW also considered any</w:t>
      </w:r>
      <w:r w:rsidR="004A469F" w:rsidRPr="007478B9">
        <w:rPr>
          <w:szCs w:val="22"/>
        </w:rPr>
        <w:t xml:space="preserve"> change from a once a day oral regime (DFX) to a subcutaneous infusion regime (DFO) was likely to cause a marked reduction in compliance. The availability of DFX on the PBS would also lessen the financial strain on the families involved. </w:t>
      </w:r>
      <w:r w:rsidR="008308E6" w:rsidRPr="007478B9">
        <w:rPr>
          <w:bCs/>
          <w:szCs w:val="22"/>
        </w:rPr>
        <w:t>The PBAC noted that this advice was supportive of the evide</w:t>
      </w:r>
      <w:r w:rsidR="006D5811">
        <w:rPr>
          <w:bCs/>
          <w:szCs w:val="22"/>
        </w:rPr>
        <w:t>nce provided in the submission.</w:t>
      </w:r>
    </w:p>
    <w:p w:rsidR="00424E35" w:rsidRPr="007478B9" w:rsidRDefault="00424E35" w:rsidP="007478B9">
      <w:pPr>
        <w:pStyle w:val="ListParagraph"/>
        <w:widowControl/>
        <w:rPr>
          <w:bCs/>
          <w:szCs w:val="22"/>
        </w:rPr>
      </w:pPr>
    </w:p>
    <w:p w:rsidR="007E06B2" w:rsidRPr="007478B9" w:rsidRDefault="007E06B2" w:rsidP="007478B9">
      <w:pPr>
        <w:widowControl/>
        <w:numPr>
          <w:ilvl w:val="1"/>
          <w:numId w:val="4"/>
        </w:numPr>
        <w:contextualSpacing/>
        <w:rPr>
          <w:bCs/>
          <w:szCs w:val="22"/>
        </w:rPr>
      </w:pPr>
      <w:r w:rsidRPr="007478B9">
        <w:rPr>
          <w:bCs/>
          <w:szCs w:val="22"/>
        </w:rPr>
        <w:t>The PBAC noted the advice received from the</w:t>
      </w:r>
      <w:r w:rsidR="00424E35" w:rsidRPr="007478B9">
        <w:rPr>
          <w:bCs/>
          <w:szCs w:val="22"/>
        </w:rPr>
        <w:t xml:space="preserve"> Leukaemia Foundation </w:t>
      </w:r>
      <w:r w:rsidRPr="007478B9">
        <w:rPr>
          <w:bCs/>
          <w:szCs w:val="22"/>
        </w:rPr>
        <w:t xml:space="preserve">which </w:t>
      </w:r>
      <w:r w:rsidR="00424E35" w:rsidRPr="007478B9">
        <w:rPr>
          <w:bCs/>
          <w:szCs w:val="22"/>
        </w:rPr>
        <w:t>conducted a short consumer comments survey for people affected by MDS</w:t>
      </w:r>
      <w:r w:rsidRPr="007478B9">
        <w:rPr>
          <w:bCs/>
          <w:szCs w:val="22"/>
        </w:rPr>
        <w:t xml:space="preserve">. The respondents noted the impacts of </w:t>
      </w:r>
      <w:r w:rsidR="00575755" w:rsidRPr="007478B9">
        <w:rPr>
          <w:bCs/>
          <w:szCs w:val="22"/>
        </w:rPr>
        <w:t>iron overload</w:t>
      </w:r>
      <w:r w:rsidRPr="007478B9">
        <w:rPr>
          <w:bCs/>
          <w:szCs w:val="22"/>
        </w:rPr>
        <w:t xml:space="preserve"> include organ failure (30%), heart problems (25%) and iron deposits anywhere in the body (20%). Only </w:t>
      </w:r>
      <w:r w:rsidR="00A6231C" w:rsidRPr="007478B9">
        <w:rPr>
          <w:bCs/>
          <w:szCs w:val="22"/>
        </w:rPr>
        <w:t xml:space="preserve">approximately </w:t>
      </w:r>
      <w:r w:rsidRPr="007478B9">
        <w:rPr>
          <w:bCs/>
          <w:szCs w:val="22"/>
        </w:rPr>
        <w:t xml:space="preserve">three in ten </w:t>
      </w:r>
      <w:r w:rsidR="00A6231C" w:rsidRPr="007478B9">
        <w:rPr>
          <w:bCs/>
          <w:szCs w:val="22"/>
        </w:rPr>
        <w:t xml:space="preserve">of the MDS </w:t>
      </w:r>
      <w:r w:rsidRPr="007478B9">
        <w:rPr>
          <w:bCs/>
          <w:szCs w:val="22"/>
        </w:rPr>
        <w:t xml:space="preserve">patients </w:t>
      </w:r>
      <w:r w:rsidR="00A6231C" w:rsidRPr="007478B9">
        <w:rPr>
          <w:bCs/>
          <w:szCs w:val="22"/>
        </w:rPr>
        <w:t xml:space="preserve">surveyed </w:t>
      </w:r>
      <w:r w:rsidRPr="007478B9">
        <w:rPr>
          <w:bCs/>
          <w:szCs w:val="22"/>
        </w:rPr>
        <w:t>required iron chelation and were currently on DFX. It was also noted access to deferasirox on the PBS reduce</w:t>
      </w:r>
      <w:r w:rsidR="00A6231C" w:rsidRPr="007478B9">
        <w:rPr>
          <w:bCs/>
          <w:szCs w:val="22"/>
        </w:rPr>
        <w:t>d</w:t>
      </w:r>
      <w:r w:rsidRPr="007478B9">
        <w:rPr>
          <w:bCs/>
          <w:szCs w:val="22"/>
        </w:rPr>
        <w:t xml:space="preserve"> the financial strain to patients and carers. The Leukaemia Foundation suggested that given the elderly demographic, many people would not have the option of undergoing a bone marrow transplant and thus blood product support may be the mainstay of treatment or supportive therapy during chemotherapy treatment, of which they are on indefinitely.</w:t>
      </w:r>
      <w:r w:rsidR="00A6231C" w:rsidRPr="007478B9">
        <w:rPr>
          <w:bCs/>
          <w:szCs w:val="22"/>
        </w:rPr>
        <w:t xml:space="preserve"> The PBAC </w:t>
      </w:r>
      <w:r w:rsidR="003400D9" w:rsidRPr="007478B9">
        <w:rPr>
          <w:bCs/>
          <w:szCs w:val="22"/>
        </w:rPr>
        <w:t xml:space="preserve">noted this advice and </w:t>
      </w:r>
      <w:r w:rsidR="00A6231C" w:rsidRPr="007478B9">
        <w:rPr>
          <w:bCs/>
          <w:szCs w:val="22"/>
        </w:rPr>
        <w:t>considered the requirement for iron chelation for MDS patients varied depending on their prognosis.</w:t>
      </w:r>
    </w:p>
    <w:p w:rsidR="007E06B2" w:rsidRPr="007478B9" w:rsidRDefault="007E06B2" w:rsidP="007478B9">
      <w:pPr>
        <w:pStyle w:val="ListParagraph"/>
        <w:widowControl/>
        <w:rPr>
          <w:bCs/>
          <w:szCs w:val="22"/>
        </w:rPr>
      </w:pPr>
    </w:p>
    <w:p w:rsidR="007E06B2" w:rsidRDefault="007E06B2" w:rsidP="007478B9">
      <w:pPr>
        <w:pStyle w:val="ListParagraph"/>
        <w:widowControl/>
        <w:ind w:left="709"/>
        <w:rPr>
          <w:i/>
          <w:szCs w:val="22"/>
        </w:rPr>
      </w:pPr>
      <w:r w:rsidRPr="007478B9">
        <w:rPr>
          <w:i/>
          <w:szCs w:val="22"/>
        </w:rPr>
        <w:t>For more detail on PBAC’s view, see section 7 “PBAC outcome”</w:t>
      </w:r>
    </w:p>
    <w:p w:rsidR="007E06B2" w:rsidRPr="007E06B2" w:rsidRDefault="007E06B2" w:rsidP="007478B9">
      <w:pPr>
        <w:widowControl/>
        <w:ind w:left="720"/>
        <w:contextualSpacing/>
        <w:rPr>
          <w:bCs/>
          <w:szCs w:val="22"/>
        </w:rPr>
      </w:pPr>
    </w:p>
    <w:p w:rsidR="00D1526E" w:rsidRPr="00D1526E" w:rsidRDefault="00D1526E" w:rsidP="00BC58F5">
      <w:pPr>
        <w:pStyle w:val="Heading2"/>
        <w:keepNext/>
        <w:widowControl/>
        <w:rPr>
          <w:i/>
        </w:rPr>
      </w:pPr>
      <w:bookmarkStart w:id="9" w:name="_Toc419798699"/>
      <w:r w:rsidRPr="008308E6">
        <w:rPr>
          <w:i/>
        </w:rPr>
        <w:t>Clinical trials</w:t>
      </w:r>
      <w:bookmarkEnd w:id="9"/>
    </w:p>
    <w:p w:rsidR="00666194" w:rsidRPr="00575319" w:rsidRDefault="00666194" w:rsidP="00BC58F5">
      <w:pPr>
        <w:keepNext/>
        <w:widowControl/>
        <w:rPr>
          <w:szCs w:val="22"/>
        </w:rPr>
      </w:pPr>
    </w:p>
    <w:p w:rsidR="00555016" w:rsidRPr="00575319" w:rsidRDefault="00555016" w:rsidP="007478B9">
      <w:pPr>
        <w:pStyle w:val="ListParagraph"/>
        <w:widowControl/>
        <w:numPr>
          <w:ilvl w:val="1"/>
          <w:numId w:val="4"/>
        </w:numPr>
        <w:rPr>
          <w:szCs w:val="22"/>
        </w:rPr>
      </w:pPr>
      <w:r w:rsidRPr="00575319">
        <w:t>The submission’s literature search focuse</w:t>
      </w:r>
      <w:r w:rsidR="00C31F07">
        <w:t>d</w:t>
      </w:r>
      <w:r w:rsidRPr="00575319">
        <w:t xml:space="preserve"> on identifying evid</w:t>
      </w:r>
      <w:r w:rsidR="001B02D4">
        <w:t>ence of ICT in MDS.  It was argued this wa</w:t>
      </w:r>
      <w:r w:rsidRPr="00575319">
        <w:t>s to be the focus of the submission as it was the major driver behind the PBAC re</w:t>
      </w:r>
      <w:r w:rsidR="00DC3C72">
        <w:t>commendation in November 2014.</w:t>
      </w:r>
      <w:r w:rsidR="00561EF6" w:rsidRPr="00555016">
        <w:t xml:space="preserve"> </w:t>
      </w:r>
    </w:p>
    <w:p w:rsidR="00555016" w:rsidRPr="00575319" w:rsidRDefault="00555016" w:rsidP="007478B9">
      <w:pPr>
        <w:pStyle w:val="ListParagraph"/>
        <w:widowControl/>
        <w:rPr>
          <w:szCs w:val="22"/>
        </w:rPr>
      </w:pPr>
    </w:p>
    <w:p w:rsidR="00555016" w:rsidRPr="008A0E61" w:rsidRDefault="00555016" w:rsidP="007478B9">
      <w:pPr>
        <w:pStyle w:val="ListParagraph"/>
        <w:widowControl/>
        <w:numPr>
          <w:ilvl w:val="1"/>
          <w:numId w:val="4"/>
        </w:numPr>
      </w:pPr>
      <w:r w:rsidRPr="00575319">
        <w:t xml:space="preserve">No randomised controlled trials reporting survival outcomes </w:t>
      </w:r>
      <w:r w:rsidR="00914993">
        <w:t>were</w:t>
      </w:r>
      <w:r w:rsidRPr="00575319">
        <w:t xml:space="preserve"> identified for any </w:t>
      </w:r>
      <w:r w:rsidR="00362C03">
        <w:t>iron chelator</w:t>
      </w:r>
      <w:r w:rsidR="00362C03" w:rsidRPr="00575319">
        <w:t xml:space="preserve"> </w:t>
      </w:r>
      <w:r w:rsidRPr="00575319">
        <w:t>(</w:t>
      </w:r>
      <w:r w:rsidR="00A84463" w:rsidRPr="00575319">
        <w:t>i.e.</w:t>
      </w:r>
      <w:r w:rsidRPr="00575319">
        <w:t xml:space="preserve">, DFX, DFO or </w:t>
      </w:r>
      <w:r w:rsidR="00A76D91">
        <w:t>deferiprone (</w:t>
      </w:r>
      <w:r w:rsidRPr="00575319">
        <w:t>DFP</w:t>
      </w:r>
      <w:r w:rsidR="00A76D91">
        <w:t>)</w:t>
      </w:r>
      <w:r w:rsidRPr="00575319">
        <w:t xml:space="preserve">) in the MDS population.  The submission </w:t>
      </w:r>
      <w:r w:rsidR="00914993">
        <w:t>wa</w:t>
      </w:r>
      <w:r w:rsidRPr="00575319">
        <w:t>s based on eight non-randomised studies (two prospective (Lyons publications and Rose 2010), and six retrospective (Delforge 2014, Neukirchen 2012, Raptis 2010, Remacha 2014, Leitch 2008 and Komrokji 2011; although Delforge 2014 has elements of a prospective design).</w:t>
      </w:r>
      <w:r w:rsidR="003C10D7">
        <w:rPr>
          <w:i/>
        </w:rPr>
        <w:t xml:space="preserve"> </w:t>
      </w:r>
      <w:r w:rsidR="008259CC" w:rsidRPr="00914993">
        <w:t>T</w:t>
      </w:r>
      <w:r w:rsidR="003C10D7" w:rsidRPr="00914993">
        <w:t>hese 8 studies were nominated by the submission as the curren</w:t>
      </w:r>
      <w:r w:rsidR="00392E4E" w:rsidRPr="00914993">
        <w:t>t</w:t>
      </w:r>
      <w:r w:rsidR="003C10D7" w:rsidRPr="00914993">
        <w:t xml:space="preserve"> best available evidence for estimating the survival effect of ICT on MDS patients.</w:t>
      </w:r>
      <w:r w:rsidRPr="00914993">
        <w:t xml:space="preserve"> </w:t>
      </w:r>
      <w:r w:rsidRPr="00575319">
        <w:t>Two published meta-analyses comparing ICT with no ICT were also identified in the submission’s literature search (Mainous 2014 and Meerpohl 2014), but as the meta-analyses d</w:t>
      </w:r>
      <w:r w:rsidR="00914993">
        <w:t>o</w:t>
      </w:r>
      <w:r w:rsidRPr="00575319">
        <w:t xml:space="preserve"> not include additi</w:t>
      </w:r>
      <w:r w:rsidR="00914993">
        <w:t>onal relevant studies, they we</w:t>
      </w:r>
      <w:r w:rsidRPr="00575319">
        <w:t xml:space="preserve">re </w:t>
      </w:r>
      <w:r w:rsidRPr="008A0E61">
        <w:t xml:space="preserve">not included as primary evidence to the submission. </w:t>
      </w:r>
    </w:p>
    <w:p w:rsidR="00555016" w:rsidRPr="008A0E61" w:rsidRDefault="00555016" w:rsidP="007478B9">
      <w:pPr>
        <w:pStyle w:val="ListParagraph"/>
        <w:widowControl/>
      </w:pPr>
    </w:p>
    <w:p w:rsidR="0014062C" w:rsidRPr="0014062C" w:rsidRDefault="00555016" w:rsidP="007478B9">
      <w:pPr>
        <w:pStyle w:val="ListParagraph"/>
        <w:widowControl/>
        <w:numPr>
          <w:ilvl w:val="1"/>
          <w:numId w:val="4"/>
        </w:numPr>
      </w:pPr>
      <w:r w:rsidRPr="008A0E61">
        <w:t>In addition to the published literature, the submission</w:t>
      </w:r>
      <w:r w:rsidR="00F65AA0" w:rsidRPr="008A0E61">
        <w:t xml:space="preserve"> </w:t>
      </w:r>
      <w:r w:rsidR="009C6F1D" w:rsidRPr="008A0E61">
        <w:t>present</w:t>
      </w:r>
      <w:r w:rsidR="00F65AA0" w:rsidRPr="008A0E61">
        <w:t xml:space="preserve">ed analyses of </w:t>
      </w:r>
      <w:r w:rsidR="00EA2531" w:rsidRPr="008A0E61">
        <w:t>individual patient data (</w:t>
      </w:r>
      <w:r w:rsidR="00F65AA0" w:rsidRPr="008A0E61">
        <w:t>IPD</w:t>
      </w:r>
      <w:r w:rsidR="00EA2531" w:rsidRPr="008A0E61">
        <w:t>)</w:t>
      </w:r>
      <w:r w:rsidR="009B1A51" w:rsidRPr="008A0E61">
        <w:t xml:space="preserve"> </w:t>
      </w:r>
      <w:r w:rsidRPr="00531F6C">
        <w:t>from the MORE registry</w:t>
      </w:r>
      <w:r w:rsidR="00F65AA0" w:rsidRPr="00531F6C">
        <w:t xml:space="preserve"> (a </w:t>
      </w:r>
      <w:r w:rsidR="0097638B" w:rsidRPr="002C3543">
        <w:t xml:space="preserve">predominately </w:t>
      </w:r>
      <w:r w:rsidR="00F65AA0" w:rsidRPr="002C3543">
        <w:t>prospective observational study with approximately 5 years of follow up)</w:t>
      </w:r>
      <w:r w:rsidR="00F65AA0" w:rsidRPr="00531F6C">
        <w:t xml:space="preserve">, as well </w:t>
      </w:r>
      <w:r w:rsidR="001B02D4" w:rsidRPr="00531F6C">
        <w:t xml:space="preserve">as </w:t>
      </w:r>
      <w:r w:rsidR="00F65AA0" w:rsidRPr="00531F6C">
        <w:t xml:space="preserve">a 10% PBS </w:t>
      </w:r>
      <w:r w:rsidR="0097638B" w:rsidRPr="00531F6C">
        <w:t>sample</w:t>
      </w:r>
      <w:r w:rsidRPr="00531F6C">
        <w:t xml:space="preserve">.  </w:t>
      </w:r>
      <w:r w:rsidR="001B02D4" w:rsidRPr="00531F6C">
        <w:t>Although</w:t>
      </w:r>
      <w:r w:rsidR="00EA2531" w:rsidRPr="00531F6C">
        <w:t xml:space="preserve"> the 8 non-randomised studies were flagged</w:t>
      </w:r>
      <w:r w:rsidR="00EA2531" w:rsidRPr="00D1526E">
        <w:t xml:space="preserve"> as the best available evidence, t</w:t>
      </w:r>
      <w:r w:rsidRPr="00D1526E">
        <w:t>he results of the</w:t>
      </w:r>
      <w:r w:rsidR="00EA2531" w:rsidRPr="00D1526E">
        <w:t xml:space="preserve"> sponsor’s in-house</w:t>
      </w:r>
      <w:r w:rsidRPr="00D1526E">
        <w:t xml:space="preserve"> analyses </w:t>
      </w:r>
      <w:r w:rsidR="00EA2531" w:rsidRPr="00D1526E">
        <w:t xml:space="preserve">of IPD and the 10% PBS sample were </w:t>
      </w:r>
      <w:r w:rsidR="008A0E61">
        <w:t>us</w:t>
      </w:r>
      <w:r w:rsidR="00EA2531" w:rsidRPr="00D1526E">
        <w:t xml:space="preserve">ed </w:t>
      </w:r>
      <w:r w:rsidRPr="00D1526E">
        <w:t>in the modelled economic evaluation.  The submission argue</w:t>
      </w:r>
      <w:r w:rsidR="0097638B" w:rsidRPr="00D1526E">
        <w:t>d this wa</w:t>
      </w:r>
      <w:r w:rsidRPr="00D1526E">
        <w:t xml:space="preserve">s appropriate as </w:t>
      </w:r>
      <w:r w:rsidR="008A0E61">
        <w:t>the PBS data set wa</w:t>
      </w:r>
      <w:r w:rsidR="001B02D4" w:rsidRPr="00D1526E">
        <w:t xml:space="preserve">s more reflective of survival of MDS patients using DFX in an Australian setting (assuming that over 55 year olds using DFX had MDS) </w:t>
      </w:r>
      <w:r w:rsidR="009B1A51" w:rsidRPr="00D1526E">
        <w:t xml:space="preserve">and </w:t>
      </w:r>
      <w:r w:rsidR="0097638B" w:rsidRPr="00531F6C">
        <w:t xml:space="preserve">the </w:t>
      </w:r>
      <w:r w:rsidRPr="00531F6C">
        <w:t xml:space="preserve">MORE </w:t>
      </w:r>
      <w:r w:rsidR="0073639A" w:rsidRPr="002C3543">
        <w:t>r</w:t>
      </w:r>
      <w:r w:rsidR="008A0E61" w:rsidRPr="002C3543">
        <w:t>egistry wa</w:t>
      </w:r>
      <w:r w:rsidRPr="008F5C8A">
        <w:t xml:space="preserve">s currently the largest (599 subjects), </w:t>
      </w:r>
      <w:r w:rsidR="006E4552" w:rsidRPr="00531F6C">
        <w:t xml:space="preserve">recent </w:t>
      </w:r>
      <w:r w:rsidRPr="00531F6C">
        <w:t xml:space="preserve">prospective study with the longest follow-up (four to five years). </w:t>
      </w:r>
      <w:r w:rsidR="008A0E61" w:rsidRPr="00531F6C">
        <w:t>The sponsor further argued that the IPD analysis allowed</w:t>
      </w:r>
      <w:r w:rsidR="006E4552" w:rsidRPr="00531F6C">
        <w:t xml:space="preserve"> some adjustment to be made</w:t>
      </w:r>
      <w:r w:rsidR="006E4552" w:rsidRPr="00D1526E">
        <w:t xml:space="preserve"> for uncertainty introduced by the non-randomised design. This consisted of adjusting treatment effect for available confounders of survival including age, sex, transfusions (expressed as total RBC units), number of comorbidities, ECOG and IPSS risk category. </w:t>
      </w:r>
    </w:p>
    <w:p w:rsidR="008A0E61" w:rsidRDefault="008A0E61" w:rsidP="007478B9">
      <w:pPr>
        <w:pStyle w:val="ListParagraph"/>
        <w:widowControl/>
        <w:rPr>
          <w:szCs w:val="22"/>
        </w:rPr>
      </w:pPr>
    </w:p>
    <w:p w:rsidR="00666194" w:rsidRPr="00575319" w:rsidRDefault="00666194" w:rsidP="007478B9">
      <w:pPr>
        <w:pStyle w:val="ListParagraph"/>
        <w:widowControl/>
        <w:numPr>
          <w:ilvl w:val="1"/>
          <w:numId w:val="4"/>
        </w:numPr>
        <w:rPr>
          <w:szCs w:val="22"/>
        </w:rPr>
      </w:pPr>
      <w:r w:rsidRPr="00575319">
        <w:rPr>
          <w:szCs w:val="22"/>
        </w:rPr>
        <w:t xml:space="preserve">Details of the studies presented in the </w:t>
      </w:r>
      <w:r w:rsidR="00260AA6" w:rsidRPr="00575319">
        <w:rPr>
          <w:szCs w:val="22"/>
        </w:rPr>
        <w:t>submission are provided in T</w:t>
      </w:r>
      <w:r w:rsidRPr="00575319">
        <w:rPr>
          <w:szCs w:val="22"/>
        </w:rPr>
        <w:t xml:space="preserve">able </w:t>
      </w:r>
      <w:r w:rsidR="00260AA6" w:rsidRPr="00575319">
        <w:rPr>
          <w:szCs w:val="22"/>
        </w:rPr>
        <w:t>1</w:t>
      </w:r>
      <w:r w:rsidR="006D5811">
        <w:rPr>
          <w:szCs w:val="22"/>
        </w:rPr>
        <w:t>.</w:t>
      </w:r>
    </w:p>
    <w:p w:rsidR="00260AA6" w:rsidRPr="00575319" w:rsidRDefault="00260AA6" w:rsidP="007478B9">
      <w:pPr>
        <w:pStyle w:val="ListParagraph"/>
        <w:widowControl/>
        <w:rPr>
          <w:szCs w:val="22"/>
        </w:rPr>
      </w:pPr>
    </w:p>
    <w:p w:rsidR="00555016" w:rsidRPr="00575319" w:rsidRDefault="00555016" w:rsidP="007478B9">
      <w:pPr>
        <w:widowControl/>
        <w:ind w:left="709"/>
        <w:rPr>
          <w:rStyle w:val="CommentReference"/>
        </w:rPr>
      </w:pPr>
      <w:r w:rsidRPr="00575319">
        <w:rPr>
          <w:rStyle w:val="CommentReference"/>
        </w:rPr>
        <w:t>Table 1: Non randomised studies and associated reports presented in the submission</w:t>
      </w:r>
    </w:p>
    <w:tbl>
      <w:tblPr>
        <w:tblStyle w:val="TableGrid"/>
        <w:tblW w:w="4594" w:type="pct"/>
        <w:tblInd w:w="737" w:type="dxa"/>
        <w:tblCellMar>
          <w:left w:w="28" w:type="dxa"/>
          <w:right w:w="28" w:type="dxa"/>
        </w:tblCellMar>
        <w:tblLook w:val="04A0" w:firstRow="1" w:lastRow="0" w:firstColumn="1" w:lastColumn="0" w:noHBand="0" w:noVBand="1"/>
        <w:tblCaption w:val="Table 1: Non randomised studies and associated reports presented in the submission"/>
        <w:tblDescription w:val="The table lists the non randomised studies and associated reports presented in the submission"/>
      </w:tblPr>
      <w:tblGrid>
        <w:gridCol w:w="1324"/>
        <w:gridCol w:w="5983"/>
        <w:gridCol w:w="1038"/>
      </w:tblGrid>
      <w:tr w:rsidR="00555016" w:rsidRPr="00575319" w:rsidTr="00392E4E">
        <w:trPr>
          <w:trHeight w:val="210"/>
          <w:tblHeader/>
        </w:trPr>
        <w:tc>
          <w:tcPr>
            <w:tcW w:w="793" w:type="pct"/>
            <w:tcBorders>
              <w:top w:val="single" w:sz="4" w:space="0" w:color="auto"/>
              <w:left w:val="single" w:sz="4" w:space="0" w:color="auto"/>
              <w:bottom w:val="single" w:sz="4" w:space="0" w:color="auto"/>
              <w:right w:val="single" w:sz="4" w:space="0" w:color="auto"/>
            </w:tcBorders>
          </w:tcPr>
          <w:p w:rsidR="00555016" w:rsidRPr="00575319" w:rsidRDefault="008259CC" w:rsidP="007478B9">
            <w:pPr>
              <w:widowControl/>
              <w:rPr>
                <w:rFonts w:ascii="Arial Narrow" w:hAnsi="Arial Narrow"/>
                <w:b/>
                <w:bCs/>
              </w:rPr>
            </w:pPr>
            <w:r>
              <w:rPr>
                <w:rFonts w:ascii="Arial Narrow" w:hAnsi="Arial Narrow"/>
                <w:b/>
                <w:bCs/>
              </w:rPr>
              <w:t>Studies</w:t>
            </w: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rPr>
                <w:rFonts w:ascii="Arial Narrow" w:hAnsi="Arial Narrow"/>
                <w:b/>
                <w:bCs/>
              </w:rPr>
            </w:pPr>
            <w:r w:rsidRPr="00575319">
              <w:rPr>
                <w:rFonts w:ascii="Arial Narrow" w:hAnsi="Arial Narrow"/>
                <w:b/>
                <w:bCs/>
              </w:rPr>
              <w:t>Reports</w:t>
            </w:r>
          </w:p>
        </w:tc>
        <w:tc>
          <w:tcPr>
            <w:tcW w:w="622"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rPr>
                <w:rFonts w:ascii="Arial Narrow" w:hAnsi="Arial Narrow"/>
                <w:b/>
                <w:bCs/>
              </w:rPr>
            </w:pPr>
            <w:r w:rsidRPr="00575319">
              <w:rPr>
                <w:rFonts w:ascii="Arial Narrow" w:hAnsi="Arial Narrow"/>
                <w:b/>
                <w:bCs/>
              </w:rPr>
              <w:t>Comment</w:t>
            </w:r>
          </w:p>
        </w:tc>
      </w:tr>
      <w:tr w:rsidR="00555016" w:rsidRPr="00575319" w:rsidTr="00392E4E">
        <w:trPr>
          <w:trHeight w:val="210"/>
        </w:trPr>
        <w:tc>
          <w:tcPr>
            <w:tcW w:w="793" w:type="pct"/>
            <w:tcBorders>
              <w:top w:val="single" w:sz="4" w:space="0" w:color="auto"/>
              <w:left w:val="single" w:sz="4" w:space="0" w:color="auto"/>
              <w:bottom w:val="nil"/>
              <w:right w:val="single" w:sz="4" w:space="0" w:color="auto"/>
            </w:tcBorders>
          </w:tcPr>
          <w:p w:rsidR="00555016" w:rsidRPr="00575319" w:rsidRDefault="00555016" w:rsidP="007478B9">
            <w:pPr>
              <w:widowControl/>
              <w:rPr>
                <w:rFonts w:ascii="Arial Narrow" w:hAnsi="Arial Narrow"/>
              </w:rPr>
            </w:pPr>
            <w:r w:rsidRPr="00575319">
              <w:rPr>
                <w:rFonts w:ascii="Arial Narrow" w:hAnsi="Arial Narrow"/>
              </w:rPr>
              <w:t xml:space="preserve">Lyons </w:t>
            </w: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1E2914">
              <w:rPr>
                <w:rFonts w:ascii="Arial Narrow" w:hAnsi="Arial Narrow"/>
                <w:lang w:val="it-IT"/>
              </w:rPr>
              <w:t xml:space="preserve">Lyons, R. M., Marek, B. J., Paley, C., Esposito, J., Garbo, L., DiBella, N., et al. </w:t>
            </w:r>
            <w:r w:rsidRPr="00575319">
              <w:rPr>
                <w:rFonts w:ascii="Arial Narrow" w:hAnsi="Arial Narrow"/>
              </w:rPr>
              <w:t>(2014). "Comparison of 24-month outcomes in chelated and non-chelated lower-risk patients with myelodysplastic syndromes in a prospective registry." Leukemia Research 38(2): 149-154. Lyons et al 2014.</w:t>
            </w:r>
          </w:p>
        </w:tc>
        <w:tc>
          <w:tcPr>
            <w:tcW w:w="622"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Paper</w:t>
            </w:r>
          </w:p>
          <w:p w:rsidR="00555016" w:rsidRPr="00575319" w:rsidRDefault="00555016" w:rsidP="007478B9">
            <w:pPr>
              <w:widowControl/>
              <w:jc w:val="left"/>
              <w:rPr>
                <w:rFonts w:ascii="Arial Narrow" w:hAnsi="Arial Narrow"/>
              </w:rPr>
            </w:pPr>
            <w:r w:rsidRPr="00575319">
              <w:rPr>
                <w:rFonts w:ascii="Arial Narrow" w:hAnsi="Arial Narrow"/>
              </w:rPr>
              <w:t>24 month follow up</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 xml:space="preserve">Lyons, R.M., Marek, B.J., Paley, C., Esposito, J., Garbo, L., DiBella, N. &amp; Garcia-Manero, G. (2012) Relationship between chelation and clinical outcomes in 600 lower-risk MDS patients: registry analysis at 36 months. Blood (ASH Annual Meeting Abstracts), 120, 3800. Lyons et al 2013. </w:t>
            </w:r>
          </w:p>
        </w:tc>
        <w:tc>
          <w:tcPr>
            <w:tcW w:w="622"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 xml:space="preserve">Abstract </w:t>
            </w:r>
          </w:p>
          <w:p w:rsidR="00555016" w:rsidRPr="00575319" w:rsidRDefault="00555016" w:rsidP="007478B9">
            <w:pPr>
              <w:widowControl/>
              <w:jc w:val="left"/>
              <w:rPr>
                <w:rFonts w:ascii="Arial Narrow" w:hAnsi="Arial Narrow"/>
              </w:rPr>
            </w:pPr>
            <w:r w:rsidRPr="00575319">
              <w:rPr>
                <w:rFonts w:ascii="Arial Narrow" w:hAnsi="Arial Narrow"/>
              </w:rPr>
              <w:t>36 month follow up</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Lyons, R. M., Marek, B. J., Paley, C. S., Esposito, J., McNamara, K., Garbo, L., et al. (2013). "48-Month update on survival and AML transformation in a 600-patient registry of lower-risk MDS patients." Blood 122(21).  Lyons et al 2013</w:t>
            </w:r>
          </w:p>
        </w:tc>
        <w:tc>
          <w:tcPr>
            <w:tcW w:w="622"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 xml:space="preserve">Abstract </w:t>
            </w:r>
          </w:p>
          <w:p w:rsidR="00555016" w:rsidRPr="00575319" w:rsidRDefault="00555016" w:rsidP="007478B9">
            <w:pPr>
              <w:widowControl/>
              <w:jc w:val="left"/>
              <w:rPr>
                <w:rFonts w:ascii="Arial Narrow" w:hAnsi="Arial Narrow"/>
              </w:rPr>
            </w:pPr>
            <w:r w:rsidRPr="00575319">
              <w:rPr>
                <w:rFonts w:ascii="Arial Narrow" w:hAnsi="Arial Narrow"/>
              </w:rPr>
              <w:t>48 month follow up</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tcPr>
          <w:p w:rsidR="00555016" w:rsidRPr="00531F6C" w:rsidRDefault="00555016" w:rsidP="002D587E">
            <w:pPr>
              <w:widowControl/>
              <w:jc w:val="left"/>
              <w:rPr>
                <w:rFonts w:ascii="Arial Narrow" w:hAnsi="Arial Narrow"/>
              </w:rPr>
            </w:pPr>
            <w:r w:rsidRPr="00531F6C">
              <w:rPr>
                <w:rFonts w:ascii="Arial Narrow" w:hAnsi="Arial Narrow"/>
              </w:rPr>
              <w:t xml:space="preserve">Lyons, R.M., Marek, B.J., Paley, C., Esposito, J., McNamara, K., Garbo, L., DiBella, N. &amp; Garcia-Manero, G. (2015).  Relationship Between Chelation and Clinical Outcomes in Lower-Risk Patients with Myelodysplastic Syndrome (MDS): </w:t>
            </w:r>
            <w:r w:rsidRPr="00D57F00">
              <w:rPr>
                <w:rFonts w:ascii="Arial Narrow" w:hAnsi="Arial Narrow"/>
              </w:rPr>
              <w:t xml:space="preserve">Registry Analysis </w:t>
            </w:r>
            <w:r w:rsidR="002D587E" w:rsidRPr="00D57F00">
              <w:rPr>
                <w:rFonts w:ascii="Arial Narrow" w:hAnsi="Arial Narrow"/>
              </w:rPr>
              <w:t>at 5 Years</w:t>
            </w:r>
            <w:r w:rsidRPr="00531F6C">
              <w:rPr>
                <w:rFonts w:ascii="Arial Narrow" w:hAnsi="Arial Narrow"/>
              </w:rPr>
              <w:t xml:space="preserve">.  Accessed February 2015  </w:t>
            </w:r>
          </w:p>
        </w:tc>
        <w:tc>
          <w:tcPr>
            <w:tcW w:w="622"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jc w:val="left"/>
              <w:rPr>
                <w:rFonts w:ascii="Arial Narrow" w:hAnsi="Arial Narrow"/>
              </w:rPr>
            </w:pPr>
            <w:r w:rsidRPr="00575319">
              <w:rPr>
                <w:rFonts w:ascii="Arial Narrow" w:hAnsi="Arial Narrow"/>
              </w:rPr>
              <w:t xml:space="preserve">Abstract </w:t>
            </w:r>
          </w:p>
          <w:p w:rsidR="00555016" w:rsidRPr="00575319" w:rsidRDefault="00555016" w:rsidP="007478B9">
            <w:pPr>
              <w:widowControl/>
              <w:jc w:val="left"/>
              <w:rPr>
                <w:rFonts w:ascii="Arial Narrow" w:hAnsi="Arial Narrow"/>
              </w:rPr>
            </w:pPr>
            <w:r w:rsidRPr="00575319">
              <w:rPr>
                <w:rFonts w:ascii="Arial Narrow" w:hAnsi="Arial Narrow"/>
              </w:rPr>
              <w:t>60 month follow up</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tcPr>
          <w:p w:rsidR="00555016" w:rsidRPr="00531F6C" w:rsidRDefault="00555016" w:rsidP="007478B9">
            <w:pPr>
              <w:widowControl/>
              <w:jc w:val="left"/>
              <w:rPr>
                <w:rFonts w:ascii="Arial Narrow" w:hAnsi="Arial Narrow"/>
              </w:rPr>
            </w:pPr>
            <w:r w:rsidRPr="00531F6C">
              <w:rPr>
                <w:rFonts w:ascii="Arial Narrow" w:hAnsi="Arial Narrow"/>
              </w:rPr>
              <w:t>MORE registry individual patient data</w:t>
            </w:r>
          </w:p>
        </w:tc>
        <w:tc>
          <w:tcPr>
            <w:tcW w:w="622"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jc w:val="left"/>
              <w:rPr>
                <w:rFonts w:ascii="Arial Narrow" w:hAnsi="Arial Narrow"/>
              </w:rPr>
            </w:pPr>
            <w:r w:rsidRPr="00575319">
              <w:rPr>
                <w:rFonts w:ascii="Arial Narrow" w:hAnsi="Arial Narrow"/>
              </w:rPr>
              <w:t xml:space="preserve">Unpublished and </w:t>
            </w:r>
            <w:r w:rsidR="008A0E61" w:rsidRPr="00575319">
              <w:rPr>
                <w:rFonts w:ascii="Arial Narrow" w:hAnsi="Arial Narrow"/>
              </w:rPr>
              <w:t>comm</w:t>
            </w:r>
            <w:r w:rsidR="008A0E61">
              <w:rPr>
                <w:rFonts w:ascii="Arial Narrow" w:hAnsi="Arial Narrow"/>
              </w:rPr>
              <w:t>ittee-</w:t>
            </w:r>
            <w:r w:rsidRPr="00575319">
              <w:rPr>
                <w:rFonts w:ascii="Arial Narrow" w:hAnsi="Arial Narrow"/>
              </w:rPr>
              <w:t>in</w:t>
            </w:r>
            <w:r w:rsidR="008A0E61">
              <w:rPr>
                <w:rFonts w:ascii="Arial Narrow" w:hAnsi="Arial Narrow"/>
              </w:rPr>
              <w:t>-</w:t>
            </w:r>
            <w:r w:rsidRPr="00575319">
              <w:rPr>
                <w:rFonts w:ascii="Arial Narrow" w:hAnsi="Arial Narrow"/>
              </w:rPr>
              <w:t>confidence</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nil"/>
            </w:tcBorders>
          </w:tcPr>
          <w:p w:rsidR="00555016" w:rsidRPr="00575319" w:rsidRDefault="00555016" w:rsidP="007478B9">
            <w:pPr>
              <w:widowControl/>
              <w:jc w:val="left"/>
              <w:rPr>
                <w:rFonts w:ascii="Arial Narrow" w:hAnsi="Arial Narrow"/>
                <w:b/>
                <w:bCs/>
              </w:rPr>
            </w:pPr>
            <w:r w:rsidRPr="00575319">
              <w:rPr>
                <w:rFonts w:ascii="Arial Narrow" w:hAnsi="Arial Narrow"/>
                <w:b/>
                <w:bCs/>
              </w:rPr>
              <w:t>Additional publications</w:t>
            </w:r>
          </w:p>
        </w:tc>
        <w:tc>
          <w:tcPr>
            <w:tcW w:w="622" w:type="pct"/>
            <w:tcBorders>
              <w:top w:val="single" w:sz="4" w:space="0" w:color="auto"/>
              <w:left w:val="nil"/>
              <w:bottom w:val="single" w:sz="4" w:space="0" w:color="auto"/>
              <w:right w:val="single" w:sz="4" w:space="0" w:color="auto"/>
            </w:tcBorders>
          </w:tcPr>
          <w:p w:rsidR="00555016" w:rsidRPr="00575319" w:rsidRDefault="00555016" w:rsidP="007478B9">
            <w:pPr>
              <w:widowControl/>
              <w:jc w:val="left"/>
              <w:rPr>
                <w:rFonts w:ascii="Arial Narrow" w:hAnsi="Arial Narrow"/>
              </w:rPr>
            </w:pPr>
          </w:p>
        </w:tc>
      </w:tr>
      <w:tr w:rsidR="00555016" w:rsidRPr="00575319" w:rsidTr="00392E4E">
        <w:trPr>
          <w:trHeight w:val="77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9A770C">
              <w:rPr>
                <w:rFonts w:ascii="Arial Narrow" w:hAnsi="Arial Narrow"/>
                <w:lang w:val="fr-FR"/>
              </w:rPr>
              <w:t xml:space="preserve">Lyons, R. M., B. J. Marek, et al. </w:t>
            </w:r>
            <w:r w:rsidRPr="00575319">
              <w:rPr>
                <w:rFonts w:ascii="Arial Narrow" w:hAnsi="Arial Narrow"/>
              </w:rPr>
              <w:t>(2011). "24-month analysis of the impact of chelation on clinical outcomes in a 600 patient registry of lower-risk MDS patients." Blood 118(21).  Lyons et al 2011</w:t>
            </w:r>
          </w:p>
        </w:tc>
        <w:tc>
          <w:tcPr>
            <w:tcW w:w="622"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9A770C">
              <w:rPr>
                <w:rFonts w:ascii="Arial Narrow" w:hAnsi="Arial Narrow"/>
                <w:lang w:val="fr-FR"/>
              </w:rPr>
              <w:t xml:space="preserve">Lyons, R. M., B. J. Marek, et al. </w:t>
            </w:r>
            <w:r w:rsidRPr="00575319">
              <w:rPr>
                <w:rFonts w:ascii="Arial Narrow" w:hAnsi="Arial Narrow"/>
              </w:rPr>
              <w:t>(2013). "A 36-month analysis of treatment patterns and outcomes in patients with lower-risk myelodysplastic syndromes from a prospective observational study." Journal of Clinical Oncology 31(15). Lyons et al 2013.</w:t>
            </w:r>
          </w:p>
        </w:tc>
        <w:tc>
          <w:tcPr>
            <w:tcW w:w="622"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210"/>
        </w:trPr>
        <w:tc>
          <w:tcPr>
            <w:tcW w:w="793" w:type="pct"/>
            <w:tcBorders>
              <w:top w:val="nil"/>
              <w:left w:val="single" w:sz="4" w:space="0" w:color="auto"/>
              <w:bottom w:val="single" w:sz="4" w:space="0" w:color="auto"/>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bottom w:val="single" w:sz="4" w:space="0" w:color="auto"/>
              <w:right w:val="single" w:sz="4" w:space="0" w:color="auto"/>
            </w:tcBorders>
            <w:hideMark/>
          </w:tcPr>
          <w:p w:rsidR="00555016" w:rsidRPr="00575319" w:rsidRDefault="00555016" w:rsidP="007478B9">
            <w:pPr>
              <w:widowControl/>
              <w:jc w:val="left"/>
              <w:rPr>
                <w:rFonts w:ascii="Arial Narrow" w:hAnsi="Arial Narrow"/>
              </w:rPr>
            </w:pPr>
            <w:r w:rsidRPr="009A770C">
              <w:rPr>
                <w:rFonts w:ascii="Arial Narrow" w:hAnsi="Arial Narrow"/>
                <w:lang w:val="it-IT"/>
              </w:rPr>
              <w:t xml:space="preserve">Garcia-Manero, G., B. J. Marek, et al. </w:t>
            </w:r>
            <w:r w:rsidRPr="00575319">
              <w:rPr>
                <w:rFonts w:ascii="Arial Narrow" w:hAnsi="Arial Narrow"/>
              </w:rPr>
              <w:t>(2009). "Clinical parameters in 391 iron-overloaded patients with lower-risk MDS enrolled in a prospective, non-interventional multicenter registry." Blood 114(22). Garcia-Manero et al 2013</w:t>
            </w:r>
          </w:p>
        </w:tc>
        <w:tc>
          <w:tcPr>
            <w:tcW w:w="622"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210"/>
        </w:trPr>
        <w:tc>
          <w:tcPr>
            <w:tcW w:w="793" w:type="pct"/>
          </w:tcPr>
          <w:p w:rsidR="00555016" w:rsidRPr="00575319" w:rsidRDefault="00555016" w:rsidP="007478B9">
            <w:pPr>
              <w:widowControl/>
              <w:rPr>
                <w:rFonts w:ascii="Arial Narrow" w:hAnsi="Arial Narrow"/>
              </w:rPr>
            </w:pPr>
            <w:r w:rsidRPr="00575319">
              <w:rPr>
                <w:rFonts w:ascii="Arial Narrow" w:hAnsi="Arial Narrow"/>
              </w:rPr>
              <w:t>Rose 2010</w:t>
            </w:r>
          </w:p>
        </w:tc>
        <w:tc>
          <w:tcPr>
            <w:tcW w:w="3585" w:type="pct"/>
            <w:hideMark/>
          </w:tcPr>
          <w:p w:rsidR="00555016" w:rsidRPr="00575319" w:rsidRDefault="00555016" w:rsidP="007478B9">
            <w:pPr>
              <w:widowControl/>
              <w:jc w:val="left"/>
              <w:rPr>
                <w:rFonts w:ascii="Arial Narrow" w:hAnsi="Arial Narrow"/>
              </w:rPr>
            </w:pPr>
            <w:r w:rsidRPr="00575319">
              <w:rPr>
                <w:rFonts w:ascii="Arial Narrow" w:hAnsi="Arial Narrow"/>
              </w:rPr>
              <w:t>Rose, C., Brechignac, S., Vassilief, D., Pascal, L., Stamatoullas, A., Guerci, A., Larbaa, D., Dreyfus, F. &amp; Beyne-Rauzy, O., Chaury MP, Roy L, Cheze S, Morel P, Fenaux P; GFM (Groupe Francophone des Myelodysplasies) (2010) Does iron chelation therapy improve survival in regularly transfused lower risk MDS patients? A multicenter study by the GFM. Leukemia Research, 34, 864–870.  Rose et al 2010.</w:t>
            </w:r>
          </w:p>
        </w:tc>
        <w:tc>
          <w:tcPr>
            <w:tcW w:w="622" w:type="pct"/>
            <w:hideMark/>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480"/>
        </w:trPr>
        <w:tc>
          <w:tcPr>
            <w:tcW w:w="793" w:type="pct"/>
          </w:tcPr>
          <w:p w:rsidR="00555016" w:rsidRPr="00575319" w:rsidRDefault="00555016" w:rsidP="007478B9">
            <w:pPr>
              <w:widowControl/>
              <w:rPr>
                <w:rFonts w:ascii="Arial Narrow" w:hAnsi="Arial Narrow"/>
              </w:rPr>
            </w:pPr>
            <w:r w:rsidRPr="00575319">
              <w:rPr>
                <w:rFonts w:ascii="Arial Narrow" w:hAnsi="Arial Narrow"/>
              </w:rPr>
              <w:t>Delforge 2014</w:t>
            </w:r>
          </w:p>
        </w:tc>
        <w:tc>
          <w:tcPr>
            <w:tcW w:w="3585" w:type="pct"/>
            <w:hideMark/>
          </w:tcPr>
          <w:p w:rsidR="00555016" w:rsidRPr="00575319" w:rsidRDefault="00555016" w:rsidP="007478B9">
            <w:pPr>
              <w:widowControl/>
              <w:jc w:val="left"/>
              <w:rPr>
                <w:rFonts w:ascii="Arial Narrow" w:hAnsi="Arial Narrow"/>
              </w:rPr>
            </w:pPr>
            <w:r w:rsidRPr="00575319">
              <w:rPr>
                <w:rFonts w:ascii="Arial Narrow" w:hAnsi="Arial Narrow"/>
              </w:rPr>
              <w:t xml:space="preserve">Delforge, M., Selleslag, D., Beguin, Y., Triffet, A., Mineur, P., Theunissen, K., Graux, C., Trullemans, F., Boulet, D., Van Eygen, K., Noens, L., Van Steenweghen, S., Lemmens, J., Pierre, P., D’hondt, R., Ferrant, A., Deeren, D., Van De </w:t>
            </w:r>
            <w:r w:rsidR="00A84463">
              <w:rPr>
                <w:rFonts w:ascii="Arial Narrow" w:hAnsi="Arial Narrow"/>
              </w:rPr>
              <w:t>Velde, A., Wynendaele, W., Andr</w:t>
            </w:r>
            <w:r w:rsidRPr="00575319">
              <w:rPr>
                <w:rFonts w:ascii="Arial Narrow" w:hAnsi="Arial Narrow"/>
              </w:rPr>
              <w:t>e, M., De Bock, R., Efira, A., Breems, D., Deweweire, A., Geldhof, K., Pluymers, W., Harrington, A., MacDonald, K., Abraham, I. &amp; Ravoet, C. (2014) Adequate iron chelation therapy for at least six months improves survival in transfusion-dependent patients with lower risk myelodysplastic syndromes. Leukemia Research, 38, 557–563. Delforge et al 2014.</w:t>
            </w:r>
          </w:p>
        </w:tc>
        <w:tc>
          <w:tcPr>
            <w:tcW w:w="622" w:type="pct"/>
            <w:hideMark/>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210"/>
        </w:trPr>
        <w:tc>
          <w:tcPr>
            <w:tcW w:w="793" w:type="pct"/>
            <w:tcBorders>
              <w:top w:val="single" w:sz="4" w:space="0" w:color="auto"/>
              <w:left w:val="single" w:sz="4" w:space="0" w:color="auto"/>
              <w:bottom w:val="nil"/>
              <w:right w:val="single" w:sz="4" w:space="0" w:color="auto"/>
            </w:tcBorders>
          </w:tcPr>
          <w:p w:rsidR="00555016" w:rsidRPr="00575319" w:rsidRDefault="00555016" w:rsidP="007478B9">
            <w:pPr>
              <w:widowControl/>
              <w:rPr>
                <w:rFonts w:ascii="Arial Narrow" w:hAnsi="Arial Narrow"/>
              </w:rPr>
            </w:pPr>
            <w:r w:rsidRPr="00575319">
              <w:rPr>
                <w:rFonts w:ascii="Arial Narrow" w:hAnsi="Arial Narrow"/>
              </w:rPr>
              <w:t>Neukirchen</w:t>
            </w:r>
          </w:p>
          <w:p w:rsidR="00555016" w:rsidRPr="00575319" w:rsidRDefault="00555016" w:rsidP="007478B9">
            <w:pPr>
              <w:widowControl/>
              <w:rPr>
                <w:rFonts w:ascii="Arial Narrow" w:hAnsi="Arial Narrow"/>
              </w:rPr>
            </w:pPr>
            <w:r w:rsidRPr="00575319">
              <w:rPr>
                <w:rFonts w:ascii="Arial Narrow" w:hAnsi="Arial Narrow"/>
              </w:rPr>
              <w:t>2012</w:t>
            </w:r>
          </w:p>
        </w:tc>
        <w:tc>
          <w:tcPr>
            <w:tcW w:w="3585" w:type="pct"/>
            <w:tcBorders>
              <w:top w:val="single" w:sz="4" w:space="0" w:color="auto"/>
              <w:left w:val="single" w:sz="4" w:space="0" w:color="auto"/>
            </w:tcBorders>
            <w:hideMark/>
          </w:tcPr>
          <w:p w:rsidR="00550AED" w:rsidRPr="00575319" w:rsidRDefault="00555016" w:rsidP="007478B9">
            <w:pPr>
              <w:widowControl/>
              <w:jc w:val="left"/>
              <w:rPr>
                <w:rFonts w:ascii="Arial Narrow" w:hAnsi="Arial Narrow"/>
              </w:rPr>
            </w:pPr>
            <w:r w:rsidRPr="00575319">
              <w:rPr>
                <w:rFonts w:ascii="Arial Narrow" w:hAnsi="Arial Narrow"/>
              </w:rPr>
              <w:t xml:space="preserve">Neukirchen, J., Fox, F., Kundgen, A., Nachtkamp, K., Strupp, C., Haas, R., Germing, U. &amp; Gattermann, N. (2012) Improved survival in MDS patients receiving iron chelation therapy - a matched pair analysis of 188 patients from the Dusseldorf MDS registry. Leukemia </w:t>
            </w:r>
            <w:r w:rsidR="00A84463" w:rsidRPr="00575319">
              <w:rPr>
                <w:rFonts w:ascii="Arial Narrow" w:hAnsi="Arial Narrow"/>
              </w:rPr>
              <w:t>Research.</w:t>
            </w:r>
            <w:r w:rsidRPr="00575319">
              <w:rPr>
                <w:rFonts w:ascii="Arial Narrow" w:hAnsi="Arial Narrow"/>
              </w:rPr>
              <w:t xml:space="preserve"> 36, 1067–1070.  Neukirchen et al 2012.</w:t>
            </w:r>
          </w:p>
        </w:tc>
        <w:tc>
          <w:tcPr>
            <w:tcW w:w="622" w:type="pct"/>
            <w:tcBorders>
              <w:top w:val="single" w:sz="4" w:space="0" w:color="auto"/>
              <w:bottom w:val="single" w:sz="4" w:space="0" w:color="000000"/>
            </w:tcBorders>
            <w:hideMark/>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right w:val="nil"/>
            </w:tcBorders>
          </w:tcPr>
          <w:p w:rsidR="00555016" w:rsidRPr="00575319" w:rsidRDefault="00555016" w:rsidP="007478B9">
            <w:pPr>
              <w:widowControl/>
              <w:jc w:val="left"/>
              <w:rPr>
                <w:rFonts w:ascii="Arial Narrow" w:hAnsi="Arial Narrow"/>
                <w:b/>
                <w:bCs/>
              </w:rPr>
            </w:pPr>
            <w:r w:rsidRPr="00575319">
              <w:rPr>
                <w:rFonts w:ascii="Arial Narrow" w:hAnsi="Arial Narrow"/>
                <w:b/>
                <w:bCs/>
              </w:rPr>
              <w:t>Additional publications</w:t>
            </w:r>
          </w:p>
        </w:tc>
        <w:tc>
          <w:tcPr>
            <w:tcW w:w="622" w:type="pct"/>
            <w:tcBorders>
              <w:top w:val="single" w:sz="4" w:space="0" w:color="000000"/>
              <w:left w:val="nil"/>
            </w:tcBorders>
          </w:tcPr>
          <w:p w:rsidR="00555016" w:rsidRPr="00575319" w:rsidRDefault="00555016" w:rsidP="007478B9">
            <w:pPr>
              <w:widowControl/>
              <w:jc w:val="left"/>
              <w:rPr>
                <w:rFonts w:ascii="Arial Narrow" w:hAnsi="Arial Narrow"/>
              </w:rPr>
            </w:pPr>
          </w:p>
        </w:tc>
      </w:tr>
      <w:tr w:rsidR="00555016" w:rsidRPr="00575319" w:rsidTr="00392E4E">
        <w:trPr>
          <w:trHeight w:val="210"/>
        </w:trPr>
        <w:tc>
          <w:tcPr>
            <w:tcW w:w="793" w:type="pct"/>
            <w:tcBorders>
              <w:top w:val="nil"/>
              <w:left w:val="single" w:sz="4" w:space="0" w:color="auto"/>
              <w:bottom w:val="single" w:sz="4" w:space="0" w:color="auto"/>
              <w:right w:val="single" w:sz="4" w:space="0" w:color="auto"/>
            </w:tcBorders>
          </w:tcPr>
          <w:p w:rsidR="00555016" w:rsidRPr="00575319" w:rsidRDefault="00555016" w:rsidP="007478B9">
            <w:pPr>
              <w:widowControl/>
              <w:rPr>
                <w:rFonts w:ascii="Arial Narrow" w:hAnsi="Arial Narrow"/>
              </w:rPr>
            </w:pPr>
          </w:p>
        </w:tc>
        <w:tc>
          <w:tcPr>
            <w:tcW w:w="3585" w:type="pct"/>
            <w:tcBorders>
              <w:top w:val="single" w:sz="4" w:space="0" w:color="auto"/>
              <w:left w:val="single" w:sz="4" w:space="0" w:color="auto"/>
            </w:tcBorders>
            <w:hideMark/>
          </w:tcPr>
          <w:p w:rsidR="00555016" w:rsidRPr="00575319" w:rsidRDefault="00555016" w:rsidP="007478B9">
            <w:pPr>
              <w:widowControl/>
              <w:jc w:val="left"/>
              <w:rPr>
                <w:rFonts w:ascii="Arial Narrow" w:hAnsi="Arial Narrow"/>
              </w:rPr>
            </w:pPr>
            <w:r w:rsidRPr="009A770C">
              <w:rPr>
                <w:rFonts w:ascii="Arial Narrow" w:hAnsi="Arial Narrow"/>
                <w:lang w:val="de-DE"/>
              </w:rPr>
              <w:t xml:space="preserve">Fox, F., Kundgen, A., Nachtkamp, K., Strupp, C., Haas, R., Germing, U., et al. </w:t>
            </w:r>
            <w:r w:rsidRPr="00575319">
              <w:rPr>
                <w:rFonts w:ascii="Arial Narrow" w:hAnsi="Arial Narrow"/>
              </w:rPr>
              <w:t>(2009). "Matched-pair analysis of 186 MDS patients receiving iron chelation therapy or transfusion therapy only." Blood 114(22).  Fox et al 2009.</w:t>
            </w:r>
          </w:p>
        </w:tc>
        <w:tc>
          <w:tcPr>
            <w:tcW w:w="622" w:type="pct"/>
            <w:tcBorders>
              <w:top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Abstract</w:t>
            </w:r>
          </w:p>
        </w:tc>
      </w:tr>
      <w:tr w:rsidR="00555016" w:rsidRPr="00575319" w:rsidTr="00392E4E">
        <w:trPr>
          <w:trHeight w:val="210"/>
        </w:trPr>
        <w:tc>
          <w:tcPr>
            <w:tcW w:w="793" w:type="pct"/>
            <w:tcBorders>
              <w:top w:val="single" w:sz="4" w:space="0" w:color="auto"/>
              <w:left w:val="single" w:sz="4" w:space="0" w:color="auto"/>
              <w:bottom w:val="nil"/>
              <w:right w:val="single" w:sz="4" w:space="0" w:color="auto"/>
            </w:tcBorders>
          </w:tcPr>
          <w:p w:rsidR="00555016" w:rsidRPr="00575319" w:rsidRDefault="00555016" w:rsidP="007478B9">
            <w:pPr>
              <w:widowControl/>
              <w:rPr>
                <w:rFonts w:ascii="Arial Narrow" w:hAnsi="Arial Narrow"/>
              </w:rPr>
            </w:pPr>
            <w:r w:rsidRPr="00575319">
              <w:rPr>
                <w:rFonts w:ascii="Arial Narrow" w:hAnsi="Arial Narrow"/>
              </w:rPr>
              <w:t>Raptis 2010</w:t>
            </w:r>
          </w:p>
        </w:tc>
        <w:tc>
          <w:tcPr>
            <w:tcW w:w="3585" w:type="pct"/>
            <w:tcBorders>
              <w:lef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 xml:space="preserve">Raptis, A., Duh, M.S., Wang, S.T., Dial, E., Fanourgiakis, I., Fortner, B., Paley, C., Mody-Patel, N., Corral, M. &amp; Scott, J. (2010) Treatment of transfusional </w:t>
            </w:r>
            <w:r w:rsidR="00575755">
              <w:rPr>
                <w:rFonts w:ascii="Arial Narrow" w:hAnsi="Arial Narrow"/>
              </w:rPr>
              <w:t>iron overload</w:t>
            </w:r>
            <w:r w:rsidRPr="00575319">
              <w:rPr>
                <w:rFonts w:ascii="Arial Narrow" w:hAnsi="Arial Narrow"/>
              </w:rPr>
              <w:t xml:space="preserve"> in patients with myelodysplastic syndrome or severe anemia: data from multicenter clinical practices. Transfusion, 50, 190–199.  Raptis et al 2010.</w:t>
            </w:r>
          </w:p>
        </w:tc>
        <w:tc>
          <w:tcPr>
            <w:tcW w:w="622" w:type="pct"/>
            <w:tcBorders>
              <w:bottom w:val="single" w:sz="4" w:space="0" w:color="000000"/>
            </w:tcBorders>
            <w:hideMark/>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tcBorders>
              <w:left w:val="single" w:sz="4" w:space="0" w:color="auto"/>
              <w:right w:val="nil"/>
            </w:tcBorders>
          </w:tcPr>
          <w:p w:rsidR="00555016" w:rsidRPr="00575319" w:rsidRDefault="00555016" w:rsidP="007478B9">
            <w:pPr>
              <w:widowControl/>
              <w:jc w:val="left"/>
              <w:rPr>
                <w:rFonts w:ascii="Arial Narrow" w:hAnsi="Arial Narrow"/>
                <w:b/>
                <w:bCs/>
              </w:rPr>
            </w:pPr>
            <w:r w:rsidRPr="00575319">
              <w:rPr>
                <w:rFonts w:ascii="Arial Narrow" w:hAnsi="Arial Narrow"/>
                <w:b/>
                <w:bCs/>
              </w:rPr>
              <w:t>Additional publications</w:t>
            </w:r>
          </w:p>
        </w:tc>
        <w:tc>
          <w:tcPr>
            <w:tcW w:w="622" w:type="pct"/>
            <w:tcBorders>
              <w:left w:val="nil"/>
            </w:tcBorders>
          </w:tcPr>
          <w:p w:rsidR="00555016" w:rsidRPr="00575319" w:rsidRDefault="00555016" w:rsidP="007478B9">
            <w:pPr>
              <w:widowControl/>
              <w:jc w:val="left"/>
              <w:rPr>
                <w:rFonts w:ascii="Arial Narrow" w:hAnsi="Arial Narrow"/>
              </w:rPr>
            </w:pPr>
          </w:p>
        </w:tc>
      </w:tr>
      <w:tr w:rsidR="00555016" w:rsidRPr="00575319" w:rsidTr="00392E4E">
        <w:trPr>
          <w:trHeight w:val="210"/>
        </w:trPr>
        <w:tc>
          <w:tcPr>
            <w:tcW w:w="793" w:type="pct"/>
            <w:tcBorders>
              <w:top w:val="nil"/>
              <w:left w:val="single" w:sz="4" w:space="0" w:color="auto"/>
              <w:bottom w:val="single" w:sz="4" w:space="0" w:color="auto"/>
              <w:right w:val="single" w:sz="4" w:space="0" w:color="auto"/>
            </w:tcBorders>
          </w:tcPr>
          <w:p w:rsidR="00555016" w:rsidRPr="00575319" w:rsidRDefault="00555016" w:rsidP="007478B9">
            <w:pPr>
              <w:widowControl/>
              <w:rPr>
                <w:rFonts w:ascii="Arial Narrow" w:hAnsi="Arial Narrow"/>
              </w:rPr>
            </w:pPr>
          </w:p>
        </w:tc>
        <w:tc>
          <w:tcPr>
            <w:tcW w:w="3585" w:type="pct"/>
            <w:tcBorders>
              <w:left w:val="single" w:sz="4" w:space="0" w:color="auto"/>
            </w:tcBorders>
            <w:hideMark/>
          </w:tcPr>
          <w:p w:rsidR="00555016" w:rsidRPr="00575319" w:rsidRDefault="00555016" w:rsidP="007478B9">
            <w:pPr>
              <w:widowControl/>
              <w:jc w:val="left"/>
              <w:rPr>
                <w:rFonts w:ascii="Arial Narrow" w:hAnsi="Arial Narrow"/>
              </w:rPr>
            </w:pPr>
            <w:r w:rsidRPr="009A770C">
              <w:rPr>
                <w:rFonts w:ascii="Arial Narrow" w:hAnsi="Arial Narrow"/>
                <w:lang w:val="fr-FR"/>
              </w:rPr>
              <w:t xml:space="preserve">Raptis, A., M. S. Duh, et al. </w:t>
            </w:r>
            <w:r w:rsidRPr="00575319">
              <w:rPr>
                <w:rFonts w:ascii="Arial Narrow" w:hAnsi="Arial Narrow"/>
              </w:rPr>
              <w:t xml:space="preserve">(2009). "Treatment of transfusional </w:t>
            </w:r>
            <w:r w:rsidR="00575755">
              <w:rPr>
                <w:rFonts w:ascii="Arial Narrow" w:hAnsi="Arial Narrow"/>
              </w:rPr>
              <w:t>iron overload</w:t>
            </w:r>
            <w:r w:rsidRPr="00575319">
              <w:rPr>
                <w:rFonts w:ascii="Arial Narrow" w:hAnsi="Arial Narrow"/>
              </w:rPr>
              <w:t xml:space="preserve"> in patients with myelodysplastic syndrome or severe anemia: Data from multi-center clinical practices." Value in Health 12(3): A132.  Raptis et al 2009.</w:t>
            </w:r>
          </w:p>
        </w:tc>
        <w:tc>
          <w:tcPr>
            <w:tcW w:w="622" w:type="pct"/>
            <w:hideMark/>
          </w:tcPr>
          <w:p w:rsidR="00555016" w:rsidRPr="00575319" w:rsidRDefault="00555016" w:rsidP="007478B9">
            <w:pPr>
              <w:widowControl/>
              <w:jc w:val="left"/>
              <w:rPr>
                <w:rFonts w:ascii="Arial Narrow" w:hAnsi="Arial Narrow"/>
              </w:rPr>
            </w:pPr>
            <w:r w:rsidRPr="00575319">
              <w:rPr>
                <w:rFonts w:ascii="Arial Narrow" w:hAnsi="Arial Narrow"/>
              </w:rPr>
              <w:t>Abstract</w:t>
            </w:r>
          </w:p>
          <w:p w:rsidR="00555016" w:rsidRPr="00575319" w:rsidRDefault="00555016" w:rsidP="007478B9">
            <w:pPr>
              <w:widowControl/>
              <w:jc w:val="left"/>
              <w:rPr>
                <w:rFonts w:ascii="Arial Narrow" w:hAnsi="Arial Narrow"/>
              </w:rPr>
            </w:pPr>
          </w:p>
        </w:tc>
      </w:tr>
      <w:tr w:rsidR="00555016" w:rsidRPr="00575319" w:rsidTr="00392E4E">
        <w:trPr>
          <w:trHeight w:val="210"/>
        </w:trPr>
        <w:tc>
          <w:tcPr>
            <w:tcW w:w="793" w:type="pct"/>
            <w:vMerge w:val="restart"/>
          </w:tcPr>
          <w:p w:rsidR="00555016" w:rsidRPr="00575319" w:rsidRDefault="00555016" w:rsidP="007478B9">
            <w:pPr>
              <w:widowControl/>
              <w:rPr>
                <w:rFonts w:ascii="Arial Narrow" w:hAnsi="Arial Narrow"/>
              </w:rPr>
            </w:pPr>
            <w:r w:rsidRPr="00575319">
              <w:rPr>
                <w:rFonts w:ascii="Arial Narrow" w:hAnsi="Arial Narrow"/>
              </w:rPr>
              <w:t>Ramacha 2014</w:t>
            </w:r>
          </w:p>
        </w:tc>
        <w:tc>
          <w:tcPr>
            <w:tcW w:w="3585" w:type="pct"/>
          </w:tcPr>
          <w:p w:rsidR="00555016" w:rsidRPr="00575319" w:rsidRDefault="00555016" w:rsidP="007478B9">
            <w:pPr>
              <w:widowControl/>
              <w:jc w:val="left"/>
              <w:rPr>
                <w:rFonts w:ascii="Arial Narrow" w:hAnsi="Arial Narrow"/>
              </w:rPr>
            </w:pPr>
            <w:r w:rsidRPr="00575319">
              <w:rPr>
                <w:rFonts w:ascii="Arial Narrow" w:hAnsi="Arial Narrow"/>
              </w:rPr>
              <w:t>Leitch, H.A., Leger, C.A., Goodman, T.A., Wong, K.K., Wong, D.H.C., Ramadan, K.M., Rollins, M.D., Barnett, M.J., Galbraith, P.F. &amp; Vickars, L.M. (2008) Improved survival in patients with myelodysplastic syndrome receiving iron chelation therapy. Clinical Leukemia, 2, 205–211.  Letch et al 2008.</w:t>
            </w:r>
          </w:p>
        </w:tc>
        <w:tc>
          <w:tcPr>
            <w:tcW w:w="622" w:type="pct"/>
            <w:tcBorders>
              <w:bottom w:val="single" w:sz="4" w:space="0" w:color="000000"/>
            </w:tcBorders>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210"/>
        </w:trPr>
        <w:tc>
          <w:tcPr>
            <w:tcW w:w="793" w:type="pct"/>
            <w:vMerge/>
          </w:tcPr>
          <w:p w:rsidR="00555016" w:rsidRPr="00575319" w:rsidRDefault="00555016" w:rsidP="007478B9">
            <w:pPr>
              <w:widowControl/>
              <w:rPr>
                <w:rFonts w:ascii="Arial Narrow" w:hAnsi="Arial Narrow"/>
              </w:rPr>
            </w:pPr>
          </w:p>
        </w:tc>
        <w:tc>
          <w:tcPr>
            <w:tcW w:w="3585" w:type="pct"/>
            <w:tcBorders>
              <w:right w:val="nil"/>
            </w:tcBorders>
          </w:tcPr>
          <w:p w:rsidR="00555016" w:rsidRPr="00575319" w:rsidRDefault="00555016" w:rsidP="007478B9">
            <w:pPr>
              <w:widowControl/>
              <w:jc w:val="left"/>
              <w:rPr>
                <w:rFonts w:ascii="Arial Narrow" w:hAnsi="Arial Narrow"/>
                <w:b/>
                <w:bCs/>
              </w:rPr>
            </w:pPr>
            <w:r w:rsidRPr="00575319">
              <w:rPr>
                <w:rFonts w:ascii="Arial Narrow" w:hAnsi="Arial Narrow"/>
                <w:b/>
                <w:bCs/>
              </w:rPr>
              <w:t>Additional publications</w:t>
            </w:r>
          </w:p>
        </w:tc>
        <w:tc>
          <w:tcPr>
            <w:tcW w:w="622" w:type="pct"/>
            <w:tcBorders>
              <w:left w:val="nil"/>
            </w:tcBorders>
          </w:tcPr>
          <w:p w:rsidR="00555016" w:rsidRPr="00575319" w:rsidRDefault="00555016" w:rsidP="007478B9">
            <w:pPr>
              <w:widowControl/>
              <w:jc w:val="left"/>
              <w:rPr>
                <w:rFonts w:ascii="Arial Narrow" w:hAnsi="Arial Narrow"/>
              </w:rPr>
            </w:pPr>
          </w:p>
        </w:tc>
      </w:tr>
      <w:tr w:rsidR="00555016" w:rsidRPr="00575319" w:rsidTr="00392E4E">
        <w:trPr>
          <w:trHeight w:val="253"/>
        </w:trPr>
        <w:tc>
          <w:tcPr>
            <w:tcW w:w="793" w:type="pct"/>
            <w:vMerge/>
            <w:tcBorders>
              <w:bottom w:val="nil"/>
            </w:tcBorders>
          </w:tcPr>
          <w:p w:rsidR="00555016" w:rsidRPr="00575319" w:rsidRDefault="00555016" w:rsidP="007478B9">
            <w:pPr>
              <w:widowControl/>
              <w:rPr>
                <w:rFonts w:ascii="Arial Narrow" w:hAnsi="Arial Narrow"/>
              </w:rPr>
            </w:pPr>
          </w:p>
        </w:tc>
        <w:tc>
          <w:tcPr>
            <w:tcW w:w="3585" w:type="pct"/>
            <w:vMerge w:val="restart"/>
          </w:tcPr>
          <w:p w:rsidR="00555016" w:rsidRPr="00A16AA8" w:rsidRDefault="00555016" w:rsidP="007478B9">
            <w:pPr>
              <w:widowControl/>
              <w:jc w:val="left"/>
              <w:rPr>
                <w:rFonts w:ascii="Arial Narrow" w:hAnsi="Arial Narrow"/>
              </w:rPr>
            </w:pPr>
            <w:r w:rsidRPr="00A16AA8">
              <w:rPr>
                <w:rFonts w:ascii="Arial Narrow" w:hAnsi="Arial Narrow"/>
              </w:rPr>
              <w:t>Leitch, H. A., Chan, C., Leger, C. S., Foltz, L. M., Ramadan, K. M. and Vickars, L. M. (2011). "Improved survival with iron chelation therapy for lower IPSS risk MDS appears to have a stronger association in patients with a non-RARS diagnosis." Blood 118(21).  Letch et al 2011.</w:t>
            </w:r>
          </w:p>
        </w:tc>
        <w:tc>
          <w:tcPr>
            <w:tcW w:w="622" w:type="pct"/>
            <w:vMerge w:val="restart"/>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210"/>
        </w:trPr>
        <w:tc>
          <w:tcPr>
            <w:tcW w:w="793" w:type="pct"/>
            <w:tcBorders>
              <w:top w:val="nil"/>
              <w:left w:val="single" w:sz="4" w:space="0" w:color="auto"/>
              <w:bottom w:val="nil"/>
              <w:right w:val="single" w:sz="4" w:space="0" w:color="auto"/>
            </w:tcBorders>
          </w:tcPr>
          <w:p w:rsidR="00555016" w:rsidRPr="00575319" w:rsidRDefault="00555016" w:rsidP="007478B9">
            <w:pPr>
              <w:widowControl/>
              <w:rPr>
                <w:rFonts w:ascii="Arial Narrow" w:hAnsi="Arial Narrow"/>
              </w:rPr>
            </w:pPr>
          </w:p>
        </w:tc>
        <w:tc>
          <w:tcPr>
            <w:tcW w:w="3585" w:type="pct"/>
            <w:vMerge/>
            <w:tcBorders>
              <w:left w:val="single" w:sz="4" w:space="0" w:color="auto"/>
            </w:tcBorders>
            <w:hideMark/>
          </w:tcPr>
          <w:p w:rsidR="00555016" w:rsidRPr="00575319" w:rsidRDefault="00555016" w:rsidP="007478B9">
            <w:pPr>
              <w:widowControl/>
              <w:jc w:val="left"/>
              <w:rPr>
                <w:rFonts w:ascii="Arial Narrow" w:hAnsi="Arial Narrow"/>
              </w:rPr>
            </w:pPr>
          </w:p>
        </w:tc>
        <w:tc>
          <w:tcPr>
            <w:tcW w:w="622" w:type="pct"/>
            <w:vMerge/>
          </w:tcPr>
          <w:p w:rsidR="00555016" w:rsidRPr="00575319" w:rsidRDefault="00555016" w:rsidP="007478B9">
            <w:pPr>
              <w:widowControl/>
              <w:jc w:val="left"/>
              <w:rPr>
                <w:rFonts w:ascii="Arial Narrow" w:hAnsi="Arial Narrow"/>
              </w:rPr>
            </w:pPr>
          </w:p>
        </w:tc>
      </w:tr>
      <w:tr w:rsidR="00555016" w:rsidRPr="00575319" w:rsidTr="00392E4E">
        <w:trPr>
          <w:trHeight w:val="210"/>
        </w:trPr>
        <w:tc>
          <w:tcPr>
            <w:tcW w:w="793" w:type="pct"/>
            <w:tcBorders>
              <w:top w:val="nil"/>
              <w:left w:val="single" w:sz="4" w:space="0" w:color="auto"/>
              <w:bottom w:val="single" w:sz="4" w:space="0" w:color="auto"/>
              <w:right w:val="single" w:sz="4" w:space="0" w:color="auto"/>
            </w:tcBorders>
          </w:tcPr>
          <w:p w:rsidR="00555016" w:rsidRPr="00575319" w:rsidRDefault="00555016" w:rsidP="007478B9">
            <w:pPr>
              <w:widowControl/>
              <w:rPr>
                <w:rFonts w:ascii="Arial Narrow" w:hAnsi="Arial Narrow"/>
              </w:rPr>
            </w:pPr>
          </w:p>
        </w:tc>
        <w:tc>
          <w:tcPr>
            <w:tcW w:w="3585" w:type="pct"/>
            <w:tcBorders>
              <w:lef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Leitch, H. A., Chan, C., Leger, C. S., Foltz, L. M., Ramadan, K. M. and Vickars, L. M. (2012). "Improved survival with iron chelation therapy for red blood cell transfusion dependent lower IPSS risk MDS may be more significant in patients with a non-RARS diagnosis." Leukemia Research 36(11): 1380-1386.  Letch et al 2012.</w:t>
            </w:r>
          </w:p>
        </w:tc>
        <w:tc>
          <w:tcPr>
            <w:tcW w:w="622" w:type="pct"/>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525"/>
        </w:trPr>
        <w:tc>
          <w:tcPr>
            <w:tcW w:w="793" w:type="pct"/>
            <w:tcBorders>
              <w:bottom w:val="nil"/>
            </w:tcBorders>
          </w:tcPr>
          <w:p w:rsidR="00555016" w:rsidRPr="00575319" w:rsidRDefault="00555016" w:rsidP="007478B9">
            <w:pPr>
              <w:widowControl/>
              <w:rPr>
                <w:rFonts w:ascii="Arial Narrow" w:hAnsi="Arial Narrow"/>
              </w:rPr>
            </w:pPr>
            <w:r w:rsidRPr="00575319">
              <w:rPr>
                <w:rFonts w:ascii="Arial Narrow" w:hAnsi="Arial Narrow"/>
              </w:rPr>
              <w:t>Letich 2008</w:t>
            </w:r>
          </w:p>
        </w:tc>
        <w:tc>
          <w:tcPr>
            <w:tcW w:w="3585" w:type="pct"/>
          </w:tcPr>
          <w:p w:rsidR="00555016" w:rsidRPr="00575319" w:rsidRDefault="00555016" w:rsidP="007478B9">
            <w:pPr>
              <w:widowControl/>
              <w:jc w:val="left"/>
              <w:rPr>
                <w:rFonts w:ascii="Arial Narrow" w:hAnsi="Arial Narrow"/>
              </w:rPr>
            </w:pPr>
            <w:r w:rsidRPr="001E2914">
              <w:rPr>
                <w:rFonts w:ascii="Arial Narrow" w:hAnsi="Arial Narrow"/>
              </w:rPr>
              <w:t xml:space="preserve">Remacha, A. F., B. Arrizabalaga, A. Villegas, M. S. Duran, L. Hermosin, P. R. De, M. Garcia, M. D. Campelo, G. Sanz and O. B. O. T. Iron- (2014). </w:t>
            </w:r>
            <w:r w:rsidRPr="00575319">
              <w:rPr>
                <w:rFonts w:ascii="Arial Narrow" w:hAnsi="Arial Narrow"/>
              </w:rPr>
              <w:t xml:space="preserve">"Evolution of </w:t>
            </w:r>
            <w:r w:rsidR="00575755">
              <w:rPr>
                <w:rFonts w:ascii="Arial Narrow" w:hAnsi="Arial Narrow"/>
              </w:rPr>
              <w:t>iron overload</w:t>
            </w:r>
            <w:r w:rsidRPr="00575319">
              <w:rPr>
                <w:rFonts w:ascii="Arial Narrow" w:hAnsi="Arial Narrow"/>
              </w:rPr>
              <w:t xml:space="preserve"> in patients with low-risk myelodysplastic syndrome: iron chelation therapy and organ complications." Annals of Hematology.  Ramacha et al 2014</w:t>
            </w:r>
          </w:p>
        </w:tc>
        <w:tc>
          <w:tcPr>
            <w:tcW w:w="622" w:type="pct"/>
          </w:tcPr>
          <w:p w:rsidR="00555016" w:rsidRPr="00575319" w:rsidRDefault="00555016" w:rsidP="007478B9">
            <w:pPr>
              <w:widowControl/>
              <w:jc w:val="left"/>
              <w:rPr>
                <w:rFonts w:ascii="Arial Narrow" w:hAnsi="Arial Narrow"/>
              </w:rPr>
            </w:pPr>
            <w:r w:rsidRPr="00575319">
              <w:rPr>
                <w:rFonts w:ascii="Arial Narrow" w:hAnsi="Arial Narrow"/>
              </w:rPr>
              <w:t>Paper</w:t>
            </w:r>
          </w:p>
        </w:tc>
      </w:tr>
      <w:tr w:rsidR="00555016" w:rsidRPr="00575319" w:rsidTr="00392E4E">
        <w:trPr>
          <w:trHeight w:val="525"/>
        </w:trPr>
        <w:tc>
          <w:tcPr>
            <w:tcW w:w="793" w:type="pct"/>
            <w:tcBorders>
              <w:top w:val="nil"/>
            </w:tcBorders>
          </w:tcPr>
          <w:p w:rsidR="00555016" w:rsidRPr="00575319" w:rsidRDefault="00555016" w:rsidP="007478B9">
            <w:pPr>
              <w:widowControl/>
              <w:rPr>
                <w:rFonts w:ascii="Arial Narrow" w:hAnsi="Arial Narrow"/>
              </w:rPr>
            </w:pPr>
          </w:p>
        </w:tc>
        <w:tc>
          <w:tcPr>
            <w:tcW w:w="3585" w:type="pct"/>
          </w:tcPr>
          <w:p w:rsidR="00555016" w:rsidRPr="00575319" w:rsidRDefault="00555016" w:rsidP="007478B9">
            <w:pPr>
              <w:widowControl/>
              <w:jc w:val="left"/>
              <w:rPr>
                <w:rFonts w:ascii="Arial Narrow" w:hAnsi="Arial Narrow"/>
              </w:rPr>
            </w:pPr>
            <w:r w:rsidRPr="009A770C">
              <w:rPr>
                <w:rFonts w:ascii="Arial Narrow" w:hAnsi="Arial Narrow"/>
                <w:lang w:val="es-ES_tradnl"/>
              </w:rPr>
              <w:t xml:space="preserve">Remacha, A., Arrizabalaga, B., Villegas, A., Duran, M.S., Hermosin, L., de Paz, R., Garcia, M., Garcia, R., del Canizo, C., Sanz, S. &amp; Sanz, G. (2012) The IRON2 Study. </w:t>
            </w:r>
            <w:r w:rsidRPr="00575319">
              <w:rPr>
                <w:rFonts w:ascii="Arial Narrow" w:hAnsi="Arial Narrow"/>
              </w:rPr>
              <w:t xml:space="preserve">A retrospective observational study to describe the evolution of </w:t>
            </w:r>
            <w:r w:rsidR="00575755">
              <w:rPr>
                <w:rFonts w:ascii="Arial Narrow" w:hAnsi="Arial Narrow"/>
              </w:rPr>
              <w:t>iron overload</w:t>
            </w:r>
            <w:r w:rsidRPr="00575319">
              <w:rPr>
                <w:rFonts w:ascii="Arial Narrow" w:hAnsi="Arial Narrow"/>
              </w:rPr>
              <w:t xml:space="preserve"> in patients with low-risk myelodysplastic syndrome. Blood, 120, 1723.  Ramacha et al 2012.</w:t>
            </w:r>
          </w:p>
        </w:tc>
        <w:tc>
          <w:tcPr>
            <w:tcW w:w="622" w:type="pct"/>
          </w:tcPr>
          <w:p w:rsidR="00555016" w:rsidRPr="00575319" w:rsidRDefault="00555016" w:rsidP="007478B9">
            <w:pPr>
              <w:widowControl/>
              <w:jc w:val="left"/>
              <w:rPr>
                <w:rFonts w:ascii="Arial Narrow" w:hAnsi="Arial Narrow"/>
              </w:rPr>
            </w:pPr>
            <w:r w:rsidRPr="00575319">
              <w:rPr>
                <w:rFonts w:ascii="Arial Narrow" w:hAnsi="Arial Narrow"/>
              </w:rPr>
              <w:t>Abstract</w:t>
            </w:r>
          </w:p>
        </w:tc>
      </w:tr>
      <w:tr w:rsidR="00555016" w:rsidRPr="00575319" w:rsidTr="00392E4E">
        <w:trPr>
          <w:trHeight w:val="210"/>
        </w:trPr>
        <w:tc>
          <w:tcPr>
            <w:tcW w:w="793" w:type="pct"/>
            <w:tcBorders>
              <w:top w:val="single" w:sz="4" w:space="0" w:color="auto"/>
              <w:left w:val="single" w:sz="4" w:space="0" w:color="auto"/>
              <w:bottom w:val="single" w:sz="4" w:space="0" w:color="auto"/>
              <w:right w:val="single" w:sz="4" w:space="0" w:color="auto"/>
            </w:tcBorders>
          </w:tcPr>
          <w:p w:rsidR="00555016" w:rsidRPr="00575319" w:rsidRDefault="00555016" w:rsidP="007478B9">
            <w:pPr>
              <w:widowControl/>
              <w:rPr>
                <w:rFonts w:ascii="Arial Narrow" w:hAnsi="Arial Narrow"/>
              </w:rPr>
            </w:pPr>
            <w:r w:rsidRPr="00575319">
              <w:rPr>
                <w:rFonts w:ascii="Arial Narrow" w:hAnsi="Arial Narrow"/>
              </w:rPr>
              <w:t>Komrokji 2011</w:t>
            </w:r>
          </w:p>
        </w:tc>
        <w:tc>
          <w:tcPr>
            <w:tcW w:w="3585" w:type="pct"/>
            <w:tcBorders>
              <w:left w:val="single" w:sz="4" w:space="0" w:color="auto"/>
            </w:tcBorders>
            <w:hideMark/>
          </w:tcPr>
          <w:p w:rsidR="00555016" w:rsidRPr="00575319" w:rsidRDefault="00555016" w:rsidP="007478B9">
            <w:pPr>
              <w:widowControl/>
              <w:jc w:val="left"/>
              <w:rPr>
                <w:rFonts w:ascii="Arial Narrow" w:hAnsi="Arial Narrow"/>
              </w:rPr>
            </w:pPr>
            <w:r w:rsidRPr="00575319">
              <w:rPr>
                <w:rFonts w:ascii="Arial Narrow" w:hAnsi="Arial Narrow"/>
              </w:rPr>
              <w:t>Komrokji, R.S., Al Ali NH, Padron E, Lancet JE, List AF (2011) Impact of iron chelation therapy on overall survival and AML transformation in lower risk MDS patients treated at the moffitt cancer center. Blood, 118, 1196–1197.  Komrokji et al 2011.</w:t>
            </w:r>
          </w:p>
        </w:tc>
        <w:tc>
          <w:tcPr>
            <w:tcW w:w="622" w:type="pct"/>
            <w:hideMark/>
          </w:tcPr>
          <w:p w:rsidR="00555016" w:rsidRPr="00575319" w:rsidRDefault="00555016" w:rsidP="007478B9">
            <w:pPr>
              <w:widowControl/>
              <w:jc w:val="left"/>
              <w:rPr>
                <w:rFonts w:ascii="Arial Narrow" w:hAnsi="Arial Narrow"/>
              </w:rPr>
            </w:pPr>
            <w:r w:rsidRPr="00575319">
              <w:rPr>
                <w:rFonts w:ascii="Arial Narrow" w:hAnsi="Arial Narrow"/>
              </w:rPr>
              <w:t>Abstract</w:t>
            </w:r>
          </w:p>
        </w:tc>
      </w:tr>
      <w:tr w:rsidR="00555016" w:rsidRPr="00575319" w:rsidTr="00392E4E">
        <w:trPr>
          <w:trHeight w:val="525"/>
        </w:trPr>
        <w:tc>
          <w:tcPr>
            <w:tcW w:w="793" w:type="pct"/>
          </w:tcPr>
          <w:p w:rsidR="00555016" w:rsidRPr="00575319" w:rsidRDefault="00555016" w:rsidP="007478B9">
            <w:pPr>
              <w:widowControl/>
              <w:rPr>
                <w:rFonts w:ascii="Arial Narrow" w:hAnsi="Arial Narrow"/>
              </w:rPr>
            </w:pPr>
            <w:r w:rsidRPr="00575319">
              <w:rPr>
                <w:rFonts w:ascii="Arial Narrow" w:hAnsi="Arial Narrow"/>
              </w:rPr>
              <w:t>Mainous 2014</w:t>
            </w:r>
          </w:p>
        </w:tc>
        <w:tc>
          <w:tcPr>
            <w:tcW w:w="3585" w:type="pct"/>
          </w:tcPr>
          <w:p w:rsidR="00555016" w:rsidRPr="00575319" w:rsidRDefault="00555016" w:rsidP="007478B9">
            <w:pPr>
              <w:widowControl/>
              <w:jc w:val="left"/>
              <w:rPr>
                <w:rFonts w:ascii="Arial Narrow" w:hAnsi="Arial Narrow"/>
              </w:rPr>
            </w:pPr>
            <w:r w:rsidRPr="009A770C">
              <w:rPr>
                <w:rFonts w:ascii="Arial Narrow" w:hAnsi="Arial Narrow"/>
                <w:lang w:val="fr-FR"/>
              </w:rPr>
              <w:t xml:space="preserve">Mainous, A. G., R. J. Tanner, et al. </w:t>
            </w:r>
            <w:r w:rsidRPr="00575319">
              <w:rPr>
                <w:rFonts w:ascii="Arial Narrow" w:hAnsi="Arial Narrow"/>
              </w:rPr>
              <w:t xml:space="preserve">(2014). "The impact of chelation therapy on survival in transfusional </w:t>
            </w:r>
            <w:r w:rsidR="00575755">
              <w:rPr>
                <w:rFonts w:ascii="Arial Narrow" w:hAnsi="Arial Narrow"/>
              </w:rPr>
              <w:t>iron overload</w:t>
            </w:r>
            <w:r w:rsidRPr="00575319">
              <w:rPr>
                <w:rFonts w:ascii="Arial Narrow" w:hAnsi="Arial Narrow"/>
              </w:rPr>
              <w:t>: A meta-analysis of myelodysplastic syndrome." British Journal of Haematology. Mainous et al 2014.</w:t>
            </w:r>
          </w:p>
        </w:tc>
        <w:tc>
          <w:tcPr>
            <w:tcW w:w="622" w:type="pct"/>
          </w:tcPr>
          <w:p w:rsidR="00555016" w:rsidRPr="00575319" w:rsidRDefault="00555016" w:rsidP="007478B9">
            <w:pPr>
              <w:widowControl/>
              <w:jc w:val="left"/>
              <w:rPr>
                <w:rFonts w:ascii="Arial Narrow" w:hAnsi="Arial Narrow"/>
              </w:rPr>
            </w:pPr>
            <w:r w:rsidRPr="00575319">
              <w:rPr>
                <w:rFonts w:ascii="Arial Narrow" w:hAnsi="Arial Narrow"/>
              </w:rPr>
              <w:t>-</w:t>
            </w:r>
          </w:p>
        </w:tc>
      </w:tr>
      <w:tr w:rsidR="00555016" w:rsidRPr="00575319" w:rsidTr="00392E4E">
        <w:trPr>
          <w:trHeight w:val="525"/>
        </w:trPr>
        <w:tc>
          <w:tcPr>
            <w:tcW w:w="793" w:type="pct"/>
          </w:tcPr>
          <w:p w:rsidR="00555016" w:rsidRPr="00575319" w:rsidRDefault="00555016" w:rsidP="007478B9">
            <w:pPr>
              <w:widowControl/>
              <w:rPr>
                <w:rFonts w:ascii="Arial Narrow" w:hAnsi="Arial Narrow"/>
              </w:rPr>
            </w:pPr>
            <w:r w:rsidRPr="00575319">
              <w:rPr>
                <w:rFonts w:ascii="Arial Narrow" w:hAnsi="Arial Narrow"/>
              </w:rPr>
              <w:t>Meerpohl 2014</w:t>
            </w:r>
          </w:p>
        </w:tc>
        <w:tc>
          <w:tcPr>
            <w:tcW w:w="3585" w:type="pct"/>
          </w:tcPr>
          <w:p w:rsidR="00555016" w:rsidRPr="00575319" w:rsidRDefault="00555016" w:rsidP="007478B9">
            <w:pPr>
              <w:widowControl/>
              <w:jc w:val="left"/>
              <w:rPr>
                <w:rFonts w:ascii="Arial Narrow" w:hAnsi="Arial Narrow"/>
              </w:rPr>
            </w:pPr>
            <w:r w:rsidRPr="009A770C">
              <w:rPr>
                <w:rFonts w:ascii="Arial Narrow" w:hAnsi="Arial Narrow"/>
                <w:lang w:val="de-DE"/>
              </w:rPr>
              <w:t xml:space="preserve">Meerpohl, J. J., L. K. Schell, G. Rücker, N. Fleeman, E. Motschall, C. M. Niemeyer and D. Bassler (2014). </w:t>
            </w:r>
            <w:r w:rsidRPr="00575319">
              <w:rPr>
                <w:rFonts w:ascii="Arial Narrow" w:hAnsi="Arial Narrow"/>
              </w:rPr>
              <w:t xml:space="preserve">"Deferasirox for managing </w:t>
            </w:r>
            <w:r w:rsidR="00575755">
              <w:rPr>
                <w:rFonts w:ascii="Arial Narrow" w:hAnsi="Arial Narrow"/>
              </w:rPr>
              <w:t>iron overload</w:t>
            </w:r>
            <w:r w:rsidRPr="00575319">
              <w:rPr>
                <w:rFonts w:ascii="Arial Narrow" w:hAnsi="Arial Narrow"/>
              </w:rPr>
              <w:t xml:space="preserve"> in people with myelodysplastic syndrome." Cochrane Database of Systematic Reviews.  Meerpohl et al 2014.</w:t>
            </w:r>
          </w:p>
        </w:tc>
        <w:tc>
          <w:tcPr>
            <w:tcW w:w="622" w:type="pct"/>
          </w:tcPr>
          <w:p w:rsidR="00555016" w:rsidRPr="00575319" w:rsidRDefault="00555016" w:rsidP="007478B9">
            <w:pPr>
              <w:widowControl/>
              <w:jc w:val="left"/>
              <w:rPr>
                <w:rFonts w:ascii="Arial Narrow" w:hAnsi="Arial Narrow"/>
              </w:rPr>
            </w:pPr>
            <w:r w:rsidRPr="00575319">
              <w:rPr>
                <w:rFonts w:ascii="Arial Narrow" w:hAnsi="Arial Narrow"/>
              </w:rPr>
              <w:t>-</w:t>
            </w:r>
          </w:p>
        </w:tc>
      </w:tr>
    </w:tbl>
    <w:p w:rsidR="000C3B2E" w:rsidRDefault="000C3B2E" w:rsidP="007478B9">
      <w:pPr>
        <w:widowControl/>
        <w:ind w:left="709"/>
      </w:pPr>
      <w:r w:rsidRPr="00575319">
        <w:rPr>
          <w:rStyle w:val="CommentReference"/>
          <w:b w:val="0"/>
          <w:bCs/>
          <w:sz w:val="18"/>
          <w:szCs w:val="14"/>
        </w:rPr>
        <w:t>Source: Table B.2-2, pp52-54 of the submission</w:t>
      </w:r>
      <w:r>
        <w:rPr>
          <w:rStyle w:val="CommentReference"/>
          <w:b w:val="0"/>
          <w:bCs/>
          <w:sz w:val="18"/>
          <w:szCs w:val="14"/>
        </w:rPr>
        <w:t xml:space="preserve"> </w:t>
      </w:r>
    </w:p>
    <w:p w:rsidR="000C3B2E" w:rsidRPr="000C3B2E" w:rsidRDefault="000C3B2E" w:rsidP="007478B9">
      <w:pPr>
        <w:widowControl/>
      </w:pPr>
    </w:p>
    <w:p w:rsidR="004E7BF4" w:rsidRPr="00575319" w:rsidRDefault="004E7BF4" w:rsidP="007478B9">
      <w:pPr>
        <w:pStyle w:val="ListParagraph"/>
        <w:widowControl/>
        <w:numPr>
          <w:ilvl w:val="1"/>
          <w:numId w:val="4"/>
        </w:numPr>
        <w:rPr>
          <w:sz w:val="20"/>
          <w:szCs w:val="16"/>
        </w:rPr>
      </w:pPr>
      <w:r w:rsidRPr="00575319">
        <w:rPr>
          <w:szCs w:val="22"/>
        </w:rPr>
        <w:t xml:space="preserve">The key features of non-randomised studies are summarised in </w:t>
      </w:r>
      <w:r>
        <w:rPr>
          <w:szCs w:val="22"/>
        </w:rPr>
        <w:t>Table 2</w:t>
      </w:r>
      <w:r w:rsidRPr="00575319">
        <w:rPr>
          <w:szCs w:val="22"/>
        </w:rPr>
        <w:t>.</w:t>
      </w:r>
    </w:p>
    <w:p w:rsidR="004E7BF4" w:rsidRDefault="004E7BF4" w:rsidP="007478B9">
      <w:pPr>
        <w:widowControl/>
        <w:rPr>
          <w:rStyle w:val="CommentReference"/>
        </w:rPr>
      </w:pPr>
    </w:p>
    <w:p w:rsidR="004E7BF4" w:rsidRPr="00575319" w:rsidRDefault="004E7BF4" w:rsidP="007478B9">
      <w:pPr>
        <w:widowControl/>
        <w:ind w:left="709"/>
        <w:rPr>
          <w:rStyle w:val="CommentReference"/>
        </w:rPr>
      </w:pPr>
      <w:r w:rsidRPr="00575319">
        <w:rPr>
          <w:rStyle w:val="CommentReference"/>
        </w:rPr>
        <w:t xml:space="preserve">Table </w:t>
      </w:r>
      <w:r>
        <w:rPr>
          <w:rStyle w:val="CommentReference"/>
        </w:rPr>
        <w:t>2</w:t>
      </w:r>
      <w:r w:rsidRPr="00575319">
        <w:rPr>
          <w:rStyle w:val="CommentReference"/>
        </w:rPr>
        <w:t>: Key features of the included evidence of ICT (with any agent) versus no ICT in MDS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2"/>
        <w:gridCol w:w="1562"/>
        <w:gridCol w:w="1843"/>
        <w:gridCol w:w="575"/>
        <w:gridCol w:w="1975"/>
        <w:gridCol w:w="139"/>
        <w:gridCol w:w="853"/>
        <w:gridCol w:w="564"/>
      </w:tblGrid>
      <w:tr w:rsidR="004E7BF4" w:rsidRPr="00575319" w:rsidTr="007478B9">
        <w:trPr>
          <w:tblHeader/>
        </w:trPr>
        <w:tc>
          <w:tcPr>
            <w:tcW w:w="509" w:type="pct"/>
            <w:shd w:val="clear" w:color="auto" w:fill="auto"/>
            <w:vAlign w:val="center"/>
          </w:tcPr>
          <w:p w:rsidR="004E7BF4" w:rsidRPr="00550AED" w:rsidRDefault="004E7BF4" w:rsidP="007478B9">
            <w:pPr>
              <w:widowControl/>
              <w:jc w:val="left"/>
              <w:rPr>
                <w:rFonts w:ascii="Arial Narrow" w:hAnsi="Arial Narrow"/>
                <w:b/>
                <w:sz w:val="20"/>
              </w:rPr>
            </w:pPr>
            <w:r w:rsidRPr="00550AED">
              <w:rPr>
                <w:rFonts w:ascii="Arial Narrow" w:hAnsi="Arial Narrow"/>
                <w:b/>
                <w:sz w:val="20"/>
              </w:rPr>
              <w:t>Study</w:t>
            </w:r>
          </w:p>
        </w:tc>
        <w:tc>
          <w:tcPr>
            <w:tcW w:w="934" w:type="pct"/>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N*</w:t>
            </w:r>
          </w:p>
        </w:tc>
        <w:tc>
          <w:tcPr>
            <w:tcW w:w="1102" w:type="pct"/>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Design/</w:t>
            </w:r>
          </w:p>
          <w:p w:rsidR="004E7BF4" w:rsidRPr="00550AED" w:rsidRDefault="004E7BF4" w:rsidP="007478B9">
            <w:pPr>
              <w:widowControl/>
              <w:jc w:val="center"/>
              <w:rPr>
                <w:rFonts w:ascii="Arial Narrow" w:hAnsi="Arial Narrow"/>
                <w:b/>
                <w:sz w:val="20"/>
              </w:rPr>
            </w:pPr>
            <w:r w:rsidRPr="00550AED">
              <w:rPr>
                <w:rFonts w:ascii="Arial Narrow" w:hAnsi="Arial Narrow"/>
                <w:b/>
                <w:sz w:val="20"/>
              </w:rPr>
              <w:t>data collection period/</w:t>
            </w:r>
          </w:p>
          <w:p w:rsidR="004E7BF4" w:rsidRPr="00550AED" w:rsidRDefault="004E7BF4" w:rsidP="007478B9">
            <w:pPr>
              <w:widowControl/>
              <w:jc w:val="center"/>
              <w:rPr>
                <w:rFonts w:ascii="Arial Narrow" w:hAnsi="Arial Narrow"/>
                <w:b/>
                <w:sz w:val="20"/>
              </w:rPr>
            </w:pPr>
            <w:r w:rsidRPr="00550AED">
              <w:rPr>
                <w:rFonts w:ascii="Arial Narrow" w:hAnsi="Arial Narrow"/>
                <w:b/>
                <w:sz w:val="20"/>
              </w:rPr>
              <w:t>median follow up/country</w:t>
            </w:r>
          </w:p>
        </w:tc>
        <w:tc>
          <w:tcPr>
            <w:tcW w:w="344" w:type="pct"/>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Risk of bias</w:t>
            </w:r>
          </w:p>
        </w:tc>
        <w:tc>
          <w:tcPr>
            <w:tcW w:w="1181" w:type="pct"/>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Patient population/definition of chelation therapy</w:t>
            </w:r>
          </w:p>
        </w:tc>
        <w:tc>
          <w:tcPr>
            <w:tcW w:w="593" w:type="pct"/>
            <w:gridSpan w:val="2"/>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Outcome(s)</w:t>
            </w:r>
          </w:p>
        </w:tc>
        <w:tc>
          <w:tcPr>
            <w:tcW w:w="337" w:type="pct"/>
            <w:shd w:val="clear" w:color="auto" w:fill="auto"/>
            <w:vAlign w:val="center"/>
          </w:tcPr>
          <w:p w:rsidR="004E7BF4" w:rsidRPr="00550AED" w:rsidRDefault="004E7BF4" w:rsidP="007478B9">
            <w:pPr>
              <w:widowControl/>
              <w:jc w:val="center"/>
              <w:rPr>
                <w:rFonts w:ascii="Arial Narrow" w:hAnsi="Arial Narrow"/>
                <w:b/>
                <w:sz w:val="20"/>
              </w:rPr>
            </w:pPr>
            <w:r w:rsidRPr="00550AED">
              <w:rPr>
                <w:rFonts w:ascii="Arial Narrow" w:hAnsi="Arial Narrow"/>
                <w:b/>
                <w:sz w:val="20"/>
              </w:rPr>
              <w:t>Used in model?</w:t>
            </w:r>
          </w:p>
        </w:tc>
      </w:tr>
      <w:tr w:rsidR="004E7BF4" w:rsidRPr="00575319" w:rsidTr="007142B5">
        <w:tc>
          <w:tcPr>
            <w:tcW w:w="5000" w:type="pct"/>
            <w:gridSpan w:val="8"/>
            <w:shd w:val="clear" w:color="auto" w:fill="auto"/>
            <w:vAlign w:val="center"/>
          </w:tcPr>
          <w:p w:rsidR="004E7BF4" w:rsidRPr="00550AED" w:rsidRDefault="004E7BF4" w:rsidP="007478B9">
            <w:pPr>
              <w:widowControl/>
              <w:jc w:val="left"/>
              <w:rPr>
                <w:rFonts w:ascii="Arial Narrow" w:hAnsi="Arial Narrow"/>
                <w:b/>
                <w:sz w:val="20"/>
              </w:rPr>
            </w:pPr>
            <w:r w:rsidRPr="00550AED">
              <w:rPr>
                <w:rFonts w:ascii="Arial Narrow" w:hAnsi="Arial Narrow"/>
                <w:b/>
                <w:sz w:val="20"/>
              </w:rPr>
              <w:t>Prospective non randomised studies</w:t>
            </w:r>
          </w:p>
        </w:tc>
      </w:tr>
      <w:tr w:rsidR="004E7BF4" w:rsidRPr="00575319" w:rsidTr="004E7BF4">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Lyons 2014</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600</w:t>
            </w:r>
          </w:p>
          <w:p w:rsidR="004E7BF4" w:rsidRPr="00550AED" w:rsidRDefault="004E7BF4" w:rsidP="007478B9">
            <w:pPr>
              <w:widowControl/>
              <w:jc w:val="center"/>
              <w:rPr>
                <w:rFonts w:ascii="Arial Narrow" w:hAnsi="Arial Narrow"/>
                <w:sz w:val="20"/>
              </w:rPr>
            </w:pPr>
            <w:r w:rsidRPr="00550AED">
              <w:rPr>
                <w:rFonts w:ascii="Arial Narrow" w:hAnsi="Arial Narrow"/>
                <w:sz w:val="20"/>
              </w:rPr>
              <w:t>(No-ICT:337</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263</w:t>
            </w:r>
          </w:p>
          <w:p w:rsidR="004E7BF4" w:rsidRPr="00550AED" w:rsidRDefault="004E7BF4" w:rsidP="007478B9">
            <w:pPr>
              <w:widowControl/>
              <w:jc w:val="center"/>
              <w:rPr>
                <w:rFonts w:ascii="Arial Narrow" w:hAnsi="Arial Narrow"/>
                <w:sz w:val="20"/>
              </w:rPr>
            </w:pPr>
            <w:r w:rsidRPr="00550AED">
              <w:rPr>
                <w:rFonts w:ascii="Arial Narrow" w:hAnsi="Arial Narrow"/>
                <w:sz w:val="20"/>
              </w:rPr>
              <w:t>ICT&gt;6mth: 191)</w:t>
            </w:r>
          </w:p>
        </w:tc>
        <w:tc>
          <w:tcPr>
            <w:tcW w:w="1102" w:type="pct"/>
            <w:shd w:val="clear" w:color="auto" w:fill="auto"/>
            <w:vAlign w:val="center"/>
          </w:tcPr>
          <w:p w:rsidR="004E7BF4" w:rsidRPr="00550AED" w:rsidRDefault="004E7BF4" w:rsidP="007478B9">
            <w:pPr>
              <w:widowControl/>
              <w:jc w:val="center"/>
              <w:rPr>
                <w:rFonts w:ascii="Arial Narrow" w:hAnsi="Arial Narrow"/>
                <w:sz w:val="20"/>
                <w:lang w:val="pt-PT"/>
              </w:rPr>
            </w:pPr>
            <w:r w:rsidRPr="00550AED">
              <w:rPr>
                <w:rFonts w:ascii="Arial Narrow" w:hAnsi="Arial Narrow"/>
                <w:sz w:val="20"/>
                <w:lang w:val="pt-PT"/>
              </w:rPr>
              <w:t>OL, O, P, MC</w:t>
            </w:r>
          </w:p>
          <w:p w:rsidR="004E7BF4" w:rsidRPr="00550AED" w:rsidRDefault="004E7BF4" w:rsidP="007478B9">
            <w:pPr>
              <w:widowControl/>
              <w:jc w:val="center"/>
              <w:rPr>
                <w:rFonts w:ascii="Arial Narrow" w:hAnsi="Arial Narrow"/>
                <w:sz w:val="20"/>
                <w:lang w:val="pt-PT"/>
              </w:rPr>
            </w:pPr>
            <w:r w:rsidRPr="00550AED">
              <w:rPr>
                <w:rFonts w:ascii="Arial Narrow" w:hAnsi="Arial Narrow"/>
                <w:sz w:val="20"/>
                <w:lang w:val="pt-PT"/>
              </w:rPr>
              <w:t>Enrolled 2008</w:t>
            </w:r>
          </w:p>
          <w:p w:rsidR="004E7BF4" w:rsidRPr="00550AED" w:rsidRDefault="004E7BF4" w:rsidP="007478B9">
            <w:pPr>
              <w:widowControl/>
              <w:jc w:val="center"/>
              <w:rPr>
                <w:rFonts w:ascii="Arial Narrow" w:hAnsi="Arial Narrow"/>
                <w:sz w:val="20"/>
              </w:rPr>
            </w:pPr>
            <w:r w:rsidRPr="00550AED">
              <w:rPr>
                <w:rFonts w:ascii="Arial Narrow" w:hAnsi="Arial Narrow"/>
                <w:sz w:val="20"/>
              </w:rPr>
              <w:t>24 mths interim analysis</w:t>
            </w: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USA (118 centres)</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181" w:type="pct"/>
            <w:vMerge w:val="restar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Age ≥18 years, Lower risk MDS</w:t>
            </w:r>
            <w:r w:rsidRPr="00550AED">
              <w:rPr>
                <w:rFonts w:ascii="Arial Narrow" w:hAnsi="Arial Narrow"/>
                <w:sz w:val="20"/>
                <w:vertAlign w:val="superscript"/>
              </w:rPr>
              <w:t>#</w:t>
            </w:r>
            <w:r w:rsidRPr="00550AED">
              <w:rPr>
                <w:rFonts w:ascii="Arial Narrow" w:hAnsi="Arial Narrow"/>
                <w:sz w:val="20"/>
              </w:rPr>
              <w:t xml:space="preserve"> by IPSS, WHO and/or FAB criteria, tIO, SF ≥1000 ng/mL, ≥20 PRBC units, or ongoing transfusion requirement of ≥6 units every 12 weeks</w:t>
            </w:r>
          </w:p>
        </w:tc>
        <w:tc>
          <w:tcPr>
            <w:tcW w:w="593"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p w:rsidR="004E7BF4" w:rsidRPr="00550AED" w:rsidRDefault="004E7BF4" w:rsidP="007478B9">
            <w:pPr>
              <w:widowControl/>
              <w:jc w:val="center"/>
              <w:rPr>
                <w:rFonts w:ascii="Arial Narrow" w:hAnsi="Arial Narrow"/>
                <w:sz w:val="20"/>
              </w:rPr>
            </w:pPr>
            <w:r w:rsidRPr="00550AED">
              <w:rPr>
                <w:rFonts w:ascii="Arial Narrow" w:hAnsi="Arial Narrow"/>
                <w:sz w:val="20"/>
              </w:rPr>
              <w:t>Progression to AML</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4E7BF4">
        <w:tc>
          <w:tcPr>
            <w:tcW w:w="509" w:type="pct"/>
            <w:shd w:val="clear" w:color="auto" w:fill="auto"/>
            <w:vAlign w:val="center"/>
          </w:tcPr>
          <w:p w:rsidR="004E7BF4" w:rsidRPr="00531F6C" w:rsidRDefault="004E7BF4" w:rsidP="007478B9">
            <w:pPr>
              <w:widowControl/>
              <w:jc w:val="left"/>
              <w:rPr>
                <w:rFonts w:ascii="Arial Narrow" w:hAnsi="Arial Narrow"/>
                <w:sz w:val="20"/>
              </w:rPr>
            </w:pPr>
            <w:r w:rsidRPr="00531F6C">
              <w:rPr>
                <w:rFonts w:ascii="Arial Narrow" w:hAnsi="Arial Narrow"/>
                <w:sz w:val="20"/>
              </w:rPr>
              <w:t>IPD from MORE registry</w:t>
            </w:r>
          </w:p>
        </w:tc>
        <w:tc>
          <w:tcPr>
            <w:tcW w:w="934" w:type="pct"/>
            <w:shd w:val="clear" w:color="auto" w:fill="auto"/>
            <w:vAlign w:val="center"/>
          </w:tcPr>
          <w:p w:rsidR="004E7BF4" w:rsidRPr="00531F6C" w:rsidRDefault="004E7BF4" w:rsidP="007478B9">
            <w:pPr>
              <w:widowControl/>
              <w:jc w:val="center"/>
              <w:rPr>
                <w:rFonts w:ascii="Arial Narrow" w:hAnsi="Arial Narrow"/>
                <w:sz w:val="20"/>
              </w:rPr>
            </w:pPr>
            <w:r w:rsidRPr="00531F6C">
              <w:rPr>
                <w:rFonts w:ascii="Arial Narrow" w:hAnsi="Arial Narrow"/>
                <w:sz w:val="20"/>
              </w:rPr>
              <w:t>599</w:t>
            </w:r>
          </w:p>
          <w:p w:rsidR="004E7BF4" w:rsidRPr="002C3543" w:rsidRDefault="004E7BF4" w:rsidP="007478B9">
            <w:pPr>
              <w:widowControl/>
              <w:jc w:val="center"/>
              <w:rPr>
                <w:rFonts w:ascii="Arial Narrow" w:hAnsi="Arial Narrow"/>
                <w:sz w:val="20"/>
              </w:rPr>
            </w:pPr>
            <w:r w:rsidRPr="002C3543">
              <w:rPr>
                <w:rFonts w:ascii="Arial Narrow" w:hAnsi="Arial Narrow"/>
                <w:sz w:val="20"/>
              </w:rPr>
              <w:t>(No-ICT:239</w:t>
            </w:r>
          </w:p>
          <w:p w:rsidR="004E7BF4" w:rsidRPr="002C3543" w:rsidRDefault="004E7BF4" w:rsidP="007478B9">
            <w:pPr>
              <w:widowControl/>
              <w:jc w:val="center"/>
              <w:rPr>
                <w:rFonts w:ascii="Arial Narrow" w:hAnsi="Arial Narrow"/>
                <w:sz w:val="20"/>
              </w:rPr>
            </w:pPr>
            <w:r w:rsidRPr="002C3543">
              <w:rPr>
                <w:rFonts w:ascii="Arial Narrow" w:hAnsi="Arial Narrow"/>
                <w:sz w:val="20"/>
              </w:rPr>
              <w:t>ICT: 271</w:t>
            </w:r>
          </w:p>
          <w:p w:rsidR="004E7BF4" w:rsidRPr="00531F6C" w:rsidRDefault="004E7BF4" w:rsidP="007478B9">
            <w:pPr>
              <w:widowControl/>
              <w:jc w:val="center"/>
              <w:rPr>
                <w:rFonts w:ascii="Arial Narrow" w:hAnsi="Arial Narrow"/>
                <w:sz w:val="20"/>
              </w:rPr>
            </w:pPr>
            <w:r w:rsidRPr="008F5C8A">
              <w:rPr>
                <w:rFonts w:ascii="Arial Narrow" w:hAnsi="Arial Narrow"/>
                <w:sz w:val="20"/>
              </w:rPr>
              <w:t>ICT&gt;6mth: 202)</w:t>
            </w:r>
          </w:p>
        </w:tc>
        <w:tc>
          <w:tcPr>
            <w:tcW w:w="1102" w:type="pct"/>
            <w:shd w:val="clear" w:color="auto" w:fill="auto"/>
            <w:vAlign w:val="center"/>
          </w:tcPr>
          <w:p w:rsidR="004E7BF4" w:rsidRPr="00531F6C" w:rsidRDefault="004E7BF4" w:rsidP="007478B9">
            <w:pPr>
              <w:widowControl/>
              <w:jc w:val="center"/>
              <w:rPr>
                <w:rFonts w:ascii="Arial Narrow" w:hAnsi="Arial Narrow"/>
                <w:sz w:val="20"/>
                <w:lang w:val="pt-PT"/>
              </w:rPr>
            </w:pPr>
            <w:r w:rsidRPr="00531F6C">
              <w:rPr>
                <w:rFonts w:ascii="Arial Narrow" w:hAnsi="Arial Narrow"/>
                <w:sz w:val="20"/>
                <w:lang w:val="pt-PT"/>
              </w:rPr>
              <w:t>OL, O, P, MC</w:t>
            </w:r>
          </w:p>
          <w:p w:rsidR="004E7BF4" w:rsidRPr="002C3543" w:rsidRDefault="004E7BF4" w:rsidP="007478B9">
            <w:pPr>
              <w:widowControl/>
              <w:jc w:val="center"/>
              <w:rPr>
                <w:rFonts w:ascii="Arial Narrow" w:hAnsi="Arial Narrow"/>
                <w:sz w:val="20"/>
                <w:lang w:val="pt-PT"/>
              </w:rPr>
            </w:pPr>
            <w:r w:rsidRPr="002C3543">
              <w:rPr>
                <w:rFonts w:ascii="Arial Narrow" w:hAnsi="Arial Narrow"/>
                <w:sz w:val="20"/>
                <w:lang w:val="pt-PT"/>
              </w:rPr>
              <w:t>Enrolled 2008</w:t>
            </w:r>
          </w:p>
          <w:p w:rsidR="004E7BF4" w:rsidRPr="002C3543" w:rsidRDefault="004E7BF4" w:rsidP="007478B9">
            <w:pPr>
              <w:widowControl/>
              <w:jc w:val="center"/>
              <w:rPr>
                <w:rFonts w:ascii="Arial Narrow" w:hAnsi="Arial Narrow"/>
                <w:sz w:val="20"/>
              </w:rPr>
            </w:pPr>
            <w:r w:rsidRPr="002C3543">
              <w:rPr>
                <w:rFonts w:ascii="Arial Narrow" w:hAnsi="Arial Narrow"/>
                <w:sz w:val="20"/>
              </w:rPr>
              <w:t>48-60 mths</w:t>
            </w:r>
          </w:p>
          <w:p w:rsidR="004E7BF4" w:rsidRPr="00531F6C" w:rsidRDefault="004E7BF4" w:rsidP="007478B9">
            <w:pPr>
              <w:widowControl/>
              <w:jc w:val="center"/>
              <w:rPr>
                <w:rFonts w:ascii="Arial Narrow" w:hAnsi="Arial Narrow"/>
                <w:i/>
                <w:iCs/>
                <w:sz w:val="20"/>
              </w:rPr>
            </w:pPr>
            <w:r w:rsidRPr="008F5C8A">
              <w:rPr>
                <w:rFonts w:ascii="Arial Narrow" w:hAnsi="Arial Narrow"/>
                <w:i/>
                <w:iCs/>
                <w:sz w:val="20"/>
              </w:rPr>
              <w:t>USA (118 Centres)</w:t>
            </w:r>
          </w:p>
        </w:tc>
        <w:tc>
          <w:tcPr>
            <w:tcW w:w="344" w:type="pct"/>
            <w:shd w:val="clear" w:color="auto" w:fill="auto"/>
            <w:vAlign w:val="center"/>
          </w:tcPr>
          <w:p w:rsidR="004E7BF4" w:rsidRPr="00531F6C" w:rsidRDefault="004E7BF4" w:rsidP="007478B9">
            <w:pPr>
              <w:widowControl/>
              <w:jc w:val="center"/>
              <w:rPr>
                <w:rFonts w:ascii="Arial Narrow" w:hAnsi="Arial Narrow"/>
                <w:sz w:val="20"/>
              </w:rPr>
            </w:pPr>
            <w:r w:rsidRPr="00531F6C">
              <w:rPr>
                <w:rFonts w:ascii="Arial Narrow" w:hAnsi="Arial Narrow"/>
                <w:sz w:val="20"/>
              </w:rPr>
              <w:t>High</w:t>
            </w:r>
          </w:p>
        </w:tc>
        <w:tc>
          <w:tcPr>
            <w:tcW w:w="1181" w:type="pct"/>
            <w:vMerge/>
            <w:shd w:val="clear" w:color="auto" w:fill="auto"/>
            <w:vAlign w:val="center"/>
          </w:tcPr>
          <w:p w:rsidR="004E7BF4" w:rsidRPr="00531F6C" w:rsidRDefault="004E7BF4" w:rsidP="007478B9">
            <w:pPr>
              <w:widowControl/>
              <w:jc w:val="center"/>
              <w:rPr>
                <w:rFonts w:ascii="Arial Narrow" w:hAnsi="Arial Narrow"/>
                <w:sz w:val="20"/>
                <w:vertAlign w:val="superscript"/>
              </w:rPr>
            </w:pPr>
          </w:p>
        </w:tc>
        <w:tc>
          <w:tcPr>
            <w:tcW w:w="593" w:type="pct"/>
            <w:gridSpan w:val="2"/>
            <w:shd w:val="clear" w:color="auto" w:fill="auto"/>
            <w:vAlign w:val="center"/>
          </w:tcPr>
          <w:p w:rsidR="004E7BF4" w:rsidRPr="00531F6C" w:rsidRDefault="004E7BF4" w:rsidP="007478B9">
            <w:pPr>
              <w:widowControl/>
              <w:jc w:val="center"/>
              <w:rPr>
                <w:rFonts w:ascii="Arial Narrow" w:hAnsi="Arial Narrow"/>
                <w:sz w:val="20"/>
              </w:rPr>
            </w:pPr>
            <w:r w:rsidRPr="00531F6C">
              <w:rPr>
                <w:rFonts w:ascii="Arial Narrow" w:hAnsi="Arial Narrow"/>
                <w:sz w:val="20"/>
              </w:rPr>
              <w:t>OS (from diagnosis)</w:t>
            </w:r>
          </w:p>
          <w:p w:rsidR="004E7BF4" w:rsidRPr="00531F6C" w:rsidRDefault="004E7BF4" w:rsidP="007478B9">
            <w:pPr>
              <w:widowControl/>
              <w:jc w:val="center"/>
              <w:rPr>
                <w:rFonts w:ascii="Arial Narrow" w:hAnsi="Arial Narrow"/>
                <w:sz w:val="20"/>
              </w:rPr>
            </w:pPr>
            <w:r w:rsidRPr="00531F6C">
              <w:rPr>
                <w:rFonts w:ascii="Arial Narrow" w:hAnsi="Arial Narrow"/>
                <w:sz w:val="20"/>
              </w:rPr>
              <w:t>Progression to AML</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31F6C">
              <w:rPr>
                <w:rFonts w:ascii="Arial Narrow" w:hAnsi="Arial Narrow"/>
                <w:sz w:val="20"/>
              </w:rPr>
              <w:t>Yes</w:t>
            </w:r>
          </w:p>
        </w:tc>
      </w:tr>
      <w:tr w:rsidR="004E7BF4" w:rsidRPr="00575319" w:rsidTr="004E7BF4">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Rose 2010</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97^</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44</w:t>
            </w:r>
          </w:p>
          <w:p w:rsidR="004E7BF4" w:rsidRPr="00550AED" w:rsidRDefault="004E7BF4" w:rsidP="007478B9">
            <w:pPr>
              <w:widowControl/>
              <w:jc w:val="center"/>
              <w:rPr>
                <w:rFonts w:ascii="Arial Narrow" w:hAnsi="Arial Narrow"/>
                <w:sz w:val="20"/>
              </w:rPr>
            </w:pPr>
            <w:r w:rsidRPr="00550AED">
              <w:rPr>
                <w:rFonts w:ascii="Arial Narrow" w:hAnsi="Arial Narrow"/>
                <w:sz w:val="20"/>
              </w:rPr>
              <w:t>ICT&gt;6mth: 53 (48 were initiated prior to study enrolment)</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OL, O, P, MC</w:t>
            </w:r>
          </w:p>
          <w:p w:rsidR="004E7BF4" w:rsidRPr="00550AED" w:rsidRDefault="004E7BF4" w:rsidP="007478B9">
            <w:pPr>
              <w:widowControl/>
              <w:jc w:val="center"/>
              <w:rPr>
                <w:rFonts w:ascii="Arial Narrow" w:hAnsi="Arial Narrow"/>
                <w:sz w:val="20"/>
              </w:rPr>
            </w:pPr>
            <w:r w:rsidRPr="00550AED">
              <w:rPr>
                <w:rFonts w:ascii="Arial Narrow" w:hAnsi="Arial Narrow"/>
                <w:sz w:val="20"/>
              </w:rPr>
              <w:t>Enrolled May-June 2005</w:t>
            </w:r>
          </w:p>
          <w:p w:rsidR="004E7BF4" w:rsidRPr="00550AED" w:rsidRDefault="004E7BF4" w:rsidP="007478B9">
            <w:pPr>
              <w:widowControl/>
              <w:jc w:val="center"/>
              <w:rPr>
                <w:rFonts w:ascii="Arial Narrow" w:hAnsi="Arial Narrow"/>
                <w:sz w:val="20"/>
              </w:rPr>
            </w:pPr>
            <w:r w:rsidRPr="00550AED">
              <w:rPr>
                <w:rFonts w:ascii="Arial Narrow" w:hAnsi="Arial Narrow"/>
                <w:sz w:val="20"/>
              </w:rPr>
              <w:t>30mths</w:t>
            </w: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France (18 centres)</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181"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MDS low or int1 IPSS; Patients received RBC transfusions.</w:t>
            </w:r>
          </w:p>
          <w:p w:rsidR="004E7BF4" w:rsidRPr="00550AED" w:rsidRDefault="004E7BF4" w:rsidP="007478B9">
            <w:pPr>
              <w:widowControl/>
              <w:jc w:val="center"/>
              <w:rPr>
                <w:rFonts w:ascii="Arial Narrow" w:hAnsi="Arial Narrow"/>
                <w:sz w:val="20"/>
              </w:rPr>
            </w:pPr>
            <w:r w:rsidRPr="00550AED">
              <w:rPr>
                <w:rFonts w:ascii="Arial Narrow" w:hAnsi="Arial Narrow"/>
                <w:sz w:val="20"/>
              </w:rPr>
              <w:t>chelation defined as weak or adequate+</w:t>
            </w:r>
          </w:p>
        </w:tc>
        <w:tc>
          <w:tcPr>
            <w:tcW w:w="593"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7142B5">
        <w:tc>
          <w:tcPr>
            <w:tcW w:w="5000" w:type="pct"/>
            <w:gridSpan w:val="8"/>
            <w:shd w:val="clear" w:color="auto" w:fill="auto"/>
            <w:vAlign w:val="center"/>
          </w:tcPr>
          <w:p w:rsidR="004E7BF4" w:rsidRPr="00550AED" w:rsidRDefault="004E7BF4" w:rsidP="00BC58F5">
            <w:pPr>
              <w:keepNext/>
              <w:widowControl/>
              <w:jc w:val="left"/>
              <w:rPr>
                <w:rFonts w:ascii="Arial Narrow" w:hAnsi="Arial Narrow"/>
                <w:b/>
                <w:bCs/>
                <w:sz w:val="20"/>
              </w:rPr>
            </w:pPr>
            <w:r w:rsidRPr="00550AED">
              <w:rPr>
                <w:rFonts w:ascii="Arial Narrow" w:hAnsi="Arial Narrow"/>
                <w:b/>
                <w:bCs/>
                <w:sz w:val="20"/>
              </w:rPr>
              <w:t>Retrospective non randomised studies</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Delforge 2014</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127</w:t>
            </w:r>
          </w:p>
          <w:p w:rsidR="004E7BF4" w:rsidRPr="00550AED" w:rsidRDefault="004E7BF4" w:rsidP="007478B9">
            <w:pPr>
              <w:widowControl/>
              <w:jc w:val="center"/>
              <w:rPr>
                <w:rFonts w:ascii="Arial Narrow" w:hAnsi="Arial Narrow"/>
                <w:sz w:val="20"/>
              </w:rPr>
            </w:pPr>
            <w:r w:rsidRPr="00550AED">
              <w:rPr>
                <w:rFonts w:ascii="Arial Narrow" w:hAnsi="Arial Narrow"/>
                <w:sz w:val="20"/>
              </w:rPr>
              <w:t>(No-ICT:47</w:t>
            </w:r>
          </w:p>
          <w:p w:rsidR="004E7BF4" w:rsidRPr="00550AED" w:rsidRDefault="004E7BF4" w:rsidP="007478B9">
            <w:pPr>
              <w:widowControl/>
              <w:jc w:val="center"/>
              <w:rPr>
                <w:rFonts w:ascii="Arial Narrow" w:hAnsi="Arial Narrow"/>
                <w:sz w:val="20"/>
              </w:rPr>
            </w:pPr>
            <w:r w:rsidRPr="00550AED">
              <w:rPr>
                <w:rFonts w:ascii="Arial Narrow" w:hAnsi="Arial Narrow"/>
                <w:sz w:val="20"/>
              </w:rPr>
              <w:t>ICT≤6mth: 18</w:t>
            </w:r>
          </w:p>
          <w:p w:rsidR="004E7BF4" w:rsidRPr="00550AED" w:rsidRDefault="004E7BF4" w:rsidP="007478B9">
            <w:pPr>
              <w:widowControl/>
              <w:jc w:val="center"/>
              <w:rPr>
                <w:rFonts w:ascii="Arial Narrow" w:hAnsi="Arial Narrow"/>
                <w:sz w:val="20"/>
              </w:rPr>
            </w:pPr>
            <w:r w:rsidRPr="00550AED">
              <w:rPr>
                <w:rFonts w:ascii="Arial Narrow" w:hAnsi="Arial Narrow"/>
                <w:sz w:val="20"/>
              </w:rPr>
              <w:t>ICT&gt;6mth: 62)</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RS, MC, chart review (Oct 2010-Mar 2011 to identify subjects) and reported events in the 2 yrs prior, </w:t>
            </w:r>
            <w:r w:rsidR="00742A70" w:rsidRPr="00550AED">
              <w:rPr>
                <w:rFonts w:ascii="Arial Narrow" w:hAnsi="Arial Narrow"/>
                <w:sz w:val="20"/>
              </w:rPr>
              <w:t>i.e.</w:t>
            </w:r>
            <w:r w:rsidRPr="00550AED">
              <w:rPr>
                <w:rFonts w:ascii="Arial Narrow" w:hAnsi="Arial Narrow"/>
                <w:sz w:val="20"/>
              </w:rPr>
              <w:t xml:space="preserve"> 2008-2011)</w:t>
            </w:r>
          </w:p>
          <w:p w:rsidR="004E7BF4" w:rsidRPr="00550AED" w:rsidRDefault="004E7BF4" w:rsidP="007478B9">
            <w:pPr>
              <w:widowControl/>
              <w:jc w:val="center"/>
              <w:rPr>
                <w:rFonts w:ascii="Arial Narrow" w:hAnsi="Arial Narrow"/>
                <w:sz w:val="20"/>
              </w:rPr>
            </w:pPr>
            <w:r w:rsidRPr="00550AED">
              <w:rPr>
                <w:rFonts w:ascii="Arial Narrow" w:hAnsi="Arial Narrow"/>
                <w:sz w:val="20"/>
              </w:rPr>
              <w:t>25.4mth</w:t>
            </w: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Belgium (28 centres)</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MDS Iow or int1 IPSS. Treated with DFO or DFX, weak and adequate chelation.</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Neukirchen 2012</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188</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94</w:t>
            </w:r>
          </w:p>
          <w:p w:rsidR="004E7BF4" w:rsidRPr="00550AED" w:rsidRDefault="004E7BF4" w:rsidP="007478B9">
            <w:pPr>
              <w:widowControl/>
              <w:jc w:val="center"/>
              <w:rPr>
                <w:rFonts w:ascii="Arial Narrow" w:hAnsi="Arial Narrow"/>
                <w:sz w:val="20"/>
              </w:rPr>
            </w:pPr>
            <w:r w:rsidRPr="00550AED">
              <w:rPr>
                <w:rFonts w:ascii="Arial Narrow" w:hAnsi="Arial Narrow"/>
                <w:sz w:val="20"/>
              </w:rPr>
              <w:t>Matched patients</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94)</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RS, MC, chart review for patients taking ICT, matched to those not taking ICT using age at dx, MDS type and IPSS score </w:t>
            </w:r>
          </w:p>
          <w:p w:rsidR="004E7BF4" w:rsidRPr="00550AED" w:rsidRDefault="004E7BF4" w:rsidP="007478B9">
            <w:pPr>
              <w:widowControl/>
              <w:jc w:val="center"/>
              <w:rPr>
                <w:rFonts w:ascii="Arial Narrow" w:hAnsi="Arial Narrow"/>
                <w:sz w:val="20"/>
              </w:rPr>
            </w:pPr>
            <w:r w:rsidRPr="00550AED">
              <w:rPr>
                <w:rFonts w:ascii="Arial Narrow" w:hAnsi="Arial Narrow"/>
                <w:sz w:val="20"/>
              </w:rPr>
              <w:t>(all Dx 1975-2008)</w:t>
            </w:r>
          </w:p>
          <w:p w:rsidR="004E7BF4" w:rsidRPr="00550AED" w:rsidRDefault="004E7BF4" w:rsidP="007478B9">
            <w:pPr>
              <w:widowControl/>
              <w:jc w:val="center"/>
              <w:rPr>
                <w:rFonts w:ascii="Arial Narrow" w:hAnsi="Arial Narrow"/>
                <w:sz w:val="20"/>
              </w:rPr>
            </w:pPr>
            <w:r w:rsidRPr="00550AED">
              <w:rPr>
                <w:rFonts w:ascii="Arial Narrow" w:hAnsi="Arial Narrow"/>
                <w:sz w:val="20"/>
              </w:rPr>
              <w:t>0.5-27 yrs^</w:t>
            </w: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Germany (Dusseldorf MDS registry)</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MDS – risk level not specified; IO (SF ≥1000 </w:t>
            </w:r>
            <w:r w:rsidRPr="00550AED">
              <w:rPr>
                <w:rFonts w:ascii="Arial Narrow" w:hAnsi="Arial Narrow"/>
                <w:sz w:val="20"/>
              </w:rPr>
              <w:sym w:font="Symbol" w:char="F06D"/>
            </w:r>
            <w:r w:rsidRPr="00550AED">
              <w:rPr>
                <w:rFonts w:ascii="Arial Narrow" w:hAnsi="Arial Narrow"/>
                <w:sz w:val="20"/>
              </w:rPr>
              <w:t xml:space="preserve">g/L, or a history of multiple transfusions and SF ≥500) </w:t>
            </w:r>
            <w:r w:rsidRPr="00550AED">
              <w:rPr>
                <w:rFonts w:ascii="Arial Narrow" w:hAnsi="Arial Narrow"/>
                <w:sz w:val="20"/>
              </w:rPr>
              <w:sym w:font="Symbol" w:char="F06D"/>
            </w:r>
            <w:r w:rsidRPr="00550AED">
              <w:rPr>
                <w:rFonts w:ascii="Arial Narrow" w:hAnsi="Arial Narrow"/>
                <w:sz w:val="20"/>
              </w:rPr>
              <w:t>g/L; receiving long term chelation therapy</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(assumed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Raptis 2010</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128 (ICT eligible)</w:t>
            </w:r>
          </w:p>
          <w:p w:rsidR="004E7BF4" w:rsidRPr="00550AED" w:rsidRDefault="004E7BF4" w:rsidP="007478B9">
            <w:pPr>
              <w:widowControl/>
              <w:jc w:val="center"/>
              <w:rPr>
                <w:rFonts w:ascii="Arial Narrow" w:hAnsi="Arial Narrow"/>
                <w:sz w:val="20"/>
              </w:rPr>
            </w:pPr>
            <w:r w:rsidRPr="00550AED">
              <w:rPr>
                <w:rFonts w:ascii="Arial Narrow" w:hAnsi="Arial Narrow"/>
                <w:sz w:val="20"/>
              </w:rPr>
              <w:t>78 (ICT eligible with lower risk MDS</w:t>
            </w:r>
            <w:r w:rsidRPr="00550AED">
              <w:rPr>
                <w:rFonts w:ascii="Arial Narrow" w:hAnsi="Arial Narrow"/>
                <w:sz w:val="20"/>
                <w:vertAlign w:val="superscript"/>
              </w:rPr>
              <w:t>#</w:t>
            </w:r>
            <w:r w:rsidRPr="00550AED">
              <w:rPr>
                <w:rFonts w:ascii="Arial Narrow" w:hAnsi="Arial Narrow"/>
                <w:sz w:val="20"/>
              </w:rPr>
              <w:t>)</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46</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32</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RS, MC, chart review </w:t>
            </w:r>
          </w:p>
          <w:p w:rsidR="004E7BF4" w:rsidRPr="00550AED" w:rsidRDefault="004E7BF4" w:rsidP="007478B9">
            <w:pPr>
              <w:widowControl/>
              <w:jc w:val="center"/>
              <w:rPr>
                <w:rFonts w:ascii="Arial Narrow" w:hAnsi="Arial Narrow"/>
                <w:sz w:val="20"/>
              </w:rPr>
            </w:pPr>
            <w:r w:rsidRPr="00550AED">
              <w:rPr>
                <w:rFonts w:ascii="Arial Narrow" w:hAnsi="Arial Narrow"/>
                <w:sz w:val="20"/>
              </w:rPr>
              <w:t>(Dx 1998-2007)</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55.2 (4.6yrs)</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32.4 (2.7yrs)</w:t>
            </w:r>
          </w:p>
          <w:p w:rsidR="004E7BF4" w:rsidRPr="00550AED" w:rsidRDefault="004E7BF4" w:rsidP="007478B9">
            <w:pPr>
              <w:widowControl/>
              <w:jc w:val="center"/>
              <w:rPr>
                <w:rFonts w:ascii="Arial Narrow" w:hAnsi="Arial Narrow"/>
                <w:sz w:val="20"/>
              </w:rPr>
            </w:pP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USA (US P4 healthcare network)</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Age ≥21 years; MDS (93.5%), aplastic anaemia or other severe anaemia, ≥1 RBC transfusion; </w:t>
            </w:r>
          </w:p>
          <w:p w:rsidR="004E7BF4" w:rsidRPr="00550AED" w:rsidRDefault="004E7BF4" w:rsidP="007478B9">
            <w:pPr>
              <w:widowControl/>
              <w:jc w:val="center"/>
              <w:rPr>
                <w:rFonts w:ascii="Arial Narrow" w:hAnsi="Arial Narrow"/>
                <w:sz w:val="20"/>
              </w:rPr>
            </w:pPr>
            <w:r w:rsidRPr="00550AED">
              <w:rPr>
                <w:rFonts w:ascii="Arial Narrow" w:hAnsi="Arial Narrow"/>
                <w:sz w:val="20"/>
              </w:rPr>
              <w:t>Subgroup with lower risk MDS</w:t>
            </w:r>
            <w:r w:rsidRPr="00550AED">
              <w:rPr>
                <w:rFonts w:ascii="Arial Narrow" w:hAnsi="Arial Narrow"/>
                <w:sz w:val="20"/>
                <w:vertAlign w:val="superscript"/>
              </w:rPr>
              <w:t>#</w:t>
            </w:r>
            <w:r w:rsidRPr="00550AED">
              <w:rPr>
                <w:rFonts w:ascii="Arial Narrow" w:hAnsi="Arial Narrow"/>
                <w:sz w:val="20"/>
              </w:rPr>
              <w:t>; Eligibility criteria for ICT: ≥2 SF 1000 μg/L or  ≥20 units of RBCs transfused</w:t>
            </w:r>
          </w:p>
          <w:p w:rsidR="004E7BF4" w:rsidRPr="00550AED" w:rsidRDefault="004E7BF4" w:rsidP="007478B9">
            <w:pPr>
              <w:widowControl/>
              <w:jc w:val="center"/>
              <w:rPr>
                <w:rFonts w:ascii="Arial Narrow" w:hAnsi="Arial Narrow"/>
                <w:sz w:val="20"/>
              </w:rPr>
            </w:pPr>
            <w:r w:rsidRPr="00550AED">
              <w:rPr>
                <w:rFonts w:ascii="Arial Narrow" w:hAnsi="Arial Narrow"/>
                <w:sz w:val="20"/>
              </w:rPr>
              <w:t>&gt;1 prescription DFX or ≥1 dose of sc DFO</w:t>
            </w:r>
          </w:p>
          <w:p w:rsidR="004E7BF4" w:rsidRPr="00550AED" w:rsidRDefault="004E7BF4" w:rsidP="007478B9">
            <w:pPr>
              <w:widowControl/>
              <w:jc w:val="center"/>
              <w:rPr>
                <w:rFonts w:ascii="Arial Narrow" w:hAnsi="Arial Narrow"/>
                <w:sz w:val="20"/>
              </w:rPr>
            </w:pPr>
            <w:r w:rsidRPr="00550AED">
              <w:rPr>
                <w:rFonts w:ascii="Arial Narrow" w:hAnsi="Arial Narrow"/>
                <w:sz w:val="20"/>
              </w:rPr>
              <w:t>Matching: age at dx (±5 years), gender, not for comorbidities and intensity of transfusion during the course of the disease.</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Remacha 2014</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263</w:t>
            </w:r>
          </w:p>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No ICT:116 </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147</w:t>
            </w:r>
          </w:p>
          <w:p w:rsidR="004E7BF4" w:rsidRPr="00550AED" w:rsidRDefault="004E7BF4" w:rsidP="007478B9">
            <w:pPr>
              <w:widowControl/>
              <w:jc w:val="center"/>
              <w:rPr>
                <w:rFonts w:ascii="Arial Narrow" w:hAnsi="Arial Narrow"/>
                <w:sz w:val="20"/>
              </w:rPr>
            </w:pPr>
            <w:r w:rsidRPr="00550AED">
              <w:rPr>
                <w:rFonts w:ascii="Arial Narrow" w:hAnsi="Arial Narrow"/>
                <w:sz w:val="20"/>
              </w:rPr>
              <w:t>ICT≥6mth: 96</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RS, MC, chart review (Mar 2010-Mar 2011)</w:t>
            </w:r>
          </w:p>
          <w:p w:rsidR="004E7BF4" w:rsidRPr="00550AED" w:rsidRDefault="004E7BF4" w:rsidP="007478B9">
            <w:pPr>
              <w:widowControl/>
              <w:jc w:val="center"/>
              <w:rPr>
                <w:rFonts w:ascii="Arial Narrow" w:hAnsi="Arial Narrow"/>
                <w:sz w:val="20"/>
              </w:rPr>
            </w:pPr>
            <w:r w:rsidRPr="00550AED">
              <w:rPr>
                <w:rFonts w:ascii="Arial Narrow" w:hAnsi="Arial Narrow"/>
                <w:sz w:val="20"/>
              </w:rPr>
              <w:t>41 mths (IQR:19-80)</w:t>
            </w:r>
          </w:p>
          <w:p w:rsidR="004E7BF4" w:rsidRPr="00550AED" w:rsidRDefault="004E7BF4" w:rsidP="007478B9">
            <w:pPr>
              <w:widowControl/>
              <w:jc w:val="center"/>
              <w:rPr>
                <w:rFonts w:ascii="Arial Narrow" w:hAnsi="Arial Narrow"/>
                <w:i/>
                <w:iCs/>
                <w:sz w:val="20"/>
              </w:rPr>
            </w:pPr>
            <w:r w:rsidRPr="00550AED">
              <w:rPr>
                <w:rFonts w:ascii="Arial Narrow" w:hAnsi="Arial Narrow"/>
                <w:i/>
                <w:iCs/>
                <w:sz w:val="20"/>
              </w:rPr>
              <w:t>Spain (47 hospitals)</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Age ≥18 yrs; lower risk MDS: Low/Int-1 IPSS or Spanish prognostic index 0-1; transfusion dependent; ≥10 RBC transfusions during last 12 months prior to study entry.</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(assumed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Leitch 2008</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ICT: 36</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(matched control):18</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18</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RS, MC, chart review (patients seen between 1981-2006)</w:t>
            </w:r>
          </w:p>
          <w:p w:rsidR="004E7BF4" w:rsidRPr="00550AED" w:rsidRDefault="004E7BF4" w:rsidP="007478B9">
            <w:pPr>
              <w:widowControl/>
              <w:jc w:val="center"/>
              <w:rPr>
                <w:rFonts w:ascii="Arial Narrow" w:hAnsi="Arial Narrow"/>
                <w:sz w:val="20"/>
                <w:lang w:val="fr-FR"/>
              </w:rPr>
            </w:pPr>
            <w:r w:rsidRPr="00550AED">
              <w:rPr>
                <w:rFonts w:ascii="Arial Narrow" w:hAnsi="Arial Narrow"/>
                <w:sz w:val="20"/>
                <w:lang w:val="fr-FR"/>
              </w:rPr>
              <w:t>51.1mths</w:t>
            </w:r>
          </w:p>
          <w:p w:rsidR="004E7BF4" w:rsidRPr="00550AED" w:rsidRDefault="004E7BF4" w:rsidP="007478B9">
            <w:pPr>
              <w:widowControl/>
              <w:jc w:val="center"/>
              <w:rPr>
                <w:rFonts w:ascii="Arial Narrow" w:hAnsi="Arial Narrow"/>
                <w:sz w:val="20"/>
              </w:rPr>
            </w:pPr>
            <w:r w:rsidRPr="00550AED">
              <w:rPr>
                <w:rFonts w:ascii="Arial Narrow" w:hAnsi="Arial Narrow"/>
                <w:i/>
                <w:iCs/>
                <w:sz w:val="20"/>
                <w:lang w:val="fr-FR"/>
              </w:rPr>
              <w:t>Canada (St Pauls, Vancouver)</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MDS; Low/Int-1 IPSS</w:t>
            </w:r>
          </w:p>
          <w:p w:rsidR="004E7BF4" w:rsidRPr="00550AED" w:rsidRDefault="004E7BF4" w:rsidP="007478B9">
            <w:pPr>
              <w:widowControl/>
              <w:jc w:val="center"/>
              <w:rPr>
                <w:rFonts w:ascii="Arial Narrow" w:hAnsi="Arial Narrow"/>
                <w:sz w:val="20"/>
              </w:rPr>
            </w:pPr>
            <w:r w:rsidRPr="00550AED">
              <w:rPr>
                <w:rFonts w:ascii="Arial Narrow" w:hAnsi="Arial Narrow"/>
                <w:sz w:val="20"/>
              </w:rPr>
              <w:t>Criteria for initiating ICT:</w:t>
            </w:r>
          </w:p>
          <w:p w:rsidR="004E7BF4" w:rsidRPr="00550AED" w:rsidRDefault="004E7BF4" w:rsidP="007478B9">
            <w:pPr>
              <w:widowControl/>
              <w:jc w:val="center"/>
              <w:rPr>
                <w:rFonts w:ascii="Arial Narrow" w:hAnsi="Arial Narrow"/>
                <w:sz w:val="20"/>
              </w:rPr>
            </w:pPr>
            <w:r w:rsidRPr="00550AED">
              <w:rPr>
                <w:rFonts w:ascii="Arial Narrow" w:hAnsi="Arial Narrow"/>
                <w:sz w:val="20"/>
              </w:rPr>
              <w:t>≥1 of the following: SF</w:t>
            </w:r>
          </w:p>
          <w:p w:rsidR="004E7BF4" w:rsidRPr="00550AED" w:rsidRDefault="004E7BF4" w:rsidP="007478B9">
            <w:pPr>
              <w:widowControl/>
              <w:jc w:val="center"/>
              <w:rPr>
                <w:rFonts w:ascii="Arial Narrow" w:hAnsi="Arial Narrow"/>
                <w:sz w:val="20"/>
              </w:rPr>
            </w:pPr>
            <w:r w:rsidRPr="00550AED">
              <w:rPr>
                <w:rFonts w:ascii="Arial Narrow" w:hAnsi="Arial Narrow"/>
                <w:sz w:val="20"/>
              </w:rPr>
              <w:t>&gt;2000 μg/L, transfusion of</w:t>
            </w:r>
          </w:p>
          <w:p w:rsidR="004E7BF4" w:rsidRPr="00550AED" w:rsidRDefault="004E7BF4" w:rsidP="007478B9">
            <w:pPr>
              <w:widowControl/>
              <w:jc w:val="center"/>
              <w:rPr>
                <w:rFonts w:ascii="Arial Narrow" w:hAnsi="Arial Narrow"/>
                <w:sz w:val="20"/>
              </w:rPr>
            </w:pPr>
            <w:r w:rsidRPr="00550AED">
              <w:rPr>
                <w:rFonts w:ascii="Arial Narrow" w:hAnsi="Arial Narrow"/>
                <w:sz w:val="20"/>
              </w:rPr>
              <w:t xml:space="preserve">≥20 units of RBCs, or clinical evidence of </w:t>
            </w:r>
            <w:r w:rsidR="00575755">
              <w:rPr>
                <w:rFonts w:ascii="Arial Narrow" w:hAnsi="Arial Narrow"/>
                <w:sz w:val="20"/>
              </w:rPr>
              <w:t>iron overload</w:t>
            </w:r>
            <w:r w:rsidRPr="00550AED">
              <w:rPr>
                <w:rFonts w:ascii="Arial Narrow" w:hAnsi="Arial Narrow"/>
                <w:sz w:val="20"/>
              </w:rPr>
              <w:t>.</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550AED">
        <w:tc>
          <w:tcPr>
            <w:tcW w:w="509" w:type="pct"/>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sz w:val="20"/>
              </w:rPr>
              <w:t>Komrokji 2011(abst)</w:t>
            </w:r>
          </w:p>
        </w:tc>
        <w:tc>
          <w:tcPr>
            <w:tcW w:w="93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97</w:t>
            </w:r>
          </w:p>
          <w:p w:rsidR="004E7BF4" w:rsidRPr="00550AED" w:rsidRDefault="004E7BF4" w:rsidP="007478B9">
            <w:pPr>
              <w:widowControl/>
              <w:jc w:val="center"/>
              <w:rPr>
                <w:rFonts w:ascii="Arial Narrow" w:hAnsi="Arial Narrow"/>
                <w:sz w:val="20"/>
              </w:rPr>
            </w:pPr>
            <w:r w:rsidRPr="00550AED">
              <w:rPr>
                <w:rFonts w:ascii="Arial Narrow" w:hAnsi="Arial Narrow"/>
                <w:sz w:val="20"/>
              </w:rPr>
              <w:t>No ICT: 52</w:t>
            </w:r>
          </w:p>
          <w:p w:rsidR="004E7BF4" w:rsidRPr="00550AED" w:rsidRDefault="004E7BF4" w:rsidP="007478B9">
            <w:pPr>
              <w:widowControl/>
              <w:jc w:val="center"/>
              <w:rPr>
                <w:rFonts w:ascii="Arial Narrow" w:hAnsi="Arial Narrow"/>
                <w:sz w:val="20"/>
              </w:rPr>
            </w:pPr>
            <w:r w:rsidRPr="00550AED">
              <w:rPr>
                <w:rFonts w:ascii="Arial Narrow" w:hAnsi="Arial Narrow"/>
                <w:sz w:val="20"/>
              </w:rPr>
              <w:t>ICT: 45</w:t>
            </w:r>
          </w:p>
        </w:tc>
        <w:tc>
          <w:tcPr>
            <w:tcW w:w="1102"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RS, MC, chart review (patients seen between July2001-July 2009)</w:t>
            </w:r>
          </w:p>
          <w:p w:rsidR="004E7BF4" w:rsidRPr="00550AED" w:rsidRDefault="004E7BF4" w:rsidP="007478B9">
            <w:pPr>
              <w:widowControl/>
              <w:jc w:val="center"/>
              <w:rPr>
                <w:rFonts w:ascii="Arial Narrow" w:hAnsi="Arial Narrow"/>
                <w:sz w:val="20"/>
              </w:rPr>
            </w:pPr>
            <w:r w:rsidRPr="00550AED">
              <w:rPr>
                <w:rFonts w:ascii="Arial Narrow" w:hAnsi="Arial Narrow"/>
                <w:sz w:val="20"/>
              </w:rPr>
              <w:t>85.7 mths from diagnosis</w:t>
            </w:r>
          </w:p>
          <w:p w:rsidR="004E7BF4" w:rsidRPr="00550AED" w:rsidRDefault="004E7BF4" w:rsidP="007478B9">
            <w:pPr>
              <w:widowControl/>
              <w:jc w:val="center"/>
              <w:rPr>
                <w:rFonts w:ascii="Arial Narrow" w:hAnsi="Arial Narrow"/>
                <w:sz w:val="20"/>
              </w:rPr>
            </w:pPr>
            <w:r w:rsidRPr="00550AED">
              <w:rPr>
                <w:rFonts w:ascii="Arial Narrow" w:hAnsi="Arial Narrow"/>
                <w:i/>
                <w:iCs/>
                <w:sz w:val="20"/>
              </w:rPr>
              <w:t>USA (Moffat Cancer centre)</w:t>
            </w:r>
          </w:p>
        </w:tc>
        <w:tc>
          <w:tcPr>
            <w:tcW w:w="344"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High</w:t>
            </w:r>
          </w:p>
        </w:tc>
        <w:tc>
          <w:tcPr>
            <w:tcW w:w="1264" w:type="pct"/>
            <w:gridSpan w:val="2"/>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MDS: Low/int-1 IPSS; SF≥1000 µg/L</w:t>
            </w:r>
          </w:p>
        </w:tc>
        <w:tc>
          <w:tcPr>
            <w:tcW w:w="510"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OS (from diagnosis)</w:t>
            </w:r>
          </w:p>
        </w:tc>
        <w:tc>
          <w:tcPr>
            <w:tcW w:w="337" w:type="pct"/>
            <w:shd w:val="clear" w:color="auto" w:fill="auto"/>
            <w:vAlign w:val="center"/>
          </w:tcPr>
          <w:p w:rsidR="004E7BF4" w:rsidRPr="00550AED" w:rsidRDefault="004E7BF4" w:rsidP="007478B9">
            <w:pPr>
              <w:widowControl/>
              <w:jc w:val="center"/>
              <w:rPr>
                <w:rFonts w:ascii="Arial Narrow" w:hAnsi="Arial Narrow"/>
                <w:sz w:val="20"/>
              </w:rPr>
            </w:pPr>
            <w:r w:rsidRPr="00550AED">
              <w:rPr>
                <w:rFonts w:ascii="Arial Narrow" w:hAnsi="Arial Narrow"/>
                <w:sz w:val="20"/>
              </w:rPr>
              <w:t>No</w:t>
            </w:r>
          </w:p>
        </w:tc>
      </w:tr>
      <w:tr w:rsidR="004E7BF4" w:rsidRPr="00575319" w:rsidTr="004E7BF4">
        <w:tc>
          <w:tcPr>
            <w:tcW w:w="5000" w:type="pct"/>
            <w:gridSpan w:val="8"/>
            <w:shd w:val="clear" w:color="auto" w:fill="auto"/>
            <w:vAlign w:val="center"/>
          </w:tcPr>
          <w:p w:rsidR="004E7BF4" w:rsidRPr="00550AED" w:rsidRDefault="004E7BF4" w:rsidP="007478B9">
            <w:pPr>
              <w:widowControl/>
              <w:jc w:val="left"/>
              <w:rPr>
                <w:rFonts w:ascii="Arial Narrow" w:hAnsi="Arial Narrow"/>
                <w:sz w:val="20"/>
              </w:rPr>
            </w:pPr>
            <w:r w:rsidRPr="00550AED">
              <w:rPr>
                <w:rFonts w:ascii="Arial Narrow" w:hAnsi="Arial Narrow"/>
                <w:b/>
                <w:bCs/>
                <w:sz w:val="20"/>
              </w:rPr>
              <w:t>Meta-analyses</w:t>
            </w:r>
          </w:p>
        </w:tc>
      </w:tr>
      <w:tr w:rsidR="004E7BF4" w:rsidRPr="00575319" w:rsidTr="00EC4746">
        <w:tc>
          <w:tcPr>
            <w:tcW w:w="509" w:type="pct"/>
            <w:shd w:val="clear" w:color="auto" w:fill="auto"/>
            <w:vAlign w:val="center"/>
          </w:tcPr>
          <w:p w:rsidR="004E7BF4" w:rsidRPr="00550AED" w:rsidRDefault="004E7BF4" w:rsidP="007478B9">
            <w:pPr>
              <w:widowControl/>
              <w:jc w:val="left"/>
              <w:rPr>
                <w:rFonts w:ascii="Arial Narrow" w:hAnsi="Arial Narrow"/>
                <w:b/>
                <w:bCs/>
                <w:sz w:val="20"/>
              </w:rPr>
            </w:pPr>
            <w:r w:rsidRPr="00550AED">
              <w:rPr>
                <w:rFonts w:ascii="Arial Narrow" w:hAnsi="Arial Narrow"/>
                <w:sz w:val="20"/>
              </w:rPr>
              <w:t>Mainous 2014</w:t>
            </w:r>
          </w:p>
        </w:tc>
        <w:tc>
          <w:tcPr>
            <w:tcW w:w="934" w:type="pct"/>
            <w:shd w:val="clear" w:color="auto" w:fill="auto"/>
            <w:vAlign w:val="center"/>
          </w:tcPr>
          <w:p w:rsidR="004E7BF4" w:rsidRPr="00550AED" w:rsidRDefault="004E7BF4" w:rsidP="007478B9">
            <w:pPr>
              <w:widowControl/>
              <w:jc w:val="center"/>
              <w:rPr>
                <w:rFonts w:ascii="Arial Narrow" w:hAnsi="Arial Narrow"/>
                <w:b/>
                <w:bCs/>
                <w:sz w:val="20"/>
              </w:rPr>
            </w:pPr>
            <w:r w:rsidRPr="00550AED">
              <w:rPr>
                <w:rFonts w:ascii="Arial Narrow" w:hAnsi="Arial Narrow"/>
                <w:sz w:val="20"/>
              </w:rPr>
              <w:t>1562</w:t>
            </w:r>
          </w:p>
        </w:tc>
        <w:tc>
          <w:tcPr>
            <w:tcW w:w="3220" w:type="pct"/>
            <w:gridSpan w:val="5"/>
            <w:shd w:val="clear" w:color="auto" w:fill="auto"/>
            <w:vAlign w:val="center"/>
          </w:tcPr>
          <w:p w:rsidR="004E7BF4" w:rsidRPr="00550AED" w:rsidRDefault="004E7BF4" w:rsidP="007478B9">
            <w:pPr>
              <w:widowControl/>
              <w:jc w:val="left"/>
              <w:rPr>
                <w:rFonts w:ascii="Arial Narrow" w:hAnsi="Arial Narrow"/>
                <w:b/>
                <w:bCs/>
                <w:sz w:val="20"/>
              </w:rPr>
            </w:pPr>
            <w:r w:rsidRPr="00550AED">
              <w:rPr>
                <w:rFonts w:ascii="Arial Narrow" w:hAnsi="Arial Narrow"/>
                <w:sz w:val="20"/>
              </w:rPr>
              <w:t>The meta-analysis pooled the observed differences in OS from the included Lyons 2014 Remacha 2014; Leitch 2008; Komrokji 2011; Delforge 2014; Neukirchen 2012; Raptis 2010 and Rose 2010 publications</w:t>
            </w:r>
          </w:p>
        </w:tc>
        <w:tc>
          <w:tcPr>
            <w:tcW w:w="337" w:type="pct"/>
            <w:shd w:val="clear" w:color="auto" w:fill="auto"/>
            <w:vAlign w:val="center"/>
          </w:tcPr>
          <w:p w:rsidR="004E7BF4" w:rsidRPr="00550AED" w:rsidRDefault="004E7BF4" w:rsidP="007478B9">
            <w:pPr>
              <w:widowControl/>
              <w:jc w:val="center"/>
              <w:rPr>
                <w:rFonts w:ascii="Arial Narrow" w:hAnsi="Arial Narrow"/>
                <w:b/>
                <w:bCs/>
                <w:sz w:val="20"/>
              </w:rPr>
            </w:pPr>
            <w:r w:rsidRPr="00550AED">
              <w:rPr>
                <w:rFonts w:ascii="Arial Narrow" w:hAnsi="Arial Narrow"/>
                <w:sz w:val="20"/>
              </w:rPr>
              <w:t>No</w:t>
            </w:r>
          </w:p>
        </w:tc>
      </w:tr>
      <w:tr w:rsidR="004E7BF4" w:rsidRPr="00575319" w:rsidTr="00EC4746">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4E7BF4" w:rsidRPr="00550AED" w:rsidRDefault="004E7BF4" w:rsidP="007478B9">
            <w:pPr>
              <w:widowControl/>
              <w:jc w:val="left"/>
              <w:rPr>
                <w:rFonts w:ascii="Arial Narrow" w:hAnsi="Arial Narrow"/>
                <w:b/>
                <w:bCs/>
                <w:sz w:val="20"/>
              </w:rPr>
            </w:pPr>
            <w:r w:rsidRPr="00550AED">
              <w:rPr>
                <w:rFonts w:ascii="Arial Narrow" w:hAnsi="Arial Narrow"/>
                <w:sz w:val="20"/>
              </w:rPr>
              <w:t>Meerpohl 2014</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4E7BF4" w:rsidRPr="00550AED" w:rsidRDefault="004E7BF4" w:rsidP="007478B9">
            <w:pPr>
              <w:widowControl/>
              <w:jc w:val="center"/>
              <w:rPr>
                <w:rFonts w:ascii="Arial Narrow" w:hAnsi="Arial Narrow"/>
                <w:b/>
                <w:bCs/>
                <w:sz w:val="20"/>
              </w:rPr>
            </w:pPr>
            <w:r w:rsidRPr="00550AED">
              <w:rPr>
                <w:rFonts w:ascii="Arial Narrow" w:hAnsi="Arial Narrow"/>
                <w:sz w:val="20"/>
              </w:rPr>
              <w:t>0</w:t>
            </w:r>
          </w:p>
        </w:tc>
        <w:tc>
          <w:tcPr>
            <w:tcW w:w="32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E7BF4" w:rsidRPr="00550AED" w:rsidRDefault="004E7BF4" w:rsidP="007478B9">
            <w:pPr>
              <w:widowControl/>
              <w:jc w:val="left"/>
              <w:rPr>
                <w:rFonts w:ascii="Arial Narrow" w:hAnsi="Arial Narrow"/>
                <w:b/>
                <w:bCs/>
                <w:sz w:val="20"/>
              </w:rPr>
            </w:pPr>
            <w:r w:rsidRPr="00550AED">
              <w:rPr>
                <w:rFonts w:ascii="Arial Narrow" w:hAnsi="Arial Narrow"/>
                <w:sz w:val="20"/>
              </w:rPr>
              <w:t xml:space="preserve">The Cochrane meta-analysis looked for trials of DFX versus placebo or other ICTs in MDS irrespective of the trial’s outcome measures.  Although the literature search identified 3 ongoing and 1 completed trials, no data from any of these RCTs were available for inclusion in the review.  Apart from TELESTO (still ongoing), the other identified trials do not report survival outcomes. </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E7BF4" w:rsidRPr="00550AED" w:rsidRDefault="004E7BF4" w:rsidP="007478B9">
            <w:pPr>
              <w:widowControl/>
              <w:jc w:val="center"/>
              <w:rPr>
                <w:rFonts w:ascii="Arial Narrow" w:hAnsi="Arial Narrow"/>
                <w:b/>
                <w:bCs/>
                <w:sz w:val="20"/>
              </w:rPr>
            </w:pPr>
            <w:r w:rsidRPr="00550AED">
              <w:rPr>
                <w:rFonts w:ascii="Arial Narrow" w:hAnsi="Arial Narrow"/>
                <w:sz w:val="20"/>
              </w:rPr>
              <w:t>No</w:t>
            </w:r>
          </w:p>
        </w:tc>
      </w:tr>
    </w:tbl>
    <w:p w:rsidR="004E7BF4" w:rsidRPr="00575319" w:rsidRDefault="004E7BF4" w:rsidP="007478B9">
      <w:pPr>
        <w:widowControl/>
        <w:ind w:left="680"/>
        <w:rPr>
          <w:rFonts w:ascii="Arial Narrow" w:hAnsi="Arial Narrow"/>
          <w:sz w:val="18"/>
          <w:szCs w:val="16"/>
        </w:rPr>
      </w:pPr>
      <w:r w:rsidRPr="00575319">
        <w:rPr>
          <w:rFonts w:ascii="Arial Narrow" w:hAnsi="Arial Narrow"/>
          <w:sz w:val="18"/>
          <w:szCs w:val="16"/>
        </w:rPr>
        <w:t xml:space="preserve">Abbreviations: Dx, diagnosis;  IPSS, International Prognostic Scoring System; Int-1, intermediate-1; ICT, iron chelation therapy; LE, life expectancy; MDS, myelodysplastic syndrome; NR, not reported; PRBC, packed red blood cell; RBC, red blood cell; sc, subcutaneous; SF, serum ferritin; tIO; transfusional </w:t>
      </w:r>
      <w:r w:rsidR="00575755">
        <w:rPr>
          <w:rFonts w:ascii="Arial Narrow" w:hAnsi="Arial Narrow"/>
          <w:sz w:val="18"/>
          <w:szCs w:val="16"/>
        </w:rPr>
        <w:t>iron overload</w:t>
      </w:r>
      <w:r w:rsidRPr="00575319">
        <w:rPr>
          <w:rFonts w:ascii="Arial Narrow" w:hAnsi="Arial Narrow"/>
          <w:sz w:val="18"/>
          <w:szCs w:val="16"/>
        </w:rPr>
        <w:t>; IO=</w:t>
      </w:r>
      <w:r w:rsidR="00575755">
        <w:rPr>
          <w:rFonts w:ascii="Arial Narrow" w:hAnsi="Arial Narrow"/>
          <w:sz w:val="18"/>
          <w:szCs w:val="16"/>
        </w:rPr>
        <w:t>iron overload</w:t>
      </w:r>
      <w:r w:rsidRPr="00575319">
        <w:rPr>
          <w:rFonts w:ascii="Arial Narrow" w:hAnsi="Arial Narrow"/>
          <w:sz w:val="18"/>
          <w:szCs w:val="16"/>
        </w:rPr>
        <w:t>; MC=multi-centre; O=observational,</w:t>
      </w:r>
      <w:r>
        <w:rPr>
          <w:rFonts w:ascii="Arial Narrow" w:hAnsi="Arial Narrow"/>
          <w:sz w:val="18"/>
          <w:szCs w:val="16"/>
        </w:rPr>
        <w:t xml:space="preserve"> OL = open label;</w:t>
      </w:r>
      <w:r w:rsidRPr="00575319">
        <w:rPr>
          <w:rFonts w:ascii="Arial Narrow" w:hAnsi="Arial Narrow"/>
          <w:sz w:val="18"/>
          <w:szCs w:val="16"/>
        </w:rPr>
        <w:t xml:space="preserve"> OS=overall survival; </w:t>
      </w:r>
      <w:r>
        <w:rPr>
          <w:rFonts w:ascii="Arial Narrow" w:hAnsi="Arial Narrow"/>
          <w:sz w:val="18"/>
          <w:szCs w:val="16"/>
        </w:rPr>
        <w:t xml:space="preserve">P = prospective; </w:t>
      </w:r>
      <w:r w:rsidRPr="00575319">
        <w:rPr>
          <w:rFonts w:ascii="Arial Narrow" w:hAnsi="Arial Narrow"/>
          <w:sz w:val="18"/>
          <w:szCs w:val="16"/>
        </w:rPr>
        <w:t>RS=retrospective; ICT=iron chelation therapy, MDS=myelodysplastic syndrome; Dx=diagnosed; IQR=interquartile range; abst=abstract</w:t>
      </w:r>
    </w:p>
    <w:p w:rsidR="004E7BF4" w:rsidRPr="00575319" w:rsidRDefault="004E7BF4" w:rsidP="007478B9">
      <w:pPr>
        <w:pStyle w:val="TableFooter"/>
        <w:widowControl/>
        <w:ind w:left="851" w:hanging="142"/>
        <w:rPr>
          <w:szCs w:val="16"/>
        </w:rPr>
      </w:pPr>
      <w:r w:rsidRPr="00575319">
        <w:rPr>
          <w:szCs w:val="16"/>
        </w:rPr>
        <w:t>*</w:t>
      </w:r>
      <w:r w:rsidRPr="00575319">
        <w:rPr>
          <w:szCs w:val="16"/>
        </w:rPr>
        <w:tab/>
        <w:t>number of patients analysed</w:t>
      </w:r>
    </w:p>
    <w:p w:rsidR="004E7BF4" w:rsidRPr="00575319" w:rsidRDefault="004E7BF4" w:rsidP="007478B9">
      <w:pPr>
        <w:pStyle w:val="TableFooter"/>
        <w:widowControl/>
        <w:ind w:left="851" w:hanging="142"/>
        <w:rPr>
          <w:szCs w:val="16"/>
        </w:rPr>
      </w:pPr>
      <w:r w:rsidRPr="00575319">
        <w:rPr>
          <w:szCs w:val="16"/>
        </w:rPr>
        <w:t>^</w:t>
      </w:r>
      <w:r w:rsidRPr="00575319">
        <w:rPr>
          <w:szCs w:val="16"/>
        </w:rPr>
        <w:tab/>
        <w:t>registry was established in 1982, patients diagnosed between 1975 and 2008, so follow up estimated between 0.5-27 yrs</w:t>
      </w:r>
    </w:p>
    <w:p w:rsidR="004E7BF4" w:rsidRPr="00575319" w:rsidRDefault="004E7BF4" w:rsidP="007478B9">
      <w:pPr>
        <w:widowControl/>
        <w:ind w:left="851" w:hanging="142"/>
        <w:rPr>
          <w:rFonts w:ascii="Arial Narrow" w:hAnsi="Arial Narrow"/>
          <w:sz w:val="18"/>
          <w:szCs w:val="16"/>
        </w:rPr>
      </w:pPr>
      <w:r w:rsidRPr="00575319">
        <w:rPr>
          <w:rFonts w:ascii="Arial Narrow" w:hAnsi="Arial Narrow"/>
          <w:sz w:val="18"/>
          <w:szCs w:val="16"/>
          <w:vertAlign w:val="superscript"/>
        </w:rPr>
        <w:t>+</w:t>
      </w:r>
      <w:r w:rsidRPr="00575319">
        <w:rPr>
          <w:rFonts w:ascii="Arial Narrow" w:hAnsi="Arial Narrow"/>
          <w:sz w:val="18"/>
          <w:szCs w:val="16"/>
          <w:vertAlign w:val="superscript"/>
        </w:rPr>
        <w:tab/>
      </w:r>
      <w:r w:rsidRPr="00575319">
        <w:rPr>
          <w:rFonts w:ascii="Arial Narrow" w:hAnsi="Arial Narrow"/>
          <w:sz w:val="18"/>
          <w:szCs w:val="16"/>
        </w:rPr>
        <w:t>Adequate chelation is defined as: DFO 40mg/kg/day in slow infusion over 8-12 hrs, for at least 3 days per week, DFX (20-30mg/kg/day) or DFP (3-75mg/kg/d), weak chelation is defined as DFO &lt;3g/week (either IV once after each RBC transfusion or as SC bolus injection.</w:t>
      </w:r>
    </w:p>
    <w:p w:rsidR="004E7BF4" w:rsidRPr="00575319" w:rsidRDefault="004E7BF4" w:rsidP="007478B9">
      <w:pPr>
        <w:widowControl/>
        <w:ind w:left="851" w:hanging="142"/>
        <w:rPr>
          <w:rFonts w:ascii="Arial Narrow" w:hAnsi="Arial Narrow"/>
          <w:sz w:val="18"/>
          <w:szCs w:val="16"/>
        </w:rPr>
      </w:pPr>
      <w:r w:rsidRPr="00575319">
        <w:rPr>
          <w:rFonts w:ascii="Arial Narrow" w:hAnsi="Arial Narrow"/>
          <w:sz w:val="18"/>
          <w:szCs w:val="16"/>
          <w:vertAlign w:val="superscript"/>
        </w:rPr>
        <w:t>#</w:t>
      </w:r>
      <w:r w:rsidRPr="00575319">
        <w:rPr>
          <w:rFonts w:ascii="Arial Narrow" w:hAnsi="Arial Narrow"/>
          <w:sz w:val="18"/>
          <w:szCs w:val="16"/>
          <w:vertAlign w:val="superscript"/>
        </w:rPr>
        <w:tab/>
      </w:r>
      <w:r w:rsidRPr="00575319">
        <w:rPr>
          <w:rFonts w:ascii="Arial Narrow" w:hAnsi="Arial Narrow"/>
          <w:sz w:val="18"/>
          <w:szCs w:val="16"/>
        </w:rPr>
        <w:t xml:space="preserve">lower risk MDS defined by either: IPSS: low or intermediate-1; WHO: RA, RARS, RCMD, RCMD-RS, or 5q or FAB: RA, RARS and RA with excessive blasts (&lt;11%) for Lyons et al only. </w:t>
      </w:r>
    </w:p>
    <w:p w:rsidR="004E7BF4" w:rsidRPr="00575319" w:rsidRDefault="004E7BF4" w:rsidP="007478B9">
      <w:pPr>
        <w:pStyle w:val="TableFooter"/>
        <w:widowControl/>
        <w:ind w:left="851" w:hanging="142"/>
        <w:rPr>
          <w:szCs w:val="16"/>
        </w:rPr>
      </w:pPr>
      <w:r w:rsidRPr="00575319">
        <w:rPr>
          <w:szCs w:val="16"/>
        </w:rPr>
        <w:t>Source: compiled during the evaluation</w:t>
      </w:r>
    </w:p>
    <w:p w:rsidR="000C3B2E" w:rsidRDefault="000C3B2E" w:rsidP="007478B9">
      <w:pPr>
        <w:widowControl/>
        <w:ind w:left="709"/>
        <w:jc w:val="center"/>
      </w:pPr>
    </w:p>
    <w:p w:rsidR="004E7BF4" w:rsidRPr="00D1526E" w:rsidRDefault="00F51899" w:rsidP="007478B9">
      <w:pPr>
        <w:pStyle w:val="ListParagraph"/>
        <w:widowControl/>
        <w:numPr>
          <w:ilvl w:val="1"/>
          <w:numId w:val="4"/>
        </w:numPr>
      </w:pPr>
      <w:r w:rsidRPr="00D1526E">
        <w:t>T</w:t>
      </w:r>
      <w:r w:rsidR="004E7BF4" w:rsidRPr="00D1526E">
        <w:t xml:space="preserve">he THALASSA trial </w:t>
      </w:r>
      <w:r w:rsidRPr="00D1526E">
        <w:t>was the</w:t>
      </w:r>
      <w:r w:rsidR="004E7BF4" w:rsidRPr="00D1526E">
        <w:t xml:space="preserve"> only randomised trial of DFX in NTDT</w:t>
      </w:r>
      <w:r w:rsidRPr="00D1526E">
        <w:t xml:space="preserve"> identified</w:t>
      </w:r>
      <w:r w:rsidR="004E7BF4" w:rsidRPr="00D1526E">
        <w:t xml:space="preserve">. The THALASSA trial </w:t>
      </w:r>
      <w:r w:rsidR="004E7BF4" w:rsidRPr="00D1526E">
        <w:rPr>
          <w:rFonts w:asciiTheme="minorBidi" w:hAnsiTheme="minorBidi"/>
        </w:rPr>
        <w:t>was a prospective, double blind, placebo controlled phase II trial that compared two doses of DFX (5mg/kg/day and 10mg/kg/day) versus placebo over a one year period in 166 subjects with NTDT.</w:t>
      </w:r>
      <w:r w:rsidR="004E7BF4" w:rsidRPr="00D1526E">
        <w:t xml:space="preserve"> </w:t>
      </w:r>
    </w:p>
    <w:p w:rsidR="004E7BF4" w:rsidRPr="00D1526E" w:rsidRDefault="004E7BF4" w:rsidP="007478B9">
      <w:pPr>
        <w:pStyle w:val="ListParagraph"/>
        <w:widowControl/>
      </w:pPr>
    </w:p>
    <w:p w:rsidR="004E7BF4" w:rsidRPr="00D1526E" w:rsidRDefault="004E7BF4" w:rsidP="007478B9">
      <w:pPr>
        <w:pStyle w:val="ListParagraph"/>
        <w:widowControl/>
        <w:numPr>
          <w:ilvl w:val="1"/>
          <w:numId w:val="4"/>
        </w:numPr>
        <w:rPr>
          <w:szCs w:val="22"/>
        </w:rPr>
      </w:pPr>
      <w:r w:rsidRPr="00D1526E">
        <w:rPr>
          <w:szCs w:val="22"/>
        </w:rPr>
        <w:t xml:space="preserve">Details of the trial </w:t>
      </w:r>
      <w:r w:rsidR="00AA5DAA" w:rsidRPr="00D1526E">
        <w:rPr>
          <w:szCs w:val="22"/>
        </w:rPr>
        <w:t>and associated reports</w:t>
      </w:r>
      <w:r w:rsidR="00C31F07" w:rsidRPr="00D1526E">
        <w:rPr>
          <w:szCs w:val="22"/>
        </w:rPr>
        <w:t xml:space="preserve"> </w:t>
      </w:r>
      <w:r w:rsidRPr="00D1526E">
        <w:rPr>
          <w:szCs w:val="22"/>
        </w:rPr>
        <w:t>presented in the addend</w:t>
      </w:r>
      <w:r w:rsidR="00F51899" w:rsidRPr="00D1526E">
        <w:rPr>
          <w:szCs w:val="22"/>
        </w:rPr>
        <w:t>um</w:t>
      </w:r>
      <w:r w:rsidRPr="00D1526E">
        <w:rPr>
          <w:szCs w:val="22"/>
        </w:rPr>
        <w:t xml:space="preserve"> are provided in Table 3.</w:t>
      </w:r>
    </w:p>
    <w:p w:rsidR="004E7BF4" w:rsidRPr="008A0E61" w:rsidRDefault="004E7BF4" w:rsidP="007478B9">
      <w:pPr>
        <w:pStyle w:val="ListParagraph"/>
        <w:widowControl/>
      </w:pPr>
    </w:p>
    <w:p w:rsidR="000C3B2E" w:rsidRPr="008A0E61" w:rsidRDefault="000C3B2E" w:rsidP="007478B9">
      <w:pPr>
        <w:keepNext/>
        <w:widowControl/>
        <w:ind w:left="709"/>
        <w:rPr>
          <w:rFonts w:ascii="Arial Narrow" w:hAnsi="Arial Narrow"/>
          <w:b/>
          <w:sz w:val="20"/>
          <w:szCs w:val="16"/>
        </w:rPr>
      </w:pPr>
      <w:r w:rsidRPr="008A0E61">
        <w:rPr>
          <w:rStyle w:val="CommentReference"/>
        </w:rPr>
        <w:t xml:space="preserve">Table </w:t>
      </w:r>
      <w:r w:rsidR="004E7BF4" w:rsidRPr="008A0E61">
        <w:rPr>
          <w:rStyle w:val="CommentReference"/>
        </w:rPr>
        <w:t>3</w:t>
      </w:r>
      <w:r w:rsidRPr="008A0E61">
        <w:rPr>
          <w:rStyle w:val="CommentReference"/>
        </w:rPr>
        <w:t>: Randomised study and associated reports presented in the addend</w:t>
      </w:r>
      <w:r w:rsidR="007A5EF7" w:rsidRPr="008A0E61">
        <w:rPr>
          <w:rStyle w:val="CommentReference"/>
        </w:rPr>
        <w:t>um</w:t>
      </w:r>
      <w:r w:rsidRPr="008A0E61">
        <w:rPr>
          <w:rStyle w:val="CommentReference"/>
        </w:rPr>
        <w:t xml:space="preserve"> to the submission</w:t>
      </w:r>
    </w:p>
    <w:tbl>
      <w:tblPr>
        <w:tblStyle w:val="TableGrid"/>
        <w:tblW w:w="4594" w:type="pct"/>
        <w:tblInd w:w="737" w:type="dxa"/>
        <w:tblCellMar>
          <w:left w:w="28" w:type="dxa"/>
          <w:right w:w="28" w:type="dxa"/>
        </w:tblCellMar>
        <w:tblLook w:val="04A0" w:firstRow="1" w:lastRow="0" w:firstColumn="1" w:lastColumn="0" w:noHBand="0" w:noVBand="1"/>
        <w:tblCaption w:val="Table 3: Randomised study and associated reports presented in the addendum to the submission"/>
        <w:tblDescription w:val="The table lists the randomised study and associated reports presented in the addendum to the submission"/>
      </w:tblPr>
      <w:tblGrid>
        <w:gridCol w:w="1324"/>
        <w:gridCol w:w="5983"/>
        <w:gridCol w:w="1038"/>
      </w:tblGrid>
      <w:tr w:rsidR="008259CC" w:rsidRPr="008A0E61" w:rsidTr="002D587E">
        <w:trPr>
          <w:trHeight w:val="525"/>
          <w:tblHeader/>
        </w:trPr>
        <w:tc>
          <w:tcPr>
            <w:tcW w:w="793" w:type="pct"/>
          </w:tcPr>
          <w:p w:rsidR="008259CC" w:rsidRPr="008A0E61" w:rsidRDefault="008259CC" w:rsidP="007478B9">
            <w:pPr>
              <w:keepNext/>
              <w:widowControl/>
              <w:rPr>
                <w:rFonts w:ascii="Arial Narrow" w:hAnsi="Arial Narrow"/>
              </w:rPr>
            </w:pPr>
            <w:r w:rsidRPr="008A0E61">
              <w:rPr>
                <w:rFonts w:ascii="Arial Narrow" w:hAnsi="Arial Narrow"/>
                <w:b/>
                <w:bCs/>
              </w:rPr>
              <w:t>Trials</w:t>
            </w:r>
          </w:p>
        </w:tc>
        <w:tc>
          <w:tcPr>
            <w:tcW w:w="3585" w:type="pct"/>
          </w:tcPr>
          <w:p w:rsidR="008259CC" w:rsidRPr="008A0E61" w:rsidRDefault="008259CC" w:rsidP="007478B9">
            <w:pPr>
              <w:keepNext/>
              <w:widowControl/>
              <w:jc w:val="left"/>
              <w:rPr>
                <w:rFonts w:ascii="Arial Narrow" w:hAnsi="Arial Narrow"/>
                <w:lang w:val="de-DE"/>
              </w:rPr>
            </w:pPr>
            <w:r w:rsidRPr="008A0E61">
              <w:rPr>
                <w:rFonts w:ascii="Arial Narrow" w:hAnsi="Arial Narrow"/>
                <w:b/>
                <w:bCs/>
              </w:rPr>
              <w:t>Reports</w:t>
            </w:r>
          </w:p>
        </w:tc>
        <w:tc>
          <w:tcPr>
            <w:tcW w:w="622" w:type="pct"/>
          </w:tcPr>
          <w:p w:rsidR="008259CC" w:rsidRPr="008A0E61" w:rsidRDefault="008259CC" w:rsidP="007478B9">
            <w:pPr>
              <w:keepNext/>
              <w:widowControl/>
              <w:jc w:val="left"/>
              <w:rPr>
                <w:rFonts w:ascii="Arial Narrow" w:hAnsi="Arial Narrow"/>
              </w:rPr>
            </w:pPr>
            <w:r w:rsidRPr="008A0E61">
              <w:rPr>
                <w:rFonts w:ascii="Arial Narrow" w:hAnsi="Arial Narrow"/>
                <w:b/>
                <w:bCs/>
              </w:rPr>
              <w:t>Comment</w:t>
            </w:r>
          </w:p>
        </w:tc>
      </w:tr>
      <w:tr w:rsidR="008259CC" w:rsidRPr="008A0E61" w:rsidTr="000C3B2E">
        <w:trPr>
          <w:trHeight w:val="525"/>
        </w:trPr>
        <w:tc>
          <w:tcPr>
            <w:tcW w:w="793" w:type="pct"/>
            <w:vMerge w:val="restart"/>
          </w:tcPr>
          <w:p w:rsidR="008259CC" w:rsidRPr="008A0E61" w:rsidRDefault="008259CC" w:rsidP="007478B9">
            <w:pPr>
              <w:keepNext/>
              <w:widowControl/>
              <w:rPr>
                <w:rFonts w:ascii="Arial Narrow" w:hAnsi="Arial Narrow"/>
              </w:rPr>
            </w:pPr>
            <w:r w:rsidRPr="008A0E61">
              <w:rPr>
                <w:rFonts w:ascii="Arial Narrow" w:hAnsi="Arial Narrow"/>
              </w:rPr>
              <w:t>THALASSA</w:t>
            </w:r>
          </w:p>
        </w:tc>
        <w:tc>
          <w:tcPr>
            <w:tcW w:w="3585" w:type="pct"/>
          </w:tcPr>
          <w:p w:rsidR="008259CC" w:rsidRPr="005B1177" w:rsidRDefault="008259CC" w:rsidP="007478B9">
            <w:pPr>
              <w:keepNext/>
              <w:widowControl/>
              <w:jc w:val="left"/>
              <w:rPr>
                <w:rFonts w:ascii="Arial Narrow" w:hAnsi="Arial Narrow"/>
                <w:lang w:val="en-US"/>
              </w:rPr>
            </w:pPr>
            <w:r w:rsidRPr="001E2914">
              <w:rPr>
                <w:rFonts w:ascii="Arial Narrow" w:hAnsi="Arial Narrow"/>
                <w:lang w:val="de-DE"/>
              </w:rPr>
              <w:t xml:space="preserve">Taher, A. T., et al. (2012). "Deferasirox reduces </w:t>
            </w:r>
            <w:r w:rsidR="00575755" w:rsidRPr="001E2914">
              <w:rPr>
                <w:rFonts w:ascii="Arial Narrow" w:hAnsi="Arial Narrow"/>
                <w:lang w:val="de-DE"/>
              </w:rPr>
              <w:t>iron overload</w:t>
            </w:r>
            <w:r w:rsidRPr="001E2914">
              <w:rPr>
                <w:rFonts w:ascii="Arial Narrow" w:hAnsi="Arial Narrow"/>
                <w:lang w:val="de-DE"/>
              </w:rPr>
              <w:t xml:space="preserve"> significantly in nontransfusion-dependent thalassemia: 1-Year results from a prospective, randomized, double-blind, placebo-controlled study." </w:t>
            </w:r>
            <w:r w:rsidRPr="005B1177">
              <w:rPr>
                <w:rFonts w:ascii="Arial Narrow" w:hAnsi="Arial Narrow"/>
                <w:lang w:val="en-US"/>
              </w:rPr>
              <w:t>Blood 120(5): 970-977.</w:t>
            </w:r>
          </w:p>
        </w:tc>
        <w:tc>
          <w:tcPr>
            <w:tcW w:w="622" w:type="pct"/>
          </w:tcPr>
          <w:p w:rsidR="008259CC" w:rsidRPr="008A0E61" w:rsidRDefault="008259CC" w:rsidP="007478B9">
            <w:pPr>
              <w:keepNext/>
              <w:widowControl/>
              <w:jc w:val="left"/>
              <w:rPr>
                <w:rFonts w:ascii="Arial Narrow" w:hAnsi="Arial Narrow"/>
              </w:rPr>
            </w:pPr>
            <w:r w:rsidRPr="008A0E61">
              <w:rPr>
                <w:rFonts w:ascii="Arial Narrow" w:hAnsi="Arial Narrow"/>
              </w:rPr>
              <w:t>-</w:t>
            </w:r>
          </w:p>
        </w:tc>
      </w:tr>
      <w:tr w:rsidR="008259CC" w:rsidRPr="008A0E61" w:rsidTr="000C3B2E">
        <w:trPr>
          <w:trHeight w:val="525"/>
        </w:trPr>
        <w:tc>
          <w:tcPr>
            <w:tcW w:w="793" w:type="pct"/>
            <w:vMerge/>
          </w:tcPr>
          <w:p w:rsidR="008259CC" w:rsidRPr="008A0E61" w:rsidRDefault="008259CC" w:rsidP="007478B9">
            <w:pPr>
              <w:keepNext/>
              <w:widowControl/>
              <w:rPr>
                <w:rFonts w:ascii="Arial Narrow" w:hAnsi="Arial Narrow"/>
              </w:rPr>
            </w:pPr>
          </w:p>
        </w:tc>
        <w:tc>
          <w:tcPr>
            <w:tcW w:w="3585" w:type="pct"/>
          </w:tcPr>
          <w:p w:rsidR="008259CC" w:rsidRPr="005B1177" w:rsidRDefault="008259CC" w:rsidP="007478B9">
            <w:pPr>
              <w:keepNext/>
              <w:widowControl/>
              <w:jc w:val="left"/>
              <w:rPr>
                <w:rFonts w:ascii="Arial Narrow" w:hAnsi="Arial Narrow"/>
                <w:lang w:val="en-US"/>
              </w:rPr>
            </w:pPr>
            <w:r w:rsidRPr="001E2914">
              <w:rPr>
                <w:rFonts w:ascii="Arial Narrow" w:hAnsi="Arial Narrow"/>
                <w:lang w:val="de-DE"/>
              </w:rPr>
              <w:t xml:space="preserve">Taher, A. T., et al. (2012). "Deferasirox continues to reduce </w:t>
            </w:r>
            <w:r w:rsidR="00575755" w:rsidRPr="001E2914">
              <w:rPr>
                <w:rFonts w:ascii="Arial Narrow" w:hAnsi="Arial Narrow"/>
                <w:lang w:val="de-DE"/>
              </w:rPr>
              <w:t>iron overload</w:t>
            </w:r>
            <w:r w:rsidRPr="001E2914">
              <w:rPr>
                <w:rFonts w:ascii="Arial Narrow" w:hAnsi="Arial Narrow"/>
                <w:lang w:val="de-DE"/>
              </w:rPr>
              <w:t xml:space="preserve"> in non-transfusion-dependent thalassemia: A one-year, open-label extension to a one-year, randomized, double-blind, placebo-controlled study (thalassa)." </w:t>
            </w:r>
            <w:r w:rsidRPr="005B1177">
              <w:rPr>
                <w:rFonts w:ascii="Arial Narrow" w:hAnsi="Arial Narrow"/>
                <w:lang w:val="en-US"/>
              </w:rPr>
              <w:t>Blood 120(21).</w:t>
            </w:r>
          </w:p>
        </w:tc>
        <w:tc>
          <w:tcPr>
            <w:tcW w:w="622" w:type="pct"/>
          </w:tcPr>
          <w:p w:rsidR="008259CC" w:rsidRPr="008A0E61" w:rsidRDefault="008259CC" w:rsidP="007478B9">
            <w:pPr>
              <w:keepNext/>
              <w:widowControl/>
              <w:jc w:val="left"/>
              <w:rPr>
                <w:rFonts w:ascii="Arial Narrow" w:hAnsi="Arial Narrow"/>
              </w:rPr>
            </w:pPr>
            <w:r w:rsidRPr="008A0E61">
              <w:rPr>
                <w:rFonts w:ascii="Arial Narrow" w:hAnsi="Arial Narrow"/>
              </w:rPr>
              <w:t>-</w:t>
            </w:r>
          </w:p>
        </w:tc>
      </w:tr>
    </w:tbl>
    <w:p w:rsidR="00555016" w:rsidRPr="008A0E61" w:rsidRDefault="008259CC" w:rsidP="007478B9">
      <w:pPr>
        <w:widowControl/>
        <w:ind w:left="510" w:firstLine="170"/>
        <w:rPr>
          <w:rStyle w:val="CommentReference"/>
          <w:b w:val="0"/>
          <w:bCs/>
          <w:sz w:val="18"/>
          <w:szCs w:val="14"/>
        </w:rPr>
      </w:pPr>
      <w:r w:rsidRPr="008A0E61">
        <w:rPr>
          <w:rStyle w:val="CommentReference"/>
          <w:b w:val="0"/>
          <w:bCs/>
          <w:sz w:val="18"/>
          <w:szCs w:val="14"/>
        </w:rPr>
        <w:t xml:space="preserve">Source: </w:t>
      </w:r>
      <w:r w:rsidR="00BA06C1" w:rsidRPr="008A0E61">
        <w:rPr>
          <w:rStyle w:val="CommentReference"/>
          <w:b w:val="0"/>
          <w:bCs/>
          <w:sz w:val="18"/>
          <w:szCs w:val="14"/>
        </w:rPr>
        <w:t>Table B.2.3, pp11-12 of the section B addenda for NTDT</w:t>
      </w:r>
      <w:r w:rsidR="00555016" w:rsidRPr="008A0E61">
        <w:rPr>
          <w:rStyle w:val="CommentReference"/>
          <w:b w:val="0"/>
          <w:bCs/>
          <w:sz w:val="18"/>
          <w:szCs w:val="14"/>
        </w:rPr>
        <w:t>.</w:t>
      </w:r>
    </w:p>
    <w:p w:rsidR="004E7BF4" w:rsidRPr="008259CC" w:rsidRDefault="004E7BF4" w:rsidP="007478B9">
      <w:pPr>
        <w:widowControl/>
        <w:ind w:left="510" w:firstLine="170"/>
        <w:rPr>
          <w:rStyle w:val="CommentReference"/>
          <w:b w:val="0"/>
          <w:bCs/>
          <w:i/>
          <w:sz w:val="18"/>
          <w:szCs w:val="14"/>
        </w:rPr>
      </w:pPr>
    </w:p>
    <w:p w:rsidR="004E7BF4" w:rsidRPr="00D1526E" w:rsidRDefault="004E7BF4" w:rsidP="007478B9">
      <w:pPr>
        <w:pStyle w:val="ListParagraph"/>
        <w:widowControl/>
        <w:numPr>
          <w:ilvl w:val="1"/>
          <w:numId w:val="4"/>
        </w:numPr>
        <w:rPr>
          <w:rFonts w:ascii="Arial Narrow" w:hAnsi="Arial Narrow"/>
          <w:b/>
          <w:sz w:val="20"/>
          <w:szCs w:val="16"/>
        </w:rPr>
      </w:pPr>
      <w:r w:rsidRPr="00D1526E">
        <w:rPr>
          <w:szCs w:val="22"/>
        </w:rPr>
        <w:t>The key features of the THALASSA trial are summarised in Table 4</w:t>
      </w:r>
      <w:r w:rsidR="007A5EF7" w:rsidRPr="00D1526E">
        <w:rPr>
          <w:szCs w:val="22"/>
        </w:rPr>
        <w:t>.</w:t>
      </w:r>
    </w:p>
    <w:p w:rsidR="004E7BF4" w:rsidRPr="008721D9" w:rsidRDefault="004E7BF4" w:rsidP="007478B9">
      <w:pPr>
        <w:pStyle w:val="PBACHeading1"/>
        <w:numPr>
          <w:ilvl w:val="0"/>
          <w:numId w:val="0"/>
        </w:numPr>
        <w:ind w:left="720"/>
        <w:rPr>
          <w:rStyle w:val="CommentReference"/>
          <w:i/>
        </w:rPr>
      </w:pPr>
    </w:p>
    <w:p w:rsidR="004E7BF4" w:rsidRPr="008A0E61" w:rsidRDefault="004E7BF4" w:rsidP="00BC58F5">
      <w:pPr>
        <w:keepNext/>
        <w:widowControl/>
        <w:ind w:left="709"/>
        <w:rPr>
          <w:rStyle w:val="CommentReference"/>
        </w:rPr>
      </w:pPr>
      <w:r w:rsidRPr="008A0E61">
        <w:rPr>
          <w:rStyle w:val="CommentReference"/>
        </w:rPr>
        <w:t xml:space="preserve">Table 4: Key features of the THALASSA trial (DFX in NTDT):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851"/>
        <w:gridCol w:w="1559"/>
        <w:gridCol w:w="992"/>
        <w:gridCol w:w="2128"/>
        <w:gridCol w:w="992"/>
        <w:gridCol w:w="850"/>
      </w:tblGrid>
      <w:tr w:rsidR="004E7BF4" w:rsidRPr="008A0E61" w:rsidTr="00550AED">
        <w:tc>
          <w:tcPr>
            <w:tcW w:w="592" w:type="pct"/>
            <w:shd w:val="clear" w:color="auto" w:fill="auto"/>
            <w:vAlign w:val="center"/>
          </w:tcPr>
          <w:p w:rsidR="004E7BF4" w:rsidRPr="008A0E61" w:rsidRDefault="004E7BF4" w:rsidP="00BC58F5">
            <w:pPr>
              <w:keepNext/>
              <w:widowControl/>
              <w:jc w:val="left"/>
              <w:rPr>
                <w:rFonts w:ascii="Arial Narrow" w:hAnsi="Arial Narrow"/>
                <w:b/>
                <w:sz w:val="20"/>
              </w:rPr>
            </w:pPr>
            <w:r w:rsidRPr="008A0E61">
              <w:rPr>
                <w:rFonts w:ascii="Arial Narrow" w:hAnsi="Arial Narrow"/>
                <w:b/>
                <w:sz w:val="20"/>
              </w:rPr>
              <w:t>Study</w:t>
            </w:r>
          </w:p>
        </w:tc>
        <w:tc>
          <w:tcPr>
            <w:tcW w:w="509" w:type="pct"/>
            <w:shd w:val="clear" w:color="auto" w:fill="auto"/>
            <w:vAlign w:val="center"/>
          </w:tcPr>
          <w:p w:rsidR="004E7BF4" w:rsidRPr="008A0E61" w:rsidRDefault="004E7BF4" w:rsidP="00BC58F5">
            <w:pPr>
              <w:keepNext/>
              <w:widowControl/>
              <w:jc w:val="center"/>
              <w:rPr>
                <w:rFonts w:ascii="Arial Narrow" w:hAnsi="Arial Narrow"/>
                <w:b/>
                <w:sz w:val="20"/>
              </w:rPr>
            </w:pPr>
            <w:r w:rsidRPr="008A0E61">
              <w:rPr>
                <w:rFonts w:ascii="Arial Narrow" w:hAnsi="Arial Narrow"/>
                <w:b/>
                <w:sz w:val="20"/>
              </w:rPr>
              <w:t>N</w:t>
            </w:r>
          </w:p>
        </w:tc>
        <w:tc>
          <w:tcPr>
            <w:tcW w:w="932" w:type="pct"/>
            <w:shd w:val="clear" w:color="auto" w:fill="auto"/>
            <w:vAlign w:val="center"/>
          </w:tcPr>
          <w:p w:rsidR="004E7BF4" w:rsidRPr="008A0E61" w:rsidRDefault="004E7BF4" w:rsidP="00BC58F5">
            <w:pPr>
              <w:keepNext/>
              <w:widowControl/>
              <w:jc w:val="center"/>
              <w:rPr>
                <w:rFonts w:ascii="Arial Narrow" w:hAnsi="Arial Narrow"/>
                <w:b/>
                <w:sz w:val="20"/>
              </w:rPr>
            </w:pPr>
            <w:r w:rsidRPr="008A0E61">
              <w:rPr>
                <w:rFonts w:ascii="Arial Narrow" w:hAnsi="Arial Narrow"/>
                <w:b/>
                <w:sz w:val="20"/>
              </w:rPr>
              <w:t>Design/</w:t>
            </w:r>
            <w:r w:rsidR="00C33F24" w:rsidRPr="008A0E61">
              <w:rPr>
                <w:rFonts w:ascii="Arial Narrow" w:hAnsi="Arial Narrow"/>
                <w:b/>
                <w:sz w:val="20"/>
              </w:rPr>
              <w:t>Duration</w:t>
            </w:r>
          </w:p>
        </w:tc>
        <w:tc>
          <w:tcPr>
            <w:tcW w:w="593" w:type="pct"/>
            <w:shd w:val="clear" w:color="auto" w:fill="auto"/>
            <w:vAlign w:val="center"/>
          </w:tcPr>
          <w:p w:rsidR="004E7BF4" w:rsidRPr="008A0E61" w:rsidRDefault="004E7BF4" w:rsidP="00BC58F5">
            <w:pPr>
              <w:keepNext/>
              <w:widowControl/>
              <w:jc w:val="center"/>
              <w:rPr>
                <w:rFonts w:ascii="Arial Narrow" w:hAnsi="Arial Narrow"/>
                <w:b/>
                <w:sz w:val="20"/>
              </w:rPr>
            </w:pPr>
            <w:r w:rsidRPr="008A0E61">
              <w:rPr>
                <w:rFonts w:ascii="Arial Narrow" w:hAnsi="Arial Narrow"/>
                <w:b/>
                <w:sz w:val="20"/>
              </w:rPr>
              <w:t>Risk of bias</w:t>
            </w:r>
          </w:p>
        </w:tc>
        <w:tc>
          <w:tcPr>
            <w:tcW w:w="1272" w:type="pct"/>
            <w:shd w:val="clear" w:color="auto" w:fill="auto"/>
            <w:vAlign w:val="center"/>
          </w:tcPr>
          <w:p w:rsidR="004E7BF4" w:rsidRPr="008A0E61" w:rsidRDefault="00324CB5" w:rsidP="00BC58F5">
            <w:pPr>
              <w:keepNext/>
              <w:widowControl/>
              <w:jc w:val="center"/>
              <w:rPr>
                <w:rFonts w:ascii="Arial Narrow" w:hAnsi="Arial Narrow"/>
                <w:b/>
                <w:sz w:val="20"/>
              </w:rPr>
            </w:pPr>
            <w:r w:rsidRPr="008A0E61">
              <w:rPr>
                <w:rFonts w:ascii="Arial Narrow" w:hAnsi="Arial Narrow"/>
                <w:b/>
                <w:sz w:val="20"/>
              </w:rPr>
              <w:t>Patient population</w:t>
            </w:r>
          </w:p>
        </w:tc>
        <w:tc>
          <w:tcPr>
            <w:tcW w:w="593" w:type="pct"/>
            <w:shd w:val="clear" w:color="auto" w:fill="auto"/>
            <w:vAlign w:val="center"/>
          </w:tcPr>
          <w:p w:rsidR="004E7BF4" w:rsidRPr="008A0E61" w:rsidRDefault="004E7BF4" w:rsidP="00BC58F5">
            <w:pPr>
              <w:keepNext/>
              <w:widowControl/>
              <w:jc w:val="center"/>
              <w:rPr>
                <w:rFonts w:ascii="Arial Narrow" w:hAnsi="Arial Narrow"/>
                <w:b/>
                <w:sz w:val="20"/>
              </w:rPr>
            </w:pPr>
            <w:r w:rsidRPr="008A0E61">
              <w:rPr>
                <w:rFonts w:ascii="Arial Narrow" w:hAnsi="Arial Narrow"/>
                <w:b/>
                <w:sz w:val="20"/>
              </w:rPr>
              <w:t>Outcome</w:t>
            </w:r>
          </w:p>
        </w:tc>
        <w:tc>
          <w:tcPr>
            <w:tcW w:w="508" w:type="pct"/>
            <w:shd w:val="clear" w:color="auto" w:fill="auto"/>
            <w:vAlign w:val="center"/>
          </w:tcPr>
          <w:p w:rsidR="004E7BF4" w:rsidRPr="008A0E61" w:rsidRDefault="004E7BF4" w:rsidP="00BC58F5">
            <w:pPr>
              <w:keepNext/>
              <w:widowControl/>
              <w:jc w:val="center"/>
              <w:rPr>
                <w:rFonts w:ascii="Arial Narrow" w:hAnsi="Arial Narrow"/>
                <w:b/>
                <w:sz w:val="20"/>
              </w:rPr>
            </w:pPr>
            <w:r w:rsidRPr="008A0E61">
              <w:rPr>
                <w:rFonts w:ascii="Arial Narrow" w:hAnsi="Arial Narrow"/>
                <w:b/>
                <w:sz w:val="20"/>
              </w:rPr>
              <w:t>Used in model</w:t>
            </w:r>
          </w:p>
        </w:tc>
      </w:tr>
      <w:tr w:rsidR="004E7BF4" w:rsidRPr="008A0E61" w:rsidTr="00550AED">
        <w:tc>
          <w:tcPr>
            <w:tcW w:w="592" w:type="pct"/>
            <w:shd w:val="clear" w:color="auto" w:fill="auto"/>
            <w:vAlign w:val="center"/>
          </w:tcPr>
          <w:p w:rsidR="004E7BF4" w:rsidRPr="008A0E61" w:rsidRDefault="004E7BF4" w:rsidP="007478B9">
            <w:pPr>
              <w:widowControl/>
              <w:jc w:val="left"/>
              <w:rPr>
                <w:rFonts w:ascii="Arial Narrow" w:hAnsi="Arial Narrow"/>
                <w:sz w:val="20"/>
              </w:rPr>
            </w:pPr>
            <w:r w:rsidRPr="008A0E61">
              <w:rPr>
                <w:rFonts w:ascii="Arial Narrow" w:hAnsi="Arial Narrow"/>
                <w:sz w:val="20"/>
              </w:rPr>
              <w:t>THALASSA</w:t>
            </w:r>
          </w:p>
        </w:tc>
        <w:tc>
          <w:tcPr>
            <w:tcW w:w="509" w:type="pct"/>
            <w:shd w:val="clear" w:color="auto" w:fill="auto"/>
            <w:vAlign w:val="center"/>
          </w:tcPr>
          <w:p w:rsidR="004E7BF4" w:rsidRPr="008A0E61" w:rsidRDefault="004E7BF4" w:rsidP="007478B9">
            <w:pPr>
              <w:widowControl/>
              <w:jc w:val="center"/>
              <w:rPr>
                <w:rFonts w:ascii="Arial Narrow" w:hAnsi="Arial Narrow"/>
                <w:sz w:val="20"/>
              </w:rPr>
            </w:pPr>
            <w:r w:rsidRPr="008A0E61">
              <w:rPr>
                <w:rFonts w:ascii="Arial Narrow" w:hAnsi="Arial Narrow"/>
                <w:sz w:val="20"/>
              </w:rPr>
              <w:t>166</w:t>
            </w:r>
          </w:p>
        </w:tc>
        <w:tc>
          <w:tcPr>
            <w:tcW w:w="932" w:type="pct"/>
            <w:shd w:val="clear" w:color="auto" w:fill="auto"/>
            <w:vAlign w:val="center"/>
          </w:tcPr>
          <w:p w:rsidR="00C33F24" w:rsidRPr="008A0E61" w:rsidRDefault="00C33F24" w:rsidP="007478B9">
            <w:pPr>
              <w:widowControl/>
              <w:jc w:val="center"/>
              <w:rPr>
                <w:rFonts w:ascii="Arial Narrow" w:hAnsi="Arial Narrow"/>
                <w:sz w:val="20"/>
              </w:rPr>
            </w:pPr>
            <w:r w:rsidRPr="008A0E61">
              <w:rPr>
                <w:rFonts w:ascii="Arial Narrow" w:hAnsi="Arial Narrow"/>
                <w:sz w:val="20"/>
              </w:rPr>
              <w:t>R,</w:t>
            </w:r>
            <w:r w:rsidR="004E7BF4" w:rsidRPr="008A0E61">
              <w:rPr>
                <w:rFonts w:ascii="Arial Narrow" w:hAnsi="Arial Narrow"/>
                <w:sz w:val="20"/>
              </w:rPr>
              <w:t xml:space="preserve"> DB, </w:t>
            </w:r>
          </w:p>
          <w:p w:rsidR="00C33F24" w:rsidRPr="008A0E61" w:rsidRDefault="00C33F24" w:rsidP="007478B9">
            <w:pPr>
              <w:widowControl/>
              <w:jc w:val="center"/>
              <w:rPr>
                <w:rFonts w:ascii="Arial Narrow" w:hAnsi="Arial Narrow"/>
                <w:sz w:val="20"/>
              </w:rPr>
            </w:pPr>
            <w:r w:rsidRPr="008A0E61">
              <w:rPr>
                <w:rFonts w:ascii="Arial Narrow" w:hAnsi="Arial Narrow"/>
                <w:sz w:val="20"/>
              </w:rPr>
              <w:t xml:space="preserve">12 mths </w:t>
            </w:r>
          </w:p>
          <w:p w:rsidR="00EF0512" w:rsidRPr="008A0E61" w:rsidRDefault="00C33F24" w:rsidP="007478B9">
            <w:pPr>
              <w:widowControl/>
              <w:jc w:val="center"/>
              <w:rPr>
                <w:rFonts w:ascii="Arial Narrow" w:hAnsi="Arial Narrow"/>
                <w:sz w:val="20"/>
              </w:rPr>
            </w:pPr>
            <w:r w:rsidRPr="008A0E61">
              <w:rPr>
                <w:rFonts w:ascii="Arial Narrow" w:hAnsi="Arial Narrow"/>
                <w:sz w:val="20"/>
              </w:rPr>
              <w:t xml:space="preserve">OL extension study </w:t>
            </w:r>
          </w:p>
          <w:p w:rsidR="004E7BF4" w:rsidRPr="008A0E61" w:rsidRDefault="00EF0512" w:rsidP="007478B9">
            <w:pPr>
              <w:widowControl/>
              <w:jc w:val="center"/>
              <w:rPr>
                <w:rFonts w:ascii="Arial Narrow" w:hAnsi="Arial Narrow"/>
                <w:sz w:val="20"/>
              </w:rPr>
            </w:pPr>
            <w:r w:rsidRPr="008A0E61">
              <w:rPr>
                <w:rFonts w:ascii="Arial Narrow" w:hAnsi="Arial Narrow"/>
                <w:sz w:val="20"/>
              </w:rPr>
              <w:t xml:space="preserve">up to </w:t>
            </w:r>
            <w:r w:rsidR="00C33F24" w:rsidRPr="008A0E61">
              <w:rPr>
                <w:rFonts w:ascii="Arial Narrow" w:hAnsi="Arial Narrow"/>
                <w:sz w:val="20"/>
              </w:rPr>
              <w:t>24 </w:t>
            </w:r>
            <w:r w:rsidR="00324CB5" w:rsidRPr="008A0E61">
              <w:rPr>
                <w:rFonts w:ascii="Arial Narrow" w:hAnsi="Arial Narrow"/>
                <w:sz w:val="20"/>
              </w:rPr>
              <w:t>m</w:t>
            </w:r>
            <w:r w:rsidR="00C33F24" w:rsidRPr="008A0E61">
              <w:rPr>
                <w:rFonts w:ascii="Arial Narrow" w:hAnsi="Arial Narrow"/>
                <w:sz w:val="20"/>
              </w:rPr>
              <w:t xml:space="preserve">ths </w:t>
            </w:r>
          </w:p>
        </w:tc>
        <w:tc>
          <w:tcPr>
            <w:tcW w:w="593" w:type="pct"/>
            <w:shd w:val="clear" w:color="auto" w:fill="auto"/>
            <w:vAlign w:val="center"/>
          </w:tcPr>
          <w:p w:rsidR="00C33F24" w:rsidRPr="008A0E61" w:rsidRDefault="004E7BF4" w:rsidP="006D5811">
            <w:pPr>
              <w:widowControl/>
              <w:jc w:val="center"/>
              <w:rPr>
                <w:rFonts w:ascii="Arial Narrow" w:hAnsi="Arial Narrow"/>
                <w:sz w:val="20"/>
              </w:rPr>
            </w:pPr>
            <w:r w:rsidRPr="008A0E61">
              <w:rPr>
                <w:rFonts w:ascii="Arial Narrow" w:hAnsi="Arial Narrow"/>
                <w:sz w:val="20"/>
              </w:rPr>
              <w:t>low</w:t>
            </w:r>
          </w:p>
          <w:p w:rsidR="00C33F24" w:rsidRPr="008A0E61" w:rsidRDefault="00C33F24" w:rsidP="007478B9">
            <w:pPr>
              <w:widowControl/>
              <w:jc w:val="center"/>
              <w:rPr>
                <w:rFonts w:ascii="Arial Narrow" w:hAnsi="Arial Narrow"/>
                <w:sz w:val="20"/>
              </w:rPr>
            </w:pPr>
          </w:p>
          <w:p w:rsidR="004E7BF4" w:rsidRPr="008A0E61" w:rsidRDefault="00C33F24" w:rsidP="007478B9">
            <w:pPr>
              <w:widowControl/>
              <w:jc w:val="center"/>
              <w:rPr>
                <w:rFonts w:ascii="Arial Narrow" w:hAnsi="Arial Narrow"/>
                <w:sz w:val="20"/>
              </w:rPr>
            </w:pPr>
            <w:r w:rsidRPr="008A0E61">
              <w:rPr>
                <w:rFonts w:ascii="Arial Narrow" w:hAnsi="Arial Narrow"/>
                <w:sz w:val="20"/>
              </w:rPr>
              <w:t xml:space="preserve"> </w:t>
            </w:r>
          </w:p>
        </w:tc>
        <w:tc>
          <w:tcPr>
            <w:tcW w:w="1272" w:type="pct"/>
            <w:shd w:val="clear" w:color="auto" w:fill="auto"/>
            <w:vAlign w:val="center"/>
          </w:tcPr>
          <w:p w:rsidR="004E7BF4" w:rsidRPr="008A0E61" w:rsidRDefault="004E7BF4" w:rsidP="007478B9">
            <w:pPr>
              <w:widowControl/>
              <w:jc w:val="center"/>
              <w:rPr>
                <w:rFonts w:ascii="Arial Narrow" w:hAnsi="Arial Narrow"/>
                <w:sz w:val="20"/>
              </w:rPr>
            </w:pPr>
            <w:r w:rsidRPr="008A0E61">
              <w:rPr>
                <w:rFonts w:ascii="Arial Narrow" w:hAnsi="Arial Narrow"/>
                <w:sz w:val="20"/>
              </w:rPr>
              <w:t>Male or female aged ≥10 years with NTDT, no transfusion within 6 mth</w:t>
            </w:r>
            <w:r w:rsidR="00324CB5" w:rsidRPr="008A0E61">
              <w:rPr>
                <w:rFonts w:ascii="Arial Narrow" w:hAnsi="Arial Narrow"/>
                <w:sz w:val="20"/>
              </w:rPr>
              <w:t>s</w:t>
            </w:r>
            <w:r w:rsidRPr="008A0E61">
              <w:rPr>
                <w:rFonts w:ascii="Arial Narrow" w:hAnsi="Arial Narrow"/>
                <w:sz w:val="20"/>
              </w:rPr>
              <w:t xml:space="preserve"> prior to </w:t>
            </w:r>
            <w:r w:rsidR="00324CB5" w:rsidRPr="008A0E61">
              <w:rPr>
                <w:rFonts w:ascii="Arial Narrow" w:hAnsi="Arial Narrow"/>
                <w:sz w:val="20"/>
              </w:rPr>
              <w:t>enrolment</w:t>
            </w:r>
            <w:r w:rsidRPr="008A0E61">
              <w:rPr>
                <w:rFonts w:ascii="Arial Narrow" w:hAnsi="Arial Narrow"/>
                <w:sz w:val="20"/>
              </w:rPr>
              <w:t>. LIC ≥5</w:t>
            </w:r>
            <w:r w:rsidR="00DF72DE" w:rsidRPr="008A0E61">
              <w:rPr>
                <w:rFonts w:ascii="Arial Narrow" w:hAnsi="Arial Narrow"/>
                <w:sz w:val="20"/>
              </w:rPr>
              <w:t> </w:t>
            </w:r>
            <w:r w:rsidRPr="008A0E61">
              <w:rPr>
                <w:rFonts w:ascii="Arial Narrow" w:hAnsi="Arial Narrow"/>
                <w:sz w:val="20"/>
              </w:rPr>
              <w:t xml:space="preserve">mg </w:t>
            </w:r>
            <w:r w:rsidR="00DF72DE" w:rsidRPr="008A0E61">
              <w:rPr>
                <w:rFonts w:ascii="Arial Narrow" w:hAnsi="Arial Narrow"/>
                <w:sz w:val="20"/>
              </w:rPr>
              <w:t xml:space="preserve">Fe/g dry liver weight </w:t>
            </w:r>
            <w:r w:rsidRPr="008A0E61">
              <w:rPr>
                <w:rFonts w:ascii="Arial Narrow" w:hAnsi="Arial Narrow"/>
                <w:sz w:val="20"/>
              </w:rPr>
              <w:t>(measured by MRI). SF &gt; 300ng/ml</w:t>
            </w:r>
          </w:p>
        </w:tc>
        <w:tc>
          <w:tcPr>
            <w:tcW w:w="593" w:type="pct"/>
            <w:shd w:val="clear" w:color="auto" w:fill="auto"/>
            <w:vAlign w:val="center"/>
          </w:tcPr>
          <w:p w:rsidR="004E7BF4" w:rsidRPr="008A0E61" w:rsidRDefault="004E7BF4" w:rsidP="007478B9">
            <w:pPr>
              <w:widowControl/>
              <w:jc w:val="center"/>
              <w:rPr>
                <w:rFonts w:ascii="Arial Narrow" w:hAnsi="Arial Narrow"/>
                <w:sz w:val="20"/>
              </w:rPr>
            </w:pPr>
            <w:r w:rsidRPr="008A0E61">
              <w:rPr>
                <w:rFonts w:ascii="Arial Narrow" w:hAnsi="Arial Narrow"/>
                <w:sz w:val="20"/>
              </w:rPr>
              <w:t xml:space="preserve">change in LIC from baseline </w:t>
            </w:r>
            <w:r w:rsidR="0079022D" w:rsidRPr="008A0E61">
              <w:rPr>
                <w:rFonts w:ascii="Arial Narrow" w:hAnsi="Arial Narrow"/>
                <w:sz w:val="20"/>
              </w:rPr>
              <w:t>at</w:t>
            </w:r>
            <w:r w:rsidRPr="008A0E61">
              <w:rPr>
                <w:rFonts w:ascii="Arial Narrow" w:hAnsi="Arial Narrow"/>
                <w:sz w:val="20"/>
              </w:rPr>
              <w:t xml:space="preserve"> wk 52.</w:t>
            </w:r>
          </w:p>
        </w:tc>
        <w:tc>
          <w:tcPr>
            <w:tcW w:w="508" w:type="pct"/>
            <w:shd w:val="clear" w:color="auto" w:fill="auto"/>
            <w:vAlign w:val="center"/>
          </w:tcPr>
          <w:p w:rsidR="004E7BF4" w:rsidRPr="008A0E61" w:rsidRDefault="004E7BF4" w:rsidP="007478B9">
            <w:pPr>
              <w:widowControl/>
              <w:jc w:val="center"/>
              <w:rPr>
                <w:rFonts w:ascii="Arial Narrow" w:hAnsi="Arial Narrow"/>
                <w:sz w:val="20"/>
              </w:rPr>
            </w:pPr>
            <w:r w:rsidRPr="008A0E61">
              <w:rPr>
                <w:rFonts w:ascii="Arial Narrow" w:hAnsi="Arial Narrow"/>
                <w:sz w:val="20"/>
              </w:rPr>
              <w:t>No</w:t>
            </w:r>
          </w:p>
        </w:tc>
      </w:tr>
    </w:tbl>
    <w:p w:rsidR="004E7BF4" w:rsidRPr="008A0E61" w:rsidRDefault="004E7BF4" w:rsidP="007478B9">
      <w:pPr>
        <w:pStyle w:val="PBACHeading1"/>
        <w:numPr>
          <w:ilvl w:val="0"/>
          <w:numId w:val="0"/>
        </w:numPr>
        <w:ind w:left="720" w:hanging="720"/>
        <w:rPr>
          <w:rStyle w:val="CommentReference"/>
        </w:rPr>
      </w:pPr>
      <w:r w:rsidRPr="008A0E61">
        <w:rPr>
          <w:rStyle w:val="CommentReference"/>
        </w:rPr>
        <w:tab/>
        <w:t>Abbreviations:</w:t>
      </w:r>
      <w:r w:rsidR="00301C98" w:rsidRPr="008A0E61">
        <w:rPr>
          <w:rStyle w:val="CommentReference"/>
        </w:rPr>
        <w:t xml:space="preserve"> </w:t>
      </w:r>
      <w:r w:rsidRPr="008A0E61">
        <w:rPr>
          <w:rFonts w:ascii="Arial Narrow" w:hAnsi="Arial Narrow"/>
          <w:b w:val="0"/>
          <w:sz w:val="18"/>
          <w:szCs w:val="16"/>
        </w:rPr>
        <w:t xml:space="preserve">DB = double blind; OL = open label; </w:t>
      </w:r>
      <w:r w:rsidR="00301C98" w:rsidRPr="008A0E61">
        <w:rPr>
          <w:rFonts w:ascii="Arial Narrow" w:hAnsi="Arial Narrow"/>
          <w:b w:val="0"/>
          <w:sz w:val="18"/>
          <w:szCs w:val="16"/>
        </w:rPr>
        <w:t>R=randomised</w:t>
      </w:r>
      <w:r w:rsidRPr="008A0E61">
        <w:rPr>
          <w:rFonts w:ascii="Arial Narrow" w:hAnsi="Arial Narrow"/>
          <w:b w:val="0"/>
          <w:sz w:val="18"/>
          <w:szCs w:val="16"/>
        </w:rPr>
        <w:t>; LIC = liver iron concentration; mth = month; wk = week; SF = serum ferritin</w:t>
      </w:r>
    </w:p>
    <w:p w:rsidR="00301C98" w:rsidRPr="008A0E61" w:rsidRDefault="00301C98" w:rsidP="007478B9">
      <w:pPr>
        <w:pStyle w:val="TableFooter"/>
        <w:widowControl/>
        <w:ind w:left="851" w:hanging="142"/>
        <w:rPr>
          <w:szCs w:val="16"/>
        </w:rPr>
      </w:pPr>
      <w:r w:rsidRPr="008A0E61">
        <w:rPr>
          <w:szCs w:val="16"/>
        </w:rPr>
        <w:t>Source: compiled during the evaluation</w:t>
      </w:r>
    </w:p>
    <w:p w:rsidR="00555016" w:rsidRDefault="004E7BF4" w:rsidP="007478B9">
      <w:pPr>
        <w:pStyle w:val="TableFooter"/>
        <w:widowControl/>
        <w:rPr>
          <w:rStyle w:val="CommentReference"/>
        </w:rPr>
      </w:pPr>
      <w:r w:rsidRPr="008A0E61">
        <w:rPr>
          <w:szCs w:val="16"/>
        </w:rPr>
        <w:t xml:space="preserve"> </w:t>
      </w:r>
    </w:p>
    <w:p w:rsidR="00666194" w:rsidRPr="00575319" w:rsidRDefault="00666194" w:rsidP="007478B9">
      <w:pPr>
        <w:pStyle w:val="Heading2"/>
        <w:widowControl/>
        <w:rPr>
          <w:i/>
        </w:rPr>
      </w:pPr>
      <w:bookmarkStart w:id="10" w:name="_Toc419798700"/>
      <w:r w:rsidRPr="00575319">
        <w:rPr>
          <w:i/>
        </w:rPr>
        <w:t>Comparative effectiveness</w:t>
      </w:r>
      <w:bookmarkEnd w:id="10"/>
    </w:p>
    <w:p w:rsidR="00666194" w:rsidRPr="00575319" w:rsidRDefault="00666194" w:rsidP="007478B9">
      <w:pPr>
        <w:widowControl/>
        <w:rPr>
          <w:szCs w:val="22"/>
        </w:rPr>
      </w:pPr>
    </w:p>
    <w:p w:rsidR="00666194" w:rsidRDefault="00F84A7D" w:rsidP="007478B9">
      <w:pPr>
        <w:pStyle w:val="ListParagraph"/>
        <w:widowControl/>
        <w:numPr>
          <w:ilvl w:val="1"/>
          <w:numId w:val="4"/>
        </w:numPr>
        <w:rPr>
          <w:szCs w:val="22"/>
        </w:rPr>
      </w:pPr>
      <w:r w:rsidRPr="00D1526E">
        <w:rPr>
          <w:szCs w:val="22"/>
        </w:rPr>
        <w:t xml:space="preserve">The observational studies </w:t>
      </w:r>
      <w:r w:rsidR="007A5EF7" w:rsidRPr="00D1526E">
        <w:rPr>
          <w:szCs w:val="22"/>
        </w:rPr>
        <w:t xml:space="preserve">in MDS </w:t>
      </w:r>
      <w:r w:rsidR="0000067F" w:rsidRPr="00D1526E">
        <w:rPr>
          <w:szCs w:val="22"/>
        </w:rPr>
        <w:t>reported that</w:t>
      </w:r>
      <w:r w:rsidRPr="00D1526E">
        <w:rPr>
          <w:szCs w:val="22"/>
        </w:rPr>
        <w:t xml:space="preserve"> ICT </w:t>
      </w:r>
      <w:r w:rsidR="0000067F" w:rsidRPr="00D1526E">
        <w:rPr>
          <w:szCs w:val="22"/>
        </w:rPr>
        <w:t>was</w:t>
      </w:r>
      <w:r w:rsidRPr="00D1526E">
        <w:rPr>
          <w:szCs w:val="22"/>
        </w:rPr>
        <w:t xml:space="preserve"> associated with longer median </w:t>
      </w:r>
      <w:r w:rsidR="00B966E1" w:rsidRPr="00D1526E">
        <w:rPr>
          <w:szCs w:val="22"/>
        </w:rPr>
        <w:t>OS</w:t>
      </w:r>
      <w:r w:rsidRPr="00D1526E">
        <w:rPr>
          <w:szCs w:val="22"/>
        </w:rPr>
        <w:t xml:space="preserve"> compared to </w:t>
      </w:r>
      <w:r w:rsidR="0000067F" w:rsidRPr="00D1526E">
        <w:rPr>
          <w:szCs w:val="22"/>
        </w:rPr>
        <w:t>no</w:t>
      </w:r>
      <w:r w:rsidRPr="00D1526E">
        <w:rPr>
          <w:szCs w:val="22"/>
        </w:rPr>
        <w:t xml:space="preserve"> </w:t>
      </w:r>
      <w:r w:rsidR="00A76D91" w:rsidRPr="00D1526E">
        <w:rPr>
          <w:szCs w:val="22"/>
        </w:rPr>
        <w:t>ICT</w:t>
      </w:r>
      <w:r w:rsidRPr="00D1526E">
        <w:rPr>
          <w:szCs w:val="22"/>
        </w:rPr>
        <w:t xml:space="preserve">.  Results are summarised in Table </w:t>
      </w:r>
      <w:r w:rsidR="008A0E61">
        <w:rPr>
          <w:szCs w:val="22"/>
        </w:rPr>
        <w:t>5</w:t>
      </w:r>
      <w:r w:rsidR="003C1A00" w:rsidRPr="00D1526E">
        <w:rPr>
          <w:szCs w:val="22"/>
        </w:rPr>
        <w:t xml:space="preserve"> </w:t>
      </w:r>
      <w:r w:rsidR="008A0E61">
        <w:rPr>
          <w:szCs w:val="22"/>
        </w:rPr>
        <w:t>below</w:t>
      </w:r>
      <w:r w:rsidRPr="00D1526E">
        <w:rPr>
          <w:szCs w:val="22"/>
        </w:rPr>
        <w:t xml:space="preserve">. The differences ranged between 25 months </w:t>
      </w:r>
      <w:r w:rsidR="0000067F" w:rsidRPr="00D1526E">
        <w:rPr>
          <w:szCs w:val="22"/>
        </w:rPr>
        <w:t xml:space="preserve">(2 years) </w:t>
      </w:r>
      <w:r w:rsidRPr="00D1526E">
        <w:rPr>
          <w:szCs w:val="22"/>
        </w:rPr>
        <w:t>to more than 185 months</w:t>
      </w:r>
      <w:r w:rsidR="0000067F" w:rsidRPr="00D1526E">
        <w:rPr>
          <w:szCs w:val="22"/>
        </w:rPr>
        <w:t xml:space="preserve"> (15 years)</w:t>
      </w:r>
      <w:r w:rsidRPr="00D1526E">
        <w:rPr>
          <w:szCs w:val="22"/>
        </w:rPr>
        <w:t>. Most studies found a difference in the region of 50 months (6</w:t>
      </w:r>
      <w:r w:rsidR="007A5EF7" w:rsidRPr="00D1526E">
        <w:rPr>
          <w:szCs w:val="22"/>
        </w:rPr>
        <w:t> </w:t>
      </w:r>
      <w:r w:rsidRPr="00D1526E">
        <w:rPr>
          <w:szCs w:val="22"/>
        </w:rPr>
        <w:t>years).</w:t>
      </w:r>
      <w:r w:rsidR="008721D9" w:rsidRPr="00D1526E">
        <w:rPr>
          <w:szCs w:val="22"/>
        </w:rPr>
        <w:t xml:space="preserve">The ESC </w:t>
      </w:r>
      <w:r w:rsidR="00477C1E" w:rsidRPr="00D1526E">
        <w:rPr>
          <w:szCs w:val="22"/>
        </w:rPr>
        <w:t>questioned whether this was plausible given the</w:t>
      </w:r>
      <w:r w:rsidR="009B1A51" w:rsidRPr="00D1526E">
        <w:rPr>
          <w:szCs w:val="22"/>
        </w:rPr>
        <w:t xml:space="preserve"> likely </w:t>
      </w:r>
      <w:r w:rsidR="00477C1E" w:rsidRPr="00D1526E">
        <w:rPr>
          <w:szCs w:val="22"/>
        </w:rPr>
        <w:t xml:space="preserve">advanced </w:t>
      </w:r>
      <w:r w:rsidR="009B1A51" w:rsidRPr="00D1526E">
        <w:rPr>
          <w:szCs w:val="22"/>
        </w:rPr>
        <w:t xml:space="preserve">age of MDS patients and the fact that they are transfusion dependent. </w:t>
      </w:r>
      <w:r w:rsidR="00477C1E" w:rsidRPr="00D1526E">
        <w:rPr>
          <w:szCs w:val="22"/>
        </w:rPr>
        <w:t xml:space="preserve">The ESC also considered that the amount of survival attributable to </w:t>
      </w:r>
      <w:r w:rsidR="00301C98" w:rsidRPr="00D1526E">
        <w:rPr>
          <w:szCs w:val="22"/>
        </w:rPr>
        <w:t>DFX</w:t>
      </w:r>
      <w:r w:rsidR="00477C1E" w:rsidRPr="00D1526E">
        <w:rPr>
          <w:szCs w:val="22"/>
        </w:rPr>
        <w:t xml:space="preserve"> in the studies was highly uncertain. </w:t>
      </w:r>
    </w:p>
    <w:p w:rsidR="009F3929" w:rsidRDefault="009F3929" w:rsidP="007478B9">
      <w:pPr>
        <w:pStyle w:val="ListParagraph"/>
        <w:widowControl/>
        <w:rPr>
          <w:szCs w:val="22"/>
        </w:rPr>
      </w:pPr>
    </w:p>
    <w:p w:rsidR="009F3929" w:rsidRPr="00575319" w:rsidRDefault="009F3929" w:rsidP="008B4A04">
      <w:pPr>
        <w:keepNext/>
        <w:widowControl/>
        <w:ind w:left="680"/>
        <w:rPr>
          <w:rFonts w:ascii="Arial Narrow" w:hAnsi="Arial Narrow"/>
          <w:b/>
          <w:bCs/>
          <w:sz w:val="20"/>
        </w:rPr>
      </w:pPr>
      <w:r>
        <w:rPr>
          <w:rFonts w:ascii="Arial Narrow" w:hAnsi="Arial Narrow"/>
          <w:b/>
          <w:bCs/>
          <w:sz w:val="20"/>
        </w:rPr>
        <w:t>Table 5</w:t>
      </w:r>
      <w:r w:rsidRPr="00575319">
        <w:rPr>
          <w:rFonts w:ascii="Arial Narrow" w:hAnsi="Arial Narrow"/>
          <w:b/>
          <w:bCs/>
          <w:sz w:val="20"/>
        </w:rPr>
        <w:t>:  Overall Survival in the non-randomised studies (bold typography indicates significant differences in median survival between ICT and no ICT groups)</w:t>
      </w:r>
    </w:p>
    <w:tbl>
      <w:tblPr>
        <w:tblStyle w:val="TableGrid"/>
        <w:tblW w:w="4586" w:type="pct"/>
        <w:tblInd w:w="737" w:type="dxa"/>
        <w:tblLayout w:type="fixed"/>
        <w:tblCellMar>
          <w:left w:w="28" w:type="dxa"/>
          <w:right w:w="28" w:type="dxa"/>
        </w:tblCellMar>
        <w:tblLook w:val="04A0" w:firstRow="1" w:lastRow="0" w:firstColumn="1" w:lastColumn="0" w:noHBand="0" w:noVBand="1"/>
        <w:tblCaption w:val="Table 5:  Overall Survival in the non-randomised studies"/>
        <w:tblDescription w:val="The table shows overall Survival in the non-randomised studies (bold typography indicates significant differences in median survival between ICT and no ICT groups)"/>
      </w:tblPr>
      <w:tblGrid>
        <w:gridCol w:w="995"/>
        <w:gridCol w:w="423"/>
        <w:gridCol w:w="1135"/>
        <w:gridCol w:w="1136"/>
        <w:gridCol w:w="1569"/>
        <w:gridCol w:w="1739"/>
        <w:gridCol w:w="1333"/>
      </w:tblGrid>
      <w:tr w:rsidR="009F3929" w:rsidRPr="00575319" w:rsidTr="007478B9">
        <w:trPr>
          <w:trHeight w:val="20"/>
          <w:tblHeader/>
        </w:trPr>
        <w:tc>
          <w:tcPr>
            <w:tcW w:w="597" w:type="pct"/>
            <w:vMerge w:val="restart"/>
            <w:tcBorders>
              <w:top w:val="single" w:sz="4" w:space="0" w:color="auto"/>
            </w:tcBorders>
            <w:noWrap/>
            <w:vAlign w:val="center"/>
          </w:tcPr>
          <w:p w:rsidR="009F3929" w:rsidRPr="00575319" w:rsidRDefault="009F3929" w:rsidP="008B4A04">
            <w:pPr>
              <w:keepNext/>
              <w:widowControl/>
              <w:jc w:val="left"/>
              <w:rPr>
                <w:rFonts w:ascii="Arial Narrow" w:hAnsi="Arial Narrow"/>
                <w:b/>
                <w:bCs/>
                <w:sz w:val="18"/>
                <w:szCs w:val="18"/>
              </w:rPr>
            </w:pPr>
            <w:r w:rsidRPr="00575319">
              <w:rPr>
                <w:rFonts w:ascii="Arial Narrow" w:hAnsi="Arial Narrow"/>
                <w:b/>
                <w:bCs/>
                <w:sz w:val="18"/>
                <w:szCs w:val="18"/>
              </w:rPr>
              <w:t>Study</w:t>
            </w:r>
          </w:p>
          <w:p w:rsidR="009F3929" w:rsidRPr="00575319" w:rsidRDefault="009F3929" w:rsidP="008B4A04">
            <w:pPr>
              <w:keepNext/>
              <w:widowControl/>
              <w:jc w:val="left"/>
              <w:rPr>
                <w:rFonts w:ascii="Arial Narrow" w:hAnsi="Arial Narrow"/>
                <w:b/>
                <w:bCs/>
                <w:sz w:val="18"/>
                <w:szCs w:val="18"/>
              </w:rPr>
            </w:pPr>
            <w:r w:rsidRPr="00575319">
              <w:rPr>
                <w:rFonts w:ascii="Arial Narrow" w:hAnsi="Arial Narrow"/>
                <w:b/>
                <w:bCs/>
                <w:sz w:val="18"/>
                <w:szCs w:val="18"/>
              </w:rPr>
              <w:t>Follow up (mths)</w:t>
            </w:r>
          </w:p>
          <w:p w:rsidR="009F3929" w:rsidRPr="00575319" w:rsidRDefault="009F3929" w:rsidP="008B4A04">
            <w:pPr>
              <w:keepNext/>
              <w:widowControl/>
              <w:jc w:val="left"/>
              <w:rPr>
                <w:rFonts w:ascii="Arial Narrow" w:hAnsi="Arial Narrow"/>
                <w:b/>
                <w:bCs/>
                <w:sz w:val="18"/>
                <w:szCs w:val="18"/>
              </w:rPr>
            </w:pPr>
            <w:r w:rsidRPr="00575319">
              <w:rPr>
                <w:rFonts w:ascii="Arial Narrow" w:hAnsi="Arial Narrow"/>
                <w:b/>
                <w:bCs/>
                <w:sz w:val="18"/>
                <w:szCs w:val="18"/>
              </w:rPr>
              <w:t>Population</w:t>
            </w:r>
          </w:p>
        </w:tc>
        <w:tc>
          <w:tcPr>
            <w:tcW w:w="2559" w:type="pct"/>
            <w:gridSpan w:val="4"/>
            <w:tcBorders>
              <w:top w:val="single" w:sz="4" w:space="0" w:color="auto"/>
              <w:bottom w:val="single" w:sz="4" w:space="0" w:color="auto"/>
              <w:right w:val="single" w:sz="4" w:space="0" w:color="auto"/>
            </w:tcBorders>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Overall Survival Median months (IQR) Unadjusted</w:t>
            </w:r>
          </w:p>
        </w:tc>
        <w:tc>
          <w:tcPr>
            <w:tcW w:w="1844" w:type="pct"/>
            <w:gridSpan w:val="2"/>
            <w:tcBorders>
              <w:top w:val="single" w:sz="4" w:space="0" w:color="auto"/>
              <w:left w:val="single" w:sz="4" w:space="0" w:color="auto"/>
              <w:bottom w:val="single" w:sz="4" w:space="0" w:color="auto"/>
            </w:tcBorders>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Adjusted HR (ICT versus no ICT)</w:t>
            </w:r>
          </w:p>
        </w:tc>
      </w:tr>
      <w:tr w:rsidR="009F3929" w:rsidRPr="00575319" w:rsidTr="007478B9">
        <w:trPr>
          <w:trHeight w:val="20"/>
          <w:tblHeader/>
        </w:trPr>
        <w:tc>
          <w:tcPr>
            <w:tcW w:w="597" w:type="pct"/>
            <w:vMerge/>
            <w:tcBorders>
              <w:bottom w:val="single" w:sz="4" w:space="0" w:color="auto"/>
            </w:tcBorders>
            <w:noWrap/>
            <w:vAlign w:val="center"/>
            <w:hideMark/>
          </w:tcPr>
          <w:p w:rsidR="009F3929" w:rsidRPr="00575319" w:rsidRDefault="009F3929" w:rsidP="008B4A04">
            <w:pPr>
              <w:keepNext/>
              <w:widowControl/>
              <w:jc w:val="left"/>
              <w:rPr>
                <w:rFonts w:ascii="Arial Narrow" w:hAnsi="Arial Narrow"/>
                <w:b/>
                <w:bCs/>
                <w:sz w:val="18"/>
                <w:szCs w:val="18"/>
              </w:rPr>
            </w:pPr>
          </w:p>
        </w:tc>
        <w:tc>
          <w:tcPr>
            <w:tcW w:w="935" w:type="pct"/>
            <w:gridSpan w:val="2"/>
            <w:tcBorders>
              <w:top w:val="single" w:sz="4" w:space="0" w:color="auto"/>
              <w:bottom w:val="single"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No ICT</w:t>
            </w:r>
          </w:p>
        </w:tc>
        <w:tc>
          <w:tcPr>
            <w:tcW w:w="682" w:type="pct"/>
            <w:tcBorders>
              <w:top w:val="single" w:sz="4" w:space="0" w:color="auto"/>
              <w:bottom w:val="single"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ICT</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 value vs no ICT)</w:t>
            </w:r>
          </w:p>
        </w:tc>
        <w:tc>
          <w:tcPr>
            <w:tcW w:w="942" w:type="pct"/>
            <w:tcBorders>
              <w:top w:val="single" w:sz="4" w:space="0" w:color="auto"/>
              <w:bottom w:val="single"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ICT ≥6 mths</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(P-value vs no ICT)</w:t>
            </w:r>
          </w:p>
        </w:tc>
        <w:tc>
          <w:tcPr>
            <w:tcW w:w="1044" w:type="pct"/>
            <w:tcBorders>
              <w:top w:val="single" w:sz="4" w:space="0" w:color="auto"/>
              <w:left w:val="single" w:sz="4" w:space="0" w:color="auto"/>
              <w:bottom w:val="single" w:sz="4" w:space="0" w:color="auto"/>
            </w:tcBorders>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Variables adjusted</w:t>
            </w:r>
          </w:p>
        </w:tc>
        <w:tc>
          <w:tcPr>
            <w:tcW w:w="800" w:type="pct"/>
            <w:tcBorders>
              <w:top w:val="single" w:sz="4" w:space="0" w:color="auto"/>
              <w:bottom w:val="single"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HR (95%CI)^</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p-value</w:t>
            </w:r>
          </w:p>
        </w:tc>
      </w:tr>
      <w:tr w:rsidR="009F3929" w:rsidRPr="00575319" w:rsidTr="009F3929">
        <w:trPr>
          <w:trHeight w:val="20"/>
        </w:trPr>
        <w:tc>
          <w:tcPr>
            <w:tcW w:w="1532" w:type="pct"/>
            <w:gridSpan w:val="3"/>
            <w:tcBorders>
              <w:top w:val="single" w:sz="4" w:space="0" w:color="auto"/>
              <w:left w:val="single" w:sz="4" w:space="0" w:color="auto"/>
              <w:bottom w:val="single" w:sz="4" w:space="0" w:color="auto"/>
              <w:right w:val="nil"/>
            </w:tcBorders>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PROSPECTIVE</w:t>
            </w:r>
          </w:p>
        </w:tc>
        <w:tc>
          <w:tcPr>
            <w:tcW w:w="682" w:type="pct"/>
            <w:tcBorders>
              <w:top w:val="single" w:sz="4" w:space="0" w:color="auto"/>
              <w:left w:val="nil"/>
              <w:bottom w:val="single" w:sz="4" w:space="0" w:color="auto"/>
              <w:right w:val="nil"/>
            </w:tcBorders>
            <w:vAlign w:val="center"/>
          </w:tcPr>
          <w:p w:rsidR="009F3929" w:rsidRPr="00575319" w:rsidRDefault="009F3929" w:rsidP="008B4A04">
            <w:pPr>
              <w:keepNext/>
              <w:widowControl/>
              <w:jc w:val="center"/>
              <w:rPr>
                <w:rFonts w:ascii="Arial Narrow" w:hAnsi="Arial Narrow"/>
                <w:b/>
                <w:bCs/>
                <w:sz w:val="18"/>
                <w:szCs w:val="18"/>
              </w:rPr>
            </w:pPr>
          </w:p>
        </w:tc>
        <w:tc>
          <w:tcPr>
            <w:tcW w:w="942" w:type="pct"/>
            <w:tcBorders>
              <w:top w:val="single" w:sz="4" w:space="0" w:color="auto"/>
              <w:left w:val="nil"/>
              <w:bottom w:val="single" w:sz="4" w:space="0" w:color="auto"/>
              <w:right w:val="nil"/>
            </w:tcBorders>
            <w:vAlign w:val="center"/>
          </w:tcPr>
          <w:p w:rsidR="009F3929" w:rsidRPr="00575319" w:rsidRDefault="009F3929" w:rsidP="008B4A04">
            <w:pPr>
              <w:keepNext/>
              <w:widowControl/>
              <w:jc w:val="center"/>
              <w:rPr>
                <w:rFonts w:ascii="Arial Narrow" w:hAnsi="Arial Narrow"/>
                <w:b/>
                <w:bCs/>
                <w:sz w:val="18"/>
                <w:szCs w:val="18"/>
              </w:rPr>
            </w:pPr>
          </w:p>
        </w:tc>
        <w:tc>
          <w:tcPr>
            <w:tcW w:w="1044" w:type="pct"/>
            <w:tcBorders>
              <w:top w:val="single" w:sz="4" w:space="0" w:color="auto"/>
              <w:left w:val="single" w:sz="4" w:space="0" w:color="auto"/>
              <w:bottom w:val="single" w:sz="4" w:space="0" w:color="auto"/>
              <w:right w:val="nil"/>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p>
        </w:tc>
        <w:tc>
          <w:tcPr>
            <w:tcW w:w="800" w:type="pct"/>
            <w:tcBorders>
              <w:top w:val="single" w:sz="4" w:space="0" w:color="auto"/>
              <w:left w:val="nil"/>
              <w:bottom w:val="single" w:sz="4" w:space="0" w:color="auto"/>
              <w:right w:val="single" w:sz="4" w:space="0" w:color="auto"/>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8B4A04">
            <w:pPr>
              <w:keepNext/>
              <w:widowControl/>
              <w:jc w:val="left"/>
              <w:rPr>
                <w:rFonts w:ascii="Arial Narrow" w:hAnsi="Arial Narrow"/>
                <w:b/>
                <w:bCs/>
                <w:sz w:val="18"/>
                <w:szCs w:val="18"/>
              </w:rPr>
            </w:pPr>
            <w:r w:rsidRPr="00575319">
              <w:rPr>
                <w:rFonts w:ascii="Arial Narrow" w:hAnsi="Arial Narrow"/>
                <w:b/>
                <w:bCs/>
                <w:sz w:val="18"/>
                <w:szCs w:val="18"/>
              </w:rPr>
              <w:t>Lyons 2014</w:t>
            </w:r>
          </w:p>
          <w:p w:rsidR="009F3929" w:rsidRPr="00575319" w:rsidRDefault="009F3929" w:rsidP="008B4A04">
            <w:pPr>
              <w:keepNext/>
              <w:widowControl/>
              <w:jc w:val="left"/>
              <w:rPr>
                <w:rFonts w:ascii="Arial Narrow" w:hAnsi="Arial Narrow"/>
                <w:sz w:val="18"/>
                <w:szCs w:val="18"/>
              </w:rPr>
            </w:pPr>
            <w:r w:rsidRPr="00575319">
              <w:rPr>
                <w:rFonts w:ascii="Arial Narrow" w:hAnsi="Arial Narrow"/>
                <w:sz w:val="18"/>
                <w:szCs w:val="18"/>
              </w:rPr>
              <w:t>24 months</w:t>
            </w:r>
          </w:p>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top w:val="single" w:sz="4" w:space="0" w:color="auto"/>
              <w:left w:val="single"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N=337</w:t>
            </w:r>
          </w:p>
        </w:tc>
        <w:tc>
          <w:tcPr>
            <w:tcW w:w="682" w:type="pct"/>
            <w:tcBorders>
              <w:top w:val="single"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263</w:t>
            </w:r>
          </w:p>
        </w:tc>
        <w:tc>
          <w:tcPr>
            <w:tcW w:w="942" w:type="pct"/>
            <w:tcBorders>
              <w:top w:val="single"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 191</w:t>
            </w:r>
          </w:p>
        </w:tc>
        <w:tc>
          <w:tcPr>
            <w:tcW w:w="1044" w:type="pct"/>
            <w:vMerge w:val="restart"/>
            <w:tcBorders>
              <w:top w:val="single"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tcBorders>
              <w:top w:val="single"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hideMark/>
          </w:tcPr>
          <w:p w:rsidR="009F3929" w:rsidRPr="00575319" w:rsidRDefault="009F3929" w:rsidP="008B4A04">
            <w:pPr>
              <w:keepNext/>
              <w:widowControl/>
              <w:jc w:val="left"/>
              <w:rPr>
                <w:rFonts w:ascii="Arial Narrow" w:hAnsi="Arial Narrow"/>
                <w:sz w:val="18"/>
                <w:szCs w:val="18"/>
              </w:rPr>
            </w:pPr>
          </w:p>
        </w:tc>
        <w:tc>
          <w:tcPr>
            <w:tcW w:w="681" w:type="pct"/>
            <w:tcBorders>
              <w:left w:val="single" w:sz="4" w:space="0" w:color="auto"/>
              <w:bottom w:val="dotted" w:sz="4" w:space="0" w:color="auto"/>
            </w:tcBorders>
            <w:shd w:val="clear" w:color="auto" w:fill="auto"/>
            <w:vAlign w:val="center"/>
            <w:hideMark/>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52.2</w:t>
            </w:r>
          </w:p>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(24.0, 136.2)</w:t>
            </w:r>
          </w:p>
        </w:tc>
        <w:tc>
          <w:tcPr>
            <w:tcW w:w="682" w:type="pct"/>
            <w:tcBorders>
              <w:bottom w:val="dotted" w:sz="4" w:space="0" w:color="auto"/>
            </w:tcBorders>
            <w:shd w:val="clear" w:color="auto" w:fill="auto"/>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99.3 (54.1, NA)</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P&lt;0.0001</w:t>
            </w:r>
          </w:p>
        </w:tc>
        <w:tc>
          <w:tcPr>
            <w:tcW w:w="942" w:type="pct"/>
            <w:tcBorders>
              <w:bottom w:val="dotted"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104.4 (63.4, NA)</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P&lt;0.0001</w:t>
            </w:r>
          </w:p>
        </w:tc>
        <w:tc>
          <w:tcPr>
            <w:tcW w:w="1044"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6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-IPSS 0 group</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N=56</w:t>
            </w:r>
          </w:p>
        </w:tc>
        <w:tc>
          <w:tcPr>
            <w:tcW w:w="68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n=56</w:t>
            </w:r>
          </w:p>
        </w:tc>
        <w:tc>
          <w:tcPr>
            <w:tcW w:w="94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N=38</w:t>
            </w:r>
          </w:p>
        </w:tc>
        <w:tc>
          <w:tcPr>
            <w:tcW w:w="1044"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6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53.6 (4.1, 66.3)</w:t>
            </w:r>
          </w:p>
        </w:tc>
        <w:tc>
          <w:tcPr>
            <w:tcW w:w="68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c>
          <w:tcPr>
            <w:tcW w:w="94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98.7(12.8, 103.8) P=0.028</w:t>
            </w:r>
          </w:p>
        </w:tc>
        <w:tc>
          <w:tcPr>
            <w:tcW w:w="1044"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6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-IPSS Int-1 group</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N=110</w:t>
            </w:r>
          </w:p>
        </w:tc>
        <w:tc>
          <w:tcPr>
            <w:tcW w:w="68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N=71</w:t>
            </w:r>
          </w:p>
        </w:tc>
        <w:tc>
          <w:tcPr>
            <w:tcW w:w="942" w:type="pct"/>
            <w:tcBorders>
              <w:top w:val="dotted"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N=57</w:t>
            </w:r>
          </w:p>
        </w:tc>
        <w:tc>
          <w:tcPr>
            <w:tcW w:w="1044"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60"/>
        </w:trPr>
        <w:tc>
          <w:tcPr>
            <w:tcW w:w="851" w:type="pct"/>
            <w:gridSpan w:val="2"/>
            <w:vMerge/>
            <w:tcBorders>
              <w:left w:val="single" w:sz="4" w:space="0" w:color="auto"/>
              <w:bottom w:val="single" w:sz="4" w:space="0" w:color="auto"/>
              <w:right w:val="single" w:sz="4" w:space="0" w:color="auto"/>
            </w:tcBorders>
            <w:vAlign w:val="center"/>
          </w:tcPr>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left w:val="single"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44.7 (5.5, 151.6)</w:t>
            </w:r>
          </w:p>
        </w:tc>
        <w:tc>
          <w:tcPr>
            <w:tcW w:w="682" w:type="pct"/>
            <w:tcBorders>
              <w:top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c>
          <w:tcPr>
            <w:tcW w:w="942" w:type="pct"/>
            <w:tcBorders>
              <w:top w:val="dotted" w:sz="4" w:space="0" w:color="auto"/>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70.0 (12.5, 83.4)</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P=0.013</w:t>
            </w:r>
          </w:p>
        </w:tc>
        <w:tc>
          <w:tcPr>
            <w:tcW w:w="1044"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8B4A04">
            <w:pPr>
              <w:keepNext/>
              <w:widowControl/>
              <w:jc w:val="left"/>
              <w:rPr>
                <w:rFonts w:ascii="Arial Narrow" w:hAnsi="Arial Narrow"/>
                <w:sz w:val="18"/>
                <w:szCs w:val="18"/>
              </w:rPr>
            </w:pPr>
            <w:r w:rsidRPr="00575319">
              <w:rPr>
                <w:rFonts w:ascii="Arial Narrow" w:hAnsi="Arial Narrow"/>
                <w:b/>
                <w:bCs/>
                <w:sz w:val="18"/>
                <w:szCs w:val="18"/>
              </w:rPr>
              <w:t>Lyons 2012</w:t>
            </w:r>
            <w:r w:rsidRPr="00575319">
              <w:rPr>
                <w:rFonts w:ascii="Arial Narrow" w:hAnsi="Arial Narrow"/>
                <w:sz w:val="18"/>
                <w:szCs w:val="18"/>
              </w:rPr>
              <w:t xml:space="preserve"> (abst)</w:t>
            </w:r>
          </w:p>
          <w:p w:rsidR="009F3929" w:rsidRPr="00575319" w:rsidRDefault="009F3929" w:rsidP="008B4A04">
            <w:pPr>
              <w:keepNext/>
              <w:widowControl/>
              <w:jc w:val="left"/>
              <w:rPr>
                <w:rFonts w:ascii="Arial Narrow" w:hAnsi="Arial Narrow"/>
                <w:sz w:val="18"/>
                <w:szCs w:val="18"/>
              </w:rPr>
            </w:pPr>
            <w:r w:rsidRPr="00575319">
              <w:rPr>
                <w:rFonts w:ascii="Arial Narrow" w:hAnsi="Arial Narrow"/>
                <w:sz w:val="18"/>
                <w:szCs w:val="18"/>
              </w:rPr>
              <w:t>36 months</w:t>
            </w:r>
          </w:p>
        </w:tc>
        <w:tc>
          <w:tcPr>
            <w:tcW w:w="681" w:type="pct"/>
            <w:tcBorders>
              <w:left w:val="single" w:sz="4" w:space="0" w:color="auto"/>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N=336</w:t>
            </w:r>
          </w:p>
        </w:tc>
        <w:tc>
          <w:tcPr>
            <w:tcW w:w="682" w:type="pct"/>
            <w:tcBorders>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264</w:t>
            </w:r>
          </w:p>
        </w:tc>
        <w:tc>
          <w:tcPr>
            <w:tcW w:w="942" w:type="pct"/>
            <w:tcBorders>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 200</w:t>
            </w:r>
          </w:p>
        </w:tc>
        <w:tc>
          <w:tcPr>
            <w:tcW w:w="1044" w:type="pct"/>
            <w:vMerge w:val="restart"/>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vMerge/>
            <w:tcBorders>
              <w:left w:val="single" w:sz="4" w:space="0" w:color="auto"/>
              <w:bottom w:val="single"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50.0 (1.8-289.4)</w:t>
            </w:r>
          </w:p>
        </w:tc>
        <w:tc>
          <w:tcPr>
            <w:tcW w:w="682" w:type="pct"/>
            <w:tcBorders>
              <w:top w:val="dotted" w:sz="4" w:space="0" w:color="auto"/>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96.8 (2.3-187.8)</w:t>
            </w:r>
          </w:p>
        </w:tc>
        <w:tc>
          <w:tcPr>
            <w:tcW w:w="942" w:type="pct"/>
            <w:tcBorders>
              <w:top w:val="dotted" w:sz="4" w:space="0" w:color="auto"/>
              <w:bottom w:val="single" w:sz="4" w:space="0" w:color="auto"/>
            </w:tcBorders>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102.1 (2.3-187.8)</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P=0.0001</w:t>
            </w:r>
          </w:p>
        </w:tc>
        <w:tc>
          <w:tcPr>
            <w:tcW w:w="1044" w:type="pct"/>
            <w:vMerge/>
            <w:tcBorders>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tcBorders>
              <w:bottom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r w:rsidRPr="00575319">
              <w:rPr>
                <w:rFonts w:ascii="Arial Narrow" w:hAnsi="Arial Narrow"/>
                <w:b/>
                <w:bCs/>
                <w:sz w:val="18"/>
                <w:szCs w:val="18"/>
              </w:rPr>
              <w:t xml:space="preserve">Lyons 2013 </w:t>
            </w:r>
            <w:r w:rsidRPr="00575319">
              <w:rPr>
                <w:rFonts w:ascii="Arial Narrow" w:hAnsi="Arial Narrow"/>
                <w:sz w:val="18"/>
                <w:szCs w:val="18"/>
              </w:rPr>
              <w:t>(abst)</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48 months</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top w:val="single"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N=330</w:t>
            </w:r>
          </w:p>
        </w:tc>
        <w:tc>
          <w:tcPr>
            <w:tcW w:w="682" w:type="pct"/>
            <w:tcBorders>
              <w:top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269</w:t>
            </w:r>
          </w:p>
        </w:tc>
        <w:tc>
          <w:tcPr>
            <w:tcW w:w="942" w:type="pct"/>
            <w:tcBorders>
              <w:top w:val="single"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202</w:t>
            </w:r>
          </w:p>
        </w:tc>
        <w:tc>
          <w:tcPr>
            <w:tcW w:w="1044" w:type="pct"/>
            <w:vMerge w:val="restart"/>
            <w:tcBorders>
              <w:top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tcBorders>
              <w:top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vMerge/>
            <w:tcBorders>
              <w:left w:val="single" w:sz="4" w:space="0" w:color="auto"/>
              <w:bottom w:val="single"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48.7 (1.8-289.4)</w:t>
            </w:r>
          </w:p>
        </w:tc>
        <w:tc>
          <w:tcPr>
            <w:tcW w:w="682" w:type="pct"/>
            <w:tcBorders>
              <w:top w:val="dotted" w:sz="4" w:space="0" w:color="auto"/>
              <w:bottom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96.8 (2.3–187.8)</w:t>
            </w:r>
          </w:p>
        </w:tc>
        <w:tc>
          <w:tcPr>
            <w:tcW w:w="942" w:type="pct"/>
            <w:tcBorders>
              <w:top w:val="dotted" w:sz="4" w:space="0" w:color="auto"/>
              <w:bottom w:val="single" w:sz="4" w:space="0" w:color="auto"/>
              <w:right w:val="single" w:sz="4" w:space="0" w:color="auto"/>
            </w:tcBorders>
            <w:vAlign w:val="center"/>
            <w:hideMark/>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102.5 (2.3–187.8)</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P&lt;0.0001</w:t>
            </w:r>
          </w:p>
        </w:tc>
        <w:tc>
          <w:tcPr>
            <w:tcW w:w="1044" w:type="pct"/>
            <w:vMerge/>
            <w:tcBorders>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tcBorders>
              <w:bottom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r w:rsidRPr="00575319">
              <w:rPr>
                <w:rFonts w:ascii="Arial Narrow" w:hAnsi="Arial Narrow"/>
                <w:b/>
                <w:bCs/>
                <w:sz w:val="18"/>
                <w:szCs w:val="18"/>
              </w:rPr>
              <w:t>Lyons 2014</w:t>
            </w:r>
            <w:r w:rsidRPr="00575319">
              <w:rPr>
                <w:rFonts w:ascii="Arial Narrow" w:hAnsi="Arial Narrow"/>
                <w:sz w:val="18"/>
                <w:szCs w:val="18"/>
              </w:rPr>
              <w:t xml:space="preserve"> (abst)</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60 months</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top w:val="single"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N=328</w:t>
            </w:r>
          </w:p>
        </w:tc>
        <w:tc>
          <w:tcPr>
            <w:tcW w:w="682" w:type="pct"/>
            <w:tcBorders>
              <w:top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271</w:t>
            </w:r>
          </w:p>
        </w:tc>
        <w:tc>
          <w:tcPr>
            <w:tcW w:w="942" w:type="pct"/>
            <w:tcBorders>
              <w:top w:val="single"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202</w:t>
            </w:r>
          </w:p>
        </w:tc>
        <w:tc>
          <w:tcPr>
            <w:tcW w:w="1044" w:type="pct"/>
            <w:vMerge w:val="restart"/>
            <w:tcBorders>
              <w:top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tcBorders>
              <w:top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47.8 (43.4, 53.1)</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88.0(78.4, 103.0)</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P&lt;0.0001</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100.0 (83.4, 118.2)</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P&lt;0.0001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No CVC</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n=42</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n=72</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n=60</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34.0</w:t>
            </w:r>
          </w:p>
        </w:tc>
        <w:tc>
          <w:tcPr>
            <w:tcW w:w="682" w:type="pct"/>
            <w:tcBorders>
              <w:top w:val="dotted" w:sz="4" w:space="0" w:color="auto"/>
              <w:bottom w:val="dotted" w:sz="4" w:space="0" w:color="auto"/>
            </w:tcBorders>
            <w:shd w:val="clear" w:color="auto" w:fill="auto"/>
            <w:vAlign w:val="center"/>
            <w:hideMark/>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69.3 (P&lt;0.0001)</w:t>
            </w:r>
          </w:p>
        </w:tc>
        <w:tc>
          <w:tcPr>
            <w:tcW w:w="942" w:type="pct"/>
            <w:tcBorders>
              <w:top w:val="dotted" w:sz="4" w:space="0" w:color="auto"/>
              <w:bottom w:val="dotted" w:sz="4" w:space="0" w:color="auto"/>
              <w:right w:val="single" w:sz="4" w:space="0" w:color="auto"/>
            </w:tcBorders>
            <w:vAlign w:val="center"/>
            <w:hideMark/>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79.3 (P&lt;0.0001)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hideMark/>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With CVC</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n=286</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n=199</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n=142</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43.4</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67.7</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72.6</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No endocrine co-morbidity</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n=162</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n=149</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n=114</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38.5</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67.1 (P&lt;0.0001)</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69.6 (P&lt;0.0001)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dotted" w:sz="4" w:space="0" w:color="auto"/>
              <w:left w:val="single" w:sz="4" w:space="0" w:color="auto"/>
              <w:right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With endocrine co-morbidity</w:t>
            </w: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n=166</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n=122</w:t>
            </w:r>
          </w:p>
        </w:tc>
        <w:tc>
          <w:tcPr>
            <w:tcW w:w="942" w:type="pct"/>
            <w:tcBorders>
              <w:top w:val="dotted" w:sz="4" w:space="0" w:color="auto"/>
              <w:bottom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n=88</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tcBorders>
              <w:left w:val="single" w:sz="4" w:space="0" w:color="auto"/>
              <w:bottom w:val="single"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44.6</w:t>
            </w:r>
          </w:p>
        </w:tc>
        <w:tc>
          <w:tcPr>
            <w:tcW w:w="68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75.0</w:t>
            </w:r>
          </w:p>
        </w:tc>
        <w:tc>
          <w:tcPr>
            <w:tcW w:w="942" w:type="pct"/>
            <w:tcBorders>
              <w:top w:val="dotted" w:sz="4" w:space="0" w:color="auto"/>
              <w:right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81.8</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hideMark/>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Rose 2010</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30 months (2.5 years)</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-All</w:t>
            </w:r>
          </w:p>
        </w:tc>
        <w:tc>
          <w:tcPr>
            <w:tcW w:w="681" w:type="pct"/>
            <w:tcBorders>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n=44</w:t>
            </w:r>
          </w:p>
        </w:tc>
        <w:tc>
          <w:tcPr>
            <w:tcW w:w="68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n=53</w:t>
            </w:r>
          </w:p>
        </w:tc>
        <w:tc>
          <w:tcPr>
            <w:tcW w:w="1044" w:type="pct"/>
            <w:vMerge w:val="restart"/>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Age, IPSS, transfusion requirement</w:t>
            </w:r>
          </w:p>
        </w:tc>
        <w:tc>
          <w:tcPr>
            <w:tcW w:w="800" w:type="pct"/>
            <w:vMerge w:val="restart"/>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0.302</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(0.16, 0.58)</w:t>
            </w:r>
          </w:p>
          <w:p w:rsidR="009F3929" w:rsidRPr="00575319" w:rsidRDefault="009F3929" w:rsidP="007478B9">
            <w:pPr>
              <w:widowControl/>
              <w:jc w:val="center"/>
              <w:rPr>
                <w:rFonts w:ascii="Arial Narrow" w:hAnsi="Arial Narrow"/>
                <w:sz w:val="18"/>
                <w:szCs w:val="18"/>
              </w:rPr>
            </w:pPr>
            <w:r w:rsidRPr="00575319">
              <w:rPr>
                <w:rFonts w:ascii="Arial Narrow" w:hAnsi="Arial Narrow"/>
                <w:b/>
                <w:bCs/>
                <w:sz w:val="18"/>
                <w:szCs w:val="18"/>
              </w:rPr>
              <w:t>P=0.0003</w:t>
            </w: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53</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124 (P&lt;0.0003)</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60"/>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Adequate versus weak chelation</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n=12</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n=41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60"/>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Weak chelation</w:t>
            </w:r>
          </w:p>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85</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Adequate chelation</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124 (P&lt;0.001)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133"/>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IPSS low</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n=15</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sz w:val="18"/>
                <w:szCs w:val="18"/>
              </w:rPr>
              <w:t>n=30</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60"/>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70</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138 (P=0.015)</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120"/>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IPSS int 1</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n=29</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n=23</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60"/>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36</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115</w:t>
            </w:r>
            <w:r w:rsidRPr="00575319">
              <w:rPr>
                <w:rFonts w:ascii="Arial Narrow" w:hAnsi="Arial Narrow"/>
                <w:sz w:val="18"/>
                <w:szCs w:val="18"/>
              </w:rPr>
              <w:t xml:space="preserve"> </w:t>
            </w:r>
            <w:r w:rsidRPr="00575319">
              <w:rPr>
                <w:rFonts w:ascii="Arial Narrow" w:hAnsi="Arial Narrow"/>
                <w:b/>
                <w:bCs/>
                <w:sz w:val="18"/>
                <w:szCs w:val="18"/>
              </w:rPr>
              <w:t>(P=0.0003)</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196"/>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 xml:space="preserve"> &lt;3 PRBC-mth</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50"/>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77</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124</w:t>
            </w:r>
            <w:r w:rsidRPr="00575319">
              <w:rPr>
                <w:rFonts w:ascii="Arial Narrow" w:hAnsi="Arial Narrow"/>
                <w:sz w:val="18"/>
                <w:szCs w:val="18"/>
              </w:rPr>
              <w:t xml:space="preserve"> </w:t>
            </w:r>
            <w:r w:rsidRPr="00575319">
              <w:rPr>
                <w:rFonts w:ascii="Arial Narrow" w:hAnsi="Arial Narrow"/>
                <w:b/>
                <w:bCs/>
                <w:sz w:val="18"/>
                <w:szCs w:val="18"/>
              </w:rPr>
              <w:t>(P=0.03)</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 ≥3 PRBC-mth</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tcBorders>
              <w:bottom w:val="dotted" w:sz="4" w:space="0" w:color="auto"/>
            </w:tcBorders>
            <w:vAlign w:val="center"/>
          </w:tcPr>
          <w:p w:rsidR="009F3929" w:rsidRPr="00575319" w:rsidRDefault="009F3929" w:rsidP="007478B9">
            <w:pPr>
              <w:widowControl/>
              <w:tabs>
                <w:tab w:val="left" w:pos="142"/>
              </w:tabs>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28</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138</w:t>
            </w:r>
            <w:r w:rsidRPr="00575319">
              <w:rPr>
                <w:rFonts w:ascii="Arial Narrow" w:hAnsi="Arial Narrow"/>
                <w:sz w:val="18"/>
                <w:szCs w:val="18"/>
              </w:rPr>
              <w:t xml:space="preserve"> (P=0.0001)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60"/>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-Aged &lt; 77 years</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sz w:val="18"/>
                <w:szCs w:val="18"/>
              </w:rPr>
              <w:t>n=NR</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376"/>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36</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Not reached</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P=0.0001</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112"/>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-Aged ≥77 years</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sz w:val="18"/>
                <w:szCs w:val="18"/>
              </w:rPr>
              <w:t>n=NR</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104"/>
        </w:trPr>
        <w:tc>
          <w:tcPr>
            <w:tcW w:w="851" w:type="pct"/>
            <w:gridSpan w:val="2"/>
            <w:vMerge/>
            <w:tcBorders>
              <w:bottom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77</w:t>
            </w:r>
          </w:p>
        </w:tc>
        <w:tc>
          <w:tcPr>
            <w:tcW w:w="68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94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124 (P=0.04)</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1532" w:type="pct"/>
            <w:gridSpan w:val="3"/>
            <w:tcBorders>
              <w:top w:val="single" w:sz="4" w:space="0" w:color="auto"/>
              <w:left w:val="single" w:sz="4" w:space="0" w:color="auto"/>
              <w:bottom w:val="single" w:sz="4" w:space="0" w:color="auto"/>
              <w:right w:val="nil"/>
            </w:tcBorders>
            <w:vAlign w:val="center"/>
          </w:tcPr>
          <w:p w:rsidR="009F3929" w:rsidRPr="00575319" w:rsidRDefault="009F3929" w:rsidP="008B4A04">
            <w:pPr>
              <w:keepNext/>
              <w:widowControl/>
              <w:jc w:val="center"/>
              <w:rPr>
                <w:rFonts w:ascii="Arial Narrow" w:hAnsi="Arial Narrow"/>
                <w:b/>
                <w:bCs/>
                <w:sz w:val="18"/>
                <w:szCs w:val="18"/>
              </w:rPr>
            </w:pPr>
            <w:r>
              <w:rPr>
                <w:rFonts w:ascii="Arial Narrow" w:hAnsi="Arial Narrow"/>
                <w:b/>
                <w:bCs/>
                <w:sz w:val="18"/>
                <w:szCs w:val="18"/>
              </w:rPr>
              <w:t>RETROSP</w:t>
            </w:r>
            <w:r w:rsidRPr="00575319">
              <w:rPr>
                <w:rFonts w:ascii="Arial Narrow" w:hAnsi="Arial Narrow"/>
                <w:b/>
                <w:bCs/>
                <w:sz w:val="18"/>
                <w:szCs w:val="18"/>
              </w:rPr>
              <w:t>ECTIVE</w:t>
            </w:r>
          </w:p>
        </w:tc>
        <w:tc>
          <w:tcPr>
            <w:tcW w:w="682" w:type="pct"/>
            <w:tcBorders>
              <w:top w:val="single" w:sz="4" w:space="0" w:color="auto"/>
              <w:left w:val="nil"/>
              <w:bottom w:val="single" w:sz="4" w:space="0" w:color="auto"/>
              <w:right w:val="nil"/>
            </w:tcBorders>
            <w:vAlign w:val="center"/>
          </w:tcPr>
          <w:p w:rsidR="009F3929" w:rsidRPr="00575319" w:rsidRDefault="009F3929" w:rsidP="008B4A04">
            <w:pPr>
              <w:keepNext/>
              <w:widowControl/>
              <w:jc w:val="center"/>
              <w:rPr>
                <w:rFonts w:ascii="Arial Narrow" w:hAnsi="Arial Narrow"/>
                <w:b/>
                <w:bCs/>
                <w:sz w:val="18"/>
                <w:szCs w:val="18"/>
              </w:rPr>
            </w:pPr>
          </w:p>
        </w:tc>
        <w:tc>
          <w:tcPr>
            <w:tcW w:w="942" w:type="pct"/>
            <w:tcBorders>
              <w:top w:val="single" w:sz="4" w:space="0" w:color="auto"/>
              <w:left w:val="nil"/>
              <w:bottom w:val="single" w:sz="4" w:space="0" w:color="auto"/>
              <w:right w:val="nil"/>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p>
        </w:tc>
        <w:tc>
          <w:tcPr>
            <w:tcW w:w="1044" w:type="pct"/>
            <w:tcBorders>
              <w:top w:val="single" w:sz="4" w:space="0" w:color="auto"/>
              <w:left w:val="single" w:sz="4" w:space="0" w:color="auto"/>
              <w:bottom w:val="single" w:sz="4" w:space="0" w:color="auto"/>
              <w:right w:val="nil"/>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p>
        </w:tc>
        <w:tc>
          <w:tcPr>
            <w:tcW w:w="800" w:type="pct"/>
            <w:tcBorders>
              <w:top w:val="single" w:sz="4" w:space="0" w:color="auto"/>
              <w:left w:val="nil"/>
              <w:bottom w:val="single" w:sz="4" w:space="0" w:color="auto"/>
              <w:right w:val="single" w:sz="4" w:space="0" w:color="auto"/>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8B4A04">
            <w:pPr>
              <w:keepNext/>
              <w:widowControl/>
              <w:jc w:val="left"/>
              <w:rPr>
                <w:rFonts w:ascii="Arial Narrow" w:hAnsi="Arial Narrow"/>
                <w:b/>
                <w:bCs/>
                <w:sz w:val="18"/>
                <w:szCs w:val="18"/>
              </w:rPr>
            </w:pPr>
            <w:r w:rsidRPr="00575319">
              <w:rPr>
                <w:rFonts w:ascii="Arial Narrow" w:hAnsi="Arial Narrow"/>
                <w:b/>
                <w:bCs/>
                <w:sz w:val="18"/>
                <w:szCs w:val="18"/>
              </w:rPr>
              <w:t>Delforge 2014</w:t>
            </w:r>
          </w:p>
          <w:p w:rsidR="009F3929" w:rsidRPr="00575319" w:rsidRDefault="009F3929" w:rsidP="008B4A04">
            <w:pPr>
              <w:keepNext/>
              <w:widowControl/>
              <w:jc w:val="left"/>
              <w:rPr>
                <w:rFonts w:ascii="Arial Narrow" w:hAnsi="Arial Narrow"/>
                <w:sz w:val="18"/>
                <w:szCs w:val="18"/>
              </w:rPr>
            </w:pPr>
            <w:r w:rsidRPr="00575319">
              <w:rPr>
                <w:rFonts w:ascii="Arial Narrow" w:hAnsi="Arial Narrow"/>
                <w:sz w:val="18"/>
                <w:szCs w:val="18"/>
              </w:rPr>
              <w:t>24 months</w:t>
            </w:r>
          </w:p>
          <w:p w:rsidR="009F3929" w:rsidRPr="00575319" w:rsidRDefault="009F3929" w:rsidP="008B4A04">
            <w:pPr>
              <w:keepNext/>
              <w:widowControl/>
              <w:jc w:val="left"/>
              <w:rPr>
                <w:rFonts w:ascii="Arial Narrow" w:hAnsi="Arial Narrow"/>
                <w:sz w:val="18"/>
                <w:szCs w:val="18"/>
              </w:rPr>
            </w:pPr>
            <w:r w:rsidRPr="00575319">
              <w:rPr>
                <w:rFonts w:ascii="Arial Narrow" w:hAnsi="Arial Narrow"/>
                <w:sz w:val="18"/>
                <w:szCs w:val="18"/>
              </w:rPr>
              <w:t>-All</w:t>
            </w:r>
          </w:p>
        </w:tc>
        <w:tc>
          <w:tcPr>
            <w:tcW w:w="681" w:type="pct"/>
            <w:tcBorders>
              <w:left w:val="single" w:sz="4" w:space="0" w:color="auto"/>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 47</w:t>
            </w:r>
          </w:p>
        </w:tc>
        <w:tc>
          <w:tcPr>
            <w:tcW w:w="682" w:type="pct"/>
            <w:tcBorders>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 80</w:t>
            </w:r>
          </w:p>
        </w:tc>
        <w:tc>
          <w:tcPr>
            <w:tcW w:w="942" w:type="pct"/>
            <w:tcBorders>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 62</w:t>
            </w:r>
          </w:p>
        </w:tc>
        <w:tc>
          <w:tcPr>
            <w:tcW w:w="1044" w:type="pct"/>
            <w:vMerge w:val="restart"/>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Age, gender</w:t>
            </w:r>
          </w:p>
        </w:tc>
        <w:tc>
          <w:tcPr>
            <w:tcW w:w="800" w:type="pct"/>
            <w:vMerge w:val="restart"/>
            <w:shd w:val="clear" w:color="auto" w:fill="auto"/>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 xml:space="preserve">0.22 (0.12, 0.41) </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P&lt;0.001</w:t>
            </w:r>
          </w:p>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(ICT ≥6mth)</w:t>
            </w: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hideMark/>
          </w:tcPr>
          <w:p w:rsidR="009F3929" w:rsidRPr="00575319" w:rsidRDefault="009F3929" w:rsidP="008B4A04">
            <w:pPr>
              <w:keepNext/>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sz w:val="18"/>
                <w:szCs w:val="18"/>
              </w:rPr>
              <w:t>37.2 (SE 4.8)</w:t>
            </w:r>
          </w:p>
        </w:tc>
        <w:tc>
          <w:tcPr>
            <w:tcW w:w="682" w:type="pct"/>
            <w:tcBorders>
              <w:top w:val="dotted" w:sz="4" w:space="0" w:color="auto"/>
              <w:bottom w:val="dotted"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122.4 (SE 16.8)</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P&lt;0.001</w:t>
            </w:r>
          </w:p>
        </w:tc>
        <w:tc>
          <w:tcPr>
            <w:tcW w:w="942" w:type="pct"/>
            <w:tcBorders>
              <w:top w:val="dotted" w:sz="4" w:space="0" w:color="auto"/>
              <w:bottom w:val="dotted" w:sz="4" w:space="0" w:color="auto"/>
            </w:tcBorders>
            <w:vAlign w:val="center"/>
            <w:hideMark/>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 xml:space="preserve">126 (SE 26.4) </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P&lt;0.001</w:t>
            </w:r>
          </w:p>
        </w:tc>
        <w:tc>
          <w:tcPr>
            <w:tcW w:w="1044" w:type="pct"/>
            <w:vMerge/>
            <w:tcBorders>
              <w:bottom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p>
        </w:tc>
        <w:tc>
          <w:tcPr>
            <w:tcW w:w="800" w:type="pct"/>
            <w:vMerge/>
            <w:tcBorders>
              <w:bottom w:val="dotted" w:sz="4" w:space="0" w:color="auto"/>
            </w:tcBorders>
            <w:shd w:val="clear" w:color="auto" w:fill="auto"/>
            <w:vAlign w:val="center"/>
            <w:hideMark/>
          </w:tcPr>
          <w:p w:rsidR="009F3929" w:rsidRPr="00575319" w:rsidRDefault="009F3929" w:rsidP="008B4A04">
            <w:pPr>
              <w:keepNext/>
              <w:widowControl/>
              <w:jc w:val="center"/>
              <w:rPr>
                <w:rFonts w:ascii="Arial Narrow" w:hAnsi="Arial Narrow"/>
                <w:sz w:val="18"/>
                <w:szCs w:val="18"/>
              </w:rPr>
            </w:pPr>
          </w:p>
        </w:tc>
      </w:tr>
      <w:tr w:rsidR="009F3929" w:rsidRPr="00575319" w:rsidTr="009F3929">
        <w:trPr>
          <w:trHeight w:val="162"/>
        </w:trPr>
        <w:tc>
          <w:tcPr>
            <w:tcW w:w="851" w:type="pct"/>
            <w:gridSpan w:val="2"/>
            <w:vMerge w:val="restart"/>
            <w:tcBorders>
              <w:top w:val="dotted" w:sz="4" w:space="0" w:color="auto"/>
            </w:tcBorders>
            <w:vAlign w:val="center"/>
          </w:tcPr>
          <w:p w:rsidR="009F3929" w:rsidRPr="00575319" w:rsidRDefault="009F3929" w:rsidP="008B4A04">
            <w:pPr>
              <w:pStyle w:val="ListParagraph"/>
              <w:keepNext/>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 xml:space="preserve">Adequately chelated patients </w:t>
            </w:r>
          </w:p>
        </w:tc>
        <w:tc>
          <w:tcPr>
            <w:tcW w:w="681" w:type="pct"/>
            <w:tcBorders>
              <w:top w:val="dotted" w:sz="4" w:space="0" w:color="auto"/>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 =47</w:t>
            </w:r>
          </w:p>
        </w:tc>
        <w:tc>
          <w:tcPr>
            <w:tcW w:w="682" w:type="pct"/>
            <w:tcBorders>
              <w:top w:val="dotted" w:sz="4" w:space="0" w:color="auto"/>
              <w:bottom w:val="dotted" w:sz="4" w:space="0" w:color="auto"/>
            </w:tcBorders>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n=56/80(70%)</w:t>
            </w:r>
          </w:p>
        </w:tc>
        <w:tc>
          <w:tcPr>
            <w:tcW w:w="942" w:type="pct"/>
            <w:vMerge w:val="restart"/>
            <w:tcBorders>
              <w:top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tcBorders>
              <w:top w:val="dotted" w:sz="4" w:space="0" w:color="auto"/>
            </w:tcBorders>
            <w:shd w:val="clear" w:color="auto" w:fill="auto"/>
            <w:vAlign w:val="center"/>
          </w:tcPr>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Age, gender</w:t>
            </w:r>
          </w:p>
        </w:tc>
        <w:tc>
          <w:tcPr>
            <w:tcW w:w="800" w:type="pct"/>
            <w:vMerge w:val="restart"/>
            <w:tcBorders>
              <w:top w:val="dotted" w:sz="4" w:space="0" w:color="auto"/>
            </w:tcBorders>
            <w:shd w:val="clear" w:color="auto" w:fill="auto"/>
            <w:vAlign w:val="center"/>
          </w:tcPr>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 xml:space="preserve">0.22 (0.12, 0.41) </w:t>
            </w:r>
          </w:p>
          <w:p w:rsidR="009F3929" w:rsidRPr="00575319" w:rsidRDefault="009F3929" w:rsidP="008B4A04">
            <w:pPr>
              <w:keepNext/>
              <w:widowControl/>
              <w:jc w:val="center"/>
              <w:rPr>
                <w:rFonts w:ascii="Arial Narrow" w:hAnsi="Arial Narrow"/>
                <w:b/>
                <w:bCs/>
                <w:sz w:val="18"/>
                <w:szCs w:val="18"/>
              </w:rPr>
            </w:pPr>
            <w:r w:rsidRPr="00575319">
              <w:rPr>
                <w:rFonts w:ascii="Arial Narrow" w:hAnsi="Arial Narrow"/>
                <w:b/>
                <w:bCs/>
                <w:sz w:val="18"/>
                <w:szCs w:val="18"/>
              </w:rPr>
              <w:t>P&lt;0.001</w:t>
            </w:r>
          </w:p>
          <w:p w:rsidR="009F3929" w:rsidRPr="00575319" w:rsidRDefault="009F3929" w:rsidP="008B4A04">
            <w:pPr>
              <w:keepNext/>
              <w:widowControl/>
              <w:jc w:val="center"/>
              <w:rPr>
                <w:rFonts w:ascii="Arial Narrow" w:hAnsi="Arial Narrow"/>
                <w:sz w:val="18"/>
                <w:szCs w:val="18"/>
              </w:rPr>
            </w:pPr>
            <w:r w:rsidRPr="00575319">
              <w:rPr>
                <w:rFonts w:ascii="Arial Narrow" w:hAnsi="Arial Narrow"/>
                <w:sz w:val="18"/>
                <w:szCs w:val="18"/>
              </w:rPr>
              <w:t>(adequate chelation)</w:t>
            </w:r>
          </w:p>
        </w:tc>
      </w:tr>
      <w:tr w:rsidR="009F3929" w:rsidRPr="00575319" w:rsidTr="009F3929">
        <w:trPr>
          <w:trHeight w:val="60"/>
        </w:trPr>
        <w:tc>
          <w:tcPr>
            <w:tcW w:w="851" w:type="pct"/>
            <w:gridSpan w:val="2"/>
            <w:vMerge/>
            <w:tcBorders>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p>
        </w:tc>
        <w:tc>
          <w:tcPr>
            <w:tcW w:w="681" w:type="pct"/>
            <w:tcBorders>
              <w:top w:val="dotted" w:sz="4" w:space="0" w:color="auto"/>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37.2 (SE: 4.8)</w:t>
            </w:r>
          </w:p>
        </w:tc>
        <w:tc>
          <w:tcPr>
            <w:tcW w:w="682" w:type="pct"/>
            <w:tcBorders>
              <w:top w:val="dotted" w:sz="4" w:space="0" w:color="auto"/>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b/>
                <w:bCs/>
                <w:sz w:val="18"/>
                <w:szCs w:val="18"/>
              </w:rPr>
              <w:t>126 (SE:24)</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P&lt;0.001*</w:t>
            </w:r>
          </w:p>
        </w:tc>
        <w:tc>
          <w:tcPr>
            <w:tcW w:w="942" w:type="pct"/>
            <w:vMerge/>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1044" w:type="pct"/>
            <w:vMerge/>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99"/>
        </w:trPr>
        <w:tc>
          <w:tcPr>
            <w:tcW w:w="851" w:type="pct"/>
            <w:gridSpan w:val="2"/>
            <w:vMerge w:val="restart"/>
            <w:tcBorders>
              <w:top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Weakly chelation</w:t>
            </w:r>
          </w:p>
        </w:tc>
        <w:tc>
          <w:tcPr>
            <w:tcW w:w="681" w:type="pct"/>
            <w:tcBorders>
              <w:top w:val="dotted" w:sz="4" w:space="0" w:color="auto"/>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n=47</w:t>
            </w:r>
          </w:p>
        </w:tc>
        <w:tc>
          <w:tcPr>
            <w:tcW w:w="682" w:type="pct"/>
            <w:tcBorders>
              <w:top w:val="dotted" w:sz="4" w:space="0" w:color="auto"/>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n=24/80(30%)</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vMerge/>
            <w:tcBorders>
              <w:bottom w:val="single" w:sz="4" w:space="0" w:color="auto"/>
            </w:tcBorders>
            <w:vAlign w:val="center"/>
          </w:tcPr>
          <w:p w:rsidR="009F3929" w:rsidRPr="00575319" w:rsidRDefault="009F3929" w:rsidP="007478B9">
            <w:pPr>
              <w:widowControl/>
              <w:ind w:left="142"/>
              <w:jc w:val="left"/>
              <w:rPr>
                <w:rFonts w:ascii="Arial Narrow" w:hAnsi="Arial Narrow"/>
                <w:sz w:val="18"/>
                <w:szCs w:val="18"/>
              </w:rPr>
            </w:pPr>
          </w:p>
        </w:tc>
        <w:tc>
          <w:tcPr>
            <w:tcW w:w="681" w:type="pct"/>
            <w:tcBorders>
              <w:top w:val="dotted" w:sz="4" w:space="0" w:color="auto"/>
              <w:bottom w:val="single"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37.2 (SE: 4.8)</w:t>
            </w:r>
          </w:p>
        </w:tc>
        <w:tc>
          <w:tcPr>
            <w:tcW w:w="682" w:type="pct"/>
            <w:tcBorders>
              <w:top w:val="dotted" w:sz="4" w:space="0" w:color="auto"/>
              <w:bottom w:val="single" w:sz="4" w:space="0" w:color="auto"/>
            </w:tcBorders>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51.6 (SE 0.8) *</w:t>
            </w:r>
          </w:p>
        </w:tc>
        <w:tc>
          <w:tcPr>
            <w:tcW w:w="942" w:type="pct"/>
            <w:tcBorders>
              <w:top w:val="dotted" w:sz="4" w:space="0" w:color="auto"/>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tcBorders>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tcBorders>
              <w:bottom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tcBorders>
              <w:top w:val="single" w:sz="4" w:space="0" w:color="auto"/>
              <w:bottom w:val="dotted" w:sz="4" w:space="0" w:color="auto"/>
            </w:tcBorders>
            <w:vAlign w:val="center"/>
            <w:hideMark/>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Neukirchen 2012</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NR</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top w:val="single" w:sz="4" w:space="0" w:color="auto"/>
              <w:bottom w:val="dotted" w:sz="4" w:space="0" w:color="auto"/>
            </w:tcBorders>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49</w:t>
            </w:r>
          </w:p>
        </w:tc>
        <w:tc>
          <w:tcPr>
            <w:tcW w:w="682" w:type="pct"/>
            <w:tcBorders>
              <w:top w:val="single" w:sz="4" w:space="0" w:color="auto"/>
              <w:bottom w:val="dotted" w:sz="4" w:space="0" w:color="auto"/>
            </w:tcBorders>
            <w:vAlign w:val="center"/>
            <w:hideMark/>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75 (P=0.002)</w:t>
            </w:r>
          </w:p>
        </w:tc>
        <w:tc>
          <w:tcPr>
            <w:tcW w:w="942" w:type="pct"/>
            <w:tcBorders>
              <w:top w:val="single" w:sz="4" w:space="0" w:color="auto"/>
              <w:bottom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tcBorders>
              <w:top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800" w:type="pct"/>
            <w:vMerge w:val="restart"/>
            <w:tcBorders>
              <w:top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r>
      <w:tr w:rsidR="009F3929" w:rsidRPr="00575319" w:rsidTr="009F3929">
        <w:trPr>
          <w:trHeight w:val="20"/>
        </w:trPr>
        <w:tc>
          <w:tcPr>
            <w:tcW w:w="851" w:type="pct"/>
            <w:gridSpan w:val="2"/>
            <w:tcBorders>
              <w:top w:val="dotted" w:sz="4" w:space="0" w:color="auto"/>
              <w:bottom w:val="dotted"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-Higher risk MDS</w:t>
            </w:r>
          </w:p>
        </w:tc>
        <w:tc>
          <w:tcPr>
            <w:tcW w:w="681"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tcBorders>
              <w:top w:val="dotted" w:sz="4" w:space="0" w:color="auto"/>
              <w:bottom w:val="single" w:sz="4" w:space="0" w:color="auto"/>
            </w:tcBorders>
            <w:vAlign w:val="center"/>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-Lower risk MDS</w:t>
            </w:r>
          </w:p>
        </w:tc>
        <w:tc>
          <w:tcPr>
            <w:tcW w:w="681"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68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NR (P=0.008)</w:t>
            </w:r>
          </w:p>
        </w:tc>
        <w:tc>
          <w:tcPr>
            <w:tcW w:w="94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Raptis 2010</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ICT: 55.2 (4.6 yrs)</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No ICT:32.4 (2.7yrs)</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-ICT-eligible patients all MDS risk levels (N = 128)</w:t>
            </w:r>
          </w:p>
        </w:tc>
        <w:tc>
          <w:tcPr>
            <w:tcW w:w="681" w:type="pct"/>
            <w:tcBorders>
              <w:left w:val="single" w:sz="4" w:space="0" w:color="auto"/>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n=74</w:t>
            </w:r>
          </w:p>
        </w:tc>
        <w:tc>
          <w:tcPr>
            <w:tcW w:w="682" w:type="pct"/>
            <w:tcBorders>
              <w:bottom w:val="dotted" w:sz="4" w:space="0" w:color="auto"/>
            </w:tcBorders>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n=54</w:t>
            </w:r>
          </w:p>
        </w:tc>
        <w:tc>
          <w:tcPr>
            <w:tcW w:w="94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Age at MDS/severe anaemia diagnosis, gender, total units of RBC transfused, and MDS risk level at becoming ICT-eligible (lower-risk vs. higher-risk vs. unclassified or other)</w:t>
            </w:r>
          </w:p>
        </w:tc>
        <w:tc>
          <w:tcPr>
            <w:tcW w:w="800" w:type="pct"/>
            <w:vMerge w:val="restart"/>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0.372</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P=0.03</w:t>
            </w:r>
          </w:p>
        </w:tc>
      </w:tr>
      <w:tr w:rsidR="009F3929" w:rsidRPr="00575319" w:rsidTr="009F3929">
        <w:trPr>
          <w:trHeight w:val="20"/>
        </w:trPr>
        <w:tc>
          <w:tcPr>
            <w:tcW w:w="851" w:type="pct"/>
            <w:gridSpan w:val="2"/>
            <w:vMerge/>
            <w:tcBorders>
              <w:left w:val="single" w:sz="4" w:space="0" w:color="auto"/>
              <w:bottom w:val="dotted"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56.4</w:t>
            </w:r>
          </w:p>
        </w:tc>
        <w:tc>
          <w:tcPr>
            <w:tcW w:w="68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b/>
                <w:bCs/>
                <w:sz w:val="18"/>
                <w:szCs w:val="18"/>
              </w:rPr>
              <w:t>104.4 (P=0.02)</w:t>
            </w:r>
          </w:p>
        </w:tc>
        <w:tc>
          <w:tcPr>
            <w:tcW w:w="942" w:type="pct"/>
            <w:tcBorders>
              <w:top w:val="dotted"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b/>
                <w:bCs/>
                <w:sz w:val="18"/>
                <w:szCs w:val="18"/>
              </w:rPr>
            </w:pPr>
          </w:p>
        </w:tc>
      </w:tr>
      <w:tr w:rsidR="009F3929" w:rsidRPr="00575319" w:rsidTr="009F3929">
        <w:trPr>
          <w:trHeight w:val="20"/>
        </w:trPr>
        <w:tc>
          <w:tcPr>
            <w:tcW w:w="851" w:type="pct"/>
            <w:gridSpan w:val="2"/>
            <w:tcBorders>
              <w:top w:val="dotted" w:sz="4" w:space="0" w:color="auto"/>
              <w:bottom w:val="single" w:sz="4" w:space="0" w:color="auto"/>
            </w:tcBorders>
            <w:vAlign w:val="center"/>
            <w:hideMark/>
          </w:tcPr>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-ICT-eligible patients MDS low risk (N = 78)</w:t>
            </w:r>
          </w:p>
        </w:tc>
        <w:tc>
          <w:tcPr>
            <w:tcW w:w="681"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70.8</w:t>
            </w:r>
          </w:p>
        </w:tc>
        <w:tc>
          <w:tcPr>
            <w:tcW w:w="68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112.8 (P=0.12)</w:t>
            </w:r>
          </w:p>
        </w:tc>
        <w:tc>
          <w:tcPr>
            <w:tcW w:w="94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tcPr>
          <w:p w:rsidR="009F3929" w:rsidRPr="00575319" w:rsidRDefault="009F3929" w:rsidP="007478B9">
            <w:pPr>
              <w:widowControl/>
              <w:jc w:val="center"/>
              <w:rPr>
                <w:rFonts w:ascii="Arial Narrow" w:hAnsi="Arial Narrow"/>
                <w:b/>
                <w:bCs/>
                <w:sz w:val="18"/>
                <w:szCs w:val="18"/>
              </w:rPr>
            </w:pPr>
          </w:p>
        </w:tc>
      </w:tr>
      <w:tr w:rsidR="009F3929" w:rsidRPr="00575319" w:rsidTr="009F3929">
        <w:trPr>
          <w:trHeight w:val="242"/>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Remacha 2014</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41 months</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116</w:t>
            </w:r>
          </w:p>
        </w:tc>
        <w:tc>
          <w:tcPr>
            <w:tcW w:w="68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146</w:t>
            </w:r>
          </w:p>
        </w:tc>
        <w:tc>
          <w:tcPr>
            <w:tcW w:w="94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Age, IPSS</w:t>
            </w:r>
          </w:p>
        </w:tc>
        <w:tc>
          <w:tcPr>
            <w:tcW w:w="800" w:type="pct"/>
            <w:vMerge w:val="restart"/>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0.361</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(0.159, 0.822)</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P&lt;0.015</w:t>
            </w:r>
          </w:p>
        </w:tc>
      </w:tr>
      <w:tr w:rsidR="009F3929" w:rsidRPr="00575319" w:rsidTr="009F3929">
        <w:trPr>
          <w:trHeight w:val="263"/>
        </w:trPr>
        <w:tc>
          <w:tcPr>
            <w:tcW w:w="851" w:type="pct"/>
            <w:gridSpan w:val="2"/>
            <w:vMerge/>
            <w:tcBorders>
              <w:left w:val="single" w:sz="4" w:space="0" w:color="auto"/>
              <w:bottom w:val="dotted"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bottom w:val="dotted" w:sz="4" w:space="0" w:color="auto"/>
            </w:tcBorders>
            <w:shd w:val="clear" w:color="auto" w:fill="auto"/>
            <w:vAlign w:val="bottom"/>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153</w:t>
            </w:r>
          </w:p>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(95%CI:78 - 228)</w:t>
            </w:r>
          </w:p>
        </w:tc>
        <w:tc>
          <w:tcPr>
            <w:tcW w:w="682" w:type="pct"/>
            <w:tcBorders>
              <w:top w:val="dotted" w:sz="4" w:space="0" w:color="auto"/>
              <w:bottom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Not reached</w:t>
            </w:r>
          </w:p>
        </w:tc>
        <w:tc>
          <w:tcPr>
            <w:tcW w:w="942" w:type="pct"/>
            <w:tcBorders>
              <w:top w:val="dotted" w:sz="4" w:space="0" w:color="auto"/>
              <w:bottom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tcBorders>
              <w:bottom w:val="dotted" w:sz="4" w:space="0" w:color="auto"/>
            </w:tcBorders>
            <w:shd w:val="clear" w:color="auto" w:fill="auto"/>
            <w:vAlign w:val="center"/>
            <w:hideMark/>
          </w:tcPr>
          <w:p w:rsidR="009F3929" w:rsidRPr="00575319" w:rsidRDefault="009F3929" w:rsidP="007478B9">
            <w:pPr>
              <w:widowControl/>
              <w:jc w:val="center"/>
              <w:rPr>
                <w:rFonts w:ascii="Arial Narrow" w:hAnsi="Arial Narrow"/>
                <w:b/>
                <w:bCs/>
                <w:sz w:val="18"/>
                <w:szCs w:val="18"/>
              </w:rPr>
            </w:pPr>
          </w:p>
        </w:tc>
      </w:tr>
      <w:tr w:rsidR="009F3929" w:rsidRPr="00575319" w:rsidTr="009F3929">
        <w:trPr>
          <w:trHeight w:val="463"/>
        </w:trPr>
        <w:tc>
          <w:tcPr>
            <w:tcW w:w="851" w:type="pct"/>
            <w:gridSpan w:val="2"/>
            <w:tcBorders>
              <w:top w:val="dotted" w:sz="4" w:space="0" w:color="auto"/>
              <w:left w:val="single" w:sz="4" w:space="0" w:color="auto"/>
              <w:bottom w:val="single" w:sz="4" w:space="0" w:color="auto"/>
              <w:right w:val="single" w:sz="4" w:space="0" w:color="auto"/>
            </w:tcBorders>
            <w:vAlign w:val="center"/>
          </w:tcPr>
          <w:p w:rsidR="009F3929" w:rsidRPr="00575319" w:rsidRDefault="009F3929" w:rsidP="007478B9">
            <w:pPr>
              <w:widowControl/>
              <w:jc w:val="left"/>
              <w:rPr>
                <w:rFonts w:ascii="Arial Narrow" w:hAnsi="Arial Narrow"/>
                <w:sz w:val="18"/>
                <w:szCs w:val="18"/>
              </w:rPr>
            </w:pPr>
            <w:r w:rsidRPr="00575319">
              <w:rPr>
                <w:rFonts w:ascii="Arial Narrow" w:hAnsi="Arial Narrow"/>
                <w:b/>
                <w:bCs/>
                <w:sz w:val="18"/>
                <w:szCs w:val="18"/>
              </w:rPr>
              <w:t>Remacha 2012</w:t>
            </w:r>
            <w:r w:rsidRPr="00575319">
              <w:rPr>
                <w:rFonts w:ascii="Arial Narrow" w:hAnsi="Arial Narrow"/>
                <w:sz w:val="18"/>
                <w:szCs w:val="18"/>
              </w:rPr>
              <w:t xml:space="preserve"> (abs)</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Duration of FU: NR</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 xml:space="preserve"> n=228</w:t>
            </w:r>
          </w:p>
        </w:tc>
        <w:tc>
          <w:tcPr>
            <w:tcW w:w="681" w:type="pct"/>
            <w:tcBorders>
              <w:top w:val="dotted" w:sz="4" w:space="0" w:color="auto"/>
              <w:left w:val="single" w:sz="4" w:space="0" w:color="auto"/>
            </w:tcBorders>
            <w:shd w:val="clear" w:color="auto" w:fill="auto"/>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105</w:t>
            </w:r>
          </w:p>
        </w:tc>
        <w:tc>
          <w:tcPr>
            <w:tcW w:w="682" w:type="pct"/>
            <w:tcBorders>
              <w:top w:val="dotted" w:sz="4" w:space="0" w:color="auto"/>
            </w:tcBorders>
            <w:shd w:val="clear" w:color="auto" w:fill="auto"/>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N=NR</w:t>
            </w:r>
          </w:p>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133 (P=0.009)</w:t>
            </w:r>
          </w:p>
        </w:tc>
        <w:tc>
          <w:tcPr>
            <w:tcW w:w="942"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1044"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NR</w:t>
            </w:r>
          </w:p>
        </w:tc>
        <w:tc>
          <w:tcPr>
            <w:tcW w:w="800" w:type="pct"/>
            <w:tcBorders>
              <w:top w:val="dotted" w:sz="4" w:space="0" w:color="auto"/>
            </w:tcBorders>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NR</w:t>
            </w: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Leitch 2008</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51.1 months</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18</w:t>
            </w:r>
          </w:p>
        </w:tc>
        <w:tc>
          <w:tcPr>
            <w:tcW w:w="68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18</w:t>
            </w:r>
          </w:p>
        </w:tc>
        <w:tc>
          <w:tcPr>
            <w:tcW w:w="94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tcBorders>
              <w:top w:val="single" w:sz="4" w:space="0" w:color="auto"/>
              <w:left w:val="single" w:sz="4" w:space="0" w:color="auto"/>
              <w:right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Matched controls with similar clinical features</w:t>
            </w:r>
          </w:p>
        </w:tc>
        <w:tc>
          <w:tcPr>
            <w:tcW w:w="800" w:type="pct"/>
            <w:vMerge w:val="restart"/>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0.29 (0.10, 0.79)</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P=0.01</w:t>
            </w:r>
          </w:p>
        </w:tc>
      </w:tr>
      <w:tr w:rsidR="009F3929" w:rsidRPr="00575319" w:rsidTr="009F3929">
        <w:trPr>
          <w:trHeight w:val="20"/>
        </w:trPr>
        <w:tc>
          <w:tcPr>
            <w:tcW w:w="851" w:type="pct"/>
            <w:gridSpan w:val="2"/>
            <w:vMerge/>
            <w:tcBorders>
              <w:left w:val="single" w:sz="4" w:space="0" w:color="auto"/>
              <w:bottom w:val="single"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40.5</w:t>
            </w:r>
          </w:p>
        </w:tc>
        <w:tc>
          <w:tcPr>
            <w:tcW w:w="68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b/>
                <w:bCs/>
                <w:sz w:val="18"/>
                <w:szCs w:val="18"/>
              </w:rPr>
              <w:t>&gt;226 (P=0.003)</w:t>
            </w:r>
          </w:p>
        </w:tc>
        <w:tc>
          <w:tcPr>
            <w:tcW w:w="94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tcBorders>
              <w:left w:val="single" w:sz="4" w:space="0" w:color="auto"/>
              <w:bottom w:val="single" w:sz="4" w:space="0" w:color="auto"/>
              <w:right w:val="single"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hideMark/>
          </w:tcPr>
          <w:p w:rsidR="009F3929" w:rsidRPr="00575319" w:rsidRDefault="009F3929" w:rsidP="007478B9">
            <w:pPr>
              <w:widowControl/>
              <w:jc w:val="center"/>
              <w:rPr>
                <w:rFonts w:ascii="Arial Narrow" w:hAnsi="Arial Narrow"/>
                <w:b/>
                <w:bCs/>
                <w:sz w:val="18"/>
                <w:szCs w:val="18"/>
              </w:rPr>
            </w:pPr>
          </w:p>
        </w:tc>
      </w:tr>
      <w:tr w:rsidR="009F3929" w:rsidRPr="00575319" w:rsidTr="009F3929">
        <w:trPr>
          <w:trHeight w:val="20"/>
        </w:trPr>
        <w:tc>
          <w:tcPr>
            <w:tcW w:w="851" w:type="pct"/>
            <w:gridSpan w:val="2"/>
            <w:vMerge w:val="restart"/>
            <w:tcBorders>
              <w:top w:val="single" w:sz="4" w:space="0" w:color="auto"/>
              <w:left w:val="single" w:sz="4" w:space="0" w:color="auto"/>
              <w:right w:val="single" w:sz="4" w:space="0" w:color="auto"/>
            </w:tcBorders>
            <w:vAlign w:val="center"/>
          </w:tcPr>
          <w:p w:rsidR="009F3929" w:rsidRPr="00575319" w:rsidRDefault="009F3929" w:rsidP="007478B9">
            <w:pPr>
              <w:widowControl/>
              <w:jc w:val="left"/>
              <w:rPr>
                <w:rFonts w:ascii="Arial Narrow" w:hAnsi="Arial Narrow"/>
                <w:b/>
                <w:bCs/>
                <w:sz w:val="18"/>
                <w:szCs w:val="18"/>
              </w:rPr>
            </w:pPr>
            <w:r w:rsidRPr="00575319">
              <w:rPr>
                <w:rFonts w:ascii="Arial Narrow" w:hAnsi="Arial Narrow"/>
                <w:b/>
                <w:bCs/>
                <w:sz w:val="18"/>
                <w:szCs w:val="18"/>
              </w:rPr>
              <w:t>Komrokji 2011</w:t>
            </w:r>
          </w:p>
          <w:p w:rsidR="009F3929" w:rsidRPr="00575319" w:rsidRDefault="009F3929" w:rsidP="007478B9">
            <w:pPr>
              <w:widowControl/>
              <w:jc w:val="left"/>
              <w:rPr>
                <w:rFonts w:ascii="Arial Narrow" w:hAnsi="Arial Narrow"/>
                <w:sz w:val="18"/>
                <w:szCs w:val="18"/>
              </w:rPr>
            </w:pPr>
            <w:r w:rsidRPr="00575319">
              <w:rPr>
                <w:rFonts w:ascii="Arial Narrow" w:hAnsi="Arial Narrow"/>
                <w:sz w:val="18"/>
                <w:szCs w:val="18"/>
              </w:rPr>
              <w:t>85.7 months from Dx</w:t>
            </w:r>
          </w:p>
          <w:p w:rsidR="009F3929" w:rsidRPr="00575319" w:rsidRDefault="009F3929" w:rsidP="007478B9">
            <w:pPr>
              <w:pStyle w:val="ListParagraph"/>
              <w:widowControl/>
              <w:numPr>
                <w:ilvl w:val="0"/>
                <w:numId w:val="16"/>
              </w:numPr>
              <w:tabs>
                <w:tab w:val="left" w:pos="142"/>
              </w:tabs>
              <w:ind w:left="142" w:hanging="142"/>
              <w:jc w:val="left"/>
              <w:rPr>
                <w:rFonts w:ascii="Arial Narrow" w:hAnsi="Arial Narrow"/>
                <w:sz w:val="18"/>
                <w:szCs w:val="18"/>
              </w:rPr>
            </w:pPr>
            <w:r w:rsidRPr="00575319">
              <w:rPr>
                <w:rFonts w:ascii="Arial Narrow" w:hAnsi="Arial Narrow"/>
                <w:sz w:val="18"/>
                <w:szCs w:val="18"/>
              </w:rPr>
              <w:t>All</w:t>
            </w:r>
          </w:p>
        </w:tc>
        <w:tc>
          <w:tcPr>
            <w:tcW w:w="681" w:type="pct"/>
            <w:tcBorders>
              <w:left w:val="single" w:sz="4" w:space="0" w:color="auto"/>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52</w:t>
            </w:r>
          </w:p>
        </w:tc>
        <w:tc>
          <w:tcPr>
            <w:tcW w:w="68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n = 45</w:t>
            </w:r>
          </w:p>
        </w:tc>
        <w:tc>
          <w:tcPr>
            <w:tcW w:w="942" w:type="pct"/>
            <w:tcBorders>
              <w:bottom w:val="dotted" w:sz="4" w:space="0" w:color="auto"/>
            </w:tcBorders>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val="restart"/>
            <w:shd w:val="clear" w:color="auto" w:fill="auto"/>
            <w:vAlign w:val="center"/>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Age, cytogenetics</w:t>
            </w:r>
          </w:p>
        </w:tc>
        <w:tc>
          <w:tcPr>
            <w:tcW w:w="800" w:type="pct"/>
            <w:vMerge w:val="restart"/>
            <w:shd w:val="clear" w:color="auto" w:fill="auto"/>
            <w:vAlign w:val="center"/>
          </w:tcPr>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0.52 (0.31, 0.87)</w:t>
            </w:r>
          </w:p>
          <w:p w:rsidR="009F3929" w:rsidRPr="00575319" w:rsidRDefault="009F3929" w:rsidP="007478B9">
            <w:pPr>
              <w:widowControl/>
              <w:jc w:val="center"/>
              <w:rPr>
                <w:rFonts w:ascii="Arial Narrow" w:hAnsi="Arial Narrow"/>
                <w:b/>
                <w:bCs/>
                <w:sz w:val="18"/>
                <w:szCs w:val="18"/>
              </w:rPr>
            </w:pPr>
            <w:r w:rsidRPr="00575319">
              <w:rPr>
                <w:rFonts w:ascii="Arial Narrow" w:hAnsi="Arial Narrow"/>
                <w:b/>
                <w:bCs/>
                <w:sz w:val="18"/>
                <w:szCs w:val="18"/>
              </w:rPr>
              <w:t>P=0.013.</w:t>
            </w:r>
          </w:p>
        </w:tc>
      </w:tr>
      <w:tr w:rsidR="009F3929" w:rsidRPr="00575319" w:rsidTr="009F3929">
        <w:trPr>
          <w:trHeight w:val="20"/>
        </w:trPr>
        <w:tc>
          <w:tcPr>
            <w:tcW w:w="851" w:type="pct"/>
            <w:gridSpan w:val="2"/>
            <w:vMerge/>
            <w:tcBorders>
              <w:left w:val="single" w:sz="4" w:space="0" w:color="auto"/>
              <w:bottom w:val="single" w:sz="4" w:space="0" w:color="auto"/>
              <w:right w:val="single" w:sz="4" w:space="0" w:color="auto"/>
            </w:tcBorders>
            <w:vAlign w:val="center"/>
            <w:hideMark/>
          </w:tcPr>
          <w:p w:rsidR="009F3929" w:rsidRPr="00575319" w:rsidRDefault="009F3929" w:rsidP="007478B9">
            <w:pPr>
              <w:widowControl/>
              <w:jc w:val="left"/>
              <w:rPr>
                <w:rFonts w:ascii="Arial Narrow" w:hAnsi="Arial Narrow"/>
                <w:sz w:val="18"/>
                <w:szCs w:val="18"/>
              </w:rPr>
            </w:pPr>
          </w:p>
        </w:tc>
        <w:tc>
          <w:tcPr>
            <w:tcW w:w="681" w:type="pct"/>
            <w:tcBorders>
              <w:top w:val="dotted" w:sz="4" w:space="0" w:color="auto"/>
              <w:left w:val="single"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33.7 (38-80)</w:t>
            </w:r>
            <w:r w:rsidRPr="00575319">
              <w:rPr>
                <w:rFonts w:ascii="Arial Narrow" w:hAnsi="Arial Narrow"/>
                <w:sz w:val="18"/>
                <w:szCs w:val="18"/>
                <w:vertAlign w:val="superscript"/>
              </w:rPr>
              <w:t>b</w:t>
            </w:r>
          </w:p>
        </w:tc>
        <w:tc>
          <w:tcPr>
            <w:tcW w:w="68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b/>
                <w:bCs/>
                <w:sz w:val="18"/>
                <w:szCs w:val="18"/>
                <w:vertAlign w:val="superscript"/>
              </w:rPr>
            </w:pPr>
            <w:r w:rsidRPr="00575319">
              <w:rPr>
                <w:rFonts w:ascii="Arial Narrow" w:hAnsi="Arial Narrow"/>
                <w:b/>
                <w:bCs/>
                <w:sz w:val="18"/>
                <w:szCs w:val="18"/>
              </w:rPr>
              <w:t xml:space="preserve">59 (22-48) </w:t>
            </w:r>
            <w:r w:rsidRPr="00575319">
              <w:rPr>
                <w:rFonts w:ascii="Arial Narrow" w:hAnsi="Arial Narrow"/>
                <w:b/>
                <w:bCs/>
                <w:sz w:val="18"/>
                <w:szCs w:val="18"/>
                <w:vertAlign w:val="superscript"/>
              </w:rPr>
              <w:t>b</w:t>
            </w:r>
          </w:p>
          <w:p w:rsidR="009F3929" w:rsidRPr="00575319" w:rsidRDefault="009F3929" w:rsidP="007478B9">
            <w:pPr>
              <w:widowControl/>
              <w:jc w:val="center"/>
              <w:rPr>
                <w:rFonts w:ascii="Arial Narrow" w:hAnsi="Arial Narrow"/>
                <w:sz w:val="18"/>
                <w:szCs w:val="18"/>
              </w:rPr>
            </w:pPr>
            <w:r w:rsidRPr="00575319">
              <w:rPr>
                <w:rFonts w:ascii="Arial Narrow" w:hAnsi="Arial Narrow"/>
                <w:b/>
                <w:bCs/>
                <w:sz w:val="18"/>
                <w:szCs w:val="18"/>
              </w:rPr>
              <w:t>P=0.013</w:t>
            </w:r>
          </w:p>
        </w:tc>
        <w:tc>
          <w:tcPr>
            <w:tcW w:w="942" w:type="pct"/>
            <w:tcBorders>
              <w:top w:val="dotted" w:sz="4" w:space="0" w:color="auto"/>
            </w:tcBorders>
            <w:shd w:val="clear" w:color="auto" w:fill="auto"/>
            <w:vAlign w:val="center"/>
            <w:hideMark/>
          </w:tcPr>
          <w:p w:rsidR="009F3929" w:rsidRPr="00575319" w:rsidRDefault="009F3929" w:rsidP="007478B9">
            <w:pPr>
              <w:widowControl/>
              <w:jc w:val="center"/>
              <w:rPr>
                <w:rFonts w:ascii="Arial Narrow" w:hAnsi="Arial Narrow"/>
                <w:sz w:val="18"/>
                <w:szCs w:val="18"/>
              </w:rPr>
            </w:pPr>
            <w:r w:rsidRPr="00575319">
              <w:rPr>
                <w:rFonts w:ascii="Arial Narrow" w:hAnsi="Arial Narrow"/>
                <w:sz w:val="18"/>
                <w:szCs w:val="18"/>
              </w:rPr>
              <w:t>-</w:t>
            </w:r>
          </w:p>
        </w:tc>
        <w:tc>
          <w:tcPr>
            <w:tcW w:w="1044" w:type="pct"/>
            <w:vMerge/>
            <w:shd w:val="clear" w:color="auto" w:fill="auto"/>
            <w:vAlign w:val="center"/>
          </w:tcPr>
          <w:p w:rsidR="009F3929" w:rsidRPr="00575319" w:rsidRDefault="009F3929" w:rsidP="007478B9">
            <w:pPr>
              <w:widowControl/>
              <w:jc w:val="center"/>
              <w:rPr>
                <w:rFonts w:ascii="Arial Narrow" w:hAnsi="Arial Narrow"/>
                <w:sz w:val="18"/>
                <w:szCs w:val="18"/>
              </w:rPr>
            </w:pPr>
          </w:p>
        </w:tc>
        <w:tc>
          <w:tcPr>
            <w:tcW w:w="800" w:type="pct"/>
            <w:vMerge/>
            <w:shd w:val="clear" w:color="auto" w:fill="auto"/>
            <w:vAlign w:val="center"/>
            <w:hideMark/>
          </w:tcPr>
          <w:p w:rsidR="009F3929" w:rsidRPr="00575319" w:rsidRDefault="009F3929" w:rsidP="007478B9">
            <w:pPr>
              <w:widowControl/>
              <w:jc w:val="center"/>
              <w:rPr>
                <w:rFonts w:ascii="Arial Narrow" w:hAnsi="Arial Narrow"/>
                <w:sz w:val="18"/>
                <w:szCs w:val="18"/>
              </w:rPr>
            </w:pPr>
          </w:p>
        </w:tc>
      </w:tr>
    </w:tbl>
    <w:p w:rsidR="006D5811" w:rsidRDefault="009F3929" w:rsidP="006D5811">
      <w:pPr>
        <w:widowControl/>
        <w:ind w:left="680"/>
        <w:rPr>
          <w:rFonts w:ascii="Arial Narrow" w:hAnsi="Arial Narrow"/>
          <w:sz w:val="18"/>
          <w:szCs w:val="18"/>
        </w:rPr>
      </w:pPr>
      <w:r w:rsidRPr="00575319">
        <w:rPr>
          <w:rFonts w:ascii="Arial Narrow" w:hAnsi="Arial Narrow"/>
          <w:sz w:val="18"/>
          <w:szCs w:val="18"/>
        </w:rPr>
        <w:t>Abbreviations: MDS, myelodysplastic syndrome; NR=Not reported; OS, overall survival; PRBC, packed red blood cell; RBC, red blood cell; SE=standard error; IQR=interquartile range, Dx=diagnosis; FU=follow up</w:t>
      </w:r>
    </w:p>
    <w:p w:rsidR="006D5811" w:rsidRDefault="009F3929" w:rsidP="006D5811">
      <w:pPr>
        <w:widowControl/>
        <w:ind w:left="510" w:firstLine="170"/>
        <w:rPr>
          <w:rFonts w:ascii="Arial Narrow" w:hAnsi="Arial Narrow"/>
          <w:sz w:val="18"/>
          <w:szCs w:val="18"/>
        </w:rPr>
      </w:pPr>
      <w:r w:rsidRPr="00575319">
        <w:rPr>
          <w:rFonts w:ascii="Arial Narrow" w:hAnsi="Arial Narrow"/>
          <w:sz w:val="18"/>
          <w:szCs w:val="18"/>
          <w:vertAlign w:val="superscript"/>
        </w:rPr>
        <w:t>a</w:t>
      </w:r>
      <w:r w:rsidRPr="00575319">
        <w:rPr>
          <w:rFonts w:ascii="Arial Narrow" w:hAnsi="Arial Narrow"/>
          <w:sz w:val="18"/>
          <w:szCs w:val="18"/>
        </w:rPr>
        <w:tab/>
        <w:t>Calculated for the submission.</w:t>
      </w:r>
    </w:p>
    <w:p w:rsidR="009F3929" w:rsidRPr="00575319" w:rsidRDefault="009F3929" w:rsidP="006D5811">
      <w:pPr>
        <w:widowControl/>
        <w:ind w:left="510" w:firstLine="170"/>
        <w:rPr>
          <w:rFonts w:ascii="Arial Narrow" w:hAnsi="Arial Narrow"/>
          <w:sz w:val="18"/>
          <w:szCs w:val="18"/>
        </w:rPr>
      </w:pPr>
      <w:r w:rsidRPr="00575319">
        <w:rPr>
          <w:rFonts w:ascii="Arial Narrow" w:hAnsi="Arial Narrow"/>
          <w:sz w:val="18"/>
          <w:szCs w:val="18"/>
          <w:vertAlign w:val="superscript"/>
        </w:rPr>
        <w:t>b</w:t>
      </w:r>
      <w:r w:rsidRPr="00575319">
        <w:rPr>
          <w:rFonts w:ascii="Arial Narrow" w:hAnsi="Arial Narrow"/>
          <w:sz w:val="18"/>
          <w:szCs w:val="18"/>
          <w:vertAlign w:val="superscript"/>
        </w:rPr>
        <w:tab/>
      </w:r>
      <w:r w:rsidRPr="00575319">
        <w:rPr>
          <w:rFonts w:ascii="Arial Narrow" w:hAnsi="Arial Narrow"/>
          <w:sz w:val="18"/>
          <w:szCs w:val="18"/>
        </w:rPr>
        <w:t>as reported within the abstract.</w:t>
      </w:r>
    </w:p>
    <w:p w:rsidR="009F3929" w:rsidRPr="00575319" w:rsidRDefault="009F3929" w:rsidP="006D5811">
      <w:pPr>
        <w:widowControl/>
        <w:ind w:left="510" w:firstLine="170"/>
        <w:rPr>
          <w:rFonts w:ascii="Arial Narrow" w:hAnsi="Arial Narrow"/>
          <w:sz w:val="18"/>
          <w:szCs w:val="18"/>
        </w:rPr>
      </w:pPr>
      <w:r w:rsidRPr="00575319">
        <w:rPr>
          <w:rFonts w:ascii="Arial Narrow" w:hAnsi="Arial Narrow"/>
          <w:sz w:val="18"/>
          <w:szCs w:val="18"/>
        </w:rPr>
        <w:t>*</w:t>
      </w:r>
      <w:r w:rsidRPr="00575319">
        <w:rPr>
          <w:rFonts w:ascii="Arial Narrow" w:hAnsi="Arial Narrow"/>
          <w:sz w:val="18"/>
          <w:szCs w:val="18"/>
        </w:rPr>
        <w:tab/>
        <w:t>results were also statistically significantly different between adequately chelated patients (30%) relative to those chelated weakly (63%) (p = 0.001).</w:t>
      </w:r>
    </w:p>
    <w:p w:rsidR="009F3929" w:rsidRPr="00575319" w:rsidRDefault="009F3929" w:rsidP="007478B9">
      <w:pPr>
        <w:widowControl/>
        <w:ind w:left="675" w:firstLine="5"/>
        <w:rPr>
          <w:rFonts w:ascii="Arial Narrow" w:hAnsi="Arial Narrow"/>
          <w:sz w:val="18"/>
          <w:szCs w:val="18"/>
        </w:rPr>
      </w:pPr>
      <w:r w:rsidRPr="00575319">
        <w:rPr>
          <w:rFonts w:ascii="Arial Narrow" w:hAnsi="Arial Narrow"/>
          <w:sz w:val="18"/>
          <w:szCs w:val="18"/>
        </w:rPr>
        <w:t>^</w:t>
      </w:r>
      <w:r w:rsidRPr="00575319">
        <w:rPr>
          <w:rFonts w:ascii="Arial Narrow" w:hAnsi="Arial Narrow"/>
          <w:sz w:val="18"/>
          <w:szCs w:val="18"/>
        </w:rPr>
        <w:tab/>
        <w:t xml:space="preserve"> a HR lower than 1 favours ICT as it indicates a lower risk of death at any time compared to no ICT.</w:t>
      </w:r>
    </w:p>
    <w:p w:rsidR="009F3929" w:rsidRPr="009F3929" w:rsidRDefault="009F3929" w:rsidP="007478B9">
      <w:pPr>
        <w:widowControl/>
        <w:ind w:left="675" w:firstLine="5"/>
        <w:rPr>
          <w:rFonts w:ascii="Arial Narrow" w:hAnsi="Arial Narrow"/>
          <w:sz w:val="18"/>
          <w:szCs w:val="18"/>
        </w:rPr>
      </w:pPr>
      <w:r w:rsidRPr="00575319">
        <w:rPr>
          <w:rFonts w:ascii="Arial Narrow" w:hAnsi="Arial Narrow"/>
          <w:sz w:val="18"/>
          <w:szCs w:val="18"/>
        </w:rPr>
        <w:t>Source: Table Lyons (2014); Neukirchin (2012); Raptis (2012); Rose (2010); Delforge et al (2014) Fig 2'4; Letch (2008) pp207-208;  Remacha (2014) page nr; Remacha (2012) Table 1; Komrokji (2011).</w:t>
      </w:r>
    </w:p>
    <w:p w:rsidR="00F84A7D" w:rsidRPr="00575319" w:rsidRDefault="00F84A7D" w:rsidP="007478B9">
      <w:pPr>
        <w:pStyle w:val="ListParagraph"/>
        <w:widowControl/>
        <w:rPr>
          <w:szCs w:val="22"/>
        </w:rPr>
      </w:pPr>
    </w:p>
    <w:p w:rsidR="0011161B" w:rsidRPr="00D1526E" w:rsidRDefault="0011161B" w:rsidP="007478B9">
      <w:pPr>
        <w:pStyle w:val="ListParagraph"/>
        <w:widowControl/>
        <w:numPr>
          <w:ilvl w:val="1"/>
          <w:numId w:val="4"/>
        </w:numPr>
      </w:pPr>
      <w:r w:rsidRPr="00D1526E">
        <w:rPr>
          <w:iCs/>
          <w:szCs w:val="22"/>
        </w:rPr>
        <w:t xml:space="preserve">When interpreting the results </w:t>
      </w:r>
      <w:r w:rsidR="008A0E61">
        <w:rPr>
          <w:iCs/>
          <w:szCs w:val="22"/>
        </w:rPr>
        <w:t>the evaluator considered it</w:t>
      </w:r>
      <w:r w:rsidRPr="00D1526E">
        <w:rPr>
          <w:iCs/>
          <w:szCs w:val="22"/>
        </w:rPr>
        <w:t xml:space="preserve"> important to note that t</w:t>
      </w:r>
      <w:r w:rsidR="007620F0" w:rsidRPr="00D1526E">
        <w:rPr>
          <w:iCs/>
          <w:szCs w:val="22"/>
        </w:rPr>
        <w:t xml:space="preserve">here were differences across </w:t>
      </w:r>
      <w:r w:rsidRPr="00D1526E">
        <w:rPr>
          <w:iCs/>
          <w:szCs w:val="22"/>
        </w:rPr>
        <w:t xml:space="preserve">the observational </w:t>
      </w:r>
      <w:r w:rsidR="007620F0" w:rsidRPr="00D1526E">
        <w:rPr>
          <w:iCs/>
          <w:szCs w:val="22"/>
        </w:rPr>
        <w:t>studies with regards to</w:t>
      </w:r>
      <w:r w:rsidR="00C138C1" w:rsidRPr="00D1526E">
        <w:rPr>
          <w:iCs/>
          <w:szCs w:val="22"/>
        </w:rPr>
        <w:t xml:space="preserve"> baseline </w:t>
      </w:r>
      <w:r w:rsidR="007003CE" w:rsidRPr="00D1526E">
        <w:rPr>
          <w:iCs/>
          <w:szCs w:val="22"/>
        </w:rPr>
        <w:t>prognostic factors</w:t>
      </w:r>
      <w:r w:rsidR="00C138C1" w:rsidRPr="00D1526E">
        <w:rPr>
          <w:iCs/>
          <w:szCs w:val="22"/>
        </w:rPr>
        <w:t xml:space="preserve"> such as</w:t>
      </w:r>
      <w:r w:rsidR="007620F0" w:rsidRPr="00D1526E">
        <w:rPr>
          <w:iCs/>
          <w:szCs w:val="22"/>
        </w:rPr>
        <w:t xml:space="preserve"> age, MDS risk status and iron status. There were also differences in </w:t>
      </w:r>
      <w:r w:rsidR="00C138C1" w:rsidRPr="00D1526E">
        <w:rPr>
          <w:iCs/>
          <w:szCs w:val="22"/>
        </w:rPr>
        <w:t xml:space="preserve">how RBC dose was reported and </w:t>
      </w:r>
      <w:r w:rsidR="007620F0" w:rsidRPr="00D1526E">
        <w:rPr>
          <w:iCs/>
          <w:szCs w:val="22"/>
        </w:rPr>
        <w:t>the frequency of reporting between arms (e.g. less frequent serum ferritin level monitoring in non-chelated patients in Rose 2010</w:t>
      </w:r>
      <w:r w:rsidRPr="00D1526E">
        <w:rPr>
          <w:iCs/>
          <w:szCs w:val="22"/>
        </w:rPr>
        <w:t>)</w:t>
      </w:r>
      <w:r w:rsidR="007620F0" w:rsidRPr="00D1526E">
        <w:rPr>
          <w:iCs/>
          <w:szCs w:val="22"/>
        </w:rPr>
        <w:t>.</w:t>
      </w:r>
      <w:r w:rsidRPr="00D1526E">
        <w:rPr>
          <w:iCs/>
          <w:szCs w:val="22"/>
        </w:rPr>
        <w:t xml:space="preserve"> </w:t>
      </w:r>
      <w:r w:rsidR="00C138C1" w:rsidRPr="00D1526E">
        <w:t xml:space="preserve">The studies were also likely confounded by clinicians potentially selecting </w:t>
      </w:r>
      <w:r w:rsidRPr="00D1526E">
        <w:t>patients with better anticipated p</w:t>
      </w:r>
      <w:r w:rsidR="00C138C1" w:rsidRPr="00D1526E">
        <w:t>rognosis for treatment with ICT</w:t>
      </w:r>
      <w:r w:rsidRPr="00D1526E">
        <w:t xml:space="preserve"> and</w:t>
      </w:r>
      <w:r w:rsidR="00C138C1" w:rsidRPr="00D1526E">
        <w:t xml:space="preserve"> the fact that </w:t>
      </w:r>
      <w:r w:rsidRPr="00D1526E">
        <w:t>the</w:t>
      </w:r>
      <w:r w:rsidR="00C138C1" w:rsidRPr="00D1526E">
        <w:t>re</w:t>
      </w:r>
      <w:r w:rsidRPr="00D1526E">
        <w:t xml:space="preserve"> </w:t>
      </w:r>
      <w:r w:rsidR="00C138C1" w:rsidRPr="00D1526E">
        <w:t xml:space="preserve">were </w:t>
      </w:r>
      <w:r w:rsidRPr="00D1526E">
        <w:t>notable differences between the ICT versus no ICT groups within studies; particularly with respect to the greater use of azacitidine, lenalidomide and thalidomide in the ICT groups of Lyon 2014 and Rose 2010 studies, respectively, compared with the no ICT gro</w:t>
      </w:r>
      <w:r w:rsidR="006D5811">
        <w:t>ups.</w:t>
      </w:r>
    </w:p>
    <w:p w:rsidR="008259CC" w:rsidRPr="00D1526E" w:rsidRDefault="006D5811" w:rsidP="007478B9">
      <w:pPr>
        <w:widowControl/>
      </w:pPr>
      <w:r>
        <w:rPr>
          <w:iCs/>
          <w:szCs w:val="22"/>
        </w:rPr>
        <w:t xml:space="preserve"> </w:t>
      </w:r>
    </w:p>
    <w:p w:rsidR="00B966E1" w:rsidRPr="008B4A04" w:rsidRDefault="00B966E1" w:rsidP="007478B9">
      <w:pPr>
        <w:pStyle w:val="ListParagraph"/>
        <w:widowControl/>
        <w:numPr>
          <w:ilvl w:val="1"/>
          <w:numId w:val="4"/>
        </w:numPr>
        <w:rPr>
          <w:iCs/>
          <w:szCs w:val="22"/>
        </w:rPr>
      </w:pPr>
      <w:r w:rsidRPr="00D1526E">
        <w:rPr>
          <w:iCs/>
          <w:szCs w:val="22"/>
        </w:rPr>
        <w:t>The ESC noted that a subset of the reported studies attempted to adjust for systematic differences in key baseline prognostic factors by presenting both univariate and multivariate Cox models for OS. However, as different sets of adjusting covariates were used in each study, it remained difficult to directly compare the adjusted treatment effect from any one study against another. The ESC considered this multivariate approach did not correct the adjusted Hazard Ratios</w:t>
      </w:r>
      <w:r w:rsidR="00A33E97" w:rsidRPr="00D1526E">
        <w:rPr>
          <w:iCs/>
          <w:szCs w:val="22"/>
        </w:rPr>
        <w:t xml:space="preserve"> (HR)</w:t>
      </w:r>
      <w:r w:rsidRPr="00D1526E">
        <w:rPr>
          <w:iCs/>
          <w:szCs w:val="22"/>
        </w:rPr>
        <w:t xml:space="preserve"> for known or potential confounders, either not included in the model or not collected. </w:t>
      </w:r>
      <w:r w:rsidRPr="008B4A04">
        <w:rPr>
          <w:iCs/>
          <w:szCs w:val="22"/>
        </w:rPr>
        <w:t>Furthermore, no estimate was provided around the minimum effect size required for an unobserved confounder to significantly change the inference of an OS advantage attributable to ICT</w:t>
      </w:r>
      <w:r w:rsidR="00D243CB" w:rsidRPr="008B4A04">
        <w:rPr>
          <w:iCs/>
          <w:szCs w:val="22"/>
        </w:rPr>
        <w:t xml:space="preserve"> </w:t>
      </w:r>
      <w:r w:rsidR="00724D54" w:rsidRPr="008B4A04">
        <w:rPr>
          <w:iCs/>
          <w:szCs w:val="22"/>
        </w:rPr>
        <w:t>(for example, via a Rosenbaum sensitivity analysis)</w:t>
      </w:r>
      <w:r w:rsidR="007811B9" w:rsidRPr="008B4A04">
        <w:rPr>
          <w:iCs/>
          <w:szCs w:val="22"/>
        </w:rPr>
        <w:t>.</w:t>
      </w:r>
      <w:r w:rsidR="0096746C" w:rsidRPr="008B4A04">
        <w:rPr>
          <w:iCs/>
          <w:szCs w:val="22"/>
        </w:rPr>
        <w:t xml:space="preserve"> The Pre-PBAC response (p 2) conducted these additional analyses using data from the MORE registry and neither analysis demonstrated major inconsistencies with the multivariate adjustment approach adopted in the base case.</w:t>
      </w:r>
    </w:p>
    <w:p w:rsidR="003C10D7" w:rsidRPr="008B4A04" w:rsidRDefault="003C10D7" w:rsidP="007478B9">
      <w:pPr>
        <w:pStyle w:val="ListParagraph"/>
        <w:widowControl/>
        <w:tabs>
          <w:tab w:val="left" w:pos="993"/>
        </w:tabs>
        <w:ind w:left="993"/>
        <w:rPr>
          <w:iCs/>
          <w:szCs w:val="22"/>
        </w:rPr>
      </w:pPr>
    </w:p>
    <w:p w:rsidR="002B4F41" w:rsidRPr="008B4A04" w:rsidRDefault="007003CE" w:rsidP="007478B9">
      <w:pPr>
        <w:pStyle w:val="ListParagraph"/>
        <w:widowControl/>
        <w:numPr>
          <w:ilvl w:val="1"/>
          <w:numId w:val="4"/>
        </w:numPr>
        <w:rPr>
          <w:iCs/>
          <w:szCs w:val="22"/>
        </w:rPr>
      </w:pPr>
      <w:r w:rsidRPr="008B4A04">
        <w:rPr>
          <w:iCs/>
          <w:szCs w:val="22"/>
        </w:rPr>
        <w:t>The ESC agreed that t</w:t>
      </w:r>
      <w:r w:rsidR="00F84A7D" w:rsidRPr="008B4A04">
        <w:rPr>
          <w:iCs/>
          <w:szCs w:val="22"/>
        </w:rPr>
        <w:t xml:space="preserve">he magnitude of the effect of </w:t>
      </w:r>
      <w:r w:rsidR="00A76D91" w:rsidRPr="008B4A04">
        <w:rPr>
          <w:iCs/>
          <w:szCs w:val="22"/>
        </w:rPr>
        <w:t>ICT</w:t>
      </w:r>
      <w:r w:rsidR="00F84A7D" w:rsidRPr="008B4A04">
        <w:rPr>
          <w:iCs/>
          <w:szCs w:val="22"/>
        </w:rPr>
        <w:t xml:space="preserve"> on </w:t>
      </w:r>
      <w:r w:rsidR="00B966E1" w:rsidRPr="008B4A04">
        <w:rPr>
          <w:iCs/>
          <w:szCs w:val="22"/>
        </w:rPr>
        <w:t>OS</w:t>
      </w:r>
      <w:r w:rsidR="00F84A7D" w:rsidRPr="008B4A04">
        <w:rPr>
          <w:iCs/>
          <w:szCs w:val="22"/>
        </w:rPr>
        <w:t xml:space="preserve"> </w:t>
      </w:r>
      <w:r w:rsidR="0000067F" w:rsidRPr="008B4A04">
        <w:rPr>
          <w:iCs/>
          <w:szCs w:val="22"/>
        </w:rPr>
        <w:t xml:space="preserve">in MDS </w:t>
      </w:r>
      <w:r w:rsidR="00F84A7D" w:rsidRPr="008B4A04">
        <w:rPr>
          <w:iCs/>
          <w:szCs w:val="22"/>
        </w:rPr>
        <w:t>could only be established in a prospective RCT; one su</w:t>
      </w:r>
      <w:r w:rsidR="0096746C" w:rsidRPr="008B4A04">
        <w:rPr>
          <w:iCs/>
          <w:szCs w:val="22"/>
        </w:rPr>
        <w:t>ch trial of DFX versus placebo wa</w:t>
      </w:r>
      <w:r w:rsidR="00F84A7D" w:rsidRPr="008B4A04">
        <w:rPr>
          <w:iCs/>
          <w:szCs w:val="22"/>
        </w:rPr>
        <w:t>s underway</w:t>
      </w:r>
      <w:r w:rsidR="00374D23" w:rsidRPr="008B4A04">
        <w:rPr>
          <w:iCs/>
          <w:szCs w:val="22"/>
        </w:rPr>
        <w:t xml:space="preserve"> (results </w:t>
      </w:r>
      <w:r w:rsidR="0096746C" w:rsidRPr="008B4A04">
        <w:rPr>
          <w:iCs/>
          <w:szCs w:val="22"/>
        </w:rPr>
        <w:t>we</w:t>
      </w:r>
      <w:r w:rsidR="00374D23" w:rsidRPr="008B4A04">
        <w:rPr>
          <w:iCs/>
          <w:szCs w:val="22"/>
        </w:rPr>
        <w:t>re not expected until 2018)</w:t>
      </w:r>
      <w:r w:rsidR="00F84A7D" w:rsidRPr="008B4A04">
        <w:rPr>
          <w:iCs/>
          <w:szCs w:val="22"/>
        </w:rPr>
        <w:t>.</w:t>
      </w:r>
    </w:p>
    <w:p w:rsidR="005010A6" w:rsidRPr="00D1526E" w:rsidRDefault="005010A6" w:rsidP="007478B9">
      <w:pPr>
        <w:pStyle w:val="ListParagraph"/>
        <w:widowControl/>
        <w:rPr>
          <w:iCs/>
          <w:szCs w:val="22"/>
        </w:rPr>
      </w:pPr>
    </w:p>
    <w:p w:rsidR="005010A6" w:rsidRPr="00D1526E" w:rsidRDefault="005010A6" w:rsidP="007478B9">
      <w:pPr>
        <w:pStyle w:val="ListParagraph"/>
        <w:widowControl/>
        <w:numPr>
          <w:ilvl w:val="1"/>
          <w:numId w:val="4"/>
        </w:numPr>
        <w:rPr>
          <w:iCs/>
          <w:szCs w:val="22"/>
        </w:rPr>
      </w:pPr>
      <w:r w:rsidRPr="00D1526E">
        <w:rPr>
          <w:iCs/>
          <w:szCs w:val="22"/>
        </w:rPr>
        <w:t xml:space="preserve">The ESC noted the submission’s assertion that MDS patients undergoing ICT may be less likely to progress to acute myeloid leukaemia (AML), however considered that this assertion </w:t>
      </w:r>
      <w:r w:rsidR="007003CE" w:rsidRPr="00D1526E">
        <w:rPr>
          <w:iCs/>
          <w:szCs w:val="22"/>
        </w:rPr>
        <w:t xml:space="preserve">was </w:t>
      </w:r>
      <w:r w:rsidRPr="00D1526E">
        <w:rPr>
          <w:iCs/>
          <w:szCs w:val="22"/>
        </w:rPr>
        <w:t>not causatively supported by the evidence provided.</w:t>
      </w:r>
    </w:p>
    <w:p w:rsidR="007003CE" w:rsidRPr="00D1526E" w:rsidRDefault="007003CE" w:rsidP="007478B9">
      <w:pPr>
        <w:pStyle w:val="ListParagraph"/>
        <w:widowControl/>
        <w:rPr>
          <w:iCs/>
          <w:szCs w:val="22"/>
        </w:rPr>
      </w:pPr>
      <w:r w:rsidRPr="00D1526E">
        <w:rPr>
          <w:iCs/>
          <w:szCs w:val="22"/>
        </w:rPr>
        <w:t xml:space="preserve"> </w:t>
      </w:r>
    </w:p>
    <w:p w:rsidR="00F84A7D" w:rsidRPr="0014062C" w:rsidRDefault="007003CE" w:rsidP="007478B9">
      <w:pPr>
        <w:pStyle w:val="ListParagraph"/>
        <w:widowControl/>
        <w:numPr>
          <w:ilvl w:val="1"/>
          <w:numId w:val="4"/>
        </w:numPr>
        <w:rPr>
          <w:iCs/>
          <w:szCs w:val="22"/>
        </w:rPr>
      </w:pPr>
      <w:r w:rsidRPr="00D1526E">
        <w:rPr>
          <w:iCs/>
          <w:szCs w:val="22"/>
        </w:rPr>
        <w:t xml:space="preserve">With regards to the comparative effectiveness of DFX in NTDT the ESC noted the results of the THALASSA trial, whereby there was a significant reduction in the change in liver iron concentration at 52 week follow up. </w:t>
      </w:r>
      <w:r w:rsidR="0096746C">
        <w:rPr>
          <w:iCs/>
          <w:szCs w:val="22"/>
        </w:rPr>
        <w:t>See Table 6 below.</w:t>
      </w:r>
    </w:p>
    <w:p w:rsidR="009F3929" w:rsidRDefault="009F3929" w:rsidP="007478B9">
      <w:pPr>
        <w:widowControl/>
        <w:rPr>
          <w:rFonts w:ascii="Arial Narrow" w:hAnsi="Arial Narrow"/>
          <w:b/>
          <w:bCs/>
          <w:sz w:val="20"/>
        </w:rPr>
      </w:pPr>
      <w:bookmarkStart w:id="11" w:name="_Ref412194183"/>
      <w:bookmarkStart w:id="12" w:name="_Toc412221067"/>
    </w:p>
    <w:p w:rsidR="009F3929" w:rsidRPr="00D33194" w:rsidRDefault="009F3929" w:rsidP="008B4A04">
      <w:pPr>
        <w:keepNext/>
        <w:widowControl/>
        <w:ind w:left="680"/>
        <w:rPr>
          <w:rFonts w:ascii="Arial Narrow" w:hAnsi="Arial Narrow"/>
          <w:b/>
          <w:bCs/>
          <w:sz w:val="20"/>
        </w:rPr>
      </w:pPr>
      <w:r w:rsidRPr="00D33194">
        <w:rPr>
          <w:rFonts w:ascii="Arial Narrow" w:hAnsi="Arial Narrow"/>
          <w:b/>
          <w:bCs/>
          <w:sz w:val="20"/>
        </w:rPr>
        <w:t xml:space="preserve">Table </w:t>
      </w:r>
      <w:bookmarkEnd w:id="11"/>
      <w:r>
        <w:rPr>
          <w:rFonts w:ascii="Arial Narrow" w:hAnsi="Arial Narrow"/>
          <w:b/>
          <w:bCs/>
          <w:sz w:val="20"/>
        </w:rPr>
        <w:t>6:</w:t>
      </w:r>
      <w:r w:rsidRPr="00D33194">
        <w:rPr>
          <w:rFonts w:ascii="Arial Narrow" w:hAnsi="Arial Narrow"/>
          <w:b/>
          <w:bCs/>
          <w:sz w:val="20"/>
        </w:rPr>
        <w:t xml:space="preserve"> Repeated measurements analysis of variance of absolute change in serum ferritin between baseline and fourth quarter</w:t>
      </w:r>
      <w:bookmarkEnd w:id="12"/>
    </w:p>
    <w:tbl>
      <w:tblPr>
        <w:tblStyle w:val="TableGrid"/>
        <w:tblW w:w="4594" w:type="pct"/>
        <w:tblInd w:w="737" w:type="dxa"/>
        <w:tblLook w:val="0000" w:firstRow="0" w:lastRow="0" w:firstColumn="0" w:lastColumn="0" w:noHBand="0" w:noVBand="0"/>
        <w:tblCaption w:val="Table 6: Repeated measurements analysis of variance of absolute change in serum ferritin between baseline and fourth quarter"/>
        <w:tblDescription w:val="The table shows the repeated measurements analysis of variance of absolute change in serum ferritin between baseline and fourth quarter"/>
      </w:tblPr>
      <w:tblGrid>
        <w:gridCol w:w="1740"/>
        <w:gridCol w:w="2061"/>
        <w:gridCol w:w="2272"/>
        <w:gridCol w:w="2272"/>
      </w:tblGrid>
      <w:tr w:rsidR="009F3929" w:rsidRPr="008B4A04" w:rsidTr="009F3929">
        <w:trPr>
          <w:tblHeader/>
        </w:trPr>
        <w:tc>
          <w:tcPr>
            <w:tcW w:w="1043" w:type="pct"/>
            <w:tcBorders>
              <w:bottom w:val="nil"/>
            </w:tcBorders>
            <w:tcMar>
              <w:left w:w="28" w:type="dxa"/>
              <w:right w:w="28" w:type="dxa"/>
            </w:tcMar>
          </w:tcPr>
          <w:p w:rsidR="009F3929" w:rsidRPr="008B4A04" w:rsidRDefault="009F3929" w:rsidP="008B4A04">
            <w:pPr>
              <w:keepNext/>
              <w:widowControl/>
              <w:rPr>
                <w:rFonts w:ascii="Arial Narrow" w:hAnsi="Arial Narrow"/>
              </w:rPr>
            </w:pPr>
          </w:p>
        </w:tc>
        <w:tc>
          <w:tcPr>
            <w:tcW w:w="2596" w:type="pct"/>
            <w:gridSpan w:val="2"/>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Deferasirox</w:t>
            </w:r>
          </w:p>
        </w:tc>
        <w:tc>
          <w:tcPr>
            <w:tcW w:w="1361" w:type="pct"/>
            <w:tcBorders>
              <w:bottom w:val="nil"/>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Placebo</w:t>
            </w:r>
          </w:p>
        </w:tc>
      </w:tr>
      <w:tr w:rsidR="009F3929" w:rsidRPr="008B4A04" w:rsidTr="009F3929">
        <w:trPr>
          <w:tblHeader/>
        </w:trPr>
        <w:tc>
          <w:tcPr>
            <w:tcW w:w="1043" w:type="pct"/>
            <w:tcBorders>
              <w:top w:val="nil"/>
              <w:bottom w:val="nil"/>
            </w:tcBorders>
            <w:tcMar>
              <w:left w:w="28" w:type="dxa"/>
              <w:right w:w="28" w:type="dxa"/>
            </w:tcMar>
          </w:tcPr>
          <w:p w:rsidR="009F3929" w:rsidRPr="008B4A04" w:rsidRDefault="009F3929" w:rsidP="008B4A04">
            <w:pPr>
              <w:keepNext/>
              <w:widowControl/>
              <w:rPr>
                <w:rFonts w:ascii="Arial Narrow" w:hAnsi="Arial Narrow"/>
              </w:rPr>
            </w:pPr>
          </w:p>
        </w:tc>
        <w:tc>
          <w:tcPr>
            <w:tcW w:w="1235" w:type="pct"/>
            <w:tcBorders>
              <w:bottom w:val="nil"/>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5 mg/kg/day</w:t>
            </w:r>
          </w:p>
        </w:tc>
        <w:tc>
          <w:tcPr>
            <w:tcW w:w="1361" w:type="pct"/>
            <w:tcBorders>
              <w:bottom w:val="nil"/>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10 mg/kg/day</w:t>
            </w:r>
          </w:p>
        </w:tc>
        <w:tc>
          <w:tcPr>
            <w:tcW w:w="1361" w:type="pct"/>
            <w:tcBorders>
              <w:top w:val="nil"/>
              <w:bottom w:val="nil"/>
            </w:tcBorders>
            <w:tcMar>
              <w:left w:w="28" w:type="dxa"/>
              <w:right w:w="28" w:type="dxa"/>
            </w:tcMar>
            <w:vAlign w:val="center"/>
          </w:tcPr>
          <w:p w:rsidR="009F3929" w:rsidRPr="008B4A04" w:rsidRDefault="009F3929" w:rsidP="008B4A04">
            <w:pPr>
              <w:keepNext/>
              <w:widowControl/>
              <w:jc w:val="center"/>
              <w:rPr>
                <w:rFonts w:ascii="Arial Narrow" w:hAnsi="Arial Narrow"/>
                <w:b/>
                <w:bCs/>
              </w:rPr>
            </w:pPr>
          </w:p>
        </w:tc>
      </w:tr>
      <w:tr w:rsidR="009F3929" w:rsidRPr="008B4A04" w:rsidTr="009F3929">
        <w:trPr>
          <w:tblHeader/>
        </w:trPr>
        <w:tc>
          <w:tcPr>
            <w:tcW w:w="1043" w:type="pct"/>
            <w:tcBorders>
              <w:top w:val="nil"/>
              <w:bottom w:val="single" w:sz="4" w:space="0" w:color="000000" w:themeColor="text1"/>
            </w:tcBorders>
            <w:tcMar>
              <w:left w:w="28" w:type="dxa"/>
              <w:right w:w="28" w:type="dxa"/>
            </w:tcMar>
          </w:tcPr>
          <w:p w:rsidR="009F3929" w:rsidRPr="008B4A04" w:rsidRDefault="009F3929" w:rsidP="008B4A04">
            <w:pPr>
              <w:keepNext/>
              <w:widowControl/>
              <w:rPr>
                <w:rFonts w:ascii="Arial Narrow" w:hAnsi="Arial Narrow"/>
              </w:rPr>
            </w:pPr>
          </w:p>
        </w:tc>
        <w:tc>
          <w:tcPr>
            <w:tcW w:w="1235" w:type="pct"/>
            <w:tcBorders>
              <w:top w:val="nil"/>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(N=55)</w:t>
            </w:r>
          </w:p>
        </w:tc>
        <w:tc>
          <w:tcPr>
            <w:tcW w:w="1361" w:type="pct"/>
            <w:tcBorders>
              <w:top w:val="nil"/>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(N=55)</w:t>
            </w:r>
          </w:p>
        </w:tc>
        <w:tc>
          <w:tcPr>
            <w:tcW w:w="1361" w:type="pct"/>
            <w:tcBorders>
              <w:top w:val="nil"/>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(N=56)</w:t>
            </w:r>
          </w:p>
        </w:tc>
      </w:tr>
      <w:tr w:rsidR="009F3929" w:rsidRPr="008B4A04" w:rsidTr="009F3929">
        <w:tc>
          <w:tcPr>
            <w:tcW w:w="2277" w:type="pct"/>
            <w:gridSpan w:val="2"/>
            <w:tcBorders>
              <w:right w:val="nil"/>
            </w:tcBorders>
            <w:tcMar>
              <w:left w:w="28" w:type="dxa"/>
              <w:right w:w="28" w:type="dxa"/>
            </w:tcMar>
          </w:tcPr>
          <w:p w:rsidR="009F3929" w:rsidRPr="008B4A04" w:rsidRDefault="009F3929" w:rsidP="008B4A04">
            <w:pPr>
              <w:keepNext/>
              <w:widowControl/>
              <w:jc w:val="center"/>
              <w:rPr>
                <w:rFonts w:ascii="Arial Narrow" w:hAnsi="Arial Narrow"/>
              </w:rPr>
            </w:pPr>
            <w:r w:rsidRPr="008B4A04">
              <w:rPr>
                <w:rFonts w:ascii="Arial Narrow" w:hAnsi="Arial Narrow"/>
                <w:b/>
                <w:bCs/>
              </w:rPr>
              <w:t>Change from baseline</w:t>
            </w:r>
          </w:p>
        </w:tc>
        <w:tc>
          <w:tcPr>
            <w:tcW w:w="1361" w:type="pct"/>
            <w:tcBorders>
              <w:left w:val="nil"/>
              <w:right w:val="nil"/>
            </w:tcBorders>
            <w:tcMar>
              <w:left w:w="28" w:type="dxa"/>
              <w:right w:w="28" w:type="dxa"/>
            </w:tcMar>
            <w:vAlign w:val="center"/>
          </w:tcPr>
          <w:p w:rsidR="009F3929" w:rsidRPr="008B4A04" w:rsidRDefault="009F3929" w:rsidP="008B4A04">
            <w:pPr>
              <w:keepNext/>
              <w:widowControl/>
              <w:jc w:val="center"/>
              <w:rPr>
                <w:rFonts w:ascii="Arial Narrow" w:hAnsi="Arial Narrow"/>
              </w:rPr>
            </w:pPr>
          </w:p>
        </w:tc>
        <w:tc>
          <w:tcPr>
            <w:tcW w:w="1361" w:type="pct"/>
            <w:tcBorders>
              <w:left w:val="nil"/>
            </w:tcBorders>
            <w:tcMar>
              <w:left w:w="28" w:type="dxa"/>
              <w:right w:w="28" w:type="dxa"/>
            </w:tcMar>
            <w:vAlign w:val="center"/>
          </w:tcPr>
          <w:p w:rsidR="009F3929" w:rsidRPr="008B4A04" w:rsidRDefault="009F3929" w:rsidP="008B4A04">
            <w:pPr>
              <w:keepNext/>
              <w:widowControl/>
              <w:jc w:val="center"/>
              <w:rPr>
                <w:rFonts w:ascii="Arial Narrow" w:hAnsi="Arial Narrow"/>
              </w:rPr>
            </w:pP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w:t>
            </w:r>
            <w:r w:rsidR="00E350F2" w:rsidRPr="008B4A04">
              <w:rPr>
                <w:rFonts w:ascii="Arial Narrow" w:hAnsi="Arial Narrow"/>
              </w:rPr>
              <w:t>N</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55</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55</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56</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Least squares mean</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-120.69</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-222.00</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114.54</w:t>
            </w:r>
          </w:p>
        </w:tc>
      </w:tr>
      <w:tr w:rsidR="009F3929" w:rsidRPr="008B4A04" w:rsidTr="009F3929">
        <w:tc>
          <w:tcPr>
            <w:tcW w:w="1043" w:type="pct"/>
            <w:tcBorders>
              <w:bottom w:val="single" w:sz="4" w:space="0" w:color="000000" w:themeColor="text1"/>
            </w:tcBorders>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95% confidence interval</w:t>
            </w:r>
          </w:p>
        </w:tc>
        <w:tc>
          <w:tcPr>
            <w:tcW w:w="1235" w:type="pct"/>
            <w:tcBorders>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-203.15, -38.24</w:t>
            </w:r>
          </w:p>
        </w:tc>
        <w:tc>
          <w:tcPr>
            <w:tcW w:w="1361" w:type="pct"/>
            <w:tcBorders>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-304.46, -139.54</w:t>
            </w:r>
          </w:p>
        </w:tc>
        <w:tc>
          <w:tcPr>
            <w:tcW w:w="1361" w:type="pct"/>
            <w:tcBorders>
              <w:bottom w:val="single" w:sz="4" w:space="0" w:color="000000" w:themeColor="text1"/>
            </w:tcBorders>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32.83, 196.26</w:t>
            </w:r>
          </w:p>
        </w:tc>
      </w:tr>
      <w:tr w:rsidR="009F3929" w:rsidRPr="008B4A04" w:rsidTr="009F3929">
        <w:tc>
          <w:tcPr>
            <w:tcW w:w="5000" w:type="pct"/>
            <w:gridSpan w:val="4"/>
            <w:tcMar>
              <w:left w:w="28" w:type="dxa"/>
              <w:right w:w="28" w:type="dxa"/>
            </w:tcMar>
            <w:vAlign w:val="center"/>
          </w:tcPr>
          <w:p w:rsidR="009F3929" w:rsidRPr="008B4A04" w:rsidRDefault="009F3929" w:rsidP="008B4A04">
            <w:pPr>
              <w:keepNext/>
              <w:widowControl/>
              <w:rPr>
                <w:rFonts w:ascii="Arial Narrow" w:hAnsi="Arial Narrow"/>
                <w:b/>
                <w:bCs/>
              </w:rPr>
            </w:pPr>
            <w:r w:rsidRPr="008B4A04">
              <w:rPr>
                <w:rFonts w:ascii="Arial Narrow" w:hAnsi="Arial Narrow"/>
                <w:b/>
                <w:bCs/>
              </w:rPr>
              <w:t xml:space="preserve">Difference deferasirox </w:t>
            </w:r>
            <w:r w:rsidR="00307EBB" w:rsidRPr="008B4A04">
              <w:rPr>
                <w:rFonts w:ascii="Arial Narrow" w:hAnsi="Arial Narrow"/>
                <w:b/>
                <w:bCs/>
              </w:rPr>
              <w:t>–</w:t>
            </w:r>
            <w:r w:rsidRPr="008B4A04">
              <w:rPr>
                <w:rFonts w:ascii="Arial Narrow" w:hAnsi="Arial Narrow"/>
                <w:b/>
                <w:bCs/>
              </w:rPr>
              <w:t xml:space="preserve"> Placebo</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Least squares mean</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-235.24</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-336.54</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95% confidence interval (1)</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-365.99, -104.49</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-467.29, -205.79</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p-value (2)</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&lt;.001</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b/>
                <w:bCs/>
              </w:rPr>
            </w:pPr>
            <w:r w:rsidRPr="008B4A04">
              <w:rPr>
                <w:rFonts w:ascii="Arial Narrow" w:hAnsi="Arial Narrow"/>
                <w:b/>
                <w:bCs/>
              </w:rPr>
              <w:t>&lt;.001</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5000" w:type="pct"/>
            <w:gridSpan w:val="4"/>
            <w:tcMar>
              <w:left w:w="28" w:type="dxa"/>
              <w:right w:w="28" w:type="dxa"/>
            </w:tcMar>
            <w:vAlign w:val="center"/>
          </w:tcPr>
          <w:p w:rsidR="009F3929" w:rsidRPr="008B4A04" w:rsidRDefault="009F3929" w:rsidP="008B4A04">
            <w:pPr>
              <w:keepNext/>
              <w:widowControl/>
              <w:rPr>
                <w:rFonts w:ascii="Arial Narrow" w:hAnsi="Arial Narrow"/>
                <w:b/>
                <w:bCs/>
              </w:rPr>
            </w:pPr>
            <w:r w:rsidRPr="008B4A04">
              <w:rPr>
                <w:rFonts w:ascii="Arial Narrow" w:hAnsi="Arial Narrow"/>
                <w:b/>
                <w:bCs/>
              </w:rPr>
              <w:t>Difference deferasirox 10 mg/kg/day - deferasirox 5mg/kg/day</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Least squares mean</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-101.31</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Standard error</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59.056</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95% confidence interval</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-217.92, 15.31</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r w:rsidR="009F3929" w:rsidRPr="008B4A04" w:rsidTr="009F3929">
        <w:tc>
          <w:tcPr>
            <w:tcW w:w="1043" w:type="pct"/>
            <w:tcMar>
              <w:left w:w="28" w:type="dxa"/>
              <w:right w:w="28" w:type="dxa"/>
            </w:tcMar>
          </w:tcPr>
          <w:p w:rsidR="009F3929" w:rsidRPr="008B4A04" w:rsidRDefault="009F3929" w:rsidP="008B4A04">
            <w:pPr>
              <w:keepNext/>
              <w:widowControl/>
              <w:rPr>
                <w:rFonts w:ascii="Arial Narrow" w:hAnsi="Arial Narrow"/>
              </w:rPr>
            </w:pPr>
            <w:r w:rsidRPr="008B4A04">
              <w:rPr>
                <w:rFonts w:ascii="Arial Narrow" w:hAnsi="Arial Narrow"/>
              </w:rPr>
              <w:t xml:space="preserve"> p-value (3)</w:t>
            </w:r>
          </w:p>
        </w:tc>
        <w:tc>
          <w:tcPr>
            <w:tcW w:w="1235"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0.088</w:t>
            </w:r>
          </w:p>
        </w:tc>
        <w:tc>
          <w:tcPr>
            <w:tcW w:w="1361" w:type="pct"/>
            <w:tcMar>
              <w:left w:w="28" w:type="dxa"/>
              <w:right w:w="28" w:type="dxa"/>
            </w:tcMar>
            <w:vAlign w:val="center"/>
          </w:tcPr>
          <w:p w:rsidR="009F3929" w:rsidRPr="008B4A04" w:rsidRDefault="009F3929" w:rsidP="008B4A04">
            <w:pPr>
              <w:keepNext/>
              <w:widowControl/>
              <w:jc w:val="center"/>
              <w:rPr>
                <w:rFonts w:ascii="Arial Narrow" w:hAnsi="Arial Narrow"/>
              </w:rPr>
            </w:pPr>
            <w:r w:rsidRPr="008B4A04">
              <w:rPr>
                <w:rFonts w:ascii="Arial Narrow" w:hAnsi="Arial Narrow"/>
              </w:rPr>
              <w:t>-</w:t>
            </w:r>
          </w:p>
        </w:tc>
      </w:tr>
    </w:tbl>
    <w:p w:rsidR="004F5526" w:rsidRDefault="009F3929" w:rsidP="008B4A04">
      <w:pPr>
        <w:pStyle w:val="BodyText"/>
        <w:keepNext/>
        <w:widowControl/>
        <w:ind w:left="680"/>
      </w:pPr>
      <w:r>
        <w:rPr>
          <w:rFonts w:ascii="Arial Narrow" w:hAnsi="Arial Narrow"/>
          <w:sz w:val="18"/>
          <w:szCs w:val="18"/>
        </w:rPr>
        <w:t>Note</w:t>
      </w:r>
      <w:r w:rsidRPr="00D33194">
        <w:rPr>
          <w:rFonts w:ascii="Arial Narrow" w:hAnsi="Arial Narrow"/>
          <w:sz w:val="18"/>
          <w:szCs w:val="18"/>
        </w:rPr>
        <w:t>: The estimates for the 4th quarter were obtained from a repeated measurements model with treatment and quarter as factors, and treatment*quarter interaction. (1) two-sided simultaneous confidence intervals using Dunnett adjustment; (2) one-sided p-value with Dunnett's adjustment testing the hypothesis that the mean decrease in serum ferritin (µg/L) is not greater under deferasirox than under placebo. Critical alpha-level: 0.025; (3) two-sided p-value testing the hypothesis that the change in serum ferritin is identical in the 2 deferasirox groups. Critical alpha-level: 0.05. The last available quarter was carried forward if no value was available for any quarter.</w:t>
      </w:r>
      <w:r w:rsidRPr="00D33194">
        <w:rPr>
          <w:rFonts w:ascii="Arial Narrow" w:hAnsi="Arial Narrow"/>
          <w:sz w:val="18"/>
          <w:szCs w:val="18"/>
        </w:rPr>
        <w:br/>
        <w:t xml:space="preserve">Source: </w:t>
      </w:r>
      <w:r>
        <w:rPr>
          <w:rFonts w:ascii="Arial Narrow" w:hAnsi="Arial Narrow"/>
          <w:sz w:val="18"/>
          <w:szCs w:val="18"/>
        </w:rPr>
        <w:t>Table 6-5 of</w:t>
      </w:r>
      <w:r w:rsidRPr="00D33194">
        <w:rPr>
          <w:rFonts w:ascii="Arial Narrow" w:hAnsi="Arial Narrow"/>
          <w:sz w:val="18"/>
          <w:szCs w:val="18"/>
        </w:rPr>
        <w:t xml:space="preserve"> </w:t>
      </w:r>
      <w:r>
        <w:rPr>
          <w:rFonts w:ascii="Arial Narrow" w:hAnsi="Arial Narrow"/>
          <w:sz w:val="18"/>
          <w:szCs w:val="18"/>
        </w:rPr>
        <w:t>Attachment 3, Addenda Section B NTDT</w:t>
      </w:r>
    </w:p>
    <w:p w:rsidR="009F3929" w:rsidRDefault="009F3929" w:rsidP="007478B9">
      <w:pPr>
        <w:pStyle w:val="Heading2"/>
        <w:widowControl/>
        <w:rPr>
          <w:i/>
        </w:rPr>
      </w:pPr>
      <w:bookmarkStart w:id="13" w:name="_Toc419798701"/>
    </w:p>
    <w:p w:rsidR="00666194" w:rsidRPr="00575319" w:rsidRDefault="00666194" w:rsidP="007478B9">
      <w:pPr>
        <w:pStyle w:val="Heading2"/>
        <w:widowControl/>
        <w:rPr>
          <w:i/>
        </w:rPr>
      </w:pPr>
      <w:r w:rsidRPr="00575319">
        <w:rPr>
          <w:i/>
        </w:rPr>
        <w:t>Comparative harms</w:t>
      </w:r>
      <w:bookmarkEnd w:id="13"/>
    </w:p>
    <w:p w:rsidR="00666194" w:rsidRPr="00575319" w:rsidRDefault="00666194" w:rsidP="007478B9">
      <w:pPr>
        <w:widowControl/>
        <w:ind w:left="720" w:hanging="720"/>
        <w:rPr>
          <w:szCs w:val="22"/>
        </w:rPr>
      </w:pPr>
    </w:p>
    <w:p w:rsidR="005A4F7B" w:rsidRPr="0015028A" w:rsidRDefault="00F84A7D" w:rsidP="007478B9">
      <w:pPr>
        <w:pStyle w:val="ListParagraph"/>
        <w:widowControl/>
        <w:numPr>
          <w:ilvl w:val="1"/>
          <w:numId w:val="4"/>
        </w:numPr>
        <w:rPr>
          <w:i/>
          <w:iCs/>
        </w:rPr>
      </w:pPr>
      <w:r w:rsidRPr="00A76D91">
        <w:rPr>
          <w:iCs/>
        </w:rPr>
        <w:t>No comparative analyses of safety were reported within the publications.</w:t>
      </w:r>
      <w:r w:rsidR="005A4F7B" w:rsidRPr="00A76D91">
        <w:rPr>
          <w:iCs/>
        </w:rPr>
        <w:t xml:space="preserve"> </w:t>
      </w:r>
      <w:r w:rsidR="005A4F7B">
        <w:rPr>
          <w:i/>
          <w:iCs/>
        </w:rPr>
        <w:t xml:space="preserve"> </w:t>
      </w:r>
      <w:r w:rsidR="005A4F7B" w:rsidRPr="00575319">
        <w:t>Poten</w:t>
      </w:r>
      <w:r w:rsidR="0096746C">
        <w:t>tial side effects of treatment we</w:t>
      </w:r>
      <w:r w:rsidR="005A4F7B" w:rsidRPr="00575319">
        <w:t>re largely inferred from clinical experience t</w:t>
      </w:r>
      <w:r w:rsidR="0096746C">
        <w:t>o date in other indications or we</w:t>
      </w:r>
      <w:r w:rsidR="005A4F7B" w:rsidRPr="00575319">
        <w:t xml:space="preserve">re based on pre and post treatment data of single arm studies. </w:t>
      </w:r>
      <w:r w:rsidR="009848C4">
        <w:t xml:space="preserve"> It wa</w:t>
      </w:r>
      <w:r w:rsidR="005A4F7B" w:rsidRPr="00575319">
        <w:t>s an</w:t>
      </w:r>
      <w:r w:rsidR="009848C4">
        <w:t>ticipated that DFX treatment could</w:t>
      </w:r>
      <w:r w:rsidR="005A4F7B" w:rsidRPr="00575319">
        <w:t xml:space="preserve"> be associated with more </w:t>
      </w:r>
      <w:r w:rsidR="003C1A00">
        <w:t>gastro-intestinal tract (</w:t>
      </w:r>
      <w:r w:rsidR="005A4F7B" w:rsidRPr="00575319">
        <w:t>GIT</w:t>
      </w:r>
      <w:r w:rsidR="003C1A00">
        <w:t>)</w:t>
      </w:r>
      <w:r w:rsidR="005A4F7B" w:rsidRPr="00575319">
        <w:t>, renal and hepatic events and rash, mostly mild in nature, however severe adverse events such as acute renal failure, cytopenias and GIT haemorrhage (some fatal</w:t>
      </w:r>
      <w:r w:rsidR="009848C4">
        <w:t>) were also reported.  It wa</w:t>
      </w:r>
      <w:r w:rsidR="005A4F7B" w:rsidRPr="00575319">
        <w:t>s suggested that MDS patients who are older than the thalassemia patients may be more prone to certain side effects with DFX (such as increased serum creatinine) given they w</w:t>
      </w:r>
      <w:r w:rsidR="009848C4">
        <w:t>ould</w:t>
      </w:r>
      <w:r w:rsidR="005A4F7B" w:rsidRPr="00575319">
        <w:t xml:space="preserve"> likely have poorer renal and hepatic function. The disco</w:t>
      </w:r>
      <w:r w:rsidR="009848C4">
        <w:t>ntinuation rates of DFX in MDS we</w:t>
      </w:r>
      <w:r w:rsidR="005A4F7B" w:rsidRPr="00575319">
        <w:t>re also notably higher than in thalassemia patients.</w:t>
      </w:r>
    </w:p>
    <w:p w:rsidR="00D229F9" w:rsidRPr="0014062C" w:rsidRDefault="00D229F9" w:rsidP="007478B9">
      <w:pPr>
        <w:widowControl/>
        <w:rPr>
          <w:i/>
          <w:iCs/>
        </w:rPr>
      </w:pPr>
    </w:p>
    <w:p w:rsidR="007003CE" w:rsidRPr="00D1526E" w:rsidRDefault="007003CE" w:rsidP="007478B9">
      <w:pPr>
        <w:pStyle w:val="ListParagraph"/>
        <w:widowControl/>
        <w:numPr>
          <w:ilvl w:val="1"/>
          <w:numId w:val="4"/>
        </w:numPr>
        <w:rPr>
          <w:iCs/>
        </w:rPr>
      </w:pPr>
      <w:r w:rsidRPr="00D1526E">
        <w:rPr>
          <w:iCs/>
        </w:rPr>
        <w:t xml:space="preserve">With regards to the comparative harms associated with DFX in NTDT, the ESC noted the results </w:t>
      </w:r>
      <w:r w:rsidR="0015028A" w:rsidRPr="00D1526E">
        <w:rPr>
          <w:iCs/>
        </w:rPr>
        <w:t xml:space="preserve">of the </w:t>
      </w:r>
      <w:r w:rsidRPr="00D1526E">
        <w:rPr>
          <w:iCs/>
        </w:rPr>
        <w:t xml:space="preserve">THALASSA trial, whereby </w:t>
      </w:r>
      <w:r w:rsidR="0015028A" w:rsidRPr="00D1526E">
        <w:rPr>
          <w:iCs/>
        </w:rPr>
        <w:t xml:space="preserve">the majority of the events were of mild to moderate severity and were resolved on treatment. There was no discontinuation and </w:t>
      </w:r>
      <w:r w:rsidRPr="00D1526E">
        <w:rPr>
          <w:iCs/>
        </w:rPr>
        <w:t>the incidence of adverse events was similar across treatment group</w:t>
      </w:r>
      <w:r w:rsidR="009F27F4" w:rsidRPr="00D1526E">
        <w:rPr>
          <w:iCs/>
        </w:rPr>
        <w:t xml:space="preserve">s. </w:t>
      </w:r>
    </w:p>
    <w:p w:rsidR="009F3929" w:rsidRDefault="009F3929" w:rsidP="007478B9">
      <w:pPr>
        <w:pStyle w:val="Heading2"/>
        <w:widowControl/>
        <w:rPr>
          <w:i/>
        </w:rPr>
      </w:pPr>
      <w:bookmarkStart w:id="14" w:name="_Toc419798702"/>
    </w:p>
    <w:p w:rsidR="00666194" w:rsidRPr="00575319" w:rsidRDefault="00666194" w:rsidP="00BC58F5">
      <w:pPr>
        <w:pStyle w:val="Heading2"/>
        <w:keepNext/>
        <w:widowControl/>
        <w:rPr>
          <w:i/>
          <w:szCs w:val="22"/>
        </w:rPr>
      </w:pPr>
      <w:r w:rsidRPr="00575319">
        <w:rPr>
          <w:i/>
        </w:rPr>
        <w:t>Benefits/harms</w:t>
      </w:r>
      <w:bookmarkEnd w:id="14"/>
    </w:p>
    <w:p w:rsidR="00666194" w:rsidRPr="00575319" w:rsidRDefault="00666194" w:rsidP="00BC58F5">
      <w:pPr>
        <w:pStyle w:val="ListParagraph"/>
        <w:keepNext/>
        <w:widowControl/>
        <w:ind w:left="0"/>
        <w:rPr>
          <w:szCs w:val="22"/>
        </w:rPr>
      </w:pPr>
    </w:p>
    <w:p w:rsidR="00555016" w:rsidRPr="00D1526E" w:rsidRDefault="00555016" w:rsidP="007478B9">
      <w:pPr>
        <w:pStyle w:val="ListParagraph"/>
        <w:widowControl/>
        <w:numPr>
          <w:ilvl w:val="1"/>
          <w:numId w:val="4"/>
        </w:numPr>
        <w:rPr>
          <w:iCs/>
        </w:rPr>
      </w:pPr>
      <w:r w:rsidRPr="00D1526E">
        <w:rPr>
          <w:iCs/>
        </w:rPr>
        <w:t xml:space="preserve">A benefits and harms table </w:t>
      </w:r>
      <w:r w:rsidR="0015028A" w:rsidRPr="00D1526E">
        <w:rPr>
          <w:iCs/>
        </w:rPr>
        <w:t xml:space="preserve">for DFX in MDS </w:t>
      </w:r>
      <w:r w:rsidRPr="00D1526E">
        <w:rPr>
          <w:iCs/>
        </w:rPr>
        <w:t xml:space="preserve">was not able to be constructed as no RCTs </w:t>
      </w:r>
      <w:r w:rsidR="009F27F4" w:rsidRPr="00D1526E">
        <w:rPr>
          <w:iCs/>
        </w:rPr>
        <w:t>were</w:t>
      </w:r>
      <w:r w:rsidRPr="00D1526E">
        <w:rPr>
          <w:iCs/>
        </w:rPr>
        <w:t xml:space="preserve"> included in the submission to inform </w:t>
      </w:r>
      <w:r w:rsidR="0000067F" w:rsidRPr="00D1526E">
        <w:rPr>
          <w:iCs/>
        </w:rPr>
        <w:t xml:space="preserve">the comparative </w:t>
      </w:r>
      <w:r w:rsidRPr="00D1526E">
        <w:rPr>
          <w:iCs/>
        </w:rPr>
        <w:t xml:space="preserve">benefits and harms of </w:t>
      </w:r>
      <w:r w:rsidR="00A76D91" w:rsidRPr="00D1526E">
        <w:rPr>
          <w:iCs/>
        </w:rPr>
        <w:t>ICT</w:t>
      </w:r>
      <w:r w:rsidRPr="00D1526E">
        <w:rPr>
          <w:iCs/>
        </w:rPr>
        <w:t xml:space="preserve"> </w:t>
      </w:r>
      <w:r w:rsidR="0000067F" w:rsidRPr="00D1526E">
        <w:rPr>
          <w:iCs/>
        </w:rPr>
        <w:t xml:space="preserve">versus no </w:t>
      </w:r>
      <w:r w:rsidR="00A76D91" w:rsidRPr="00D1526E">
        <w:rPr>
          <w:iCs/>
        </w:rPr>
        <w:t>ICT</w:t>
      </w:r>
      <w:r w:rsidR="005D12B9" w:rsidRPr="00D1526E">
        <w:rPr>
          <w:iCs/>
        </w:rPr>
        <w:t>, and the range of observational studies presented in the submission was no</w:t>
      </w:r>
      <w:r w:rsidR="00BC58F5">
        <w:rPr>
          <w:iCs/>
        </w:rPr>
        <w:t>t appropriate for this purpose.</w:t>
      </w:r>
    </w:p>
    <w:p w:rsidR="00F84A7D" w:rsidRPr="0015028A" w:rsidRDefault="00F84A7D" w:rsidP="007478B9">
      <w:pPr>
        <w:widowControl/>
        <w:rPr>
          <w:szCs w:val="22"/>
        </w:rPr>
      </w:pPr>
    </w:p>
    <w:p w:rsidR="00561EF6" w:rsidRDefault="00561EF6" w:rsidP="007478B9">
      <w:pPr>
        <w:pStyle w:val="Heading2"/>
        <w:widowControl/>
        <w:rPr>
          <w:i/>
        </w:rPr>
      </w:pPr>
      <w:bookmarkStart w:id="15" w:name="_Toc419798703"/>
      <w:r w:rsidRPr="00575319">
        <w:rPr>
          <w:i/>
        </w:rPr>
        <w:t>Clinical claim</w:t>
      </w:r>
      <w:bookmarkEnd w:id="15"/>
    </w:p>
    <w:p w:rsidR="00561EF6" w:rsidRDefault="00561EF6" w:rsidP="007478B9">
      <w:pPr>
        <w:widowControl/>
      </w:pPr>
    </w:p>
    <w:p w:rsidR="00561EF6" w:rsidRPr="0015028A" w:rsidRDefault="00561EF6" w:rsidP="007478B9">
      <w:pPr>
        <w:pStyle w:val="ListParagraph"/>
        <w:widowControl/>
        <w:numPr>
          <w:ilvl w:val="1"/>
          <w:numId w:val="4"/>
        </w:numPr>
      </w:pPr>
      <w:r w:rsidRPr="001535C5">
        <w:t>The submission describe</w:t>
      </w:r>
      <w:r w:rsidR="0015028A">
        <w:t>d</w:t>
      </w:r>
      <w:r w:rsidRPr="001535C5">
        <w:t xml:space="preserve"> ICT and DFX as superior in terms of comparative effectiveness, </w:t>
      </w:r>
      <w:r w:rsidR="0000067F" w:rsidRPr="001535C5">
        <w:t xml:space="preserve">and </w:t>
      </w:r>
      <w:r w:rsidRPr="001535C5">
        <w:t xml:space="preserve">non-inferior </w:t>
      </w:r>
      <w:r w:rsidR="0000067F" w:rsidRPr="001535C5">
        <w:t xml:space="preserve">in terms of </w:t>
      </w:r>
      <w:r w:rsidRPr="001535C5">
        <w:t>comparative safet</w:t>
      </w:r>
      <w:r w:rsidR="009848C4">
        <w:t>y over no ICT.  For safety, it wa</w:t>
      </w:r>
      <w:r w:rsidRPr="001535C5">
        <w:t>s argued that</w:t>
      </w:r>
      <w:r w:rsidR="009F27F4">
        <w:t xml:space="preserve"> while</w:t>
      </w:r>
      <w:r w:rsidRPr="001535C5">
        <w:t xml:space="preserve"> ICT and</w:t>
      </w:r>
      <w:r w:rsidR="0015028A">
        <w:t>,</w:t>
      </w:r>
      <w:r w:rsidRPr="001535C5">
        <w:t xml:space="preserve"> more specifically</w:t>
      </w:r>
      <w:r w:rsidR="0015028A">
        <w:t>,</w:t>
      </w:r>
      <w:r w:rsidRPr="001535C5">
        <w:t xml:space="preserve"> DFX have a different safety profile compared to no ICT, </w:t>
      </w:r>
      <w:r w:rsidR="009F27F4">
        <w:t xml:space="preserve">it </w:t>
      </w:r>
      <w:r w:rsidR="009848C4">
        <w:t>wa</w:t>
      </w:r>
      <w:r w:rsidRPr="001535C5">
        <w:t xml:space="preserve">s not likely to result in worse patient outcomes.  The </w:t>
      </w:r>
      <w:r w:rsidR="009848C4">
        <w:t xml:space="preserve">evaluation considered the </w:t>
      </w:r>
      <w:r w:rsidRPr="001535C5">
        <w:t xml:space="preserve">claim with respect to </w:t>
      </w:r>
      <w:r w:rsidR="0000067F" w:rsidRPr="001535C5">
        <w:t xml:space="preserve">comparative </w:t>
      </w:r>
      <w:r w:rsidRPr="001535C5">
        <w:t>efficacy and safety may not be appropriate</w:t>
      </w:r>
      <w:r w:rsidR="003C1A00" w:rsidRPr="001535C5">
        <w:t>,</w:t>
      </w:r>
      <w:r w:rsidRPr="001535C5">
        <w:t xml:space="preserve"> as detailed </w:t>
      </w:r>
      <w:r w:rsidR="003C1A00" w:rsidRPr="001535C5">
        <w:t xml:space="preserve">in the </w:t>
      </w:r>
      <w:r w:rsidRPr="001535C5">
        <w:rPr>
          <w:bCs/>
          <w:iCs/>
        </w:rPr>
        <w:t>Comparative efficacy</w:t>
      </w:r>
      <w:r w:rsidRPr="001535C5">
        <w:t xml:space="preserve"> and </w:t>
      </w:r>
      <w:r w:rsidRPr="001535C5">
        <w:rPr>
          <w:bCs/>
          <w:iCs/>
        </w:rPr>
        <w:t>Comparative harms</w:t>
      </w:r>
      <w:r w:rsidR="003C1A00" w:rsidRPr="001535C5">
        <w:rPr>
          <w:bCs/>
          <w:iCs/>
        </w:rPr>
        <w:t xml:space="preserve"> sections above</w:t>
      </w:r>
      <w:r w:rsidRPr="001535C5">
        <w:rPr>
          <w:bCs/>
          <w:iCs/>
        </w:rPr>
        <w:t>.</w:t>
      </w:r>
    </w:p>
    <w:p w:rsidR="0015028A" w:rsidRPr="00BC2DF9" w:rsidRDefault="0015028A" w:rsidP="007478B9">
      <w:pPr>
        <w:pStyle w:val="ListParagraph"/>
        <w:widowControl/>
      </w:pPr>
    </w:p>
    <w:p w:rsidR="002B4F41" w:rsidRPr="00D1526E" w:rsidRDefault="006C5A1C" w:rsidP="007478B9">
      <w:pPr>
        <w:pStyle w:val="ListParagraph"/>
        <w:widowControl/>
        <w:numPr>
          <w:ilvl w:val="1"/>
          <w:numId w:val="4"/>
        </w:numPr>
      </w:pPr>
      <w:r w:rsidRPr="00D1526E">
        <w:rPr>
          <w:bCs/>
          <w:iCs/>
        </w:rPr>
        <w:t>Despite nominating</w:t>
      </w:r>
      <w:r w:rsidR="002B4F41" w:rsidRPr="00D1526E">
        <w:rPr>
          <w:bCs/>
          <w:iCs/>
        </w:rPr>
        <w:t xml:space="preserve"> the suite of 8 non-randomised trials as the best available </w:t>
      </w:r>
      <w:r w:rsidR="009F27F4" w:rsidRPr="00D1526E">
        <w:rPr>
          <w:bCs/>
          <w:iCs/>
        </w:rPr>
        <w:t xml:space="preserve">evidence </w:t>
      </w:r>
      <w:r w:rsidR="002B4F41" w:rsidRPr="00D1526E">
        <w:rPr>
          <w:bCs/>
          <w:iCs/>
        </w:rPr>
        <w:t xml:space="preserve">for effectiveness of </w:t>
      </w:r>
      <w:r w:rsidR="00A33E97" w:rsidRPr="00D1526E">
        <w:rPr>
          <w:bCs/>
          <w:iCs/>
        </w:rPr>
        <w:t>ICT</w:t>
      </w:r>
      <w:r w:rsidR="002B4F41" w:rsidRPr="00D1526E">
        <w:rPr>
          <w:bCs/>
          <w:iCs/>
        </w:rPr>
        <w:t xml:space="preserve"> in MDS, the</w:t>
      </w:r>
      <w:r w:rsidRPr="00D1526E">
        <w:rPr>
          <w:bCs/>
          <w:iCs/>
        </w:rPr>
        <w:t xml:space="preserve"> </w:t>
      </w:r>
      <w:r w:rsidR="009F27F4" w:rsidRPr="00D1526E">
        <w:rPr>
          <w:bCs/>
          <w:iCs/>
        </w:rPr>
        <w:t xml:space="preserve">submission only incorporated the DFX efficacy estimate </w:t>
      </w:r>
      <w:r w:rsidR="009F27F4" w:rsidRPr="00531F6C">
        <w:rPr>
          <w:bCs/>
          <w:iCs/>
        </w:rPr>
        <w:t>from the MORE</w:t>
      </w:r>
      <w:r w:rsidR="009F27F4" w:rsidRPr="00D1526E">
        <w:rPr>
          <w:bCs/>
          <w:iCs/>
        </w:rPr>
        <w:t xml:space="preserve"> IPD analysis of HR = </w:t>
      </w:r>
      <w:r w:rsidR="00D57F00">
        <w:rPr>
          <w:bCs/>
          <w:iCs/>
          <w:noProof/>
          <w:color w:val="000000"/>
          <w:highlight w:val="black"/>
        </w:rPr>
        <w:t>'''''''''''</w:t>
      </w:r>
      <w:r w:rsidR="009F27F4" w:rsidRPr="00D1526E">
        <w:rPr>
          <w:bCs/>
          <w:iCs/>
        </w:rPr>
        <w:t xml:space="preserve"> into the model. This decision to favour the </w:t>
      </w:r>
      <w:r w:rsidR="009F27F4" w:rsidRPr="00531F6C">
        <w:rPr>
          <w:bCs/>
          <w:iCs/>
        </w:rPr>
        <w:t>MORE registry IPD</w:t>
      </w:r>
      <w:r w:rsidR="009F27F4" w:rsidRPr="00D1526E">
        <w:rPr>
          <w:bCs/>
          <w:iCs/>
        </w:rPr>
        <w:t xml:space="preserve"> analysis over the Mainous (2014) meta-analysis was justified </w:t>
      </w:r>
      <w:r w:rsidR="005D12B9" w:rsidRPr="00D1526E">
        <w:rPr>
          <w:bCs/>
          <w:iCs/>
        </w:rPr>
        <w:t xml:space="preserve">by the submission </w:t>
      </w:r>
      <w:r w:rsidR="009F27F4" w:rsidRPr="00D1526E">
        <w:rPr>
          <w:bCs/>
          <w:iCs/>
        </w:rPr>
        <w:t xml:space="preserve">on the basis </w:t>
      </w:r>
      <w:r w:rsidR="00D73BFC" w:rsidRPr="00D1526E">
        <w:rPr>
          <w:bCs/>
          <w:iCs/>
        </w:rPr>
        <w:t xml:space="preserve">that using this data addressed some of the concerns with bias in the non-randomised data sources as it allowed for controlling </w:t>
      </w:r>
      <w:r w:rsidR="00D243CB" w:rsidRPr="00D1526E">
        <w:rPr>
          <w:bCs/>
          <w:iCs/>
        </w:rPr>
        <w:t xml:space="preserve">of </w:t>
      </w:r>
      <w:r w:rsidR="00D73BFC" w:rsidRPr="00D1526E">
        <w:rPr>
          <w:bCs/>
          <w:iCs/>
        </w:rPr>
        <w:t>some potential confounders</w:t>
      </w:r>
      <w:r w:rsidR="009F27F4" w:rsidRPr="00D1526E">
        <w:rPr>
          <w:bCs/>
          <w:iCs/>
        </w:rPr>
        <w:t>.</w:t>
      </w:r>
    </w:p>
    <w:p w:rsidR="002B4F41" w:rsidRPr="00BC2DF9" w:rsidRDefault="002B4F41" w:rsidP="007478B9">
      <w:pPr>
        <w:pStyle w:val="ListParagraph"/>
        <w:widowControl/>
        <w:rPr>
          <w:i/>
        </w:rPr>
      </w:pPr>
    </w:p>
    <w:p w:rsidR="00E307BD" w:rsidRPr="00D1526E" w:rsidRDefault="00E307BD" w:rsidP="007478B9">
      <w:pPr>
        <w:pStyle w:val="ListParagraph"/>
        <w:widowControl/>
        <w:numPr>
          <w:ilvl w:val="1"/>
          <w:numId w:val="4"/>
        </w:numPr>
        <w:rPr>
          <w:iCs/>
        </w:rPr>
      </w:pPr>
      <w:r w:rsidRPr="00D1526E">
        <w:rPr>
          <w:bCs/>
          <w:iCs/>
        </w:rPr>
        <w:t xml:space="preserve">The ESC </w:t>
      </w:r>
      <w:r w:rsidRPr="00D1526E">
        <w:rPr>
          <w:iCs/>
        </w:rPr>
        <w:t>noted that while the IPD analysis was adjusted for the influence of baseline confounders (i.e. age, sex, total RBC units transfused, number of comorbiditie</w:t>
      </w:r>
      <w:r w:rsidR="00447819" w:rsidRPr="00D1526E">
        <w:rPr>
          <w:iCs/>
        </w:rPr>
        <w:t>s</w:t>
      </w:r>
      <w:r w:rsidRPr="00D1526E">
        <w:rPr>
          <w:iCs/>
        </w:rPr>
        <w:t xml:space="preserve">, ECOG and IPSS risk), issues of confounding remained: </w:t>
      </w:r>
    </w:p>
    <w:p w:rsidR="00E307BD" w:rsidRPr="00D1526E" w:rsidRDefault="00E307BD" w:rsidP="007478B9">
      <w:pPr>
        <w:pStyle w:val="ListParagraph"/>
        <w:widowControl/>
        <w:numPr>
          <w:ilvl w:val="0"/>
          <w:numId w:val="47"/>
        </w:numPr>
        <w:ind w:left="993" w:hanging="284"/>
        <w:jc w:val="left"/>
      </w:pPr>
      <w:r w:rsidRPr="00D1526E">
        <w:rPr>
          <w:bCs/>
          <w:iCs/>
        </w:rPr>
        <w:t xml:space="preserve">patient clinical status could have influenced the decision to initiate chelation in the first place; </w:t>
      </w:r>
    </w:p>
    <w:p w:rsidR="00E307BD" w:rsidRPr="00D1526E" w:rsidRDefault="00E307BD" w:rsidP="007478B9">
      <w:pPr>
        <w:pStyle w:val="ListParagraph"/>
        <w:widowControl/>
        <w:numPr>
          <w:ilvl w:val="0"/>
          <w:numId w:val="47"/>
        </w:numPr>
        <w:ind w:left="993" w:hanging="284"/>
        <w:jc w:val="left"/>
      </w:pPr>
      <w:r w:rsidRPr="00D1526E">
        <w:rPr>
          <w:bCs/>
          <w:iCs/>
        </w:rPr>
        <w:t xml:space="preserve">the </w:t>
      </w:r>
      <w:r w:rsidRPr="00531F6C">
        <w:rPr>
          <w:bCs/>
          <w:iCs/>
        </w:rPr>
        <w:t>MORE registry contained</w:t>
      </w:r>
      <w:r w:rsidRPr="00D1526E">
        <w:rPr>
          <w:bCs/>
          <w:iCs/>
        </w:rPr>
        <w:t xml:space="preserve"> a mixture of prospective and retrospectively observed iron chelation start dates, with a subset of patients initiating ICT prior to registration; </w:t>
      </w:r>
    </w:p>
    <w:p w:rsidR="00E307BD" w:rsidRPr="00D1526E" w:rsidRDefault="00E307BD" w:rsidP="007478B9">
      <w:pPr>
        <w:pStyle w:val="ListParagraph"/>
        <w:widowControl/>
        <w:numPr>
          <w:ilvl w:val="0"/>
          <w:numId w:val="47"/>
        </w:numPr>
        <w:ind w:left="993" w:hanging="284"/>
        <w:jc w:val="left"/>
        <w:rPr>
          <w:rStyle w:val="IntenseReference"/>
          <w:b w:val="0"/>
          <w:bCs w:val="0"/>
          <w:smallCaps w:val="0"/>
          <w:color w:val="auto"/>
          <w:spacing w:val="0"/>
        </w:rPr>
      </w:pPr>
      <w:r w:rsidRPr="00D1526E">
        <w:rPr>
          <w:bCs/>
          <w:iCs/>
        </w:rPr>
        <w:t>varying chelation times and time from diagnosis exposed the analysis to the effects of informative c</w:t>
      </w:r>
      <w:r w:rsidR="00D73BFC" w:rsidRPr="00D1526E">
        <w:rPr>
          <w:bCs/>
          <w:iCs/>
        </w:rPr>
        <w:t>ensoring and ascertainment bias; and</w:t>
      </w:r>
    </w:p>
    <w:p w:rsidR="00D73BFC" w:rsidRPr="00D1526E" w:rsidRDefault="00D73BFC" w:rsidP="007478B9">
      <w:pPr>
        <w:pStyle w:val="ListParagraph"/>
        <w:widowControl/>
        <w:numPr>
          <w:ilvl w:val="0"/>
          <w:numId w:val="47"/>
        </w:numPr>
        <w:ind w:left="993" w:hanging="284"/>
        <w:jc w:val="left"/>
      </w:pPr>
      <w:r w:rsidRPr="00D1526E">
        <w:rPr>
          <w:bCs/>
          <w:iCs/>
        </w:rPr>
        <w:t>no propensity adjustment was incorporated, which would have better controlled for baseline confounders.</w:t>
      </w:r>
    </w:p>
    <w:p w:rsidR="005A4F7B" w:rsidRDefault="005A4F7B" w:rsidP="007478B9">
      <w:pPr>
        <w:widowControl/>
      </w:pPr>
    </w:p>
    <w:p w:rsidR="00666194" w:rsidRPr="00575319" w:rsidRDefault="00666194" w:rsidP="007478B9">
      <w:pPr>
        <w:pStyle w:val="Heading2"/>
        <w:widowControl/>
        <w:rPr>
          <w:i/>
        </w:rPr>
      </w:pPr>
      <w:bookmarkStart w:id="16" w:name="_Toc419798704"/>
      <w:r w:rsidRPr="00575319">
        <w:rPr>
          <w:i/>
        </w:rPr>
        <w:t>Economic analysis</w:t>
      </w:r>
      <w:bookmarkEnd w:id="16"/>
      <w:r w:rsidRPr="00575319">
        <w:rPr>
          <w:i/>
        </w:rPr>
        <w:t xml:space="preserve"> </w:t>
      </w:r>
    </w:p>
    <w:p w:rsidR="00666194" w:rsidRPr="00575319" w:rsidRDefault="00666194" w:rsidP="007478B9">
      <w:pPr>
        <w:widowControl/>
        <w:ind w:left="720" w:hanging="720"/>
        <w:rPr>
          <w:szCs w:val="22"/>
        </w:rPr>
      </w:pPr>
    </w:p>
    <w:p w:rsidR="00666194" w:rsidRPr="00D1526E" w:rsidRDefault="00503BC2" w:rsidP="007478B9">
      <w:pPr>
        <w:pStyle w:val="ListParagraph"/>
        <w:widowControl/>
        <w:numPr>
          <w:ilvl w:val="1"/>
          <w:numId w:val="4"/>
        </w:numPr>
        <w:rPr>
          <w:iCs/>
          <w:szCs w:val="22"/>
        </w:rPr>
      </w:pPr>
      <w:r w:rsidRPr="00D1526E">
        <w:t>The submission present</w:t>
      </w:r>
      <w:r w:rsidR="00A76D91" w:rsidRPr="00D1526E">
        <w:t>ed</w:t>
      </w:r>
      <w:r w:rsidRPr="00D1526E">
        <w:t xml:space="preserve"> a modelled</w:t>
      </w:r>
      <w:r w:rsidR="005D3DC5" w:rsidRPr="00D1526E">
        <w:t xml:space="preserve"> cost-utility</w:t>
      </w:r>
      <w:r w:rsidRPr="00D1526E">
        <w:t xml:space="preserve"> economic evaluation</w:t>
      </w:r>
      <w:r w:rsidR="005D3DC5" w:rsidRPr="00D1526E">
        <w:t xml:space="preserve"> using variables reported in Section C of the commentary</w:t>
      </w:r>
      <w:r w:rsidR="00D50F84" w:rsidRPr="00D1526E">
        <w:t>;</w:t>
      </w:r>
      <w:r w:rsidRPr="00D1526E">
        <w:t xml:space="preserve"> </w:t>
      </w:r>
      <w:r w:rsidR="00D50F84" w:rsidRPr="00D1526E">
        <w:t>t</w:t>
      </w:r>
      <w:r w:rsidR="005D3DC5" w:rsidRPr="00D1526E">
        <w:t>he eff</w:t>
      </w:r>
      <w:r w:rsidR="00D50F84" w:rsidRPr="00D1526E">
        <w:t>ect of no chelation was</w:t>
      </w:r>
      <w:r w:rsidR="005D3DC5" w:rsidRPr="00D1526E">
        <w:t xml:space="preserve"> estimate</w:t>
      </w:r>
      <w:r w:rsidR="00D50F84" w:rsidRPr="00D1526E">
        <w:t>d</w:t>
      </w:r>
      <w:r w:rsidR="005D3DC5" w:rsidRPr="00D1526E">
        <w:t xml:space="preserve"> from the </w:t>
      </w:r>
      <w:r w:rsidRPr="00D1526E">
        <w:t>IPD</w:t>
      </w:r>
      <w:r w:rsidR="005D3DC5" w:rsidRPr="00D1526E">
        <w:t xml:space="preserve"> analysis</w:t>
      </w:r>
      <w:r w:rsidRPr="00D1526E">
        <w:t xml:space="preserve"> from the </w:t>
      </w:r>
      <w:r w:rsidRPr="00531F6C">
        <w:t>MORE registry</w:t>
      </w:r>
      <w:r w:rsidR="005D3DC5" w:rsidRPr="00531F6C">
        <w:t>, and</w:t>
      </w:r>
      <w:r w:rsidR="005D3DC5" w:rsidRPr="00D1526E">
        <w:t xml:space="preserve"> the overall survival of DFX chelated MDS patients was estimated from the 10% PBS sample</w:t>
      </w:r>
      <w:r w:rsidRPr="00D1526E">
        <w:t xml:space="preserve">. </w:t>
      </w:r>
      <w:r w:rsidR="00012628" w:rsidRPr="00D1526E">
        <w:t>The ESC considered that</w:t>
      </w:r>
      <w:r w:rsidRPr="00D1526E">
        <w:t xml:space="preserve"> </w:t>
      </w:r>
      <w:r w:rsidR="00012628" w:rsidRPr="00D1526E">
        <w:rPr>
          <w:iCs/>
        </w:rPr>
        <w:t>g</w:t>
      </w:r>
      <w:r w:rsidRPr="00D1526E">
        <w:rPr>
          <w:iCs/>
        </w:rPr>
        <w:t xml:space="preserve">iven the lack of proper RCT data to confirm any treatment effect of ICT in MDS, the conduct of an economic evaluation </w:t>
      </w:r>
      <w:r w:rsidR="00012628" w:rsidRPr="00D1526E">
        <w:rPr>
          <w:iCs/>
        </w:rPr>
        <w:t>wa</w:t>
      </w:r>
      <w:r w:rsidRPr="00D1526E">
        <w:rPr>
          <w:iCs/>
        </w:rPr>
        <w:t xml:space="preserve">s </w:t>
      </w:r>
      <w:r w:rsidR="009B1A51" w:rsidRPr="00D1526E">
        <w:rPr>
          <w:iCs/>
        </w:rPr>
        <w:t xml:space="preserve">probably </w:t>
      </w:r>
      <w:r w:rsidRPr="00D1526E">
        <w:rPr>
          <w:iCs/>
        </w:rPr>
        <w:t xml:space="preserve">premature and inappropriate. The risk of bias with the results of the economic evaluations </w:t>
      </w:r>
      <w:r w:rsidR="005D3DC5" w:rsidRPr="00D1526E">
        <w:rPr>
          <w:iCs/>
        </w:rPr>
        <w:t xml:space="preserve">was </w:t>
      </w:r>
      <w:r w:rsidRPr="00D1526E">
        <w:rPr>
          <w:iCs/>
        </w:rPr>
        <w:t>also high and uncertain.</w:t>
      </w:r>
      <w:r w:rsidR="00AF4382" w:rsidRPr="00D1526E">
        <w:rPr>
          <w:iCs/>
        </w:rPr>
        <w:t xml:space="preserve"> Table </w:t>
      </w:r>
      <w:r w:rsidR="009F3929">
        <w:rPr>
          <w:iCs/>
        </w:rPr>
        <w:t>7</w:t>
      </w:r>
      <w:r w:rsidR="00AF4382" w:rsidRPr="00D1526E">
        <w:rPr>
          <w:iCs/>
        </w:rPr>
        <w:t xml:space="preserve"> summarises the model structure and rationale.</w:t>
      </w:r>
    </w:p>
    <w:p w:rsidR="009848C4" w:rsidRDefault="009848C4" w:rsidP="007478B9">
      <w:pPr>
        <w:widowControl/>
        <w:ind w:left="510" w:firstLine="170"/>
        <w:rPr>
          <w:rStyle w:val="CommentReference"/>
        </w:rPr>
      </w:pPr>
    </w:p>
    <w:p w:rsidR="00922AD7" w:rsidRDefault="00922AD7" w:rsidP="007478B9">
      <w:pPr>
        <w:widowControl/>
        <w:ind w:left="510" w:firstLine="170"/>
        <w:rPr>
          <w:rStyle w:val="CommentReference"/>
        </w:rPr>
      </w:pPr>
    </w:p>
    <w:p w:rsidR="00503BC2" w:rsidRPr="00575319" w:rsidRDefault="00503BC2" w:rsidP="008B4A04">
      <w:pPr>
        <w:keepNext/>
        <w:widowControl/>
        <w:ind w:left="510" w:firstLine="170"/>
        <w:rPr>
          <w:rStyle w:val="CommentReference"/>
        </w:rPr>
      </w:pPr>
      <w:r w:rsidRPr="00575319">
        <w:rPr>
          <w:rStyle w:val="CommentReference"/>
        </w:rPr>
        <w:t xml:space="preserve">Table </w:t>
      </w:r>
      <w:r w:rsidR="009F3929">
        <w:rPr>
          <w:rStyle w:val="CommentReference"/>
        </w:rPr>
        <w:t>7</w:t>
      </w:r>
      <w:r w:rsidRPr="00575319">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6917"/>
      </w:tblGrid>
      <w:tr w:rsidR="00503BC2" w:rsidRPr="00575319" w:rsidTr="00EF0512">
        <w:trPr>
          <w:trHeight w:val="240"/>
        </w:trPr>
        <w:tc>
          <w:tcPr>
            <w:tcW w:w="1418" w:type="dxa"/>
            <w:shd w:val="clear" w:color="auto" w:fill="auto"/>
            <w:vAlign w:val="center"/>
          </w:tcPr>
          <w:p w:rsidR="00503BC2" w:rsidRPr="00575319" w:rsidRDefault="00503BC2" w:rsidP="008B4A04">
            <w:pPr>
              <w:keepNext/>
              <w:widowControl/>
              <w:jc w:val="left"/>
              <w:rPr>
                <w:rFonts w:ascii="Arial Narrow" w:hAnsi="Arial Narrow"/>
                <w:sz w:val="20"/>
              </w:rPr>
            </w:pPr>
            <w:r w:rsidRPr="00575319">
              <w:rPr>
                <w:rFonts w:ascii="Arial Narrow" w:hAnsi="Arial Narrow"/>
                <w:sz w:val="20"/>
              </w:rPr>
              <w:t>Time horizon</w:t>
            </w:r>
          </w:p>
        </w:tc>
        <w:tc>
          <w:tcPr>
            <w:tcW w:w="6917" w:type="dxa"/>
            <w:shd w:val="clear" w:color="auto" w:fill="auto"/>
          </w:tcPr>
          <w:p w:rsidR="00503BC2" w:rsidRPr="00575319" w:rsidRDefault="00503BC2" w:rsidP="008B4A04">
            <w:pPr>
              <w:keepNext/>
              <w:widowControl/>
              <w:rPr>
                <w:rFonts w:ascii="Arial Narrow" w:hAnsi="Arial Narrow"/>
                <w:sz w:val="20"/>
              </w:rPr>
            </w:pPr>
            <w:r w:rsidRPr="00575319">
              <w:rPr>
                <w:rFonts w:ascii="Arial Narrow" w:hAnsi="Arial Narrow"/>
                <w:sz w:val="20"/>
              </w:rPr>
              <w:t>10 years in the model base case versus up to 5 years in t</w:t>
            </w:r>
            <w:r w:rsidRPr="00531F6C">
              <w:rPr>
                <w:rFonts w:ascii="Arial Narrow" w:hAnsi="Arial Narrow"/>
                <w:sz w:val="20"/>
              </w:rPr>
              <w:t>he MORE registry and</w:t>
            </w:r>
            <w:r w:rsidRPr="00575319">
              <w:rPr>
                <w:rFonts w:ascii="Arial Narrow" w:hAnsi="Arial Narrow"/>
                <w:sz w:val="20"/>
              </w:rPr>
              <w:t xml:space="preserve"> up to 8 years in the PBS 10% sample.</w:t>
            </w:r>
          </w:p>
        </w:tc>
      </w:tr>
      <w:tr w:rsidR="00503BC2" w:rsidRPr="00575319" w:rsidTr="00EF0512">
        <w:trPr>
          <w:trHeight w:val="54"/>
        </w:trPr>
        <w:tc>
          <w:tcPr>
            <w:tcW w:w="1418" w:type="dxa"/>
            <w:shd w:val="clear" w:color="auto" w:fill="auto"/>
            <w:vAlign w:val="center"/>
          </w:tcPr>
          <w:p w:rsidR="00503BC2" w:rsidRPr="00575319" w:rsidRDefault="00503BC2" w:rsidP="008B4A04">
            <w:pPr>
              <w:keepNext/>
              <w:widowControl/>
              <w:jc w:val="left"/>
              <w:rPr>
                <w:rFonts w:ascii="Arial Narrow" w:hAnsi="Arial Narrow"/>
                <w:sz w:val="20"/>
              </w:rPr>
            </w:pPr>
            <w:r w:rsidRPr="00575319">
              <w:rPr>
                <w:rFonts w:ascii="Arial Narrow" w:hAnsi="Arial Narrow"/>
                <w:sz w:val="20"/>
              </w:rPr>
              <w:t>Outcomes</w:t>
            </w:r>
          </w:p>
        </w:tc>
        <w:tc>
          <w:tcPr>
            <w:tcW w:w="6917" w:type="dxa"/>
            <w:shd w:val="clear" w:color="auto" w:fill="auto"/>
          </w:tcPr>
          <w:p w:rsidR="00503BC2" w:rsidRPr="00575319" w:rsidRDefault="00503BC2" w:rsidP="008B4A04">
            <w:pPr>
              <w:keepNext/>
              <w:widowControl/>
              <w:rPr>
                <w:rFonts w:ascii="Arial Narrow" w:hAnsi="Arial Narrow"/>
                <w:sz w:val="20"/>
              </w:rPr>
            </w:pPr>
            <w:r w:rsidRPr="00575319">
              <w:rPr>
                <w:rFonts w:ascii="Arial Narrow" w:hAnsi="Arial Narrow"/>
                <w:sz w:val="20"/>
              </w:rPr>
              <w:t>LYG and QALYs</w:t>
            </w:r>
          </w:p>
        </w:tc>
      </w:tr>
      <w:tr w:rsidR="00503BC2" w:rsidRPr="00575319" w:rsidTr="00EF0512">
        <w:trPr>
          <w:trHeight w:val="242"/>
        </w:trPr>
        <w:tc>
          <w:tcPr>
            <w:tcW w:w="1418" w:type="dxa"/>
            <w:shd w:val="clear" w:color="auto" w:fill="auto"/>
            <w:vAlign w:val="center"/>
          </w:tcPr>
          <w:p w:rsidR="00503BC2" w:rsidRPr="00575319" w:rsidRDefault="00503BC2" w:rsidP="008B4A04">
            <w:pPr>
              <w:keepNext/>
              <w:widowControl/>
              <w:jc w:val="left"/>
              <w:rPr>
                <w:rFonts w:ascii="Arial Narrow" w:hAnsi="Arial Narrow"/>
                <w:sz w:val="20"/>
              </w:rPr>
            </w:pPr>
            <w:r w:rsidRPr="00575319">
              <w:rPr>
                <w:rFonts w:ascii="Arial Narrow" w:hAnsi="Arial Narrow"/>
                <w:sz w:val="20"/>
              </w:rPr>
              <w:t>Methods used to generate results</w:t>
            </w:r>
          </w:p>
        </w:tc>
        <w:tc>
          <w:tcPr>
            <w:tcW w:w="6917" w:type="dxa"/>
            <w:shd w:val="clear" w:color="auto" w:fill="auto"/>
          </w:tcPr>
          <w:p w:rsidR="00503BC2" w:rsidRPr="00575319" w:rsidRDefault="00503BC2" w:rsidP="008B4A04">
            <w:pPr>
              <w:keepNext/>
              <w:widowControl/>
              <w:rPr>
                <w:rFonts w:ascii="Arial Narrow" w:hAnsi="Arial Narrow"/>
                <w:sz w:val="20"/>
              </w:rPr>
            </w:pPr>
            <w:r w:rsidRPr="00575319">
              <w:rPr>
                <w:rFonts w:ascii="Arial Narrow" w:hAnsi="Arial Narrow"/>
                <w:sz w:val="20"/>
              </w:rPr>
              <w:t>Cohort expected value analysis</w:t>
            </w:r>
            <w:r w:rsidR="005A55FB">
              <w:rPr>
                <w:rFonts w:ascii="Arial Narrow" w:hAnsi="Arial Narrow"/>
                <w:sz w:val="20"/>
              </w:rPr>
              <w:t xml:space="preserve">.  </w:t>
            </w:r>
            <w:r w:rsidR="005A55FB" w:rsidRPr="005A55FB">
              <w:rPr>
                <w:rFonts w:ascii="Arial Narrow" w:hAnsi="Arial Narrow"/>
                <w:sz w:val="20"/>
              </w:rPr>
              <w:t>The base case for the modelled economic evaluation ha</w:t>
            </w:r>
            <w:r w:rsidR="009848C4">
              <w:rPr>
                <w:rFonts w:ascii="Arial Narrow" w:hAnsi="Arial Narrow"/>
                <w:sz w:val="20"/>
              </w:rPr>
              <w:t>d</w:t>
            </w:r>
            <w:r w:rsidR="005A55FB" w:rsidRPr="005A55FB">
              <w:rPr>
                <w:rFonts w:ascii="Arial Narrow" w:hAnsi="Arial Narrow"/>
                <w:sz w:val="20"/>
              </w:rPr>
              <w:t xml:space="preserve"> two health states, ‘alive with MDS’ and ‘dead’.  At entry to the model, a decision was made to start or not start chelation and the model follows these two cohorts, everyone starts in the ‘alive with MDS’ health state and may move to the ‘dead’ health state in each of the monthly cycles.</w:t>
            </w:r>
          </w:p>
        </w:tc>
      </w:tr>
      <w:tr w:rsidR="00503BC2" w:rsidRPr="00575319" w:rsidTr="00EF0512">
        <w:trPr>
          <w:trHeight w:val="225"/>
        </w:trPr>
        <w:tc>
          <w:tcPr>
            <w:tcW w:w="1418" w:type="dxa"/>
            <w:shd w:val="clear" w:color="auto" w:fill="auto"/>
            <w:vAlign w:val="center"/>
          </w:tcPr>
          <w:p w:rsidR="00503BC2" w:rsidRPr="00575319" w:rsidRDefault="00503BC2" w:rsidP="008B4A04">
            <w:pPr>
              <w:keepNext/>
              <w:widowControl/>
              <w:jc w:val="left"/>
              <w:rPr>
                <w:rFonts w:ascii="Arial Narrow" w:hAnsi="Arial Narrow"/>
                <w:sz w:val="20"/>
              </w:rPr>
            </w:pPr>
            <w:r w:rsidRPr="00575319">
              <w:rPr>
                <w:rFonts w:ascii="Arial Narrow" w:hAnsi="Arial Narrow"/>
                <w:sz w:val="20"/>
              </w:rPr>
              <w:t>Cycle length</w:t>
            </w:r>
          </w:p>
        </w:tc>
        <w:tc>
          <w:tcPr>
            <w:tcW w:w="6917" w:type="dxa"/>
            <w:shd w:val="clear" w:color="auto" w:fill="auto"/>
          </w:tcPr>
          <w:p w:rsidR="00503BC2" w:rsidRPr="00575319" w:rsidRDefault="00503BC2" w:rsidP="008B4A04">
            <w:pPr>
              <w:keepNext/>
              <w:widowControl/>
              <w:rPr>
                <w:rFonts w:ascii="Arial Narrow" w:hAnsi="Arial Narrow"/>
                <w:sz w:val="20"/>
              </w:rPr>
            </w:pPr>
            <w:r w:rsidRPr="00575319">
              <w:rPr>
                <w:rFonts w:ascii="Arial Narrow" w:hAnsi="Arial Narrow"/>
                <w:sz w:val="20"/>
              </w:rPr>
              <w:t>1 month (consisting of 30.4375 days)</w:t>
            </w:r>
          </w:p>
        </w:tc>
      </w:tr>
      <w:tr w:rsidR="00503BC2" w:rsidRPr="00575319" w:rsidTr="00EF0512">
        <w:trPr>
          <w:trHeight w:val="448"/>
        </w:trPr>
        <w:tc>
          <w:tcPr>
            <w:tcW w:w="1418" w:type="dxa"/>
            <w:shd w:val="clear" w:color="auto" w:fill="auto"/>
            <w:vAlign w:val="center"/>
          </w:tcPr>
          <w:p w:rsidR="00503BC2" w:rsidRPr="00575319" w:rsidRDefault="00503BC2" w:rsidP="008B4A04">
            <w:pPr>
              <w:keepNext/>
              <w:widowControl/>
              <w:jc w:val="left"/>
              <w:rPr>
                <w:rFonts w:ascii="Arial Narrow" w:hAnsi="Arial Narrow"/>
                <w:sz w:val="20"/>
              </w:rPr>
            </w:pPr>
            <w:r w:rsidRPr="00575319">
              <w:rPr>
                <w:rFonts w:ascii="Arial Narrow" w:hAnsi="Arial Narrow"/>
                <w:sz w:val="20"/>
              </w:rPr>
              <w:t>Transition probabilities</w:t>
            </w:r>
          </w:p>
        </w:tc>
        <w:tc>
          <w:tcPr>
            <w:tcW w:w="6917" w:type="dxa"/>
            <w:shd w:val="clear" w:color="auto" w:fill="auto"/>
          </w:tcPr>
          <w:p w:rsidR="00503BC2" w:rsidRPr="00575319" w:rsidRDefault="00503BC2" w:rsidP="008B4A04">
            <w:pPr>
              <w:keepNext/>
              <w:widowControl/>
              <w:rPr>
                <w:rFonts w:ascii="Arial Narrow" w:hAnsi="Arial Narrow"/>
                <w:sz w:val="20"/>
              </w:rPr>
            </w:pPr>
            <w:r w:rsidRPr="00575319">
              <w:rPr>
                <w:rFonts w:ascii="Arial Narrow" w:hAnsi="Arial Narrow"/>
                <w:sz w:val="20"/>
              </w:rPr>
              <w:t>The key transition is fro</w:t>
            </w:r>
            <w:r w:rsidR="005A4F7B">
              <w:rPr>
                <w:rFonts w:ascii="Arial Narrow" w:hAnsi="Arial Narrow"/>
                <w:sz w:val="20"/>
              </w:rPr>
              <w:t>m the</w:t>
            </w:r>
            <w:r w:rsidR="005A55FB">
              <w:rPr>
                <w:rFonts w:ascii="Arial Narrow" w:hAnsi="Arial Narrow"/>
                <w:sz w:val="20"/>
              </w:rPr>
              <w:t xml:space="preserve"> “alive with</w:t>
            </w:r>
            <w:r w:rsidR="005A4F7B">
              <w:rPr>
                <w:rFonts w:ascii="Arial Narrow" w:hAnsi="Arial Narrow"/>
                <w:sz w:val="20"/>
              </w:rPr>
              <w:t xml:space="preserve"> MDS</w:t>
            </w:r>
            <w:r w:rsidR="005A55FB">
              <w:rPr>
                <w:rFonts w:ascii="Arial Narrow" w:hAnsi="Arial Narrow"/>
                <w:sz w:val="20"/>
              </w:rPr>
              <w:t>”</w:t>
            </w:r>
            <w:r w:rsidR="005A4F7B">
              <w:rPr>
                <w:rFonts w:ascii="Arial Narrow" w:hAnsi="Arial Narrow"/>
                <w:sz w:val="20"/>
              </w:rPr>
              <w:t xml:space="preserve"> health state to </w:t>
            </w:r>
            <w:r w:rsidR="005A55FB">
              <w:rPr>
                <w:rFonts w:ascii="Arial Narrow" w:hAnsi="Arial Narrow"/>
                <w:sz w:val="20"/>
              </w:rPr>
              <w:t>“</w:t>
            </w:r>
            <w:r w:rsidR="005A4F7B">
              <w:rPr>
                <w:rFonts w:ascii="Arial Narrow" w:hAnsi="Arial Narrow"/>
                <w:sz w:val="20"/>
              </w:rPr>
              <w:t>de</w:t>
            </w:r>
            <w:r w:rsidR="005A55FB">
              <w:rPr>
                <w:rFonts w:ascii="Arial Narrow" w:hAnsi="Arial Narrow"/>
                <w:sz w:val="20"/>
              </w:rPr>
              <w:t>ad”</w:t>
            </w:r>
            <w:r w:rsidR="005A4F7B">
              <w:rPr>
                <w:rFonts w:ascii="Arial Narrow" w:hAnsi="Arial Narrow"/>
                <w:sz w:val="20"/>
              </w:rPr>
              <w:t xml:space="preserve">, </w:t>
            </w:r>
            <w:r w:rsidR="009848C4">
              <w:rPr>
                <w:rFonts w:ascii="Arial Narrow" w:hAnsi="Arial Narrow"/>
                <w:sz w:val="20"/>
              </w:rPr>
              <w:t>this wa</w:t>
            </w:r>
            <w:r w:rsidRPr="00575319">
              <w:rPr>
                <w:rFonts w:ascii="Arial Narrow" w:hAnsi="Arial Narrow"/>
                <w:sz w:val="20"/>
              </w:rPr>
              <w:t>s estimated to be:</w:t>
            </w:r>
          </w:p>
          <w:p w:rsidR="00503BC2" w:rsidRPr="0085338B" w:rsidRDefault="00503BC2" w:rsidP="008B4A04">
            <w:pPr>
              <w:pStyle w:val="ListParagraph"/>
              <w:keepNext/>
              <w:widowControl/>
              <w:numPr>
                <w:ilvl w:val="0"/>
                <w:numId w:val="38"/>
              </w:numPr>
              <w:tabs>
                <w:tab w:val="left" w:pos="232"/>
              </w:tabs>
              <w:ind w:left="224" w:hanging="224"/>
              <w:rPr>
                <w:rFonts w:ascii="Arial Narrow" w:hAnsi="Arial Narrow"/>
                <w:sz w:val="20"/>
              </w:rPr>
            </w:pPr>
            <w:r w:rsidRPr="00575319">
              <w:rPr>
                <w:rFonts w:ascii="Arial Narrow" w:hAnsi="Arial Narrow"/>
                <w:sz w:val="20"/>
              </w:rPr>
              <w:t>ICT treate</w:t>
            </w:r>
            <w:r w:rsidR="009848C4">
              <w:rPr>
                <w:rFonts w:ascii="Arial Narrow" w:hAnsi="Arial Narrow"/>
                <w:sz w:val="20"/>
              </w:rPr>
              <w:t xml:space="preserve">d: monthly rate of </w:t>
            </w:r>
            <w:r w:rsidR="009848C4" w:rsidRPr="001E2914">
              <w:rPr>
                <w:rFonts w:ascii="Arial Narrow" w:hAnsi="Arial Narrow"/>
                <w:sz w:val="20"/>
              </w:rPr>
              <w:t>0.018</w:t>
            </w:r>
            <w:r w:rsidR="009848C4">
              <w:rPr>
                <w:rFonts w:ascii="Arial Narrow" w:hAnsi="Arial Narrow"/>
                <w:sz w:val="20"/>
              </w:rPr>
              <w:t xml:space="preserve"> which wa</w:t>
            </w:r>
            <w:r w:rsidRPr="00575319">
              <w:rPr>
                <w:rFonts w:ascii="Arial Narrow" w:hAnsi="Arial Narrow"/>
                <w:sz w:val="20"/>
              </w:rPr>
              <w:t>s equivalent to p</w:t>
            </w:r>
            <w:r w:rsidR="005A4F7B">
              <w:rPr>
                <w:rFonts w:ascii="Arial Narrow" w:hAnsi="Arial Narrow"/>
                <w:sz w:val="20"/>
              </w:rPr>
              <w:t xml:space="preserve">er cycle probability of: </w:t>
            </w:r>
            <w:r w:rsidR="005A4F7B" w:rsidRPr="001E2914">
              <w:rPr>
                <w:rFonts w:ascii="Arial Narrow" w:hAnsi="Arial Narrow"/>
                <w:sz w:val="20"/>
              </w:rPr>
              <w:t>0.0186</w:t>
            </w:r>
            <w:r w:rsidR="005A4F7B">
              <w:rPr>
                <w:rFonts w:ascii="Arial Narrow" w:hAnsi="Arial Narrow"/>
                <w:sz w:val="20"/>
              </w:rPr>
              <w:t xml:space="preserve">, </w:t>
            </w:r>
            <w:r w:rsidR="00561EF6">
              <w:rPr>
                <w:rFonts w:ascii="Arial Narrow" w:hAnsi="Arial Narrow"/>
                <w:sz w:val="20"/>
              </w:rPr>
              <w:t xml:space="preserve">this was derived from a 10% PBS </w:t>
            </w:r>
            <w:r w:rsidR="007A5EF7">
              <w:rPr>
                <w:rFonts w:ascii="Arial Narrow" w:hAnsi="Arial Narrow"/>
                <w:sz w:val="20"/>
              </w:rPr>
              <w:t>population</w:t>
            </w:r>
            <w:r w:rsidR="00561EF6">
              <w:rPr>
                <w:rFonts w:ascii="Arial Narrow" w:hAnsi="Arial Narrow"/>
                <w:sz w:val="20"/>
              </w:rPr>
              <w:t xml:space="preserve"> who were treated with DFX, who were ≥55years at the time of their first script.  Survival was estimated from time of first script to recorded </w:t>
            </w:r>
            <w:r w:rsidR="00561EF6" w:rsidRPr="0085338B">
              <w:rPr>
                <w:rFonts w:ascii="Arial Narrow" w:hAnsi="Arial Narrow"/>
                <w:sz w:val="20"/>
              </w:rPr>
              <w:t>death using extreme-value regression analysis.</w:t>
            </w:r>
          </w:p>
          <w:p w:rsidR="003B5E6F" w:rsidRPr="00575319" w:rsidRDefault="00503BC2" w:rsidP="008B4A04">
            <w:pPr>
              <w:pStyle w:val="ListParagraph"/>
              <w:keepNext/>
              <w:widowControl/>
              <w:numPr>
                <w:ilvl w:val="0"/>
                <w:numId w:val="38"/>
              </w:numPr>
              <w:tabs>
                <w:tab w:val="left" w:pos="232"/>
              </w:tabs>
              <w:ind w:left="224" w:hanging="224"/>
              <w:rPr>
                <w:rFonts w:ascii="Arial Narrow" w:hAnsi="Arial Narrow"/>
                <w:sz w:val="20"/>
              </w:rPr>
            </w:pPr>
            <w:r w:rsidRPr="0085338B">
              <w:rPr>
                <w:rFonts w:ascii="Arial Narrow" w:hAnsi="Arial Narrow"/>
                <w:sz w:val="20"/>
              </w:rPr>
              <w:t xml:space="preserve">Not ICT treated: monthly rate of </w:t>
            </w:r>
            <w:r w:rsidR="00D57F00">
              <w:rPr>
                <w:rFonts w:ascii="Arial Narrow" w:hAnsi="Arial Narrow"/>
                <w:noProof/>
                <w:color w:val="000000"/>
                <w:sz w:val="20"/>
                <w:highlight w:val="black"/>
              </w:rPr>
              <w:t>''''''''''''''</w:t>
            </w:r>
            <w:r w:rsidRPr="0085338B">
              <w:rPr>
                <w:rFonts w:ascii="Arial Narrow" w:hAnsi="Arial Narrow"/>
                <w:sz w:val="20"/>
              </w:rPr>
              <w:t xml:space="preserve">/ HR of </w:t>
            </w:r>
            <w:r w:rsidR="00D57F00">
              <w:rPr>
                <w:rFonts w:ascii="Arial Narrow" w:hAnsi="Arial Narrow"/>
                <w:noProof/>
                <w:color w:val="000000"/>
                <w:sz w:val="20"/>
                <w:highlight w:val="black"/>
              </w:rPr>
              <w:t>'''''''''''</w:t>
            </w:r>
            <w:r w:rsidRPr="0085338B">
              <w:rPr>
                <w:rFonts w:ascii="Arial Narrow" w:hAnsi="Arial Narrow"/>
                <w:sz w:val="20"/>
              </w:rPr>
              <w:t xml:space="preserve"> (</w:t>
            </w:r>
            <w:r w:rsidR="00742A70" w:rsidRPr="0085338B">
              <w:rPr>
                <w:rFonts w:ascii="Arial Narrow" w:hAnsi="Arial Narrow"/>
                <w:sz w:val="20"/>
              </w:rPr>
              <w:t>i.e.</w:t>
            </w:r>
            <w:r w:rsidRPr="0085338B">
              <w:rPr>
                <w:rFonts w:ascii="Arial Narrow" w:hAnsi="Arial Narrow"/>
                <w:sz w:val="20"/>
              </w:rPr>
              <w:t xml:space="preserve"> 0.22</w:t>
            </w:r>
            <w:r w:rsidRPr="0085338B">
              <w:t xml:space="preserve"> </w:t>
            </w:r>
            <w:r w:rsidRPr="0085338B">
              <w:rPr>
                <w:rFonts w:ascii="Arial Narrow" w:hAnsi="Arial Narrow"/>
                <w:sz w:val="20"/>
              </w:rPr>
              <w:t xml:space="preserve">0.0238) equating to a per cycle probability of: </w:t>
            </w:r>
            <w:r w:rsidR="00D57F00">
              <w:rPr>
                <w:rFonts w:ascii="Arial Narrow" w:hAnsi="Arial Narrow"/>
                <w:noProof/>
                <w:color w:val="000000"/>
                <w:sz w:val="20"/>
                <w:highlight w:val="black"/>
              </w:rPr>
              <w:t>'''''''''''''''</w:t>
            </w:r>
            <w:r w:rsidRPr="0085338B">
              <w:rPr>
                <w:rFonts w:ascii="Arial Narrow" w:hAnsi="Arial Narrow"/>
                <w:sz w:val="20"/>
              </w:rPr>
              <w:t>.</w:t>
            </w:r>
            <w:r w:rsidR="008E078B" w:rsidRPr="0085338B">
              <w:rPr>
                <w:rFonts w:ascii="Arial Narrow" w:hAnsi="Arial Narrow"/>
                <w:sz w:val="20"/>
              </w:rPr>
              <w:t xml:space="preserve"> </w:t>
            </w:r>
            <w:r w:rsidR="003B5E6F" w:rsidRPr="0085338B">
              <w:rPr>
                <w:rFonts w:ascii="Arial Narrow" w:hAnsi="Arial Narrow"/>
                <w:sz w:val="20"/>
              </w:rPr>
              <w:t>The HR was derived from the MORE registry IPD analyses comparing patients who</w:t>
            </w:r>
            <w:r w:rsidR="003B5E6F" w:rsidRPr="001E2914">
              <w:rPr>
                <w:rFonts w:ascii="Arial Narrow" w:hAnsi="Arial Narrow"/>
                <w:sz w:val="20"/>
              </w:rPr>
              <w:t xml:space="preserve"> were</w:t>
            </w:r>
            <w:r w:rsidR="003B5E6F">
              <w:rPr>
                <w:rFonts w:ascii="Arial Narrow" w:hAnsi="Arial Narrow"/>
                <w:sz w:val="20"/>
              </w:rPr>
              <w:t xml:space="preserve"> treated with ICT and those that were not and adjusting for some potential confounders.</w:t>
            </w:r>
          </w:p>
          <w:p w:rsidR="00503BC2" w:rsidRPr="00575319" w:rsidRDefault="00503BC2" w:rsidP="008B4A04">
            <w:pPr>
              <w:pStyle w:val="ListParagraph"/>
              <w:keepNext/>
              <w:widowControl/>
              <w:numPr>
                <w:ilvl w:val="0"/>
                <w:numId w:val="38"/>
              </w:numPr>
              <w:tabs>
                <w:tab w:val="left" w:pos="232"/>
              </w:tabs>
              <w:ind w:left="224" w:hanging="224"/>
              <w:rPr>
                <w:rFonts w:ascii="Arial Narrow" w:hAnsi="Arial Narrow"/>
                <w:sz w:val="20"/>
              </w:rPr>
            </w:pPr>
            <w:r w:rsidRPr="00575319">
              <w:rPr>
                <w:rFonts w:ascii="Arial Narrow" w:hAnsi="Arial Narrow"/>
                <w:sz w:val="20"/>
              </w:rPr>
              <w:t xml:space="preserve">Half cycle corrections </w:t>
            </w:r>
            <w:r w:rsidR="009848C4">
              <w:rPr>
                <w:rFonts w:ascii="Arial Narrow" w:hAnsi="Arial Narrow"/>
                <w:sz w:val="20"/>
              </w:rPr>
              <w:t>we</w:t>
            </w:r>
            <w:r w:rsidRPr="00575319">
              <w:rPr>
                <w:rFonts w:ascii="Arial Narrow" w:hAnsi="Arial Narrow"/>
                <w:sz w:val="20"/>
              </w:rPr>
              <w:t>re applied to the time spent in each health state and</w:t>
            </w:r>
            <w:r w:rsidR="008E078B">
              <w:rPr>
                <w:rFonts w:ascii="Arial Narrow" w:hAnsi="Arial Narrow"/>
                <w:sz w:val="20"/>
              </w:rPr>
              <w:t xml:space="preserve"> the </w:t>
            </w:r>
            <w:r w:rsidRPr="00575319">
              <w:rPr>
                <w:rFonts w:ascii="Arial Narrow" w:hAnsi="Arial Narrow"/>
                <w:sz w:val="20"/>
              </w:rPr>
              <w:t>costs and complications of AML but not for the cost of DFX, which is assumed to occur for all patients at the start of each model cycle.</w:t>
            </w:r>
            <w:r w:rsidR="009B1A51">
              <w:rPr>
                <w:rFonts w:ascii="Arial Narrow" w:hAnsi="Arial Narrow"/>
                <w:sz w:val="20"/>
              </w:rPr>
              <w:t xml:space="preserve"> </w:t>
            </w:r>
          </w:p>
        </w:tc>
      </w:tr>
      <w:tr w:rsidR="00503BC2" w:rsidRPr="00575319" w:rsidTr="00EF0512">
        <w:trPr>
          <w:trHeight w:val="240"/>
        </w:trPr>
        <w:tc>
          <w:tcPr>
            <w:tcW w:w="1418" w:type="dxa"/>
            <w:shd w:val="clear" w:color="auto" w:fill="auto"/>
            <w:vAlign w:val="center"/>
          </w:tcPr>
          <w:p w:rsidR="00503BC2" w:rsidRPr="00575319" w:rsidRDefault="00503BC2" w:rsidP="007478B9">
            <w:pPr>
              <w:widowControl/>
              <w:jc w:val="left"/>
              <w:rPr>
                <w:rFonts w:ascii="Arial Narrow" w:hAnsi="Arial Narrow"/>
                <w:sz w:val="20"/>
              </w:rPr>
            </w:pPr>
            <w:r w:rsidRPr="00575319">
              <w:rPr>
                <w:rFonts w:ascii="Arial Narrow" w:hAnsi="Arial Narrow"/>
                <w:sz w:val="20"/>
              </w:rPr>
              <w:t>Discount rate</w:t>
            </w:r>
          </w:p>
        </w:tc>
        <w:tc>
          <w:tcPr>
            <w:tcW w:w="6917" w:type="dxa"/>
            <w:shd w:val="clear" w:color="auto" w:fill="auto"/>
          </w:tcPr>
          <w:p w:rsidR="00503BC2" w:rsidRPr="00575319" w:rsidRDefault="00503BC2" w:rsidP="007478B9">
            <w:pPr>
              <w:widowControl/>
              <w:rPr>
                <w:rFonts w:ascii="Arial Narrow" w:hAnsi="Arial Narrow"/>
                <w:sz w:val="20"/>
              </w:rPr>
            </w:pPr>
            <w:r w:rsidRPr="00575319">
              <w:rPr>
                <w:rFonts w:ascii="Arial Narrow" w:hAnsi="Arial Narrow"/>
                <w:sz w:val="20"/>
              </w:rPr>
              <w:t>5% for costs and outcomes</w:t>
            </w:r>
          </w:p>
        </w:tc>
      </w:tr>
      <w:tr w:rsidR="00503BC2" w:rsidRPr="00575319" w:rsidTr="00EF0512">
        <w:trPr>
          <w:trHeight w:val="225"/>
        </w:trPr>
        <w:tc>
          <w:tcPr>
            <w:tcW w:w="1418" w:type="dxa"/>
            <w:shd w:val="clear" w:color="auto" w:fill="auto"/>
            <w:vAlign w:val="center"/>
          </w:tcPr>
          <w:p w:rsidR="00503BC2" w:rsidRPr="00575319" w:rsidRDefault="00503BC2" w:rsidP="007478B9">
            <w:pPr>
              <w:widowControl/>
              <w:jc w:val="left"/>
              <w:rPr>
                <w:rFonts w:ascii="Arial Narrow" w:hAnsi="Arial Narrow"/>
                <w:sz w:val="20"/>
              </w:rPr>
            </w:pPr>
            <w:r w:rsidRPr="00575319">
              <w:rPr>
                <w:rFonts w:ascii="Arial Narrow" w:hAnsi="Arial Narrow"/>
                <w:sz w:val="20"/>
              </w:rPr>
              <w:t>Software package</w:t>
            </w:r>
          </w:p>
        </w:tc>
        <w:tc>
          <w:tcPr>
            <w:tcW w:w="6917" w:type="dxa"/>
            <w:shd w:val="clear" w:color="auto" w:fill="auto"/>
          </w:tcPr>
          <w:p w:rsidR="00503BC2" w:rsidRPr="00575319" w:rsidRDefault="00503BC2" w:rsidP="007478B9">
            <w:pPr>
              <w:widowControl/>
              <w:rPr>
                <w:rFonts w:ascii="Arial Narrow" w:hAnsi="Arial Narrow"/>
                <w:sz w:val="20"/>
              </w:rPr>
            </w:pPr>
            <w:r w:rsidRPr="00575319">
              <w:rPr>
                <w:rFonts w:ascii="Arial Narrow" w:hAnsi="Arial Narrow"/>
                <w:sz w:val="20"/>
              </w:rPr>
              <w:t>Excel 2010, v.14.0</w:t>
            </w:r>
          </w:p>
        </w:tc>
      </w:tr>
    </w:tbl>
    <w:p w:rsidR="00503BC2" w:rsidRPr="00575319" w:rsidRDefault="00503BC2" w:rsidP="007478B9">
      <w:pPr>
        <w:pStyle w:val="TableFooter"/>
        <w:widowControl/>
        <w:ind w:left="709"/>
      </w:pPr>
      <w:r w:rsidRPr="00575319">
        <w:t>Source: constructed during the evaluation</w:t>
      </w:r>
    </w:p>
    <w:p w:rsidR="00666194" w:rsidRPr="00576F4D" w:rsidRDefault="00666194" w:rsidP="007478B9">
      <w:pPr>
        <w:widowControl/>
        <w:rPr>
          <w:sz w:val="14"/>
          <w:szCs w:val="22"/>
        </w:rPr>
      </w:pPr>
    </w:p>
    <w:p w:rsidR="00666194" w:rsidRPr="00575319" w:rsidRDefault="00CE2BD6" w:rsidP="007478B9">
      <w:pPr>
        <w:pStyle w:val="ListParagraph"/>
        <w:widowControl/>
        <w:numPr>
          <w:ilvl w:val="1"/>
          <w:numId w:val="4"/>
        </w:numPr>
        <w:rPr>
          <w:szCs w:val="22"/>
        </w:rPr>
      </w:pPr>
      <w:r w:rsidRPr="00575319">
        <w:t xml:space="preserve">Key drivers of the model are summarised in Table </w:t>
      </w:r>
      <w:r w:rsidR="009F3929">
        <w:t>8</w:t>
      </w:r>
      <w:r w:rsidRPr="00575319">
        <w:t>.</w:t>
      </w:r>
    </w:p>
    <w:p w:rsidR="00AF4382" w:rsidRPr="00576F4D" w:rsidRDefault="00AF4382" w:rsidP="007478B9">
      <w:pPr>
        <w:pStyle w:val="ListParagraph"/>
        <w:widowControl/>
        <w:rPr>
          <w:sz w:val="12"/>
          <w:szCs w:val="22"/>
        </w:rPr>
      </w:pPr>
    </w:p>
    <w:p w:rsidR="00666194" w:rsidRPr="00575319" w:rsidRDefault="009F3929" w:rsidP="008B4A04">
      <w:pPr>
        <w:keepNext/>
        <w:widowControl/>
        <w:ind w:firstLine="720"/>
        <w:rPr>
          <w:rStyle w:val="CommentReference"/>
        </w:rPr>
      </w:pPr>
      <w:r>
        <w:rPr>
          <w:rStyle w:val="CommentReference"/>
        </w:rPr>
        <w:t>Table 8</w:t>
      </w:r>
      <w:r w:rsidR="00666194" w:rsidRPr="00575319">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3119"/>
        <w:gridCol w:w="3099"/>
      </w:tblGrid>
      <w:tr w:rsidR="00666194" w:rsidRPr="00575319" w:rsidTr="005F69BA">
        <w:trPr>
          <w:tblHeader/>
        </w:trPr>
        <w:tc>
          <w:tcPr>
            <w:tcW w:w="1274" w:type="pct"/>
            <w:shd w:val="clear" w:color="auto" w:fill="auto"/>
            <w:vAlign w:val="center"/>
          </w:tcPr>
          <w:p w:rsidR="00666194" w:rsidRPr="00575319" w:rsidRDefault="00666194" w:rsidP="008B4A04">
            <w:pPr>
              <w:keepNext/>
              <w:widowControl/>
              <w:jc w:val="left"/>
              <w:rPr>
                <w:rFonts w:ascii="Arial Narrow" w:hAnsi="Arial Narrow"/>
                <w:b/>
                <w:sz w:val="20"/>
              </w:rPr>
            </w:pPr>
            <w:r w:rsidRPr="00575319">
              <w:rPr>
                <w:rFonts w:ascii="Arial Narrow" w:hAnsi="Arial Narrow"/>
                <w:b/>
                <w:sz w:val="20"/>
              </w:rPr>
              <w:t>Description</w:t>
            </w:r>
          </w:p>
        </w:tc>
        <w:tc>
          <w:tcPr>
            <w:tcW w:w="1868" w:type="pct"/>
            <w:shd w:val="clear" w:color="auto" w:fill="auto"/>
            <w:vAlign w:val="center"/>
          </w:tcPr>
          <w:p w:rsidR="00666194" w:rsidRPr="00575319" w:rsidRDefault="00666194" w:rsidP="008B4A04">
            <w:pPr>
              <w:keepNext/>
              <w:widowControl/>
              <w:jc w:val="center"/>
              <w:rPr>
                <w:rFonts w:ascii="Arial Narrow" w:hAnsi="Arial Narrow"/>
                <w:b/>
                <w:sz w:val="20"/>
              </w:rPr>
            </w:pPr>
            <w:r w:rsidRPr="00575319">
              <w:rPr>
                <w:rFonts w:ascii="Arial Narrow" w:hAnsi="Arial Narrow"/>
                <w:b/>
                <w:sz w:val="20"/>
              </w:rPr>
              <w:t>Method/Value</w:t>
            </w:r>
          </w:p>
        </w:tc>
        <w:tc>
          <w:tcPr>
            <w:tcW w:w="1857" w:type="pct"/>
            <w:shd w:val="clear" w:color="auto" w:fill="auto"/>
            <w:vAlign w:val="center"/>
          </w:tcPr>
          <w:p w:rsidR="00666194" w:rsidRPr="00575319" w:rsidRDefault="00666194" w:rsidP="008B4A04">
            <w:pPr>
              <w:keepNext/>
              <w:widowControl/>
              <w:jc w:val="center"/>
              <w:rPr>
                <w:rFonts w:ascii="Arial Narrow" w:hAnsi="Arial Narrow"/>
                <w:b/>
                <w:sz w:val="20"/>
              </w:rPr>
            </w:pPr>
            <w:r w:rsidRPr="00575319">
              <w:rPr>
                <w:rFonts w:ascii="Arial Narrow" w:hAnsi="Arial Narrow"/>
                <w:b/>
                <w:sz w:val="20"/>
              </w:rPr>
              <w:t>Impact</w:t>
            </w:r>
          </w:p>
        </w:tc>
      </w:tr>
      <w:tr w:rsidR="00666194" w:rsidRPr="00575319" w:rsidTr="005F69BA">
        <w:tc>
          <w:tcPr>
            <w:tcW w:w="1274" w:type="pct"/>
            <w:shd w:val="clear" w:color="auto" w:fill="auto"/>
            <w:vAlign w:val="center"/>
          </w:tcPr>
          <w:p w:rsidR="00666194" w:rsidRPr="00575319" w:rsidRDefault="00503BC2" w:rsidP="008B4A04">
            <w:pPr>
              <w:keepNext/>
              <w:widowControl/>
              <w:jc w:val="left"/>
              <w:rPr>
                <w:rFonts w:ascii="Arial Narrow" w:hAnsi="Arial Narrow"/>
                <w:sz w:val="20"/>
              </w:rPr>
            </w:pPr>
            <w:r w:rsidRPr="00575319">
              <w:rPr>
                <w:rFonts w:ascii="Arial Narrow" w:hAnsi="Arial Narrow"/>
                <w:sz w:val="20"/>
              </w:rPr>
              <w:t>Assumed transition probabilities for chelated and non-chelated patients from alive with MDS to dead health states</w:t>
            </w:r>
            <w:r w:rsidR="008E078B">
              <w:rPr>
                <w:rFonts w:ascii="Arial Narrow" w:hAnsi="Arial Narrow"/>
                <w:sz w:val="20"/>
              </w:rPr>
              <w:t>.</w:t>
            </w:r>
          </w:p>
        </w:tc>
        <w:tc>
          <w:tcPr>
            <w:tcW w:w="1868" w:type="pct"/>
            <w:shd w:val="clear" w:color="auto" w:fill="auto"/>
            <w:vAlign w:val="center"/>
          </w:tcPr>
          <w:p w:rsidR="00666194" w:rsidRPr="00575319" w:rsidRDefault="00503BC2" w:rsidP="008B4A04">
            <w:pPr>
              <w:keepNext/>
              <w:widowControl/>
              <w:jc w:val="left"/>
              <w:rPr>
                <w:rFonts w:ascii="Arial Narrow" w:hAnsi="Arial Narrow"/>
                <w:sz w:val="20"/>
              </w:rPr>
            </w:pPr>
            <w:r w:rsidRPr="00575319">
              <w:rPr>
                <w:rFonts w:ascii="Arial Narrow" w:hAnsi="Arial Narrow"/>
                <w:sz w:val="20"/>
              </w:rPr>
              <w:t xml:space="preserve">The transition probabilities were jointly determined from both the 10% PBS population (which informed the baseline risk of death in those treated with DFX) </w:t>
            </w:r>
            <w:r w:rsidRPr="00531F6C">
              <w:rPr>
                <w:rFonts w:ascii="Arial Narrow" w:hAnsi="Arial Narrow"/>
                <w:sz w:val="20"/>
              </w:rPr>
              <w:t>and the MORE</w:t>
            </w:r>
            <w:r w:rsidRPr="002C3543">
              <w:rPr>
                <w:rFonts w:ascii="Arial Narrow" w:hAnsi="Arial Narrow"/>
                <w:sz w:val="20"/>
              </w:rPr>
              <w:t xml:space="preserve"> registry</w:t>
            </w:r>
            <w:r w:rsidRPr="00531F6C">
              <w:rPr>
                <w:rFonts w:ascii="Arial Narrow" w:hAnsi="Arial Narrow"/>
                <w:sz w:val="20"/>
              </w:rPr>
              <w:t xml:space="preserve"> data</w:t>
            </w:r>
            <w:r w:rsidRPr="00575319">
              <w:rPr>
                <w:rFonts w:ascii="Arial Narrow" w:hAnsi="Arial Narrow"/>
                <w:sz w:val="20"/>
              </w:rPr>
              <w:t xml:space="preserve"> (informing the HR of ICT versus no ICT on survival).</w:t>
            </w:r>
          </w:p>
        </w:tc>
        <w:tc>
          <w:tcPr>
            <w:tcW w:w="1857" w:type="pct"/>
            <w:shd w:val="clear" w:color="auto" w:fill="auto"/>
            <w:vAlign w:val="center"/>
          </w:tcPr>
          <w:p w:rsidR="00666194" w:rsidRPr="00575319" w:rsidRDefault="00503BC2" w:rsidP="008B4A04">
            <w:pPr>
              <w:keepNext/>
              <w:widowControl/>
              <w:jc w:val="left"/>
              <w:rPr>
                <w:rFonts w:ascii="Arial Narrow" w:hAnsi="Arial Narrow"/>
                <w:sz w:val="20"/>
              </w:rPr>
            </w:pPr>
            <w:r w:rsidRPr="00575319">
              <w:rPr>
                <w:rFonts w:ascii="Arial Narrow" w:hAnsi="Arial Narrow"/>
                <w:sz w:val="20"/>
              </w:rPr>
              <w:t>High.  If ICT does not impact on survival outcomes in MDS, then ICT treatment will be dominated by BSC.</w:t>
            </w:r>
            <w:r w:rsidR="008E078B">
              <w:rPr>
                <w:rFonts w:ascii="Arial Narrow" w:hAnsi="Arial Narrow"/>
                <w:sz w:val="20"/>
              </w:rPr>
              <w:t xml:space="preserve">  </w:t>
            </w:r>
            <w:r w:rsidR="003B5E6F">
              <w:rPr>
                <w:rFonts w:ascii="Arial Narrow" w:hAnsi="Arial Narrow"/>
                <w:sz w:val="20"/>
              </w:rPr>
              <w:t>In addition, relatively small fluctuations in HR can cause a large change in the ICER</w:t>
            </w:r>
            <w:r w:rsidR="007A5EF7">
              <w:rPr>
                <w:rFonts w:ascii="Arial Narrow" w:hAnsi="Arial Narrow"/>
                <w:sz w:val="20"/>
              </w:rPr>
              <w:t>.</w:t>
            </w:r>
            <w:r w:rsidR="003B5E6F">
              <w:rPr>
                <w:rFonts w:ascii="Arial Narrow" w:hAnsi="Arial Narrow"/>
                <w:sz w:val="20"/>
              </w:rPr>
              <w:t xml:space="preserve"> </w:t>
            </w:r>
          </w:p>
        </w:tc>
      </w:tr>
      <w:tr w:rsidR="00666194" w:rsidRPr="00575319" w:rsidTr="005F69BA">
        <w:tc>
          <w:tcPr>
            <w:tcW w:w="1274" w:type="pct"/>
            <w:shd w:val="clear" w:color="auto" w:fill="auto"/>
            <w:vAlign w:val="center"/>
          </w:tcPr>
          <w:p w:rsidR="00666194" w:rsidRPr="00575319" w:rsidRDefault="00503BC2" w:rsidP="008B4A04">
            <w:pPr>
              <w:keepNext/>
              <w:widowControl/>
              <w:jc w:val="left"/>
              <w:rPr>
                <w:rFonts w:ascii="Arial Narrow" w:hAnsi="Arial Narrow"/>
                <w:sz w:val="20"/>
              </w:rPr>
            </w:pPr>
            <w:r w:rsidRPr="00575319">
              <w:rPr>
                <w:rFonts w:ascii="Arial Narrow" w:hAnsi="Arial Narrow"/>
                <w:sz w:val="20"/>
              </w:rPr>
              <w:t>Utility assumed for the MDS health state</w:t>
            </w:r>
          </w:p>
        </w:tc>
        <w:tc>
          <w:tcPr>
            <w:tcW w:w="1868" w:type="pct"/>
            <w:shd w:val="clear" w:color="auto" w:fill="auto"/>
            <w:vAlign w:val="center"/>
          </w:tcPr>
          <w:p w:rsidR="00666194" w:rsidRPr="009848C4" w:rsidRDefault="0000067F" w:rsidP="009B5FE4">
            <w:pPr>
              <w:keepNext/>
              <w:widowControl/>
              <w:jc w:val="left"/>
              <w:rPr>
                <w:rFonts w:ascii="Arial Narrow" w:hAnsi="Arial Narrow"/>
                <w:sz w:val="20"/>
              </w:rPr>
            </w:pPr>
            <w:r w:rsidRPr="009848C4">
              <w:rPr>
                <w:rFonts w:ascii="Arial Narrow" w:hAnsi="Arial Narrow"/>
                <w:sz w:val="20"/>
              </w:rPr>
              <w:t>B</w:t>
            </w:r>
            <w:r w:rsidR="00B827FA" w:rsidRPr="009848C4">
              <w:rPr>
                <w:rFonts w:ascii="Arial Narrow" w:hAnsi="Arial Narrow"/>
                <w:sz w:val="20"/>
              </w:rPr>
              <w:t xml:space="preserve">ase case utility of 0.84 for ‘alive with MDS’ for both the ICT and no ICT patient groups (derived from Karnon 2008) for DFX in treatment of patient of </w:t>
            </w:r>
            <w:r w:rsidR="00575755">
              <w:rPr>
                <w:rFonts w:ascii="Arial Narrow" w:hAnsi="Arial Narrow"/>
                <w:sz w:val="20"/>
              </w:rPr>
              <w:t>iron overload</w:t>
            </w:r>
            <w:r w:rsidR="00B827FA" w:rsidRPr="009848C4">
              <w:rPr>
                <w:rFonts w:ascii="Arial Narrow" w:hAnsi="Arial Narrow"/>
                <w:sz w:val="20"/>
              </w:rPr>
              <w:t xml:space="preserve">. </w:t>
            </w:r>
            <w:r w:rsidR="00936AAA" w:rsidRPr="009848C4">
              <w:rPr>
                <w:rFonts w:ascii="Arial Narrow" w:hAnsi="Arial Narrow"/>
                <w:sz w:val="20"/>
              </w:rPr>
              <w:t>The ESC considered this utility to be unreasonable as it was derived in the context of children with thalassemia and was not applicable to the requested population and indication.</w:t>
            </w:r>
            <w:r w:rsidR="00B827FA" w:rsidRPr="009848C4">
              <w:rPr>
                <w:rFonts w:ascii="Arial Narrow" w:hAnsi="Arial Narrow"/>
                <w:sz w:val="20"/>
              </w:rPr>
              <w:t xml:space="preserve"> During the evaluation, some additional references reporting relevant HRQoL in MDS were identified.  Szende (2009)</w:t>
            </w:r>
            <w:r w:rsidR="00B827FA" w:rsidRPr="009848C4">
              <w:rPr>
                <w:rStyle w:val="FootnoteReference"/>
                <w:rFonts w:ascii="Arial Narrow" w:hAnsi="Arial Narrow"/>
                <w:sz w:val="20"/>
              </w:rPr>
              <w:footnoteReference w:id="1"/>
            </w:r>
            <w:r w:rsidR="00B827FA" w:rsidRPr="009848C4">
              <w:rPr>
                <w:rFonts w:ascii="Arial Narrow" w:hAnsi="Arial Narrow"/>
                <w:sz w:val="20"/>
              </w:rPr>
              <w:t xml:space="preserve"> reported the results of EQ-5D health state utilities for patients with MDS based on patients’ transfusion status.  A health state utility of 0.60 was estimated for patients who are transfusion dependent with MDS, which would also describe patients in the health state.</w:t>
            </w:r>
            <w:r w:rsidR="009B5FE4">
              <w:rPr>
                <w:rFonts w:ascii="Arial Narrow" w:hAnsi="Arial Narrow"/>
                <w:sz w:val="20"/>
              </w:rPr>
              <w:t xml:space="preserve"> The PSCR</w:t>
            </w:r>
            <w:r w:rsidR="00EF0512" w:rsidRPr="009848C4">
              <w:rPr>
                <w:rFonts w:ascii="Arial Narrow" w:hAnsi="Arial Narrow"/>
                <w:sz w:val="20"/>
              </w:rPr>
              <w:t xml:space="preserve"> </w:t>
            </w:r>
            <w:r w:rsidR="009B1A51" w:rsidRPr="009848C4">
              <w:rPr>
                <w:rFonts w:ascii="Arial Narrow" w:hAnsi="Arial Narrow"/>
                <w:sz w:val="20"/>
              </w:rPr>
              <w:t xml:space="preserve">suggested another utility value of 0.78 from Szende et al (2009). Given </w:t>
            </w:r>
            <w:r w:rsidR="00BC2DF9" w:rsidRPr="009848C4">
              <w:rPr>
                <w:rFonts w:ascii="Arial Narrow" w:hAnsi="Arial Narrow"/>
                <w:sz w:val="20"/>
              </w:rPr>
              <w:t>the</w:t>
            </w:r>
            <w:r w:rsidR="009B1A51" w:rsidRPr="009848C4">
              <w:rPr>
                <w:rFonts w:ascii="Arial Narrow" w:hAnsi="Arial Narrow"/>
                <w:sz w:val="20"/>
              </w:rPr>
              <w:t xml:space="preserve"> </w:t>
            </w:r>
            <w:r w:rsidR="008C2734" w:rsidRPr="009848C4">
              <w:rPr>
                <w:rFonts w:ascii="Arial Narrow" w:hAnsi="Arial Narrow"/>
                <w:sz w:val="20"/>
              </w:rPr>
              <w:t xml:space="preserve">advanced </w:t>
            </w:r>
            <w:r w:rsidR="009B1A51" w:rsidRPr="009848C4">
              <w:rPr>
                <w:rFonts w:ascii="Arial Narrow" w:hAnsi="Arial Narrow"/>
                <w:sz w:val="20"/>
              </w:rPr>
              <w:t xml:space="preserve">age of the patients and the fact that they are </w:t>
            </w:r>
            <w:r w:rsidR="008C2734" w:rsidRPr="009848C4">
              <w:rPr>
                <w:rFonts w:ascii="Arial Narrow" w:hAnsi="Arial Narrow"/>
                <w:sz w:val="20"/>
              </w:rPr>
              <w:t xml:space="preserve">transfusion dependent, </w:t>
            </w:r>
            <w:r w:rsidR="009B1A51" w:rsidRPr="009848C4">
              <w:rPr>
                <w:rFonts w:ascii="Arial Narrow" w:hAnsi="Arial Narrow"/>
                <w:sz w:val="20"/>
              </w:rPr>
              <w:t xml:space="preserve">the ESC considered that a utility value of 0.78 may be considered optimistic as well. </w:t>
            </w:r>
          </w:p>
        </w:tc>
        <w:tc>
          <w:tcPr>
            <w:tcW w:w="1857" w:type="pct"/>
            <w:shd w:val="clear" w:color="auto" w:fill="auto"/>
            <w:vAlign w:val="center"/>
          </w:tcPr>
          <w:p w:rsidR="00666194" w:rsidRPr="009848C4" w:rsidRDefault="00B827FA" w:rsidP="008B4A04">
            <w:pPr>
              <w:keepNext/>
              <w:widowControl/>
              <w:jc w:val="left"/>
              <w:rPr>
                <w:rFonts w:ascii="Arial Narrow" w:hAnsi="Arial Narrow"/>
                <w:sz w:val="20"/>
              </w:rPr>
            </w:pPr>
            <w:r w:rsidRPr="009848C4">
              <w:rPr>
                <w:rFonts w:ascii="Arial Narrow" w:hAnsi="Arial Narrow"/>
                <w:sz w:val="20"/>
              </w:rPr>
              <w:t xml:space="preserve">The model </w:t>
            </w:r>
            <w:r w:rsidR="009848C4">
              <w:rPr>
                <w:rFonts w:ascii="Arial Narrow" w:hAnsi="Arial Narrow"/>
                <w:sz w:val="20"/>
              </w:rPr>
              <w:t>wa</w:t>
            </w:r>
            <w:r w:rsidRPr="009848C4">
              <w:rPr>
                <w:rFonts w:ascii="Arial Narrow" w:hAnsi="Arial Narrow"/>
                <w:sz w:val="20"/>
              </w:rPr>
              <w:t>s sensit</w:t>
            </w:r>
            <w:r w:rsidR="00C62F53" w:rsidRPr="009848C4">
              <w:rPr>
                <w:rFonts w:ascii="Arial Narrow" w:hAnsi="Arial Narrow"/>
                <w:sz w:val="20"/>
              </w:rPr>
              <w:t>ive to the assumed utility of</w:t>
            </w:r>
            <w:r w:rsidRPr="009848C4">
              <w:rPr>
                <w:rFonts w:ascii="Arial Narrow" w:hAnsi="Arial Narrow"/>
                <w:sz w:val="20"/>
              </w:rPr>
              <w:t xml:space="preserve"> patients with MDS.</w:t>
            </w:r>
          </w:p>
        </w:tc>
      </w:tr>
      <w:tr w:rsidR="00666194" w:rsidRPr="00575319" w:rsidTr="005F69BA">
        <w:tc>
          <w:tcPr>
            <w:tcW w:w="1274" w:type="pct"/>
            <w:shd w:val="clear" w:color="auto" w:fill="auto"/>
            <w:vAlign w:val="center"/>
          </w:tcPr>
          <w:p w:rsidR="00666194" w:rsidRPr="00575319" w:rsidRDefault="00B827FA" w:rsidP="008B4A04">
            <w:pPr>
              <w:keepNext/>
              <w:widowControl/>
              <w:jc w:val="left"/>
              <w:rPr>
                <w:rFonts w:ascii="Arial Narrow" w:hAnsi="Arial Narrow"/>
                <w:sz w:val="20"/>
              </w:rPr>
            </w:pPr>
            <w:r w:rsidRPr="00575319">
              <w:rPr>
                <w:rFonts w:ascii="Arial Narrow" w:hAnsi="Arial Narrow"/>
                <w:sz w:val="20"/>
              </w:rPr>
              <w:t>Time horizon</w:t>
            </w:r>
          </w:p>
        </w:tc>
        <w:tc>
          <w:tcPr>
            <w:tcW w:w="1868" w:type="pct"/>
            <w:shd w:val="clear" w:color="auto" w:fill="auto"/>
            <w:vAlign w:val="center"/>
          </w:tcPr>
          <w:p w:rsidR="00666194" w:rsidRPr="00575319" w:rsidRDefault="009848C4" w:rsidP="008B4A04">
            <w:pPr>
              <w:keepNext/>
              <w:widowControl/>
              <w:jc w:val="left"/>
              <w:rPr>
                <w:rFonts w:ascii="Arial Narrow" w:hAnsi="Arial Narrow"/>
                <w:sz w:val="20"/>
              </w:rPr>
            </w:pPr>
            <w:r>
              <w:rPr>
                <w:rFonts w:ascii="Arial Narrow" w:hAnsi="Arial Narrow"/>
                <w:sz w:val="20"/>
              </w:rPr>
              <w:t>10 years wa</w:t>
            </w:r>
            <w:r w:rsidR="00B827FA" w:rsidRPr="00575319">
              <w:rPr>
                <w:rFonts w:ascii="Arial Narrow" w:hAnsi="Arial Narrow"/>
                <w:sz w:val="20"/>
              </w:rPr>
              <w:t xml:space="preserve">s assumed in the base case. </w:t>
            </w:r>
            <w:r w:rsidR="003B5E6F">
              <w:rPr>
                <w:rFonts w:ascii="Arial Narrow" w:hAnsi="Arial Narrow"/>
                <w:sz w:val="20"/>
              </w:rPr>
              <w:t xml:space="preserve"> </w:t>
            </w:r>
          </w:p>
        </w:tc>
        <w:tc>
          <w:tcPr>
            <w:tcW w:w="1857" w:type="pct"/>
            <w:shd w:val="clear" w:color="auto" w:fill="auto"/>
            <w:vAlign w:val="center"/>
          </w:tcPr>
          <w:p w:rsidR="00666194" w:rsidRPr="00575319" w:rsidRDefault="003B5E6F" w:rsidP="008B4A04">
            <w:pPr>
              <w:keepNext/>
              <w:widowControl/>
              <w:jc w:val="left"/>
              <w:rPr>
                <w:rFonts w:ascii="Arial Narrow" w:hAnsi="Arial Narrow"/>
                <w:sz w:val="20"/>
              </w:rPr>
            </w:pPr>
            <w:r w:rsidRPr="00575319">
              <w:rPr>
                <w:rFonts w:ascii="Arial Narrow" w:hAnsi="Arial Narrow"/>
                <w:sz w:val="20"/>
              </w:rPr>
              <w:t>A shorter time horizon significantly increase</w:t>
            </w:r>
            <w:r w:rsidR="009848C4">
              <w:rPr>
                <w:rFonts w:ascii="Arial Narrow" w:hAnsi="Arial Narrow"/>
                <w:sz w:val="20"/>
              </w:rPr>
              <w:t>d</w:t>
            </w:r>
            <w:r w:rsidRPr="00575319">
              <w:rPr>
                <w:rFonts w:ascii="Arial Narrow" w:hAnsi="Arial Narrow"/>
                <w:sz w:val="20"/>
              </w:rPr>
              <w:t xml:space="preserve"> the ICER</w:t>
            </w:r>
            <w:r>
              <w:rPr>
                <w:rFonts w:ascii="Arial Narrow" w:hAnsi="Arial Narrow"/>
                <w:sz w:val="20"/>
              </w:rPr>
              <w:t>.</w:t>
            </w:r>
          </w:p>
        </w:tc>
      </w:tr>
    </w:tbl>
    <w:p w:rsidR="00666194" w:rsidRDefault="00666194" w:rsidP="007478B9">
      <w:pPr>
        <w:pStyle w:val="TableFooter"/>
        <w:widowControl/>
        <w:ind w:firstLine="720"/>
      </w:pPr>
      <w:r w:rsidRPr="00575319">
        <w:t>Source: compiled during the evaluation</w:t>
      </w:r>
    </w:p>
    <w:p w:rsidR="00EF0512" w:rsidRPr="00576F4D" w:rsidRDefault="00EF0512" w:rsidP="007478B9">
      <w:pPr>
        <w:pStyle w:val="TableFooter"/>
        <w:widowControl/>
        <w:ind w:firstLine="720"/>
      </w:pPr>
    </w:p>
    <w:p w:rsidR="004F5526" w:rsidRPr="00576F4D" w:rsidRDefault="00CE2BD6" w:rsidP="007478B9">
      <w:pPr>
        <w:pStyle w:val="ListParagraph"/>
        <w:widowControl/>
        <w:numPr>
          <w:ilvl w:val="1"/>
          <w:numId w:val="4"/>
        </w:numPr>
        <w:rPr>
          <w:szCs w:val="22"/>
        </w:rPr>
      </w:pPr>
      <w:r w:rsidRPr="00575319">
        <w:t xml:space="preserve">Results of the base case cost effective analysis </w:t>
      </w:r>
      <w:r w:rsidR="005F69BA">
        <w:t>are</w:t>
      </w:r>
      <w:r w:rsidRPr="00575319">
        <w:t xml:space="preserve"> summarised in Table </w:t>
      </w:r>
      <w:r w:rsidR="009F3929">
        <w:t>9</w:t>
      </w:r>
      <w:r w:rsidRPr="00575319">
        <w:t>.</w:t>
      </w:r>
      <w:r w:rsidR="00137BED">
        <w:t xml:space="preserve"> </w:t>
      </w:r>
      <w:r w:rsidR="00BC58F5">
        <w:t>The redacted table shows that the cost per QALY was $15,000 - $45,000 and the cost per life year gained was $15,000 - $45,000.</w:t>
      </w:r>
    </w:p>
    <w:p w:rsidR="004F5526" w:rsidRDefault="004F5526" w:rsidP="007478B9">
      <w:pPr>
        <w:widowControl/>
        <w:rPr>
          <w:rFonts w:ascii="Arial Narrow" w:hAnsi="Arial Narrow"/>
          <w:b/>
          <w:sz w:val="20"/>
        </w:rPr>
      </w:pPr>
    </w:p>
    <w:p w:rsidR="00CE2BD6" w:rsidRPr="00575319" w:rsidRDefault="00CE2BD6" w:rsidP="007478B9">
      <w:pPr>
        <w:widowControl/>
        <w:ind w:left="510" w:firstLine="170"/>
        <w:rPr>
          <w:rFonts w:ascii="Arial Narrow" w:hAnsi="Arial Narrow"/>
          <w:b/>
          <w:sz w:val="20"/>
        </w:rPr>
      </w:pPr>
      <w:r w:rsidRPr="00575319">
        <w:rPr>
          <w:rFonts w:ascii="Arial Narrow" w:hAnsi="Arial Narrow"/>
          <w:b/>
          <w:sz w:val="20"/>
        </w:rPr>
        <w:t xml:space="preserve">Table </w:t>
      </w:r>
      <w:r w:rsidR="009F3929">
        <w:rPr>
          <w:rFonts w:ascii="Arial Narrow" w:hAnsi="Arial Narrow"/>
          <w:b/>
          <w:sz w:val="20"/>
        </w:rPr>
        <w:t>9</w:t>
      </w:r>
      <w:r w:rsidRPr="00575319">
        <w:rPr>
          <w:rFonts w:ascii="Arial Narrow" w:hAnsi="Arial Narrow"/>
          <w:b/>
          <w:sz w:val="20"/>
        </w:rPr>
        <w:t>: Cost-effectiveness of ICT versus no ICT (BASE CASE) over 10 years</w:t>
      </w:r>
    </w:p>
    <w:tbl>
      <w:tblPr>
        <w:tblW w:w="8363" w:type="dxa"/>
        <w:tblInd w:w="737" w:type="dxa"/>
        <w:tblLayout w:type="fixed"/>
        <w:tblCellMar>
          <w:left w:w="28" w:type="dxa"/>
          <w:right w:w="28" w:type="dxa"/>
        </w:tblCellMar>
        <w:tblLook w:val="04A0" w:firstRow="1" w:lastRow="0" w:firstColumn="1" w:lastColumn="0" w:noHBand="0" w:noVBand="1"/>
      </w:tblPr>
      <w:tblGrid>
        <w:gridCol w:w="2977"/>
        <w:gridCol w:w="1842"/>
        <w:gridCol w:w="1843"/>
        <w:gridCol w:w="1701"/>
      </w:tblGrid>
      <w:tr w:rsidR="00CE2BD6" w:rsidRPr="00575319" w:rsidTr="00550AED">
        <w:tc>
          <w:tcPr>
            <w:tcW w:w="2977" w:type="dxa"/>
            <w:tcBorders>
              <w:top w:val="single" w:sz="4" w:space="0" w:color="auto"/>
              <w:left w:val="single" w:sz="4" w:space="0" w:color="auto"/>
              <w:bottom w:val="nil"/>
              <w:right w:val="single" w:sz="4" w:space="0" w:color="auto"/>
            </w:tcBorders>
            <w:shd w:val="clear" w:color="auto" w:fill="auto"/>
            <w:noWrap/>
            <w:vAlign w:val="bottom"/>
            <w:hideMark/>
          </w:tcPr>
          <w:p w:rsidR="00CE2BD6" w:rsidRPr="00575319" w:rsidRDefault="00CE2BD6" w:rsidP="007478B9">
            <w:pPr>
              <w:widowControl/>
              <w:rPr>
                <w:rFonts w:ascii="Arial Narrow" w:hAnsi="Arial Narrow"/>
                <w:b/>
                <w:sz w:val="20"/>
              </w:rPr>
            </w:pPr>
          </w:p>
        </w:tc>
        <w:tc>
          <w:tcPr>
            <w:tcW w:w="1842" w:type="dxa"/>
            <w:tcBorders>
              <w:top w:val="single" w:sz="4" w:space="0" w:color="auto"/>
              <w:left w:val="nil"/>
              <w:bottom w:val="nil"/>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b/>
                <w:sz w:val="20"/>
              </w:rPr>
            </w:pPr>
            <w:r w:rsidRPr="00575319">
              <w:rPr>
                <w:rFonts w:ascii="Arial Narrow" w:hAnsi="Arial Narrow"/>
                <w:b/>
                <w:sz w:val="20"/>
              </w:rPr>
              <w:t>ICT</w:t>
            </w:r>
          </w:p>
        </w:tc>
        <w:tc>
          <w:tcPr>
            <w:tcW w:w="1843" w:type="dxa"/>
            <w:tcBorders>
              <w:top w:val="single" w:sz="4" w:space="0" w:color="auto"/>
              <w:left w:val="nil"/>
              <w:bottom w:val="nil"/>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b/>
                <w:sz w:val="20"/>
              </w:rPr>
            </w:pPr>
            <w:r w:rsidRPr="00575319">
              <w:rPr>
                <w:rFonts w:ascii="Arial Narrow" w:hAnsi="Arial Narrow"/>
                <w:b/>
                <w:sz w:val="20"/>
              </w:rPr>
              <w:t>No ICT</w:t>
            </w:r>
          </w:p>
        </w:tc>
        <w:tc>
          <w:tcPr>
            <w:tcW w:w="1701" w:type="dxa"/>
            <w:tcBorders>
              <w:top w:val="single" w:sz="4" w:space="0" w:color="auto"/>
              <w:left w:val="nil"/>
              <w:bottom w:val="nil"/>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b/>
                <w:sz w:val="20"/>
              </w:rPr>
            </w:pPr>
            <w:r w:rsidRPr="00575319">
              <w:rPr>
                <w:rFonts w:ascii="Arial Narrow" w:hAnsi="Arial Narrow"/>
                <w:b/>
                <w:sz w:val="20"/>
              </w:rPr>
              <w:t>Difference</w:t>
            </w:r>
          </w:p>
        </w:tc>
      </w:tr>
      <w:tr w:rsidR="00CE2BD6" w:rsidRPr="00575319" w:rsidTr="00550AED">
        <w:tc>
          <w:tcPr>
            <w:tcW w:w="2977" w:type="dxa"/>
            <w:tcBorders>
              <w:top w:val="single" w:sz="4" w:space="0" w:color="auto"/>
              <w:left w:val="single" w:sz="4" w:space="0" w:color="auto"/>
              <w:bottom w:val="single" w:sz="4" w:space="0" w:color="auto"/>
              <w:right w:val="nil"/>
            </w:tcBorders>
            <w:shd w:val="clear" w:color="auto" w:fill="auto"/>
            <w:noWrap/>
            <w:vAlign w:val="bottom"/>
            <w:hideMark/>
          </w:tcPr>
          <w:p w:rsidR="00CE2BD6" w:rsidRPr="00575319" w:rsidRDefault="00CE2BD6" w:rsidP="007478B9">
            <w:pPr>
              <w:widowControl/>
              <w:rPr>
                <w:rFonts w:ascii="Arial Narrow" w:hAnsi="Arial Narrow"/>
                <w:b/>
                <w:sz w:val="20"/>
              </w:rPr>
            </w:pPr>
            <w:r w:rsidRPr="00575319">
              <w:rPr>
                <w:rFonts w:ascii="Arial Narrow" w:hAnsi="Arial Narrow"/>
                <w:b/>
                <w:sz w:val="20"/>
              </w:rPr>
              <w:t>Discounted</w:t>
            </w:r>
          </w:p>
        </w:tc>
        <w:tc>
          <w:tcPr>
            <w:tcW w:w="1842" w:type="dxa"/>
            <w:tcBorders>
              <w:top w:val="single" w:sz="4" w:space="0" w:color="auto"/>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b/>
                <w:sz w:val="20"/>
              </w:rPr>
            </w:pPr>
          </w:p>
        </w:tc>
        <w:tc>
          <w:tcPr>
            <w:tcW w:w="1843" w:type="dxa"/>
            <w:tcBorders>
              <w:top w:val="single" w:sz="4" w:space="0" w:color="auto"/>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b/>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b/>
                <w:sz w:val="20"/>
              </w:rPr>
            </w:pPr>
          </w:p>
        </w:tc>
      </w:tr>
      <w:tr w:rsidR="00CE2BD6" w:rsidRPr="00575319" w:rsidTr="00550AED">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E2BD6" w:rsidRPr="00575319" w:rsidRDefault="00CE2BD6" w:rsidP="007478B9">
            <w:pPr>
              <w:widowControl/>
              <w:rPr>
                <w:rFonts w:ascii="Arial Narrow" w:hAnsi="Arial Narrow"/>
                <w:sz w:val="20"/>
              </w:rPr>
            </w:pPr>
            <w:r w:rsidRPr="00575319">
              <w:rPr>
                <w:rFonts w:ascii="Arial Narrow" w:hAnsi="Arial Narrow"/>
                <w:sz w:val="20"/>
              </w:rPr>
              <w:t xml:space="preserve">Cost </w:t>
            </w:r>
          </w:p>
        </w:tc>
        <w:tc>
          <w:tcPr>
            <w:tcW w:w="1842"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w:t>
            </w:r>
            <w:r w:rsidR="00D57F00">
              <w:rPr>
                <w:rFonts w:ascii="Arial Narrow" w:hAnsi="Arial Narrow"/>
                <w:noProof/>
                <w:color w:val="000000"/>
                <w:sz w:val="20"/>
                <w:highlight w:val="black"/>
              </w:rPr>
              <w:t>''''''''''''''''</w:t>
            </w:r>
          </w:p>
        </w:tc>
        <w:tc>
          <w:tcPr>
            <w:tcW w:w="1843"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w:t>
            </w:r>
            <w:r w:rsidR="00D57F00">
              <w:rPr>
                <w:rFonts w:ascii="Arial Narrow" w:hAnsi="Arial Narrow"/>
                <w:noProof/>
                <w:color w:val="000000"/>
                <w:sz w:val="20"/>
                <w:highlight w:val="black"/>
              </w:rPr>
              <w:t>''''''''''''''''</w:t>
            </w:r>
          </w:p>
        </w:tc>
      </w:tr>
      <w:tr w:rsidR="00CE2BD6" w:rsidRPr="00575319" w:rsidTr="00550AED">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E2BD6" w:rsidRPr="00575319" w:rsidRDefault="00CE2BD6" w:rsidP="007478B9">
            <w:pPr>
              <w:widowControl/>
              <w:rPr>
                <w:rFonts w:ascii="Arial Narrow" w:hAnsi="Arial Narrow"/>
                <w:sz w:val="20"/>
              </w:rPr>
            </w:pPr>
            <w:r w:rsidRPr="00575319">
              <w:rPr>
                <w:rFonts w:ascii="Arial Narrow" w:hAnsi="Arial Narrow"/>
                <w:sz w:val="20"/>
              </w:rPr>
              <w:t>LYG</w:t>
            </w:r>
          </w:p>
        </w:tc>
        <w:tc>
          <w:tcPr>
            <w:tcW w:w="1842"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3.491</w:t>
            </w:r>
          </w:p>
        </w:tc>
        <w:tc>
          <w:tcPr>
            <w:tcW w:w="1843"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2.953</w:t>
            </w:r>
          </w:p>
        </w:tc>
        <w:tc>
          <w:tcPr>
            <w:tcW w:w="1701" w:type="dxa"/>
            <w:tcBorders>
              <w:top w:val="nil"/>
              <w:left w:val="nil"/>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0.538</w:t>
            </w:r>
          </w:p>
        </w:tc>
      </w:tr>
      <w:tr w:rsidR="00CE2BD6" w:rsidRPr="00575319" w:rsidTr="00550AED">
        <w:tc>
          <w:tcPr>
            <w:tcW w:w="2977" w:type="dxa"/>
            <w:tcBorders>
              <w:top w:val="nil"/>
              <w:left w:val="single" w:sz="4" w:space="0" w:color="auto"/>
              <w:bottom w:val="nil"/>
              <w:right w:val="single" w:sz="4" w:space="0" w:color="auto"/>
            </w:tcBorders>
            <w:shd w:val="clear" w:color="auto" w:fill="auto"/>
            <w:noWrap/>
            <w:vAlign w:val="bottom"/>
            <w:hideMark/>
          </w:tcPr>
          <w:p w:rsidR="00CE2BD6" w:rsidRPr="00575319" w:rsidRDefault="00CE2BD6" w:rsidP="007478B9">
            <w:pPr>
              <w:widowControl/>
              <w:rPr>
                <w:rFonts w:ascii="Arial Narrow" w:hAnsi="Arial Narrow"/>
                <w:sz w:val="20"/>
              </w:rPr>
            </w:pPr>
            <w:r w:rsidRPr="00575319">
              <w:rPr>
                <w:rFonts w:ascii="Arial Narrow" w:hAnsi="Arial Narrow"/>
                <w:sz w:val="20"/>
              </w:rPr>
              <w:t xml:space="preserve">QALYs </w:t>
            </w:r>
          </w:p>
        </w:tc>
        <w:tc>
          <w:tcPr>
            <w:tcW w:w="1842" w:type="dxa"/>
            <w:tcBorders>
              <w:top w:val="nil"/>
              <w:left w:val="nil"/>
              <w:bottom w:val="nil"/>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2.932</w:t>
            </w:r>
          </w:p>
        </w:tc>
        <w:tc>
          <w:tcPr>
            <w:tcW w:w="1843" w:type="dxa"/>
            <w:tcBorders>
              <w:top w:val="nil"/>
              <w:left w:val="nil"/>
              <w:bottom w:val="nil"/>
              <w:right w:val="nil"/>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2.480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0.452</w:t>
            </w:r>
          </w:p>
        </w:tc>
      </w:tr>
      <w:tr w:rsidR="00CE2BD6" w:rsidRPr="00575319" w:rsidTr="00550AED">
        <w:tc>
          <w:tcPr>
            <w:tcW w:w="2977" w:type="dxa"/>
            <w:tcBorders>
              <w:top w:val="single" w:sz="4" w:space="0" w:color="auto"/>
              <w:left w:val="single" w:sz="4" w:space="0" w:color="auto"/>
              <w:bottom w:val="single" w:sz="4" w:space="0" w:color="auto"/>
              <w:right w:val="nil"/>
            </w:tcBorders>
            <w:shd w:val="clear" w:color="auto" w:fill="auto"/>
            <w:noWrap/>
            <w:vAlign w:val="bottom"/>
            <w:hideMark/>
          </w:tcPr>
          <w:p w:rsidR="00CE2BD6" w:rsidRPr="00575319" w:rsidRDefault="00CE2BD6" w:rsidP="007478B9">
            <w:pPr>
              <w:widowControl/>
              <w:rPr>
                <w:rFonts w:ascii="Arial Narrow" w:hAnsi="Arial Narrow"/>
                <w:sz w:val="20"/>
              </w:rPr>
            </w:pPr>
            <w:r w:rsidRPr="00575319">
              <w:rPr>
                <w:rFonts w:ascii="Arial Narrow" w:hAnsi="Arial Narrow"/>
                <w:sz w:val="20"/>
              </w:rPr>
              <w:t>Cost per QALY</w:t>
            </w:r>
          </w:p>
        </w:tc>
        <w:tc>
          <w:tcPr>
            <w:tcW w:w="1842" w:type="dxa"/>
            <w:tcBorders>
              <w:top w:val="single" w:sz="4" w:space="0" w:color="auto"/>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sz w:val="20"/>
              </w:rPr>
            </w:pPr>
          </w:p>
        </w:tc>
        <w:tc>
          <w:tcPr>
            <w:tcW w:w="1843" w:type="dxa"/>
            <w:tcBorders>
              <w:top w:val="single" w:sz="4" w:space="0" w:color="auto"/>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sz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w:t>
            </w:r>
            <w:r w:rsidR="00D57F00">
              <w:rPr>
                <w:rFonts w:ascii="Arial Narrow" w:hAnsi="Arial Narrow"/>
                <w:noProof/>
                <w:color w:val="000000"/>
                <w:sz w:val="20"/>
                <w:highlight w:val="black"/>
              </w:rPr>
              <w:t>'''''''''''''''''</w:t>
            </w:r>
          </w:p>
        </w:tc>
      </w:tr>
      <w:tr w:rsidR="00CE2BD6" w:rsidRPr="00575319" w:rsidTr="00550AED">
        <w:tc>
          <w:tcPr>
            <w:tcW w:w="2977" w:type="dxa"/>
            <w:tcBorders>
              <w:top w:val="nil"/>
              <w:left w:val="single" w:sz="4" w:space="0" w:color="auto"/>
              <w:bottom w:val="single" w:sz="4" w:space="0" w:color="auto"/>
              <w:right w:val="nil"/>
            </w:tcBorders>
            <w:shd w:val="clear" w:color="auto" w:fill="auto"/>
            <w:noWrap/>
            <w:vAlign w:val="bottom"/>
            <w:hideMark/>
          </w:tcPr>
          <w:p w:rsidR="00CE2BD6" w:rsidRPr="00575319" w:rsidRDefault="00CE2BD6" w:rsidP="007478B9">
            <w:pPr>
              <w:widowControl/>
              <w:rPr>
                <w:rFonts w:ascii="Arial Narrow" w:hAnsi="Arial Narrow"/>
                <w:sz w:val="20"/>
              </w:rPr>
            </w:pPr>
            <w:r w:rsidRPr="00575319">
              <w:rPr>
                <w:rFonts w:ascii="Arial Narrow" w:hAnsi="Arial Narrow"/>
                <w:sz w:val="20"/>
              </w:rPr>
              <w:t>Cost per LYG</w:t>
            </w:r>
          </w:p>
        </w:tc>
        <w:tc>
          <w:tcPr>
            <w:tcW w:w="1842" w:type="dxa"/>
            <w:tcBorders>
              <w:top w:val="nil"/>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sz w:val="20"/>
              </w:rPr>
            </w:pPr>
          </w:p>
        </w:tc>
        <w:tc>
          <w:tcPr>
            <w:tcW w:w="1843" w:type="dxa"/>
            <w:tcBorders>
              <w:top w:val="nil"/>
              <w:left w:val="nil"/>
              <w:bottom w:val="single" w:sz="4" w:space="0" w:color="auto"/>
              <w:right w:val="nil"/>
            </w:tcBorders>
            <w:shd w:val="clear" w:color="auto" w:fill="auto"/>
            <w:noWrap/>
            <w:vAlign w:val="center"/>
            <w:hideMark/>
          </w:tcPr>
          <w:p w:rsidR="00CE2BD6" w:rsidRPr="00575319" w:rsidRDefault="00CE2BD6" w:rsidP="007478B9">
            <w:pPr>
              <w:widowControl/>
              <w:jc w:val="center"/>
              <w:rPr>
                <w:rFonts w:ascii="Arial Narrow" w:hAnsi="Arial Narrow"/>
                <w:sz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E2BD6" w:rsidRPr="00575319" w:rsidRDefault="00CE2BD6" w:rsidP="007478B9">
            <w:pPr>
              <w:widowControl/>
              <w:jc w:val="center"/>
              <w:rPr>
                <w:rFonts w:ascii="Arial Narrow" w:hAnsi="Arial Narrow"/>
                <w:sz w:val="20"/>
              </w:rPr>
            </w:pPr>
            <w:r w:rsidRPr="00575319">
              <w:rPr>
                <w:rFonts w:ascii="Arial Narrow" w:hAnsi="Arial Narrow"/>
                <w:sz w:val="20"/>
              </w:rPr>
              <w:t>$</w:t>
            </w:r>
            <w:r w:rsidR="00D57F00">
              <w:rPr>
                <w:rFonts w:ascii="Arial Narrow" w:hAnsi="Arial Narrow"/>
                <w:noProof/>
                <w:color w:val="000000"/>
                <w:sz w:val="20"/>
                <w:highlight w:val="black"/>
              </w:rPr>
              <w:t>'''''''''''''''</w:t>
            </w:r>
          </w:p>
        </w:tc>
      </w:tr>
    </w:tbl>
    <w:p w:rsidR="00CE2BD6" w:rsidRPr="00575319" w:rsidRDefault="00CE2BD6" w:rsidP="007478B9">
      <w:pPr>
        <w:widowControl/>
        <w:ind w:left="709"/>
        <w:rPr>
          <w:rFonts w:ascii="Arial Narrow" w:hAnsi="Arial Narrow"/>
          <w:sz w:val="18"/>
          <w:szCs w:val="18"/>
        </w:rPr>
      </w:pPr>
      <w:r w:rsidRPr="00575319">
        <w:rPr>
          <w:rFonts w:ascii="Arial Narrow" w:hAnsi="Arial Narrow"/>
          <w:sz w:val="18"/>
          <w:szCs w:val="18"/>
        </w:rPr>
        <w:t>Abbreviations:  ICT, iron chelation therapy; LYG, life year gained; QALY, quality adjusted life year gained.</w:t>
      </w:r>
    </w:p>
    <w:p w:rsidR="00CE2BD6" w:rsidRPr="00575319" w:rsidRDefault="00CE2BD6" w:rsidP="007478B9">
      <w:pPr>
        <w:widowControl/>
        <w:ind w:left="709"/>
        <w:rPr>
          <w:rFonts w:ascii="Arial Narrow" w:hAnsi="Arial Narrow"/>
          <w:sz w:val="18"/>
          <w:szCs w:val="18"/>
        </w:rPr>
      </w:pPr>
      <w:r w:rsidRPr="00575319">
        <w:rPr>
          <w:rFonts w:ascii="Arial Narrow" w:hAnsi="Arial Narrow"/>
          <w:sz w:val="18"/>
          <w:szCs w:val="18"/>
        </w:rPr>
        <w:t>Note: Sensitivity scenario s5A (in Sensitivity worksheet).</w:t>
      </w:r>
    </w:p>
    <w:p w:rsidR="00576A46" w:rsidRPr="00575319" w:rsidRDefault="00576A46" w:rsidP="007478B9">
      <w:pPr>
        <w:widowControl/>
        <w:ind w:left="709"/>
        <w:rPr>
          <w:rFonts w:ascii="Arial Narrow" w:hAnsi="Arial Narrow"/>
          <w:sz w:val="18"/>
          <w:szCs w:val="18"/>
        </w:rPr>
      </w:pPr>
    </w:p>
    <w:p w:rsidR="00666194" w:rsidRPr="00D229F9" w:rsidRDefault="00576A46" w:rsidP="007478B9">
      <w:pPr>
        <w:pStyle w:val="ListParagraph"/>
        <w:widowControl/>
        <w:numPr>
          <w:ilvl w:val="1"/>
          <w:numId w:val="4"/>
        </w:numPr>
        <w:rPr>
          <w:szCs w:val="22"/>
        </w:rPr>
      </w:pPr>
      <w:r w:rsidRPr="001535C5">
        <w:t>The results of univariate sensitivity analyses presented by the submission indicate</w:t>
      </w:r>
      <w:r w:rsidR="009848C4">
        <w:t>d that the model wa</w:t>
      </w:r>
      <w:r w:rsidRPr="001535C5">
        <w:t xml:space="preserve">s most sensitive to the assumed treatment effect of DFX, and the assumed time horizon of the model.  Additional univariate and multivariate analyses conducted during the evaluation found the model </w:t>
      </w:r>
      <w:r w:rsidR="005F69BA" w:rsidRPr="001535C5">
        <w:t>was also</w:t>
      </w:r>
      <w:r w:rsidRPr="001535C5">
        <w:t xml:space="preserve"> very sensitive to the assumed health state utility for MDS.  When a time horizon of 6 years (based on the estimated median survival of patients with IPSS low risk MDS) and the utility value reported by Szende 2009 (0.6) was used in the model, the ICER increased to $</w:t>
      </w:r>
      <w:r w:rsidR="00BC58F5">
        <w:t>45,000/QALY - $75,000/QALY</w:t>
      </w:r>
      <w:r w:rsidRPr="00D1526E">
        <w:t>.</w:t>
      </w:r>
      <w:r w:rsidR="00D17F28" w:rsidRPr="00D1526E">
        <w:t xml:space="preserve"> The ESC noted that the model was also sensitive to the HR.</w:t>
      </w:r>
      <w:r w:rsidR="00D17F28">
        <w:rPr>
          <w:i/>
        </w:rPr>
        <w:t xml:space="preserve"> </w:t>
      </w:r>
    </w:p>
    <w:p w:rsidR="00D229F9" w:rsidRDefault="00D229F9" w:rsidP="007478B9">
      <w:pPr>
        <w:pStyle w:val="ListParagraph"/>
        <w:widowControl/>
        <w:rPr>
          <w:szCs w:val="22"/>
        </w:rPr>
      </w:pPr>
    </w:p>
    <w:p w:rsidR="0088092E" w:rsidRPr="007147DA" w:rsidRDefault="00D17F28" w:rsidP="007478B9">
      <w:pPr>
        <w:pStyle w:val="ListParagraph"/>
        <w:widowControl/>
        <w:numPr>
          <w:ilvl w:val="1"/>
          <w:numId w:val="4"/>
        </w:numPr>
        <w:rPr>
          <w:szCs w:val="22"/>
        </w:rPr>
      </w:pPr>
      <w:r w:rsidRPr="00D1526E">
        <w:t xml:space="preserve">The ESC noted </w:t>
      </w:r>
      <w:r w:rsidR="001E3BC7" w:rsidRPr="00D1526E">
        <w:t>the</w:t>
      </w:r>
      <w:r w:rsidRPr="00D1526E">
        <w:t xml:space="preserve"> PSCR</w:t>
      </w:r>
      <w:r w:rsidR="009B5FE4">
        <w:t>’s</w:t>
      </w:r>
      <w:r w:rsidR="00EF0512" w:rsidRPr="00D1526E">
        <w:t xml:space="preserve"> </w:t>
      </w:r>
      <w:r w:rsidR="001E3BC7" w:rsidRPr="00D1526E">
        <w:t>argument</w:t>
      </w:r>
      <w:r w:rsidR="00212386" w:rsidRPr="00D1526E">
        <w:t xml:space="preserve"> that a utility value of 0.6 was too low as it was based on people having advanced </w:t>
      </w:r>
      <w:r w:rsidR="001E3BC7" w:rsidRPr="00D1526E">
        <w:t>disease</w:t>
      </w:r>
      <w:r w:rsidR="00212386" w:rsidRPr="00D1526E">
        <w:t xml:space="preserve"> and higher IPSS risk. The PSCR </w:t>
      </w:r>
      <w:r w:rsidRPr="00D1526E">
        <w:t xml:space="preserve">proposed a new utility of 0.78, </w:t>
      </w:r>
      <w:r w:rsidR="00EF0512" w:rsidRPr="00D1526E">
        <w:t xml:space="preserve">the average utility of all </w:t>
      </w:r>
      <w:r w:rsidR="0088092E" w:rsidRPr="00D1526E">
        <w:t>patients</w:t>
      </w:r>
      <w:r w:rsidR="00EF0512" w:rsidRPr="00D1526E">
        <w:t xml:space="preserve"> in the Szende 2009 study, which </w:t>
      </w:r>
      <w:r w:rsidR="00EF0512" w:rsidRPr="007147DA">
        <w:t>result</w:t>
      </w:r>
      <w:r w:rsidR="0088092E" w:rsidRPr="007147DA">
        <w:t>ed</w:t>
      </w:r>
      <w:r w:rsidR="001307C3" w:rsidRPr="007147DA">
        <w:t xml:space="preserve"> in a</w:t>
      </w:r>
      <w:r w:rsidR="009559A0" w:rsidRPr="007147DA">
        <w:t>n</w:t>
      </w:r>
      <w:r w:rsidR="001307C3" w:rsidRPr="007147DA">
        <w:t xml:space="preserve"> </w:t>
      </w:r>
      <w:r w:rsidR="00EF0512" w:rsidRPr="007147DA">
        <w:t xml:space="preserve">ICER </w:t>
      </w:r>
      <w:r w:rsidRPr="007147DA">
        <w:t>of $</w:t>
      </w:r>
      <w:r w:rsidR="00BC58F5">
        <w:t>15,000 - $45,000</w:t>
      </w:r>
      <w:r w:rsidRPr="007147DA">
        <w:t xml:space="preserve">. </w:t>
      </w:r>
      <w:r w:rsidR="00212386" w:rsidRPr="007147DA">
        <w:t xml:space="preserve">The PSCR provided sensitivity analyses around this utility </w:t>
      </w:r>
      <w:r w:rsidR="001E3BC7" w:rsidRPr="007147DA">
        <w:t>value</w:t>
      </w:r>
      <w:r w:rsidR="0088092E" w:rsidRPr="007147DA">
        <w:t>.</w:t>
      </w:r>
    </w:p>
    <w:p w:rsidR="0088092E" w:rsidRPr="007147DA" w:rsidRDefault="0088092E" w:rsidP="007478B9">
      <w:pPr>
        <w:pStyle w:val="ListParagraph"/>
        <w:widowControl/>
      </w:pPr>
    </w:p>
    <w:p w:rsidR="00D229F9" w:rsidRPr="007147DA" w:rsidRDefault="00B74EFD" w:rsidP="007478B9">
      <w:pPr>
        <w:pStyle w:val="ListParagraph"/>
        <w:widowControl/>
        <w:numPr>
          <w:ilvl w:val="1"/>
          <w:numId w:val="4"/>
        </w:numPr>
        <w:rPr>
          <w:szCs w:val="22"/>
        </w:rPr>
      </w:pPr>
      <w:r w:rsidRPr="007147DA">
        <w:t xml:space="preserve">While the ESC noted the PSCR’s argument, it was considered that given the advanced age of the MDS population and the fact that they were transfusion dependent, a utility value of 0.78 may be still be optimistic. The ESC </w:t>
      </w:r>
      <w:r w:rsidR="00D73BFC" w:rsidRPr="007147DA">
        <w:t>considered</w:t>
      </w:r>
      <w:r w:rsidRPr="007147DA">
        <w:t xml:space="preserve"> that the </w:t>
      </w:r>
      <w:r w:rsidR="003B7989" w:rsidRPr="007147DA">
        <w:t xml:space="preserve">most plausible </w:t>
      </w:r>
      <w:r w:rsidRPr="007147DA">
        <w:t xml:space="preserve">utility value lay somewhere between 0.6 and 0.78. </w:t>
      </w:r>
    </w:p>
    <w:p w:rsidR="00DC17E9" w:rsidRPr="007147DA" w:rsidRDefault="00DC17E9" w:rsidP="007478B9">
      <w:pPr>
        <w:pStyle w:val="ListParagraph"/>
        <w:widowControl/>
      </w:pPr>
    </w:p>
    <w:p w:rsidR="00D17F28" w:rsidRPr="007147DA" w:rsidRDefault="00B0234A" w:rsidP="007478B9">
      <w:pPr>
        <w:pStyle w:val="ListParagraph"/>
        <w:widowControl/>
        <w:numPr>
          <w:ilvl w:val="1"/>
          <w:numId w:val="4"/>
        </w:numPr>
        <w:rPr>
          <w:szCs w:val="22"/>
        </w:rPr>
      </w:pPr>
      <w:r w:rsidRPr="007147DA">
        <w:t>The model was also sensitive to the time horizon</w:t>
      </w:r>
      <w:r w:rsidR="00F943B4" w:rsidRPr="007147DA">
        <w:t>.</w:t>
      </w:r>
      <w:r w:rsidR="00D73BFC" w:rsidRPr="007147DA">
        <w:t xml:space="preserve"> Referring to the Mark</w:t>
      </w:r>
      <w:r w:rsidRPr="007147DA">
        <w:t>ov trace in Figure D.5.1 of the Commentary, t</w:t>
      </w:r>
      <w:r w:rsidR="00B74EFD" w:rsidRPr="007147DA">
        <w:t xml:space="preserve">he ESC </w:t>
      </w:r>
      <w:r w:rsidRPr="007147DA">
        <w:t>noted</w:t>
      </w:r>
      <w:r w:rsidR="00B74EFD" w:rsidRPr="007147DA">
        <w:t xml:space="preserve"> </w:t>
      </w:r>
      <w:r w:rsidRPr="007147DA">
        <w:t xml:space="preserve">the proportion of patients in each health state of the model over 5-20 years and </w:t>
      </w:r>
      <w:r w:rsidR="00B74EFD" w:rsidRPr="007147DA">
        <w:t xml:space="preserve">considered that for the MDS population, a time horizon </w:t>
      </w:r>
      <w:r w:rsidRPr="007147DA">
        <w:t>between 6 years and the base case of 10 years</w:t>
      </w:r>
      <w:r w:rsidR="00B74EFD" w:rsidRPr="007147DA">
        <w:t xml:space="preserve"> </w:t>
      </w:r>
      <w:r w:rsidRPr="007147DA">
        <w:t xml:space="preserve">would </w:t>
      </w:r>
      <w:r w:rsidR="00B74EFD" w:rsidRPr="007147DA">
        <w:t xml:space="preserve">be more </w:t>
      </w:r>
      <w:r w:rsidRPr="007147DA">
        <w:t>acceptable</w:t>
      </w:r>
      <w:r w:rsidR="00B74EFD" w:rsidRPr="007147DA">
        <w:t xml:space="preserve">. </w:t>
      </w:r>
    </w:p>
    <w:p w:rsidR="00B0234A" w:rsidRPr="00B0234A" w:rsidRDefault="00B0234A" w:rsidP="007478B9">
      <w:pPr>
        <w:pStyle w:val="ListParagraph"/>
        <w:widowControl/>
        <w:rPr>
          <w:szCs w:val="22"/>
        </w:rPr>
      </w:pPr>
    </w:p>
    <w:p w:rsidR="0088092E" w:rsidRPr="00D1526E" w:rsidRDefault="00DC17E9" w:rsidP="007478B9">
      <w:pPr>
        <w:pStyle w:val="ListParagraph"/>
        <w:widowControl/>
        <w:numPr>
          <w:ilvl w:val="1"/>
          <w:numId w:val="4"/>
        </w:numPr>
      </w:pPr>
      <w:r w:rsidRPr="00D1526E">
        <w:t>The ESC considered a number of sensitivity analyses varying the utility value and the time horizon an</w:t>
      </w:r>
      <w:r w:rsidR="009A4A06">
        <w:t>d these are presented in Table 10</w:t>
      </w:r>
      <w:r w:rsidR="00B0234A" w:rsidRPr="00D1526E">
        <w:t>.</w:t>
      </w:r>
    </w:p>
    <w:p w:rsidR="000B0BF1" w:rsidRDefault="000B0BF1" w:rsidP="007478B9">
      <w:pPr>
        <w:widowControl/>
        <w:rPr>
          <w:rFonts w:ascii="Arial Narrow" w:hAnsi="Arial Narrow"/>
          <w:b/>
          <w:i/>
          <w:iCs/>
          <w:sz w:val="20"/>
          <w:szCs w:val="16"/>
        </w:rPr>
      </w:pPr>
    </w:p>
    <w:p w:rsidR="0088092E" w:rsidRPr="00D1526E" w:rsidRDefault="009F3929" w:rsidP="007478B9">
      <w:pPr>
        <w:widowControl/>
        <w:ind w:left="510" w:firstLine="170"/>
        <w:rPr>
          <w:rFonts w:ascii="Arial Narrow" w:hAnsi="Arial Narrow"/>
          <w:b/>
          <w:iCs/>
          <w:sz w:val="20"/>
          <w:szCs w:val="16"/>
        </w:rPr>
      </w:pPr>
      <w:r>
        <w:rPr>
          <w:rFonts w:ascii="Arial Narrow" w:hAnsi="Arial Narrow"/>
          <w:b/>
          <w:iCs/>
          <w:sz w:val="20"/>
          <w:szCs w:val="16"/>
        </w:rPr>
        <w:t>Table 10</w:t>
      </w:r>
      <w:r w:rsidR="0088092E" w:rsidRPr="00D1526E">
        <w:rPr>
          <w:rFonts w:ascii="Arial Narrow" w:hAnsi="Arial Narrow"/>
          <w:b/>
          <w:iCs/>
          <w:sz w:val="20"/>
          <w:szCs w:val="16"/>
        </w:rPr>
        <w:t>: Results of the sensitivity analyses requested by ESC</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102"/>
        <w:gridCol w:w="1082"/>
        <w:gridCol w:w="1188"/>
        <w:gridCol w:w="973"/>
      </w:tblGrid>
      <w:tr w:rsidR="0088092E" w:rsidRPr="00D1526E" w:rsidTr="00B73EC8">
        <w:trPr>
          <w:cantSplit/>
        </w:trPr>
        <w:tc>
          <w:tcPr>
            <w:tcW w:w="3057"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rPr>
                <w:rFonts w:ascii="Arial Narrow" w:hAnsi="Arial Narrow"/>
                <w:iCs/>
                <w:sz w:val="20"/>
              </w:rPr>
            </w:pPr>
            <w:r w:rsidRPr="00D1526E">
              <w:rPr>
                <w:rFonts w:ascii="Arial Narrow" w:hAnsi="Arial Narrow"/>
                <w:b/>
                <w:iCs/>
                <w:sz w:val="20"/>
              </w:rPr>
              <w:t>Analyses</w:t>
            </w:r>
          </w:p>
        </w:tc>
        <w:tc>
          <w:tcPr>
            <w:tcW w:w="648"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b/>
                <w:iCs/>
                <w:sz w:val="20"/>
              </w:rPr>
              <w:t>Incremental costs</w:t>
            </w:r>
          </w:p>
        </w:tc>
        <w:tc>
          <w:tcPr>
            <w:tcW w:w="712"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b/>
                <w:iCs/>
                <w:sz w:val="20"/>
              </w:rPr>
              <w:t>Incremental effectiveness</w:t>
            </w:r>
          </w:p>
        </w:tc>
        <w:tc>
          <w:tcPr>
            <w:tcW w:w="584"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b/>
                <w:iCs/>
                <w:sz w:val="20"/>
                <w:szCs w:val="16"/>
              </w:rPr>
              <w:t>ICER</w:t>
            </w:r>
          </w:p>
        </w:tc>
      </w:tr>
      <w:tr w:rsidR="0088092E" w:rsidRPr="00D1526E" w:rsidTr="00B73EC8">
        <w:trPr>
          <w:cantSplit/>
        </w:trPr>
        <w:tc>
          <w:tcPr>
            <w:tcW w:w="3057" w:type="pct"/>
            <w:tcBorders>
              <w:top w:val="single" w:sz="4" w:space="0" w:color="auto"/>
              <w:left w:val="single" w:sz="4" w:space="0" w:color="auto"/>
              <w:bottom w:val="single" w:sz="4" w:space="0" w:color="auto"/>
              <w:right w:val="single" w:sz="4" w:space="0" w:color="auto"/>
            </w:tcBorders>
            <w:vAlign w:val="center"/>
          </w:tcPr>
          <w:p w:rsidR="0088092E" w:rsidRPr="00D1526E" w:rsidRDefault="00D73BFC" w:rsidP="007478B9">
            <w:pPr>
              <w:widowControl/>
              <w:rPr>
                <w:rFonts w:ascii="Arial Narrow" w:hAnsi="Arial Narrow"/>
                <w:iCs/>
                <w:sz w:val="20"/>
              </w:rPr>
            </w:pPr>
            <w:r w:rsidRPr="00D1526E">
              <w:rPr>
                <w:rFonts w:ascii="Arial Narrow" w:hAnsi="Arial Narrow"/>
                <w:iCs/>
                <w:sz w:val="20"/>
              </w:rPr>
              <w:t>Submission b</w:t>
            </w:r>
            <w:r w:rsidR="0088092E" w:rsidRPr="00D1526E">
              <w:rPr>
                <w:rFonts w:ascii="Arial Narrow" w:hAnsi="Arial Narrow"/>
                <w:iCs/>
                <w:sz w:val="20"/>
              </w:rPr>
              <w:t>ase case</w:t>
            </w:r>
            <w:r w:rsidR="00F00DB9" w:rsidRPr="00D1526E">
              <w:rPr>
                <w:rFonts w:ascii="Arial Narrow" w:hAnsi="Arial Narrow"/>
                <w:iCs/>
                <w:sz w:val="20"/>
              </w:rPr>
              <w:t>: utility (MDS) 0.84, time horizon 10 yrs</w:t>
            </w:r>
          </w:p>
        </w:tc>
        <w:tc>
          <w:tcPr>
            <w:tcW w:w="648"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0.452</w:t>
            </w:r>
          </w:p>
        </w:tc>
        <w:tc>
          <w:tcPr>
            <w:tcW w:w="584"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r>
      <w:tr w:rsidR="0088092E" w:rsidRPr="00D1526E" w:rsidTr="00B73EC8">
        <w:trPr>
          <w:cantSplit/>
        </w:trPr>
        <w:tc>
          <w:tcPr>
            <w:tcW w:w="3057"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rPr>
                <w:rFonts w:ascii="Arial Narrow" w:hAnsi="Arial Narrow"/>
                <w:iCs/>
                <w:sz w:val="20"/>
              </w:rPr>
            </w:pPr>
            <w:r w:rsidRPr="00D1526E">
              <w:rPr>
                <w:rFonts w:ascii="Arial Narrow" w:hAnsi="Arial Narrow"/>
                <w:iCs/>
                <w:sz w:val="20"/>
              </w:rPr>
              <w:t>Utility (MDS) of 0.78 based on Szende 2009, overall population (b/c: 0.84)</w:t>
            </w:r>
          </w:p>
        </w:tc>
        <w:tc>
          <w:tcPr>
            <w:tcW w:w="648"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0.420</w:t>
            </w:r>
          </w:p>
        </w:tc>
        <w:tc>
          <w:tcPr>
            <w:tcW w:w="584"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r>
      <w:tr w:rsidR="0088092E" w:rsidRPr="00D1526E" w:rsidTr="00B73EC8">
        <w:trPr>
          <w:cantSplit/>
        </w:trPr>
        <w:tc>
          <w:tcPr>
            <w:tcW w:w="3057" w:type="pct"/>
            <w:tcBorders>
              <w:top w:val="single" w:sz="4" w:space="0" w:color="auto"/>
              <w:left w:val="single" w:sz="4" w:space="0" w:color="auto"/>
              <w:bottom w:val="double" w:sz="4" w:space="0" w:color="auto"/>
              <w:right w:val="single" w:sz="4" w:space="0" w:color="auto"/>
            </w:tcBorders>
            <w:vAlign w:val="center"/>
          </w:tcPr>
          <w:p w:rsidR="0088092E" w:rsidRPr="00D1526E" w:rsidRDefault="0088092E" w:rsidP="007478B9">
            <w:pPr>
              <w:widowControl/>
              <w:rPr>
                <w:rFonts w:ascii="Arial Narrow" w:hAnsi="Arial Narrow"/>
                <w:iCs/>
                <w:sz w:val="20"/>
              </w:rPr>
            </w:pPr>
            <w:r w:rsidRPr="00D1526E">
              <w:rPr>
                <w:rFonts w:ascii="Arial Narrow" w:hAnsi="Arial Narrow"/>
                <w:iCs/>
                <w:sz w:val="20"/>
              </w:rPr>
              <w:t>Utility (MDS) of 0.6 based on Szende 2009, ‘transfusion dependent’ (b/c: 0.84)</w:t>
            </w:r>
          </w:p>
        </w:tc>
        <w:tc>
          <w:tcPr>
            <w:tcW w:w="648" w:type="pct"/>
            <w:tcBorders>
              <w:top w:val="single" w:sz="4" w:space="0" w:color="auto"/>
              <w:left w:val="single" w:sz="4" w:space="0" w:color="auto"/>
              <w:bottom w:val="doub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single" w:sz="4" w:space="0" w:color="auto"/>
              <w:left w:val="single" w:sz="4" w:space="0" w:color="auto"/>
              <w:bottom w:val="doub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0.323</w:t>
            </w:r>
          </w:p>
        </w:tc>
        <w:tc>
          <w:tcPr>
            <w:tcW w:w="584" w:type="pct"/>
            <w:tcBorders>
              <w:top w:val="single" w:sz="4" w:space="0" w:color="auto"/>
              <w:left w:val="single" w:sz="4" w:space="0" w:color="auto"/>
              <w:bottom w:val="doub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r w:rsidRPr="00D1526E">
              <w:rPr>
                <w:rFonts w:ascii="Arial Narrow" w:hAnsi="Arial Narrow"/>
                <w:iCs/>
                <w:sz w:val="20"/>
              </w:rPr>
              <w:t xml:space="preserve">  </w:t>
            </w:r>
          </w:p>
        </w:tc>
      </w:tr>
      <w:tr w:rsidR="0088092E" w:rsidRPr="00D1526E" w:rsidTr="00B73EC8">
        <w:trPr>
          <w:cantSplit/>
        </w:trPr>
        <w:tc>
          <w:tcPr>
            <w:tcW w:w="3057" w:type="pct"/>
            <w:tcBorders>
              <w:top w:val="doub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rPr>
                <w:rFonts w:ascii="Arial Narrow" w:hAnsi="Arial Narrow"/>
                <w:bCs/>
                <w:iCs/>
                <w:sz w:val="20"/>
              </w:rPr>
            </w:pPr>
            <w:r w:rsidRPr="00D1526E">
              <w:rPr>
                <w:rFonts w:ascii="Arial Narrow" w:hAnsi="Arial Narrow"/>
                <w:bCs/>
                <w:iCs/>
                <w:sz w:val="20"/>
                <w:szCs w:val="16"/>
              </w:rPr>
              <w:t>Time horizon 6 yrs (b/c: 10 yrs)</w:t>
            </w:r>
          </w:p>
        </w:tc>
        <w:tc>
          <w:tcPr>
            <w:tcW w:w="648" w:type="pct"/>
            <w:tcBorders>
              <w:top w:val="doub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doub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0.304</w:t>
            </w:r>
          </w:p>
        </w:tc>
        <w:tc>
          <w:tcPr>
            <w:tcW w:w="584" w:type="pct"/>
            <w:tcBorders>
              <w:top w:val="doub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r>
      <w:tr w:rsidR="0088092E" w:rsidRPr="00D1526E" w:rsidTr="00B73EC8">
        <w:trPr>
          <w:cantSplit/>
        </w:trPr>
        <w:tc>
          <w:tcPr>
            <w:tcW w:w="3057"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rPr>
                <w:rFonts w:ascii="Arial Narrow" w:hAnsi="Arial Narrow"/>
                <w:iCs/>
                <w:sz w:val="20"/>
              </w:rPr>
            </w:pPr>
            <w:r w:rsidRPr="00D1526E">
              <w:rPr>
                <w:rFonts w:ascii="Arial Narrow" w:hAnsi="Arial Narrow"/>
                <w:iCs/>
                <w:sz w:val="20"/>
              </w:rPr>
              <w:t>Time horizon 6 yrs (b/c: 10 yrs) AND utility (MDS) of 0.78 based on Szende 2009, overall population (b/c: 0.84)</w:t>
            </w:r>
          </w:p>
        </w:tc>
        <w:tc>
          <w:tcPr>
            <w:tcW w:w="648"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0.283</w:t>
            </w:r>
          </w:p>
        </w:tc>
        <w:tc>
          <w:tcPr>
            <w:tcW w:w="584"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r>
      <w:tr w:rsidR="0088092E" w:rsidRPr="00D1526E" w:rsidTr="00B73EC8">
        <w:trPr>
          <w:cantSplit/>
        </w:trPr>
        <w:tc>
          <w:tcPr>
            <w:tcW w:w="3057"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rPr>
                <w:rFonts w:ascii="Arial Narrow" w:hAnsi="Arial Narrow"/>
                <w:iCs/>
                <w:sz w:val="20"/>
              </w:rPr>
            </w:pPr>
            <w:r w:rsidRPr="00D1526E">
              <w:rPr>
                <w:rFonts w:ascii="Arial Narrow" w:hAnsi="Arial Narrow"/>
                <w:iCs/>
                <w:sz w:val="20"/>
              </w:rPr>
              <w:t>Time horizon 6 yrs (b/c: 10 yrs) AND utility (MDS) of 0.6 based on Szende 2009, ‘transfusion dependent’ (b/c: 0.84)</w:t>
            </w:r>
          </w:p>
        </w:tc>
        <w:tc>
          <w:tcPr>
            <w:tcW w:w="648"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c>
          <w:tcPr>
            <w:tcW w:w="712"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0.217</w:t>
            </w:r>
          </w:p>
        </w:tc>
        <w:tc>
          <w:tcPr>
            <w:tcW w:w="584" w:type="pct"/>
            <w:tcBorders>
              <w:top w:val="single" w:sz="4" w:space="0" w:color="auto"/>
              <w:left w:val="single" w:sz="4" w:space="0" w:color="auto"/>
              <w:bottom w:val="single" w:sz="4" w:space="0" w:color="auto"/>
              <w:right w:val="single" w:sz="4" w:space="0" w:color="auto"/>
            </w:tcBorders>
            <w:vAlign w:val="center"/>
          </w:tcPr>
          <w:p w:rsidR="0088092E" w:rsidRPr="00D1526E" w:rsidRDefault="0088092E" w:rsidP="007478B9">
            <w:pPr>
              <w:widowControl/>
              <w:jc w:val="center"/>
              <w:rPr>
                <w:rFonts w:ascii="Arial Narrow" w:hAnsi="Arial Narrow"/>
                <w:iCs/>
                <w:sz w:val="20"/>
              </w:rPr>
            </w:pPr>
            <w:r w:rsidRPr="00D1526E">
              <w:rPr>
                <w:rFonts w:ascii="Arial Narrow" w:hAnsi="Arial Narrow"/>
                <w:iCs/>
                <w:sz w:val="20"/>
              </w:rPr>
              <w:t>$</w:t>
            </w:r>
            <w:r w:rsidR="00D57F00">
              <w:rPr>
                <w:rFonts w:ascii="Arial Narrow" w:hAnsi="Arial Narrow"/>
                <w:iCs/>
                <w:noProof/>
                <w:color w:val="000000"/>
                <w:sz w:val="20"/>
                <w:highlight w:val="black"/>
              </w:rPr>
              <w:t>'''''''''''''''''</w:t>
            </w:r>
          </w:p>
        </w:tc>
      </w:tr>
    </w:tbl>
    <w:p w:rsidR="0088092E" w:rsidRPr="00D1526E" w:rsidRDefault="0088092E" w:rsidP="007478B9">
      <w:pPr>
        <w:widowControl/>
        <w:ind w:left="510" w:firstLine="170"/>
        <w:rPr>
          <w:rFonts w:ascii="Arial Narrow" w:hAnsi="Arial Narrow"/>
          <w:bCs/>
          <w:iCs/>
          <w:sz w:val="18"/>
          <w:szCs w:val="18"/>
        </w:rPr>
      </w:pPr>
      <w:r w:rsidRPr="00D1526E">
        <w:rPr>
          <w:rFonts w:ascii="Arial Narrow" w:hAnsi="Arial Narrow"/>
          <w:bCs/>
          <w:iCs/>
          <w:sz w:val="18"/>
          <w:szCs w:val="18"/>
        </w:rPr>
        <w:t>Abbreviations: MDS = myelodysplastic syndrome</w:t>
      </w:r>
    </w:p>
    <w:p w:rsidR="00137BED" w:rsidRPr="005010A6" w:rsidRDefault="00137BED" w:rsidP="007478B9">
      <w:pPr>
        <w:pStyle w:val="ListParagraph"/>
        <w:widowControl/>
        <w:rPr>
          <w:szCs w:val="22"/>
        </w:rPr>
      </w:pPr>
    </w:p>
    <w:p w:rsidR="00D229F9" w:rsidRPr="008B4A04" w:rsidRDefault="007811B9" w:rsidP="007478B9">
      <w:pPr>
        <w:pStyle w:val="ListParagraph"/>
        <w:widowControl/>
        <w:numPr>
          <w:ilvl w:val="1"/>
          <w:numId w:val="4"/>
        </w:numPr>
        <w:rPr>
          <w:szCs w:val="22"/>
        </w:rPr>
      </w:pPr>
      <w:r w:rsidRPr="008B4A04">
        <w:rPr>
          <w:szCs w:val="22"/>
        </w:rPr>
        <w:t xml:space="preserve">The ESC </w:t>
      </w:r>
      <w:r w:rsidR="00645C6A" w:rsidRPr="008B4A04">
        <w:rPr>
          <w:szCs w:val="22"/>
        </w:rPr>
        <w:t>accepted</w:t>
      </w:r>
      <w:r w:rsidRPr="008B4A04">
        <w:rPr>
          <w:szCs w:val="22"/>
        </w:rPr>
        <w:t xml:space="preserve"> </w:t>
      </w:r>
      <w:r w:rsidR="00D73BFC" w:rsidRPr="008B4A04">
        <w:rPr>
          <w:szCs w:val="22"/>
        </w:rPr>
        <w:t>the</w:t>
      </w:r>
      <w:r w:rsidRPr="008B4A04">
        <w:rPr>
          <w:szCs w:val="22"/>
        </w:rPr>
        <w:t xml:space="preserve"> </w:t>
      </w:r>
      <w:r w:rsidR="009559A0" w:rsidRPr="008B4A04">
        <w:rPr>
          <w:szCs w:val="22"/>
        </w:rPr>
        <w:t>ICER of $</w:t>
      </w:r>
      <w:r w:rsidR="00BC58F5">
        <w:t>15,000 - $45,000</w:t>
      </w:r>
      <w:r w:rsidR="00A54D20" w:rsidRPr="008B4A04">
        <w:rPr>
          <w:szCs w:val="22"/>
        </w:rPr>
        <w:t>, with a utility value of 0.78 and a time horizon of 10 years, as</w:t>
      </w:r>
      <w:r w:rsidR="009559A0" w:rsidRPr="008B4A04">
        <w:rPr>
          <w:szCs w:val="22"/>
        </w:rPr>
        <w:t xml:space="preserve"> presented in the PSCR</w:t>
      </w:r>
      <w:r w:rsidR="00A54D20" w:rsidRPr="008B4A04">
        <w:rPr>
          <w:szCs w:val="22"/>
        </w:rPr>
        <w:t>,</w:t>
      </w:r>
      <w:r w:rsidR="009559A0" w:rsidRPr="008B4A04">
        <w:rPr>
          <w:szCs w:val="22"/>
        </w:rPr>
        <w:t xml:space="preserve"> as</w:t>
      </w:r>
      <w:r w:rsidR="00A54D20" w:rsidRPr="008B4A04">
        <w:rPr>
          <w:szCs w:val="22"/>
        </w:rPr>
        <w:t xml:space="preserve"> the</w:t>
      </w:r>
      <w:r w:rsidR="008F037F" w:rsidRPr="008B4A04">
        <w:rPr>
          <w:szCs w:val="22"/>
        </w:rPr>
        <w:t xml:space="preserve"> sponsor’s revised</w:t>
      </w:r>
      <w:r w:rsidR="009559A0" w:rsidRPr="008B4A04">
        <w:rPr>
          <w:szCs w:val="22"/>
        </w:rPr>
        <w:t xml:space="preserve"> base case</w:t>
      </w:r>
      <w:r w:rsidR="008F037F" w:rsidRPr="008B4A04">
        <w:rPr>
          <w:szCs w:val="22"/>
        </w:rPr>
        <w:t xml:space="preserve">. However, the </w:t>
      </w:r>
      <w:r w:rsidR="009559A0" w:rsidRPr="008B4A04">
        <w:rPr>
          <w:szCs w:val="22"/>
        </w:rPr>
        <w:t>ESC remained concerned that both of these parameters</w:t>
      </w:r>
      <w:r w:rsidR="008F037F" w:rsidRPr="008B4A04">
        <w:rPr>
          <w:szCs w:val="22"/>
        </w:rPr>
        <w:t xml:space="preserve"> (utility of 0.78 and time horizon of 10 years)</w:t>
      </w:r>
      <w:r w:rsidR="009559A0" w:rsidRPr="008B4A04">
        <w:rPr>
          <w:szCs w:val="22"/>
        </w:rPr>
        <w:t xml:space="preserve"> were optimistic</w:t>
      </w:r>
      <w:r w:rsidR="008F037F" w:rsidRPr="008B4A04">
        <w:rPr>
          <w:szCs w:val="22"/>
        </w:rPr>
        <w:t>,</w:t>
      </w:r>
      <w:r w:rsidR="009559A0" w:rsidRPr="008B4A04">
        <w:rPr>
          <w:szCs w:val="22"/>
        </w:rPr>
        <w:t xml:space="preserve"> and that the ICER was </w:t>
      </w:r>
      <w:r w:rsidR="00CB0C87" w:rsidRPr="008B4A04">
        <w:rPr>
          <w:szCs w:val="22"/>
        </w:rPr>
        <w:t>most likely between $</w:t>
      </w:r>
      <w:r w:rsidR="00BC58F5">
        <w:t>15,000 - $45,000</w:t>
      </w:r>
      <w:r w:rsidR="00CB0C87" w:rsidRPr="008B4A04">
        <w:rPr>
          <w:szCs w:val="22"/>
        </w:rPr>
        <w:t xml:space="preserve"> and $</w:t>
      </w:r>
      <w:r w:rsidR="00BC58F5">
        <w:rPr>
          <w:szCs w:val="22"/>
        </w:rPr>
        <w:t>45,000 - $75,000</w:t>
      </w:r>
      <w:r w:rsidR="00A54D20" w:rsidRPr="008B4A04">
        <w:rPr>
          <w:szCs w:val="22"/>
        </w:rPr>
        <w:t>, the latter using the more conservative assumptions of 0.6 for the utility value and 6 years for the time horizon</w:t>
      </w:r>
      <w:r w:rsidR="009559A0" w:rsidRPr="008B4A04">
        <w:rPr>
          <w:szCs w:val="22"/>
        </w:rPr>
        <w:t>.</w:t>
      </w:r>
      <w:r w:rsidR="00A54D20" w:rsidRPr="008B4A04">
        <w:rPr>
          <w:szCs w:val="22"/>
        </w:rPr>
        <w:t xml:space="preserve"> </w:t>
      </w:r>
      <w:r w:rsidR="007147DA" w:rsidRPr="008B4A04">
        <w:rPr>
          <w:szCs w:val="22"/>
        </w:rPr>
        <w:t>The Pre-PBAC response asserted that as 0.75 was the most frequent utility for transfusion dependent patients in Szende 2009, it would be the most pragmatic and reasonable estimate. The response also asserted that an 8 year time horizon would be appropriate, noting the submission model, where at 8 years approximately 10% of patients in the no ICT arm were still alive. This sensitivity analysis resulted in an ICER of $</w:t>
      </w:r>
      <w:r w:rsidR="009F55CA">
        <w:rPr>
          <w:szCs w:val="22"/>
        </w:rPr>
        <w:t>45,000 - $75,000</w:t>
      </w:r>
      <w:r w:rsidR="007147DA" w:rsidRPr="008B4A04">
        <w:rPr>
          <w:szCs w:val="22"/>
        </w:rPr>
        <w:t>.</w:t>
      </w:r>
    </w:p>
    <w:p w:rsidR="007147DA" w:rsidRPr="007147DA" w:rsidRDefault="007147DA" w:rsidP="007478B9">
      <w:pPr>
        <w:pStyle w:val="ListParagraph"/>
        <w:widowControl/>
        <w:rPr>
          <w:szCs w:val="22"/>
        </w:rPr>
      </w:pPr>
    </w:p>
    <w:p w:rsidR="00137BED" w:rsidRPr="00D1526E" w:rsidRDefault="00137BED" w:rsidP="007478B9">
      <w:pPr>
        <w:pStyle w:val="ListParagraph"/>
        <w:widowControl/>
        <w:numPr>
          <w:ilvl w:val="1"/>
          <w:numId w:val="4"/>
        </w:numPr>
        <w:rPr>
          <w:szCs w:val="22"/>
        </w:rPr>
      </w:pPr>
      <w:r w:rsidRPr="00D1526E">
        <w:t xml:space="preserve">The ESC noted that the model did not consider ongoing monitoring costs associated with chelation. While the PSCR stated that these may be small, </w:t>
      </w:r>
      <w:r w:rsidR="001E3BC7" w:rsidRPr="00D1526E">
        <w:t xml:space="preserve">the ESC considered that </w:t>
      </w:r>
      <w:r w:rsidRPr="00D1526E">
        <w:t xml:space="preserve">they </w:t>
      </w:r>
      <w:r w:rsidR="007147DA">
        <w:t>we</w:t>
      </w:r>
      <w:r w:rsidRPr="00D1526E">
        <w:t xml:space="preserve">re </w:t>
      </w:r>
      <w:r w:rsidR="001E3BC7" w:rsidRPr="00D1526E">
        <w:t xml:space="preserve">still </w:t>
      </w:r>
      <w:r w:rsidRPr="00D1526E">
        <w:t xml:space="preserve">important to </w:t>
      </w:r>
      <w:r w:rsidR="00464F89" w:rsidRPr="00D1526E">
        <w:t>consider as monitoring not only incurs a cost but may also mean that health complications</w:t>
      </w:r>
      <w:r w:rsidR="001E3BC7" w:rsidRPr="00D1526E">
        <w:t xml:space="preserve"> unrelated to the chelation</w:t>
      </w:r>
      <w:r w:rsidR="00476448" w:rsidRPr="00D1526E">
        <w:t xml:space="preserve"> are more likely to be detected</w:t>
      </w:r>
      <w:r w:rsidR="00D73BFC" w:rsidRPr="00D1526E">
        <w:t xml:space="preserve">, which would also impact on costs. </w:t>
      </w:r>
    </w:p>
    <w:p w:rsidR="0031037A" w:rsidRPr="00D1526E" w:rsidRDefault="0031037A" w:rsidP="007478B9">
      <w:pPr>
        <w:pStyle w:val="ListParagraph"/>
        <w:widowControl/>
        <w:rPr>
          <w:szCs w:val="22"/>
        </w:rPr>
      </w:pPr>
    </w:p>
    <w:p w:rsidR="0031037A" w:rsidRDefault="008E63FF" w:rsidP="007478B9">
      <w:pPr>
        <w:pStyle w:val="ListParagraph"/>
        <w:widowControl/>
        <w:numPr>
          <w:ilvl w:val="1"/>
          <w:numId w:val="4"/>
        </w:numPr>
        <w:rPr>
          <w:szCs w:val="22"/>
        </w:rPr>
      </w:pPr>
      <w:r w:rsidRPr="00D1526E">
        <w:rPr>
          <w:szCs w:val="22"/>
        </w:rPr>
        <w:t>The submission presented an additional sensiti</w:t>
      </w:r>
      <w:r w:rsidRPr="002C3543">
        <w:rPr>
          <w:szCs w:val="22"/>
        </w:rPr>
        <w:t xml:space="preserve">vity analysis exploring the impact of iron chelation on AML, using </w:t>
      </w:r>
      <w:r w:rsidR="0031037A" w:rsidRPr="008F5C8A">
        <w:rPr>
          <w:szCs w:val="22"/>
        </w:rPr>
        <w:t>the MORE dataset</w:t>
      </w:r>
      <w:r w:rsidR="0031037A" w:rsidRPr="00D1526E">
        <w:rPr>
          <w:szCs w:val="22"/>
        </w:rPr>
        <w:t xml:space="preserve"> alone. The ESC did not consider the impact of chelation on the subsequent development of AML was causatively supported by the existing evidence.</w:t>
      </w:r>
    </w:p>
    <w:p w:rsidR="00D229F9" w:rsidRPr="00D229F9" w:rsidRDefault="00D229F9" w:rsidP="007478B9">
      <w:pPr>
        <w:widowControl/>
        <w:rPr>
          <w:szCs w:val="22"/>
        </w:rPr>
      </w:pPr>
    </w:p>
    <w:p w:rsidR="0068534C" w:rsidRPr="0068534C" w:rsidRDefault="003E55FD" w:rsidP="007478B9">
      <w:pPr>
        <w:widowControl/>
        <w:rPr>
          <w:rStyle w:val="IntenseReference"/>
          <w:b w:val="0"/>
          <w:bCs w:val="0"/>
          <w:i/>
          <w:smallCaps w:val="0"/>
        </w:rPr>
      </w:pPr>
      <w:r w:rsidRPr="0068534C">
        <w:rPr>
          <w:b/>
          <w:i/>
        </w:rPr>
        <w:t>Drug cost/patient/day:</w:t>
      </w:r>
      <w:r w:rsidRPr="0068534C">
        <w:rPr>
          <w:rStyle w:val="IntenseReference"/>
          <w:b w:val="0"/>
          <w:bCs w:val="0"/>
          <w:i/>
          <w:smallCaps w:val="0"/>
          <w:color w:val="auto"/>
          <w:u w:val="none"/>
        </w:rPr>
        <w:t xml:space="preserve"> </w:t>
      </w:r>
    </w:p>
    <w:p w:rsidR="0068534C" w:rsidRPr="0068534C" w:rsidRDefault="0068534C" w:rsidP="007478B9">
      <w:pPr>
        <w:pStyle w:val="ListParagraph"/>
        <w:widowControl/>
        <w:rPr>
          <w:i/>
        </w:rPr>
      </w:pPr>
    </w:p>
    <w:p w:rsidR="003E55FD" w:rsidRPr="001535C5" w:rsidRDefault="0068534C" w:rsidP="007478B9">
      <w:pPr>
        <w:pStyle w:val="ListParagraph"/>
        <w:widowControl/>
        <w:numPr>
          <w:ilvl w:val="1"/>
          <w:numId w:val="4"/>
        </w:numPr>
        <w:rPr>
          <w:rStyle w:val="IntenseReference"/>
          <w:b w:val="0"/>
          <w:bCs w:val="0"/>
          <w:smallCaps w:val="0"/>
        </w:rPr>
      </w:pPr>
      <w:r w:rsidRPr="001535C5">
        <w:t>$</w:t>
      </w:r>
      <w:r w:rsidR="00D57F00">
        <w:rPr>
          <w:noProof/>
          <w:color w:val="000000"/>
          <w:highlight w:val="black"/>
        </w:rPr>
        <w:t>''''''''''''''</w:t>
      </w:r>
      <w:r w:rsidRPr="001535C5">
        <w:t xml:space="preserve"> (estimated based on lifetime supply of DFX on PBS from a 10% PBS population), this was considered necessary as DFX is dosed based on body weight and serum iron ferritin levels and interruptions to treatment (to manage either side effects or iron ferri</w:t>
      </w:r>
      <w:r w:rsidR="006D5811">
        <w:t>tin levels) may be frequent.</w:t>
      </w:r>
    </w:p>
    <w:p w:rsidR="00666194" w:rsidRPr="003E55FD" w:rsidRDefault="006D5811" w:rsidP="007478B9">
      <w:pPr>
        <w:pStyle w:val="BodyText"/>
        <w:widowControl/>
      </w:pPr>
      <w:r>
        <w:rPr>
          <w:rStyle w:val="IntenseReference"/>
          <w:bCs w:val="0"/>
          <w:i/>
          <w:smallCaps w:val="0"/>
          <w:color w:val="auto"/>
        </w:rPr>
        <w:t xml:space="preserve"> </w:t>
      </w:r>
    </w:p>
    <w:p w:rsidR="00666194" w:rsidRPr="00575319" w:rsidRDefault="00666194" w:rsidP="007478B9">
      <w:pPr>
        <w:pStyle w:val="Heading2"/>
        <w:widowControl/>
        <w:rPr>
          <w:i/>
        </w:rPr>
      </w:pPr>
      <w:bookmarkStart w:id="17" w:name="_Toc419798705"/>
      <w:r w:rsidRPr="00575319">
        <w:rPr>
          <w:i/>
        </w:rPr>
        <w:t>Estimated PBS usage &amp; financial implications</w:t>
      </w:r>
      <w:bookmarkEnd w:id="17"/>
    </w:p>
    <w:p w:rsidR="00666194" w:rsidRPr="00575319" w:rsidRDefault="00666194" w:rsidP="007478B9">
      <w:pPr>
        <w:widowControl/>
        <w:ind w:left="720" w:hanging="720"/>
        <w:rPr>
          <w:b/>
          <w:i/>
          <w:szCs w:val="22"/>
        </w:rPr>
      </w:pPr>
    </w:p>
    <w:p w:rsidR="00B9045D" w:rsidRPr="009B2699" w:rsidRDefault="00666194" w:rsidP="007478B9">
      <w:pPr>
        <w:pStyle w:val="ListParagraph"/>
        <w:widowControl/>
        <w:numPr>
          <w:ilvl w:val="1"/>
          <w:numId w:val="4"/>
        </w:numPr>
        <w:rPr>
          <w:szCs w:val="22"/>
        </w:rPr>
      </w:pPr>
      <w:r w:rsidRPr="001535C5">
        <w:t xml:space="preserve">This submission </w:t>
      </w:r>
      <w:r w:rsidR="001535C5">
        <w:t xml:space="preserve">was not </w:t>
      </w:r>
      <w:r w:rsidRPr="001535C5">
        <w:t>considered by DUSC</w:t>
      </w:r>
      <w:r w:rsidR="00E350F2">
        <w:t>, however DUSC had previously reviewed the use of DFX on the PBS (</w:t>
      </w:r>
      <w:r w:rsidR="00C5722A">
        <w:t>in Octo</w:t>
      </w:r>
      <w:r w:rsidR="00C5722A" w:rsidRPr="00575319">
        <w:t>ber 2014</w:t>
      </w:r>
      <w:r w:rsidR="00E350F2">
        <w:t>)</w:t>
      </w:r>
      <w:r w:rsidRPr="001535C5">
        <w:rPr>
          <w:color w:val="0070C0"/>
        </w:rPr>
        <w:t xml:space="preserve">.  </w:t>
      </w:r>
      <w:r w:rsidR="00B9045D" w:rsidRPr="001535C5">
        <w:t>The submission adopted a market share approach and examine</w:t>
      </w:r>
      <w:r w:rsidR="007142B5">
        <w:t>d</w:t>
      </w:r>
      <w:r w:rsidR="00B9045D" w:rsidRPr="001535C5">
        <w:t xml:space="preserve"> the utilisation of DFX for the treatment of </w:t>
      </w:r>
      <w:r w:rsidR="00575755">
        <w:t>iron overload</w:t>
      </w:r>
      <w:r w:rsidR="00B9045D" w:rsidRPr="001535C5">
        <w:t xml:space="preserve"> in three scenarios with the following associated prices for DFX:</w:t>
      </w:r>
    </w:p>
    <w:p w:rsidR="009B2699" w:rsidRPr="001535C5" w:rsidRDefault="009B2699" w:rsidP="007478B9">
      <w:pPr>
        <w:pStyle w:val="ListParagraph"/>
        <w:widowControl/>
        <w:rPr>
          <w:szCs w:val="22"/>
        </w:rPr>
      </w:pPr>
    </w:p>
    <w:tbl>
      <w:tblPr>
        <w:tblStyle w:val="TableGrid"/>
        <w:tblW w:w="0" w:type="auto"/>
        <w:tblInd w:w="737" w:type="dxa"/>
        <w:tblCellMar>
          <w:left w:w="28" w:type="dxa"/>
          <w:right w:w="28" w:type="dxa"/>
        </w:tblCellMar>
        <w:tblLook w:val="04A0" w:firstRow="1" w:lastRow="0" w:firstColumn="1" w:lastColumn="0" w:noHBand="0" w:noVBand="1"/>
        <w:tblCaption w:val="Scenarios of deferasirox listing"/>
        <w:tblDescription w:val="The table shows the three listing scenarios proposed in the submission and the corresponding price. "/>
      </w:tblPr>
      <w:tblGrid>
        <w:gridCol w:w="4111"/>
        <w:gridCol w:w="4234"/>
      </w:tblGrid>
      <w:tr w:rsidR="00B9045D" w:rsidRPr="00575319" w:rsidTr="002D587E">
        <w:trPr>
          <w:tblHeader/>
        </w:trPr>
        <w:tc>
          <w:tcPr>
            <w:tcW w:w="4111" w:type="dxa"/>
            <w:vAlign w:val="center"/>
          </w:tcPr>
          <w:p w:rsidR="00B9045D" w:rsidRPr="00575319" w:rsidRDefault="00B9045D" w:rsidP="007478B9">
            <w:pPr>
              <w:widowControl/>
              <w:jc w:val="center"/>
              <w:rPr>
                <w:rFonts w:ascii="Arial Narrow" w:hAnsi="Arial Narrow"/>
                <w:b/>
                <w:bCs/>
              </w:rPr>
            </w:pPr>
            <w:r w:rsidRPr="00575319">
              <w:rPr>
                <w:rFonts w:ascii="Arial Narrow" w:hAnsi="Arial Narrow"/>
                <w:b/>
                <w:bCs/>
              </w:rPr>
              <w:t>Scenarios assessed</w:t>
            </w:r>
          </w:p>
        </w:tc>
        <w:tc>
          <w:tcPr>
            <w:tcW w:w="4234" w:type="dxa"/>
            <w:vAlign w:val="center"/>
          </w:tcPr>
          <w:p w:rsidR="00B9045D" w:rsidRPr="00575319" w:rsidRDefault="00B9045D" w:rsidP="007478B9">
            <w:pPr>
              <w:widowControl/>
              <w:jc w:val="center"/>
              <w:rPr>
                <w:rFonts w:ascii="Arial Narrow" w:hAnsi="Arial Narrow"/>
                <w:b/>
                <w:bCs/>
              </w:rPr>
            </w:pPr>
            <w:r w:rsidRPr="00575319">
              <w:rPr>
                <w:rFonts w:ascii="Arial Narrow" w:hAnsi="Arial Narrow"/>
                <w:b/>
                <w:bCs/>
              </w:rPr>
              <w:t>Price of DFX assumed in analyses</w:t>
            </w:r>
          </w:p>
        </w:tc>
      </w:tr>
      <w:tr w:rsidR="00B9045D" w:rsidRPr="00575319" w:rsidTr="00FC290B">
        <w:tc>
          <w:tcPr>
            <w:tcW w:w="4111" w:type="dxa"/>
          </w:tcPr>
          <w:p w:rsidR="00B9045D" w:rsidRPr="00575319" w:rsidRDefault="00FC290B" w:rsidP="007478B9">
            <w:pPr>
              <w:widowControl/>
              <w:jc w:val="left"/>
              <w:rPr>
                <w:rFonts w:ascii="Arial Narrow" w:hAnsi="Arial Narrow"/>
              </w:rPr>
            </w:pPr>
            <w:r>
              <w:rPr>
                <w:rFonts w:ascii="Arial Narrow" w:hAnsi="Arial Narrow"/>
              </w:rPr>
              <w:t>Scenario</w:t>
            </w:r>
            <w:r w:rsidR="00B9045D" w:rsidRPr="00575319">
              <w:rPr>
                <w:rFonts w:ascii="Arial Narrow" w:hAnsi="Arial Narrow"/>
              </w:rPr>
              <w:t>1:  No change to the current PBS listing</w:t>
            </w:r>
          </w:p>
        </w:tc>
        <w:tc>
          <w:tcPr>
            <w:tcW w:w="4234" w:type="dxa"/>
          </w:tcPr>
          <w:p w:rsidR="00B9045D" w:rsidRPr="00575319" w:rsidRDefault="00B9045D" w:rsidP="007478B9">
            <w:pPr>
              <w:widowControl/>
              <w:jc w:val="left"/>
              <w:rPr>
                <w:rFonts w:ascii="Arial Narrow" w:hAnsi="Arial Narrow"/>
              </w:rPr>
            </w:pPr>
            <w:r w:rsidRPr="00575319">
              <w:rPr>
                <w:rFonts w:ascii="Arial Narrow" w:hAnsi="Arial Narrow"/>
              </w:rPr>
              <w:t xml:space="preserve">Current price: inclusive of a </w:t>
            </w:r>
            <w:r w:rsidR="00D57F00">
              <w:rPr>
                <w:rFonts w:ascii="Arial Narrow" w:hAnsi="Arial Narrow"/>
                <w:noProof/>
                <w:color w:val="000000"/>
                <w:highlight w:val="black"/>
              </w:rPr>
              <w:t>'''''</w:t>
            </w:r>
            <w:r w:rsidRPr="00575319">
              <w:rPr>
                <w:rFonts w:ascii="Arial Narrow" w:hAnsi="Arial Narrow"/>
              </w:rPr>
              <w:t>% rebate off Ex-Man prices</w:t>
            </w:r>
          </w:p>
        </w:tc>
      </w:tr>
      <w:tr w:rsidR="00B9045D" w:rsidRPr="00575319" w:rsidTr="00FC290B">
        <w:tc>
          <w:tcPr>
            <w:tcW w:w="4111" w:type="dxa"/>
          </w:tcPr>
          <w:p w:rsidR="00B9045D" w:rsidRPr="00575319" w:rsidRDefault="00FC290B" w:rsidP="007478B9">
            <w:pPr>
              <w:widowControl/>
              <w:jc w:val="left"/>
              <w:rPr>
                <w:rFonts w:ascii="Arial Narrow" w:hAnsi="Arial Narrow"/>
              </w:rPr>
            </w:pPr>
            <w:r>
              <w:rPr>
                <w:rFonts w:ascii="Arial Narrow" w:hAnsi="Arial Narrow"/>
              </w:rPr>
              <w:t xml:space="preserve">Scenario </w:t>
            </w:r>
            <w:r w:rsidR="00B9045D" w:rsidRPr="00575319">
              <w:rPr>
                <w:rFonts w:ascii="Arial Narrow" w:hAnsi="Arial Narrow"/>
              </w:rPr>
              <w:t xml:space="preserve">2: The PBAC's </w:t>
            </w:r>
            <w:r w:rsidR="00471B56" w:rsidRPr="00575319">
              <w:rPr>
                <w:rFonts w:ascii="Arial Narrow" w:hAnsi="Arial Narrow"/>
              </w:rPr>
              <w:t xml:space="preserve">(November 2014) </w:t>
            </w:r>
            <w:r w:rsidR="00B9045D" w:rsidRPr="00575319">
              <w:rPr>
                <w:rFonts w:ascii="Arial Narrow" w:hAnsi="Arial Narrow"/>
              </w:rPr>
              <w:t>proposed DFX PBS restriction is implemented</w:t>
            </w:r>
            <w:r w:rsidR="00837D27">
              <w:rPr>
                <w:rFonts w:ascii="Arial Narrow" w:hAnsi="Arial Narrow"/>
              </w:rPr>
              <w:t>.</w:t>
            </w:r>
          </w:p>
        </w:tc>
        <w:tc>
          <w:tcPr>
            <w:tcW w:w="4234" w:type="dxa"/>
          </w:tcPr>
          <w:p w:rsidR="00B9045D" w:rsidRPr="00575319" w:rsidRDefault="00B9045D" w:rsidP="007478B9">
            <w:pPr>
              <w:widowControl/>
              <w:jc w:val="left"/>
              <w:rPr>
                <w:rFonts w:ascii="Arial Narrow" w:hAnsi="Arial Narrow"/>
              </w:rPr>
            </w:pPr>
            <w:r w:rsidRPr="00575319">
              <w:rPr>
                <w:rFonts w:ascii="Arial Narrow" w:hAnsi="Arial Narrow"/>
              </w:rPr>
              <w:t xml:space="preserve">Current price: inclusive of a </w:t>
            </w:r>
            <w:r w:rsidR="00D57F00">
              <w:rPr>
                <w:rFonts w:ascii="Arial Narrow" w:hAnsi="Arial Narrow"/>
                <w:noProof/>
                <w:color w:val="000000"/>
                <w:highlight w:val="black"/>
              </w:rPr>
              <w:t>''''''</w:t>
            </w:r>
            <w:r w:rsidRPr="00575319">
              <w:rPr>
                <w:rFonts w:ascii="Arial Narrow" w:hAnsi="Arial Narrow"/>
              </w:rPr>
              <w:t>% rebate off Ex-Man prices</w:t>
            </w:r>
          </w:p>
        </w:tc>
      </w:tr>
      <w:tr w:rsidR="00B9045D" w:rsidRPr="00575319" w:rsidTr="00FC290B">
        <w:tc>
          <w:tcPr>
            <w:tcW w:w="4111" w:type="dxa"/>
          </w:tcPr>
          <w:p w:rsidR="00B9045D" w:rsidRPr="00575319" w:rsidRDefault="00FC290B" w:rsidP="007478B9">
            <w:pPr>
              <w:widowControl/>
              <w:jc w:val="left"/>
              <w:rPr>
                <w:rFonts w:ascii="Arial Narrow" w:hAnsi="Arial Narrow"/>
              </w:rPr>
            </w:pPr>
            <w:r>
              <w:rPr>
                <w:rFonts w:ascii="Arial Narrow" w:hAnsi="Arial Narrow"/>
              </w:rPr>
              <w:t xml:space="preserve">Scenario </w:t>
            </w:r>
            <w:r w:rsidR="00B9045D" w:rsidRPr="00575319">
              <w:rPr>
                <w:rFonts w:ascii="Arial Narrow" w:hAnsi="Arial Narrow"/>
              </w:rPr>
              <w:t xml:space="preserve">3:  A malignant and non-malignant PBS restriction </w:t>
            </w:r>
            <w:r w:rsidR="00471B56">
              <w:rPr>
                <w:rFonts w:ascii="Arial Narrow" w:hAnsi="Arial Narrow"/>
              </w:rPr>
              <w:t xml:space="preserve">is </w:t>
            </w:r>
            <w:r w:rsidR="00471B56" w:rsidRPr="00575319">
              <w:rPr>
                <w:rFonts w:ascii="Arial Narrow" w:hAnsi="Arial Narrow"/>
              </w:rPr>
              <w:t>implemented</w:t>
            </w:r>
            <w:r w:rsidR="00B9045D" w:rsidRPr="00575319">
              <w:rPr>
                <w:rFonts w:ascii="Arial Narrow" w:hAnsi="Arial Narrow"/>
              </w:rPr>
              <w:t>, achiev</w:t>
            </w:r>
            <w:r w:rsidR="00471B56">
              <w:rPr>
                <w:rFonts w:ascii="Arial Narrow" w:hAnsi="Arial Narrow"/>
              </w:rPr>
              <w:t>ing same coverage as Scenario 1 (</w:t>
            </w:r>
            <w:r w:rsidR="00742A70">
              <w:rPr>
                <w:rFonts w:ascii="Arial Narrow" w:hAnsi="Arial Narrow"/>
              </w:rPr>
              <w:t>i.e.</w:t>
            </w:r>
            <w:r w:rsidR="00471B56">
              <w:rPr>
                <w:rFonts w:ascii="Arial Narrow" w:hAnsi="Arial Narrow"/>
              </w:rPr>
              <w:t xml:space="preserve"> proposed listings 2a and 2b)</w:t>
            </w:r>
          </w:p>
        </w:tc>
        <w:tc>
          <w:tcPr>
            <w:tcW w:w="4234" w:type="dxa"/>
          </w:tcPr>
          <w:p w:rsidR="00B9045D" w:rsidRPr="00575319" w:rsidRDefault="00B9045D" w:rsidP="007478B9">
            <w:pPr>
              <w:widowControl/>
              <w:jc w:val="left"/>
              <w:rPr>
                <w:rFonts w:ascii="Arial Narrow" w:hAnsi="Arial Narrow"/>
              </w:rPr>
            </w:pPr>
            <w:r w:rsidRPr="00575319">
              <w:rPr>
                <w:rFonts w:ascii="Arial Narrow" w:hAnsi="Arial Narrow"/>
              </w:rPr>
              <w:t xml:space="preserve">Price incorporating a higher discount of </w:t>
            </w:r>
            <w:r w:rsidR="00D57F00">
              <w:rPr>
                <w:rFonts w:ascii="Arial Narrow" w:hAnsi="Arial Narrow"/>
                <w:noProof/>
                <w:color w:val="000000"/>
                <w:highlight w:val="black"/>
              </w:rPr>
              <w:t>''''''''''''</w:t>
            </w:r>
            <w:r w:rsidRPr="00575319">
              <w:rPr>
                <w:rFonts w:ascii="Arial Narrow" w:hAnsi="Arial Narrow"/>
              </w:rPr>
              <w:t>% for usage in MDS and NTDT populations, giving an overall weighted reb</w:t>
            </w:r>
            <w:r w:rsidR="00471B56">
              <w:rPr>
                <w:rFonts w:ascii="Arial Narrow" w:hAnsi="Arial Narrow"/>
              </w:rPr>
              <w:t xml:space="preserve">ate of </w:t>
            </w:r>
            <w:r w:rsidR="00D57F00">
              <w:rPr>
                <w:rFonts w:ascii="Arial Narrow" w:hAnsi="Arial Narrow"/>
                <w:noProof/>
                <w:color w:val="000000"/>
                <w:highlight w:val="black"/>
              </w:rPr>
              <w:t>''''''''''''''</w:t>
            </w:r>
            <w:r w:rsidR="00471B56">
              <w:rPr>
                <w:rFonts w:ascii="Arial Narrow" w:hAnsi="Arial Narrow"/>
              </w:rPr>
              <w:t>% off Ex-Man prices (</w:t>
            </w:r>
            <w:r w:rsidR="00A84463">
              <w:rPr>
                <w:rFonts w:ascii="Arial Narrow" w:hAnsi="Arial Narrow"/>
              </w:rPr>
              <w:t>i.e.</w:t>
            </w:r>
            <w:r w:rsidR="00471B56">
              <w:rPr>
                <w:rFonts w:ascii="Arial Narrow" w:hAnsi="Arial Narrow"/>
              </w:rPr>
              <w:t xml:space="preserve">, an additional </w:t>
            </w:r>
            <w:r w:rsidR="00D57F00">
              <w:rPr>
                <w:rFonts w:ascii="Arial Narrow" w:hAnsi="Arial Narrow"/>
                <w:noProof/>
                <w:color w:val="000000"/>
                <w:highlight w:val="black"/>
              </w:rPr>
              <w:t>''''''''''</w:t>
            </w:r>
            <w:r w:rsidR="00471B56">
              <w:rPr>
                <w:rFonts w:ascii="Arial Narrow" w:hAnsi="Arial Narrow"/>
              </w:rPr>
              <w:t>% off compared to the current discount).</w:t>
            </w:r>
          </w:p>
        </w:tc>
      </w:tr>
    </w:tbl>
    <w:p w:rsidR="00666194" w:rsidRPr="001535C5" w:rsidRDefault="00666194" w:rsidP="007478B9">
      <w:pPr>
        <w:widowControl/>
        <w:ind w:left="709"/>
        <w:rPr>
          <w:szCs w:val="22"/>
        </w:rPr>
      </w:pPr>
    </w:p>
    <w:p w:rsidR="00653B3D" w:rsidRPr="008969EA" w:rsidRDefault="00B9045D" w:rsidP="007478B9">
      <w:pPr>
        <w:pStyle w:val="ListParagraph"/>
        <w:widowControl/>
        <w:numPr>
          <w:ilvl w:val="1"/>
          <w:numId w:val="4"/>
        </w:numPr>
        <w:rPr>
          <w:i/>
          <w:iCs/>
          <w:szCs w:val="22"/>
        </w:rPr>
      </w:pPr>
      <w:r w:rsidRPr="009B2699">
        <w:t>The</w:t>
      </w:r>
      <w:r w:rsidRPr="001535C5">
        <w:rPr>
          <w:szCs w:val="22"/>
        </w:rPr>
        <w:t xml:space="preserve"> estimated number of scripts and net cost to PBS for </w:t>
      </w:r>
      <w:r w:rsidR="00471B56" w:rsidRPr="001535C5">
        <w:rPr>
          <w:szCs w:val="22"/>
        </w:rPr>
        <w:t>S</w:t>
      </w:r>
      <w:r w:rsidR="0037346A" w:rsidRPr="001535C5">
        <w:rPr>
          <w:szCs w:val="22"/>
        </w:rPr>
        <w:t>cenario 3 (the proposed listing</w:t>
      </w:r>
      <w:r w:rsidR="009B451B" w:rsidRPr="001535C5">
        <w:rPr>
          <w:szCs w:val="22"/>
        </w:rPr>
        <w:t>: 2a and 2b</w:t>
      </w:r>
      <w:r w:rsidR="0037346A" w:rsidRPr="001535C5">
        <w:rPr>
          <w:szCs w:val="22"/>
        </w:rPr>
        <w:t xml:space="preserve">) </w:t>
      </w:r>
      <w:r w:rsidRPr="001535C5">
        <w:rPr>
          <w:szCs w:val="22"/>
        </w:rPr>
        <w:t xml:space="preserve">is summarised in Table </w:t>
      </w:r>
      <w:r w:rsidR="009A4A06">
        <w:rPr>
          <w:szCs w:val="22"/>
        </w:rPr>
        <w:t>11</w:t>
      </w:r>
      <w:r w:rsidRPr="001535C5">
        <w:rPr>
          <w:szCs w:val="22"/>
        </w:rPr>
        <w:t>.</w:t>
      </w:r>
      <w:r w:rsidR="00FC290B" w:rsidRPr="001535C5">
        <w:rPr>
          <w:szCs w:val="22"/>
        </w:rPr>
        <w:t xml:space="preserve">  </w:t>
      </w:r>
      <w:r w:rsidR="00FC290B" w:rsidRPr="001535C5">
        <w:rPr>
          <w:iCs/>
          <w:szCs w:val="22"/>
        </w:rPr>
        <w:t xml:space="preserve">This scenario assumes that 5% of </w:t>
      </w:r>
      <w:r w:rsidR="00A84463" w:rsidRPr="001535C5">
        <w:rPr>
          <w:iCs/>
          <w:szCs w:val="22"/>
        </w:rPr>
        <w:t>patients</w:t>
      </w:r>
      <w:r w:rsidR="00FC290B" w:rsidRPr="001535C5">
        <w:rPr>
          <w:iCs/>
          <w:szCs w:val="22"/>
        </w:rPr>
        <w:t xml:space="preserve"> currently accessing PBS treatments for MDS and NTDT will no longer be eligible, however, the proposed listing </w:t>
      </w:r>
      <w:r w:rsidR="007147DA">
        <w:rPr>
          <w:iCs/>
          <w:szCs w:val="22"/>
        </w:rPr>
        <w:t>wa</w:t>
      </w:r>
      <w:r w:rsidR="009B451B" w:rsidRPr="001535C5">
        <w:rPr>
          <w:iCs/>
          <w:szCs w:val="22"/>
        </w:rPr>
        <w:t xml:space="preserve">s </w:t>
      </w:r>
      <w:r w:rsidR="00FC290B" w:rsidRPr="001535C5">
        <w:rPr>
          <w:iCs/>
          <w:szCs w:val="22"/>
        </w:rPr>
        <w:t xml:space="preserve">sufficiently loose to permit all currently eligible patients to continue obtaining PBS supplies of DFX.  </w:t>
      </w:r>
      <w:r w:rsidR="00464F89" w:rsidRPr="00D1526E">
        <w:rPr>
          <w:iCs/>
          <w:szCs w:val="22"/>
        </w:rPr>
        <w:t xml:space="preserve">The ESC noted </w:t>
      </w:r>
      <w:r w:rsidR="00C15B1F" w:rsidRPr="00D1526E">
        <w:rPr>
          <w:iCs/>
          <w:szCs w:val="22"/>
        </w:rPr>
        <w:t>the paper “</w:t>
      </w:r>
      <w:r w:rsidR="00742A70">
        <w:rPr>
          <w:iCs/>
          <w:szCs w:val="22"/>
        </w:rPr>
        <w:t>Epidemiology</w:t>
      </w:r>
      <w:r w:rsidR="00C15B1F" w:rsidRPr="00D1526E">
        <w:rPr>
          <w:iCs/>
          <w:szCs w:val="22"/>
        </w:rPr>
        <w:t xml:space="preserve"> of Myelodysplastic Syndromes”</w:t>
      </w:r>
      <w:r w:rsidR="00464F89" w:rsidRPr="00D1526E">
        <w:rPr>
          <w:iCs/>
          <w:szCs w:val="22"/>
        </w:rPr>
        <w:t xml:space="preserve"> by</w:t>
      </w:r>
      <w:r w:rsidR="00C15B1F" w:rsidRPr="00D1526E">
        <w:rPr>
          <w:iCs/>
          <w:szCs w:val="22"/>
        </w:rPr>
        <w:t xml:space="preserve"> </w:t>
      </w:r>
      <w:r w:rsidR="00D2752D" w:rsidRPr="00D1526E">
        <w:rPr>
          <w:iCs/>
          <w:szCs w:val="22"/>
        </w:rPr>
        <w:t xml:space="preserve">Ma </w:t>
      </w:r>
      <w:r w:rsidR="00C15B1F" w:rsidRPr="00D1526E">
        <w:rPr>
          <w:iCs/>
          <w:szCs w:val="22"/>
        </w:rPr>
        <w:t>(2012)</w:t>
      </w:r>
      <w:r w:rsidR="0087259E" w:rsidRPr="00D1526E">
        <w:rPr>
          <w:rStyle w:val="FootnoteReference"/>
          <w:iCs/>
          <w:szCs w:val="22"/>
        </w:rPr>
        <w:footnoteReference w:id="2"/>
      </w:r>
      <w:r w:rsidR="00464F89" w:rsidRPr="00D1526E">
        <w:rPr>
          <w:iCs/>
          <w:szCs w:val="22"/>
        </w:rPr>
        <w:t xml:space="preserve"> which suggested that the incidence of MDS ma</w:t>
      </w:r>
      <w:r w:rsidR="007142B5" w:rsidRPr="00D1526E">
        <w:rPr>
          <w:iCs/>
          <w:szCs w:val="22"/>
        </w:rPr>
        <w:t>y</w:t>
      </w:r>
      <w:r w:rsidR="00464F89" w:rsidRPr="00D1526E">
        <w:rPr>
          <w:iCs/>
          <w:szCs w:val="22"/>
        </w:rPr>
        <w:t xml:space="preserve"> be increasing due to</w:t>
      </w:r>
      <w:r w:rsidR="00C15B1F" w:rsidRPr="00D1526E">
        <w:rPr>
          <w:iCs/>
          <w:szCs w:val="22"/>
        </w:rPr>
        <w:t xml:space="preserve"> an improved awareness of the disease</w:t>
      </w:r>
      <w:r w:rsidR="003734C2" w:rsidRPr="00D1526E">
        <w:rPr>
          <w:iCs/>
          <w:szCs w:val="22"/>
        </w:rPr>
        <w:t xml:space="preserve"> and more thorough clinical work up; thus</w:t>
      </w:r>
      <w:r w:rsidR="0029707B" w:rsidRPr="00D1526E">
        <w:rPr>
          <w:iCs/>
          <w:szCs w:val="22"/>
        </w:rPr>
        <w:t xml:space="preserve"> </w:t>
      </w:r>
      <w:r w:rsidR="003734C2" w:rsidRPr="00D1526E">
        <w:rPr>
          <w:iCs/>
          <w:szCs w:val="22"/>
        </w:rPr>
        <w:t xml:space="preserve">the ESC </w:t>
      </w:r>
      <w:r w:rsidR="0029707B" w:rsidRPr="00D1526E">
        <w:rPr>
          <w:iCs/>
          <w:szCs w:val="22"/>
        </w:rPr>
        <w:t>considered</w:t>
      </w:r>
      <w:r w:rsidR="00464F89" w:rsidRPr="00D1526E">
        <w:rPr>
          <w:iCs/>
          <w:szCs w:val="22"/>
        </w:rPr>
        <w:t xml:space="preserve"> that the real number of scripts could be higher than the adjusted estimate presented in the </w:t>
      </w:r>
      <w:r w:rsidR="009B2699" w:rsidRPr="00D1526E">
        <w:rPr>
          <w:iCs/>
          <w:szCs w:val="22"/>
        </w:rPr>
        <w:t>C</w:t>
      </w:r>
      <w:r w:rsidR="00464F89" w:rsidRPr="00D1526E">
        <w:rPr>
          <w:iCs/>
          <w:szCs w:val="22"/>
        </w:rPr>
        <w:t xml:space="preserve">ommentary. </w:t>
      </w:r>
    </w:p>
    <w:p w:rsidR="0042214A" w:rsidRDefault="0042214A" w:rsidP="007478B9">
      <w:pPr>
        <w:widowControl/>
        <w:ind w:left="709"/>
        <w:rPr>
          <w:rStyle w:val="CommentReference"/>
        </w:rPr>
      </w:pPr>
    </w:p>
    <w:p w:rsidR="00666194" w:rsidRPr="00575319" w:rsidRDefault="00B9045D" w:rsidP="007478B9">
      <w:pPr>
        <w:widowControl/>
        <w:ind w:left="709"/>
        <w:rPr>
          <w:rStyle w:val="CommentReference"/>
        </w:rPr>
      </w:pPr>
      <w:r>
        <w:rPr>
          <w:rStyle w:val="CommentReference"/>
        </w:rPr>
        <w:t xml:space="preserve">Table </w:t>
      </w:r>
      <w:r w:rsidR="009F3929">
        <w:rPr>
          <w:rStyle w:val="CommentReference"/>
        </w:rPr>
        <w:t>11</w:t>
      </w:r>
      <w:r w:rsidR="00666194" w:rsidRPr="00575319">
        <w:rPr>
          <w:rStyle w:val="CommentReference"/>
        </w:rPr>
        <w:t>: Estimated use and financial implications</w:t>
      </w:r>
      <w:r w:rsidR="0037346A">
        <w:rPr>
          <w:rStyle w:val="CommentReference"/>
        </w:rPr>
        <w:t xml:space="preserve"> (number in brackets is the increment from Scenario 2, assuming the November 2014 PBAC recommendation is implemented)</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666194" w:rsidRPr="00575319" w:rsidTr="009F1C11">
        <w:trPr>
          <w:tblHeader/>
        </w:trPr>
        <w:tc>
          <w:tcPr>
            <w:tcW w:w="1359" w:type="pct"/>
            <w:shd w:val="clear" w:color="auto" w:fill="auto"/>
            <w:vAlign w:val="center"/>
          </w:tcPr>
          <w:p w:rsidR="00666194" w:rsidRPr="00550AED" w:rsidRDefault="00666194" w:rsidP="007478B9">
            <w:pPr>
              <w:widowControl/>
              <w:tabs>
                <w:tab w:val="left" w:pos="142"/>
              </w:tabs>
              <w:jc w:val="left"/>
              <w:rPr>
                <w:rFonts w:ascii="Arial Narrow" w:hAnsi="Arial Narrow"/>
                <w:b/>
                <w:sz w:val="20"/>
              </w:rPr>
            </w:pPr>
          </w:p>
        </w:tc>
        <w:tc>
          <w:tcPr>
            <w:tcW w:w="679" w:type="pct"/>
            <w:shd w:val="clear" w:color="auto" w:fill="auto"/>
            <w:vAlign w:val="center"/>
          </w:tcPr>
          <w:p w:rsidR="00666194" w:rsidRPr="00550AED" w:rsidRDefault="00666194" w:rsidP="007478B9">
            <w:pPr>
              <w:widowControl/>
              <w:jc w:val="center"/>
              <w:rPr>
                <w:rFonts w:ascii="Arial Narrow" w:hAnsi="Arial Narrow"/>
                <w:b/>
                <w:sz w:val="20"/>
              </w:rPr>
            </w:pPr>
            <w:r w:rsidRPr="00550AED">
              <w:rPr>
                <w:rFonts w:ascii="Arial Narrow" w:hAnsi="Arial Narrow"/>
                <w:b/>
                <w:sz w:val="20"/>
              </w:rPr>
              <w:t>Year 1</w:t>
            </w:r>
          </w:p>
          <w:p w:rsidR="0037346A" w:rsidRPr="00550AED" w:rsidRDefault="0037346A" w:rsidP="007478B9">
            <w:pPr>
              <w:widowControl/>
              <w:jc w:val="center"/>
              <w:rPr>
                <w:rFonts w:ascii="Arial Narrow" w:hAnsi="Arial Narrow"/>
                <w:b/>
                <w:sz w:val="20"/>
              </w:rPr>
            </w:pPr>
            <w:r w:rsidRPr="00550AED">
              <w:rPr>
                <w:rFonts w:ascii="Arial Narrow" w:hAnsi="Arial Narrow"/>
                <w:b/>
                <w:sz w:val="20"/>
              </w:rPr>
              <w:t>2016</w:t>
            </w:r>
          </w:p>
        </w:tc>
        <w:tc>
          <w:tcPr>
            <w:tcW w:w="679" w:type="pct"/>
            <w:shd w:val="clear" w:color="auto" w:fill="auto"/>
            <w:vAlign w:val="center"/>
          </w:tcPr>
          <w:p w:rsidR="00666194" w:rsidRPr="00550AED" w:rsidRDefault="00666194" w:rsidP="007478B9">
            <w:pPr>
              <w:widowControl/>
              <w:jc w:val="center"/>
              <w:rPr>
                <w:rFonts w:ascii="Arial Narrow" w:hAnsi="Arial Narrow"/>
                <w:b/>
                <w:sz w:val="20"/>
              </w:rPr>
            </w:pPr>
            <w:r w:rsidRPr="00550AED">
              <w:rPr>
                <w:rFonts w:ascii="Arial Narrow" w:hAnsi="Arial Narrow"/>
                <w:b/>
                <w:sz w:val="20"/>
              </w:rPr>
              <w:t>Year 2</w:t>
            </w:r>
          </w:p>
          <w:p w:rsidR="0037346A" w:rsidRPr="00550AED" w:rsidRDefault="0037346A" w:rsidP="007478B9">
            <w:pPr>
              <w:widowControl/>
              <w:jc w:val="center"/>
              <w:rPr>
                <w:rFonts w:ascii="Arial Narrow" w:hAnsi="Arial Narrow"/>
                <w:b/>
                <w:sz w:val="20"/>
              </w:rPr>
            </w:pPr>
            <w:r w:rsidRPr="00550AED">
              <w:rPr>
                <w:rFonts w:ascii="Arial Narrow" w:hAnsi="Arial Narrow"/>
                <w:b/>
                <w:sz w:val="20"/>
              </w:rPr>
              <w:t>2017</w:t>
            </w:r>
          </w:p>
        </w:tc>
        <w:tc>
          <w:tcPr>
            <w:tcW w:w="764" w:type="pct"/>
            <w:shd w:val="clear" w:color="auto" w:fill="auto"/>
            <w:vAlign w:val="center"/>
          </w:tcPr>
          <w:p w:rsidR="00666194" w:rsidRPr="00550AED" w:rsidRDefault="00666194" w:rsidP="007478B9">
            <w:pPr>
              <w:widowControl/>
              <w:jc w:val="center"/>
              <w:rPr>
                <w:rFonts w:ascii="Arial Narrow" w:hAnsi="Arial Narrow"/>
                <w:b/>
                <w:sz w:val="20"/>
              </w:rPr>
            </w:pPr>
            <w:r w:rsidRPr="00550AED">
              <w:rPr>
                <w:rFonts w:ascii="Arial Narrow" w:hAnsi="Arial Narrow"/>
                <w:b/>
                <w:sz w:val="20"/>
              </w:rPr>
              <w:t>Year 3</w:t>
            </w:r>
          </w:p>
          <w:p w:rsidR="0037346A" w:rsidRPr="00550AED" w:rsidRDefault="0037346A" w:rsidP="007478B9">
            <w:pPr>
              <w:widowControl/>
              <w:jc w:val="center"/>
              <w:rPr>
                <w:rFonts w:ascii="Arial Narrow" w:hAnsi="Arial Narrow"/>
                <w:b/>
                <w:sz w:val="20"/>
              </w:rPr>
            </w:pPr>
            <w:r w:rsidRPr="00550AED">
              <w:rPr>
                <w:rFonts w:ascii="Arial Narrow" w:hAnsi="Arial Narrow"/>
                <w:b/>
                <w:sz w:val="20"/>
              </w:rPr>
              <w:t>2018</w:t>
            </w:r>
          </w:p>
        </w:tc>
        <w:tc>
          <w:tcPr>
            <w:tcW w:w="764" w:type="pct"/>
            <w:shd w:val="clear" w:color="auto" w:fill="auto"/>
            <w:vAlign w:val="center"/>
          </w:tcPr>
          <w:p w:rsidR="00666194" w:rsidRPr="00550AED" w:rsidRDefault="00666194" w:rsidP="007478B9">
            <w:pPr>
              <w:widowControl/>
              <w:jc w:val="center"/>
              <w:rPr>
                <w:rFonts w:ascii="Arial Narrow" w:hAnsi="Arial Narrow"/>
                <w:b/>
                <w:sz w:val="20"/>
              </w:rPr>
            </w:pPr>
            <w:r w:rsidRPr="00550AED">
              <w:rPr>
                <w:rFonts w:ascii="Arial Narrow" w:hAnsi="Arial Narrow"/>
                <w:b/>
                <w:sz w:val="20"/>
              </w:rPr>
              <w:t>Year 4</w:t>
            </w:r>
          </w:p>
          <w:p w:rsidR="0037346A" w:rsidRPr="00550AED" w:rsidRDefault="0037346A" w:rsidP="007478B9">
            <w:pPr>
              <w:widowControl/>
              <w:jc w:val="center"/>
              <w:rPr>
                <w:rFonts w:ascii="Arial Narrow" w:hAnsi="Arial Narrow"/>
                <w:b/>
                <w:sz w:val="20"/>
              </w:rPr>
            </w:pPr>
            <w:r w:rsidRPr="00550AED">
              <w:rPr>
                <w:rFonts w:ascii="Arial Narrow" w:hAnsi="Arial Narrow"/>
                <w:b/>
                <w:sz w:val="20"/>
              </w:rPr>
              <w:t>2019</w:t>
            </w:r>
          </w:p>
        </w:tc>
        <w:tc>
          <w:tcPr>
            <w:tcW w:w="755" w:type="pct"/>
            <w:shd w:val="clear" w:color="auto" w:fill="auto"/>
            <w:vAlign w:val="center"/>
          </w:tcPr>
          <w:p w:rsidR="00666194" w:rsidRPr="00550AED" w:rsidRDefault="00666194" w:rsidP="007478B9">
            <w:pPr>
              <w:widowControl/>
              <w:jc w:val="center"/>
              <w:rPr>
                <w:rFonts w:ascii="Arial Narrow" w:hAnsi="Arial Narrow"/>
                <w:b/>
                <w:sz w:val="20"/>
              </w:rPr>
            </w:pPr>
            <w:r w:rsidRPr="00550AED">
              <w:rPr>
                <w:rFonts w:ascii="Arial Narrow" w:hAnsi="Arial Narrow"/>
                <w:b/>
                <w:sz w:val="20"/>
              </w:rPr>
              <w:t>Year 5</w:t>
            </w:r>
          </w:p>
          <w:p w:rsidR="0037346A" w:rsidRPr="00550AED" w:rsidRDefault="0037346A" w:rsidP="007478B9">
            <w:pPr>
              <w:widowControl/>
              <w:jc w:val="center"/>
              <w:rPr>
                <w:rFonts w:ascii="Arial Narrow" w:hAnsi="Arial Narrow"/>
                <w:b/>
                <w:sz w:val="20"/>
              </w:rPr>
            </w:pPr>
            <w:r w:rsidRPr="00550AED">
              <w:rPr>
                <w:rFonts w:ascii="Arial Narrow" w:hAnsi="Arial Narrow"/>
                <w:b/>
                <w:sz w:val="20"/>
              </w:rPr>
              <w:t>2020</w:t>
            </w:r>
          </w:p>
        </w:tc>
      </w:tr>
      <w:tr w:rsidR="00666194" w:rsidRPr="00575319" w:rsidTr="009F1C11">
        <w:tc>
          <w:tcPr>
            <w:tcW w:w="5000" w:type="pct"/>
            <w:gridSpan w:val="6"/>
            <w:shd w:val="clear" w:color="auto" w:fill="auto"/>
            <w:vAlign w:val="center"/>
          </w:tcPr>
          <w:p w:rsidR="00666194" w:rsidRPr="00550AED" w:rsidRDefault="00666194" w:rsidP="007478B9">
            <w:pPr>
              <w:widowControl/>
              <w:jc w:val="left"/>
              <w:rPr>
                <w:rFonts w:ascii="Arial Narrow" w:hAnsi="Arial Narrow"/>
                <w:b/>
                <w:bCs/>
                <w:color w:val="000000"/>
                <w:sz w:val="20"/>
              </w:rPr>
            </w:pPr>
            <w:r w:rsidRPr="00550AED">
              <w:rPr>
                <w:rFonts w:ascii="Arial Narrow" w:hAnsi="Arial Narrow"/>
                <w:b/>
                <w:bCs/>
                <w:color w:val="000000"/>
                <w:sz w:val="20"/>
              </w:rPr>
              <w:t>Estimated extent of use</w:t>
            </w:r>
            <w:r w:rsidR="009B451B" w:rsidRPr="00550AED">
              <w:rPr>
                <w:rFonts w:ascii="Arial Narrow" w:hAnsi="Arial Narrow"/>
                <w:b/>
                <w:bCs/>
                <w:color w:val="000000"/>
                <w:sz w:val="20"/>
              </w:rPr>
              <w:t xml:space="preserve"> </w:t>
            </w:r>
          </w:p>
        </w:tc>
      </w:tr>
      <w:tr w:rsidR="0037346A" w:rsidRPr="00575319" w:rsidTr="009F1C11">
        <w:tc>
          <w:tcPr>
            <w:tcW w:w="1359" w:type="pct"/>
            <w:shd w:val="clear" w:color="auto" w:fill="auto"/>
            <w:vAlign w:val="center"/>
          </w:tcPr>
          <w:p w:rsidR="0037346A" w:rsidRPr="00550AED" w:rsidRDefault="0037346A" w:rsidP="007478B9">
            <w:pPr>
              <w:widowControl/>
              <w:tabs>
                <w:tab w:val="left" w:pos="142"/>
              </w:tabs>
              <w:jc w:val="left"/>
              <w:rPr>
                <w:rFonts w:ascii="Arial Narrow" w:hAnsi="Arial Narrow"/>
                <w:sz w:val="20"/>
              </w:rPr>
            </w:pPr>
            <w:r w:rsidRPr="00550AED">
              <w:rPr>
                <w:rFonts w:ascii="Arial Narrow" w:hAnsi="Arial Narrow"/>
                <w:sz w:val="20"/>
              </w:rPr>
              <w:t>Total DFX scripts</w:t>
            </w:r>
          </w:p>
        </w:tc>
        <w:tc>
          <w:tcPr>
            <w:tcW w:w="679" w:type="pct"/>
            <w:shd w:val="clear" w:color="auto" w:fill="auto"/>
            <w:vAlign w:val="center"/>
          </w:tcPr>
          <w:p w:rsidR="0037346A" w:rsidRPr="00550AED" w:rsidRDefault="00D57F00" w:rsidP="007478B9">
            <w:pPr>
              <w:widowControl/>
              <w:jc w:val="center"/>
              <w:rPr>
                <w:rFonts w:ascii="Arial Narrow" w:hAnsi="Arial Narrow"/>
                <w:sz w:val="20"/>
              </w:rPr>
            </w:pPr>
            <w:r>
              <w:rPr>
                <w:rFonts w:ascii="Arial Narrow" w:hAnsi="Arial Narrow"/>
                <w:noProof/>
                <w:color w:val="000000"/>
                <w:sz w:val="20"/>
                <w:highlight w:val="black"/>
              </w:rPr>
              <w:t>'''''''''''''</w:t>
            </w:r>
            <w:r w:rsidR="0037346A" w:rsidRPr="00550AED">
              <w:rPr>
                <w:rFonts w:ascii="Arial Narrow" w:hAnsi="Arial Narrow"/>
                <w:sz w:val="20"/>
              </w:rPr>
              <w:t>(</w:t>
            </w:r>
            <w:r>
              <w:rPr>
                <w:rFonts w:ascii="Arial Narrow" w:hAnsi="Arial Narrow"/>
                <w:noProof/>
                <w:color w:val="000000"/>
                <w:sz w:val="20"/>
                <w:highlight w:val="black"/>
              </w:rPr>
              <w:t>''''''''''''''</w:t>
            </w:r>
            <w:r w:rsidR="0037346A" w:rsidRPr="00550AED">
              <w:rPr>
                <w:rFonts w:ascii="Arial Narrow" w:hAnsi="Arial Narrow"/>
                <w:sz w:val="20"/>
              </w:rPr>
              <w:t>)</w:t>
            </w:r>
          </w:p>
        </w:tc>
        <w:tc>
          <w:tcPr>
            <w:tcW w:w="679" w:type="pct"/>
            <w:shd w:val="clear" w:color="auto" w:fill="auto"/>
            <w:vAlign w:val="center"/>
          </w:tcPr>
          <w:p w:rsidR="0037346A" w:rsidRPr="00550AED" w:rsidRDefault="00D57F00" w:rsidP="007478B9">
            <w:pPr>
              <w:widowControl/>
              <w:jc w:val="center"/>
              <w:rPr>
                <w:rFonts w:ascii="Arial Narrow" w:hAnsi="Arial Narrow"/>
                <w:sz w:val="20"/>
              </w:rPr>
            </w:pPr>
            <w:r>
              <w:rPr>
                <w:rFonts w:ascii="Arial Narrow" w:hAnsi="Arial Narrow"/>
                <w:noProof/>
                <w:color w:val="000000"/>
                <w:sz w:val="20"/>
                <w:highlight w:val="black"/>
              </w:rPr>
              <w:t>'''''''''''''</w:t>
            </w:r>
            <w:r w:rsidR="0037346A" w:rsidRPr="00550AED">
              <w:rPr>
                <w:rFonts w:ascii="Arial Narrow" w:hAnsi="Arial Narrow"/>
                <w:sz w:val="20"/>
              </w:rPr>
              <w:t xml:space="preserve"> (</w:t>
            </w:r>
            <w:r>
              <w:rPr>
                <w:rFonts w:ascii="Arial Narrow" w:hAnsi="Arial Narrow"/>
                <w:noProof/>
                <w:color w:val="000000"/>
                <w:sz w:val="20"/>
                <w:highlight w:val="black"/>
              </w:rPr>
              <w:t>'''''''''''''''</w:t>
            </w:r>
            <w:r w:rsidR="0037346A" w:rsidRPr="00550AED">
              <w:rPr>
                <w:rFonts w:ascii="Arial Narrow" w:hAnsi="Arial Narrow"/>
                <w:sz w:val="20"/>
              </w:rPr>
              <w:t>)</w:t>
            </w:r>
          </w:p>
        </w:tc>
        <w:tc>
          <w:tcPr>
            <w:tcW w:w="764" w:type="pct"/>
            <w:shd w:val="clear" w:color="auto" w:fill="auto"/>
            <w:vAlign w:val="center"/>
          </w:tcPr>
          <w:p w:rsidR="0037346A" w:rsidRPr="00550AED" w:rsidRDefault="00D57F00" w:rsidP="007478B9">
            <w:pPr>
              <w:widowControl/>
              <w:jc w:val="center"/>
              <w:rPr>
                <w:rFonts w:ascii="Arial Narrow" w:hAnsi="Arial Narrow"/>
                <w:sz w:val="20"/>
              </w:rPr>
            </w:pPr>
            <w:r>
              <w:rPr>
                <w:rFonts w:ascii="Arial Narrow" w:hAnsi="Arial Narrow"/>
                <w:noProof/>
                <w:color w:val="000000"/>
                <w:sz w:val="20"/>
                <w:highlight w:val="black"/>
              </w:rPr>
              <w:t>''''''''''''''</w:t>
            </w:r>
            <w:r w:rsidR="0037346A" w:rsidRPr="00550AED">
              <w:rPr>
                <w:rFonts w:ascii="Arial Narrow" w:hAnsi="Arial Narrow"/>
                <w:sz w:val="20"/>
              </w:rPr>
              <w:t xml:space="preserve"> (</w:t>
            </w:r>
            <w:r>
              <w:rPr>
                <w:rFonts w:ascii="Arial Narrow" w:hAnsi="Arial Narrow"/>
                <w:noProof/>
                <w:color w:val="000000"/>
                <w:sz w:val="20"/>
                <w:highlight w:val="black"/>
              </w:rPr>
              <w:t>''''''''''''''</w:t>
            </w:r>
            <w:r w:rsidR="0037346A" w:rsidRPr="00550AED">
              <w:rPr>
                <w:rFonts w:ascii="Arial Narrow" w:hAnsi="Arial Narrow"/>
                <w:sz w:val="20"/>
              </w:rPr>
              <w:t>)</w:t>
            </w:r>
          </w:p>
        </w:tc>
        <w:tc>
          <w:tcPr>
            <w:tcW w:w="764" w:type="pct"/>
            <w:shd w:val="clear" w:color="auto" w:fill="auto"/>
            <w:vAlign w:val="center"/>
          </w:tcPr>
          <w:p w:rsidR="0037346A" w:rsidRPr="00550AED" w:rsidRDefault="00D57F00" w:rsidP="007478B9">
            <w:pPr>
              <w:widowControl/>
              <w:jc w:val="center"/>
              <w:rPr>
                <w:rFonts w:ascii="Arial Narrow" w:hAnsi="Arial Narrow"/>
                <w:sz w:val="20"/>
              </w:rPr>
            </w:pPr>
            <w:r>
              <w:rPr>
                <w:rFonts w:ascii="Arial Narrow" w:hAnsi="Arial Narrow"/>
                <w:noProof/>
                <w:color w:val="000000"/>
                <w:sz w:val="20"/>
                <w:highlight w:val="black"/>
              </w:rPr>
              <w:t>''''''''''''''</w:t>
            </w:r>
            <w:r w:rsidR="0037346A" w:rsidRPr="00550AED">
              <w:rPr>
                <w:rFonts w:ascii="Arial Narrow" w:hAnsi="Arial Narrow"/>
                <w:sz w:val="20"/>
              </w:rPr>
              <w:t xml:space="preserve"> (</w:t>
            </w:r>
            <w:r>
              <w:rPr>
                <w:rFonts w:ascii="Arial Narrow" w:hAnsi="Arial Narrow"/>
                <w:noProof/>
                <w:color w:val="000000"/>
                <w:sz w:val="20"/>
                <w:highlight w:val="black"/>
              </w:rPr>
              <w:t>'''''''''''''</w:t>
            </w:r>
            <w:r w:rsidR="0037346A" w:rsidRPr="00550AED">
              <w:rPr>
                <w:rFonts w:ascii="Arial Narrow" w:hAnsi="Arial Narrow"/>
                <w:sz w:val="20"/>
              </w:rPr>
              <w:t>)</w:t>
            </w:r>
          </w:p>
        </w:tc>
        <w:tc>
          <w:tcPr>
            <w:tcW w:w="755" w:type="pct"/>
            <w:shd w:val="clear" w:color="auto" w:fill="auto"/>
            <w:vAlign w:val="center"/>
          </w:tcPr>
          <w:p w:rsidR="0037346A" w:rsidRPr="00550AED" w:rsidRDefault="00D57F00" w:rsidP="007478B9">
            <w:pPr>
              <w:widowControl/>
              <w:jc w:val="center"/>
              <w:rPr>
                <w:rFonts w:ascii="Arial Narrow" w:hAnsi="Arial Narrow"/>
                <w:sz w:val="20"/>
              </w:rPr>
            </w:pPr>
            <w:r>
              <w:rPr>
                <w:rFonts w:ascii="Arial Narrow" w:hAnsi="Arial Narrow"/>
                <w:noProof/>
                <w:color w:val="000000"/>
                <w:sz w:val="20"/>
                <w:highlight w:val="black"/>
              </w:rPr>
              <w:t>'''''''''''''</w:t>
            </w:r>
            <w:r w:rsidR="0037346A" w:rsidRPr="00550AED">
              <w:rPr>
                <w:rFonts w:ascii="Arial Narrow" w:hAnsi="Arial Narrow"/>
                <w:sz w:val="20"/>
              </w:rPr>
              <w:t xml:space="preserve"> (</w:t>
            </w:r>
            <w:r>
              <w:rPr>
                <w:rFonts w:ascii="Arial Narrow" w:hAnsi="Arial Narrow"/>
                <w:noProof/>
                <w:color w:val="000000"/>
                <w:sz w:val="20"/>
                <w:highlight w:val="black"/>
              </w:rPr>
              <w:t>''''''''''''''</w:t>
            </w:r>
            <w:r w:rsidR="0037346A" w:rsidRPr="00550AED">
              <w:rPr>
                <w:rFonts w:ascii="Arial Narrow" w:hAnsi="Arial Narrow"/>
                <w:sz w:val="20"/>
              </w:rPr>
              <w:t>)</w:t>
            </w:r>
          </w:p>
        </w:tc>
      </w:tr>
      <w:tr w:rsidR="0037346A" w:rsidRPr="00575319" w:rsidTr="009F1C11">
        <w:tc>
          <w:tcPr>
            <w:tcW w:w="5000" w:type="pct"/>
            <w:gridSpan w:val="6"/>
            <w:shd w:val="clear" w:color="auto" w:fill="auto"/>
            <w:vAlign w:val="center"/>
          </w:tcPr>
          <w:p w:rsidR="0037346A" w:rsidRPr="00550AED" w:rsidRDefault="0037346A" w:rsidP="007478B9">
            <w:pPr>
              <w:widowControl/>
              <w:jc w:val="left"/>
              <w:rPr>
                <w:rFonts w:ascii="Arial Narrow" w:hAnsi="Arial Narrow"/>
                <w:b/>
                <w:bCs/>
                <w:color w:val="000000"/>
                <w:sz w:val="20"/>
              </w:rPr>
            </w:pPr>
            <w:r w:rsidRPr="00550AED">
              <w:rPr>
                <w:rFonts w:ascii="Arial Narrow" w:hAnsi="Arial Narrow"/>
                <w:b/>
                <w:bCs/>
                <w:color w:val="000000"/>
                <w:sz w:val="20"/>
              </w:rPr>
              <w:t>Estimated</w:t>
            </w:r>
            <w:r w:rsidR="00FC290B" w:rsidRPr="00550AED">
              <w:rPr>
                <w:rFonts w:ascii="Arial Narrow" w:hAnsi="Arial Narrow"/>
                <w:b/>
                <w:bCs/>
                <w:color w:val="000000"/>
                <w:sz w:val="20"/>
              </w:rPr>
              <w:t xml:space="preserve"> net cost to PBS/RPBS</w:t>
            </w:r>
          </w:p>
        </w:tc>
      </w:tr>
      <w:tr w:rsidR="00FC290B" w:rsidRPr="00575319" w:rsidTr="009F1C11">
        <w:tc>
          <w:tcPr>
            <w:tcW w:w="1359" w:type="pct"/>
            <w:shd w:val="clear" w:color="auto" w:fill="auto"/>
            <w:vAlign w:val="center"/>
          </w:tcPr>
          <w:p w:rsidR="00FC290B" w:rsidRPr="00550AED" w:rsidRDefault="00FC290B" w:rsidP="007478B9">
            <w:pPr>
              <w:widowControl/>
              <w:tabs>
                <w:tab w:val="left" w:pos="142"/>
              </w:tabs>
              <w:jc w:val="left"/>
              <w:rPr>
                <w:rFonts w:ascii="Arial Narrow" w:hAnsi="Arial Narrow"/>
                <w:sz w:val="20"/>
                <w:vertAlign w:val="superscript"/>
              </w:rPr>
            </w:pPr>
            <w:r w:rsidRPr="00550AED">
              <w:rPr>
                <w:rFonts w:ascii="Arial Narrow" w:hAnsi="Arial Narrow"/>
                <w:sz w:val="20"/>
              </w:rPr>
              <w:t>Net cost to PBS/RPBS</w:t>
            </w:r>
            <w:r w:rsidRPr="00550AED">
              <w:rPr>
                <w:rFonts w:ascii="Arial Narrow" w:hAnsi="Arial Narrow"/>
                <w:sz w:val="20"/>
                <w:vertAlign w:val="superscript"/>
              </w:rPr>
              <w:t>a</w:t>
            </w:r>
          </w:p>
        </w:tc>
        <w:tc>
          <w:tcPr>
            <w:tcW w:w="679" w:type="pct"/>
            <w:shd w:val="clear" w:color="auto" w:fill="auto"/>
            <w:vAlign w:val="center"/>
          </w:tcPr>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p>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 $</w:t>
            </w:r>
            <w:r w:rsidR="00D57F00">
              <w:rPr>
                <w:rFonts w:ascii="Arial Narrow" w:hAnsi="Arial Narrow"/>
                <w:b/>
                <w:bCs/>
                <w:noProof/>
                <w:color w:val="000000"/>
                <w:sz w:val="20"/>
                <w:highlight w:val="black"/>
              </w:rPr>
              <w:t>'''''''''''''''''''</w:t>
            </w:r>
            <w:r w:rsidRPr="00550AED">
              <w:rPr>
                <w:rFonts w:ascii="Arial Narrow" w:hAnsi="Arial Narrow"/>
                <w:b/>
                <w:bCs/>
                <w:sz w:val="20"/>
              </w:rPr>
              <w:t>)</w:t>
            </w:r>
          </w:p>
        </w:tc>
        <w:tc>
          <w:tcPr>
            <w:tcW w:w="679" w:type="pct"/>
            <w:shd w:val="clear" w:color="auto" w:fill="auto"/>
            <w:vAlign w:val="center"/>
          </w:tcPr>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p>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 '''''''''</w:t>
            </w:r>
            <w:r w:rsidRPr="00550AED">
              <w:rPr>
                <w:rFonts w:ascii="Arial Narrow" w:hAnsi="Arial Narrow"/>
                <w:b/>
                <w:bCs/>
                <w:sz w:val="20"/>
              </w:rPr>
              <w:t>)</w:t>
            </w:r>
          </w:p>
        </w:tc>
        <w:tc>
          <w:tcPr>
            <w:tcW w:w="764" w:type="pct"/>
            <w:shd w:val="clear" w:color="auto" w:fill="auto"/>
            <w:vAlign w:val="center"/>
          </w:tcPr>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p>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r w:rsidRPr="00550AED">
              <w:rPr>
                <w:rFonts w:ascii="Arial Narrow" w:hAnsi="Arial Narrow"/>
                <w:b/>
                <w:bCs/>
                <w:sz w:val="20"/>
              </w:rPr>
              <w:t>)</w:t>
            </w:r>
          </w:p>
        </w:tc>
        <w:tc>
          <w:tcPr>
            <w:tcW w:w="764" w:type="pct"/>
            <w:shd w:val="clear" w:color="auto" w:fill="auto"/>
            <w:vAlign w:val="center"/>
          </w:tcPr>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p>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r w:rsidRPr="00550AED">
              <w:rPr>
                <w:rFonts w:ascii="Arial Narrow" w:hAnsi="Arial Narrow"/>
                <w:b/>
                <w:bCs/>
                <w:sz w:val="20"/>
              </w:rPr>
              <w:t>)</w:t>
            </w:r>
          </w:p>
        </w:tc>
        <w:tc>
          <w:tcPr>
            <w:tcW w:w="755" w:type="pct"/>
            <w:shd w:val="clear" w:color="auto" w:fill="auto"/>
            <w:vAlign w:val="center"/>
          </w:tcPr>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p>
          <w:p w:rsidR="00FC290B" w:rsidRPr="00550AED" w:rsidRDefault="00FC290B" w:rsidP="007478B9">
            <w:pPr>
              <w:widowControl/>
              <w:jc w:val="center"/>
              <w:rPr>
                <w:rFonts w:ascii="Arial Narrow" w:hAnsi="Arial Narrow"/>
                <w:b/>
                <w:bCs/>
                <w:sz w:val="20"/>
              </w:rPr>
            </w:pPr>
            <w:r w:rsidRPr="00550AED">
              <w:rPr>
                <w:rFonts w:ascii="Arial Narrow" w:hAnsi="Arial Narrow"/>
                <w:b/>
                <w:bCs/>
                <w:sz w:val="20"/>
              </w:rPr>
              <w:t>($</w:t>
            </w:r>
            <w:r w:rsidR="00D57F00">
              <w:rPr>
                <w:rFonts w:ascii="Arial Narrow" w:hAnsi="Arial Narrow"/>
                <w:b/>
                <w:bCs/>
                <w:noProof/>
                <w:color w:val="000000"/>
                <w:sz w:val="20"/>
                <w:highlight w:val="black"/>
              </w:rPr>
              <w:t>''''''''''''''''''</w:t>
            </w:r>
            <w:r w:rsidRPr="00550AED">
              <w:rPr>
                <w:rFonts w:ascii="Arial Narrow" w:hAnsi="Arial Narrow"/>
                <w:b/>
                <w:bCs/>
                <w:sz w:val="20"/>
              </w:rPr>
              <w:t>)</w:t>
            </w:r>
          </w:p>
        </w:tc>
      </w:tr>
    </w:tbl>
    <w:p w:rsidR="00666194" w:rsidRPr="00837D27" w:rsidRDefault="00666194" w:rsidP="007478B9">
      <w:pPr>
        <w:pStyle w:val="TableFooter"/>
        <w:widowControl/>
        <w:ind w:firstLine="720"/>
        <w:rPr>
          <w:sz w:val="16"/>
          <w:szCs w:val="18"/>
        </w:rPr>
      </w:pPr>
      <w:r w:rsidRPr="00575319">
        <w:rPr>
          <w:vertAlign w:val="superscript"/>
        </w:rPr>
        <w:t>a</w:t>
      </w:r>
      <w:r w:rsidRPr="00575319">
        <w:t xml:space="preserve"> </w:t>
      </w:r>
      <w:r w:rsidR="0037346A">
        <w:t>net of patient co-payment</w:t>
      </w:r>
      <w:r w:rsidR="00837D27">
        <w:rPr>
          <w:sz w:val="16"/>
          <w:szCs w:val="18"/>
        </w:rPr>
        <w:t xml:space="preserve">  </w:t>
      </w:r>
      <w:r w:rsidRPr="00575319">
        <w:rPr>
          <w:sz w:val="16"/>
          <w:szCs w:val="18"/>
        </w:rPr>
        <w:t xml:space="preserve">Source: </w:t>
      </w:r>
      <w:r w:rsidR="0037346A">
        <w:rPr>
          <w:szCs w:val="18"/>
        </w:rPr>
        <w:t>Tables E.2-13 and E.2-15 of the submission.</w:t>
      </w:r>
    </w:p>
    <w:p w:rsidR="008F1766" w:rsidRDefault="008F1766" w:rsidP="00381457">
      <w:pPr>
        <w:pStyle w:val="Default"/>
        <w:rPr>
          <w:iCs/>
          <w:sz w:val="23"/>
          <w:szCs w:val="23"/>
        </w:rPr>
      </w:pPr>
    </w:p>
    <w:p w:rsidR="00381457" w:rsidRPr="008F1766" w:rsidRDefault="00381457" w:rsidP="008F1766">
      <w:pPr>
        <w:pStyle w:val="Default"/>
        <w:ind w:left="680"/>
        <w:rPr>
          <w:rFonts w:ascii="Arial" w:hAnsi="Arial" w:cs="Arial"/>
          <w:i/>
          <w:sz w:val="22"/>
          <w:szCs w:val="22"/>
        </w:rPr>
      </w:pPr>
      <w:r w:rsidRPr="008F1766">
        <w:rPr>
          <w:rFonts w:ascii="Arial" w:hAnsi="Arial" w:cs="Arial"/>
          <w:i/>
          <w:iCs/>
          <w:sz w:val="22"/>
          <w:szCs w:val="22"/>
        </w:rPr>
        <w:t>The redacted table above shows</w:t>
      </w:r>
      <w:r w:rsidR="008F1766" w:rsidRPr="008F1766">
        <w:rPr>
          <w:rFonts w:ascii="Arial" w:hAnsi="Arial" w:cs="Arial"/>
          <w:i/>
          <w:iCs/>
          <w:sz w:val="22"/>
          <w:szCs w:val="22"/>
        </w:rPr>
        <w:t xml:space="preserve"> that at year 5</w:t>
      </w:r>
      <w:r w:rsidR="008F1766">
        <w:rPr>
          <w:rFonts w:ascii="Arial" w:hAnsi="Arial" w:cs="Arial"/>
          <w:i/>
          <w:iCs/>
          <w:sz w:val="22"/>
          <w:szCs w:val="22"/>
        </w:rPr>
        <w:t>,</w:t>
      </w:r>
      <w:r w:rsidR="008F1766" w:rsidRPr="008F1766">
        <w:rPr>
          <w:rFonts w:ascii="Arial" w:hAnsi="Arial" w:cs="Arial"/>
          <w:i/>
          <w:iCs/>
          <w:sz w:val="22"/>
          <w:szCs w:val="22"/>
        </w:rPr>
        <w:t xml:space="preserve"> the</w:t>
      </w:r>
      <w:r w:rsidRPr="008F1766">
        <w:rPr>
          <w:rFonts w:ascii="Arial" w:hAnsi="Arial" w:cs="Arial"/>
          <w:i/>
          <w:iCs/>
          <w:sz w:val="22"/>
          <w:szCs w:val="22"/>
        </w:rPr>
        <w:t xml:space="preserve"> estimated total net cost </w:t>
      </w:r>
      <w:r w:rsidR="008F1766" w:rsidRPr="008F1766">
        <w:rPr>
          <w:rFonts w:ascii="Arial" w:hAnsi="Arial" w:cs="Arial"/>
          <w:i/>
          <w:iCs/>
          <w:sz w:val="22"/>
          <w:szCs w:val="22"/>
        </w:rPr>
        <w:t xml:space="preserve">to the </w:t>
      </w:r>
      <w:r w:rsidRPr="008F1766">
        <w:rPr>
          <w:rFonts w:ascii="Arial" w:hAnsi="Arial" w:cs="Arial"/>
          <w:i/>
          <w:iCs/>
          <w:sz w:val="22"/>
          <w:szCs w:val="22"/>
        </w:rPr>
        <w:t>PBS</w:t>
      </w:r>
      <w:r w:rsidR="008F1766" w:rsidRPr="008F1766">
        <w:rPr>
          <w:rFonts w:ascii="Arial" w:hAnsi="Arial" w:cs="Arial"/>
          <w:i/>
          <w:iCs/>
          <w:sz w:val="22"/>
          <w:szCs w:val="22"/>
        </w:rPr>
        <w:t>/RPBS</w:t>
      </w:r>
      <w:r w:rsidRPr="008F1766">
        <w:rPr>
          <w:rFonts w:ascii="Arial" w:hAnsi="Arial" w:cs="Arial"/>
          <w:i/>
          <w:iCs/>
          <w:sz w:val="22"/>
          <w:szCs w:val="22"/>
        </w:rPr>
        <w:t xml:space="preserve"> </w:t>
      </w:r>
      <w:r w:rsidR="008F1766" w:rsidRPr="008F1766">
        <w:rPr>
          <w:rFonts w:ascii="Arial" w:hAnsi="Arial" w:cs="Arial"/>
          <w:i/>
          <w:iCs/>
          <w:sz w:val="22"/>
          <w:szCs w:val="22"/>
        </w:rPr>
        <w:t>would</w:t>
      </w:r>
      <w:r w:rsidRPr="008F1766">
        <w:rPr>
          <w:rFonts w:ascii="Arial" w:hAnsi="Arial" w:cs="Arial"/>
          <w:i/>
          <w:iCs/>
          <w:sz w:val="22"/>
          <w:szCs w:val="22"/>
        </w:rPr>
        <w:t xml:space="preserve"> be $10-$20 millio</w:t>
      </w:r>
      <w:r w:rsidR="006D5811">
        <w:rPr>
          <w:rFonts w:ascii="Arial" w:hAnsi="Arial" w:cs="Arial"/>
          <w:i/>
          <w:iCs/>
          <w:sz w:val="22"/>
          <w:szCs w:val="22"/>
        </w:rPr>
        <w:t>n.</w:t>
      </w:r>
    </w:p>
    <w:p w:rsidR="00666194" w:rsidRPr="00575319" w:rsidRDefault="00666194" w:rsidP="007478B9">
      <w:pPr>
        <w:widowControl/>
        <w:rPr>
          <w:szCs w:val="22"/>
        </w:rPr>
      </w:pPr>
    </w:p>
    <w:p w:rsidR="009B451B" w:rsidRPr="00653B3D" w:rsidRDefault="001E359C" w:rsidP="007478B9">
      <w:pPr>
        <w:pStyle w:val="ListParagraph"/>
        <w:widowControl/>
        <w:numPr>
          <w:ilvl w:val="1"/>
          <w:numId w:val="4"/>
        </w:numPr>
        <w:rPr>
          <w:iCs/>
          <w:szCs w:val="22"/>
        </w:rPr>
      </w:pPr>
      <w:r>
        <w:rPr>
          <w:iCs/>
        </w:rPr>
        <w:t>In Scenario 3, there wa</w:t>
      </w:r>
      <w:r w:rsidR="00837D27" w:rsidRPr="001535C5">
        <w:rPr>
          <w:iCs/>
        </w:rPr>
        <w:t>s</w:t>
      </w:r>
      <w:r w:rsidR="009B451B" w:rsidRPr="001535C5">
        <w:rPr>
          <w:iCs/>
        </w:rPr>
        <w:t xml:space="preserve"> the</w:t>
      </w:r>
      <w:r w:rsidR="00837D27" w:rsidRPr="001535C5">
        <w:rPr>
          <w:iCs/>
        </w:rPr>
        <w:t xml:space="preserve"> potential for the net cost/year for the PBS to be greater than the estimate in th</w:t>
      </w:r>
      <w:r>
        <w:rPr>
          <w:iCs/>
        </w:rPr>
        <w:t>e submission because: 1) there wa</w:t>
      </w:r>
      <w:r w:rsidR="00837D27" w:rsidRPr="001535C5">
        <w:rPr>
          <w:iCs/>
        </w:rPr>
        <w:t xml:space="preserve">s the potential for the proportion of patients that will be accessing DFX under listing 2b to be greater than the 55% </w:t>
      </w:r>
      <w:r w:rsidR="00837D27" w:rsidRPr="008F1766">
        <w:rPr>
          <w:i/>
          <w:iCs/>
        </w:rPr>
        <w:t>predicted</w:t>
      </w:r>
      <w:r w:rsidR="00837D27" w:rsidRPr="001535C5">
        <w:rPr>
          <w:iCs/>
        </w:rPr>
        <w:t xml:space="preserve"> by the submission; </w:t>
      </w:r>
      <w:r w:rsidR="0042214A" w:rsidRPr="001535C5">
        <w:rPr>
          <w:iCs/>
        </w:rPr>
        <w:t xml:space="preserve">and </w:t>
      </w:r>
      <w:r>
        <w:rPr>
          <w:iCs/>
        </w:rPr>
        <w:t>2) it wa</w:t>
      </w:r>
      <w:r w:rsidR="00837D27" w:rsidRPr="001535C5">
        <w:rPr>
          <w:iCs/>
        </w:rPr>
        <w:t xml:space="preserve">s likely that the number of patients </w:t>
      </w:r>
      <w:r w:rsidR="009B451B" w:rsidRPr="001535C5">
        <w:rPr>
          <w:iCs/>
        </w:rPr>
        <w:t xml:space="preserve">accessing </w:t>
      </w:r>
      <w:r w:rsidR="00837D27" w:rsidRPr="001535C5">
        <w:rPr>
          <w:iCs/>
        </w:rPr>
        <w:t xml:space="preserve">PBS funded DFX will not </w:t>
      </w:r>
      <w:r w:rsidR="009B451B" w:rsidRPr="001535C5">
        <w:rPr>
          <w:iCs/>
        </w:rPr>
        <w:t>reduce.</w:t>
      </w:r>
      <w:r w:rsidR="00464F89">
        <w:rPr>
          <w:iCs/>
        </w:rPr>
        <w:t xml:space="preserve"> </w:t>
      </w:r>
      <w:r w:rsidR="00464F89" w:rsidRPr="00D1526E">
        <w:rPr>
          <w:iCs/>
        </w:rPr>
        <w:t>The ESC noted the PSCR argument that this would be mitigated if tight wording around the restriction was ensured</w:t>
      </w:r>
      <w:r w:rsidR="007142B5" w:rsidRPr="00D1526E">
        <w:rPr>
          <w:iCs/>
        </w:rPr>
        <w:t xml:space="preserve"> and </w:t>
      </w:r>
      <w:r w:rsidR="00F943B4" w:rsidRPr="00D1526E">
        <w:rPr>
          <w:iCs/>
        </w:rPr>
        <w:t xml:space="preserve">the ESC </w:t>
      </w:r>
      <w:r w:rsidR="007142B5" w:rsidRPr="00D1526E">
        <w:rPr>
          <w:iCs/>
        </w:rPr>
        <w:t>accepted the PSCR suggested updates to the requested restriction</w:t>
      </w:r>
      <w:r w:rsidR="00464F89" w:rsidRPr="00D1526E">
        <w:rPr>
          <w:iCs/>
        </w:rPr>
        <w:t>.</w:t>
      </w:r>
    </w:p>
    <w:p w:rsidR="009B451B" w:rsidRPr="009B451B" w:rsidRDefault="009B451B" w:rsidP="007478B9">
      <w:pPr>
        <w:pStyle w:val="ListParagraph"/>
        <w:widowControl/>
        <w:rPr>
          <w:szCs w:val="22"/>
        </w:rPr>
      </w:pPr>
    </w:p>
    <w:p w:rsidR="00A84463" w:rsidRPr="001E359C" w:rsidRDefault="00FC290B" w:rsidP="007478B9">
      <w:pPr>
        <w:pStyle w:val="ListParagraph"/>
        <w:widowControl/>
        <w:numPr>
          <w:ilvl w:val="1"/>
          <w:numId w:val="4"/>
        </w:numPr>
        <w:rPr>
          <w:szCs w:val="22"/>
        </w:rPr>
      </w:pPr>
      <w:r w:rsidRPr="009B451B">
        <w:rPr>
          <w:szCs w:val="22"/>
        </w:rPr>
        <w:t xml:space="preserve">In </w:t>
      </w:r>
      <w:r w:rsidR="00F943B4">
        <w:rPr>
          <w:szCs w:val="22"/>
        </w:rPr>
        <w:t xml:space="preserve">a </w:t>
      </w:r>
      <w:r w:rsidRPr="009B451B">
        <w:rPr>
          <w:szCs w:val="22"/>
        </w:rPr>
        <w:t>sensitivity analysis, the submission assume</w:t>
      </w:r>
      <w:r w:rsidR="00D76C5A">
        <w:rPr>
          <w:szCs w:val="22"/>
        </w:rPr>
        <w:t>d</w:t>
      </w:r>
      <w:r w:rsidRPr="009B451B">
        <w:rPr>
          <w:szCs w:val="22"/>
        </w:rPr>
        <w:t xml:space="preserve"> that in Scenario 2, </w:t>
      </w:r>
      <w:r w:rsidR="00837D27" w:rsidRPr="009B451B">
        <w:rPr>
          <w:szCs w:val="22"/>
        </w:rPr>
        <w:t>30%</w:t>
      </w:r>
      <w:r w:rsidRPr="009B451B">
        <w:rPr>
          <w:szCs w:val="22"/>
        </w:rPr>
        <w:t xml:space="preserve"> of patients no longer able to access </w:t>
      </w:r>
      <w:r w:rsidR="009B451B">
        <w:rPr>
          <w:szCs w:val="22"/>
        </w:rPr>
        <w:t xml:space="preserve">DFX on PBS will switch to DFO.  Using this assumption, </w:t>
      </w:r>
      <w:r w:rsidRPr="009B451B">
        <w:rPr>
          <w:szCs w:val="22"/>
        </w:rPr>
        <w:t xml:space="preserve">the </w:t>
      </w:r>
      <w:r w:rsidRPr="0000340C">
        <w:rPr>
          <w:szCs w:val="22"/>
        </w:rPr>
        <w:t xml:space="preserve">incremental cost for </w:t>
      </w:r>
      <w:r w:rsidR="009B451B" w:rsidRPr="0000340C">
        <w:rPr>
          <w:szCs w:val="22"/>
        </w:rPr>
        <w:t xml:space="preserve">adopting </w:t>
      </w:r>
      <w:r w:rsidRPr="0000340C">
        <w:rPr>
          <w:szCs w:val="22"/>
        </w:rPr>
        <w:t xml:space="preserve">the </w:t>
      </w:r>
      <w:r w:rsidR="0079022D" w:rsidRPr="0000340C">
        <w:rPr>
          <w:szCs w:val="22"/>
        </w:rPr>
        <w:t xml:space="preserve">PBAC </w:t>
      </w:r>
      <w:r w:rsidRPr="0000340C">
        <w:rPr>
          <w:szCs w:val="22"/>
        </w:rPr>
        <w:t>p</w:t>
      </w:r>
      <w:r w:rsidR="001E359C">
        <w:rPr>
          <w:szCs w:val="22"/>
        </w:rPr>
        <w:t>roposed DFX listing wa</w:t>
      </w:r>
      <w:r w:rsidRPr="0000340C">
        <w:rPr>
          <w:szCs w:val="22"/>
        </w:rPr>
        <w:t xml:space="preserve">s estimated to be </w:t>
      </w:r>
      <w:r w:rsidR="009F55CA">
        <w:rPr>
          <w:szCs w:val="22"/>
        </w:rPr>
        <w:t xml:space="preserve">less than </w:t>
      </w:r>
      <w:r w:rsidRPr="0000340C">
        <w:rPr>
          <w:szCs w:val="22"/>
        </w:rPr>
        <w:t>$</w:t>
      </w:r>
      <w:r w:rsidR="009F55CA">
        <w:rPr>
          <w:szCs w:val="22"/>
        </w:rPr>
        <w:t xml:space="preserve">10 million </w:t>
      </w:r>
      <w:r w:rsidRPr="001E359C">
        <w:rPr>
          <w:szCs w:val="22"/>
        </w:rPr>
        <w:t xml:space="preserve">by Year 5 of listing (instead of </w:t>
      </w:r>
      <w:r w:rsidR="009F55CA">
        <w:rPr>
          <w:szCs w:val="22"/>
        </w:rPr>
        <w:t xml:space="preserve">less than </w:t>
      </w:r>
      <w:r w:rsidRPr="001E359C">
        <w:rPr>
          <w:szCs w:val="22"/>
        </w:rPr>
        <w:t>$</w:t>
      </w:r>
      <w:r w:rsidR="009F55CA">
        <w:rPr>
          <w:szCs w:val="22"/>
        </w:rPr>
        <w:t>10 million</w:t>
      </w:r>
      <w:r w:rsidRPr="001E359C">
        <w:rPr>
          <w:szCs w:val="22"/>
        </w:rPr>
        <w:t>)</w:t>
      </w:r>
      <w:r w:rsidR="009B451B" w:rsidRPr="001E359C">
        <w:rPr>
          <w:szCs w:val="22"/>
        </w:rPr>
        <w:t xml:space="preserve"> from Scenario 2</w:t>
      </w:r>
      <w:r w:rsidRPr="001E359C">
        <w:rPr>
          <w:szCs w:val="22"/>
        </w:rPr>
        <w:t xml:space="preserve">. </w:t>
      </w:r>
      <w:r w:rsidR="0079022D" w:rsidRPr="001E359C">
        <w:t>The ESC considered that as substitution to DFO c</w:t>
      </w:r>
      <w:r w:rsidR="001E359C" w:rsidRPr="001E359C">
        <w:t>ould not</w:t>
      </w:r>
      <w:r w:rsidR="0079022D" w:rsidRPr="001E359C">
        <w:t xml:space="preserve"> be ruled out, this sensitivity analysis may </w:t>
      </w:r>
      <w:r w:rsidR="00F943B4" w:rsidRPr="001E359C">
        <w:t xml:space="preserve">be </w:t>
      </w:r>
      <w:r w:rsidR="0079022D" w:rsidRPr="001E359C">
        <w:t>informative.</w:t>
      </w:r>
    </w:p>
    <w:p w:rsidR="00A84463" w:rsidRPr="001E359C" w:rsidRDefault="00A84463" w:rsidP="007478B9">
      <w:pPr>
        <w:pStyle w:val="ListParagraph"/>
        <w:widowControl/>
      </w:pPr>
    </w:p>
    <w:p w:rsidR="00D229F9" w:rsidRPr="001E359C" w:rsidRDefault="00A84463" w:rsidP="007478B9">
      <w:pPr>
        <w:pStyle w:val="ListParagraph"/>
        <w:widowControl/>
        <w:numPr>
          <w:ilvl w:val="1"/>
          <w:numId w:val="4"/>
        </w:numPr>
        <w:rPr>
          <w:lang w:val="en-GB"/>
        </w:rPr>
      </w:pPr>
      <w:r w:rsidRPr="001E359C">
        <w:t>Based on the  market research</w:t>
      </w:r>
      <w:r w:rsidR="00D76C5A" w:rsidRPr="001E359C">
        <w:t xml:space="preserve"> presented in the submission</w:t>
      </w:r>
      <w:r w:rsidRPr="001E359C">
        <w:t>, the proportion</w:t>
      </w:r>
      <w:r w:rsidR="001E359C">
        <w:t>al use of DFX for MDS and NTDT wa</w:t>
      </w:r>
      <w:r w:rsidRPr="001E359C">
        <w:t>s 60% of DFX’s overall utilisation on the PBS (MDS: 55% a</w:t>
      </w:r>
      <w:r w:rsidR="001E359C">
        <w:t>nd NTDT: 5%).  This proportion wa</w:t>
      </w:r>
      <w:r w:rsidRPr="001E359C">
        <w:t>s then used to estimate an overall weighted rebate for DFX (a higher rebate is offered for pati</w:t>
      </w:r>
      <w:r w:rsidR="001E359C">
        <w:t>ents with MDS and NTDT). There wa</w:t>
      </w:r>
      <w:r w:rsidRPr="001E359C">
        <w:t>s a lack of data on the prevalence of haemoglobinopathies in Australia. The DUSC analysis showed 59% of patients were born before 1960; resulting in at least 59% of current patients being treated for conditions other than thalassaemia due to high childhood mortality before 1960. Additionally, a proportion of patients born after 1960 are likely to be accessing deferasirox for conditions other than thalassaemia due to high rates of mortality in early adulthood.</w:t>
      </w:r>
      <w:r w:rsidRPr="001E359C">
        <w:rPr>
          <w:i/>
        </w:rPr>
        <w:t xml:space="preserve"> </w:t>
      </w:r>
      <w:bookmarkStart w:id="18" w:name="_Toc419798706"/>
    </w:p>
    <w:p w:rsidR="00D229F9" w:rsidRPr="00550AED" w:rsidRDefault="00D229F9" w:rsidP="007478B9">
      <w:pPr>
        <w:pStyle w:val="ListParagraph"/>
        <w:widowControl/>
        <w:rPr>
          <w:i/>
        </w:rPr>
      </w:pPr>
    </w:p>
    <w:p w:rsidR="00550AED" w:rsidRPr="00575319" w:rsidRDefault="00550AED" w:rsidP="007478B9">
      <w:pPr>
        <w:pStyle w:val="Heading2"/>
        <w:widowControl/>
        <w:rPr>
          <w:i/>
        </w:rPr>
      </w:pPr>
      <w:r w:rsidRPr="00575319">
        <w:rPr>
          <w:i/>
        </w:rPr>
        <w:t>Quality Use of Medicines</w:t>
      </w:r>
      <w:r>
        <w:rPr>
          <w:i/>
        </w:rPr>
        <w:t xml:space="preserve"> (QUM)</w:t>
      </w:r>
    </w:p>
    <w:p w:rsidR="00550AED" w:rsidRPr="00575319" w:rsidRDefault="00550AED" w:rsidP="007478B9">
      <w:pPr>
        <w:widowControl/>
        <w:rPr>
          <w:szCs w:val="22"/>
        </w:rPr>
      </w:pPr>
    </w:p>
    <w:p w:rsidR="00550AED" w:rsidRPr="00837D27" w:rsidRDefault="00550AED" w:rsidP="007478B9">
      <w:pPr>
        <w:pStyle w:val="ListParagraph"/>
        <w:widowControl/>
        <w:numPr>
          <w:ilvl w:val="1"/>
          <w:numId w:val="4"/>
        </w:numPr>
        <w:rPr>
          <w:szCs w:val="22"/>
        </w:rPr>
      </w:pPr>
      <w:r w:rsidRPr="00837D27">
        <w:t xml:space="preserve">Limited detail </w:t>
      </w:r>
      <w:r>
        <w:t>was</w:t>
      </w:r>
      <w:r w:rsidRPr="00837D27">
        <w:t xml:space="preserve"> provided in the submission</w:t>
      </w:r>
      <w:r>
        <w:t xml:space="preserve"> on QUM activities.  The main strategies appear</w:t>
      </w:r>
      <w:r w:rsidR="001E359C">
        <w:t>ed</w:t>
      </w:r>
      <w:r w:rsidRPr="00837D27">
        <w:t xml:space="preserve"> to be the provision of information to clinicians via letters, and guidance documents to assist with identification of eligible patients </w:t>
      </w:r>
      <w:r>
        <w:t xml:space="preserve">if the current </w:t>
      </w:r>
      <w:r w:rsidRPr="00837D27">
        <w:t xml:space="preserve">listing </w:t>
      </w:r>
      <w:r w:rsidR="001E359C">
        <w:t>wa</w:t>
      </w:r>
      <w:r>
        <w:t>s amended.</w:t>
      </w:r>
    </w:p>
    <w:p w:rsidR="00550AED" w:rsidRPr="00837D27" w:rsidRDefault="00550AED" w:rsidP="007478B9">
      <w:pPr>
        <w:pStyle w:val="ListParagraph"/>
        <w:widowControl/>
        <w:rPr>
          <w:szCs w:val="22"/>
        </w:rPr>
      </w:pPr>
    </w:p>
    <w:p w:rsidR="008F1766" w:rsidRDefault="008F1766">
      <w:pPr>
        <w:widowControl/>
        <w:spacing w:after="200" w:line="276" w:lineRule="auto"/>
        <w:jc w:val="left"/>
        <w:rPr>
          <w:b/>
          <w:i/>
        </w:rPr>
      </w:pPr>
      <w:r>
        <w:rPr>
          <w:i/>
        </w:rPr>
        <w:br w:type="page"/>
      </w:r>
    </w:p>
    <w:p w:rsidR="00550AED" w:rsidRPr="00575319" w:rsidRDefault="00550AED" w:rsidP="007478B9">
      <w:pPr>
        <w:pStyle w:val="Heading2"/>
        <w:widowControl/>
        <w:rPr>
          <w:i/>
          <w:szCs w:val="22"/>
        </w:rPr>
      </w:pPr>
      <w:r w:rsidRPr="00575319">
        <w:rPr>
          <w:i/>
        </w:rPr>
        <w:t>Financial Management – Risk Sharing Arrangements</w:t>
      </w:r>
    </w:p>
    <w:p w:rsidR="00550AED" w:rsidRPr="00575319" w:rsidRDefault="00550AED" w:rsidP="007478B9">
      <w:pPr>
        <w:widowControl/>
        <w:rPr>
          <w:szCs w:val="22"/>
        </w:rPr>
      </w:pPr>
    </w:p>
    <w:p w:rsidR="00AE7F17" w:rsidRPr="00C5722A" w:rsidRDefault="00550AED" w:rsidP="007478B9">
      <w:pPr>
        <w:pStyle w:val="ListParagraph"/>
        <w:widowControl/>
        <w:numPr>
          <w:ilvl w:val="1"/>
          <w:numId w:val="4"/>
        </w:numPr>
        <w:rPr>
          <w:szCs w:val="22"/>
        </w:rPr>
      </w:pPr>
      <w:r w:rsidRPr="00575319">
        <w:t xml:space="preserve">The submission proposed additional rebates for use of </w:t>
      </w:r>
      <w:r>
        <w:t xml:space="preserve">DFX </w:t>
      </w:r>
      <w:r w:rsidRPr="00575319">
        <w:t xml:space="preserve">in the MDS and NTDT subpopulations.  This would </w:t>
      </w:r>
      <w:r>
        <w:t xml:space="preserve">bring </w:t>
      </w:r>
      <w:r w:rsidRPr="00575319">
        <w:t>its overall weigh</w:t>
      </w:r>
      <w:r w:rsidR="009F55CA">
        <w:t xml:space="preserve">ted rebate to </w:t>
      </w:r>
      <w:r w:rsidR="00D57F00">
        <w:rPr>
          <w:noProof/>
          <w:color w:val="000000"/>
          <w:highlight w:val="black"/>
        </w:rPr>
        <w:t>''''''''''''</w:t>
      </w:r>
      <w:r w:rsidR="009F55CA">
        <w:t>% off the ex</w:t>
      </w:r>
      <w:r w:rsidR="009F55CA">
        <w:noBreakHyphen/>
      </w:r>
      <w:r w:rsidRPr="00575319">
        <w:t>manufacturer prices</w:t>
      </w:r>
      <w:r>
        <w:t xml:space="preserve"> (i.e. an additional </w:t>
      </w:r>
      <w:r w:rsidR="00D57F00">
        <w:rPr>
          <w:noProof/>
          <w:color w:val="000000"/>
          <w:highlight w:val="black"/>
        </w:rPr>
        <w:t>''''''''''''</w:t>
      </w:r>
      <w:r>
        <w:t>% discount)</w:t>
      </w:r>
      <w:r w:rsidRPr="00575319">
        <w:t>.</w:t>
      </w:r>
    </w:p>
    <w:p w:rsidR="00550AED" w:rsidRPr="00575319" w:rsidRDefault="00550AED" w:rsidP="007478B9">
      <w:pPr>
        <w:widowControl/>
        <w:rPr>
          <w:b/>
          <w:bCs/>
          <w:szCs w:val="22"/>
        </w:rPr>
      </w:pPr>
    </w:p>
    <w:bookmarkEnd w:id="18"/>
    <w:p w:rsidR="00D1526E" w:rsidRDefault="00D1526E" w:rsidP="007478B9">
      <w:pPr>
        <w:pStyle w:val="ListParagraph"/>
        <w:widowControl/>
        <w:ind w:left="709"/>
        <w:rPr>
          <w:i/>
          <w:szCs w:val="22"/>
        </w:rPr>
      </w:pPr>
      <w:r w:rsidRPr="00D229F9">
        <w:rPr>
          <w:i/>
          <w:szCs w:val="22"/>
        </w:rPr>
        <w:t>For more detail on PBAC’s view, see section 7 “PBAC outcome”</w:t>
      </w:r>
    </w:p>
    <w:p w:rsidR="00666194" w:rsidRDefault="00666194" w:rsidP="007478B9">
      <w:pPr>
        <w:pStyle w:val="PBACHeading1"/>
        <w:numPr>
          <w:ilvl w:val="0"/>
          <w:numId w:val="0"/>
        </w:numPr>
      </w:pPr>
    </w:p>
    <w:p w:rsidR="008B4A04" w:rsidRDefault="008B4A04" w:rsidP="007478B9">
      <w:pPr>
        <w:pStyle w:val="PBACHeading1"/>
        <w:numPr>
          <w:ilvl w:val="0"/>
          <w:numId w:val="0"/>
        </w:numPr>
      </w:pPr>
    </w:p>
    <w:p w:rsidR="00097BD2" w:rsidRPr="006C10A6" w:rsidRDefault="00097BD2" w:rsidP="007478B9">
      <w:pPr>
        <w:widowControl/>
        <w:numPr>
          <w:ilvl w:val="0"/>
          <w:numId w:val="4"/>
        </w:numPr>
        <w:rPr>
          <w:b/>
          <w:bCs/>
          <w:szCs w:val="22"/>
        </w:rPr>
      </w:pPr>
      <w:r w:rsidRPr="006C10A6">
        <w:rPr>
          <w:b/>
          <w:bCs/>
          <w:szCs w:val="22"/>
        </w:rPr>
        <w:t>PBAC Outcome</w:t>
      </w:r>
    </w:p>
    <w:p w:rsidR="00097BD2" w:rsidRPr="006C10A6" w:rsidRDefault="00097BD2" w:rsidP="007478B9">
      <w:pPr>
        <w:widowControl/>
        <w:contextualSpacing/>
        <w:rPr>
          <w:b/>
          <w:bCs/>
          <w:szCs w:val="22"/>
          <w:lang w:val="en-GB"/>
        </w:rPr>
      </w:pPr>
    </w:p>
    <w:p w:rsidR="0014062C" w:rsidRPr="00010A37" w:rsidRDefault="00097BD2" w:rsidP="007478B9">
      <w:pPr>
        <w:widowControl/>
        <w:numPr>
          <w:ilvl w:val="1"/>
          <w:numId w:val="4"/>
        </w:numPr>
        <w:contextualSpacing/>
        <w:rPr>
          <w:bCs/>
          <w:szCs w:val="22"/>
          <w:lang w:val="en-GB"/>
        </w:rPr>
      </w:pPr>
      <w:r w:rsidRPr="00010A37">
        <w:rPr>
          <w:bCs/>
          <w:szCs w:val="22"/>
          <w:lang w:val="en-GB"/>
        </w:rPr>
        <w:t xml:space="preserve">The PBAC </w:t>
      </w:r>
      <w:r w:rsidR="001E359C" w:rsidRPr="00010A37">
        <w:rPr>
          <w:bCs/>
          <w:szCs w:val="22"/>
          <w:lang w:val="en-GB"/>
        </w:rPr>
        <w:t>rejected the submission to retain the current PBS restriction for DFX</w:t>
      </w:r>
      <w:r w:rsidR="000B24B4" w:rsidRPr="00010A37">
        <w:rPr>
          <w:bCs/>
          <w:szCs w:val="22"/>
          <w:lang w:val="en-GB"/>
        </w:rPr>
        <w:t xml:space="preserve"> for patients with </w:t>
      </w:r>
      <w:r w:rsidR="00F22E5D">
        <w:rPr>
          <w:bCs/>
          <w:szCs w:val="22"/>
          <w:lang w:val="en-GB"/>
        </w:rPr>
        <w:t>“</w:t>
      </w:r>
      <w:r w:rsidR="00F22E5D" w:rsidRPr="00F22E5D">
        <w:t xml:space="preserve"> </w:t>
      </w:r>
      <w:r w:rsidR="00F22E5D" w:rsidRPr="00D1526E">
        <w:t xml:space="preserve">chronic </w:t>
      </w:r>
      <w:r w:rsidR="00575755">
        <w:t>iron overload</w:t>
      </w:r>
      <w:r w:rsidR="00F22E5D" w:rsidRPr="00D1526E">
        <w:t xml:space="preserve"> in </w:t>
      </w:r>
      <w:r w:rsidR="00F22E5D" w:rsidRPr="00D1526E">
        <w:rPr>
          <w:szCs w:val="22"/>
        </w:rPr>
        <w:t>patients</w:t>
      </w:r>
      <w:r w:rsidR="00F22E5D" w:rsidRPr="00D1526E">
        <w:t xml:space="preserve"> with disorders of erythropoiesis</w:t>
      </w:r>
      <w:r w:rsidR="00F22E5D">
        <w:t>”</w:t>
      </w:r>
      <w:r w:rsidR="00AC0CE3">
        <w:rPr>
          <w:bCs/>
          <w:szCs w:val="22"/>
          <w:lang w:val="en-GB"/>
        </w:rPr>
        <w:t xml:space="preserve"> as this very broad restriction enabled major use outside popul</w:t>
      </w:r>
      <w:r w:rsidR="009F55CA">
        <w:rPr>
          <w:bCs/>
          <w:szCs w:val="22"/>
          <w:lang w:val="en-GB"/>
        </w:rPr>
        <w:t>ations where cost</w:t>
      </w:r>
      <w:r w:rsidR="009F55CA">
        <w:rPr>
          <w:bCs/>
          <w:szCs w:val="22"/>
          <w:lang w:val="en-GB"/>
        </w:rPr>
        <w:noBreakHyphen/>
      </w:r>
      <w:r w:rsidR="00AC0CE3">
        <w:rPr>
          <w:bCs/>
          <w:szCs w:val="22"/>
          <w:lang w:val="en-GB"/>
        </w:rPr>
        <w:t>effectiveness has been demonstrated</w:t>
      </w:r>
      <w:r w:rsidR="00F22E5D">
        <w:rPr>
          <w:bCs/>
          <w:szCs w:val="22"/>
          <w:lang w:val="en-GB"/>
        </w:rPr>
        <w:t>, in particular myelodysplasia</w:t>
      </w:r>
      <w:r w:rsidR="000B24B4" w:rsidRPr="00010A37">
        <w:rPr>
          <w:bCs/>
          <w:szCs w:val="22"/>
          <w:lang w:val="en-GB"/>
        </w:rPr>
        <w:t xml:space="preserve">. The PBAC </w:t>
      </w:r>
      <w:r w:rsidRPr="00010A37">
        <w:rPr>
          <w:bCs/>
          <w:szCs w:val="22"/>
          <w:lang w:val="en-GB"/>
        </w:rPr>
        <w:t xml:space="preserve">did not </w:t>
      </w:r>
      <w:r w:rsidR="00181D62" w:rsidRPr="00010A37">
        <w:rPr>
          <w:bCs/>
          <w:szCs w:val="22"/>
        </w:rPr>
        <w:t xml:space="preserve">accept that a survival benefit </w:t>
      </w:r>
      <w:r w:rsidR="00AC0CE3" w:rsidRPr="00010A37">
        <w:rPr>
          <w:bCs/>
          <w:szCs w:val="22"/>
        </w:rPr>
        <w:t xml:space="preserve">due to DFX therapy </w:t>
      </w:r>
      <w:r w:rsidR="00181D62" w:rsidRPr="00010A37">
        <w:rPr>
          <w:bCs/>
          <w:szCs w:val="22"/>
        </w:rPr>
        <w:t>ha</w:t>
      </w:r>
      <w:r w:rsidR="000B24B4" w:rsidRPr="00010A37">
        <w:rPr>
          <w:bCs/>
          <w:szCs w:val="22"/>
        </w:rPr>
        <w:t>d</w:t>
      </w:r>
      <w:r w:rsidR="00181D62" w:rsidRPr="00010A37">
        <w:rPr>
          <w:bCs/>
          <w:szCs w:val="22"/>
        </w:rPr>
        <w:t xml:space="preserve"> been </w:t>
      </w:r>
      <w:r w:rsidR="00AC0CE3">
        <w:rPr>
          <w:bCs/>
          <w:szCs w:val="22"/>
        </w:rPr>
        <w:t>proved</w:t>
      </w:r>
      <w:r w:rsidR="00AC0CE3" w:rsidRPr="00010A37">
        <w:rPr>
          <w:bCs/>
          <w:szCs w:val="22"/>
        </w:rPr>
        <w:t xml:space="preserve"> </w:t>
      </w:r>
      <w:r w:rsidR="00181D62" w:rsidRPr="00010A37">
        <w:rPr>
          <w:bCs/>
          <w:szCs w:val="22"/>
        </w:rPr>
        <w:t>in MDS or malignant disorders</w:t>
      </w:r>
      <w:r w:rsidR="000B24B4" w:rsidRPr="00010A37">
        <w:rPr>
          <w:bCs/>
          <w:szCs w:val="22"/>
        </w:rPr>
        <w:t xml:space="preserve"> and therefore the </w:t>
      </w:r>
      <w:r w:rsidR="000B24B4" w:rsidRPr="00010A37">
        <w:rPr>
          <w:bCs/>
          <w:szCs w:val="22"/>
          <w:lang w:val="en-GB"/>
        </w:rPr>
        <w:t>cost-effectiveness of DFX in MDS</w:t>
      </w:r>
      <w:r w:rsidR="000B24B4" w:rsidRPr="00010A37">
        <w:rPr>
          <w:bCs/>
          <w:szCs w:val="22"/>
        </w:rPr>
        <w:t xml:space="preserve"> </w:t>
      </w:r>
      <w:r w:rsidR="00F22E5D">
        <w:rPr>
          <w:bCs/>
          <w:szCs w:val="22"/>
        </w:rPr>
        <w:t xml:space="preserve">generally </w:t>
      </w:r>
      <w:r w:rsidR="000B24B4" w:rsidRPr="00010A37">
        <w:rPr>
          <w:bCs/>
          <w:szCs w:val="22"/>
        </w:rPr>
        <w:t xml:space="preserve">was not </w:t>
      </w:r>
      <w:r w:rsidRPr="00010A37">
        <w:rPr>
          <w:bCs/>
          <w:szCs w:val="22"/>
          <w:lang w:val="en-GB"/>
        </w:rPr>
        <w:t>adequately demonstrated</w:t>
      </w:r>
      <w:r w:rsidR="000B24B4" w:rsidRPr="00010A37">
        <w:rPr>
          <w:bCs/>
          <w:szCs w:val="22"/>
          <w:lang w:val="en-GB"/>
        </w:rPr>
        <w:t>.</w:t>
      </w:r>
      <w:r w:rsidRPr="00010A37">
        <w:rPr>
          <w:bCs/>
          <w:szCs w:val="22"/>
          <w:lang w:val="en-GB"/>
        </w:rPr>
        <w:t xml:space="preserve"> </w:t>
      </w:r>
      <w:r w:rsidR="000B24B4" w:rsidRPr="00010A37">
        <w:rPr>
          <w:bCs/>
          <w:szCs w:val="22"/>
          <w:lang w:val="en-GB"/>
        </w:rPr>
        <w:t xml:space="preserve">However, the PBAC recognised that </w:t>
      </w:r>
      <w:r w:rsidR="00575755">
        <w:rPr>
          <w:bCs/>
          <w:szCs w:val="22"/>
          <w:lang w:val="en-GB"/>
        </w:rPr>
        <w:t>iron overload</w:t>
      </w:r>
      <w:r w:rsidR="000B24B4" w:rsidRPr="00010A37">
        <w:rPr>
          <w:bCs/>
          <w:szCs w:val="22"/>
          <w:lang w:val="en-GB"/>
        </w:rPr>
        <w:t xml:space="preserve"> is a cause of major morbidity and mortality in patients with longer survival, such as those with NTDT and </w:t>
      </w:r>
      <w:r w:rsidR="00AC0CE3">
        <w:rPr>
          <w:bCs/>
          <w:szCs w:val="22"/>
          <w:lang w:val="en-GB"/>
        </w:rPr>
        <w:t xml:space="preserve">transfusion-dependent patients with </w:t>
      </w:r>
      <w:r w:rsidR="000B24B4" w:rsidRPr="00010A37">
        <w:rPr>
          <w:bCs/>
          <w:szCs w:val="22"/>
          <w:lang w:val="en-GB"/>
        </w:rPr>
        <w:t xml:space="preserve">very good prognosis MDS or </w:t>
      </w:r>
      <w:r w:rsidR="00AC0CE3">
        <w:rPr>
          <w:bCs/>
          <w:szCs w:val="22"/>
          <w:lang w:val="en-GB"/>
        </w:rPr>
        <w:t xml:space="preserve">good prognosis </w:t>
      </w:r>
      <w:r w:rsidR="000B24B4" w:rsidRPr="00010A37">
        <w:rPr>
          <w:bCs/>
          <w:szCs w:val="22"/>
          <w:lang w:val="en-GB"/>
        </w:rPr>
        <w:t xml:space="preserve">myelofibrosis. </w:t>
      </w:r>
      <w:r w:rsidR="00E50224">
        <w:rPr>
          <w:bCs/>
          <w:szCs w:val="22"/>
          <w:lang w:val="en-GB"/>
        </w:rPr>
        <w:t>Under the restriction recommended by PBA</w:t>
      </w:r>
      <w:r w:rsidR="00C366F4">
        <w:rPr>
          <w:bCs/>
          <w:szCs w:val="22"/>
          <w:lang w:val="en-GB"/>
        </w:rPr>
        <w:t>C</w:t>
      </w:r>
      <w:r w:rsidR="00E50224">
        <w:rPr>
          <w:bCs/>
          <w:szCs w:val="22"/>
          <w:lang w:val="en-GB"/>
        </w:rPr>
        <w:t xml:space="preserve"> in November 2014, these patients could be significantly disadvantaged. </w:t>
      </w:r>
      <w:r w:rsidR="000B24B4" w:rsidRPr="00010A37">
        <w:rPr>
          <w:bCs/>
          <w:szCs w:val="22"/>
          <w:lang w:val="en-GB"/>
        </w:rPr>
        <w:t xml:space="preserve">Thus, the PBAC </w:t>
      </w:r>
      <w:r w:rsidR="00010A37" w:rsidRPr="00010A37">
        <w:rPr>
          <w:bCs/>
          <w:szCs w:val="22"/>
          <w:lang w:val="en-GB"/>
        </w:rPr>
        <w:t>consider</w:t>
      </w:r>
      <w:r w:rsidR="000B24B4" w:rsidRPr="00010A37">
        <w:rPr>
          <w:bCs/>
          <w:szCs w:val="22"/>
          <w:lang w:val="en-GB"/>
        </w:rPr>
        <w:t xml:space="preserve">ed a revision to the restriction </w:t>
      </w:r>
      <w:r w:rsidR="00E50224" w:rsidRPr="00010A37">
        <w:rPr>
          <w:bCs/>
          <w:szCs w:val="22"/>
          <w:lang w:val="en-GB"/>
        </w:rPr>
        <w:t>w</w:t>
      </w:r>
      <w:r w:rsidR="00E50224">
        <w:rPr>
          <w:bCs/>
          <w:szCs w:val="22"/>
          <w:lang w:val="en-GB"/>
        </w:rPr>
        <w:t>ould be</w:t>
      </w:r>
      <w:r w:rsidR="00E50224" w:rsidRPr="00010A37">
        <w:rPr>
          <w:bCs/>
          <w:szCs w:val="22"/>
          <w:lang w:val="en-GB"/>
        </w:rPr>
        <w:t xml:space="preserve"> </w:t>
      </w:r>
      <w:r w:rsidR="00010A37" w:rsidRPr="00010A37">
        <w:rPr>
          <w:bCs/>
          <w:szCs w:val="22"/>
          <w:lang w:val="en-GB"/>
        </w:rPr>
        <w:t xml:space="preserve">acceptable </w:t>
      </w:r>
      <w:r w:rsidR="000B24B4" w:rsidRPr="00010A37">
        <w:rPr>
          <w:bCs/>
          <w:szCs w:val="22"/>
          <w:lang w:val="en-GB"/>
        </w:rPr>
        <w:t xml:space="preserve">to allow use </w:t>
      </w:r>
      <w:r w:rsidR="00010A37" w:rsidRPr="00010A37">
        <w:rPr>
          <w:bCs/>
          <w:szCs w:val="22"/>
          <w:lang w:val="en-GB"/>
        </w:rPr>
        <w:t>in the</w:t>
      </w:r>
      <w:r w:rsidR="000B24B4" w:rsidRPr="00010A37">
        <w:rPr>
          <w:bCs/>
          <w:szCs w:val="22"/>
          <w:lang w:val="en-GB"/>
        </w:rPr>
        <w:t>s</w:t>
      </w:r>
      <w:r w:rsidR="00010A37" w:rsidRPr="00010A37">
        <w:rPr>
          <w:bCs/>
          <w:szCs w:val="22"/>
          <w:lang w:val="en-GB"/>
        </w:rPr>
        <w:t>e</w:t>
      </w:r>
      <w:r w:rsidR="000B24B4" w:rsidRPr="00010A37">
        <w:rPr>
          <w:bCs/>
          <w:szCs w:val="22"/>
          <w:lang w:val="en-GB"/>
        </w:rPr>
        <w:t xml:space="preserve"> patient group</w:t>
      </w:r>
      <w:r w:rsidR="00010A37" w:rsidRPr="00010A37">
        <w:rPr>
          <w:bCs/>
          <w:szCs w:val="22"/>
          <w:lang w:val="en-GB"/>
        </w:rPr>
        <w:t>s</w:t>
      </w:r>
      <w:r w:rsidR="00AC0CE3">
        <w:rPr>
          <w:bCs/>
          <w:szCs w:val="22"/>
          <w:lang w:val="en-GB"/>
        </w:rPr>
        <w:t>, noting the uncertainty of cost-effectiveness even in these subgroups</w:t>
      </w:r>
      <w:r w:rsidR="005F28EC">
        <w:rPr>
          <w:bCs/>
          <w:szCs w:val="22"/>
          <w:lang w:val="en-GB"/>
        </w:rPr>
        <w:t>.</w:t>
      </w:r>
    </w:p>
    <w:p w:rsidR="00010A37" w:rsidRPr="00010A37" w:rsidRDefault="00010A37" w:rsidP="007478B9">
      <w:pPr>
        <w:widowControl/>
        <w:ind w:left="720"/>
        <w:contextualSpacing/>
        <w:rPr>
          <w:b/>
          <w:bCs/>
          <w:szCs w:val="22"/>
          <w:lang w:val="en-GB"/>
        </w:rPr>
      </w:pPr>
    </w:p>
    <w:p w:rsidR="006D5811" w:rsidRDefault="0024549B" w:rsidP="006D5811">
      <w:pPr>
        <w:widowControl/>
        <w:numPr>
          <w:ilvl w:val="1"/>
          <w:numId w:val="4"/>
        </w:numPr>
        <w:contextualSpacing/>
        <w:rPr>
          <w:b/>
          <w:bCs/>
          <w:szCs w:val="22"/>
          <w:lang w:val="en-GB"/>
        </w:rPr>
      </w:pPr>
      <w:r>
        <w:rPr>
          <w:bCs/>
          <w:szCs w:val="22"/>
          <w:lang w:val="en-GB"/>
        </w:rPr>
        <w:t xml:space="preserve">The PBAC accepted best supportive care as the most relevant comparator. </w:t>
      </w:r>
      <w:r w:rsidR="0014062C" w:rsidRPr="008308E6">
        <w:rPr>
          <w:bCs/>
          <w:szCs w:val="22"/>
          <w:lang w:val="en-GB"/>
        </w:rPr>
        <w:t>The P</w:t>
      </w:r>
      <w:r w:rsidR="0014062C">
        <w:rPr>
          <w:bCs/>
          <w:szCs w:val="22"/>
          <w:lang w:val="en-GB"/>
        </w:rPr>
        <w:t>BAC clarified that the proposed</w:t>
      </w:r>
      <w:r w:rsidR="0014062C" w:rsidRPr="008308E6">
        <w:rPr>
          <w:bCs/>
          <w:szCs w:val="22"/>
          <w:lang w:val="en-GB"/>
        </w:rPr>
        <w:t xml:space="preserve"> restriction revision from November 2014 was to apply to DFX only</w:t>
      </w:r>
      <w:r>
        <w:rPr>
          <w:bCs/>
          <w:szCs w:val="22"/>
          <w:lang w:val="en-GB"/>
        </w:rPr>
        <w:t xml:space="preserve"> and not the other PBS listed </w:t>
      </w:r>
      <w:r w:rsidR="009F2519">
        <w:rPr>
          <w:bCs/>
          <w:szCs w:val="22"/>
          <w:lang w:val="en-GB"/>
        </w:rPr>
        <w:t>ICTs</w:t>
      </w:r>
      <w:r w:rsidR="0014062C" w:rsidRPr="008308E6">
        <w:rPr>
          <w:bCs/>
          <w:szCs w:val="22"/>
          <w:lang w:val="en-GB"/>
        </w:rPr>
        <w:t xml:space="preserve">. The PBAC noted that the usage patterns of DFO were consistent with the indication and </w:t>
      </w:r>
      <w:r w:rsidR="00E50224">
        <w:rPr>
          <w:bCs/>
          <w:szCs w:val="22"/>
          <w:lang w:val="en-GB"/>
        </w:rPr>
        <w:t xml:space="preserve">influenced by its </w:t>
      </w:r>
      <w:r w:rsidR="0014062C" w:rsidRPr="008308E6">
        <w:rPr>
          <w:bCs/>
          <w:szCs w:val="22"/>
          <w:lang w:val="en-GB"/>
        </w:rPr>
        <w:t xml:space="preserve">method of administration, </w:t>
      </w:r>
      <w:r w:rsidR="00E50224">
        <w:rPr>
          <w:bCs/>
          <w:szCs w:val="22"/>
          <w:lang w:val="en-GB"/>
        </w:rPr>
        <w:t xml:space="preserve">by injection, </w:t>
      </w:r>
      <w:r w:rsidR="0014062C" w:rsidRPr="008308E6">
        <w:rPr>
          <w:bCs/>
          <w:szCs w:val="22"/>
          <w:lang w:val="en-GB"/>
        </w:rPr>
        <w:t xml:space="preserve">which minimised the use </w:t>
      </w:r>
      <w:r w:rsidR="00F6371C">
        <w:rPr>
          <w:bCs/>
          <w:szCs w:val="22"/>
          <w:lang w:val="en-GB"/>
        </w:rPr>
        <w:t xml:space="preserve">of </w:t>
      </w:r>
      <w:r w:rsidR="0014062C" w:rsidRPr="008308E6">
        <w:rPr>
          <w:bCs/>
          <w:szCs w:val="22"/>
          <w:lang w:val="en-GB"/>
        </w:rPr>
        <w:t>DFO outside the PBS</w:t>
      </w:r>
      <w:r>
        <w:rPr>
          <w:bCs/>
          <w:szCs w:val="22"/>
          <w:lang w:val="en-GB"/>
        </w:rPr>
        <w:t xml:space="preserve"> </w:t>
      </w:r>
      <w:r w:rsidR="0014062C" w:rsidRPr="008308E6">
        <w:rPr>
          <w:bCs/>
          <w:szCs w:val="22"/>
          <w:lang w:val="en-GB"/>
        </w:rPr>
        <w:t xml:space="preserve">listing. The PBAC also considered that it was highly unlikely that DFO would replace DFX in the event it ceased being PBS-subsidised, </w:t>
      </w:r>
      <w:r w:rsidR="00AC0CE3">
        <w:rPr>
          <w:bCs/>
          <w:szCs w:val="22"/>
          <w:lang w:val="en-GB"/>
        </w:rPr>
        <w:t xml:space="preserve">and </w:t>
      </w:r>
      <w:r w:rsidR="0014062C" w:rsidRPr="008308E6">
        <w:rPr>
          <w:bCs/>
          <w:szCs w:val="22"/>
          <w:lang w:val="en-GB"/>
        </w:rPr>
        <w:t xml:space="preserve">thus </w:t>
      </w:r>
      <w:r w:rsidR="00487B27">
        <w:rPr>
          <w:bCs/>
          <w:szCs w:val="22"/>
          <w:lang w:val="en-GB"/>
        </w:rPr>
        <w:t>agreed with the submission</w:t>
      </w:r>
      <w:r w:rsidR="0014062C" w:rsidRPr="008308E6">
        <w:rPr>
          <w:bCs/>
          <w:szCs w:val="22"/>
          <w:lang w:val="en-GB"/>
        </w:rPr>
        <w:t xml:space="preserve"> that DFO was</w:t>
      </w:r>
      <w:r w:rsidR="003763AF">
        <w:rPr>
          <w:bCs/>
          <w:szCs w:val="22"/>
          <w:lang w:val="en-GB"/>
        </w:rPr>
        <w:t xml:space="preserve"> not</w:t>
      </w:r>
      <w:r w:rsidR="0014062C" w:rsidRPr="008308E6">
        <w:rPr>
          <w:bCs/>
          <w:szCs w:val="22"/>
          <w:lang w:val="en-GB"/>
        </w:rPr>
        <w:t xml:space="preserve"> a relevant comparator.</w:t>
      </w:r>
    </w:p>
    <w:p w:rsidR="00097BD2" w:rsidRPr="006D5811" w:rsidRDefault="00097BD2" w:rsidP="006D5811">
      <w:pPr>
        <w:widowControl/>
        <w:contextualSpacing/>
        <w:rPr>
          <w:b/>
          <w:bCs/>
          <w:szCs w:val="22"/>
          <w:lang w:val="en-GB"/>
        </w:rPr>
      </w:pPr>
      <w:r w:rsidRPr="006D5811">
        <w:rPr>
          <w:bCs/>
          <w:szCs w:val="22"/>
          <w:lang w:val="en-GB"/>
        </w:rPr>
        <w:t xml:space="preserve"> </w:t>
      </w:r>
    </w:p>
    <w:p w:rsidR="00BF42FD" w:rsidRDefault="00BF42FD" w:rsidP="007478B9">
      <w:pPr>
        <w:widowControl/>
        <w:numPr>
          <w:ilvl w:val="1"/>
          <w:numId w:val="4"/>
        </w:numPr>
        <w:contextualSpacing/>
        <w:rPr>
          <w:bCs/>
          <w:szCs w:val="22"/>
          <w:lang w:val="en-GB"/>
        </w:rPr>
      </w:pPr>
      <w:r w:rsidRPr="005F28EC">
        <w:rPr>
          <w:bCs/>
          <w:szCs w:val="22"/>
          <w:lang w:val="en-GB"/>
        </w:rPr>
        <w:t>The PBAC discussed that in transfusion-dependent thalassemia, iron is the main driver of premature death, and iron chelation is highly effective and</w:t>
      </w:r>
      <w:r>
        <w:rPr>
          <w:bCs/>
          <w:szCs w:val="22"/>
          <w:lang w:val="en-GB"/>
        </w:rPr>
        <w:t xml:space="preserve"> has</w:t>
      </w:r>
      <w:r w:rsidRPr="005F28EC">
        <w:rPr>
          <w:bCs/>
          <w:szCs w:val="22"/>
          <w:lang w:val="en-GB"/>
        </w:rPr>
        <w:t xml:space="preserve"> revolutionise</w:t>
      </w:r>
      <w:r>
        <w:rPr>
          <w:bCs/>
          <w:szCs w:val="22"/>
          <w:lang w:val="en-GB"/>
        </w:rPr>
        <w:t>d</w:t>
      </w:r>
      <w:r w:rsidRPr="005F28EC">
        <w:rPr>
          <w:bCs/>
          <w:szCs w:val="22"/>
          <w:lang w:val="en-GB"/>
        </w:rPr>
        <w:t xml:space="preserve"> outcomes. </w:t>
      </w:r>
      <w:r>
        <w:rPr>
          <w:bCs/>
          <w:szCs w:val="22"/>
          <w:lang w:val="en-GB"/>
        </w:rPr>
        <w:t xml:space="preserve"> In contrast, the use of ICT in </w:t>
      </w:r>
      <w:r w:rsidRPr="005F28EC">
        <w:rPr>
          <w:bCs/>
          <w:szCs w:val="22"/>
          <w:lang w:val="en-GB"/>
        </w:rPr>
        <w:t>MDS</w:t>
      </w:r>
      <w:r>
        <w:rPr>
          <w:bCs/>
          <w:szCs w:val="22"/>
          <w:lang w:val="en-GB"/>
        </w:rPr>
        <w:t xml:space="preserve"> had not been established. The</w:t>
      </w:r>
      <w:r w:rsidRPr="005F28EC">
        <w:rPr>
          <w:bCs/>
          <w:szCs w:val="22"/>
          <w:lang w:val="en-GB"/>
        </w:rPr>
        <w:t xml:space="preserve"> PBAC noted </w:t>
      </w:r>
      <w:r>
        <w:rPr>
          <w:bCs/>
          <w:szCs w:val="22"/>
          <w:lang w:val="en-GB"/>
        </w:rPr>
        <w:t>it wa</w:t>
      </w:r>
      <w:r w:rsidRPr="005F28EC">
        <w:rPr>
          <w:bCs/>
          <w:szCs w:val="22"/>
          <w:lang w:val="en-GB"/>
        </w:rPr>
        <w:t xml:space="preserve">s the subject of an ongoing randomised trial (TELESTO). </w:t>
      </w:r>
      <w:r>
        <w:rPr>
          <w:bCs/>
          <w:szCs w:val="22"/>
          <w:lang w:val="en-GB"/>
        </w:rPr>
        <w:t>The PBAC further noted that Lyons et al (2014, p.152) stated that “</w:t>
      </w:r>
      <w:r w:rsidRPr="00F6371C">
        <w:rPr>
          <w:bCs/>
          <w:szCs w:val="22"/>
          <w:lang w:val="en-GB"/>
        </w:rPr>
        <w:t xml:space="preserve">National Comprehensive Cancer Network guide-lines recommend the use of chelation therapy in iron-overloaded, lower-risk patients with MDS because of their longer predicted survival and the potential for developing organ damage secondary to </w:t>
      </w:r>
      <w:r w:rsidR="00575755">
        <w:rPr>
          <w:bCs/>
          <w:szCs w:val="22"/>
          <w:lang w:val="en-GB"/>
        </w:rPr>
        <w:t>iron overload</w:t>
      </w:r>
      <w:r w:rsidRPr="00F6371C">
        <w:rPr>
          <w:bCs/>
          <w:szCs w:val="22"/>
          <w:lang w:val="en-GB"/>
        </w:rPr>
        <w:t>. However, it is difficult to determine the contribution of iron toxicity to morbidity and mortality in these patients because of their advanced age and the high prevalence of comorbidities driving non-leukemic mortality.”</w:t>
      </w:r>
    </w:p>
    <w:p w:rsidR="00BF42FD" w:rsidRPr="00875A12" w:rsidRDefault="00BF42FD" w:rsidP="007478B9">
      <w:pPr>
        <w:widowControl/>
        <w:ind w:left="720"/>
        <w:contextualSpacing/>
        <w:rPr>
          <w:b/>
          <w:bCs/>
          <w:szCs w:val="22"/>
          <w:lang w:val="en-GB"/>
        </w:rPr>
      </w:pPr>
    </w:p>
    <w:p w:rsidR="00B32F92" w:rsidRPr="008969EA" w:rsidRDefault="003E6F24" w:rsidP="007478B9">
      <w:pPr>
        <w:widowControl/>
        <w:numPr>
          <w:ilvl w:val="1"/>
          <w:numId w:val="4"/>
        </w:numPr>
        <w:contextualSpacing/>
        <w:rPr>
          <w:b/>
          <w:bCs/>
          <w:szCs w:val="22"/>
          <w:lang w:val="en-GB"/>
        </w:rPr>
      </w:pPr>
      <w:r>
        <w:rPr>
          <w:bCs/>
          <w:szCs w:val="22"/>
          <w:lang w:val="en-GB"/>
        </w:rPr>
        <w:t>While considering the clinical evidence, t</w:t>
      </w:r>
      <w:r w:rsidR="00B32F92" w:rsidRPr="00224B28">
        <w:rPr>
          <w:bCs/>
          <w:szCs w:val="22"/>
          <w:lang w:val="en-GB"/>
        </w:rPr>
        <w:t xml:space="preserve">he PBAC noted that the discontinuation rates of DFX in MDS were notably higher than for thalassemia patients, and considered that as DFX has well known toxicities, the rate of discontinuation was likely to be heavily influenced by actual and perceived benefits. </w:t>
      </w:r>
    </w:p>
    <w:p w:rsidR="00B32F92" w:rsidRDefault="00B32F92" w:rsidP="007478B9">
      <w:pPr>
        <w:pStyle w:val="ListParagraph"/>
        <w:widowControl/>
        <w:rPr>
          <w:bCs/>
          <w:szCs w:val="22"/>
          <w:lang w:val="en-GB"/>
        </w:rPr>
      </w:pPr>
    </w:p>
    <w:p w:rsidR="00F6371C" w:rsidRPr="00875A12" w:rsidRDefault="00F6371C" w:rsidP="007478B9">
      <w:pPr>
        <w:pStyle w:val="ListParagraph"/>
        <w:widowControl/>
        <w:numPr>
          <w:ilvl w:val="1"/>
          <w:numId w:val="4"/>
        </w:numPr>
        <w:rPr>
          <w:bCs/>
          <w:szCs w:val="22"/>
          <w:lang w:val="en-GB"/>
        </w:rPr>
      </w:pPr>
      <w:r w:rsidRPr="00F6371C">
        <w:rPr>
          <w:bCs/>
          <w:szCs w:val="22"/>
          <w:lang w:val="en-GB"/>
        </w:rPr>
        <w:t xml:space="preserve">The PBAC noted the numerous differences across the observational studies in MDS patients presented in the submission and considered that these differences introduced critical confounding which diminished the confidence that could be placed on the analysis outputs. </w:t>
      </w:r>
      <w:r>
        <w:t>The PBAC considered that the Lyons data was the most applicable</w:t>
      </w:r>
      <w:r w:rsidR="00E50224">
        <w:t xml:space="preserve">. It </w:t>
      </w:r>
      <w:r>
        <w:t>noted that while th</w:t>
      </w:r>
      <w:r w:rsidR="00E50224">
        <w:t>e</w:t>
      </w:r>
      <w:r>
        <w:t>s</w:t>
      </w:r>
      <w:r w:rsidR="00E50224">
        <w:t>e</w:t>
      </w:r>
      <w:r>
        <w:t xml:space="preserve"> dat</w:t>
      </w:r>
      <w:r w:rsidR="00F0520B">
        <w:t>a</w:t>
      </w:r>
      <w:r>
        <w:t xml:space="preserve"> showed a difference in overall survival in favour of ICT, the </w:t>
      </w:r>
      <w:r w:rsidR="00E50224">
        <w:t xml:space="preserve">distribution of </w:t>
      </w:r>
      <w:r>
        <w:t xml:space="preserve">causes of death </w:t>
      </w:r>
      <w:r w:rsidR="00E50224">
        <w:t xml:space="preserve">was </w:t>
      </w:r>
      <w:r>
        <w:t>unchanged</w:t>
      </w:r>
      <w:r w:rsidR="00E50224">
        <w:t xml:space="preserve">, arguing against mortality differences being driven by </w:t>
      </w:r>
      <w:r w:rsidR="00575755">
        <w:t>iron overload</w:t>
      </w:r>
      <w:r>
        <w:t xml:space="preserve">. The PBAC also noted that many patients had been chelated for less than 6 months. </w:t>
      </w:r>
    </w:p>
    <w:p w:rsidR="00BF42FD" w:rsidRPr="00875A12" w:rsidRDefault="00BF42FD" w:rsidP="007478B9">
      <w:pPr>
        <w:pStyle w:val="ListParagraph"/>
        <w:widowControl/>
        <w:rPr>
          <w:bCs/>
          <w:szCs w:val="22"/>
          <w:lang w:val="en-GB"/>
        </w:rPr>
      </w:pPr>
    </w:p>
    <w:p w:rsidR="00BF42FD" w:rsidRPr="00875A12" w:rsidRDefault="00BF42FD" w:rsidP="007478B9">
      <w:pPr>
        <w:widowControl/>
        <w:numPr>
          <w:ilvl w:val="1"/>
          <w:numId w:val="4"/>
        </w:numPr>
        <w:contextualSpacing/>
        <w:rPr>
          <w:b/>
          <w:bCs/>
          <w:szCs w:val="22"/>
          <w:lang w:val="en-GB"/>
        </w:rPr>
      </w:pPr>
      <w:r w:rsidRPr="00224B28">
        <w:rPr>
          <w:bCs/>
          <w:szCs w:val="22"/>
          <w:lang w:val="en-GB"/>
        </w:rPr>
        <w:t xml:space="preserve">The PBAC </w:t>
      </w:r>
      <w:r>
        <w:rPr>
          <w:bCs/>
          <w:szCs w:val="22"/>
          <w:lang w:val="en-GB"/>
        </w:rPr>
        <w:t xml:space="preserve">also </w:t>
      </w:r>
      <w:r w:rsidRPr="00224B28">
        <w:rPr>
          <w:bCs/>
          <w:szCs w:val="22"/>
          <w:lang w:val="en-GB"/>
        </w:rPr>
        <w:t xml:space="preserve">agreed with ESC that the submission’s assertion that MDS patients undergoing ICT may be less likely to progress to AML was not causatively supported by the evidence provided. </w:t>
      </w:r>
    </w:p>
    <w:p w:rsidR="005F28EC" w:rsidRDefault="005F28EC" w:rsidP="007478B9">
      <w:pPr>
        <w:widowControl/>
        <w:ind w:left="720"/>
        <w:contextualSpacing/>
        <w:rPr>
          <w:bCs/>
          <w:szCs w:val="22"/>
          <w:lang w:val="en-GB"/>
        </w:rPr>
      </w:pPr>
    </w:p>
    <w:p w:rsidR="00F6371C" w:rsidRPr="007F7A8F" w:rsidRDefault="00F6371C" w:rsidP="007478B9">
      <w:pPr>
        <w:widowControl/>
        <w:numPr>
          <w:ilvl w:val="1"/>
          <w:numId w:val="4"/>
        </w:numPr>
        <w:contextualSpacing/>
        <w:rPr>
          <w:b/>
          <w:bCs/>
          <w:szCs w:val="22"/>
          <w:lang w:val="en-GB"/>
        </w:rPr>
      </w:pPr>
      <w:r w:rsidRPr="006C10A6">
        <w:rPr>
          <w:bCs/>
          <w:szCs w:val="22"/>
          <w:lang w:val="en-GB"/>
        </w:rPr>
        <w:t xml:space="preserve">The PBAC questioned the clinical benefit of DFX in high risk MDS, given the prognosis for these patients is very poor and unlikely to be improved with ICT. </w:t>
      </w:r>
      <w:r w:rsidR="00AC0CE3">
        <w:rPr>
          <w:bCs/>
          <w:szCs w:val="22"/>
          <w:lang w:val="en-GB"/>
        </w:rPr>
        <w:t>Similarly, the PBAC questioned the clinical benefit in intermediate risk MDS</w:t>
      </w:r>
      <w:r w:rsidR="00210BCE">
        <w:rPr>
          <w:bCs/>
          <w:szCs w:val="22"/>
          <w:lang w:val="en-GB"/>
        </w:rPr>
        <w:t xml:space="preserve"> where the median survival is less than five years.</w:t>
      </w:r>
      <w:r w:rsidR="003E6F24">
        <w:rPr>
          <w:bCs/>
          <w:szCs w:val="22"/>
          <w:lang w:val="en-GB"/>
        </w:rPr>
        <w:t xml:space="preserve"> </w:t>
      </w:r>
      <w:r w:rsidR="00210BCE">
        <w:rPr>
          <w:bCs/>
          <w:szCs w:val="22"/>
          <w:lang w:val="en-GB"/>
        </w:rPr>
        <w:t xml:space="preserve">Noting that the TELESTO trial has included </w:t>
      </w:r>
      <w:r w:rsidR="00073162">
        <w:rPr>
          <w:bCs/>
          <w:szCs w:val="22"/>
          <w:lang w:val="en-GB"/>
        </w:rPr>
        <w:t>patients with low and i</w:t>
      </w:r>
      <w:r w:rsidR="00210BCE">
        <w:rPr>
          <w:bCs/>
          <w:szCs w:val="22"/>
          <w:lang w:val="en-GB"/>
        </w:rPr>
        <w:t xml:space="preserve">ntermediate risk MDS, the PBAC </w:t>
      </w:r>
      <w:r w:rsidRPr="006C10A6">
        <w:rPr>
          <w:bCs/>
          <w:szCs w:val="22"/>
          <w:lang w:val="en-GB"/>
        </w:rPr>
        <w:t xml:space="preserve">considered that this position could be revisited upon the release of the TELESTO data. </w:t>
      </w:r>
    </w:p>
    <w:p w:rsidR="007F7A8F" w:rsidRDefault="007F7A8F" w:rsidP="007478B9">
      <w:pPr>
        <w:pStyle w:val="ListParagraph"/>
        <w:widowControl/>
        <w:rPr>
          <w:b/>
          <w:bCs/>
          <w:szCs w:val="22"/>
          <w:lang w:val="en-GB"/>
        </w:rPr>
      </w:pPr>
    </w:p>
    <w:p w:rsidR="00BF42FD" w:rsidRDefault="00BF42FD" w:rsidP="007478B9">
      <w:pPr>
        <w:widowControl/>
        <w:numPr>
          <w:ilvl w:val="1"/>
          <w:numId w:val="4"/>
        </w:numPr>
        <w:contextualSpacing/>
        <w:rPr>
          <w:bCs/>
          <w:szCs w:val="22"/>
          <w:lang w:val="en-GB"/>
        </w:rPr>
      </w:pPr>
      <w:r>
        <w:rPr>
          <w:bCs/>
          <w:szCs w:val="22"/>
          <w:lang w:val="en-GB"/>
        </w:rPr>
        <w:t xml:space="preserve">The PBAC </w:t>
      </w:r>
      <w:r w:rsidRPr="006D20F7">
        <w:rPr>
          <w:bCs/>
          <w:szCs w:val="22"/>
          <w:lang w:val="en-GB"/>
        </w:rPr>
        <w:t xml:space="preserve">noted the letter of support for DFX in NTDT from the HSANZ, which stated that the proposed change to the DFX listing from the November 2014 meeting would exclude and deleteriously impact NTDT patients, who are at significant risk of </w:t>
      </w:r>
      <w:r>
        <w:rPr>
          <w:bCs/>
          <w:szCs w:val="22"/>
          <w:lang w:val="en-GB"/>
        </w:rPr>
        <w:t xml:space="preserve">morbidity from </w:t>
      </w:r>
      <w:r w:rsidR="00575755">
        <w:rPr>
          <w:bCs/>
          <w:szCs w:val="22"/>
          <w:lang w:val="en-GB"/>
        </w:rPr>
        <w:t>iron overload</w:t>
      </w:r>
      <w:r w:rsidRPr="006D20F7">
        <w:rPr>
          <w:bCs/>
          <w:szCs w:val="22"/>
          <w:lang w:val="en-GB"/>
        </w:rPr>
        <w:t xml:space="preserve">. </w:t>
      </w:r>
    </w:p>
    <w:p w:rsidR="00BF42FD" w:rsidRPr="00875A12" w:rsidRDefault="00BF42FD" w:rsidP="007478B9">
      <w:pPr>
        <w:widowControl/>
        <w:ind w:left="720"/>
        <w:contextualSpacing/>
        <w:rPr>
          <w:b/>
          <w:bCs/>
          <w:szCs w:val="22"/>
          <w:lang w:val="en-GB"/>
        </w:rPr>
      </w:pPr>
    </w:p>
    <w:p w:rsidR="00BF42FD" w:rsidRPr="00875A12" w:rsidRDefault="00614CA9" w:rsidP="007478B9">
      <w:pPr>
        <w:widowControl/>
        <w:numPr>
          <w:ilvl w:val="1"/>
          <w:numId w:val="4"/>
        </w:numPr>
        <w:contextualSpacing/>
        <w:rPr>
          <w:b/>
          <w:bCs/>
          <w:szCs w:val="22"/>
          <w:lang w:val="en-GB"/>
        </w:rPr>
      </w:pPr>
      <w:r w:rsidRPr="0014062C">
        <w:rPr>
          <w:bCs/>
          <w:szCs w:val="22"/>
          <w:lang w:val="en-GB"/>
        </w:rPr>
        <w:t xml:space="preserve">The PBAC accepted that there may be a survival advantage associated with DFX in </w:t>
      </w:r>
      <w:r>
        <w:rPr>
          <w:bCs/>
          <w:szCs w:val="22"/>
          <w:lang w:val="en-GB"/>
        </w:rPr>
        <w:t>NTDT,</w:t>
      </w:r>
      <w:r w:rsidRPr="0014062C">
        <w:rPr>
          <w:bCs/>
          <w:szCs w:val="22"/>
          <w:lang w:val="en-GB"/>
        </w:rPr>
        <w:t xml:space="preserve"> noting that in NTDT </w:t>
      </w:r>
      <w:r w:rsidR="00575755">
        <w:rPr>
          <w:bCs/>
          <w:szCs w:val="22"/>
          <w:lang w:val="en-GB"/>
        </w:rPr>
        <w:t>iron overload</w:t>
      </w:r>
      <w:r w:rsidRPr="0014062C">
        <w:rPr>
          <w:bCs/>
          <w:szCs w:val="22"/>
          <w:lang w:val="en-GB"/>
        </w:rPr>
        <w:t xml:space="preserve"> is the main driver of premature death</w:t>
      </w:r>
      <w:r>
        <w:rPr>
          <w:bCs/>
          <w:szCs w:val="22"/>
          <w:lang w:val="en-GB"/>
        </w:rPr>
        <w:t>; however</w:t>
      </w:r>
      <w:r w:rsidRPr="0014062C">
        <w:rPr>
          <w:bCs/>
          <w:szCs w:val="22"/>
          <w:lang w:val="en-GB"/>
        </w:rPr>
        <w:t xml:space="preserve"> </w:t>
      </w:r>
      <w:r>
        <w:rPr>
          <w:bCs/>
          <w:szCs w:val="22"/>
          <w:lang w:val="en-GB"/>
        </w:rPr>
        <w:t xml:space="preserve">the PBAC </w:t>
      </w:r>
      <w:r w:rsidRPr="00224B28">
        <w:rPr>
          <w:bCs/>
          <w:szCs w:val="22"/>
          <w:lang w:val="en-GB"/>
        </w:rPr>
        <w:t>considered that it would be substantially less than that observed in transfusion-dependent thalassemia, given that the rate of iron accumulation is slower and more uncertain, and that the association with premature death is less established.</w:t>
      </w:r>
      <w:r w:rsidR="001B06D5">
        <w:rPr>
          <w:bCs/>
          <w:szCs w:val="22"/>
          <w:lang w:val="en-GB"/>
        </w:rPr>
        <w:t xml:space="preserve"> The PBAC noted that in acknowledgement of this uncertainty, the sponsor had offered an additional rebate.</w:t>
      </w:r>
    </w:p>
    <w:p w:rsidR="00BF42FD" w:rsidRPr="00875A12" w:rsidRDefault="00BF42FD" w:rsidP="007478B9">
      <w:pPr>
        <w:widowControl/>
        <w:ind w:left="720"/>
        <w:contextualSpacing/>
        <w:rPr>
          <w:b/>
          <w:bCs/>
          <w:szCs w:val="22"/>
          <w:lang w:val="en-GB"/>
        </w:rPr>
      </w:pPr>
    </w:p>
    <w:p w:rsidR="00614CA9" w:rsidRPr="00791E0E" w:rsidRDefault="00614CA9" w:rsidP="00791E0E">
      <w:pPr>
        <w:widowControl/>
        <w:numPr>
          <w:ilvl w:val="1"/>
          <w:numId w:val="4"/>
        </w:numPr>
        <w:contextualSpacing/>
        <w:rPr>
          <w:bCs/>
          <w:szCs w:val="22"/>
          <w:lang w:val="en-GB"/>
        </w:rPr>
      </w:pPr>
      <w:r w:rsidRPr="00BF42FD">
        <w:rPr>
          <w:bCs/>
          <w:szCs w:val="22"/>
          <w:lang w:val="en-GB"/>
        </w:rPr>
        <w:t xml:space="preserve">The PBAC noted that the NTDT population was small, that the doses required were generally low, that treatment was intermittent but long term, and that the treatment algorithm was clear. </w:t>
      </w:r>
    </w:p>
    <w:p w:rsidR="003E6F24" w:rsidRPr="00875A12" w:rsidRDefault="003E6F24" w:rsidP="007478B9">
      <w:pPr>
        <w:widowControl/>
        <w:ind w:left="720"/>
        <w:contextualSpacing/>
        <w:rPr>
          <w:b/>
          <w:bCs/>
          <w:szCs w:val="22"/>
          <w:lang w:val="en-GB"/>
        </w:rPr>
      </w:pPr>
    </w:p>
    <w:p w:rsidR="00614CA9" w:rsidRPr="007F7A8F" w:rsidRDefault="00C366F4" w:rsidP="007478B9">
      <w:pPr>
        <w:widowControl/>
        <w:numPr>
          <w:ilvl w:val="1"/>
          <w:numId w:val="4"/>
        </w:numPr>
        <w:contextualSpacing/>
        <w:rPr>
          <w:b/>
          <w:bCs/>
          <w:szCs w:val="22"/>
          <w:lang w:val="en-GB"/>
        </w:rPr>
      </w:pPr>
      <w:r>
        <w:rPr>
          <w:bCs/>
          <w:szCs w:val="22"/>
          <w:lang w:val="en-GB"/>
        </w:rPr>
        <w:t>After consideration of all the provided clinical evidence, and the invited input from HSANZ and ANZCHOG</w:t>
      </w:r>
      <w:r w:rsidR="00073162">
        <w:rPr>
          <w:bCs/>
          <w:szCs w:val="22"/>
          <w:lang w:val="en-GB"/>
        </w:rPr>
        <w:t xml:space="preserve"> on ICT in M</w:t>
      </w:r>
      <w:r w:rsidR="00F85B18">
        <w:rPr>
          <w:bCs/>
          <w:szCs w:val="22"/>
          <w:lang w:val="en-GB"/>
        </w:rPr>
        <w:t>DS and other malignancies</w:t>
      </w:r>
      <w:r>
        <w:rPr>
          <w:bCs/>
          <w:szCs w:val="22"/>
          <w:lang w:val="en-GB"/>
        </w:rPr>
        <w:t>, t</w:t>
      </w:r>
      <w:r w:rsidR="00614CA9">
        <w:rPr>
          <w:bCs/>
          <w:szCs w:val="22"/>
          <w:lang w:val="en-GB"/>
        </w:rPr>
        <w:t>he PBAC acknowledged that ICT may provide a</w:t>
      </w:r>
      <w:r w:rsidR="00614CA9" w:rsidRPr="006C10A6">
        <w:rPr>
          <w:bCs/>
          <w:szCs w:val="22"/>
          <w:lang w:val="en-GB"/>
        </w:rPr>
        <w:t xml:space="preserve"> clinical benefit to a small population of patients</w:t>
      </w:r>
      <w:r w:rsidR="00614CA9">
        <w:rPr>
          <w:bCs/>
          <w:szCs w:val="22"/>
          <w:lang w:val="en-GB"/>
        </w:rPr>
        <w:t xml:space="preserve"> with malignant disorders of erythropoiesis with a median life expectancy of </w:t>
      </w:r>
      <w:r w:rsidR="007F7A8F">
        <w:rPr>
          <w:bCs/>
          <w:szCs w:val="22"/>
          <w:lang w:val="en-GB"/>
        </w:rPr>
        <w:t xml:space="preserve">at least </w:t>
      </w:r>
      <w:r w:rsidR="00614CA9">
        <w:rPr>
          <w:bCs/>
          <w:szCs w:val="22"/>
          <w:lang w:val="en-GB"/>
        </w:rPr>
        <w:t xml:space="preserve">five years. </w:t>
      </w:r>
      <w:r w:rsidR="00614CA9" w:rsidRPr="006D20F7">
        <w:rPr>
          <w:bCs/>
          <w:szCs w:val="22"/>
          <w:lang w:val="en-GB"/>
        </w:rPr>
        <w:t xml:space="preserve">The PBAC considered that </w:t>
      </w:r>
      <w:r w:rsidR="00AC0CE3">
        <w:rPr>
          <w:bCs/>
          <w:szCs w:val="22"/>
          <w:lang w:val="en-GB"/>
        </w:rPr>
        <w:t xml:space="preserve">excess </w:t>
      </w:r>
      <w:r w:rsidR="00614CA9" w:rsidRPr="006D20F7">
        <w:rPr>
          <w:bCs/>
          <w:szCs w:val="22"/>
          <w:lang w:val="en-GB"/>
        </w:rPr>
        <w:t xml:space="preserve">mortality for these patients would be </w:t>
      </w:r>
      <w:r w:rsidR="00AC0CE3">
        <w:rPr>
          <w:bCs/>
          <w:szCs w:val="22"/>
          <w:lang w:val="en-GB"/>
        </w:rPr>
        <w:t>highly likely</w:t>
      </w:r>
      <w:r w:rsidR="00AC0CE3" w:rsidRPr="006D20F7">
        <w:rPr>
          <w:bCs/>
          <w:szCs w:val="22"/>
          <w:lang w:val="en-GB"/>
        </w:rPr>
        <w:t xml:space="preserve"> </w:t>
      </w:r>
      <w:r w:rsidR="00614CA9" w:rsidRPr="006D20F7">
        <w:rPr>
          <w:bCs/>
          <w:szCs w:val="22"/>
          <w:lang w:val="en-GB"/>
        </w:rPr>
        <w:t xml:space="preserve">after 10 years of transfusion dependence without chelation, and that multi-organ morbidity was likely to occur up to 5 years earlier. </w:t>
      </w:r>
    </w:p>
    <w:p w:rsidR="00614CA9" w:rsidRPr="006D20F7" w:rsidRDefault="00614CA9" w:rsidP="007478B9">
      <w:pPr>
        <w:widowControl/>
        <w:ind w:left="720"/>
        <w:contextualSpacing/>
        <w:rPr>
          <w:b/>
          <w:bCs/>
          <w:szCs w:val="22"/>
          <w:lang w:val="en-GB"/>
        </w:rPr>
      </w:pPr>
    </w:p>
    <w:p w:rsidR="00D07C17" w:rsidRDefault="00614CA9" w:rsidP="007478B9">
      <w:pPr>
        <w:widowControl/>
        <w:numPr>
          <w:ilvl w:val="1"/>
          <w:numId w:val="4"/>
        </w:numPr>
        <w:contextualSpacing/>
        <w:rPr>
          <w:bCs/>
          <w:szCs w:val="22"/>
          <w:lang w:val="en-GB"/>
        </w:rPr>
      </w:pPr>
      <w:r w:rsidRPr="00B32F92">
        <w:rPr>
          <w:bCs/>
          <w:szCs w:val="22"/>
          <w:lang w:val="en-GB"/>
        </w:rPr>
        <w:t xml:space="preserve">The PBAC noted that transfusion dependent malignant disorders of erythropoiesis with a median life expectancy of </w:t>
      </w:r>
      <w:r w:rsidR="007F7A8F" w:rsidRPr="00B32F92">
        <w:rPr>
          <w:bCs/>
          <w:szCs w:val="22"/>
          <w:lang w:val="en-GB"/>
        </w:rPr>
        <w:t>at le</w:t>
      </w:r>
      <w:r w:rsidR="00B32F92" w:rsidRPr="00B32F92">
        <w:rPr>
          <w:bCs/>
          <w:szCs w:val="22"/>
          <w:lang w:val="en-GB"/>
        </w:rPr>
        <w:t>a</w:t>
      </w:r>
      <w:r w:rsidR="007F7A8F" w:rsidRPr="00B32F92">
        <w:rPr>
          <w:bCs/>
          <w:szCs w:val="22"/>
          <w:lang w:val="en-GB"/>
        </w:rPr>
        <w:t xml:space="preserve">st </w:t>
      </w:r>
      <w:r w:rsidRPr="00B32F92">
        <w:rPr>
          <w:bCs/>
          <w:szCs w:val="22"/>
          <w:lang w:val="en-GB"/>
        </w:rPr>
        <w:t xml:space="preserve">5 years would include patients with </w:t>
      </w:r>
      <w:r w:rsidR="00AC0CE3">
        <w:rPr>
          <w:bCs/>
          <w:szCs w:val="22"/>
          <w:lang w:val="en-GB"/>
        </w:rPr>
        <w:t xml:space="preserve">low risk MDS and </w:t>
      </w:r>
      <w:r w:rsidRPr="00B32F92">
        <w:rPr>
          <w:bCs/>
          <w:szCs w:val="22"/>
          <w:lang w:val="en-GB"/>
        </w:rPr>
        <w:t xml:space="preserve">good prognosis myelofibrosis. The PBAC considered that this would be a small population. </w:t>
      </w:r>
    </w:p>
    <w:p w:rsidR="00B32F92" w:rsidRDefault="00B32F92" w:rsidP="007478B9">
      <w:pPr>
        <w:pStyle w:val="ListParagraph"/>
        <w:widowControl/>
        <w:rPr>
          <w:bCs/>
          <w:szCs w:val="22"/>
          <w:lang w:val="en-GB"/>
        </w:rPr>
      </w:pPr>
    </w:p>
    <w:p w:rsidR="004D58EF" w:rsidRPr="00196E52" w:rsidRDefault="004D58EF" w:rsidP="007478B9">
      <w:pPr>
        <w:widowControl/>
        <w:numPr>
          <w:ilvl w:val="1"/>
          <w:numId w:val="4"/>
        </w:numPr>
        <w:contextualSpacing/>
        <w:rPr>
          <w:b/>
          <w:bCs/>
          <w:szCs w:val="22"/>
          <w:lang w:val="en-GB"/>
        </w:rPr>
      </w:pPr>
      <w:r w:rsidRPr="00BF42FD">
        <w:rPr>
          <w:bCs/>
          <w:szCs w:val="22"/>
          <w:lang w:val="en-GB"/>
        </w:rPr>
        <w:t xml:space="preserve">For the economic evaluation in MDS, the PBAC </w:t>
      </w:r>
      <w:r w:rsidR="00F85B18">
        <w:rPr>
          <w:bCs/>
          <w:szCs w:val="22"/>
          <w:lang w:val="en-GB"/>
        </w:rPr>
        <w:t xml:space="preserve">agreed with ESC that given the uncertainty in the clinical evidence a formal economic evaluation was probably premature.  PBAC also </w:t>
      </w:r>
      <w:r w:rsidRPr="00BF42FD">
        <w:rPr>
          <w:bCs/>
          <w:szCs w:val="22"/>
          <w:lang w:val="en-GB"/>
        </w:rPr>
        <w:t>noted that the utility value used in the model was heavily dependent on patient selection and considered that as popula</w:t>
      </w:r>
      <w:r w:rsidRPr="00224B28">
        <w:rPr>
          <w:bCs/>
          <w:szCs w:val="22"/>
          <w:lang w:val="en-GB"/>
        </w:rPr>
        <w:t xml:space="preserve">tion make-up had been inadequately defined between the studies, it was difficult to determine an appropriate utility value with the evidence provided. The PBAC also considered that the appropriate time horizon for the base case was 10 </w:t>
      </w:r>
      <w:r>
        <w:rPr>
          <w:bCs/>
          <w:szCs w:val="22"/>
          <w:lang w:val="en-GB"/>
        </w:rPr>
        <w:t>years,</w:t>
      </w:r>
      <w:r w:rsidRPr="00224B28">
        <w:rPr>
          <w:bCs/>
          <w:szCs w:val="22"/>
          <w:lang w:val="en-GB"/>
        </w:rPr>
        <w:t xml:space="preserve"> given the inherent better prognosis for patients with low risk MDS. </w:t>
      </w:r>
      <w:r w:rsidRPr="008969EA">
        <w:rPr>
          <w:bCs/>
          <w:szCs w:val="22"/>
          <w:lang w:val="en-GB"/>
        </w:rPr>
        <w:t xml:space="preserve">The PBAC </w:t>
      </w:r>
      <w:r>
        <w:rPr>
          <w:bCs/>
          <w:szCs w:val="22"/>
          <w:lang w:val="en-GB"/>
        </w:rPr>
        <w:t xml:space="preserve">also </w:t>
      </w:r>
      <w:r w:rsidRPr="008969EA">
        <w:rPr>
          <w:bCs/>
          <w:szCs w:val="22"/>
          <w:lang w:val="en-GB"/>
        </w:rPr>
        <w:t xml:space="preserve">considered that the HR was a major driver of the model and </w:t>
      </w:r>
      <w:r w:rsidR="00F85B18">
        <w:rPr>
          <w:bCs/>
          <w:szCs w:val="22"/>
          <w:lang w:val="en-GB"/>
        </w:rPr>
        <w:t xml:space="preserve">that the HR favoured by the sponsor </w:t>
      </w:r>
      <w:r w:rsidRPr="008969EA">
        <w:rPr>
          <w:bCs/>
          <w:szCs w:val="22"/>
          <w:lang w:val="en-GB"/>
        </w:rPr>
        <w:t xml:space="preserve">was highly uncertain. </w:t>
      </w:r>
    </w:p>
    <w:p w:rsidR="004D58EF" w:rsidRPr="00196E52" w:rsidRDefault="004D58EF" w:rsidP="007478B9">
      <w:pPr>
        <w:widowControl/>
        <w:ind w:left="720"/>
        <w:contextualSpacing/>
        <w:rPr>
          <w:b/>
          <w:bCs/>
          <w:szCs w:val="22"/>
          <w:lang w:val="en-GB"/>
        </w:rPr>
      </w:pPr>
    </w:p>
    <w:p w:rsidR="004D58EF" w:rsidRPr="008B4A04" w:rsidRDefault="004D58EF" w:rsidP="007478B9">
      <w:pPr>
        <w:widowControl/>
        <w:numPr>
          <w:ilvl w:val="1"/>
          <w:numId w:val="4"/>
        </w:numPr>
        <w:contextualSpacing/>
        <w:rPr>
          <w:bCs/>
          <w:szCs w:val="22"/>
          <w:lang w:val="en-GB"/>
        </w:rPr>
      </w:pPr>
      <w:r w:rsidRPr="00196E52">
        <w:rPr>
          <w:bCs/>
          <w:szCs w:val="22"/>
          <w:lang w:val="en-GB"/>
        </w:rPr>
        <w:t xml:space="preserve">The </w:t>
      </w:r>
      <w:r>
        <w:rPr>
          <w:bCs/>
          <w:szCs w:val="22"/>
          <w:lang w:val="en-GB"/>
        </w:rPr>
        <w:t xml:space="preserve">PBAC considered that base case ICER was optimistic and highly uncertain, given the deficiencies in the clinical data, and the additional concerns identified by ESC. Even </w:t>
      </w:r>
      <w:r w:rsidRPr="008B4A04">
        <w:rPr>
          <w:bCs/>
          <w:szCs w:val="22"/>
          <w:lang w:val="en-GB"/>
        </w:rPr>
        <w:t>if the MDS population was limited to patients with low risk disease only, the PBAC considered that the ICER would remain above the level of acceptability at the price requested.</w:t>
      </w:r>
    </w:p>
    <w:p w:rsidR="00C5722A" w:rsidRPr="008B4A04" w:rsidRDefault="00C5722A" w:rsidP="007478B9">
      <w:pPr>
        <w:pStyle w:val="ListParagraph"/>
        <w:widowControl/>
        <w:rPr>
          <w:bCs/>
          <w:szCs w:val="22"/>
          <w:lang w:val="en-GB"/>
        </w:rPr>
      </w:pPr>
    </w:p>
    <w:p w:rsidR="00C5722A" w:rsidRPr="008B4A04" w:rsidRDefault="00C5722A" w:rsidP="007478B9">
      <w:pPr>
        <w:widowControl/>
        <w:numPr>
          <w:ilvl w:val="1"/>
          <w:numId w:val="4"/>
        </w:numPr>
        <w:contextualSpacing/>
        <w:rPr>
          <w:bCs/>
          <w:szCs w:val="22"/>
          <w:lang w:val="en-GB"/>
        </w:rPr>
      </w:pPr>
      <w:r w:rsidRPr="008B4A04">
        <w:rPr>
          <w:bCs/>
          <w:szCs w:val="22"/>
          <w:lang w:val="en-GB"/>
        </w:rPr>
        <w:t>The PBAC recommended that the following rebates on the ex-manufacturer price of DFX apply to the populations recommended for inclusion within the revised restriction to better reflect the major uncertainties in cost-effectiveness in the NTDT and MDS populations:</w:t>
      </w:r>
    </w:p>
    <w:p w:rsidR="00C5722A" w:rsidRPr="008B4A04" w:rsidRDefault="00D57F00" w:rsidP="007478B9">
      <w:pPr>
        <w:pStyle w:val="ListParagraph"/>
        <w:widowControl/>
        <w:numPr>
          <w:ilvl w:val="0"/>
          <w:numId w:val="38"/>
        </w:numPr>
        <w:ind w:hanging="11"/>
        <w:rPr>
          <w:bCs/>
          <w:szCs w:val="22"/>
          <w:lang w:val="en-GB"/>
        </w:rPr>
      </w:pPr>
      <w:r>
        <w:rPr>
          <w:bCs/>
          <w:noProof/>
          <w:color w:val="000000"/>
          <w:szCs w:val="22"/>
          <w:highlight w:val="black"/>
          <w:lang w:val="en-GB"/>
        </w:rPr>
        <w:t>'''''''</w:t>
      </w:r>
      <w:r w:rsidR="00C5722A" w:rsidRPr="008B4A04">
        <w:rPr>
          <w:bCs/>
          <w:szCs w:val="22"/>
          <w:lang w:val="en-GB"/>
        </w:rPr>
        <w:t>% for the transfusion dependent non-malignant thalassemias, as applied to the current PBS listing</w:t>
      </w:r>
    </w:p>
    <w:p w:rsidR="00C5722A" w:rsidRPr="008B4A04" w:rsidRDefault="00D57F00" w:rsidP="007478B9">
      <w:pPr>
        <w:pStyle w:val="ListParagraph"/>
        <w:widowControl/>
        <w:numPr>
          <w:ilvl w:val="0"/>
          <w:numId w:val="38"/>
        </w:numPr>
        <w:ind w:hanging="11"/>
        <w:rPr>
          <w:bCs/>
          <w:szCs w:val="22"/>
          <w:lang w:val="en-GB"/>
        </w:rPr>
      </w:pPr>
      <w:r>
        <w:rPr>
          <w:bCs/>
          <w:noProof/>
          <w:color w:val="000000"/>
          <w:szCs w:val="22"/>
          <w:highlight w:val="black"/>
          <w:lang w:val="en-GB"/>
        </w:rPr>
        <w:t>'''''''''''''</w:t>
      </w:r>
      <w:r w:rsidR="00C5722A" w:rsidRPr="008B4A04">
        <w:rPr>
          <w:bCs/>
          <w:szCs w:val="22"/>
          <w:lang w:val="en-GB"/>
        </w:rPr>
        <w:t>% for the NTDT, as offered in the current submission (</w:t>
      </w:r>
      <w:r w:rsidR="00C5722A" w:rsidRPr="008B4A04">
        <w:t xml:space="preserve">an increase from the current </w:t>
      </w:r>
      <w:r>
        <w:rPr>
          <w:noProof/>
          <w:color w:val="000000"/>
          <w:highlight w:val="black"/>
        </w:rPr>
        <w:t>'''''''</w:t>
      </w:r>
      <w:r w:rsidR="00C5722A" w:rsidRPr="008B4A04">
        <w:t xml:space="preserve">% rebate) </w:t>
      </w:r>
      <w:r w:rsidR="00C5722A" w:rsidRPr="008B4A04">
        <w:rPr>
          <w:bCs/>
          <w:szCs w:val="22"/>
          <w:lang w:val="en-GB"/>
        </w:rPr>
        <w:t xml:space="preserve"> </w:t>
      </w:r>
    </w:p>
    <w:p w:rsidR="00C5722A" w:rsidRPr="008B4A04" w:rsidRDefault="00C5722A" w:rsidP="007478B9">
      <w:pPr>
        <w:pStyle w:val="ListParagraph"/>
        <w:widowControl/>
        <w:numPr>
          <w:ilvl w:val="0"/>
          <w:numId w:val="38"/>
        </w:numPr>
        <w:ind w:hanging="11"/>
        <w:rPr>
          <w:bCs/>
          <w:szCs w:val="22"/>
          <w:lang w:val="en-GB"/>
        </w:rPr>
      </w:pPr>
      <w:r w:rsidRPr="008B4A04">
        <w:rPr>
          <w:bCs/>
          <w:szCs w:val="22"/>
          <w:lang w:val="en-GB"/>
        </w:rPr>
        <w:t xml:space="preserve">in the order of </w:t>
      </w:r>
      <w:r w:rsidR="00D57F00">
        <w:rPr>
          <w:bCs/>
          <w:noProof/>
          <w:color w:val="000000"/>
          <w:szCs w:val="22"/>
          <w:highlight w:val="black"/>
          <w:lang w:val="en-GB"/>
        </w:rPr>
        <w:t>'''''''</w:t>
      </w:r>
      <w:r w:rsidRPr="008B4A04">
        <w:rPr>
          <w:bCs/>
          <w:szCs w:val="22"/>
          <w:lang w:val="en-GB"/>
        </w:rPr>
        <w:t xml:space="preserve">% for the transfusion dependent malignant disorders (MDS and myelofibrosis) with a  median life expectancy greater than five years.  </w:t>
      </w:r>
    </w:p>
    <w:p w:rsidR="00C5722A" w:rsidRPr="008B4A04" w:rsidRDefault="00C5722A" w:rsidP="007478B9">
      <w:pPr>
        <w:widowControl/>
        <w:ind w:left="720"/>
        <w:contextualSpacing/>
        <w:rPr>
          <w:bCs/>
          <w:szCs w:val="22"/>
          <w:lang w:val="en-GB"/>
        </w:rPr>
      </w:pPr>
      <w:r w:rsidRPr="008B4A04">
        <w:rPr>
          <w:bCs/>
          <w:szCs w:val="22"/>
          <w:lang w:val="en-GB"/>
        </w:rPr>
        <w:t>The PBAC recommended that these rebates should form the basis of a new weighted effective ex-manufacturer price for DFX.</w:t>
      </w:r>
    </w:p>
    <w:p w:rsidR="00C25A87" w:rsidRPr="008B4A04" w:rsidRDefault="00C25A87" w:rsidP="007478B9">
      <w:pPr>
        <w:widowControl/>
        <w:contextualSpacing/>
        <w:rPr>
          <w:b/>
          <w:bCs/>
          <w:szCs w:val="22"/>
          <w:lang w:val="en-GB"/>
        </w:rPr>
      </w:pPr>
    </w:p>
    <w:p w:rsidR="008969EA" w:rsidRDefault="008969EA" w:rsidP="007478B9">
      <w:pPr>
        <w:widowControl/>
        <w:numPr>
          <w:ilvl w:val="1"/>
          <w:numId w:val="4"/>
        </w:numPr>
        <w:contextualSpacing/>
        <w:rPr>
          <w:lang w:val="en-GB"/>
        </w:rPr>
      </w:pPr>
      <w:r w:rsidRPr="006D5811">
        <w:rPr>
          <w:lang w:val="en-GB"/>
        </w:rPr>
        <w:t xml:space="preserve">The PBAC noted the uncertainty regarding the estimated number of scripts, and considered </w:t>
      </w:r>
      <w:r w:rsidR="00712F80" w:rsidRPr="006D5811">
        <w:rPr>
          <w:lang w:val="en-GB"/>
        </w:rPr>
        <w:t>the acceptance of a broader indication than recommended in November 2014 to fill an unmet need in a highly targeted population should be reviewed by DUSC and PBAC 12-24 months after PBS listing changes</w:t>
      </w:r>
      <w:r w:rsidRPr="006D5811">
        <w:rPr>
          <w:lang w:val="en-GB"/>
        </w:rPr>
        <w:t xml:space="preserve">. The PBAC also acknowledged that some switching to DFO </w:t>
      </w:r>
      <w:r w:rsidR="00F0520B" w:rsidRPr="006D5811">
        <w:rPr>
          <w:lang w:val="en-GB"/>
        </w:rPr>
        <w:t>is possible</w:t>
      </w:r>
      <w:r w:rsidRPr="006D5811">
        <w:rPr>
          <w:lang w:val="en-GB"/>
        </w:rPr>
        <w:t>, but considered it highly unlikely given that, historically, clinician preference for DFX over DFO has been driven by its more favourable route</w:t>
      </w:r>
      <w:r w:rsidR="006D5811">
        <w:rPr>
          <w:lang w:val="en-GB"/>
        </w:rPr>
        <w:t xml:space="preserve"> of administration (i.e. oral).</w:t>
      </w:r>
    </w:p>
    <w:p w:rsidR="006D5811" w:rsidRPr="006D5811" w:rsidRDefault="006D5811" w:rsidP="006D5811">
      <w:pPr>
        <w:widowControl/>
        <w:ind w:left="720"/>
        <w:contextualSpacing/>
        <w:rPr>
          <w:lang w:val="en-GB"/>
        </w:rPr>
      </w:pPr>
    </w:p>
    <w:p w:rsidR="00097BD2" w:rsidRPr="00802F79" w:rsidRDefault="00C25A87" w:rsidP="007478B9">
      <w:pPr>
        <w:widowControl/>
        <w:numPr>
          <w:ilvl w:val="1"/>
          <w:numId w:val="4"/>
        </w:numPr>
        <w:contextualSpacing/>
        <w:rPr>
          <w:b/>
          <w:bCs/>
          <w:szCs w:val="22"/>
          <w:lang w:val="en-GB"/>
        </w:rPr>
      </w:pPr>
      <w:r>
        <w:rPr>
          <w:bCs/>
          <w:szCs w:val="22"/>
          <w:lang w:val="en-GB"/>
        </w:rPr>
        <w:t>The PBAC r</w:t>
      </w:r>
      <w:r w:rsidR="001B629F" w:rsidRPr="00F40427">
        <w:rPr>
          <w:bCs/>
          <w:szCs w:val="22"/>
          <w:lang w:val="en-GB"/>
        </w:rPr>
        <w:t xml:space="preserve">ecommended that the revised DFX restriction include patients with transfusion dependent thalassemias, </w:t>
      </w:r>
      <w:r w:rsidR="00196E52">
        <w:rPr>
          <w:bCs/>
          <w:szCs w:val="22"/>
          <w:lang w:val="en-GB"/>
        </w:rPr>
        <w:t>NTDT</w:t>
      </w:r>
      <w:r w:rsidR="001B629F" w:rsidRPr="00F40427">
        <w:rPr>
          <w:bCs/>
          <w:szCs w:val="22"/>
          <w:lang w:val="en-GB"/>
        </w:rPr>
        <w:t xml:space="preserve"> and</w:t>
      </w:r>
      <w:r w:rsidR="00C366F4">
        <w:rPr>
          <w:bCs/>
          <w:szCs w:val="22"/>
          <w:lang w:val="en-GB"/>
        </w:rPr>
        <w:t>, subject to price negotiation,</w:t>
      </w:r>
      <w:r w:rsidR="001B629F" w:rsidRPr="00F40427">
        <w:rPr>
          <w:bCs/>
          <w:szCs w:val="22"/>
          <w:lang w:val="en-GB"/>
        </w:rPr>
        <w:t xml:space="preserve"> patients with transfusion dependent malignant disorders of erythropoiesis with a media</w:t>
      </w:r>
      <w:r w:rsidR="00282254">
        <w:rPr>
          <w:bCs/>
          <w:szCs w:val="22"/>
          <w:lang w:val="en-GB"/>
        </w:rPr>
        <w:t>n life expectancy greater than five</w:t>
      </w:r>
      <w:r w:rsidR="001B629F" w:rsidRPr="00F40427">
        <w:rPr>
          <w:bCs/>
          <w:szCs w:val="22"/>
          <w:lang w:val="en-GB"/>
        </w:rPr>
        <w:t xml:space="preserve"> years.</w:t>
      </w:r>
      <w:r w:rsidR="006C10A6">
        <w:rPr>
          <w:bCs/>
          <w:szCs w:val="22"/>
          <w:lang w:val="en-GB"/>
        </w:rPr>
        <w:t xml:space="preserve"> </w:t>
      </w:r>
      <w:r w:rsidR="00712F80">
        <w:rPr>
          <w:bCs/>
          <w:szCs w:val="22"/>
          <w:lang w:val="en-GB"/>
        </w:rPr>
        <w:t>Revised restriction wording is prosed below in Section 8.</w:t>
      </w:r>
    </w:p>
    <w:p w:rsidR="006D20F7" w:rsidRDefault="006D20F7" w:rsidP="007478B9">
      <w:pPr>
        <w:pStyle w:val="ListParagraph"/>
        <w:widowControl/>
        <w:rPr>
          <w:b/>
          <w:bCs/>
          <w:szCs w:val="22"/>
          <w:lang w:val="en-GB"/>
        </w:rPr>
      </w:pPr>
    </w:p>
    <w:p w:rsidR="006D20F7" w:rsidRPr="006D20F7" w:rsidRDefault="006D20F7" w:rsidP="007478B9">
      <w:pPr>
        <w:widowControl/>
        <w:numPr>
          <w:ilvl w:val="1"/>
          <w:numId w:val="4"/>
        </w:numPr>
        <w:contextualSpacing/>
        <w:rPr>
          <w:b/>
          <w:bCs/>
          <w:szCs w:val="22"/>
          <w:lang w:val="en-GB"/>
        </w:rPr>
      </w:pPr>
      <w:r>
        <w:rPr>
          <w:bCs/>
          <w:szCs w:val="22"/>
          <w:lang w:val="en-GB"/>
        </w:rPr>
        <w:t>The PBAC considered that patients with very good prognosis MDS with a median life expectancy of greater th</w:t>
      </w:r>
      <w:r w:rsidR="00282254">
        <w:rPr>
          <w:bCs/>
          <w:szCs w:val="22"/>
          <w:lang w:val="en-GB"/>
        </w:rPr>
        <w:t>an five</w:t>
      </w:r>
      <w:r>
        <w:rPr>
          <w:bCs/>
          <w:szCs w:val="22"/>
          <w:lang w:val="en-GB"/>
        </w:rPr>
        <w:t xml:space="preserve"> years would fall under one or more of the following prognostic categories:</w:t>
      </w:r>
    </w:p>
    <w:p w:rsidR="006D20F7" w:rsidRPr="006D20F7" w:rsidRDefault="006D20F7" w:rsidP="007478B9">
      <w:pPr>
        <w:pStyle w:val="ListParagraph"/>
        <w:widowControl/>
        <w:numPr>
          <w:ilvl w:val="0"/>
          <w:numId w:val="38"/>
        </w:numPr>
        <w:ind w:hanging="11"/>
        <w:rPr>
          <w:b/>
          <w:bCs/>
          <w:szCs w:val="22"/>
          <w:lang w:val="en-GB"/>
        </w:rPr>
      </w:pPr>
      <w:r>
        <w:rPr>
          <w:bCs/>
          <w:szCs w:val="22"/>
          <w:lang w:val="en-GB"/>
        </w:rPr>
        <w:t>Underlying MDS classified as low risk according to IPSS</w:t>
      </w:r>
    </w:p>
    <w:p w:rsidR="006D20F7" w:rsidRPr="006D20F7" w:rsidRDefault="006D20F7" w:rsidP="007478B9">
      <w:pPr>
        <w:pStyle w:val="ListParagraph"/>
        <w:widowControl/>
        <w:numPr>
          <w:ilvl w:val="0"/>
          <w:numId w:val="38"/>
        </w:numPr>
        <w:ind w:left="851" w:hanging="142"/>
        <w:rPr>
          <w:b/>
          <w:bCs/>
          <w:szCs w:val="22"/>
          <w:lang w:val="en-GB"/>
        </w:rPr>
      </w:pPr>
      <w:r>
        <w:rPr>
          <w:bCs/>
          <w:szCs w:val="22"/>
          <w:lang w:val="en-GB"/>
        </w:rPr>
        <w:t xml:space="preserve">Underlying MDS classified as very good prognosis or good prognosis according to </w:t>
      </w:r>
      <w:r w:rsidR="00D07C17">
        <w:rPr>
          <w:bCs/>
          <w:szCs w:val="22"/>
          <w:lang w:val="en-GB"/>
        </w:rPr>
        <w:t xml:space="preserve">  </w:t>
      </w:r>
      <w:r>
        <w:rPr>
          <w:bCs/>
          <w:szCs w:val="22"/>
          <w:lang w:val="en-GB"/>
        </w:rPr>
        <w:t>IPSS-R</w:t>
      </w:r>
    </w:p>
    <w:p w:rsidR="006D20F7" w:rsidRPr="006D20F7" w:rsidRDefault="006D20F7" w:rsidP="007478B9">
      <w:pPr>
        <w:pStyle w:val="ListParagraph"/>
        <w:widowControl/>
        <w:numPr>
          <w:ilvl w:val="0"/>
          <w:numId w:val="38"/>
        </w:numPr>
        <w:ind w:hanging="11"/>
        <w:rPr>
          <w:b/>
          <w:bCs/>
          <w:szCs w:val="22"/>
          <w:lang w:val="en-GB"/>
        </w:rPr>
      </w:pPr>
      <w:r>
        <w:rPr>
          <w:bCs/>
          <w:szCs w:val="22"/>
          <w:lang w:val="en-GB"/>
        </w:rPr>
        <w:t>Underlying MDS classified as low or very low risk according to WPSS.</w:t>
      </w:r>
      <w:r>
        <w:rPr>
          <w:bCs/>
          <w:szCs w:val="22"/>
          <w:lang w:val="en-GB"/>
        </w:rPr>
        <w:br/>
      </w:r>
    </w:p>
    <w:p w:rsidR="00C25A87" w:rsidRDefault="00C25A87" w:rsidP="007478B9">
      <w:pPr>
        <w:widowControl/>
        <w:numPr>
          <w:ilvl w:val="1"/>
          <w:numId w:val="4"/>
        </w:numPr>
        <w:contextualSpacing/>
        <w:rPr>
          <w:bCs/>
          <w:szCs w:val="22"/>
          <w:lang w:val="en-GB"/>
        </w:rPr>
      </w:pPr>
      <w:r w:rsidRPr="006C10A6">
        <w:rPr>
          <w:bCs/>
          <w:szCs w:val="22"/>
          <w:lang w:val="en-GB"/>
        </w:rPr>
        <w:t>The PBAC agreed with ESC that the request for a S100 (Highly Specialised Drugs) listing was appropriate.</w:t>
      </w:r>
    </w:p>
    <w:p w:rsidR="00687358" w:rsidRDefault="00687358" w:rsidP="007478B9">
      <w:pPr>
        <w:widowControl/>
        <w:ind w:left="720"/>
        <w:contextualSpacing/>
        <w:rPr>
          <w:bCs/>
          <w:szCs w:val="22"/>
          <w:lang w:val="en-GB"/>
        </w:rPr>
      </w:pPr>
      <w:r>
        <w:rPr>
          <w:bCs/>
          <w:szCs w:val="22"/>
          <w:lang w:val="en-GB"/>
        </w:rPr>
        <w:t xml:space="preserve"> </w:t>
      </w:r>
    </w:p>
    <w:p w:rsidR="00687358" w:rsidRPr="00181D62" w:rsidRDefault="00687358" w:rsidP="007478B9">
      <w:pPr>
        <w:widowControl/>
        <w:numPr>
          <w:ilvl w:val="1"/>
          <w:numId w:val="4"/>
        </w:numPr>
        <w:contextualSpacing/>
        <w:rPr>
          <w:bCs/>
          <w:szCs w:val="22"/>
          <w:lang w:val="en-GB"/>
        </w:rPr>
      </w:pPr>
      <w:r w:rsidRPr="00181D62">
        <w:rPr>
          <w:bCs/>
          <w:szCs w:val="22"/>
          <w:lang w:val="en-GB"/>
        </w:rPr>
        <w:t xml:space="preserve">The PBAC recommended that the 20 Day Safety Net Rule should apply. </w:t>
      </w:r>
    </w:p>
    <w:p w:rsidR="00687358" w:rsidRPr="00181D62" w:rsidRDefault="00687358" w:rsidP="007478B9">
      <w:pPr>
        <w:pStyle w:val="ListParagraph"/>
        <w:widowControl/>
        <w:rPr>
          <w:bCs/>
          <w:szCs w:val="22"/>
          <w:lang w:val="en-GB"/>
        </w:rPr>
      </w:pPr>
    </w:p>
    <w:p w:rsidR="004B1FBC" w:rsidRDefault="00712F80" w:rsidP="007478B9">
      <w:pPr>
        <w:widowControl/>
        <w:numPr>
          <w:ilvl w:val="1"/>
          <w:numId w:val="4"/>
        </w:numPr>
        <w:contextualSpacing/>
        <w:rPr>
          <w:bCs/>
          <w:szCs w:val="22"/>
          <w:lang w:val="en-GB"/>
        </w:rPr>
      </w:pPr>
      <w:r w:rsidRPr="00181D62">
        <w:rPr>
          <w:bCs/>
          <w:szCs w:val="22"/>
          <w:lang w:val="en-GB"/>
        </w:rPr>
        <w:t xml:space="preserve">The PBAC recommended that </w:t>
      </w:r>
      <w:r w:rsidR="00181D62">
        <w:rPr>
          <w:bCs/>
          <w:szCs w:val="22"/>
          <w:lang w:val="en-GB"/>
        </w:rPr>
        <w:t>deferasirox</w:t>
      </w:r>
      <w:r w:rsidRPr="00181D62">
        <w:rPr>
          <w:bCs/>
          <w:szCs w:val="22"/>
          <w:lang w:val="en-GB"/>
        </w:rPr>
        <w:t xml:space="preserve"> should </w:t>
      </w:r>
      <w:r w:rsidR="00181D62">
        <w:rPr>
          <w:bCs/>
          <w:szCs w:val="22"/>
          <w:lang w:val="en-GB"/>
        </w:rPr>
        <w:t xml:space="preserve">not </w:t>
      </w:r>
      <w:r w:rsidRPr="00181D62">
        <w:rPr>
          <w:bCs/>
          <w:szCs w:val="22"/>
          <w:lang w:val="en-GB"/>
        </w:rPr>
        <w:t xml:space="preserve">be treated as interchangeable on an individual patient basis with </w:t>
      </w:r>
      <w:r w:rsidR="00181D62">
        <w:rPr>
          <w:bCs/>
          <w:szCs w:val="22"/>
          <w:lang w:val="en-GB"/>
        </w:rPr>
        <w:t>any other drug</w:t>
      </w:r>
      <w:r w:rsidR="003763AF">
        <w:rPr>
          <w:bCs/>
          <w:szCs w:val="22"/>
          <w:lang w:val="en-GB"/>
        </w:rPr>
        <w:t>, according to s101(3BA) advice</w:t>
      </w:r>
      <w:r w:rsidRPr="00181D62">
        <w:rPr>
          <w:bCs/>
          <w:szCs w:val="22"/>
          <w:lang w:val="en-GB"/>
        </w:rPr>
        <w:t>.</w:t>
      </w:r>
    </w:p>
    <w:p w:rsidR="00181D62" w:rsidRDefault="00181D62" w:rsidP="007478B9">
      <w:pPr>
        <w:pStyle w:val="ListParagraph"/>
        <w:widowControl/>
        <w:rPr>
          <w:bCs/>
          <w:szCs w:val="22"/>
          <w:lang w:val="en-GB"/>
        </w:rPr>
      </w:pPr>
    </w:p>
    <w:p w:rsidR="00687358" w:rsidRPr="00181D62" w:rsidRDefault="009E29D8" w:rsidP="007478B9">
      <w:pPr>
        <w:widowControl/>
        <w:numPr>
          <w:ilvl w:val="1"/>
          <w:numId w:val="4"/>
        </w:numPr>
        <w:contextualSpacing/>
        <w:rPr>
          <w:bCs/>
          <w:szCs w:val="22"/>
          <w:lang w:val="en-GB"/>
        </w:rPr>
      </w:pPr>
      <w:r w:rsidRPr="00181D62">
        <w:rPr>
          <w:bCs/>
          <w:szCs w:val="22"/>
          <w:lang w:val="en-GB"/>
        </w:rPr>
        <w:t xml:space="preserve">The PBAC advised that </w:t>
      </w:r>
      <w:r w:rsidR="00F27C8A" w:rsidRPr="00181D62">
        <w:rPr>
          <w:bCs/>
          <w:szCs w:val="22"/>
          <w:lang w:val="en-GB"/>
        </w:rPr>
        <w:t>deferasirox</w:t>
      </w:r>
      <w:r w:rsidRPr="00181D62">
        <w:rPr>
          <w:bCs/>
          <w:szCs w:val="22"/>
          <w:lang w:val="en-GB"/>
        </w:rPr>
        <w:t xml:space="preserve"> is suitable for prescribing by nurse practitioners as continuing treatment only under a shared care model. </w:t>
      </w:r>
    </w:p>
    <w:p w:rsidR="00F27C8A" w:rsidRDefault="00F27C8A" w:rsidP="007478B9">
      <w:pPr>
        <w:widowControl/>
        <w:ind w:left="720"/>
        <w:contextualSpacing/>
        <w:rPr>
          <w:bCs/>
          <w:szCs w:val="22"/>
          <w:lang w:val="en-GB"/>
        </w:rPr>
      </w:pPr>
    </w:p>
    <w:p w:rsidR="00F27C8A" w:rsidRPr="00F27C8A" w:rsidRDefault="00F27C8A" w:rsidP="007478B9">
      <w:pPr>
        <w:widowControl/>
        <w:numPr>
          <w:ilvl w:val="1"/>
          <w:numId w:val="4"/>
        </w:numPr>
        <w:contextualSpacing/>
        <w:rPr>
          <w:bCs/>
          <w:szCs w:val="22"/>
          <w:lang w:val="en-GB"/>
        </w:rPr>
      </w:pPr>
      <w:r w:rsidRPr="00F27C8A">
        <w:rPr>
          <w:bCs/>
          <w:szCs w:val="22"/>
          <w:lang w:val="en-GB"/>
        </w:rPr>
        <w:t>The PBAC noted that this submission is not eligible for an Independent Review</w:t>
      </w:r>
      <w:r w:rsidR="00774D32">
        <w:rPr>
          <w:bCs/>
          <w:szCs w:val="22"/>
          <w:lang w:val="en-GB"/>
        </w:rPr>
        <w:t xml:space="preserve"> given that the Committee approved a change to the restriction</w:t>
      </w:r>
      <w:r w:rsidRPr="00F27C8A">
        <w:rPr>
          <w:bCs/>
          <w:szCs w:val="22"/>
          <w:lang w:val="en-GB"/>
        </w:rPr>
        <w:t>.</w:t>
      </w:r>
    </w:p>
    <w:p w:rsidR="00687358" w:rsidRPr="00687358" w:rsidRDefault="00687358" w:rsidP="007478B9">
      <w:pPr>
        <w:widowControl/>
        <w:ind w:left="720"/>
        <w:contextualSpacing/>
        <w:rPr>
          <w:b/>
          <w:bCs/>
          <w:szCs w:val="22"/>
          <w:lang w:val="en-GB"/>
        </w:rPr>
      </w:pPr>
    </w:p>
    <w:p w:rsidR="00F07AEB" w:rsidRDefault="00C25A87" w:rsidP="007478B9">
      <w:pPr>
        <w:widowControl/>
        <w:numPr>
          <w:ilvl w:val="1"/>
          <w:numId w:val="4"/>
        </w:numPr>
        <w:contextualSpacing/>
        <w:rPr>
          <w:b/>
          <w:bCs/>
          <w:szCs w:val="22"/>
          <w:lang w:val="en-GB"/>
        </w:rPr>
      </w:pPr>
      <w:r>
        <w:rPr>
          <w:bCs/>
          <w:szCs w:val="22"/>
          <w:lang w:val="en-GB"/>
        </w:rPr>
        <w:t>The PBAC recommended that this listing be reviewed by the DUSC and PBAC in 2019.</w:t>
      </w:r>
    </w:p>
    <w:p w:rsidR="009E29D8" w:rsidRDefault="009E29D8" w:rsidP="007478B9">
      <w:pPr>
        <w:widowControl/>
        <w:contextualSpacing/>
        <w:rPr>
          <w:b/>
          <w:bCs/>
          <w:szCs w:val="22"/>
          <w:lang w:val="en-GB"/>
        </w:rPr>
      </w:pPr>
    </w:p>
    <w:p w:rsidR="007478B9" w:rsidRPr="009E29D8" w:rsidRDefault="007478B9" w:rsidP="007478B9">
      <w:pPr>
        <w:widowControl/>
        <w:contextualSpacing/>
        <w:rPr>
          <w:b/>
          <w:bCs/>
          <w:szCs w:val="22"/>
          <w:lang w:val="en-GB"/>
        </w:rPr>
      </w:pPr>
    </w:p>
    <w:p w:rsidR="00097BD2" w:rsidRPr="00F07AEB" w:rsidRDefault="00097BD2" w:rsidP="007478B9">
      <w:pPr>
        <w:widowControl/>
        <w:jc w:val="left"/>
        <w:rPr>
          <w:szCs w:val="22"/>
        </w:rPr>
      </w:pPr>
      <w:r w:rsidRPr="00F07AEB">
        <w:rPr>
          <w:b/>
          <w:bCs/>
          <w:szCs w:val="22"/>
          <w:lang w:val="en-GB"/>
        </w:rPr>
        <w:t>Outcome:</w:t>
      </w:r>
    </w:p>
    <w:p w:rsidR="00097BD2" w:rsidRPr="00F07AEB" w:rsidRDefault="00097BD2" w:rsidP="007478B9">
      <w:pPr>
        <w:widowControl/>
        <w:rPr>
          <w:bCs/>
          <w:szCs w:val="22"/>
          <w:lang w:val="en-GB"/>
        </w:rPr>
      </w:pPr>
      <w:r w:rsidRPr="008F1766">
        <w:rPr>
          <w:bCs/>
          <w:szCs w:val="22"/>
          <w:lang w:val="en-GB"/>
        </w:rPr>
        <w:t>Rejected</w:t>
      </w:r>
    </w:p>
    <w:p w:rsidR="00097BD2" w:rsidRPr="008B4A04" w:rsidRDefault="00097BD2" w:rsidP="007478B9">
      <w:pPr>
        <w:widowControl/>
        <w:contextualSpacing/>
        <w:rPr>
          <w:bCs/>
          <w:szCs w:val="22"/>
          <w:highlight w:val="yellow"/>
        </w:rPr>
      </w:pPr>
    </w:p>
    <w:p w:rsidR="00097BD2" w:rsidRPr="008B4A04" w:rsidRDefault="00097BD2" w:rsidP="007478B9">
      <w:pPr>
        <w:widowControl/>
        <w:contextualSpacing/>
        <w:rPr>
          <w:bCs/>
          <w:szCs w:val="22"/>
          <w:highlight w:val="yellow"/>
        </w:rPr>
      </w:pPr>
    </w:p>
    <w:p w:rsidR="001E2914" w:rsidRPr="00BD349D" w:rsidRDefault="001E2914" w:rsidP="001E2914">
      <w:pPr>
        <w:widowControl/>
        <w:contextualSpacing/>
        <w:rPr>
          <w:bCs/>
          <w:szCs w:val="22"/>
          <w:lang w:val="en-GB"/>
        </w:rPr>
      </w:pPr>
      <w:r w:rsidRPr="00BD349D">
        <w:rPr>
          <w:bCs/>
          <w:szCs w:val="22"/>
          <w:lang w:val="en-GB"/>
        </w:rPr>
        <w:t xml:space="preserve">Following the conclusion of the July 2015 meeting, the sponsor made an appropriate price offer for patients with malignant disorders of erythropoiesis with a median life expectancy greater than five years. </w:t>
      </w:r>
    </w:p>
    <w:p w:rsidR="001E2914" w:rsidRPr="00BD349D" w:rsidRDefault="001E2914" w:rsidP="001E2914">
      <w:pPr>
        <w:widowControl/>
        <w:contextualSpacing/>
        <w:rPr>
          <w:bCs/>
          <w:szCs w:val="22"/>
          <w:lang w:val="en-GB"/>
        </w:rPr>
      </w:pPr>
    </w:p>
    <w:p w:rsidR="001E2914" w:rsidRPr="00BD349D" w:rsidRDefault="001E2914" w:rsidP="001E2914">
      <w:pPr>
        <w:widowControl/>
        <w:contextualSpacing/>
        <w:rPr>
          <w:bCs/>
          <w:szCs w:val="22"/>
          <w:lang w:val="en-GB"/>
        </w:rPr>
      </w:pPr>
      <w:r w:rsidRPr="00BD349D">
        <w:rPr>
          <w:bCs/>
          <w:szCs w:val="22"/>
          <w:lang w:val="en-GB"/>
        </w:rPr>
        <w:t>The PBAC advised that the revised restriction recommended at the July 2015 meeting would be implemented following its finalisation and would include the following populations:</w:t>
      </w:r>
    </w:p>
    <w:p w:rsidR="001E2914" w:rsidRPr="00BD349D" w:rsidRDefault="001E2914" w:rsidP="001E2914">
      <w:pPr>
        <w:pStyle w:val="ListParagraph"/>
        <w:rPr>
          <w:bCs/>
          <w:szCs w:val="22"/>
          <w:lang w:val="en-GB"/>
        </w:rPr>
      </w:pPr>
    </w:p>
    <w:p w:rsidR="001E2914" w:rsidRPr="00BD349D" w:rsidRDefault="001E2914" w:rsidP="001E2914">
      <w:pPr>
        <w:pStyle w:val="PBACHeading1"/>
        <w:numPr>
          <w:ilvl w:val="0"/>
          <w:numId w:val="38"/>
        </w:numPr>
        <w:rPr>
          <w:b w:val="0"/>
          <w:lang w:val="en-GB"/>
        </w:rPr>
      </w:pPr>
      <w:r w:rsidRPr="00BD349D">
        <w:rPr>
          <w:b w:val="0"/>
          <w:bCs/>
          <w:lang w:val="en-GB"/>
        </w:rPr>
        <w:t xml:space="preserve">patients with transfusion dependent non-malignant disorders of erythropoiesis; </w:t>
      </w:r>
      <w:r w:rsidRPr="00BD349D">
        <w:rPr>
          <w:b w:val="0"/>
          <w:lang w:val="en-GB"/>
        </w:rPr>
        <w:t xml:space="preserve"> </w:t>
      </w:r>
    </w:p>
    <w:p w:rsidR="001E2914" w:rsidRPr="00BD349D" w:rsidRDefault="001E2914" w:rsidP="001E2914">
      <w:pPr>
        <w:pStyle w:val="PBACHeading1"/>
        <w:numPr>
          <w:ilvl w:val="0"/>
          <w:numId w:val="38"/>
        </w:numPr>
        <w:rPr>
          <w:b w:val="0"/>
          <w:lang w:val="en-GB"/>
        </w:rPr>
      </w:pPr>
      <w:r w:rsidRPr="00BD349D">
        <w:rPr>
          <w:b w:val="0"/>
          <w:bCs/>
          <w:lang w:val="en-GB"/>
        </w:rPr>
        <w:t>patients with NTDT; and</w:t>
      </w:r>
    </w:p>
    <w:p w:rsidR="001E2914" w:rsidRPr="00BD349D" w:rsidRDefault="001E2914" w:rsidP="001E2914">
      <w:pPr>
        <w:pStyle w:val="PBACHeading1"/>
        <w:numPr>
          <w:ilvl w:val="0"/>
          <w:numId w:val="38"/>
        </w:numPr>
        <w:rPr>
          <w:b w:val="0"/>
          <w:lang w:val="en-GB"/>
        </w:rPr>
      </w:pPr>
      <w:r w:rsidRPr="00BD349D">
        <w:rPr>
          <w:b w:val="0"/>
          <w:bCs/>
          <w:lang w:val="en-GB"/>
        </w:rPr>
        <w:t xml:space="preserve">patients with transfusion dependent malignant disorders of haemopoiesis with a median life expectancy greater than five years. </w:t>
      </w:r>
    </w:p>
    <w:p w:rsidR="001E2914" w:rsidRPr="00BD349D" w:rsidRDefault="001E2914" w:rsidP="001E2914">
      <w:pPr>
        <w:pStyle w:val="PBACHeading1"/>
        <w:numPr>
          <w:ilvl w:val="0"/>
          <w:numId w:val="0"/>
        </w:numPr>
        <w:ind w:left="720" w:hanging="720"/>
        <w:rPr>
          <w:b w:val="0"/>
          <w:bCs/>
          <w:lang w:val="en-GB"/>
        </w:rPr>
      </w:pPr>
    </w:p>
    <w:p w:rsidR="001E2914" w:rsidRPr="00BD349D" w:rsidRDefault="001E2914" w:rsidP="001E2914">
      <w:pPr>
        <w:pStyle w:val="PBACHeading1"/>
        <w:numPr>
          <w:ilvl w:val="0"/>
          <w:numId w:val="0"/>
        </w:numPr>
        <w:rPr>
          <w:b w:val="0"/>
          <w:lang w:val="en-GB"/>
        </w:rPr>
      </w:pPr>
      <w:r w:rsidRPr="00BD349D">
        <w:rPr>
          <w:b w:val="0"/>
          <w:lang w:val="en-GB"/>
        </w:rPr>
        <w:t xml:space="preserve">The PBAC also noted that the description of very good prognosis myelodysplasia with a median life expectancy of greater than five years (outlined in paragraph 7.18 of the minutes) required a correction. The PBAC considered that the appropriate terminology for the intended groups defined by the IPSS-R score should be either very low risk or low risk, noting that the very good prognosis and good prognosis stated in the minutes referred to cytogenic scoring only, rather than the overall IPSS-R score. This change has been reflected in the revised recommended restriction. </w:t>
      </w:r>
    </w:p>
    <w:p w:rsidR="001E2914" w:rsidRPr="00BD349D" w:rsidRDefault="001E2914" w:rsidP="001E2914">
      <w:pPr>
        <w:pStyle w:val="PBACHeading1"/>
        <w:numPr>
          <w:ilvl w:val="0"/>
          <w:numId w:val="0"/>
        </w:numPr>
        <w:ind w:left="720" w:hanging="720"/>
        <w:rPr>
          <w:b w:val="0"/>
          <w:bCs/>
          <w:lang w:val="en-GB"/>
        </w:rPr>
      </w:pPr>
    </w:p>
    <w:p w:rsidR="001E2914" w:rsidRPr="00BD349D" w:rsidRDefault="001E2914" w:rsidP="001E2914">
      <w:pPr>
        <w:rPr>
          <w:b/>
          <w:szCs w:val="22"/>
        </w:rPr>
      </w:pPr>
      <w:r w:rsidRPr="00BD349D">
        <w:rPr>
          <w:b/>
          <w:szCs w:val="22"/>
        </w:rPr>
        <w:t>Outcome:</w:t>
      </w:r>
    </w:p>
    <w:p w:rsidR="001E2914" w:rsidRPr="005B2E1A" w:rsidRDefault="001E2914" w:rsidP="001E2914">
      <w:pPr>
        <w:pStyle w:val="NormalWeb"/>
        <w:spacing w:before="0" w:after="0"/>
        <w:rPr>
          <w:rFonts w:ascii="Arial" w:hAnsi="Arial" w:cs="Arial"/>
          <w:sz w:val="22"/>
          <w:szCs w:val="22"/>
        </w:rPr>
      </w:pPr>
      <w:r w:rsidRPr="00BD349D">
        <w:rPr>
          <w:rFonts w:ascii="Arial" w:hAnsi="Arial" w:cs="Arial"/>
          <w:sz w:val="22"/>
          <w:szCs w:val="22"/>
        </w:rPr>
        <w:t>Recommended</w:t>
      </w:r>
    </w:p>
    <w:p w:rsidR="001E2914" w:rsidRPr="009C47F9" w:rsidRDefault="001E2914" w:rsidP="001E2914">
      <w:pPr>
        <w:pStyle w:val="PBACHeading1"/>
        <w:numPr>
          <w:ilvl w:val="0"/>
          <w:numId w:val="0"/>
        </w:numPr>
        <w:ind w:left="720" w:hanging="720"/>
        <w:rPr>
          <w:b w:val="0"/>
          <w:lang w:val="en-GB"/>
        </w:rPr>
      </w:pPr>
    </w:p>
    <w:p w:rsidR="001E2914" w:rsidRPr="008B4A04" w:rsidRDefault="001E2914" w:rsidP="001E2914">
      <w:pPr>
        <w:widowControl/>
        <w:spacing w:after="200" w:line="276" w:lineRule="auto"/>
        <w:jc w:val="left"/>
        <w:rPr>
          <w:bCs/>
          <w:szCs w:val="22"/>
          <w:highlight w:val="yellow"/>
        </w:rPr>
      </w:pPr>
      <w:r>
        <w:rPr>
          <w:bCs/>
          <w:szCs w:val="22"/>
          <w:highlight w:val="yellow"/>
        </w:rPr>
        <w:br w:type="page"/>
      </w:r>
    </w:p>
    <w:p w:rsidR="001E2914" w:rsidRPr="00F07AEB" w:rsidRDefault="001E2914" w:rsidP="001E2914">
      <w:pPr>
        <w:widowControl/>
        <w:numPr>
          <w:ilvl w:val="0"/>
          <w:numId w:val="4"/>
        </w:numPr>
        <w:rPr>
          <w:b/>
          <w:bCs/>
          <w:i/>
          <w:szCs w:val="22"/>
          <w:lang w:val="en-GB"/>
        </w:rPr>
      </w:pPr>
      <w:r w:rsidRPr="00F07AEB">
        <w:rPr>
          <w:b/>
          <w:bCs/>
          <w:szCs w:val="22"/>
          <w:lang w:val="en-GB"/>
        </w:rPr>
        <w:t>Recommended listing</w:t>
      </w:r>
    </w:p>
    <w:p w:rsidR="001E2914" w:rsidRPr="008B4A04" w:rsidRDefault="001E2914" w:rsidP="001E2914">
      <w:pPr>
        <w:widowControl/>
        <w:contextualSpacing/>
        <w:rPr>
          <w:bCs/>
          <w:szCs w:val="22"/>
          <w:highlight w:val="yellow"/>
        </w:rPr>
      </w:pPr>
    </w:p>
    <w:p w:rsidR="001E2914" w:rsidRPr="00F07AEB" w:rsidRDefault="001E2914" w:rsidP="001E2914">
      <w:pPr>
        <w:widowControl/>
        <w:numPr>
          <w:ilvl w:val="1"/>
          <w:numId w:val="4"/>
        </w:numPr>
        <w:contextualSpacing/>
        <w:rPr>
          <w:bCs/>
          <w:szCs w:val="22"/>
        </w:rPr>
      </w:pPr>
      <w:r w:rsidRPr="00F07AEB">
        <w:rPr>
          <w:bCs/>
          <w:szCs w:val="22"/>
        </w:rPr>
        <w:t>Amend existing listing as follows:</w:t>
      </w:r>
    </w:p>
    <w:p w:rsidR="001E2914" w:rsidRDefault="001E2914" w:rsidP="001E2914">
      <w:pPr>
        <w:widowControl/>
        <w:contextualSpacing/>
        <w:rPr>
          <w:bCs/>
          <w:szCs w:val="22"/>
          <w:highlight w:val="yellow"/>
        </w:rPr>
      </w:pPr>
    </w:p>
    <w:p w:rsidR="001E2914" w:rsidRPr="008B4A04" w:rsidRDefault="001E2914" w:rsidP="001E2914">
      <w:pPr>
        <w:widowControl/>
        <w:ind w:left="680"/>
        <w:jc w:val="left"/>
        <w:rPr>
          <w:u w:val="single"/>
        </w:rPr>
      </w:pPr>
      <w:r w:rsidRPr="008B4A04">
        <w:rPr>
          <w:u w:val="single"/>
        </w:rPr>
        <w:t>Chronic iron overload in patients with transfusion dependent non-malignant disorders of erythropoiesis: Public and Private (Initial)</w:t>
      </w:r>
    </w:p>
    <w:p w:rsidR="001E2914" w:rsidRPr="008B4A04" w:rsidRDefault="001E2914" w:rsidP="001E2914">
      <w:pPr>
        <w:widowControl/>
        <w:ind w:left="680"/>
        <w:jc w:val="left"/>
      </w:pPr>
    </w:p>
    <w:tbl>
      <w:tblPr>
        <w:tblW w:w="8505" w:type="dxa"/>
        <w:tblInd w:w="817" w:type="dxa"/>
        <w:tblLayout w:type="fixed"/>
        <w:tblLook w:val="0000" w:firstRow="0" w:lastRow="0" w:firstColumn="0" w:lastColumn="0" w:noHBand="0" w:noVBand="0"/>
      </w:tblPr>
      <w:tblGrid>
        <w:gridCol w:w="2126"/>
        <w:gridCol w:w="993"/>
        <w:gridCol w:w="1134"/>
        <w:gridCol w:w="992"/>
        <w:gridCol w:w="283"/>
        <w:gridCol w:w="284"/>
        <w:gridCol w:w="2693"/>
      </w:tblGrid>
      <w:tr w:rsidR="001E2914" w:rsidRPr="00260CE3" w:rsidTr="001E2914">
        <w:trPr>
          <w:cantSplit/>
          <w:trHeight w:val="471"/>
        </w:trPr>
        <w:tc>
          <w:tcPr>
            <w:tcW w:w="3119"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134"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992" w:type="dxa"/>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№.of</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Rpts</w:t>
            </w:r>
          </w:p>
        </w:tc>
        <w:tc>
          <w:tcPr>
            <w:tcW w:w="283"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284" w:type="dxa"/>
            <w:tcBorders>
              <w:bottom w:val="single" w:sz="4" w:space="0" w:color="auto"/>
            </w:tcBorders>
          </w:tcPr>
          <w:p w:rsidR="001E2914" w:rsidRPr="00260CE3" w:rsidRDefault="001E2914" w:rsidP="001E2914">
            <w:pPr>
              <w:keepNext/>
              <w:widowControl/>
              <w:rPr>
                <w:rFonts w:ascii="Arial Narrow" w:hAnsi="Arial Narrow"/>
                <w:sz w:val="20"/>
              </w:rPr>
            </w:pPr>
          </w:p>
        </w:tc>
        <w:tc>
          <w:tcPr>
            <w:tcW w:w="2693" w:type="dxa"/>
            <w:tcBorders>
              <w:bottom w:val="single" w:sz="4" w:space="0" w:color="auto"/>
            </w:tcBorders>
          </w:tcPr>
          <w:p w:rsidR="001E2914" w:rsidRDefault="001E2914" w:rsidP="001E2914">
            <w:pPr>
              <w:keepNext/>
              <w:widowControl/>
              <w:rPr>
                <w:rFonts w:ascii="Arial Narrow" w:hAnsi="Arial Narrow"/>
                <w:sz w:val="20"/>
              </w:rPr>
            </w:pPr>
            <w:r w:rsidRPr="00260CE3">
              <w:rPr>
                <w:rFonts w:ascii="Arial Narrow" w:hAnsi="Arial Narrow"/>
                <w:sz w:val="20"/>
              </w:rPr>
              <w:t xml:space="preserve">Proprietary Name </w:t>
            </w:r>
          </w:p>
          <w:p w:rsidR="001E2914" w:rsidRPr="00260CE3" w:rsidRDefault="001E2914" w:rsidP="001E2914">
            <w:pPr>
              <w:keepNext/>
              <w:widowControl/>
              <w:rPr>
                <w:rFonts w:ascii="Arial Narrow" w:hAnsi="Arial Narrow"/>
                <w:sz w:val="20"/>
                <w:lang w:val="fr-FR"/>
              </w:rPr>
            </w:pPr>
            <w:r w:rsidRPr="00260CE3">
              <w:rPr>
                <w:rFonts w:ascii="Arial Narrow" w:hAnsi="Arial Narrow"/>
                <w:sz w:val="20"/>
              </w:rPr>
              <w:t>and Manufacturer</w:t>
            </w:r>
          </w:p>
        </w:tc>
      </w:tr>
      <w:tr w:rsidR="001E2914" w:rsidRPr="00260CE3" w:rsidTr="001E2914">
        <w:trPr>
          <w:cantSplit/>
          <w:trHeight w:val="577"/>
        </w:trPr>
        <w:tc>
          <w:tcPr>
            <w:tcW w:w="3119"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13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992"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5</w:t>
            </w:r>
          </w:p>
          <w:p w:rsidR="001E2914" w:rsidRDefault="001E2914" w:rsidP="001E2914">
            <w:pPr>
              <w:keepNext/>
              <w:widowControl/>
              <w:ind w:left="-108"/>
              <w:rPr>
                <w:rFonts w:ascii="Arial Narrow" w:hAnsi="Arial Narrow"/>
                <w:sz w:val="20"/>
              </w:rPr>
            </w:pPr>
            <w:r>
              <w:rPr>
                <w:rFonts w:ascii="Arial Narrow" w:hAnsi="Arial Narrow"/>
                <w:sz w:val="20"/>
              </w:rPr>
              <w:t>5</w:t>
            </w:r>
          </w:p>
          <w:p w:rsidR="001E2914" w:rsidRPr="00260CE3" w:rsidRDefault="001E2914" w:rsidP="001E2914">
            <w:pPr>
              <w:keepNext/>
              <w:widowControl/>
              <w:ind w:left="-108"/>
              <w:rPr>
                <w:rFonts w:ascii="Arial Narrow" w:hAnsi="Arial Narrow"/>
                <w:sz w:val="20"/>
              </w:rPr>
            </w:pPr>
            <w:r>
              <w:rPr>
                <w:rFonts w:ascii="Arial Narrow" w:hAnsi="Arial Narrow"/>
                <w:sz w:val="20"/>
              </w:rPr>
              <w:t>5</w:t>
            </w:r>
          </w:p>
        </w:tc>
        <w:tc>
          <w:tcPr>
            <w:tcW w:w="283"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284"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693" w:type="dxa"/>
            <w:tcBorders>
              <w:top w:val="single" w:sz="4" w:space="0" w:color="auto"/>
            </w:tcBorders>
          </w:tcPr>
          <w:p w:rsidR="001E2914" w:rsidRDefault="001E2914" w:rsidP="001E2914">
            <w:pPr>
              <w:keepNext/>
              <w:widowControl/>
              <w:rPr>
                <w:rFonts w:ascii="Arial Narrow" w:hAnsi="Arial Narrow"/>
                <w:sz w:val="20"/>
              </w:rPr>
            </w:pPr>
          </w:p>
          <w:p w:rsidR="001E2914" w:rsidRPr="00260CE3" w:rsidRDefault="006D5811" w:rsidP="001E2914">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b/>
                <w:sz w:val="20"/>
              </w:rPr>
            </w:pPr>
            <w:r w:rsidRPr="00260CE3">
              <w:rPr>
                <w:rFonts w:ascii="Arial Narrow" w:hAnsi="Arial Narrow"/>
                <w:b/>
                <w:sz w:val="20"/>
              </w:rPr>
              <w:t>Prescriber type:</w:t>
            </w:r>
          </w:p>
          <w:p w:rsidR="001E2914" w:rsidRPr="00260CE3" w:rsidRDefault="001E2914" w:rsidP="001E2914">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Pr>
                <w:rFonts w:ascii="Arial Narrow" w:hAnsi="Arial Narrow"/>
                <w:b/>
                <w:sz w:val="20"/>
              </w:rPr>
              <w:t>Episodicity</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Pr>
                <w:rFonts w:ascii="Arial Narrow" w:hAnsi="Arial Narrow"/>
                <w:b/>
                <w:sz w:val="20"/>
              </w:rPr>
              <w:t xml:space="preserve">Treatment phase: </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Pr>
                <w:rFonts w:ascii="Arial Narrow" w:hAnsi="Arial Narrow"/>
                <w:sz w:val="20"/>
              </w:rPr>
              <w:t>Initial</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632C1D"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E2914" w:rsidRPr="00260CE3"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007E06" w:rsidRDefault="001E2914" w:rsidP="001E2914">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Patient must not have a malignant disease </w:t>
            </w:r>
          </w:p>
        </w:tc>
      </w:tr>
    </w:tbl>
    <w:p w:rsidR="001E2914" w:rsidRDefault="001E2914" w:rsidP="001E2914">
      <w:pPr>
        <w:widowControl/>
        <w:ind w:left="680"/>
        <w:jc w:val="left"/>
        <w:rPr>
          <w:u w:val="single"/>
        </w:rPr>
      </w:pPr>
    </w:p>
    <w:p w:rsidR="001E2914" w:rsidRPr="008B4A04" w:rsidRDefault="001E2914" w:rsidP="001E2914">
      <w:pPr>
        <w:widowControl/>
        <w:ind w:left="680"/>
        <w:jc w:val="left"/>
        <w:rPr>
          <w:u w:val="single"/>
        </w:rPr>
      </w:pPr>
      <w:r w:rsidRPr="008B4A04">
        <w:rPr>
          <w:u w:val="single"/>
        </w:rPr>
        <w:t>Chronic iron overload in patients with transfusion dependent non-malignant disorders of</w:t>
      </w:r>
      <w:r>
        <w:rPr>
          <w:u w:val="single"/>
        </w:rPr>
        <w:t xml:space="preserve"> </w:t>
      </w:r>
      <w:r w:rsidRPr="008B4A04">
        <w:rPr>
          <w:u w:val="single"/>
        </w:rPr>
        <w:t>erythropoiesis: Public and Private (Continuing)</w:t>
      </w:r>
    </w:p>
    <w:p w:rsidR="001E2914" w:rsidRPr="00552722" w:rsidRDefault="001E2914" w:rsidP="001E2914">
      <w:pPr>
        <w:widowControl/>
        <w:rPr>
          <w:szCs w:val="22"/>
        </w:rPr>
      </w:pPr>
    </w:p>
    <w:tbl>
      <w:tblPr>
        <w:tblW w:w="8505" w:type="dxa"/>
        <w:tblInd w:w="817" w:type="dxa"/>
        <w:tblLayout w:type="fixed"/>
        <w:tblLook w:val="0000" w:firstRow="0" w:lastRow="0" w:firstColumn="0" w:lastColumn="0" w:noHBand="0" w:noVBand="0"/>
      </w:tblPr>
      <w:tblGrid>
        <w:gridCol w:w="2126"/>
        <w:gridCol w:w="426"/>
        <w:gridCol w:w="1275"/>
        <w:gridCol w:w="1134"/>
        <w:gridCol w:w="284"/>
        <w:gridCol w:w="709"/>
        <w:gridCol w:w="2551"/>
      </w:tblGrid>
      <w:tr w:rsidR="001E2914" w:rsidRPr="00260CE3" w:rsidTr="001E2914">
        <w:trPr>
          <w:cantSplit/>
          <w:trHeight w:val="471"/>
        </w:trPr>
        <w:tc>
          <w:tcPr>
            <w:tcW w:w="2552"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275"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1134"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 xml:space="preserve">No. </w:t>
            </w:r>
            <w:r w:rsidRPr="00260CE3">
              <w:rPr>
                <w:rFonts w:ascii="Arial Narrow" w:hAnsi="Arial Narrow"/>
                <w:sz w:val="20"/>
              </w:rPr>
              <w:t>of</w:t>
            </w:r>
            <w:r>
              <w:rPr>
                <w:rFonts w:ascii="Arial Narrow" w:hAnsi="Arial Narrow"/>
                <w:sz w:val="20"/>
              </w:rPr>
              <w:t xml:space="preserve"> </w:t>
            </w:r>
            <w:r w:rsidRPr="00260CE3">
              <w:rPr>
                <w:rFonts w:ascii="Arial Narrow" w:hAnsi="Arial Narrow"/>
                <w:sz w:val="20"/>
              </w:rPr>
              <w:t>Rpts</w:t>
            </w:r>
          </w:p>
        </w:tc>
        <w:tc>
          <w:tcPr>
            <w:tcW w:w="284"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709" w:type="dxa"/>
            <w:tcBorders>
              <w:bottom w:val="single" w:sz="4" w:space="0" w:color="auto"/>
            </w:tcBorders>
          </w:tcPr>
          <w:p w:rsidR="001E2914" w:rsidRPr="00260CE3" w:rsidRDefault="001E2914" w:rsidP="001E2914">
            <w:pPr>
              <w:keepNext/>
              <w:widowControl/>
              <w:rPr>
                <w:rFonts w:ascii="Arial Narrow" w:hAnsi="Arial Narrow"/>
                <w:sz w:val="20"/>
              </w:rPr>
            </w:pPr>
          </w:p>
        </w:tc>
        <w:tc>
          <w:tcPr>
            <w:tcW w:w="2551" w:type="dxa"/>
            <w:tcBorders>
              <w:bottom w:val="single" w:sz="4" w:space="0" w:color="auto"/>
            </w:tcBorders>
          </w:tcPr>
          <w:p w:rsidR="001E2914" w:rsidRPr="00260CE3" w:rsidRDefault="001E2914" w:rsidP="001E2914">
            <w:pPr>
              <w:keepNext/>
              <w:widowControl/>
              <w:rPr>
                <w:rFonts w:ascii="Arial Narrow" w:hAnsi="Arial Narrow"/>
                <w:sz w:val="20"/>
                <w:lang w:val="fr-FR"/>
              </w:rPr>
            </w:pPr>
            <w:r w:rsidRPr="00260CE3">
              <w:rPr>
                <w:rFonts w:ascii="Arial Narrow" w:hAnsi="Arial Narrow"/>
                <w:sz w:val="20"/>
              </w:rPr>
              <w:t>Proprietary Name and Manufacturer</w:t>
            </w:r>
          </w:p>
        </w:tc>
      </w:tr>
      <w:tr w:rsidR="001E2914" w:rsidRPr="00260CE3" w:rsidTr="001E2914">
        <w:trPr>
          <w:cantSplit/>
          <w:trHeight w:val="577"/>
        </w:trPr>
        <w:tc>
          <w:tcPr>
            <w:tcW w:w="2552"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275"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113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Pr="00260CE3" w:rsidRDefault="001E2914" w:rsidP="001E2914">
            <w:pPr>
              <w:keepNext/>
              <w:widowControl/>
              <w:ind w:left="-108"/>
              <w:rPr>
                <w:rFonts w:ascii="Arial Narrow" w:hAnsi="Arial Narrow"/>
                <w:sz w:val="20"/>
              </w:rPr>
            </w:pPr>
            <w:r>
              <w:rPr>
                <w:rFonts w:ascii="Arial Narrow" w:hAnsi="Arial Narrow"/>
                <w:sz w:val="20"/>
              </w:rPr>
              <w:t>2</w:t>
            </w:r>
          </w:p>
        </w:tc>
        <w:tc>
          <w:tcPr>
            <w:tcW w:w="28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709"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551" w:type="dxa"/>
            <w:tcBorders>
              <w:top w:val="single" w:sz="4" w:space="0" w:color="auto"/>
            </w:tcBorders>
          </w:tcPr>
          <w:p w:rsidR="001E2914" w:rsidRDefault="001E2914" w:rsidP="001E2914">
            <w:pPr>
              <w:keepNext/>
              <w:widowControl/>
              <w:rPr>
                <w:rFonts w:ascii="Arial Narrow" w:hAnsi="Arial Narrow"/>
                <w:sz w:val="20"/>
              </w:rPr>
            </w:pPr>
          </w:p>
          <w:p w:rsidR="001E2914" w:rsidRPr="00260CE3" w:rsidRDefault="006D5811" w:rsidP="001E2914">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Continuing</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E2914" w:rsidRDefault="001E2914" w:rsidP="001E2914">
            <w:pPr>
              <w:widowControl/>
              <w:rPr>
                <w:rFonts w:ascii="Arial Narrow" w:hAnsi="Arial Narrow"/>
                <w:i/>
                <w:sz w:val="20"/>
                <w:highlight w:val="yellow"/>
              </w:rPr>
            </w:pPr>
          </w:p>
          <w:p w:rsidR="001E2914" w:rsidRPr="00CD28F3" w:rsidRDefault="001E2914" w:rsidP="001E2914">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E2914" w:rsidRPr="00260CE3"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521"/>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467DE4" w:rsidRDefault="001E2914" w:rsidP="001E2914">
            <w:pPr>
              <w:widowControl/>
              <w:rPr>
                <w:rFonts w:ascii="Arial Narrow" w:hAnsi="Arial Narrow"/>
                <w:sz w:val="20"/>
              </w:rPr>
            </w:pPr>
            <w:r w:rsidRPr="005856C5">
              <w:rPr>
                <w:rFonts w:ascii="Arial Narrow" w:hAnsi="Arial Narrow"/>
                <w:sz w:val="20"/>
              </w:rPr>
              <w:t>Patient must have previously received PBS-subsidised therapy with this drug for this condition</w:t>
            </w:r>
            <w:r>
              <w:rPr>
                <w:rFonts w:ascii="Arial Narrow" w:hAnsi="Arial Narrow"/>
                <w:sz w:val="20"/>
              </w:rPr>
              <w:t>.</w:t>
            </w:r>
          </w:p>
        </w:tc>
      </w:tr>
    </w:tbl>
    <w:p w:rsidR="001E2914" w:rsidRDefault="001E2914" w:rsidP="001E2914">
      <w:pPr>
        <w:widowControl/>
        <w:ind w:left="510" w:firstLine="170"/>
        <w:rPr>
          <w:szCs w:val="22"/>
        </w:rPr>
      </w:pPr>
    </w:p>
    <w:p w:rsidR="001E2914" w:rsidRPr="008B4A04" w:rsidRDefault="001E2914" w:rsidP="001E2914">
      <w:pPr>
        <w:widowControl/>
        <w:ind w:left="680"/>
        <w:jc w:val="left"/>
        <w:rPr>
          <w:u w:val="single"/>
        </w:rPr>
      </w:pPr>
      <w:r w:rsidRPr="008B4A04">
        <w:rPr>
          <w:u w:val="single"/>
        </w:rPr>
        <w:t>Chronic iron overload in patients with non-transfusion dependent thalassaemia: Public and Private (initial)</w:t>
      </w:r>
    </w:p>
    <w:p w:rsidR="001E2914" w:rsidRPr="008B4A04" w:rsidRDefault="001E2914" w:rsidP="001E2914">
      <w:pPr>
        <w:widowControl/>
        <w:ind w:left="680"/>
        <w:jc w:val="left"/>
      </w:pPr>
    </w:p>
    <w:tbl>
      <w:tblPr>
        <w:tblW w:w="8505" w:type="dxa"/>
        <w:tblInd w:w="817" w:type="dxa"/>
        <w:tblLayout w:type="fixed"/>
        <w:tblLook w:val="0000" w:firstRow="0" w:lastRow="0" w:firstColumn="0" w:lastColumn="0" w:noHBand="0" w:noVBand="0"/>
      </w:tblPr>
      <w:tblGrid>
        <w:gridCol w:w="2126"/>
        <w:gridCol w:w="993"/>
        <w:gridCol w:w="1134"/>
        <w:gridCol w:w="992"/>
        <w:gridCol w:w="283"/>
        <w:gridCol w:w="284"/>
        <w:gridCol w:w="2693"/>
      </w:tblGrid>
      <w:tr w:rsidR="001E2914" w:rsidRPr="00260CE3" w:rsidTr="001E2914">
        <w:trPr>
          <w:cantSplit/>
          <w:trHeight w:val="471"/>
        </w:trPr>
        <w:tc>
          <w:tcPr>
            <w:tcW w:w="3119"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134"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992" w:type="dxa"/>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№.of</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Rpts</w:t>
            </w:r>
          </w:p>
        </w:tc>
        <w:tc>
          <w:tcPr>
            <w:tcW w:w="283"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284" w:type="dxa"/>
            <w:tcBorders>
              <w:bottom w:val="single" w:sz="4" w:space="0" w:color="auto"/>
            </w:tcBorders>
          </w:tcPr>
          <w:p w:rsidR="001E2914" w:rsidRPr="00260CE3" w:rsidRDefault="001E2914" w:rsidP="001E2914">
            <w:pPr>
              <w:keepNext/>
              <w:widowControl/>
              <w:rPr>
                <w:rFonts w:ascii="Arial Narrow" w:hAnsi="Arial Narrow"/>
                <w:sz w:val="20"/>
              </w:rPr>
            </w:pPr>
          </w:p>
        </w:tc>
        <w:tc>
          <w:tcPr>
            <w:tcW w:w="2693" w:type="dxa"/>
            <w:tcBorders>
              <w:bottom w:val="single" w:sz="4" w:space="0" w:color="auto"/>
            </w:tcBorders>
          </w:tcPr>
          <w:p w:rsidR="001E2914" w:rsidRDefault="001E2914" w:rsidP="001E2914">
            <w:pPr>
              <w:keepNext/>
              <w:widowControl/>
              <w:rPr>
                <w:rFonts w:ascii="Arial Narrow" w:hAnsi="Arial Narrow"/>
                <w:sz w:val="20"/>
              </w:rPr>
            </w:pPr>
            <w:r w:rsidRPr="00260CE3">
              <w:rPr>
                <w:rFonts w:ascii="Arial Narrow" w:hAnsi="Arial Narrow"/>
                <w:sz w:val="20"/>
              </w:rPr>
              <w:t xml:space="preserve">Proprietary Name </w:t>
            </w:r>
          </w:p>
          <w:p w:rsidR="001E2914" w:rsidRPr="00260CE3" w:rsidRDefault="001E2914" w:rsidP="001E2914">
            <w:pPr>
              <w:keepNext/>
              <w:widowControl/>
              <w:rPr>
                <w:rFonts w:ascii="Arial Narrow" w:hAnsi="Arial Narrow"/>
                <w:sz w:val="20"/>
                <w:lang w:val="fr-FR"/>
              </w:rPr>
            </w:pPr>
            <w:r w:rsidRPr="00260CE3">
              <w:rPr>
                <w:rFonts w:ascii="Arial Narrow" w:hAnsi="Arial Narrow"/>
                <w:sz w:val="20"/>
              </w:rPr>
              <w:t>and Manufacturer</w:t>
            </w:r>
          </w:p>
        </w:tc>
      </w:tr>
      <w:tr w:rsidR="001E2914" w:rsidRPr="00260CE3" w:rsidTr="001E2914">
        <w:trPr>
          <w:cantSplit/>
          <w:trHeight w:val="577"/>
        </w:trPr>
        <w:tc>
          <w:tcPr>
            <w:tcW w:w="3119"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13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992"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5</w:t>
            </w:r>
          </w:p>
          <w:p w:rsidR="001E2914" w:rsidRDefault="001E2914" w:rsidP="001E2914">
            <w:pPr>
              <w:keepNext/>
              <w:widowControl/>
              <w:ind w:left="-108"/>
              <w:rPr>
                <w:rFonts w:ascii="Arial Narrow" w:hAnsi="Arial Narrow"/>
                <w:sz w:val="20"/>
              </w:rPr>
            </w:pPr>
            <w:r>
              <w:rPr>
                <w:rFonts w:ascii="Arial Narrow" w:hAnsi="Arial Narrow"/>
                <w:sz w:val="20"/>
              </w:rPr>
              <w:t>5</w:t>
            </w:r>
          </w:p>
          <w:p w:rsidR="001E2914" w:rsidRPr="00260CE3" w:rsidRDefault="001E2914" w:rsidP="001E2914">
            <w:pPr>
              <w:keepNext/>
              <w:widowControl/>
              <w:ind w:left="-108"/>
              <w:rPr>
                <w:rFonts w:ascii="Arial Narrow" w:hAnsi="Arial Narrow"/>
                <w:sz w:val="20"/>
              </w:rPr>
            </w:pPr>
            <w:r>
              <w:rPr>
                <w:rFonts w:ascii="Arial Narrow" w:hAnsi="Arial Narrow"/>
                <w:sz w:val="20"/>
              </w:rPr>
              <w:t>5</w:t>
            </w:r>
          </w:p>
        </w:tc>
        <w:tc>
          <w:tcPr>
            <w:tcW w:w="283"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284"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693" w:type="dxa"/>
            <w:tcBorders>
              <w:top w:val="single" w:sz="4" w:space="0" w:color="auto"/>
            </w:tcBorders>
          </w:tcPr>
          <w:p w:rsidR="001E2914" w:rsidRDefault="001E2914" w:rsidP="001E2914">
            <w:pPr>
              <w:keepNext/>
              <w:widowControl/>
              <w:rPr>
                <w:rFonts w:ascii="Arial Narrow" w:hAnsi="Arial Narrow"/>
                <w:sz w:val="20"/>
              </w:rPr>
            </w:pPr>
          </w:p>
          <w:p w:rsidR="001E2914" w:rsidRPr="00260CE3" w:rsidRDefault="006D5811" w:rsidP="001E2914">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b/>
                <w:sz w:val="20"/>
              </w:rPr>
            </w:pPr>
            <w:r w:rsidRPr="00260CE3">
              <w:rPr>
                <w:rFonts w:ascii="Arial Narrow" w:hAnsi="Arial Narrow"/>
                <w:b/>
                <w:sz w:val="20"/>
              </w:rPr>
              <w:t>Prescriber type:</w:t>
            </w:r>
          </w:p>
          <w:p w:rsidR="001E2914" w:rsidRPr="00260CE3" w:rsidRDefault="001E2914" w:rsidP="001E2914">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Pr>
                <w:rFonts w:ascii="Arial Narrow" w:hAnsi="Arial Narrow"/>
                <w:b/>
                <w:sz w:val="20"/>
              </w:rPr>
              <w:t>Episodicity</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Pr>
                <w:rFonts w:ascii="Arial Narrow" w:hAnsi="Arial Narrow"/>
                <w:sz w:val="20"/>
              </w:rPr>
              <w:t>Initial</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632C1D"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E2914" w:rsidRPr="00260CE3"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007E06" w:rsidRDefault="001E2914" w:rsidP="001E2914">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Patient must not have a malignant disease </w:t>
            </w:r>
          </w:p>
        </w:tc>
      </w:tr>
    </w:tbl>
    <w:p w:rsidR="001E2914" w:rsidRDefault="001E2914" w:rsidP="001E2914">
      <w:pPr>
        <w:widowControl/>
        <w:rPr>
          <w:szCs w:val="22"/>
        </w:rPr>
      </w:pPr>
    </w:p>
    <w:p w:rsidR="001E2914" w:rsidRDefault="001E2914" w:rsidP="001E2914">
      <w:pPr>
        <w:widowControl/>
        <w:spacing w:after="200" w:line="276" w:lineRule="auto"/>
        <w:jc w:val="left"/>
        <w:rPr>
          <w:u w:val="single"/>
        </w:rPr>
      </w:pPr>
      <w:r>
        <w:rPr>
          <w:u w:val="single"/>
        </w:rPr>
        <w:br w:type="page"/>
      </w:r>
    </w:p>
    <w:p w:rsidR="001E2914" w:rsidRPr="008B4A04" w:rsidRDefault="001E2914" w:rsidP="001E2914">
      <w:pPr>
        <w:widowControl/>
        <w:ind w:left="680"/>
        <w:jc w:val="left"/>
        <w:rPr>
          <w:szCs w:val="22"/>
          <w:u w:val="single"/>
        </w:rPr>
      </w:pPr>
      <w:r w:rsidRPr="008B4A04">
        <w:rPr>
          <w:u w:val="single"/>
        </w:rPr>
        <w:t>Chronic iron overload in patients with non-transfusion dependent thalassaemia</w:t>
      </w:r>
      <w:r w:rsidRPr="008B4A04">
        <w:rPr>
          <w:szCs w:val="22"/>
          <w:u w:val="single"/>
        </w:rPr>
        <w:t>: Public and Private (Continuing)</w:t>
      </w:r>
    </w:p>
    <w:p w:rsidR="001E2914" w:rsidRPr="00552722" w:rsidRDefault="001E2914" w:rsidP="001E2914">
      <w:pPr>
        <w:widowControl/>
        <w:rPr>
          <w:szCs w:val="22"/>
        </w:rPr>
      </w:pPr>
    </w:p>
    <w:tbl>
      <w:tblPr>
        <w:tblW w:w="8505" w:type="dxa"/>
        <w:tblInd w:w="817" w:type="dxa"/>
        <w:tblLayout w:type="fixed"/>
        <w:tblLook w:val="0000" w:firstRow="0" w:lastRow="0" w:firstColumn="0" w:lastColumn="0" w:noHBand="0" w:noVBand="0"/>
      </w:tblPr>
      <w:tblGrid>
        <w:gridCol w:w="2126"/>
        <w:gridCol w:w="426"/>
        <w:gridCol w:w="1275"/>
        <w:gridCol w:w="1134"/>
        <w:gridCol w:w="284"/>
        <w:gridCol w:w="709"/>
        <w:gridCol w:w="2551"/>
      </w:tblGrid>
      <w:tr w:rsidR="001E2914" w:rsidRPr="00260CE3" w:rsidTr="001E2914">
        <w:trPr>
          <w:cantSplit/>
          <w:trHeight w:val="471"/>
        </w:trPr>
        <w:tc>
          <w:tcPr>
            <w:tcW w:w="2552"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275"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1134"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 xml:space="preserve">No. </w:t>
            </w:r>
            <w:r w:rsidRPr="00260CE3">
              <w:rPr>
                <w:rFonts w:ascii="Arial Narrow" w:hAnsi="Arial Narrow"/>
                <w:sz w:val="20"/>
              </w:rPr>
              <w:t>of</w:t>
            </w:r>
            <w:r>
              <w:rPr>
                <w:rFonts w:ascii="Arial Narrow" w:hAnsi="Arial Narrow"/>
                <w:sz w:val="20"/>
              </w:rPr>
              <w:t xml:space="preserve"> </w:t>
            </w:r>
            <w:r w:rsidRPr="00260CE3">
              <w:rPr>
                <w:rFonts w:ascii="Arial Narrow" w:hAnsi="Arial Narrow"/>
                <w:sz w:val="20"/>
              </w:rPr>
              <w:t>Rpts</w:t>
            </w:r>
          </w:p>
        </w:tc>
        <w:tc>
          <w:tcPr>
            <w:tcW w:w="284"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709" w:type="dxa"/>
            <w:tcBorders>
              <w:bottom w:val="single" w:sz="4" w:space="0" w:color="auto"/>
            </w:tcBorders>
          </w:tcPr>
          <w:p w:rsidR="001E2914" w:rsidRPr="00260CE3" w:rsidRDefault="001E2914" w:rsidP="001E2914">
            <w:pPr>
              <w:keepNext/>
              <w:widowControl/>
              <w:rPr>
                <w:rFonts w:ascii="Arial Narrow" w:hAnsi="Arial Narrow"/>
                <w:sz w:val="20"/>
              </w:rPr>
            </w:pPr>
          </w:p>
        </w:tc>
        <w:tc>
          <w:tcPr>
            <w:tcW w:w="2551" w:type="dxa"/>
            <w:tcBorders>
              <w:bottom w:val="single" w:sz="4" w:space="0" w:color="auto"/>
            </w:tcBorders>
          </w:tcPr>
          <w:p w:rsidR="001E2914" w:rsidRPr="00260CE3" w:rsidRDefault="001E2914" w:rsidP="001E2914">
            <w:pPr>
              <w:keepNext/>
              <w:widowControl/>
              <w:rPr>
                <w:rFonts w:ascii="Arial Narrow" w:hAnsi="Arial Narrow"/>
                <w:sz w:val="20"/>
                <w:lang w:val="fr-FR"/>
              </w:rPr>
            </w:pPr>
            <w:r w:rsidRPr="00260CE3">
              <w:rPr>
                <w:rFonts w:ascii="Arial Narrow" w:hAnsi="Arial Narrow"/>
                <w:sz w:val="20"/>
              </w:rPr>
              <w:t>Proprietary Name and Manufacturer</w:t>
            </w:r>
          </w:p>
        </w:tc>
      </w:tr>
      <w:tr w:rsidR="001E2914" w:rsidRPr="00260CE3" w:rsidTr="001E2914">
        <w:trPr>
          <w:cantSplit/>
          <w:trHeight w:val="577"/>
        </w:trPr>
        <w:tc>
          <w:tcPr>
            <w:tcW w:w="2552"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275"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113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Pr="00260CE3" w:rsidRDefault="001E2914" w:rsidP="001E2914">
            <w:pPr>
              <w:keepNext/>
              <w:widowControl/>
              <w:ind w:left="-108"/>
              <w:rPr>
                <w:rFonts w:ascii="Arial Narrow" w:hAnsi="Arial Narrow"/>
                <w:sz w:val="20"/>
              </w:rPr>
            </w:pPr>
            <w:r>
              <w:rPr>
                <w:rFonts w:ascii="Arial Narrow" w:hAnsi="Arial Narrow"/>
                <w:sz w:val="20"/>
              </w:rPr>
              <w:t>2</w:t>
            </w:r>
          </w:p>
        </w:tc>
        <w:tc>
          <w:tcPr>
            <w:tcW w:w="28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709"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551" w:type="dxa"/>
            <w:tcBorders>
              <w:top w:val="single" w:sz="4" w:space="0" w:color="auto"/>
            </w:tcBorders>
          </w:tcPr>
          <w:p w:rsidR="001E2914" w:rsidRDefault="001E2914" w:rsidP="001E2914">
            <w:pPr>
              <w:keepNext/>
              <w:widowControl/>
              <w:rPr>
                <w:rFonts w:ascii="Arial Narrow" w:hAnsi="Arial Narrow"/>
                <w:sz w:val="20"/>
              </w:rPr>
            </w:pPr>
          </w:p>
          <w:p w:rsidR="001E2914" w:rsidRPr="00260CE3" w:rsidRDefault="006D5811" w:rsidP="001E2914">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Continuing</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E2914" w:rsidRDefault="001E2914" w:rsidP="001E2914">
            <w:pPr>
              <w:widowControl/>
              <w:rPr>
                <w:rFonts w:ascii="Arial Narrow" w:hAnsi="Arial Narrow"/>
                <w:i/>
                <w:sz w:val="20"/>
                <w:highlight w:val="yellow"/>
              </w:rPr>
            </w:pPr>
          </w:p>
          <w:p w:rsidR="001E2914" w:rsidRPr="00CD28F3" w:rsidRDefault="001E2914" w:rsidP="001E2914">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E2914" w:rsidRPr="00260CE3"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sidRPr="00260CE3">
              <w:rPr>
                <w:rFonts w:ascii="Arial Narrow" w:hAnsi="Arial Narrow"/>
                <w:b/>
                <w:sz w:val="20"/>
              </w:rPr>
              <w:t>Clinical criteria:</w:t>
            </w:r>
          </w:p>
          <w:p w:rsidR="001E2914" w:rsidRPr="00260CE3" w:rsidRDefault="001E2914" w:rsidP="001E2914">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sz w:val="20"/>
              </w:rPr>
            </w:pPr>
            <w:r w:rsidRPr="005856C5">
              <w:rPr>
                <w:rFonts w:ascii="Arial Narrow" w:hAnsi="Arial Narrow"/>
                <w:sz w:val="20"/>
              </w:rPr>
              <w:t>Patient must have previously received PBS-subsidised therapy with this drug for this condition</w:t>
            </w:r>
            <w:r>
              <w:rPr>
                <w:rFonts w:ascii="Arial Narrow" w:hAnsi="Arial Narrow"/>
                <w:sz w:val="20"/>
              </w:rPr>
              <w:t>.</w:t>
            </w:r>
          </w:p>
        </w:tc>
      </w:tr>
    </w:tbl>
    <w:p w:rsidR="001E2914" w:rsidRDefault="001E2914" w:rsidP="001E2914">
      <w:pPr>
        <w:widowControl/>
        <w:ind w:left="510"/>
      </w:pPr>
    </w:p>
    <w:p w:rsidR="001E2914" w:rsidRPr="008B4A04" w:rsidRDefault="001E2914" w:rsidP="001E2914">
      <w:pPr>
        <w:keepNext/>
        <w:widowControl/>
        <w:ind w:left="510"/>
        <w:rPr>
          <w:szCs w:val="22"/>
          <w:u w:val="single"/>
        </w:rPr>
      </w:pPr>
      <w:r w:rsidRPr="008B4A04">
        <w:rPr>
          <w:u w:val="single"/>
        </w:rPr>
        <w:t xml:space="preserve">Chronic iron overload in patients with transfusion-dependent malignant disorders </w:t>
      </w:r>
      <w:r>
        <w:rPr>
          <w:u w:val="single"/>
        </w:rPr>
        <w:t xml:space="preserve">of haemopoiesis </w:t>
      </w:r>
      <w:r w:rsidRPr="008B4A04">
        <w:rPr>
          <w:u w:val="single"/>
        </w:rPr>
        <w:t>and a median life expectancy exceeding five years</w:t>
      </w:r>
      <w:r w:rsidRPr="008B4A04">
        <w:rPr>
          <w:szCs w:val="22"/>
          <w:u w:val="single"/>
        </w:rPr>
        <w:t>: Public and Private (Initial)</w:t>
      </w:r>
    </w:p>
    <w:p w:rsidR="001E2914" w:rsidRPr="00552722" w:rsidRDefault="001E2914" w:rsidP="001E2914">
      <w:pPr>
        <w:keepNext/>
        <w:widowControl/>
        <w:rPr>
          <w:szCs w:val="22"/>
        </w:rPr>
      </w:pPr>
    </w:p>
    <w:tbl>
      <w:tblPr>
        <w:tblW w:w="8505" w:type="dxa"/>
        <w:tblInd w:w="817" w:type="dxa"/>
        <w:tblLayout w:type="fixed"/>
        <w:tblLook w:val="0000" w:firstRow="0" w:lastRow="0" w:firstColumn="0" w:lastColumn="0" w:noHBand="0" w:noVBand="0"/>
      </w:tblPr>
      <w:tblGrid>
        <w:gridCol w:w="2126"/>
        <w:gridCol w:w="426"/>
        <w:gridCol w:w="1417"/>
        <w:gridCol w:w="992"/>
        <w:gridCol w:w="284"/>
        <w:gridCol w:w="283"/>
        <w:gridCol w:w="2977"/>
      </w:tblGrid>
      <w:tr w:rsidR="001E2914" w:rsidRPr="00260CE3" w:rsidTr="001E2914">
        <w:trPr>
          <w:cantSplit/>
          <w:trHeight w:val="471"/>
        </w:trPr>
        <w:tc>
          <w:tcPr>
            <w:tcW w:w="2552"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417"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992"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 xml:space="preserve">No. </w:t>
            </w:r>
            <w:r w:rsidRPr="00260CE3">
              <w:rPr>
                <w:rFonts w:ascii="Arial Narrow" w:hAnsi="Arial Narrow"/>
                <w:sz w:val="20"/>
              </w:rPr>
              <w:t>of</w:t>
            </w:r>
            <w:r>
              <w:rPr>
                <w:rFonts w:ascii="Arial Narrow" w:hAnsi="Arial Narrow"/>
                <w:sz w:val="20"/>
              </w:rPr>
              <w:t xml:space="preserve"> </w:t>
            </w:r>
            <w:r w:rsidRPr="00260CE3">
              <w:rPr>
                <w:rFonts w:ascii="Arial Narrow" w:hAnsi="Arial Narrow"/>
                <w:sz w:val="20"/>
              </w:rPr>
              <w:t>Rpts</w:t>
            </w:r>
          </w:p>
        </w:tc>
        <w:tc>
          <w:tcPr>
            <w:tcW w:w="284"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283" w:type="dxa"/>
            <w:tcBorders>
              <w:bottom w:val="single" w:sz="4" w:space="0" w:color="auto"/>
            </w:tcBorders>
          </w:tcPr>
          <w:p w:rsidR="001E2914" w:rsidRPr="00260CE3" w:rsidRDefault="001E2914" w:rsidP="001E2914">
            <w:pPr>
              <w:keepNext/>
              <w:widowControl/>
              <w:rPr>
                <w:rFonts w:ascii="Arial Narrow" w:hAnsi="Arial Narrow"/>
                <w:sz w:val="20"/>
              </w:rPr>
            </w:pPr>
          </w:p>
        </w:tc>
        <w:tc>
          <w:tcPr>
            <w:tcW w:w="2977" w:type="dxa"/>
            <w:tcBorders>
              <w:bottom w:val="single" w:sz="4" w:space="0" w:color="auto"/>
            </w:tcBorders>
          </w:tcPr>
          <w:p w:rsidR="001E2914" w:rsidRPr="00260CE3" w:rsidRDefault="001E2914" w:rsidP="001E2914">
            <w:pPr>
              <w:keepNext/>
              <w:widowControl/>
              <w:rPr>
                <w:rFonts w:ascii="Arial Narrow" w:hAnsi="Arial Narrow"/>
                <w:sz w:val="20"/>
                <w:lang w:val="fr-FR"/>
              </w:rPr>
            </w:pPr>
            <w:r w:rsidRPr="00260CE3">
              <w:rPr>
                <w:rFonts w:ascii="Arial Narrow" w:hAnsi="Arial Narrow"/>
                <w:sz w:val="20"/>
              </w:rPr>
              <w:t>Proprietary Name and Manufacturer</w:t>
            </w:r>
          </w:p>
        </w:tc>
      </w:tr>
      <w:tr w:rsidR="001E2914" w:rsidRPr="00260CE3" w:rsidTr="001E2914">
        <w:trPr>
          <w:cantSplit/>
          <w:trHeight w:val="577"/>
        </w:trPr>
        <w:tc>
          <w:tcPr>
            <w:tcW w:w="2552"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417"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992"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Pr="00260CE3" w:rsidRDefault="001E2914" w:rsidP="001E2914">
            <w:pPr>
              <w:keepNext/>
              <w:widowControl/>
              <w:ind w:left="-108"/>
              <w:rPr>
                <w:rFonts w:ascii="Arial Narrow" w:hAnsi="Arial Narrow"/>
                <w:sz w:val="20"/>
              </w:rPr>
            </w:pPr>
            <w:r>
              <w:rPr>
                <w:rFonts w:ascii="Arial Narrow" w:hAnsi="Arial Narrow"/>
                <w:sz w:val="20"/>
              </w:rPr>
              <w:t>2</w:t>
            </w:r>
          </w:p>
        </w:tc>
        <w:tc>
          <w:tcPr>
            <w:tcW w:w="28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283"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977" w:type="dxa"/>
            <w:tcBorders>
              <w:top w:val="single" w:sz="4" w:space="0" w:color="auto"/>
            </w:tcBorders>
          </w:tcPr>
          <w:p w:rsidR="001E2914" w:rsidRDefault="001E2914" w:rsidP="001E2914">
            <w:pPr>
              <w:keepNext/>
              <w:widowControl/>
              <w:rPr>
                <w:rFonts w:ascii="Arial Narrow" w:hAnsi="Arial Narrow"/>
                <w:sz w:val="20"/>
              </w:rPr>
            </w:pPr>
          </w:p>
          <w:p w:rsidR="001E2914" w:rsidRPr="006D5811" w:rsidRDefault="006D5811" w:rsidP="001E2914">
            <w:pPr>
              <w:keepNext/>
              <w:widowControl/>
              <w:rPr>
                <w:rFonts w:ascii="Arial Narrow" w:hAnsi="Arial Narrow"/>
                <w:b/>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keepNext/>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keepNext/>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keepNext/>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keepNext/>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keepNext/>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keepNext/>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keepNext/>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keepNext/>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Initial</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E2914" w:rsidRPr="00CD28F3" w:rsidRDefault="001E2914" w:rsidP="001E2914">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C55212" w:rsidRDefault="001E2914" w:rsidP="001E2914">
            <w:pPr>
              <w:widowControl/>
              <w:rPr>
                <w:rFonts w:ascii="Arial Narrow" w:hAnsi="Arial Narrow"/>
                <w:sz w:val="20"/>
              </w:rPr>
            </w:pPr>
            <w:r w:rsidRPr="00C55212">
              <w:rPr>
                <w:rFonts w:ascii="Arial Narrow" w:hAnsi="Arial Narrow"/>
                <w:sz w:val="20"/>
              </w:rPr>
              <w:fldChar w:fldCharType="begin">
                <w:ffData>
                  <w:name w:val=""/>
                  <w:enabled/>
                  <w:calcOnExit w:val="0"/>
                  <w:checkBox>
                    <w:sizeAuto/>
                    <w:default w:val="1"/>
                  </w:checkBox>
                </w:ffData>
              </w:fldChar>
            </w:r>
            <w:r w:rsidRPr="00467DE4">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C55212">
              <w:rPr>
                <w:rFonts w:ascii="Arial Narrow" w:hAnsi="Arial Narrow"/>
                <w:sz w:val="20"/>
              </w:rPr>
              <w:fldChar w:fldCharType="end"/>
            </w:r>
            <w:r w:rsidRPr="00C55212">
              <w:rPr>
                <w:rFonts w:ascii="Arial Narrow" w:hAnsi="Arial Narrow"/>
                <w:sz w:val="20"/>
              </w:rPr>
              <w:t>Authority Required - Telephone</w:t>
            </w:r>
          </w:p>
          <w:p w:rsidR="001E2914" w:rsidRPr="00C55212"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C55212">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C55212">
              <w:rPr>
                <w:rFonts w:ascii="Arial Narrow" w:hAnsi="Arial Narrow"/>
                <w:sz w:val="20"/>
              </w:rPr>
              <w:t>Authority Required - Electronic</w:t>
            </w:r>
          </w:p>
          <w:p w:rsidR="001E2914" w:rsidRPr="00260CE3" w:rsidRDefault="001E2914" w:rsidP="001E2914">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Clinical criteria:</w:t>
            </w:r>
          </w:p>
          <w:p w:rsidR="001E2914" w:rsidRPr="00260CE3" w:rsidRDefault="001E2914" w:rsidP="001E2914">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EE1B74">
              <w:rPr>
                <w:rFonts w:ascii="Arial Narrow" w:hAnsi="Arial Narrow"/>
                <w:sz w:val="20"/>
              </w:rPr>
              <w:t>Patient must be red blood cell transfusion dependent.</w:t>
            </w:r>
          </w:p>
          <w:p w:rsidR="001E2914" w:rsidRDefault="001E2914" w:rsidP="001E2914">
            <w:pPr>
              <w:widowControl/>
              <w:rPr>
                <w:rFonts w:ascii="Arial Narrow" w:hAnsi="Arial Narrow"/>
                <w:sz w:val="20"/>
              </w:rPr>
            </w:pPr>
            <w:r>
              <w:rPr>
                <w:rFonts w:ascii="Arial Narrow" w:hAnsi="Arial Narrow"/>
                <w:sz w:val="20"/>
              </w:rPr>
              <w:t>AND</w:t>
            </w:r>
          </w:p>
          <w:p w:rsidR="001E2914" w:rsidRDefault="001E2914" w:rsidP="001E2914">
            <w:pPr>
              <w:widowControl/>
              <w:rPr>
                <w:rFonts w:ascii="Arial Narrow" w:hAnsi="Arial Narrow"/>
                <w:sz w:val="20"/>
              </w:rPr>
            </w:pPr>
            <w:r>
              <w:rPr>
                <w:rFonts w:ascii="Arial Narrow" w:hAnsi="Arial Narrow"/>
                <w:sz w:val="20"/>
              </w:rPr>
              <w:t>Patient must have a serum ferritin level of greater than 1000 microgram/L.</w:t>
            </w:r>
          </w:p>
          <w:p w:rsidR="001E2914" w:rsidRDefault="001E2914" w:rsidP="001E2914">
            <w:pPr>
              <w:widowControl/>
              <w:rPr>
                <w:rFonts w:ascii="Arial Narrow" w:hAnsi="Arial Narrow"/>
                <w:sz w:val="20"/>
              </w:rPr>
            </w:pPr>
            <w:r>
              <w:rPr>
                <w:rFonts w:ascii="Arial Narrow" w:hAnsi="Arial Narrow"/>
                <w:sz w:val="20"/>
              </w:rPr>
              <w:t xml:space="preserve">AND </w:t>
            </w:r>
          </w:p>
          <w:p w:rsidR="001E2914" w:rsidRPr="00260CE3" w:rsidRDefault="001E2914" w:rsidP="001E2914">
            <w:pPr>
              <w:widowControl/>
              <w:rPr>
                <w:rFonts w:ascii="Arial Narrow" w:hAnsi="Arial Narrow"/>
                <w:sz w:val="20"/>
              </w:rPr>
            </w:pPr>
            <w:r>
              <w:rPr>
                <w:rFonts w:ascii="Arial Narrow" w:hAnsi="Arial Narrow"/>
                <w:sz w:val="20"/>
              </w:rPr>
              <w:t xml:space="preserve">Patient must have a median life expectancy exceeding five years.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Administrative Advice</w:t>
            </w:r>
          </w:p>
          <w:p w:rsidR="001E2914" w:rsidRPr="00260CE3" w:rsidRDefault="001E2914" w:rsidP="001E2914">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Pr>
                <w:rFonts w:ascii="Arial Narrow" w:hAnsi="Arial Narrow"/>
                <w:sz w:val="20"/>
              </w:rPr>
              <w:t xml:space="preserve">A patient’s median life expectancy is determined by the severity of their underlying disease. </w:t>
            </w:r>
          </w:p>
          <w:p w:rsidR="001E2914" w:rsidRDefault="001E2914" w:rsidP="001E2914">
            <w:pPr>
              <w:widowControl/>
              <w:rPr>
                <w:rFonts w:ascii="Arial Narrow" w:hAnsi="Arial Narrow"/>
                <w:sz w:val="20"/>
              </w:rPr>
            </w:pPr>
            <w:r>
              <w:rPr>
                <w:rFonts w:ascii="Arial Narrow" w:hAnsi="Arial Narrow"/>
                <w:sz w:val="20"/>
              </w:rPr>
              <w:t>Patients with underlying myelodysplastic syndrome are considered to have a median life expectancy exceeding five years if they are classified as:</w:t>
            </w:r>
          </w:p>
          <w:p w:rsidR="001E2914" w:rsidRDefault="001E2914" w:rsidP="001E2914">
            <w:pPr>
              <w:pStyle w:val="ListParagraph"/>
              <w:widowControl/>
              <w:numPr>
                <w:ilvl w:val="0"/>
                <w:numId w:val="50"/>
              </w:numPr>
              <w:rPr>
                <w:rFonts w:ascii="Arial Narrow" w:hAnsi="Arial Narrow"/>
                <w:sz w:val="20"/>
              </w:rPr>
            </w:pPr>
            <w:r w:rsidRPr="00F07AEB">
              <w:rPr>
                <w:rFonts w:ascii="Arial Narrow" w:hAnsi="Arial Narrow"/>
                <w:sz w:val="20"/>
              </w:rPr>
              <w:t>low risk according to the International Prognostic Scoring Sy</w:t>
            </w:r>
            <w:r w:rsidRPr="00D05749">
              <w:rPr>
                <w:rFonts w:ascii="Arial Narrow" w:hAnsi="Arial Narrow"/>
                <w:sz w:val="20"/>
              </w:rPr>
              <w:t>stem (IPSS)</w:t>
            </w:r>
            <w:r>
              <w:rPr>
                <w:rFonts w:ascii="Arial Narrow" w:hAnsi="Arial Narrow"/>
                <w:sz w:val="20"/>
              </w:rPr>
              <w:t>;</w:t>
            </w:r>
            <w:r w:rsidR="0085338B">
              <w:rPr>
                <w:rFonts w:ascii="Arial Narrow" w:hAnsi="Arial Narrow"/>
                <w:sz w:val="20"/>
              </w:rPr>
              <w:t xml:space="preserve"> or</w:t>
            </w:r>
          </w:p>
          <w:p w:rsidR="001E2914" w:rsidRDefault="001E2914" w:rsidP="001E2914">
            <w:pPr>
              <w:pStyle w:val="ListParagraph"/>
              <w:widowControl/>
              <w:numPr>
                <w:ilvl w:val="0"/>
                <w:numId w:val="50"/>
              </w:numPr>
              <w:rPr>
                <w:rFonts w:ascii="Arial Narrow" w:hAnsi="Arial Narrow"/>
                <w:sz w:val="20"/>
              </w:rPr>
            </w:pPr>
            <w:r>
              <w:rPr>
                <w:rFonts w:ascii="Arial Narrow" w:hAnsi="Arial Narrow"/>
                <w:sz w:val="20"/>
              </w:rPr>
              <w:t>very low and low risk  according to the Revised International Prognostic Scoring System (IPSS-R); or</w:t>
            </w:r>
          </w:p>
          <w:p w:rsidR="001E2914" w:rsidRDefault="001E2914" w:rsidP="001E2914">
            <w:pPr>
              <w:pStyle w:val="ListParagraph"/>
              <w:widowControl/>
              <w:numPr>
                <w:ilvl w:val="0"/>
                <w:numId w:val="50"/>
              </w:numPr>
              <w:rPr>
                <w:rFonts w:ascii="Arial Narrow" w:hAnsi="Arial Narrow"/>
                <w:sz w:val="20"/>
              </w:rPr>
            </w:pPr>
            <w:r>
              <w:rPr>
                <w:rFonts w:ascii="Arial Narrow" w:hAnsi="Arial Narrow"/>
                <w:sz w:val="20"/>
              </w:rPr>
              <w:t xml:space="preserve">very low and low risk according to the WHO classification based Prognostic Scoring System (WPSS). </w:t>
            </w:r>
          </w:p>
          <w:p w:rsidR="001E2914" w:rsidRDefault="001E2914" w:rsidP="001E2914">
            <w:pPr>
              <w:widowControl/>
              <w:rPr>
                <w:rFonts w:ascii="Arial Narrow" w:hAnsi="Arial Narrow"/>
                <w:sz w:val="20"/>
              </w:rPr>
            </w:pPr>
            <w:r>
              <w:rPr>
                <w:rFonts w:ascii="Arial Narrow" w:hAnsi="Arial Narrow"/>
                <w:sz w:val="20"/>
              </w:rPr>
              <w:t xml:space="preserve">Patients with underlying myelofibrosis have a median life expectancy exceeding five years if they are classified as: </w:t>
            </w:r>
          </w:p>
          <w:p w:rsidR="001E2914" w:rsidRDefault="001E2914" w:rsidP="001E2914">
            <w:pPr>
              <w:pStyle w:val="ListParagraph"/>
              <w:widowControl/>
              <w:numPr>
                <w:ilvl w:val="0"/>
                <w:numId w:val="50"/>
              </w:numPr>
              <w:rPr>
                <w:rFonts w:ascii="Arial Narrow" w:hAnsi="Arial Narrow"/>
                <w:sz w:val="20"/>
              </w:rPr>
            </w:pPr>
            <w:r w:rsidRPr="00F07AEB">
              <w:rPr>
                <w:rFonts w:ascii="Arial Narrow" w:hAnsi="Arial Narrow"/>
                <w:sz w:val="20"/>
              </w:rPr>
              <w:t xml:space="preserve">low </w:t>
            </w:r>
            <w:r>
              <w:rPr>
                <w:rFonts w:ascii="Arial Narrow" w:hAnsi="Arial Narrow"/>
                <w:sz w:val="20"/>
              </w:rPr>
              <w:t xml:space="preserve">or intermediate </w:t>
            </w:r>
            <w:r w:rsidRPr="00F07AEB">
              <w:rPr>
                <w:rFonts w:ascii="Arial Narrow" w:hAnsi="Arial Narrow"/>
                <w:sz w:val="20"/>
              </w:rPr>
              <w:t>risk according to the International Prognostic Scoring Sy</w:t>
            </w:r>
            <w:r w:rsidRPr="00D05749">
              <w:rPr>
                <w:rFonts w:ascii="Arial Narrow" w:hAnsi="Arial Narrow"/>
                <w:sz w:val="20"/>
              </w:rPr>
              <w:t>stem (IPSS)</w:t>
            </w:r>
            <w:r>
              <w:rPr>
                <w:rFonts w:ascii="Arial Narrow" w:hAnsi="Arial Narrow"/>
                <w:sz w:val="20"/>
              </w:rPr>
              <w:t>;</w:t>
            </w:r>
            <w:r w:rsidR="0085338B">
              <w:rPr>
                <w:rFonts w:ascii="Arial Narrow" w:hAnsi="Arial Narrow"/>
                <w:sz w:val="20"/>
              </w:rPr>
              <w:t xml:space="preserve"> or</w:t>
            </w:r>
          </w:p>
          <w:p w:rsidR="001E2914" w:rsidRPr="00467DE4" w:rsidRDefault="001E2914" w:rsidP="001E2914">
            <w:pPr>
              <w:pStyle w:val="ListParagraph"/>
              <w:widowControl/>
              <w:numPr>
                <w:ilvl w:val="0"/>
                <w:numId w:val="50"/>
              </w:numPr>
              <w:rPr>
                <w:rFonts w:ascii="Arial Narrow" w:hAnsi="Arial Narrow"/>
                <w:sz w:val="20"/>
              </w:rPr>
            </w:pPr>
            <w:r>
              <w:rPr>
                <w:rFonts w:ascii="Arial Narrow" w:hAnsi="Arial Narrow"/>
                <w:sz w:val="20"/>
              </w:rPr>
              <w:t xml:space="preserve">low or intermediate-1 risk according to Dynamic </w:t>
            </w:r>
            <w:r w:rsidRPr="00F07AEB">
              <w:rPr>
                <w:rFonts w:ascii="Arial Narrow" w:hAnsi="Arial Narrow"/>
                <w:sz w:val="20"/>
              </w:rPr>
              <w:t>International Prognostic Scoring Sy</w:t>
            </w:r>
            <w:r w:rsidRPr="00D05749">
              <w:rPr>
                <w:rFonts w:ascii="Arial Narrow" w:hAnsi="Arial Narrow"/>
                <w:sz w:val="20"/>
              </w:rPr>
              <w:t>stem (</w:t>
            </w:r>
            <w:r>
              <w:rPr>
                <w:rFonts w:ascii="Arial Narrow" w:hAnsi="Arial Narrow"/>
                <w:sz w:val="20"/>
              </w:rPr>
              <w:t>D</w:t>
            </w:r>
            <w:r w:rsidRPr="00D05749">
              <w:rPr>
                <w:rFonts w:ascii="Arial Narrow" w:hAnsi="Arial Narrow"/>
                <w:sz w:val="20"/>
              </w:rPr>
              <w:t>IPSS</w:t>
            </w:r>
            <w:r>
              <w:rPr>
                <w:rFonts w:ascii="Arial Narrow" w:hAnsi="Arial Narrow"/>
                <w:sz w:val="20"/>
              </w:rPr>
              <w:t>)</w:t>
            </w:r>
            <w:r w:rsidR="008575D8">
              <w:rPr>
                <w:rFonts w:ascii="Arial Narrow" w:hAnsi="Arial Narrow"/>
                <w:sz w:val="20"/>
              </w:rPr>
              <w:t>.</w:t>
            </w:r>
          </w:p>
        </w:tc>
      </w:tr>
    </w:tbl>
    <w:p w:rsidR="001E2914" w:rsidRDefault="001E2914" w:rsidP="001E2914">
      <w:pPr>
        <w:widowControl/>
        <w:rPr>
          <w:szCs w:val="22"/>
        </w:rPr>
      </w:pPr>
    </w:p>
    <w:p w:rsidR="001E2914" w:rsidRPr="008B4A04" w:rsidRDefault="001E2914" w:rsidP="001E2914">
      <w:pPr>
        <w:keepNext/>
        <w:widowControl/>
        <w:ind w:left="680"/>
        <w:jc w:val="left"/>
        <w:rPr>
          <w:szCs w:val="22"/>
          <w:u w:val="single"/>
        </w:rPr>
      </w:pPr>
      <w:r w:rsidRPr="008B4A04">
        <w:rPr>
          <w:u w:val="single"/>
        </w:rPr>
        <w:t xml:space="preserve">Chronic iron overload in patients with transfusion-dependent </w:t>
      </w:r>
      <w:r w:rsidRPr="00BD349D">
        <w:rPr>
          <w:bCs/>
          <w:u w:val="single"/>
          <w:lang w:val="en-GB"/>
        </w:rPr>
        <w:t>malignant disorders of haemopoiesis with a median life expectancy greater than five years</w:t>
      </w:r>
      <w:r w:rsidRPr="00BD349D">
        <w:rPr>
          <w:szCs w:val="22"/>
          <w:u w:val="single"/>
        </w:rPr>
        <w:t>:</w:t>
      </w:r>
      <w:r w:rsidRPr="008B4A04">
        <w:rPr>
          <w:szCs w:val="22"/>
          <w:u w:val="single"/>
        </w:rPr>
        <w:t xml:space="preserve"> Public and Private (Continuing)</w:t>
      </w:r>
    </w:p>
    <w:p w:rsidR="001E2914" w:rsidRPr="00552722" w:rsidRDefault="001E2914" w:rsidP="001E2914">
      <w:pPr>
        <w:keepNext/>
        <w:widowControl/>
        <w:ind w:left="680"/>
        <w:jc w:val="left"/>
        <w:rPr>
          <w:szCs w:val="22"/>
        </w:rPr>
      </w:pPr>
    </w:p>
    <w:tbl>
      <w:tblPr>
        <w:tblW w:w="8505" w:type="dxa"/>
        <w:tblInd w:w="817" w:type="dxa"/>
        <w:tblLayout w:type="fixed"/>
        <w:tblLook w:val="0000" w:firstRow="0" w:lastRow="0" w:firstColumn="0" w:lastColumn="0" w:noHBand="0" w:noVBand="0"/>
      </w:tblPr>
      <w:tblGrid>
        <w:gridCol w:w="2126"/>
        <w:gridCol w:w="426"/>
        <w:gridCol w:w="1275"/>
        <w:gridCol w:w="1134"/>
        <w:gridCol w:w="284"/>
        <w:gridCol w:w="709"/>
        <w:gridCol w:w="2551"/>
      </w:tblGrid>
      <w:tr w:rsidR="001E2914" w:rsidRPr="00260CE3" w:rsidTr="001E2914">
        <w:trPr>
          <w:cantSplit/>
          <w:trHeight w:val="471"/>
        </w:trPr>
        <w:tc>
          <w:tcPr>
            <w:tcW w:w="2552" w:type="dxa"/>
            <w:gridSpan w:val="2"/>
            <w:tcBorders>
              <w:bottom w:val="single" w:sz="4" w:space="0" w:color="auto"/>
            </w:tcBorders>
          </w:tcPr>
          <w:p w:rsidR="001E2914" w:rsidRPr="00260CE3" w:rsidRDefault="001E2914" w:rsidP="001E2914">
            <w:pPr>
              <w:keepNext/>
              <w:widowControl/>
              <w:ind w:left="-108"/>
              <w:rPr>
                <w:rFonts w:ascii="Arial Narrow" w:hAnsi="Arial Narrow"/>
                <w:sz w:val="20"/>
              </w:rPr>
            </w:pPr>
            <w:r w:rsidRPr="00260CE3">
              <w:rPr>
                <w:rFonts w:ascii="Arial Narrow" w:hAnsi="Arial Narrow"/>
                <w:sz w:val="20"/>
              </w:rPr>
              <w:t>Name, Restriction,</w:t>
            </w:r>
          </w:p>
          <w:p w:rsidR="001E2914" w:rsidRPr="00260CE3" w:rsidRDefault="001E2914" w:rsidP="001E2914">
            <w:pPr>
              <w:keepNext/>
              <w:widowControl/>
              <w:ind w:left="-108"/>
              <w:rPr>
                <w:rFonts w:ascii="Arial Narrow" w:hAnsi="Arial Narrow"/>
                <w:sz w:val="20"/>
              </w:rPr>
            </w:pPr>
            <w:r w:rsidRPr="00260CE3">
              <w:rPr>
                <w:rFonts w:ascii="Arial Narrow" w:hAnsi="Arial Narrow"/>
                <w:sz w:val="20"/>
              </w:rPr>
              <w:t>Manner of administration and form</w:t>
            </w:r>
          </w:p>
        </w:tc>
        <w:tc>
          <w:tcPr>
            <w:tcW w:w="1275"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Max.</w:t>
            </w:r>
            <w:r w:rsidRPr="00260CE3">
              <w:rPr>
                <w:rFonts w:ascii="Arial Narrow" w:hAnsi="Arial Narrow"/>
                <w:sz w:val="20"/>
              </w:rPr>
              <w:t>Qty</w:t>
            </w:r>
          </w:p>
        </w:tc>
        <w:tc>
          <w:tcPr>
            <w:tcW w:w="1134" w:type="dxa"/>
            <w:tcBorders>
              <w:bottom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z w:val="20"/>
              </w:rPr>
              <w:t xml:space="preserve">No. </w:t>
            </w:r>
            <w:r w:rsidRPr="00260CE3">
              <w:rPr>
                <w:rFonts w:ascii="Arial Narrow" w:hAnsi="Arial Narrow"/>
                <w:sz w:val="20"/>
              </w:rPr>
              <w:t>of</w:t>
            </w:r>
            <w:r>
              <w:rPr>
                <w:rFonts w:ascii="Arial Narrow" w:hAnsi="Arial Narrow"/>
                <w:sz w:val="20"/>
              </w:rPr>
              <w:t xml:space="preserve"> </w:t>
            </w:r>
            <w:r w:rsidRPr="00260CE3">
              <w:rPr>
                <w:rFonts w:ascii="Arial Narrow" w:hAnsi="Arial Narrow"/>
                <w:sz w:val="20"/>
              </w:rPr>
              <w:t>Rpts</w:t>
            </w:r>
          </w:p>
        </w:tc>
        <w:tc>
          <w:tcPr>
            <w:tcW w:w="284" w:type="dxa"/>
            <w:tcBorders>
              <w:bottom w:val="single" w:sz="4" w:space="0" w:color="auto"/>
            </w:tcBorders>
          </w:tcPr>
          <w:p w:rsidR="001E2914" w:rsidRPr="00260CE3" w:rsidRDefault="001E2914" w:rsidP="001E2914">
            <w:pPr>
              <w:keepNext/>
              <w:widowControl/>
              <w:ind w:left="-108"/>
              <w:rPr>
                <w:rFonts w:ascii="Arial Narrow" w:hAnsi="Arial Narrow"/>
                <w:sz w:val="20"/>
              </w:rPr>
            </w:pPr>
          </w:p>
        </w:tc>
        <w:tc>
          <w:tcPr>
            <w:tcW w:w="709" w:type="dxa"/>
            <w:tcBorders>
              <w:bottom w:val="single" w:sz="4" w:space="0" w:color="auto"/>
            </w:tcBorders>
          </w:tcPr>
          <w:p w:rsidR="001E2914" w:rsidRPr="00260CE3" w:rsidRDefault="001E2914" w:rsidP="001E2914">
            <w:pPr>
              <w:keepNext/>
              <w:widowControl/>
              <w:rPr>
                <w:rFonts w:ascii="Arial Narrow" w:hAnsi="Arial Narrow"/>
                <w:sz w:val="20"/>
              </w:rPr>
            </w:pPr>
          </w:p>
        </w:tc>
        <w:tc>
          <w:tcPr>
            <w:tcW w:w="2551" w:type="dxa"/>
            <w:tcBorders>
              <w:bottom w:val="single" w:sz="4" w:space="0" w:color="auto"/>
            </w:tcBorders>
          </w:tcPr>
          <w:p w:rsidR="001E2914" w:rsidRPr="00260CE3" w:rsidRDefault="001E2914" w:rsidP="001E2914">
            <w:pPr>
              <w:keepNext/>
              <w:widowControl/>
              <w:rPr>
                <w:rFonts w:ascii="Arial Narrow" w:hAnsi="Arial Narrow"/>
                <w:sz w:val="20"/>
                <w:lang w:val="fr-FR"/>
              </w:rPr>
            </w:pPr>
            <w:r w:rsidRPr="00260CE3">
              <w:rPr>
                <w:rFonts w:ascii="Arial Narrow" w:hAnsi="Arial Narrow"/>
                <w:sz w:val="20"/>
              </w:rPr>
              <w:t>Proprietary Name and Manufacturer</w:t>
            </w:r>
          </w:p>
        </w:tc>
      </w:tr>
      <w:tr w:rsidR="001E2914" w:rsidRPr="00260CE3" w:rsidTr="001E2914">
        <w:trPr>
          <w:cantSplit/>
          <w:trHeight w:val="577"/>
        </w:trPr>
        <w:tc>
          <w:tcPr>
            <w:tcW w:w="2552" w:type="dxa"/>
            <w:gridSpan w:val="2"/>
            <w:tcBorders>
              <w:top w:val="single" w:sz="4" w:space="0" w:color="auto"/>
            </w:tcBorders>
          </w:tcPr>
          <w:p w:rsidR="001E2914" w:rsidRPr="00260CE3" w:rsidRDefault="001E2914" w:rsidP="001E2914">
            <w:pPr>
              <w:keepNext/>
              <w:widowControl/>
              <w:ind w:left="-108"/>
              <w:rPr>
                <w:rFonts w:ascii="Arial Narrow" w:hAnsi="Arial Narrow"/>
                <w:sz w:val="20"/>
              </w:rPr>
            </w:pPr>
            <w:r>
              <w:rPr>
                <w:rFonts w:ascii="Arial Narrow" w:hAnsi="Arial Narrow"/>
                <w:smallCaps/>
                <w:sz w:val="20"/>
              </w:rPr>
              <w:t>DEFERASIROX</w:t>
            </w:r>
          </w:p>
          <w:p w:rsidR="001E2914" w:rsidRDefault="001E2914" w:rsidP="001E2914">
            <w:pPr>
              <w:keepNext/>
              <w:widowControl/>
              <w:ind w:left="-108"/>
              <w:rPr>
                <w:rFonts w:ascii="Arial Narrow" w:hAnsi="Arial Narrow"/>
                <w:sz w:val="20"/>
              </w:rPr>
            </w:pPr>
            <w:r>
              <w:rPr>
                <w:rFonts w:ascii="Arial Narrow" w:hAnsi="Arial Narrow"/>
                <w:sz w:val="20"/>
              </w:rPr>
              <w:t>125 mg tablet: dispersible, 28</w:t>
            </w:r>
          </w:p>
          <w:p w:rsidR="001E2914" w:rsidRDefault="001E2914" w:rsidP="001E2914">
            <w:pPr>
              <w:keepNext/>
              <w:widowControl/>
              <w:ind w:left="-108"/>
              <w:rPr>
                <w:rFonts w:ascii="Arial Narrow" w:hAnsi="Arial Narrow"/>
                <w:sz w:val="20"/>
              </w:rPr>
            </w:pPr>
            <w:r>
              <w:rPr>
                <w:rFonts w:ascii="Arial Narrow" w:hAnsi="Arial Narrow"/>
                <w:sz w:val="20"/>
              </w:rPr>
              <w:t>250 mg tablet: dispersible, 28</w:t>
            </w:r>
          </w:p>
          <w:p w:rsidR="001E2914" w:rsidRPr="00260CE3" w:rsidRDefault="001E2914" w:rsidP="001E2914">
            <w:pPr>
              <w:keepNext/>
              <w:widowControl/>
              <w:ind w:left="-108"/>
              <w:rPr>
                <w:rFonts w:ascii="Arial Narrow" w:hAnsi="Arial Narrow"/>
                <w:sz w:val="20"/>
              </w:rPr>
            </w:pPr>
            <w:r>
              <w:rPr>
                <w:rFonts w:ascii="Arial Narrow" w:hAnsi="Arial Narrow"/>
                <w:sz w:val="20"/>
              </w:rPr>
              <w:t>500 mg tablet: dispersible, 28</w:t>
            </w:r>
          </w:p>
        </w:tc>
        <w:tc>
          <w:tcPr>
            <w:tcW w:w="1275"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Default="001E2914" w:rsidP="001E2914">
            <w:pPr>
              <w:keepNext/>
              <w:widowControl/>
              <w:ind w:left="-108"/>
              <w:rPr>
                <w:rFonts w:ascii="Arial Narrow" w:hAnsi="Arial Narrow"/>
                <w:sz w:val="20"/>
              </w:rPr>
            </w:pPr>
            <w:r>
              <w:rPr>
                <w:rFonts w:ascii="Arial Narrow" w:hAnsi="Arial Narrow"/>
                <w:sz w:val="20"/>
              </w:rPr>
              <w:t>6</w:t>
            </w:r>
          </w:p>
          <w:p w:rsidR="001E2914" w:rsidRPr="00260CE3" w:rsidRDefault="001E2914" w:rsidP="001E2914">
            <w:pPr>
              <w:keepNext/>
              <w:widowControl/>
              <w:ind w:left="-108"/>
              <w:rPr>
                <w:rFonts w:ascii="Arial Narrow" w:hAnsi="Arial Narrow"/>
                <w:sz w:val="20"/>
              </w:rPr>
            </w:pPr>
            <w:r>
              <w:rPr>
                <w:rFonts w:ascii="Arial Narrow" w:hAnsi="Arial Narrow"/>
                <w:sz w:val="20"/>
              </w:rPr>
              <w:t>6</w:t>
            </w:r>
          </w:p>
        </w:tc>
        <w:tc>
          <w:tcPr>
            <w:tcW w:w="113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Default="001E2914" w:rsidP="001E2914">
            <w:pPr>
              <w:keepNext/>
              <w:widowControl/>
              <w:ind w:left="-108"/>
              <w:rPr>
                <w:rFonts w:ascii="Arial Narrow" w:hAnsi="Arial Narrow"/>
                <w:sz w:val="20"/>
              </w:rPr>
            </w:pPr>
            <w:r>
              <w:rPr>
                <w:rFonts w:ascii="Arial Narrow" w:hAnsi="Arial Narrow"/>
                <w:sz w:val="20"/>
              </w:rPr>
              <w:t>2</w:t>
            </w:r>
          </w:p>
          <w:p w:rsidR="001E2914" w:rsidRPr="00260CE3" w:rsidRDefault="001E2914" w:rsidP="001E2914">
            <w:pPr>
              <w:keepNext/>
              <w:widowControl/>
              <w:ind w:left="-108"/>
              <w:rPr>
                <w:rFonts w:ascii="Arial Narrow" w:hAnsi="Arial Narrow"/>
                <w:sz w:val="20"/>
              </w:rPr>
            </w:pPr>
            <w:r>
              <w:rPr>
                <w:rFonts w:ascii="Arial Narrow" w:hAnsi="Arial Narrow"/>
                <w:sz w:val="20"/>
              </w:rPr>
              <w:t>2</w:t>
            </w:r>
          </w:p>
        </w:tc>
        <w:tc>
          <w:tcPr>
            <w:tcW w:w="284" w:type="dxa"/>
            <w:tcBorders>
              <w:top w:val="single" w:sz="4" w:space="0" w:color="auto"/>
            </w:tcBorders>
          </w:tcPr>
          <w:p w:rsidR="001E2914" w:rsidRPr="00260CE3" w:rsidRDefault="001E2914" w:rsidP="001E2914">
            <w:pPr>
              <w:keepNext/>
              <w:widowControl/>
              <w:ind w:left="-108"/>
              <w:rPr>
                <w:rFonts w:ascii="Arial Narrow" w:hAnsi="Arial Narrow"/>
                <w:sz w:val="20"/>
              </w:rPr>
            </w:pPr>
          </w:p>
          <w:p w:rsidR="001E2914" w:rsidRPr="00260CE3" w:rsidRDefault="001E2914" w:rsidP="001E2914">
            <w:pPr>
              <w:keepNext/>
              <w:widowControl/>
              <w:ind w:left="-108"/>
              <w:rPr>
                <w:rFonts w:ascii="Arial Narrow" w:hAnsi="Arial Narrow"/>
                <w:sz w:val="20"/>
              </w:rPr>
            </w:pPr>
          </w:p>
        </w:tc>
        <w:tc>
          <w:tcPr>
            <w:tcW w:w="709" w:type="dxa"/>
            <w:tcBorders>
              <w:top w:val="single" w:sz="4" w:space="0" w:color="auto"/>
            </w:tcBorders>
          </w:tcPr>
          <w:p w:rsidR="001E2914" w:rsidRDefault="001E2914" w:rsidP="001E2914">
            <w:pPr>
              <w:keepNext/>
              <w:widowControl/>
              <w:rPr>
                <w:rFonts w:ascii="Arial Narrow" w:hAnsi="Arial Narrow"/>
                <w:sz w:val="20"/>
              </w:rPr>
            </w:pPr>
          </w:p>
          <w:p w:rsidR="001E2914" w:rsidRDefault="001E2914" w:rsidP="001E2914">
            <w:pPr>
              <w:keepNext/>
              <w:widowControl/>
              <w:rPr>
                <w:rFonts w:ascii="Arial Narrow" w:hAnsi="Arial Narrow"/>
                <w:sz w:val="20"/>
              </w:rPr>
            </w:pPr>
          </w:p>
        </w:tc>
        <w:tc>
          <w:tcPr>
            <w:tcW w:w="2551" w:type="dxa"/>
            <w:tcBorders>
              <w:top w:val="single" w:sz="4" w:space="0" w:color="auto"/>
            </w:tcBorders>
          </w:tcPr>
          <w:p w:rsidR="001E2914" w:rsidRDefault="001E2914" w:rsidP="001E2914">
            <w:pPr>
              <w:keepNext/>
              <w:widowControl/>
              <w:rPr>
                <w:rFonts w:ascii="Arial Narrow" w:hAnsi="Arial Narrow"/>
                <w:sz w:val="20"/>
              </w:rPr>
            </w:pPr>
          </w:p>
          <w:p w:rsidR="001E2914" w:rsidRPr="00260CE3" w:rsidRDefault="006D5811" w:rsidP="001E2914">
            <w:pPr>
              <w:keepNext/>
              <w:widowControl/>
              <w:rPr>
                <w:rFonts w:ascii="Arial Narrow" w:hAnsi="Arial Narrow"/>
                <w:sz w:val="20"/>
              </w:rPr>
            </w:pPr>
            <w:r>
              <w:rPr>
                <w:rFonts w:ascii="Arial Narrow" w:hAnsi="Arial Narrow"/>
                <w:sz w:val="20"/>
              </w:rPr>
              <w:t>Exjade</w:t>
            </w:r>
            <w:r>
              <w:rPr>
                <w:rFonts w:ascii="Arial Narrow" w:hAnsi="Arial Narrow"/>
                <w:sz w:val="20"/>
                <w:vertAlign w:val="superscript"/>
              </w:rPr>
              <w:t xml:space="preserve">®   </w:t>
            </w:r>
            <w:r>
              <w:rPr>
                <w:rFonts w:ascii="Arial Narrow" w:hAnsi="Arial Narrow"/>
                <w:sz w:val="20"/>
              </w:rPr>
              <w:t>NV</w:t>
            </w:r>
          </w:p>
        </w:tc>
      </w:tr>
      <w:tr w:rsidR="001E2914" w:rsidRPr="00260CE3" w:rsidTr="001E2914">
        <w:trPr>
          <w:cantSplit/>
          <w:trHeight w:val="360"/>
        </w:trPr>
        <w:tc>
          <w:tcPr>
            <w:tcW w:w="8505" w:type="dxa"/>
            <w:gridSpan w:val="7"/>
            <w:tcBorders>
              <w:bottom w:val="single" w:sz="4" w:space="0" w:color="auto"/>
            </w:tcBorders>
          </w:tcPr>
          <w:p w:rsidR="001E2914" w:rsidRPr="00260CE3" w:rsidRDefault="001E2914" w:rsidP="001E2914">
            <w:pPr>
              <w:widowControl/>
              <w:rPr>
                <w:rFonts w:ascii="Arial Narrow" w:hAnsi="Arial Narrow"/>
                <w:sz w:val="20"/>
              </w:rPr>
            </w:pP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 xml:space="preserve">Category / </w:t>
            </w:r>
          </w:p>
          <w:p w:rsidR="001E2914" w:rsidRPr="00260CE3" w:rsidRDefault="001E2914" w:rsidP="001E2914">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E2914" w:rsidRDefault="001E2914" w:rsidP="001E2914">
            <w:pPr>
              <w:widowControl/>
              <w:rPr>
                <w:rFonts w:ascii="Arial Narrow" w:hAnsi="Arial Narrow"/>
                <w:sz w:val="20"/>
              </w:rPr>
            </w:pPr>
            <w:r w:rsidRPr="00260CE3">
              <w:rPr>
                <w:rFonts w:ascii="Arial Narrow" w:hAnsi="Arial Narrow"/>
                <w:sz w:val="20"/>
              </w:rPr>
              <w:t>Section 100 – Highly Specialised Drugs Program</w:t>
            </w:r>
            <w:r>
              <w:rPr>
                <w:rFonts w:ascii="Arial Narrow" w:hAnsi="Arial Narrow"/>
                <w:sz w:val="20"/>
              </w:rPr>
              <w:t xml:space="preserve"> (Public)</w:t>
            </w:r>
          </w:p>
          <w:p w:rsidR="001E2914" w:rsidRPr="00260CE3" w:rsidRDefault="001E2914" w:rsidP="001E2914">
            <w:pPr>
              <w:widowControl/>
              <w:rPr>
                <w:rFonts w:ascii="Arial Narrow" w:hAnsi="Arial Narrow"/>
                <w:sz w:val="20"/>
              </w:rPr>
            </w:pPr>
            <w:r>
              <w:rPr>
                <w:rFonts w:ascii="Arial Narrow" w:hAnsi="Arial Narrow"/>
                <w:sz w:val="20"/>
              </w:rPr>
              <w:t>Section 100 – Highly Specialised Drugs Program (Private)</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E2914" w:rsidRPr="00260CE3" w:rsidRDefault="001E2914" w:rsidP="001E2914">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 xml:space="preserve">Iron overload </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Chronic iron overload</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sz w:val="20"/>
              </w:rPr>
            </w:pPr>
            <w:r>
              <w:rPr>
                <w:rFonts w:ascii="Arial Narrow" w:hAnsi="Arial Narrow"/>
                <w:sz w:val="20"/>
              </w:rPr>
              <w:t>Continuing</w:t>
            </w:r>
          </w:p>
        </w:tc>
      </w:tr>
      <w:tr w:rsidR="001E2914" w:rsidRPr="00260CE3"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106BCF" w:rsidRDefault="001E2914" w:rsidP="001E2914">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Emergency</w:t>
            </w:r>
          </w:p>
          <w:p w:rsidR="001E2914" w:rsidRPr="00106BCF"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1E2914" w:rsidRPr="00260CE3" w:rsidRDefault="001E2914" w:rsidP="001E2914">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66004">
              <w:rPr>
                <w:rFonts w:ascii="Arial Narrow" w:hAnsi="Arial Narrow"/>
                <w:sz w:val="20"/>
              </w:rPr>
            </w:r>
            <w:r w:rsidR="0026600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E2914" w:rsidRPr="00260CE3" w:rsidTr="001E2914">
        <w:trPr>
          <w:cantSplit/>
          <w:trHeight w:val="520"/>
        </w:trPr>
        <w:tc>
          <w:tcPr>
            <w:tcW w:w="2126" w:type="dxa"/>
            <w:tcBorders>
              <w:top w:val="single" w:sz="4" w:space="0" w:color="auto"/>
              <w:left w:val="single" w:sz="4" w:space="0" w:color="auto"/>
              <w:bottom w:val="single" w:sz="4" w:space="0" w:color="auto"/>
              <w:right w:val="single" w:sz="4" w:space="0" w:color="auto"/>
            </w:tcBorders>
          </w:tcPr>
          <w:p w:rsidR="001E2914" w:rsidRPr="008B4A04" w:rsidRDefault="001E2914" w:rsidP="001E2914">
            <w:pPr>
              <w:widowControl/>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E2914" w:rsidRPr="00467DE4" w:rsidRDefault="001E2914" w:rsidP="001E2914">
            <w:pPr>
              <w:widowControl/>
              <w:rPr>
                <w:rFonts w:ascii="Arial Narrow" w:hAnsi="Arial Narrow"/>
                <w:sz w:val="20"/>
              </w:rPr>
            </w:pPr>
            <w:r w:rsidRPr="005856C5">
              <w:rPr>
                <w:rFonts w:ascii="Arial Narrow" w:hAnsi="Arial Narrow"/>
                <w:sz w:val="20"/>
              </w:rPr>
              <w:t>Patient must have previously received PBS-subsidised therapy with this drug for this condition</w:t>
            </w:r>
          </w:p>
        </w:tc>
      </w:tr>
      <w:tr w:rsidR="001E2914" w:rsidRPr="003C43BD" w:rsidTr="001E2914">
        <w:trPr>
          <w:cantSplit/>
          <w:trHeight w:val="360"/>
        </w:trPr>
        <w:tc>
          <w:tcPr>
            <w:tcW w:w="2126" w:type="dxa"/>
            <w:tcBorders>
              <w:top w:val="single" w:sz="4" w:space="0" w:color="auto"/>
              <w:left w:val="single" w:sz="4" w:space="0" w:color="auto"/>
              <w:bottom w:val="single" w:sz="4" w:space="0" w:color="auto"/>
              <w:right w:val="single" w:sz="4" w:space="0" w:color="auto"/>
            </w:tcBorders>
          </w:tcPr>
          <w:p w:rsidR="001E2914" w:rsidRPr="00260CE3" w:rsidRDefault="001E2914" w:rsidP="001E2914">
            <w:pPr>
              <w:widowControl/>
              <w:rPr>
                <w:rFonts w:ascii="Arial Narrow" w:hAnsi="Arial Narrow"/>
                <w:b/>
                <w:sz w:val="20"/>
              </w:rPr>
            </w:pPr>
            <w:r w:rsidRPr="00260CE3">
              <w:rPr>
                <w:rFonts w:ascii="Arial Narrow" w:hAnsi="Arial Narrow"/>
                <w:b/>
                <w:sz w:val="20"/>
              </w:rPr>
              <w:t>Administrative Advice</w:t>
            </w:r>
          </w:p>
          <w:p w:rsidR="001E2914" w:rsidRPr="003C43BD" w:rsidRDefault="001E2914" w:rsidP="001E2914">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E2914" w:rsidRPr="003C43BD" w:rsidRDefault="001E2914" w:rsidP="001E2914">
            <w:pPr>
              <w:widowControl/>
              <w:rPr>
                <w:rFonts w:ascii="Arial Narrow" w:hAnsi="Arial Narrow"/>
                <w:sz w:val="20"/>
              </w:rPr>
            </w:pPr>
            <w:r>
              <w:rPr>
                <w:rFonts w:ascii="Arial Narrow" w:hAnsi="Arial Narrow"/>
                <w:sz w:val="20"/>
              </w:rPr>
              <w:t xml:space="preserve">Interruption of treatment should be considered if serum ferritin levels fall consistently below 500 microgram/ml. </w:t>
            </w:r>
          </w:p>
        </w:tc>
      </w:tr>
    </w:tbl>
    <w:p w:rsidR="00D1526E" w:rsidRDefault="00D1526E" w:rsidP="007478B9">
      <w:pPr>
        <w:pStyle w:val="PBACHeading1"/>
        <w:numPr>
          <w:ilvl w:val="0"/>
          <w:numId w:val="0"/>
        </w:numPr>
      </w:pPr>
    </w:p>
    <w:p w:rsidR="009F55CA" w:rsidRDefault="009F55CA" w:rsidP="009F55CA">
      <w:pPr>
        <w:widowControl/>
        <w:rPr>
          <w:rFonts w:cs="Times New Roman"/>
          <w:snapToGrid/>
          <w:szCs w:val="22"/>
          <w:lang w:eastAsia="en-AU"/>
        </w:rPr>
      </w:pPr>
    </w:p>
    <w:p w:rsidR="009F55CA" w:rsidRPr="00C45157" w:rsidRDefault="009F55CA" w:rsidP="009F55CA">
      <w:pPr>
        <w:pStyle w:val="PBACHeading1"/>
        <w:rPr>
          <w:snapToGrid/>
        </w:rPr>
      </w:pPr>
      <w:r w:rsidRPr="00C45157">
        <w:rPr>
          <w:snapToGrid/>
        </w:rPr>
        <w:t>Context for Decision</w:t>
      </w:r>
    </w:p>
    <w:p w:rsidR="009F55CA" w:rsidRPr="00C45157" w:rsidRDefault="009F55CA" w:rsidP="009F55CA">
      <w:pPr>
        <w:widowControl/>
        <w:ind w:left="720"/>
        <w:contextualSpacing/>
        <w:jc w:val="left"/>
        <w:rPr>
          <w:rFonts w:ascii="Times New Roman" w:hAnsi="Times New Roman" w:cs="Times New Roman"/>
          <w:b/>
          <w:snapToGrid/>
          <w:sz w:val="24"/>
          <w:szCs w:val="24"/>
          <w:lang w:eastAsia="en-AU"/>
        </w:rPr>
      </w:pPr>
    </w:p>
    <w:p w:rsidR="009F55CA" w:rsidRPr="00C45157" w:rsidRDefault="009F55CA" w:rsidP="009F55CA">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F55CA" w:rsidRPr="00C45157" w:rsidRDefault="009F55CA" w:rsidP="009F55CA">
      <w:pPr>
        <w:widowControl/>
        <w:jc w:val="left"/>
        <w:rPr>
          <w:rFonts w:ascii="Times New Roman" w:hAnsi="Times New Roman" w:cs="Times New Roman"/>
          <w:snapToGrid/>
          <w:sz w:val="24"/>
          <w:szCs w:val="24"/>
          <w:lang w:eastAsia="en-AU"/>
        </w:rPr>
      </w:pPr>
    </w:p>
    <w:p w:rsidR="009F55CA" w:rsidRPr="00C45157" w:rsidRDefault="009F55CA" w:rsidP="009F55CA">
      <w:pPr>
        <w:pStyle w:val="PBACHeading1"/>
        <w:rPr>
          <w:snapToGrid/>
        </w:rPr>
      </w:pPr>
      <w:r w:rsidRPr="00C45157">
        <w:rPr>
          <w:snapToGrid/>
        </w:rPr>
        <w:t>Sponsor’s Comment</w:t>
      </w:r>
    </w:p>
    <w:p w:rsidR="009F55CA" w:rsidRDefault="009F55CA" w:rsidP="007478B9">
      <w:pPr>
        <w:pStyle w:val="PBACHeading1"/>
        <w:numPr>
          <w:ilvl w:val="0"/>
          <w:numId w:val="0"/>
        </w:numPr>
      </w:pPr>
    </w:p>
    <w:p w:rsidR="00E961B3" w:rsidRDefault="00E961B3" w:rsidP="00E961B3">
      <w:pPr>
        <w:ind w:left="720"/>
        <w:rPr>
          <w:szCs w:val="22"/>
        </w:rPr>
      </w:pPr>
      <w:r>
        <w:rPr>
          <w:szCs w:val="22"/>
        </w:rPr>
        <w:t>Novartis appreciates the opportunity to work with the PBAC to ensure continuity of care for deferasirox patients with MDS and NTDT.</w:t>
      </w:r>
    </w:p>
    <w:p w:rsidR="00381457" w:rsidRPr="00575319" w:rsidRDefault="00381457" w:rsidP="007478B9">
      <w:pPr>
        <w:pStyle w:val="PBACHeading1"/>
        <w:numPr>
          <w:ilvl w:val="0"/>
          <w:numId w:val="0"/>
        </w:numPr>
      </w:pPr>
      <w:r>
        <w:t xml:space="preserve"> </w:t>
      </w:r>
    </w:p>
    <w:sectPr w:rsidR="00381457" w:rsidRPr="00575319" w:rsidSect="001535C5">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44769" w15:done="0"/>
  <w15:commentEx w15:paraId="4CCF33C6" w15:done="0"/>
  <w15:commentEx w15:paraId="317A29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00" w:rsidRDefault="00D57F00" w:rsidP="00666194">
      <w:r>
        <w:separator/>
      </w:r>
    </w:p>
  </w:endnote>
  <w:endnote w:type="continuationSeparator" w:id="0">
    <w:p w:rsidR="00D57F00" w:rsidRDefault="00D57F00" w:rsidP="0066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66" w:rsidRDefault="008F1766" w:rsidP="008B4A04">
    <w:pPr>
      <w:pStyle w:val="Footer"/>
      <w:ind w:left="360"/>
      <w:jc w:val="center"/>
      <w:rPr>
        <w:sz w:val="20"/>
      </w:rPr>
    </w:pPr>
  </w:p>
  <w:p w:rsidR="008F1766" w:rsidRPr="008B4A04" w:rsidRDefault="008F1766" w:rsidP="008B4A04">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266004">
      <w:rPr>
        <w:noProof/>
        <w:sz w:val="20"/>
      </w:rPr>
      <w:t>2</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00" w:rsidRDefault="00D57F00" w:rsidP="00666194">
      <w:r>
        <w:separator/>
      </w:r>
    </w:p>
  </w:footnote>
  <w:footnote w:type="continuationSeparator" w:id="0">
    <w:p w:rsidR="00D57F00" w:rsidRDefault="00D57F00" w:rsidP="00666194">
      <w:r>
        <w:continuationSeparator/>
      </w:r>
    </w:p>
  </w:footnote>
  <w:footnote w:id="1">
    <w:p w:rsidR="008F1766" w:rsidRPr="0000067F" w:rsidRDefault="008F1766" w:rsidP="00B827FA">
      <w:pPr>
        <w:pStyle w:val="FootnoteText"/>
        <w:rPr>
          <w:rFonts w:ascii="Arial Narrow" w:hAnsi="Arial Narrow"/>
          <w:sz w:val="16"/>
          <w:szCs w:val="18"/>
        </w:rPr>
      </w:pPr>
      <w:r w:rsidRPr="0000067F">
        <w:rPr>
          <w:rFonts w:ascii="Arial Narrow" w:hAnsi="Arial Narrow"/>
          <w:sz w:val="16"/>
        </w:rPr>
        <w:footnoteRef/>
      </w:r>
      <w:r w:rsidRPr="0000067F">
        <w:rPr>
          <w:rFonts w:ascii="Arial Narrow" w:hAnsi="Arial Narrow"/>
          <w:sz w:val="16"/>
          <w:szCs w:val="18"/>
        </w:rPr>
        <w:t xml:space="preserve"> Szende A, Schaefer C, Goss TF, Heptinstall K, Knight R, Lübbert M, Deschler B, Fenaux P, Mufti GJ, Killick S, List AF, Valuation of transfusion-free living in MDS: results of health utility interviews with patients, Health Qual Life Outcomes. 2009 Sep 8;7:81. doi: 10.1186/1477-7525-7-81.</w:t>
      </w:r>
    </w:p>
  </w:footnote>
  <w:footnote w:id="2">
    <w:p w:rsidR="008F1766" w:rsidRPr="002F68CE" w:rsidRDefault="008F1766">
      <w:pPr>
        <w:pStyle w:val="FootnoteText"/>
        <w:rPr>
          <w:rFonts w:ascii="Arial Narrow" w:hAnsi="Arial Narrow"/>
          <w:sz w:val="16"/>
          <w:szCs w:val="16"/>
        </w:rPr>
      </w:pPr>
      <w:r w:rsidRPr="002F68CE">
        <w:rPr>
          <w:rStyle w:val="FootnoteReference"/>
          <w:rFonts w:ascii="Arial Narrow" w:hAnsi="Arial Narrow"/>
          <w:sz w:val="16"/>
          <w:szCs w:val="16"/>
        </w:rPr>
        <w:footnoteRef/>
      </w:r>
      <w:r w:rsidRPr="002F68CE">
        <w:rPr>
          <w:rFonts w:ascii="Arial Narrow" w:hAnsi="Arial Narrow"/>
          <w:sz w:val="16"/>
          <w:szCs w:val="16"/>
        </w:rPr>
        <w:t xml:space="preserve"> Ma, X</w:t>
      </w:r>
      <w:r>
        <w:rPr>
          <w:rFonts w:ascii="Arial Narrow" w:hAnsi="Arial Narrow"/>
          <w:sz w:val="16"/>
          <w:szCs w:val="16"/>
        </w:rPr>
        <w:t>. ‘</w:t>
      </w:r>
      <w:r w:rsidRPr="002F68CE">
        <w:rPr>
          <w:rFonts w:ascii="Arial Narrow" w:hAnsi="Arial Narrow"/>
          <w:sz w:val="16"/>
          <w:szCs w:val="16"/>
        </w:rPr>
        <w:t>Epidemiology of Myelodysplastic Syndromes</w:t>
      </w:r>
      <w:r>
        <w:rPr>
          <w:rFonts w:ascii="Arial Narrow" w:hAnsi="Arial Narrow"/>
          <w:sz w:val="16"/>
          <w:szCs w:val="16"/>
        </w:rPr>
        <w:t>’.</w:t>
      </w:r>
      <w:r w:rsidRPr="002F68CE">
        <w:rPr>
          <w:rFonts w:ascii="Arial Narrow" w:hAnsi="Arial Narrow"/>
          <w:sz w:val="16"/>
          <w:szCs w:val="16"/>
        </w:rPr>
        <w:t xml:space="preserve"> </w:t>
      </w:r>
      <w:r w:rsidRPr="002F68CE">
        <w:rPr>
          <w:rFonts w:ascii="Arial Narrow" w:hAnsi="Arial Narrow"/>
          <w:i/>
          <w:sz w:val="16"/>
          <w:szCs w:val="16"/>
        </w:rPr>
        <w:t>Am J Med</w:t>
      </w:r>
      <w:r w:rsidRPr="002F68CE">
        <w:rPr>
          <w:rFonts w:ascii="Arial Narrow" w:hAnsi="Arial Narrow"/>
          <w:sz w:val="16"/>
          <w:szCs w:val="16"/>
        </w:rPr>
        <w:t>. 2012 July ; 125(7 Suppl): S2–S5. doi:10.1016/j.amjmed.2012.04.014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766" w:rsidRPr="00DF217D" w:rsidRDefault="008F1766" w:rsidP="009B5FE4">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8F1766" w:rsidRDefault="008F1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3E6"/>
    <w:multiLevelType w:val="hybridMultilevel"/>
    <w:tmpl w:val="BD72563A"/>
    <w:lvl w:ilvl="0" w:tplc="B018371A">
      <w:start w:val="1"/>
      <w:numFmt w:val="bullet"/>
      <w:lvlText w:val="-"/>
      <w:lvlJc w:val="left"/>
      <w:pPr>
        <w:ind w:left="1004" w:hanging="360"/>
      </w:pPr>
      <w:rPr>
        <w:rFonts w:ascii="Arial Narrow" w:hAnsi="Arial Narro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nsid w:val="06DC6071"/>
    <w:multiLevelType w:val="hybridMultilevel"/>
    <w:tmpl w:val="AC20B31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391E6C"/>
    <w:multiLevelType w:val="hybridMultilevel"/>
    <w:tmpl w:val="A37A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D760B0"/>
    <w:multiLevelType w:val="hybridMultilevel"/>
    <w:tmpl w:val="138EB5A0"/>
    <w:lvl w:ilvl="0" w:tplc="749CED18">
      <w:numFmt w:val="bullet"/>
      <w:lvlText w:val="-"/>
      <w:lvlJc w:val="left"/>
      <w:pPr>
        <w:ind w:left="720" w:hanging="360"/>
      </w:pPr>
      <w:rPr>
        <w:rFonts w:ascii="Sabon" w:eastAsiaTheme="majorEastAsia" w:hAnsi="Sabon"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2B2A34"/>
    <w:multiLevelType w:val="hybridMultilevel"/>
    <w:tmpl w:val="7F541B4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531C50"/>
    <w:multiLevelType w:val="hybridMultilevel"/>
    <w:tmpl w:val="AC0CDCD6"/>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296027"/>
    <w:multiLevelType w:val="hybridMultilevel"/>
    <w:tmpl w:val="217A94E0"/>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084714"/>
    <w:multiLevelType w:val="hybridMultilevel"/>
    <w:tmpl w:val="418A9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AF6995"/>
    <w:multiLevelType w:val="hybridMultilevel"/>
    <w:tmpl w:val="85488C86"/>
    <w:lvl w:ilvl="0" w:tplc="6576DD1A">
      <w:start w:val="1"/>
      <w:numFmt w:val="decimal"/>
      <w:lvlText w:val="%1."/>
      <w:lvlJc w:val="left"/>
      <w:pPr>
        <w:ind w:left="720" w:hanging="360"/>
      </w:pPr>
      <w:rPr>
        <w:rFonts w:ascii="Arial Narrow" w:hAnsi="Arial Narrow"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9D729E"/>
    <w:multiLevelType w:val="hybridMultilevel"/>
    <w:tmpl w:val="E6444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C3245D"/>
    <w:multiLevelType w:val="hybridMultilevel"/>
    <w:tmpl w:val="80FE0AB2"/>
    <w:lvl w:ilvl="0" w:tplc="B018371A">
      <w:start w:val="1"/>
      <w:numFmt w:val="bullet"/>
      <w:lvlText w:val="-"/>
      <w:lvlJc w:val="left"/>
      <w:pPr>
        <w:ind w:left="765" w:hanging="360"/>
      </w:pPr>
      <w:rPr>
        <w:rFonts w:ascii="Arial Narrow" w:hAnsi="Arial Narrow"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nsid w:val="20E94C90"/>
    <w:multiLevelType w:val="multilevel"/>
    <w:tmpl w:val="47E44C1A"/>
    <w:lvl w:ilvl="0">
      <w:start w:val="4"/>
      <w:numFmt w:val="decimal"/>
      <w:lvlText w:val="%1."/>
      <w:lvlJc w:val="left"/>
      <w:pPr>
        <w:ind w:left="72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21294A25"/>
    <w:multiLevelType w:val="hybridMultilevel"/>
    <w:tmpl w:val="912E1BD0"/>
    <w:lvl w:ilvl="0" w:tplc="403A6CE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E15898"/>
    <w:multiLevelType w:val="hybridMultilevel"/>
    <w:tmpl w:val="10420F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3DE3171"/>
    <w:multiLevelType w:val="hybridMultilevel"/>
    <w:tmpl w:val="D9DE99E6"/>
    <w:lvl w:ilvl="0" w:tplc="B018371A">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C75640"/>
    <w:multiLevelType w:val="hybridMultilevel"/>
    <w:tmpl w:val="689CB09E"/>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3B27F3"/>
    <w:multiLevelType w:val="hybridMultilevel"/>
    <w:tmpl w:val="8E1A091C"/>
    <w:lvl w:ilvl="0" w:tplc="749CED18">
      <w:numFmt w:val="bullet"/>
      <w:lvlText w:val="-"/>
      <w:lvlJc w:val="left"/>
      <w:pPr>
        <w:ind w:left="720" w:hanging="360"/>
      </w:pPr>
      <w:rPr>
        <w:rFonts w:ascii="Sabon" w:eastAsiaTheme="majorEastAsia" w:hAnsi="Sabon"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433264"/>
    <w:multiLevelType w:val="hybridMultilevel"/>
    <w:tmpl w:val="AC20B31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2954A6B"/>
    <w:multiLevelType w:val="hybridMultilevel"/>
    <w:tmpl w:val="587E33C0"/>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F52F01"/>
    <w:multiLevelType w:val="hybridMultilevel"/>
    <w:tmpl w:val="FBC8C7FC"/>
    <w:lvl w:ilvl="0" w:tplc="5B92783C">
      <w:start w:val="1"/>
      <w:numFmt w:val="decimal"/>
      <w:lvlText w:val="C.3.%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nsid w:val="375F7C31"/>
    <w:multiLevelType w:val="multilevel"/>
    <w:tmpl w:val="878EC856"/>
    <w:lvl w:ilvl="0">
      <w:start w:val="1"/>
      <w:numFmt w:val="decimal"/>
      <w:lvlText w:val="C.1.%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7AE4B71"/>
    <w:multiLevelType w:val="hybridMultilevel"/>
    <w:tmpl w:val="DBFE2AC6"/>
    <w:lvl w:ilvl="0" w:tplc="375E5EA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nsid w:val="3A2446DE"/>
    <w:multiLevelType w:val="hybridMultilevel"/>
    <w:tmpl w:val="D6AA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7C34E2"/>
    <w:multiLevelType w:val="hybridMultilevel"/>
    <w:tmpl w:val="149CE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017E62"/>
    <w:multiLevelType w:val="hybridMultilevel"/>
    <w:tmpl w:val="8AFEB754"/>
    <w:lvl w:ilvl="0" w:tplc="749CED18">
      <w:numFmt w:val="bullet"/>
      <w:lvlText w:val="-"/>
      <w:lvlJc w:val="left"/>
      <w:pPr>
        <w:ind w:left="1440" w:hanging="360"/>
      </w:pPr>
      <w:rPr>
        <w:rFonts w:ascii="Sabon" w:eastAsiaTheme="majorEastAsia" w:hAnsi="Sabon" w:cstheme="maj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6">
    <w:nsid w:val="45FF1BFA"/>
    <w:multiLevelType w:val="hybridMultilevel"/>
    <w:tmpl w:val="0CD0D8A6"/>
    <w:lvl w:ilvl="0" w:tplc="749CED18">
      <w:numFmt w:val="bullet"/>
      <w:lvlText w:val="-"/>
      <w:lvlJc w:val="left"/>
      <w:pPr>
        <w:ind w:left="720" w:hanging="360"/>
      </w:pPr>
      <w:rPr>
        <w:rFonts w:ascii="Sabon" w:eastAsiaTheme="majorEastAsia" w:hAnsi="Sabon"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640465A"/>
    <w:multiLevelType w:val="hybridMultilevel"/>
    <w:tmpl w:val="39502E1A"/>
    <w:lvl w:ilvl="0" w:tplc="403A6CE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4C830837"/>
    <w:multiLevelType w:val="hybridMultilevel"/>
    <w:tmpl w:val="D04C6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CAE02B3"/>
    <w:multiLevelType w:val="hybridMultilevel"/>
    <w:tmpl w:val="631A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D4E60D0"/>
    <w:multiLevelType w:val="hybridMultilevel"/>
    <w:tmpl w:val="B47A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0B5723F"/>
    <w:multiLevelType w:val="hybridMultilevel"/>
    <w:tmpl w:val="6CEE4970"/>
    <w:lvl w:ilvl="0" w:tplc="B018371A">
      <w:start w:val="1"/>
      <w:numFmt w:val="bullet"/>
      <w:lvlText w:val="-"/>
      <w:lvlJc w:val="left"/>
      <w:pPr>
        <w:ind w:left="5040" w:hanging="360"/>
      </w:pPr>
      <w:rPr>
        <w:rFonts w:ascii="Arial Narrow" w:hAnsi="Arial Narrow" w:hint="default"/>
      </w:rPr>
    </w:lvl>
    <w:lvl w:ilvl="1" w:tplc="0C090003" w:tentative="1">
      <w:start w:val="1"/>
      <w:numFmt w:val="bullet"/>
      <w:lvlText w:val="o"/>
      <w:lvlJc w:val="left"/>
      <w:pPr>
        <w:ind w:left="5760" w:hanging="360"/>
      </w:pPr>
      <w:rPr>
        <w:rFonts w:ascii="Courier New" w:hAnsi="Courier New" w:cs="Courier New" w:hint="default"/>
      </w:rPr>
    </w:lvl>
    <w:lvl w:ilvl="2" w:tplc="0C090005" w:tentative="1">
      <w:start w:val="1"/>
      <w:numFmt w:val="bullet"/>
      <w:lvlText w:val=""/>
      <w:lvlJc w:val="left"/>
      <w:pPr>
        <w:ind w:left="6480" w:hanging="360"/>
      </w:pPr>
      <w:rPr>
        <w:rFonts w:ascii="Wingdings" w:hAnsi="Wingdings" w:hint="default"/>
      </w:rPr>
    </w:lvl>
    <w:lvl w:ilvl="3" w:tplc="0C090001" w:tentative="1">
      <w:start w:val="1"/>
      <w:numFmt w:val="bullet"/>
      <w:lvlText w:val=""/>
      <w:lvlJc w:val="left"/>
      <w:pPr>
        <w:ind w:left="7200" w:hanging="360"/>
      </w:pPr>
      <w:rPr>
        <w:rFonts w:ascii="Symbol" w:hAnsi="Symbol" w:hint="default"/>
      </w:rPr>
    </w:lvl>
    <w:lvl w:ilvl="4" w:tplc="0C090003" w:tentative="1">
      <w:start w:val="1"/>
      <w:numFmt w:val="bullet"/>
      <w:lvlText w:val="o"/>
      <w:lvlJc w:val="left"/>
      <w:pPr>
        <w:ind w:left="7920" w:hanging="360"/>
      </w:pPr>
      <w:rPr>
        <w:rFonts w:ascii="Courier New" w:hAnsi="Courier New" w:cs="Courier New" w:hint="default"/>
      </w:rPr>
    </w:lvl>
    <w:lvl w:ilvl="5" w:tplc="0C090005" w:tentative="1">
      <w:start w:val="1"/>
      <w:numFmt w:val="bullet"/>
      <w:lvlText w:val=""/>
      <w:lvlJc w:val="left"/>
      <w:pPr>
        <w:ind w:left="8640" w:hanging="360"/>
      </w:pPr>
      <w:rPr>
        <w:rFonts w:ascii="Wingdings" w:hAnsi="Wingdings" w:hint="default"/>
      </w:rPr>
    </w:lvl>
    <w:lvl w:ilvl="6" w:tplc="0C090001" w:tentative="1">
      <w:start w:val="1"/>
      <w:numFmt w:val="bullet"/>
      <w:lvlText w:val=""/>
      <w:lvlJc w:val="left"/>
      <w:pPr>
        <w:ind w:left="9360" w:hanging="360"/>
      </w:pPr>
      <w:rPr>
        <w:rFonts w:ascii="Symbol" w:hAnsi="Symbol" w:hint="default"/>
      </w:rPr>
    </w:lvl>
    <w:lvl w:ilvl="7" w:tplc="0C090003" w:tentative="1">
      <w:start w:val="1"/>
      <w:numFmt w:val="bullet"/>
      <w:lvlText w:val="o"/>
      <w:lvlJc w:val="left"/>
      <w:pPr>
        <w:ind w:left="10080" w:hanging="360"/>
      </w:pPr>
      <w:rPr>
        <w:rFonts w:ascii="Courier New" w:hAnsi="Courier New" w:cs="Courier New" w:hint="default"/>
      </w:rPr>
    </w:lvl>
    <w:lvl w:ilvl="8" w:tplc="0C090005" w:tentative="1">
      <w:start w:val="1"/>
      <w:numFmt w:val="bullet"/>
      <w:lvlText w:val=""/>
      <w:lvlJc w:val="left"/>
      <w:pPr>
        <w:ind w:left="10800" w:hanging="360"/>
      </w:pPr>
      <w:rPr>
        <w:rFonts w:ascii="Wingdings" w:hAnsi="Wingdings" w:hint="default"/>
      </w:rPr>
    </w:lvl>
  </w:abstractNum>
  <w:abstractNum w:abstractNumId="3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nsid w:val="55B66AAB"/>
    <w:multiLevelType w:val="hybridMultilevel"/>
    <w:tmpl w:val="CD8AE33C"/>
    <w:lvl w:ilvl="0" w:tplc="2F2E4042">
      <w:start w:val="1"/>
      <w:numFmt w:val="bullet"/>
      <w:lvlText w:val="•"/>
      <w:lvlJc w:val="left"/>
      <w:pPr>
        <w:tabs>
          <w:tab w:val="num" w:pos="720"/>
        </w:tabs>
        <w:ind w:left="720" w:hanging="360"/>
      </w:pPr>
      <w:rPr>
        <w:rFonts w:ascii="Arial" w:hAnsi="Arial" w:hint="default"/>
      </w:rPr>
    </w:lvl>
    <w:lvl w:ilvl="1" w:tplc="8B98C334" w:tentative="1">
      <w:start w:val="1"/>
      <w:numFmt w:val="bullet"/>
      <w:lvlText w:val="•"/>
      <w:lvlJc w:val="left"/>
      <w:pPr>
        <w:tabs>
          <w:tab w:val="num" w:pos="1440"/>
        </w:tabs>
        <w:ind w:left="1440" w:hanging="360"/>
      </w:pPr>
      <w:rPr>
        <w:rFonts w:ascii="Arial" w:hAnsi="Arial" w:hint="default"/>
      </w:rPr>
    </w:lvl>
    <w:lvl w:ilvl="2" w:tplc="1436BC1C" w:tentative="1">
      <w:start w:val="1"/>
      <w:numFmt w:val="bullet"/>
      <w:lvlText w:val="•"/>
      <w:lvlJc w:val="left"/>
      <w:pPr>
        <w:tabs>
          <w:tab w:val="num" w:pos="2160"/>
        </w:tabs>
        <w:ind w:left="2160" w:hanging="360"/>
      </w:pPr>
      <w:rPr>
        <w:rFonts w:ascii="Arial" w:hAnsi="Arial" w:hint="default"/>
      </w:rPr>
    </w:lvl>
    <w:lvl w:ilvl="3" w:tplc="2C2030D4" w:tentative="1">
      <w:start w:val="1"/>
      <w:numFmt w:val="bullet"/>
      <w:lvlText w:val="•"/>
      <w:lvlJc w:val="left"/>
      <w:pPr>
        <w:tabs>
          <w:tab w:val="num" w:pos="2880"/>
        </w:tabs>
        <w:ind w:left="2880" w:hanging="360"/>
      </w:pPr>
      <w:rPr>
        <w:rFonts w:ascii="Arial" w:hAnsi="Arial" w:hint="default"/>
      </w:rPr>
    </w:lvl>
    <w:lvl w:ilvl="4" w:tplc="98B248F6" w:tentative="1">
      <w:start w:val="1"/>
      <w:numFmt w:val="bullet"/>
      <w:lvlText w:val="•"/>
      <w:lvlJc w:val="left"/>
      <w:pPr>
        <w:tabs>
          <w:tab w:val="num" w:pos="3600"/>
        </w:tabs>
        <w:ind w:left="3600" w:hanging="360"/>
      </w:pPr>
      <w:rPr>
        <w:rFonts w:ascii="Arial" w:hAnsi="Arial" w:hint="default"/>
      </w:rPr>
    </w:lvl>
    <w:lvl w:ilvl="5" w:tplc="6136AD80" w:tentative="1">
      <w:start w:val="1"/>
      <w:numFmt w:val="bullet"/>
      <w:lvlText w:val="•"/>
      <w:lvlJc w:val="left"/>
      <w:pPr>
        <w:tabs>
          <w:tab w:val="num" w:pos="4320"/>
        </w:tabs>
        <w:ind w:left="4320" w:hanging="360"/>
      </w:pPr>
      <w:rPr>
        <w:rFonts w:ascii="Arial" w:hAnsi="Arial" w:hint="default"/>
      </w:rPr>
    </w:lvl>
    <w:lvl w:ilvl="6" w:tplc="BDDE64AC" w:tentative="1">
      <w:start w:val="1"/>
      <w:numFmt w:val="bullet"/>
      <w:lvlText w:val="•"/>
      <w:lvlJc w:val="left"/>
      <w:pPr>
        <w:tabs>
          <w:tab w:val="num" w:pos="5040"/>
        </w:tabs>
        <w:ind w:left="5040" w:hanging="360"/>
      </w:pPr>
      <w:rPr>
        <w:rFonts w:ascii="Arial" w:hAnsi="Arial" w:hint="default"/>
      </w:rPr>
    </w:lvl>
    <w:lvl w:ilvl="7" w:tplc="81648206" w:tentative="1">
      <w:start w:val="1"/>
      <w:numFmt w:val="bullet"/>
      <w:lvlText w:val="•"/>
      <w:lvlJc w:val="left"/>
      <w:pPr>
        <w:tabs>
          <w:tab w:val="num" w:pos="5760"/>
        </w:tabs>
        <w:ind w:left="5760" w:hanging="360"/>
      </w:pPr>
      <w:rPr>
        <w:rFonts w:ascii="Arial" w:hAnsi="Arial" w:hint="default"/>
      </w:rPr>
    </w:lvl>
    <w:lvl w:ilvl="8" w:tplc="BF2A3910" w:tentative="1">
      <w:start w:val="1"/>
      <w:numFmt w:val="bullet"/>
      <w:lvlText w:val="•"/>
      <w:lvlJc w:val="left"/>
      <w:pPr>
        <w:tabs>
          <w:tab w:val="num" w:pos="6480"/>
        </w:tabs>
        <w:ind w:left="6480" w:hanging="360"/>
      </w:pPr>
      <w:rPr>
        <w:rFonts w:ascii="Arial" w:hAnsi="Arial" w:hint="default"/>
      </w:rPr>
    </w:lvl>
  </w:abstractNum>
  <w:abstractNum w:abstractNumId="35">
    <w:nsid w:val="55E619FC"/>
    <w:multiLevelType w:val="hybridMultilevel"/>
    <w:tmpl w:val="3AB0FAEE"/>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7297B98"/>
    <w:multiLevelType w:val="hybridMultilevel"/>
    <w:tmpl w:val="727C624E"/>
    <w:lvl w:ilvl="0" w:tplc="7D8CFA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BE34D06"/>
    <w:multiLevelType w:val="hybridMultilevel"/>
    <w:tmpl w:val="32DCA964"/>
    <w:lvl w:ilvl="0" w:tplc="B018371A">
      <w:start w:val="1"/>
      <w:numFmt w:val="bullet"/>
      <w:lvlText w:val="-"/>
      <w:lvlJc w:val="left"/>
      <w:pPr>
        <w:ind w:left="1440" w:hanging="360"/>
      </w:pPr>
      <w:rPr>
        <w:rFonts w:ascii="Arial Narrow" w:hAnsi="Arial Narro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5DC80806"/>
    <w:multiLevelType w:val="hybridMultilevel"/>
    <w:tmpl w:val="31F26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45C620B"/>
    <w:multiLevelType w:val="hybridMultilevel"/>
    <w:tmpl w:val="09B22CC0"/>
    <w:lvl w:ilvl="0" w:tplc="403A6CE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956A48"/>
    <w:multiLevelType w:val="hybridMultilevel"/>
    <w:tmpl w:val="5A967E82"/>
    <w:lvl w:ilvl="0" w:tplc="B018371A">
      <w:start w:val="1"/>
      <w:numFmt w:val="bullet"/>
      <w:lvlText w:val="-"/>
      <w:lvlJc w:val="left"/>
      <w:pPr>
        <w:ind w:left="360" w:hanging="360"/>
      </w:pPr>
      <w:rPr>
        <w:rFonts w:ascii="Arial Narrow" w:hAnsi="Arial Narro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B561A17"/>
    <w:multiLevelType w:val="multilevel"/>
    <w:tmpl w:val="0EA8C5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nsid w:val="6D1342FA"/>
    <w:multiLevelType w:val="hybridMultilevel"/>
    <w:tmpl w:val="58FE81E2"/>
    <w:lvl w:ilvl="0" w:tplc="2F8A2FAC">
      <w:start w:val="1"/>
      <w:numFmt w:val="decimal"/>
      <w:lvlText w:val="C.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34B67C7"/>
    <w:multiLevelType w:val="hybridMultilevel"/>
    <w:tmpl w:val="35740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3596590"/>
    <w:multiLevelType w:val="hybridMultilevel"/>
    <w:tmpl w:val="233E60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5">
    <w:nsid w:val="7604513C"/>
    <w:multiLevelType w:val="hybridMultilevel"/>
    <w:tmpl w:val="5F00DDF2"/>
    <w:lvl w:ilvl="0" w:tplc="EFFE7416">
      <w:start w:val="1"/>
      <w:numFmt w:val="decimal"/>
      <w:lvlText w:val="C.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8070397"/>
    <w:multiLevelType w:val="multilevel"/>
    <w:tmpl w:val="BAD8618E"/>
    <w:lvl w:ilvl="0">
      <w:start w:val="4"/>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7">
    <w:nsid w:val="784D033C"/>
    <w:multiLevelType w:val="multilevel"/>
    <w:tmpl w:val="415CD9F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B263F01"/>
    <w:multiLevelType w:val="hybridMultilevel"/>
    <w:tmpl w:val="AE00E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BDB4850"/>
    <w:multiLevelType w:val="hybridMultilevel"/>
    <w:tmpl w:val="B43CF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D1A0F83"/>
    <w:multiLevelType w:val="hybridMultilevel"/>
    <w:tmpl w:val="957C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DD93CD0"/>
    <w:multiLevelType w:val="hybridMultilevel"/>
    <w:tmpl w:val="500E9BCA"/>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23"/>
  </w:num>
  <w:num w:numId="4">
    <w:abstractNumId w:val="47"/>
  </w:num>
  <w:num w:numId="5">
    <w:abstractNumId w:val="8"/>
  </w:num>
  <w:num w:numId="6">
    <w:abstractNumId w:val="50"/>
  </w:num>
  <w:num w:numId="7">
    <w:abstractNumId w:val="12"/>
  </w:num>
  <w:num w:numId="8">
    <w:abstractNumId w:val="48"/>
  </w:num>
  <w:num w:numId="9">
    <w:abstractNumId w:val="17"/>
  </w:num>
  <w:num w:numId="10">
    <w:abstractNumId w:val="11"/>
  </w:num>
  <w:num w:numId="11">
    <w:abstractNumId w:val="46"/>
  </w:num>
  <w:num w:numId="12">
    <w:abstractNumId w:val="41"/>
  </w:num>
  <w:num w:numId="13">
    <w:abstractNumId w:val="2"/>
  </w:num>
  <w:num w:numId="14">
    <w:abstractNumId w:val="29"/>
  </w:num>
  <w:num w:numId="15">
    <w:abstractNumId w:val="51"/>
  </w:num>
  <w:num w:numId="16">
    <w:abstractNumId w:val="15"/>
  </w:num>
  <w:num w:numId="17">
    <w:abstractNumId w:val="9"/>
  </w:num>
  <w:num w:numId="18">
    <w:abstractNumId w:val="13"/>
  </w:num>
  <w:num w:numId="19">
    <w:abstractNumId w:val="4"/>
  </w:num>
  <w:num w:numId="20">
    <w:abstractNumId w:val="6"/>
  </w:num>
  <w:num w:numId="21">
    <w:abstractNumId w:val="7"/>
  </w:num>
  <w:num w:numId="22">
    <w:abstractNumId w:val="49"/>
  </w:num>
  <w:num w:numId="23">
    <w:abstractNumId w:val="31"/>
  </w:num>
  <w:num w:numId="24">
    <w:abstractNumId w:val="38"/>
  </w:num>
  <w:num w:numId="25">
    <w:abstractNumId w:val="39"/>
  </w:num>
  <w:num w:numId="26">
    <w:abstractNumId w:val="43"/>
  </w:num>
  <w:num w:numId="27">
    <w:abstractNumId w:val="30"/>
  </w:num>
  <w:num w:numId="28">
    <w:abstractNumId w:val="37"/>
  </w:num>
  <w:num w:numId="29">
    <w:abstractNumId w:val="22"/>
  </w:num>
  <w:num w:numId="30">
    <w:abstractNumId w:val="20"/>
  </w:num>
  <w:num w:numId="31">
    <w:abstractNumId w:val="45"/>
  </w:num>
  <w:num w:numId="32">
    <w:abstractNumId w:val="19"/>
  </w:num>
  <w:num w:numId="33">
    <w:abstractNumId w:val="42"/>
  </w:num>
  <w:num w:numId="34">
    <w:abstractNumId w:val="3"/>
  </w:num>
  <w:num w:numId="35">
    <w:abstractNumId w:val="35"/>
  </w:num>
  <w:num w:numId="36">
    <w:abstractNumId w:val="18"/>
  </w:num>
  <w:num w:numId="37">
    <w:abstractNumId w:val="0"/>
  </w:num>
  <w:num w:numId="38">
    <w:abstractNumId w:val="14"/>
  </w:num>
  <w:num w:numId="39">
    <w:abstractNumId w:val="40"/>
  </w:num>
  <w:num w:numId="40">
    <w:abstractNumId w:val="32"/>
  </w:num>
  <w:num w:numId="41">
    <w:abstractNumId w:val="1"/>
  </w:num>
  <w:num w:numId="42">
    <w:abstractNumId w:val="24"/>
  </w:num>
  <w:num w:numId="43">
    <w:abstractNumId w:val="26"/>
  </w:num>
  <w:num w:numId="44">
    <w:abstractNumId w:val="16"/>
  </w:num>
  <w:num w:numId="45">
    <w:abstractNumId w:val="21"/>
  </w:num>
  <w:num w:numId="46">
    <w:abstractNumId w:val="36"/>
  </w:num>
  <w:num w:numId="47">
    <w:abstractNumId w:val="44"/>
  </w:num>
  <w:num w:numId="48">
    <w:abstractNumId w:val="27"/>
  </w:num>
  <w:num w:numId="49">
    <w:abstractNumId w:val="33"/>
  </w:num>
  <w:num w:numId="50">
    <w:abstractNumId w:val="10"/>
  </w:num>
  <w:num w:numId="51">
    <w:abstractNumId w:val="5"/>
  </w:num>
  <w:num w:numId="52">
    <w:abstractNumId w:val="34"/>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7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94"/>
    <w:rsid w:val="0000067F"/>
    <w:rsid w:val="0000340C"/>
    <w:rsid w:val="00005261"/>
    <w:rsid w:val="000055FD"/>
    <w:rsid w:val="0000795C"/>
    <w:rsid w:val="00010A37"/>
    <w:rsid w:val="00012628"/>
    <w:rsid w:val="000328B1"/>
    <w:rsid w:val="000340C7"/>
    <w:rsid w:val="0003444B"/>
    <w:rsid w:val="000352F4"/>
    <w:rsid w:val="00037662"/>
    <w:rsid w:val="00042029"/>
    <w:rsid w:val="000470B1"/>
    <w:rsid w:val="0005299B"/>
    <w:rsid w:val="00062288"/>
    <w:rsid w:val="00064F1C"/>
    <w:rsid w:val="00073162"/>
    <w:rsid w:val="000736A3"/>
    <w:rsid w:val="000801A2"/>
    <w:rsid w:val="00083E3E"/>
    <w:rsid w:val="000842A0"/>
    <w:rsid w:val="0008714A"/>
    <w:rsid w:val="00094511"/>
    <w:rsid w:val="00097BD2"/>
    <w:rsid w:val="000A2766"/>
    <w:rsid w:val="000A5707"/>
    <w:rsid w:val="000B07C9"/>
    <w:rsid w:val="000B0BF1"/>
    <w:rsid w:val="000B1764"/>
    <w:rsid w:val="000B1E2B"/>
    <w:rsid w:val="000B24B4"/>
    <w:rsid w:val="000C3B2E"/>
    <w:rsid w:val="000C44BD"/>
    <w:rsid w:val="000C481B"/>
    <w:rsid w:val="000C5923"/>
    <w:rsid w:val="000D1AA3"/>
    <w:rsid w:val="000E79A2"/>
    <w:rsid w:val="000F24BD"/>
    <w:rsid w:val="000F649D"/>
    <w:rsid w:val="001016EE"/>
    <w:rsid w:val="00106609"/>
    <w:rsid w:val="0011161B"/>
    <w:rsid w:val="00111FB8"/>
    <w:rsid w:val="001148AC"/>
    <w:rsid w:val="00115714"/>
    <w:rsid w:val="001307C3"/>
    <w:rsid w:val="00137BED"/>
    <w:rsid w:val="00137CC2"/>
    <w:rsid w:val="0014062C"/>
    <w:rsid w:val="00142502"/>
    <w:rsid w:val="0014303D"/>
    <w:rsid w:val="00144A15"/>
    <w:rsid w:val="0015028A"/>
    <w:rsid w:val="00151F2A"/>
    <w:rsid w:val="00152593"/>
    <w:rsid w:val="001535C5"/>
    <w:rsid w:val="0016126A"/>
    <w:rsid w:val="0016601D"/>
    <w:rsid w:val="001661AE"/>
    <w:rsid w:val="0016708F"/>
    <w:rsid w:val="00167F53"/>
    <w:rsid w:val="00181D62"/>
    <w:rsid w:val="001832D7"/>
    <w:rsid w:val="00190896"/>
    <w:rsid w:val="00191B50"/>
    <w:rsid w:val="001955B0"/>
    <w:rsid w:val="00196E52"/>
    <w:rsid w:val="001974AB"/>
    <w:rsid w:val="001A40A1"/>
    <w:rsid w:val="001A5BDD"/>
    <w:rsid w:val="001A646D"/>
    <w:rsid w:val="001B02D4"/>
    <w:rsid w:val="001B06D5"/>
    <w:rsid w:val="001B0710"/>
    <w:rsid w:val="001B35FB"/>
    <w:rsid w:val="001B629F"/>
    <w:rsid w:val="001C2D16"/>
    <w:rsid w:val="001D04BF"/>
    <w:rsid w:val="001D181D"/>
    <w:rsid w:val="001D605E"/>
    <w:rsid w:val="001E0142"/>
    <w:rsid w:val="001E2914"/>
    <w:rsid w:val="001E359C"/>
    <w:rsid w:val="001E3BC7"/>
    <w:rsid w:val="001E5C4E"/>
    <w:rsid w:val="00202C6C"/>
    <w:rsid w:val="00210BCE"/>
    <w:rsid w:val="00212386"/>
    <w:rsid w:val="00213382"/>
    <w:rsid w:val="002229CF"/>
    <w:rsid w:val="00224B28"/>
    <w:rsid w:val="00226D4F"/>
    <w:rsid w:val="0023427A"/>
    <w:rsid w:val="00235DB1"/>
    <w:rsid w:val="0024030A"/>
    <w:rsid w:val="00242929"/>
    <w:rsid w:val="0024549B"/>
    <w:rsid w:val="00260AA6"/>
    <w:rsid w:val="00266004"/>
    <w:rsid w:val="00271B76"/>
    <w:rsid w:val="00282254"/>
    <w:rsid w:val="00286224"/>
    <w:rsid w:val="002864BD"/>
    <w:rsid w:val="002866BA"/>
    <w:rsid w:val="00286E86"/>
    <w:rsid w:val="00293C55"/>
    <w:rsid w:val="00296461"/>
    <w:rsid w:val="0029707B"/>
    <w:rsid w:val="00297FCF"/>
    <w:rsid w:val="002A0ED5"/>
    <w:rsid w:val="002A3319"/>
    <w:rsid w:val="002A42D3"/>
    <w:rsid w:val="002A42F9"/>
    <w:rsid w:val="002A580F"/>
    <w:rsid w:val="002B4F41"/>
    <w:rsid w:val="002B7EB9"/>
    <w:rsid w:val="002C1F3A"/>
    <w:rsid w:val="002C3543"/>
    <w:rsid w:val="002D587E"/>
    <w:rsid w:val="002D5DEC"/>
    <w:rsid w:val="002E2D44"/>
    <w:rsid w:val="002E5EFF"/>
    <w:rsid w:val="002F34B0"/>
    <w:rsid w:val="002F68CE"/>
    <w:rsid w:val="00301C98"/>
    <w:rsid w:val="00307EBB"/>
    <w:rsid w:val="0031037A"/>
    <w:rsid w:val="0032035C"/>
    <w:rsid w:val="00321485"/>
    <w:rsid w:val="00324CB5"/>
    <w:rsid w:val="003400D9"/>
    <w:rsid w:val="00351C98"/>
    <w:rsid w:val="00362C03"/>
    <w:rsid w:val="0036587A"/>
    <w:rsid w:val="003673B8"/>
    <w:rsid w:val="0037346A"/>
    <w:rsid w:val="003734C2"/>
    <w:rsid w:val="00374D23"/>
    <w:rsid w:val="003763AF"/>
    <w:rsid w:val="0037791F"/>
    <w:rsid w:val="0038031E"/>
    <w:rsid w:val="00381457"/>
    <w:rsid w:val="00387558"/>
    <w:rsid w:val="00392E4E"/>
    <w:rsid w:val="003A7EB7"/>
    <w:rsid w:val="003B5E6F"/>
    <w:rsid w:val="003B7989"/>
    <w:rsid w:val="003B7ADB"/>
    <w:rsid w:val="003C10D7"/>
    <w:rsid w:val="003C1A00"/>
    <w:rsid w:val="003C43BD"/>
    <w:rsid w:val="003D33ED"/>
    <w:rsid w:val="003D4236"/>
    <w:rsid w:val="003E55FD"/>
    <w:rsid w:val="003E6F24"/>
    <w:rsid w:val="003F711C"/>
    <w:rsid w:val="00412832"/>
    <w:rsid w:val="0041583C"/>
    <w:rsid w:val="0042214A"/>
    <w:rsid w:val="00424E35"/>
    <w:rsid w:val="004300A3"/>
    <w:rsid w:val="004355B8"/>
    <w:rsid w:val="00437E51"/>
    <w:rsid w:val="00444D72"/>
    <w:rsid w:val="00447819"/>
    <w:rsid w:val="0045291C"/>
    <w:rsid w:val="00463C27"/>
    <w:rsid w:val="00464F89"/>
    <w:rsid w:val="00467A5E"/>
    <w:rsid w:val="00467DE4"/>
    <w:rsid w:val="00470C02"/>
    <w:rsid w:val="00471B56"/>
    <w:rsid w:val="00476448"/>
    <w:rsid w:val="00477C1E"/>
    <w:rsid w:val="00481214"/>
    <w:rsid w:val="00485E54"/>
    <w:rsid w:val="004866A1"/>
    <w:rsid w:val="00487B27"/>
    <w:rsid w:val="00494B84"/>
    <w:rsid w:val="004A344E"/>
    <w:rsid w:val="004A34F8"/>
    <w:rsid w:val="004A469F"/>
    <w:rsid w:val="004B07D3"/>
    <w:rsid w:val="004B1FBC"/>
    <w:rsid w:val="004B4025"/>
    <w:rsid w:val="004B74E7"/>
    <w:rsid w:val="004C4E83"/>
    <w:rsid w:val="004C58A3"/>
    <w:rsid w:val="004C5E6F"/>
    <w:rsid w:val="004D03D9"/>
    <w:rsid w:val="004D3593"/>
    <w:rsid w:val="004D58EF"/>
    <w:rsid w:val="004E5A2B"/>
    <w:rsid w:val="004E5F59"/>
    <w:rsid w:val="004E7BF4"/>
    <w:rsid w:val="004F28C3"/>
    <w:rsid w:val="004F5526"/>
    <w:rsid w:val="004F6CD6"/>
    <w:rsid w:val="00500296"/>
    <w:rsid w:val="005010A6"/>
    <w:rsid w:val="00503BC2"/>
    <w:rsid w:val="00512F14"/>
    <w:rsid w:val="005130D7"/>
    <w:rsid w:val="00516201"/>
    <w:rsid w:val="00531F6C"/>
    <w:rsid w:val="0053581E"/>
    <w:rsid w:val="00536D90"/>
    <w:rsid w:val="005378FE"/>
    <w:rsid w:val="00542F05"/>
    <w:rsid w:val="005445B2"/>
    <w:rsid w:val="00550AED"/>
    <w:rsid w:val="00551890"/>
    <w:rsid w:val="0055217A"/>
    <w:rsid w:val="00552523"/>
    <w:rsid w:val="00552ED9"/>
    <w:rsid w:val="00555016"/>
    <w:rsid w:val="00561255"/>
    <w:rsid w:val="00561EF6"/>
    <w:rsid w:val="00570C6E"/>
    <w:rsid w:val="0057392E"/>
    <w:rsid w:val="00575319"/>
    <w:rsid w:val="00575755"/>
    <w:rsid w:val="00575D6A"/>
    <w:rsid w:val="00576A46"/>
    <w:rsid w:val="00576F4D"/>
    <w:rsid w:val="00587EF1"/>
    <w:rsid w:val="005902DD"/>
    <w:rsid w:val="00596924"/>
    <w:rsid w:val="00597AD6"/>
    <w:rsid w:val="005A0B0B"/>
    <w:rsid w:val="005A1708"/>
    <w:rsid w:val="005A1E9D"/>
    <w:rsid w:val="005A4F7B"/>
    <w:rsid w:val="005A55FB"/>
    <w:rsid w:val="005B1177"/>
    <w:rsid w:val="005B154F"/>
    <w:rsid w:val="005B1F95"/>
    <w:rsid w:val="005B4ADD"/>
    <w:rsid w:val="005C2AEF"/>
    <w:rsid w:val="005C349F"/>
    <w:rsid w:val="005C486C"/>
    <w:rsid w:val="005D12B9"/>
    <w:rsid w:val="005D141D"/>
    <w:rsid w:val="005D3DC5"/>
    <w:rsid w:val="005D44CA"/>
    <w:rsid w:val="005E3864"/>
    <w:rsid w:val="005E506D"/>
    <w:rsid w:val="005E7149"/>
    <w:rsid w:val="005F22F8"/>
    <w:rsid w:val="005F28EC"/>
    <w:rsid w:val="005F69BA"/>
    <w:rsid w:val="0060172C"/>
    <w:rsid w:val="00602164"/>
    <w:rsid w:val="00605609"/>
    <w:rsid w:val="0060598E"/>
    <w:rsid w:val="00605D8B"/>
    <w:rsid w:val="00614CA9"/>
    <w:rsid w:val="006178B9"/>
    <w:rsid w:val="00620758"/>
    <w:rsid w:val="0062407D"/>
    <w:rsid w:val="0063363D"/>
    <w:rsid w:val="00634722"/>
    <w:rsid w:val="00634825"/>
    <w:rsid w:val="0063596A"/>
    <w:rsid w:val="006420FB"/>
    <w:rsid w:val="00645C6A"/>
    <w:rsid w:val="006462BB"/>
    <w:rsid w:val="00653B3D"/>
    <w:rsid w:val="006568C1"/>
    <w:rsid w:val="006626E9"/>
    <w:rsid w:val="00663107"/>
    <w:rsid w:val="00663CB5"/>
    <w:rsid w:val="00666194"/>
    <w:rsid w:val="006733DB"/>
    <w:rsid w:val="006739B0"/>
    <w:rsid w:val="006803B6"/>
    <w:rsid w:val="006813C3"/>
    <w:rsid w:val="00682481"/>
    <w:rsid w:val="0068534C"/>
    <w:rsid w:val="00687358"/>
    <w:rsid w:val="00690882"/>
    <w:rsid w:val="006954C3"/>
    <w:rsid w:val="00697EB3"/>
    <w:rsid w:val="006A0238"/>
    <w:rsid w:val="006A1109"/>
    <w:rsid w:val="006A2D38"/>
    <w:rsid w:val="006A73F5"/>
    <w:rsid w:val="006B3413"/>
    <w:rsid w:val="006B6B29"/>
    <w:rsid w:val="006C10A6"/>
    <w:rsid w:val="006C5A1C"/>
    <w:rsid w:val="006D20F7"/>
    <w:rsid w:val="006D3AD2"/>
    <w:rsid w:val="006D3C6E"/>
    <w:rsid w:val="006D3FA9"/>
    <w:rsid w:val="006D4C83"/>
    <w:rsid w:val="006D5811"/>
    <w:rsid w:val="006D6407"/>
    <w:rsid w:val="006D69D1"/>
    <w:rsid w:val="006E02CD"/>
    <w:rsid w:val="006E17F3"/>
    <w:rsid w:val="006E4552"/>
    <w:rsid w:val="006E6377"/>
    <w:rsid w:val="006E6F78"/>
    <w:rsid w:val="006F1227"/>
    <w:rsid w:val="006F4DAC"/>
    <w:rsid w:val="007003CE"/>
    <w:rsid w:val="007035A6"/>
    <w:rsid w:val="00707AF6"/>
    <w:rsid w:val="00712F80"/>
    <w:rsid w:val="007142B5"/>
    <w:rsid w:val="007147DA"/>
    <w:rsid w:val="00717869"/>
    <w:rsid w:val="00724D54"/>
    <w:rsid w:val="00726BA8"/>
    <w:rsid w:val="00730120"/>
    <w:rsid w:val="00734744"/>
    <w:rsid w:val="0073639A"/>
    <w:rsid w:val="00737AF6"/>
    <w:rsid w:val="00742A70"/>
    <w:rsid w:val="007478B9"/>
    <w:rsid w:val="007510D1"/>
    <w:rsid w:val="0075595A"/>
    <w:rsid w:val="007620F0"/>
    <w:rsid w:val="00764EB5"/>
    <w:rsid w:val="00767DEB"/>
    <w:rsid w:val="007728D2"/>
    <w:rsid w:val="00772EC5"/>
    <w:rsid w:val="0077453A"/>
    <w:rsid w:val="00774D32"/>
    <w:rsid w:val="007811B9"/>
    <w:rsid w:val="00783984"/>
    <w:rsid w:val="007840E2"/>
    <w:rsid w:val="007859DD"/>
    <w:rsid w:val="0079022D"/>
    <w:rsid w:val="00791E0E"/>
    <w:rsid w:val="007948EC"/>
    <w:rsid w:val="0079541E"/>
    <w:rsid w:val="007A1585"/>
    <w:rsid w:val="007A4C7A"/>
    <w:rsid w:val="007A5EF7"/>
    <w:rsid w:val="007B3441"/>
    <w:rsid w:val="007B4214"/>
    <w:rsid w:val="007B76DE"/>
    <w:rsid w:val="007C06CD"/>
    <w:rsid w:val="007D2CE9"/>
    <w:rsid w:val="007E06B2"/>
    <w:rsid w:val="007E5C7D"/>
    <w:rsid w:val="007F0799"/>
    <w:rsid w:val="007F64F1"/>
    <w:rsid w:val="007F7A8F"/>
    <w:rsid w:val="00800DE8"/>
    <w:rsid w:val="00802F79"/>
    <w:rsid w:val="00803F0E"/>
    <w:rsid w:val="0081070C"/>
    <w:rsid w:val="008122B8"/>
    <w:rsid w:val="00814083"/>
    <w:rsid w:val="0081462D"/>
    <w:rsid w:val="0081695C"/>
    <w:rsid w:val="008254B6"/>
    <w:rsid w:val="008259CC"/>
    <w:rsid w:val="008300EE"/>
    <w:rsid w:val="008308E6"/>
    <w:rsid w:val="00837D27"/>
    <w:rsid w:val="00846817"/>
    <w:rsid w:val="0085021C"/>
    <w:rsid w:val="00851ACB"/>
    <w:rsid w:val="0085338B"/>
    <w:rsid w:val="008575D8"/>
    <w:rsid w:val="00861BB1"/>
    <w:rsid w:val="00862F66"/>
    <w:rsid w:val="00864EE9"/>
    <w:rsid w:val="0086587D"/>
    <w:rsid w:val="008721D9"/>
    <w:rsid w:val="0087259E"/>
    <w:rsid w:val="00875A12"/>
    <w:rsid w:val="0088092E"/>
    <w:rsid w:val="00885A45"/>
    <w:rsid w:val="008873A8"/>
    <w:rsid w:val="008919E5"/>
    <w:rsid w:val="0089433B"/>
    <w:rsid w:val="008956B6"/>
    <w:rsid w:val="00896099"/>
    <w:rsid w:val="008969EA"/>
    <w:rsid w:val="00896A80"/>
    <w:rsid w:val="008A0E61"/>
    <w:rsid w:val="008A6711"/>
    <w:rsid w:val="008A6EB4"/>
    <w:rsid w:val="008B015F"/>
    <w:rsid w:val="008B0C32"/>
    <w:rsid w:val="008B4A04"/>
    <w:rsid w:val="008B4F1E"/>
    <w:rsid w:val="008C098A"/>
    <w:rsid w:val="008C1DCF"/>
    <w:rsid w:val="008C2734"/>
    <w:rsid w:val="008C33CD"/>
    <w:rsid w:val="008C6461"/>
    <w:rsid w:val="008D73FE"/>
    <w:rsid w:val="008E078B"/>
    <w:rsid w:val="008E63FF"/>
    <w:rsid w:val="008F037F"/>
    <w:rsid w:val="008F1766"/>
    <w:rsid w:val="008F5C8A"/>
    <w:rsid w:val="008F7094"/>
    <w:rsid w:val="008F748B"/>
    <w:rsid w:val="00903BB6"/>
    <w:rsid w:val="0091318A"/>
    <w:rsid w:val="00914993"/>
    <w:rsid w:val="00915AF6"/>
    <w:rsid w:val="00916849"/>
    <w:rsid w:val="00922AD7"/>
    <w:rsid w:val="00922FD9"/>
    <w:rsid w:val="00932033"/>
    <w:rsid w:val="00936AAA"/>
    <w:rsid w:val="009425C8"/>
    <w:rsid w:val="00944822"/>
    <w:rsid w:val="009449A5"/>
    <w:rsid w:val="009559A0"/>
    <w:rsid w:val="00963410"/>
    <w:rsid w:val="0096746C"/>
    <w:rsid w:val="00970AC3"/>
    <w:rsid w:val="009729BD"/>
    <w:rsid w:val="009750D2"/>
    <w:rsid w:val="0097638B"/>
    <w:rsid w:val="009814C9"/>
    <w:rsid w:val="009848C4"/>
    <w:rsid w:val="00992D53"/>
    <w:rsid w:val="00992EC7"/>
    <w:rsid w:val="00997922"/>
    <w:rsid w:val="009A07BE"/>
    <w:rsid w:val="009A32DB"/>
    <w:rsid w:val="009A3303"/>
    <w:rsid w:val="009A4A06"/>
    <w:rsid w:val="009A6636"/>
    <w:rsid w:val="009A770C"/>
    <w:rsid w:val="009B0122"/>
    <w:rsid w:val="009B0DE1"/>
    <w:rsid w:val="009B1A51"/>
    <w:rsid w:val="009B2699"/>
    <w:rsid w:val="009B451B"/>
    <w:rsid w:val="009B5FE4"/>
    <w:rsid w:val="009C0D3A"/>
    <w:rsid w:val="009C6F1D"/>
    <w:rsid w:val="009D5037"/>
    <w:rsid w:val="009E29D8"/>
    <w:rsid w:val="009E480E"/>
    <w:rsid w:val="009E67F8"/>
    <w:rsid w:val="009F1C11"/>
    <w:rsid w:val="009F2519"/>
    <w:rsid w:val="009F27F4"/>
    <w:rsid w:val="009F3929"/>
    <w:rsid w:val="009F55CA"/>
    <w:rsid w:val="00A00E45"/>
    <w:rsid w:val="00A1066C"/>
    <w:rsid w:val="00A16AA8"/>
    <w:rsid w:val="00A2035D"/>
    <w:rsid w:val="00A203C6"/>
    <w:rsid w:val="00A207FF"/>
    <w:rsid w:val="00A224CC"/>
    <w:rsid w:val="00A26794"/>
    <w:rsid w:val="00A26ACC"/>
    <w:rsid w:val="00A33E97"/>
    <w:rsid w:val="00A456D0"/>
    <w:rsid w:val="00A463FB"/>
    <w:rsid w:val="00A47136"/>
    <w:rsid w:val="00A53354"/>
    <w:rsid w:val="00A54D20"/>
    <w:rsid w:val="00A6231C"/>
    <w:rsid w:val="00A633D3"/>
    <w:rsid w:val="00A63425"/>
    <w:rsid w:val="00A63C7D"/>
    <w:rsid w:val="00A6696B"/>
    <w:rsid w:val="00A7348B"/>
    <w:rsid w:val="00A76D91"/>
    <w:rsid w:val="00A8437C"/>
    <w:rsid w:val="00A84463"/>
    <w:rsid w:val="00A90613"/>
    <w:rsid w:val="00A92A0B"/>
    <w:rsid w:val="00A9556D"/>
    <w:rsid w:val="00A96AD9"/>
    <w:rsid w:val="00A97C93"/>
    <w:rsid w:val="00AA0A8B"/>
    <w:rsid w:val="00AA5DAA"/>
    <w:rsid w:val="00AB0598"/>
    <w:rsid w:val="00AB4BB2"/>
    <w:rsid w:val="00AB6A07"/>
    <w:rsid w:val="00AC056F"/>
    <w:rsid w:val="00AC0CE3"/>
    <w:rsid w:val="00AC686A"/>
    <w:rsid w:val="00AD1679"/>
    <w:rsid w:val="00AD765D"/>
    <w:rsid w:val="00AE224A"/>
    <w:rsid w:val="00AE4790"/>
    <w:rsid w:val="00AE48C0"/>
    <w:rsid w:val="00AE5D23"/>
    <w:rsid w:val="00AE7F17"/>
    <w:rsid w:val="00AF27A4"/>
    <w:rsid w:val="00AF299B"/>
    <w:rsid w:val="00AF4382"/>
    <w:rsid w:val="00B0234A"/>
    <w:rsid w:val="00B02B6E"/>
    <w:rsid w:val="00B0749C"/>
    <w:rsid w:val="00B12187"/>
    <w:rsid w:val="00B32F92"/>
    <w:rsid w:val="00B449B9"/>
    <w:rsid w:val="00B5042F"/>
    <w:rsid w:val="00B5269E"/>
    <w:rsid w:val="00B56675"/>
    <w:rsid w:val="00B56751"/>
    <w:rsid w:val="00B609AE"/>
    <w:rsid w:val="00B62BF4"/>
    <w:rsid w:val="00B632E7"/>
    <w:rsid w:val="00B701FF"/>
    <w:rsid w:val="00B73EC8"/>
    <w:rsid w:val="00B74608"/>
    <w:rsid w:val="00B74EFD"/>
    <w:rsid w:val="00B77076"/>
    <w:rsid w:val="00B827FA"/>
    <w:rsid w:val="00B90236"/>
    <w:rsid w:val="00B9045D"/>
    <w:rsid w:val="00B90F28"/>
    <w:rsid w:val="00B94599"/>
    <w:rsid w:val="00B966E1"/>
    <w:rsid w:val="00BA06C1"/>
    <w:rsid w:val="00BB3DA3"/>
    <w:rsid w:val="00BC20D4"/>
    <w:rsid w:val="00BC2DF9"/>
    <w:rsid w:val="00BC58F5"/>
    <w:rsid w:val="00BF42FD"/>
    <w:rsid w:val="00BF7C28"/>
    <w:rsid w:val="00C0400F"/>
    <w:rsid w:val="00C138C1"/>
    <w:rsid w:val="00C15B1F"/>
    <w:rsid w:val="00C2298F"/>
    <w:rsid w:val="00C23476"/>
    <w:rsid w:val="00C25A87"/>
    <w:rsid w:val="00C26B8A"/>
    <w:rsid w:val="00C3058B"/>
    <w:rsid w:val="00C31F07"/>
    <w:rsid w:val="00C33F24"/>
    <w:rsid w:val="00C366F4"/>
    <w:rsid w:val="00C37D07"/>
    <w:rsid w:val="00C4416A"/>
    <w:rsid w:val="00C47180"/>
    <w:rsid w:val="00C55212"/>
    <w:rsid w:val="00C5722A"/>
    <w:rsid w:val="00C60ABB"/>
    <w:rsid w:val="00C60D87"/>
    <w:rsid w:val="00C62F53"/>
    <w:rsid w:val="00C675AD"/>
    <w:rsid w:val="00C71FCD"/>
    <w:rsid w:val="00C84C2C"/>
    <w:rsid w:val="00C872A9"/>
    <w:rsid w:val="00C87D0D"/>
    <w:rsid w:val="00CA66CB"/>
    <w:rsid w:val="00CB0C87"/>
    <w:rsid w:val="00CB49EF"/>
    <w:rsid w:val="00CB5CBB"/>
    <w:rsid w:val="00CC451E"/>
    <w:rsid w:val="00CC4B36"/>
    <w:rsid w:val="00CC7D8E"/>
    <w:rsid w:val="00CD0186"/>
    <w:rsid w:val="00CE2BD6"/>
    <w:rsid w:val="00CF4144"/>
    <w:rsid w:val="00D0305E"/>
    <w:rsid w:val="00D05749"/>
    <w:rsid w:val="00D07C17"/>
    <w:rsid w:val="00D11C97"/>
    <w:rsid w:val="00D123D0"/>
    <w:rsid w:val="00D13282"/>
    <w:rsid w:val="00D1526E"/>
    <w:rsid w:val="00D16F4E"/>
    <w:rsid w:val="00D17F28"/>
    <w:rsid w:val="00D229F9"/>
    <w:rsid w:val="00D243CB"/>
    <w:rsid w:val="00D26556"/>
    <w:rsid w:val="00D2752D"/>
    <w:rsid w:val="00D3541E"/>
    <w:rsid w:val="00D36946"/>
    <w:rsid w:val="00D44E6E"/>
    <w:rsid w:val="00D50F84"/>
    <w:rsid w:val="00D57F00"/>
    <w:rsid w:val="00D658DE"/>
    <w:rsid w:val="00D67030"/>
    <w:rsid w:val="00D6767B"/>
    <w:rsid w:val="00D73BFC"/>
    <w:rsid w:val="00D74641"/>
    <w:rsid w:val="00D7526D"/>
    <w:rsid w:val="00D76C5A"/>
    <w:rsid w:val="00D82E11"/>
    <w:rsid w:val="00D83124"/>
    <w:rsid w:val="00D85280"/>
    <w:rsid w:val="00D85CD8"/>
    <w:rsid w:val="00D92803"/>
    <w:rsid w:val="00D94B2C"/>
    <w:rsid w:val="00D95B7A"/>
    <w:rsid w:val="00D9715E"/>
    <w:rsid w:val="00DA490A"/>
    <w:rsid w:val="00DA66AD"/>
    <w:rsid w:val="00DB112F"/>
    <w:rsid w:val="00DB2AAA"/>
    <w:rsid w:val="00DB4E3D"/>
    <w:rsid w:val="00DB5766"/>
    <w:rsid w:val="00DB7C6F"/>
    <w:rsid w:val="00DC10BB"/>
    <w:rsid w:val="00DC17E9"/>
    <w:rsid w:val="00DC3C72"/>
    <w:rsid w:val="00DC77AD"/>
    <w:rsid w:val="00DC7D8E"/>
    <w:rsid w:val="00DD76E0"/>
    <w:rsid w:val="00DE21A6"/>
    <w:rsid w:val="00DE4D0F"/>
    <w:rsid w:val="00DE5876"/>
    <w:rsid w:val="00DF351D"/>
    <w:rsid w:val="00DF4F79"/>
    <w:rsid w:val="00DF5AE1"/>
    <w:rsid w:val="00DF6798"/>
    <w:rsid w:val="00DF72DE"/>
    <w:rsid w:val="00E01F3C"/>
    <w:rsid w:val="00E023AE"/>
    <w:rsid w:val="00E05181"/>
    <w:rsid w:val="00E2453A"/>
    <w:rsid w:val="00E307BD"/>
    <w:rsid w:val="00E350F2"/>
    <w:rsid w:val="00E4695E"/>
    <w:rsid w:val="00E50224"/>
    <w:rsid w:val="00E6352D"/>
    <w:rsid w:val="00E66C82"/>
    <w:rsid w:val="00E70782"/>
    <w:rsid w:val="00E77E55"/>
    <w:rsid w:val="00E92A40"/>
    <w:rsid w:val="00E92F97"/>
    <w:rsid w:val="00E95E4A"/>
    <w:rsid w:val="00E961B3"/>
    <w:rsid w:val="00E9697F"/>
    <w:rsid w:val="00EA2531"/>
    <w:rsid w:val="00EA764C"/>
    <w:rsid w:val="00EB2193"/>
    <w:rsid w:val="00EB4502"/>
    <w:rsid w:val="00EB5D0E"/>
    <w:rsid w:val="00EC2C0A"/>
    <w:rsid w:val="00EC4746"/>
    <w:rsid w:val="00EC524C"/>
    <w:rsid w:val="00EC6AC4"/>
    <w:rsid w:val="00EF0512"/>
    <w:rsid w:val="00EF1A13"/>
    <w:rsid w:val="00F00DB9"/>
    <w:rsid w:val="00F037C5"/>
    <w:rsid w:val="00F0520B"/>
    <w:rsid w:val="00F060DA"/>
    <w:rsid w:val="00F06EC0"/>
    <w:rsid w:val="00F07AEB"/>
    <w:rsid w:val="00F07F3C"/>
    <w:rsid w:val="00F20634"/>
    <w:rsid w:val="00F21680"/>
    <w:rsid w:val="00F22E5D"/>
    <w:rsid w:val="00F27C8A"/>
    <w:rsid w:val="00F3448A"/>
    <w:rsid w:val="00F35BD7"/>
    <w:rsid w:val="00F40427"/>
    <w:rsid w:val="00F452C5"/>
    <w:rsid w:val="00F473FB"/>
    <w:rsid w:val="00F5059C"/>
    <w:rsid w:val="00F51899"/>
    <w:rsid w:val="00F52626"/>
    <w:rsid w:val="00F53302"/>
    <w:rsid w:val="00F57DF1"/>
    <w:rsid w:val="00F6371C"/>
    <w:rsid w:val="00F65AA0"/>
    <w:rsid w:val="00F826B1"/>
    <w:rsid w:val="00F8272A"/>
    <w:rsid w:val="00F845C7"/>
    <w:rsid w:val="00F84A7D"/>
    <w:rsid w:val="00F85B18"/>
    <w:rsid w:val="00F86692"/>
    <w:rsid w:val="00F943B4"/>
    <w:rsid w:val="00F95CE0"/>
    <w:rsid w:val="00FA1CB5"/>
    <w:rsid w:val="00FB5E50"/>
    <w:rsid w:val="00FC290B"/>
    <w:rsid w:val="00FC3375"/>
    <w:rsid w:val="00FD33DD"/>
    <w:rsid w:val="00FD5DBE"/>
    <w:rsid w:val="00FE1DDC"/>
    <w:rsid w:val="00FE5F7A"/>
    <w:rsid w:val="00FF2BC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A1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annotation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C2"/>
    <w:pPr>
      <w:widowControl w:val="0"/>
      <w:spacing w:after="0" w:line="240" w:lineRule="auto"/>
      <w:jc w:val="both"/>
    </w:pPr>
    <w:rPr>
      <w:rFonts w:ascii="Arial" w:eastAsia="Times New Roman" w:hAnsi="Arial" w:cs="Arial"/>
      <w:snapToGrid w:val="0"/>
      <w:szCs w:val="20"/>
      <w:lang w:eastAsia="en-US"/>
    </w:rPr>
  </w:style>
  <w:style w:type="paragraph" w:styleId="Heading1">
    <w:name w:val="heading 1"/>
    <w:basedOn w:val="Normal"/>
    <w:next w:val="Normal"/>
    <w:link w:val="Heading1Char"/>
    <w:qFormat/>
    <w:rsid w:val="00666194"/>
    <w:pPr>
      <w:ind w:left="720" w:hanging="720"/>
      <w:outlineLvl w:val="0"/>
    </w:pPr>
    <w:rPr>
      <w:rFonts w:ascii="Arial Bold" w:hAnsi="Arial Bold"/>
      <w:b/>
      <w:caps/>
    </w:rPr>
  </w:style>
  <w:style w:type="paragraph" w:styleId="Heading2">
    <w:name w:val="heading 2"/>
    <w:basedOn w:val="Normal"/>
    <w:next w:val="Normal"/>
    <w:link w:val="Heading2Char"/>
    <w:qFormat/>
    <w:rsid w:val="00666194"/>
    <w:pPr>
      <w:outlineLvl w:val="1"/>
    </w:pPr>
    <w:rPr>
      <w:b/>
    </w:rPr>
  </w:style>
  <w:style w:type="paragraph" w:styleId="Heading3">
    <w:name w:val="heading 3"/>
    <w:basedOn w:val="Normal"/>
    <w:next w:val="Normal"/>
    <w:link w:val="Heading3Char"/>
    <w:qFormat/>
    <w:rsid w:val="00666194"/>
    <w:pPr>
      <w:outlineLvl w:val="2"/>
    </w:pPr>
    <w:rPr>
      <w:u w:val="single"/>
    </w:rPr>
  </w:style>
  <w:style w:type="paragraph" w:styleId="Heading4">
    <w:name w:val="heading 4"/>
    <w:basedOn w:val="Normal"/>
    <w:next w:val="Normal"/>
    <w:link w:val="Heading4Char"/>
    <w:rsid w:val="00666194"/>
    <w:pPr>
      <w:keepNext/>
      <w:spacing w:before="240" w:after="60"/>
      <w:outlineLvl w:val="3"/>
    </w:pPr>
    <w:rPr>
      <w:b/>
      <w:bCs/>
      <w:i/>
      <w:sz w:val="26"/>
      <w:szCs w:val="28"/>
    </w:rPr>
  </w:style>
  <w:style w:type="paragraph" w:styleId="Heading5">
    <w:name w:val="heading 5"/>
    <w:basedOn w:val="Normal"/>
    <w:next w:val="Normal"/>
    <w:link w:val="Heading5Char"/>
    <w:rsid w:val="00666194"/>
    <w:pPr>
      <w:spacing w:before="240" w:after="60"/>
      <w:outlineLvl w:val="4"/>
    </w:pPr>
    <w:rPr>
      <w:b/>
      <w:bCs/>
      <w:iCs/>
      <w:sz w:val="26"/>
      <w:szCs w:val="26"/>
    </w:rPr>
  </w:style>
  <w:style w:type="paragraph" w:styleId="Heading6">
    <w:name w:val="heading 6"/>
    <w:basedOn w:val="Normal"/>
    <w:next w:val="Normal"/>
    <w:link w:val="Heading6Char"/>
    <w:rsid w:val="00666194"/>
    <w:pPr>
      <w:spacing w:before="240" w:after="60"/>
      <w:outlineLvl w:val="5"/>
    </w:pPr>
    <w:rPr>
      <w:b/>
      <w:bCs/>
      <w:i/>
      <w:szCs w:val="22"/>
    </w:rPr>
  </w:style>
  <w:style w:type="paragraph" w:styleId="Heading7">
    <w:name w:val="heading 7"/>
    <w:basedOn w:val="Normal"/>
    <w:next w:val="Normal"/>
    <w:link w:val="Heading7Char"/>
    <w:rsid w:val="00666194"/>
    <w:pPr>
      <w:keepNext/>
      <w:jc w:val="center"/>
      <w:outlineLvl w:val="6"/>
    </w:pPr>
    <w:rPr>
      <w:b/>
      <w:sz w:val="20"/>
    </w:rPr>
  </w:style>
  <w:style w:type="paragraph" w:styleId="Heading8">
    <w:name w:val="heading 8"/>
    <w:basedOn w:val="Normal"/>
    <w:next w:val="Normal"/>
    <w:link w:val="Heading8Char"/>
    <w:rsid w:val="00666194"/>
    <w:pPr>
      <w:keepNext/>
      <w:jc w:val="right"/>
      <w:outlineLvl w:val="7"/>
    </w:pPr>
    <w:rPr>
      <w:b/>
    </w:rPr>
  </w:style>
  <w:style w:type="paragraph" w:styleId="Heading9">
    <w:name w:val="heading 9"/>
    <w:basedOn w:val="Normal"/>
    <w:next w:val="Normal"/>
    <w:link w:val="Heading9Char"/>
    <w:rsid w:val="00666194"/>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194"/>
    <w:rPr>
      <w:rFonts w:ascii="Arial Bold" w:eastAsia="Times New Roman" w:hAnsi="Arial Bold" w:cs="Arial"/>
      <w:b/>
      <w:caps/>
      <w:snapToGrid w:val="0"/>
      <w:szCs w:val="20"/>
      <w:lang w:eastAsia="en-US"/>
    </w:rPr>
  </w:style>
  <w:style w:type="character" w:customStyle="1" w:styleId="Heading2Char">
    <w:name w:val="Heading 2 Char"/>
    <w:basedOn w:val="DefaultParagraphFont"/>
    <w:link w:val="Heading2"/>
    <w:uiPriority w:val="9"/>
    <w:rsid w:val="00666194"/>
    <w:rPr>
      <w:rFonts w:ascii="Arial" w:eastAsia="Times New Roman" w:hAnsi="Arial" w:cs="Arial"/>
      <w:b/>
      <w:snapToGrid w:val="0"/>
      <w:szCs w:val="20"/>
      <w:lang w:eastAsia="en-US"/>
    </w:rPr>
  </w:style>
  <w:style w:type="character" w:customStyle="1" w:styleId="Heading3Char">
    <w:name w:val="Heading 3 Char"/>
    <w:basedOn w:val="DefaultParagraphFont"/>
    <w:link w:val="Heading3"/>
    <w:rsid w:val="00666194"/>
    <w:rPr>
      <w:rFonts w:ascii="Arial" w:eastAsia="Times New Roman" w:hAnsi="Arial" w:cs="Arial"/>
      <w:snapToGrid w:val="0"/>
      <w:szCs w:val="20"/>
      <w:u w:val="single"/>
      <w:lang w:eastAsia="en-US"/>
    </w:rPr>
  </w:style>
  <w:style w:type="character" w:customStyle="1" w:styleId="Heading4Char">
    <w:name w:val="Heading 4 Char"/>
    <w:basedOn w:val="DefaultParagraphFont"/>
    <w:link w:val="Heading4"/>
    <w:rsid w:val="00666194"/>
    <w:rPr>
      <w:rFonts w:ascii="Arial" w:eastAsia="Times New Roman" w:hAnsi="Arial" w:cs="Arial"/>
      <w:b/>
      <w:bCs/>
      <w:i/>
      <w:snapToGrid w:val="0"/>
      <w:sz w:val="26"/>
      <w:szCs w:val="28"/>
      <w:lang w:eastAsia="en-US"/>
    </w:rPr>
  </w:style>
  <w:style w:type="character" w:customStyle="1" w:styleId="Heading5Char">
    <w:name w:val="Heading 5 Char"/>
    <w:basedOn w:val="DefaultParagraphFont"/>
    <w:link w:val="Heading5"/>
    <w:rsid w:val="00666194"/>
    <w:rPr>
      <w:rFonts w:ascii="Arial" w:eastAsia="Times New Roman" w:hAnsi="Arial" w:cs="Arial"/>
      <w:b/>
      <w:bCs/>
      <w:iCs/>
      <w:snapToGrid w:val="0"/>
      <w:sz w:val="26"/>
      <w:szCs w:val="26"/>
      <w:lang w:eastAsia="en-US"/>
    </w:rPr>
  </w:style>
  <w:style w:type="character" w:customStyle="1" w:styleId="Heading6Char">
    <w:name w:val="Heading 6 Char"/>
    <w:basedOn w:val="DefaultParagraphFont"/>
    <w:link w:val="Heading6"/>
    <w:rsid w:val="00666194"/>
    <w:rPr>
      <w:rFonts w:ascii="Arial" w:eastAsia="Times New Roman" w:hAnsi="Arial" w:cs="Arial"/>
      <w:b/>
      <w:bCs/>
      <w:i/>
      <w:snapToGrid w:val="0"/>
      <w:lang w:eastAsia="en-US"/>
    </w:rPr>
  </w:style>
  <w:style w:type="character" w:customStyle="1" w:styleId="Heading7Char">
    <w:name w:val="Heading 7 Char"/>
    <w:basedOn w:val="DefaultParagraphFont"/>
    <w:link w:val="Heading7"/>
    <w:rsid w:val="00666194"/>
    <w:rPr>
      <w:rFonts w:ascii="Arial" w:eastAsia="Times New Roman" w:hAnsi="Arial" w:cs="Arial"/>
      <w:b/>
      <w:snapToGrid w:val="0"/>
      <w:sz w:val="20"/>
      <w:szCs w:val="20"/>
      <w:lang w:eastAsia="en-US"/>
    </w:rPr>
  </w:style>
  <w:style w:type="character" w:customStyle="1" w:styleId="Heading8Char">
    <w:name w:val="Heading 8 Char"/>
    <w:basedOn w:val="DefaultParagraphFont"/>
    <w:link w:val="Heading8"/>
    <w:rsid w:val="00666194"/>
    <w:rPr>
      <w:rFonts w:ascii="Arial" w:eastAsia="Times New Roman" w:hAnsi="Arial" w:cs="Arial"/>
      <w:b/>
      <w:snapToGrid w:val="0"/>
      <w:szCs w:val="20"/>
      <w:lang w:eastAsia="en-US"/>
    </w:rPr>
  </w:style>
  <w:style w:type="character" w:customStyle="1" w:styleId="Heading9Char">
    <w:name w:val="Heading 9 Char"/>
    <w:basedOn w:val="DefaultParagraphFont"/>
    <w:link w:val="Heading9"/>
    <w:rsid w:val="00666194"/>
    <w:rPr>
      <w:rFonts w:ascii="Arial" w:eastAsia="Times New Roman" w:hAnsi="Arial" w:cs="Arial"/>
      <w:b/>
      <w:snapToGrid w:val="0"/>
      <w:color w:val="000000"/>
      <w:sz w:val="20"/>
      <w:szCs w:val="20"/>
      <w:lang w:eastAsia="en-US"/>
    </w:rPr>
  </w:style>
  <w:style w:type="paragraph" w:customStyle="1" w:styleId="TableFooter">
    <w:name w:val="Table Footer"/>
    <w:basedOn w:val="Normal"/>
    <w:qFormat/>
    <w:rsid w:val="00666194"/>
    <w:rPr>
      <w:rFonts w:ascii="Arial Narrow" w:hAnsi="Arial Narrow"/>
      <w:sz w:val="18"/>
    </w:rPr>
  </w:style>
  <w:style w:type="paragraph" w:customStyle="1" w:styleId="TableHeader">
    <w:name w:val="Table Header"/>
    <w:basedOn w:val="Normal"/>
    <w:rsid w:val="00666194"/>
    <w:rPr>
      <w:b/>
      <w:sz w:val="20"/>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IB Caption"/>
    <w:basedOn w:val="Normal"/>
    <w:next w:val="Normal"/>
    <w:link w:val="CaptionChar"/>
    <w:unhideWhenUsed/>
    <w:qFormat/>
    <w:rsid w:val="00666194"/>
    <w:pPr>
      <w:spacing w:after="200"/>
    </w:pPr>
    <w:rPr>
      <w:b/>
      <w:bCs/>
      <w:color w:val="4F81BD" w:themeColor="accent1"/>
      <w:sz w:val="18"/>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IB Caption Char"/>
    <w:link w:val="Caption"/>
    <w:rsid w:val="00666194"/>
    <w:rPr>
      <w:rFonts w:ascii="Arial" w:eastAsia="Times New Roman" w:hAnsi="Arial" w:cs="Arial"/>
      <w:b/>
      <w:bCs/>
      <w:snapToGrid w:val="0"/>
      <w:color w:val="4F81BD" w:themeColor="accent1"/>
      <w:sz w:val="18"/>
      <w:szCs w:val="18"/>
      <w:lang w:eastAsia="en-US"/>
    </w:rPr>
  </w:style>
  <w:style w:type="paragraph" w:styleId="Title">
    <w:name w:val="Title"/>
    <w:basedOn w:val="Normal"/>
    <w:next w:val="Normal"/>
    <w:link w:val="TitleChar"/>
    <w:rsid w:val="006661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194"/>
    <w:rPr>
      <w:rFonts w:ascii="Cambria" w:eastAsia="Times New Roman" w:hAnsi="Cambria" w:cs="Arial"/>
      <w:b/>
      <w:bCs/>
      <w:snapToGrid w:val="0"/>
      <w:kern w:val="28"/>
      <w:sz w:val="32"/>
      <w:szCs w:val="32"/>
      <w:lang w:eastAsia="en-US"/>
    </w:rPr>
  </w:style>
  <w:style w:type="paragraph" w:styleId="BodyText">
    <w:name w:val="Body Text"/>
    <w:basedOn w:val="Normal"/>
    <w:link w:val="BodyTextChar"/>
    <w:qFormat/>
    <w:rsid w:val="00666194"/>
    <w:pPr>
      <w:jc w:val="left"/>
    </w:pPr>
  </w:style>
  <w:style w:type="character" w:customStyle="1" w:styleId="BodyTextChar">
    <w:name w:val="Body Text Char"/>
    <w:basedOn w:val="DefaultParagraphFont"/>
    <w:link w:val="BodyText"/>
    <w:rsid w:val="00666194"/>
    <w:rPr>
      <w:rFonts w:ascii="Arial" w:eastAsia="Times New Roman" w:hAnsi="Arial" w:cs="Arial"/>
      <w:snapToGrid w:val="0"/>
      <w:szCs w:val="20"/>
      <w:lang w:eastAsia="en-US"/>
    </w:rPr>
  </w:style>
  <w:style w:type="paragraph" w:styleId="ListParagraph">
    <w:name w:val="List Paragraph"/>
    <w:basedOn w:val="Normal"/>
    <w:link w:val="ListParagraphChar"/>
    <w:uiPriority w:val="34"/>
    <w:qFormat/>
    <w:rsid w:val="00666194"/>
    <w:pPr>
      <w:ind w:left="720"/>
      <w:contextualSpacing/>
    </w:pPr>
  </w:style>
  <w:style w:type="paragraph" w:customStyle="1" w:styleId="RegularText">
    <w:name w:val="Regular Text"/>
    <w:basedOn w:val="BodyText"/>
    <w:link w:val="RegularTextChar"/>
    <w:rsid w:val="00666194"/>
    <w:rPr>
      <w:b/>
    </w:rPr>
  </w:style>
  <w:style w:type="paragraph" w:styleId="NoSpacing">
    <w:name w:val="No Spacing"/>
    <w:uiPriority w:val="1"/>
    <w:qFormat/>
    <w:rsid w:val="00666194"/>
    <w:pPr>
      <w:widowControl w:val="0"/>
      <w:spacing w:after="0" w:line="240" w:lineRule="auto"/>
      <w:jc w:val="both"/>
    </w:pPr>
    <w:rPr>
      <w:rFonts w:ascii="Arial" w:eastAsia="Times New Roman" w:hAnsi="Arial" w:cs="Arial"/>
      <w:snapToGrid w:val="0"/>
      <w:szCs w:val="20"/>
      <w:lang w:eastAsia="en-US"/>
    </w:rPr>
  </w:style>
  <w:style w:type="character" w:customStyle="1" w:styleId="RegularTextChar">
    <w:name w:val="Regular Text Char"/>
    <w:basedOn w:val="BodyTextChar"/>
    <w:link w:val="RegularText"/>
    <w:rsid w:val="00666194"/>
    <w:rPr>
      <w:rFonts w:ascii="Arial" w:eastAsia="Times New Roman" w:hAnsi="Arial" w:cs="Arial"/>
      <w:b/>
      <w:snapToGrid w:val="0"/>
      <w:szCs w:val="20"/>
      <w:lang w:eastAsia="en-US"/>
    </w:rPr>
  </w:style>
  <w:style w:type="paragraph" w:styleId="Header">
    <w:name w:val="header"/>
    <w:aliases w:val="Page Header,Header title,he=header,cntr/bld"/>
    <w:basedOn w:val="Normal"/>
    <w:link w:val="HeaderChar"/>
    <w:uiPriority w:val="99"/>
    <w:rsid w:val="0066619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66194"/>
    <w:rPr>
      <w:rFonts w:ascii="Arial" w:eastAsia="Times New Roman" w:hAnsi="Arial" w:cs="Arial"/>
      <w:snapToGrid w:val="0"/>
      <w:szCs w:val="20"/>
      <w:lang w:eastAsia="en-US"/>
    </w:rPr>
  </w:style>
  <w:style w:type="paragraph" w:styleId="Footer">
    <w:name w:val="footer"/>
    <w:basedOn w:val="Normal"/>
    <w:link w:val="FooterChar"/>
    <w:uiPriority w:val="99"/>
    <w:rsid w:val="00666194"/>
    <w:pPr>
      <w:tabs>
        <w:tab w:val="center" w:pos="4513"/>
        <w:tab w:val="right" w:pos="9026"/>
      </w:tabs>
    </w:pPr>
  </w:style>
  <w:style w:type="character" w:customStyle="1" w:styleId="FooterChar">
    <w:name w:val="Footer Char"/>
    <w:basedOn w:val="DefaultParagraphFont"/>
    <w:link w:val="Footer"/>
    <w:uiPriority w:val="99"/>
    <w:rsid w:val="00666194"/>
    <w:rPr>
      <w:rFonts w:ascii="Arial" w:eastAsia="Times New Roman" w:hAnsi="Arial" w:cs="Arial"/>
      <w:snapToGrid w:val="0"/>
      <w:szCs w:val="20"/>
      <w:lang w:eastAsia="en-US"/>
    </w:rPr>
  </w:style>
  <w:style w:type="table" w:styleId="TableGrid">
    <w:name w:val="Table Grid"/>
    <w:aliases w:val="CMA Table Template,Table Gridbeth,Summary box"/>
    <w:basedOn w:val="TableNormal"/>
    <w:uiPriority w:val="59"/>
    <w:rsid w:val="0066619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66194"/>
    <w:rPr>
      <w:rFonts w:ascii="Arial Narrow" w:hAnsi="Arial Narrow"/>
      <w:b/>
      <w:sz w:val="20"/>
      <w:szCs w:val="16"/>
    </w:rPr>
  </w:style>
  <w:style w:type="paragraph" w:customStyle="1" w:styleId="Tabletext">
    <w:name w:val="Table text"/>
    <w:basedOn w:val="Normal"/>
    <w:link w:val="TabletextChar"/>
    <w:rsid w:val="00666194"/>
    <w:pPr>
      <w:widowControl/>
      <w:spacing w:after="120"/>
      <w:jc w:val="left"/>
    </w:pPr>
    <w:rPr>
      <w:rFonts w:cs="Times New Roman"/>
      <w:snapToGrid/>
      <w:sz w:val="20"/>
    </w:rPr>
  </w:style>
  <w:style w:type="paragraph" w:customStyle="1" w:styleId="TableHeading">
    <w:name w:val="TableHeading"/>
    <w:basedOn w:val="Normal"/>
    <w:rsid w:val="00666194"/>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666194"/>
    <w:rPr>
      <w:rFonts w:ascii="Arial" w:eastAsia="Times New Roman" w:hAnsi="Arial" w:cs="Times New Roman"/>
      <w:sz w:val="20"/>
      <w:szCs w:val="20"/>
      <w:lang w:eastAsia="en-US"/>
    </w:rPr>
  </w:style>
  <w:style w:type="paragraph" w:customStyle="1" w:styleId="Corpsdetextemarge">
    <w:name w:val="Corps de texte marge"/>
    <w:basedOn w:val="BodyText"/>
    <w:uiPriority w:val="99"/>
    <w:rsid w:val="00666194"/>
    <w:pPr>
      <w:widowControl/>
      <w:jc w:val="both"/>
    </w:pPr>
    <w:rPr>
      <w:rFonts w:ascii="Times" w:hAnsi="Times" w:cs="Times New Roman"/>
      <w:snapToGrid/>
      <w:sz w:val="24"/>
      <w:lang w:val="en-US"/>
    </w:rPr>
  </w:style>
  <w:style w:type="paragraph" w:styleId="NormalWeb">
    <w:name w:val="Normal (Web)"/>
    <w:basedOn w:val="Normal"/>
    <w:uiPriority w:val="99"/>
    <w:rsid w:val="00666194"/>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66194"/>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666194"/>
    <w:pPr>
      <w:spacing w:before="240" w:after="120"/>
      <w:jc w:val="left"/>
    </w:pPr>
    <w:rPr>
      <w:bCs/>
      <w:sz w:val="20"/>
    </w:rPr>
  </w:style>
  <w:style w:type="character" w:styleId="Hyperlink">
    <w:name w:val="Hyperlink"/>
    <w:basedOn w:val="DefaultParagraphFont"/>
    <w:uiPriority w:val="99"/>
    <w:unhideWhenUsed/>
    <w:rsid w:val="00666194"/>
    <w:rPr>
      <w:color w:val="0000FF" w:themeColor="hyperlink"/>
      <w:u w:val="single"/>
    </w:rPr>
  </w:style>
  <w:style w:type="paragraph" w:styleId="TOCHeading">
    <w:name w:val="TOC Heading"/>
    <w:basedOn w:val="Heading1"/>
    <w:next w:val="Normal"/>
    <w:uiPriority w:val="39"/>
    <w:unhideWhenUsed/>
    <w:rsid w:val="0066619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666194"/>
    <w:pPr>
      <w:ind w:left="440"/>
      <w:jc w:val="left"/>
    </w:pPr>
    <w:rPr>
      <w:rFonts w:asciiTheme="minorHAnsi" w:hAnsiTheme="minorHAnsi"/>
      <w:sz w:val="20"/>
    </w:rPr>
  </w:style>
  <w:style w:type="paragraph" w:styleId="BalloonText">
    <w:name w:val="Balloon Text"/>
    <w:basedOn w:val="Normal"/>
    <w:link w:val="BalloonTextChar"/>
    <w:rsid w:val="00666194"/>
    <w:rPr>
      <w:rFonts w:ascii="Tahoma" w:hAnsi="Tahoma" w:cs="Tahoma"/>
      <w:sz w:val="16"/>
      <w:szCs w:val="16"/>
    </w:rPr>
  </w:style>
  <w:style w:type="character" w:customStyle="1" w:styleId="BalloonTextChar">
    <w:name w:val="Balloon Text Char"/>
    <w:basedOn w:val="DefaultParagraphFont"/>
    <w:link w:val="BalloonText"/>
    <w:rsid w:val="00666194"/>
    <w:rPr>
      <w:rFonts w:ascii="Tahoma" w:eastAsia="Times New Roman" w:hAnsi="Tahoma" w:cs="Tahoma"/>
      <w:snapToGrid w:val="0"/>
      <w:sz w:val="16"/>
      <w:szCs w:val="16"/>
      <w:lang w:eastAsia="en-US"/>
    </w:rPr>
  </w:style>
  <w:style w:type="paragraph" w:styleId="BodyText3">
    <w:name w:val="Body Text 3"/>
    <w:basedOn w:val="Normal"/>
    <w:link w:val="BodyText3Char"/>
    <w:rsid w:val="00666194"/>
    <w:pPr>
      <w:spacing w:after="120"/>
    </w:pPr>
    <w:rPr>
      <w:sz w:val="16"/>
      <w:szCs w:val="16"/>
    </w:rPr>
  </w:style>
  <w:style w:type="character" w:customStyle="1" w:styleId="BodyText3Char">
    <w:name w:val="Body Text 3 Char"/>
    <w:basedOn w:val="DefaultParagraphFont"/>
    <w:link w:val="BodyText3"/>
    <w:rsid w:val="00666194"/>
    <w:rPr>
      <w:rFonts w:ascii="Arial" w:eastAsia="Times New Roman" w:hAnsi="Arial" w:cs="Arial"/>
      <w:snapToGrid w:val="0"/>
      <w:sz w:val="16"/>
      <w:szCs w:val="16"/>
      <w:lang w:eastAsia="en-US"/>
    </w:rPr>
  </w:style>
  <w:style w:type="paragraph" w:styleId="TOC4">
    <w:name w:val="toc 4"/>
    <w:basedOn w:val="Normal"/>
    <w:next w:val="Normal"/>
    <w:autoRedefine/>
    <w:rsid w:val="00666194"/>
    <w:pPr>
      <w:ind w:left="660"/>
      <w:jc w:val="left"/>
    </w:pPr>
    <w:rPr>
      <w:rFonts w:asciiTheme="minorHAnsi" w:hAnsiTheme="minorHAnsi"/>
      <w:sz w:val="20"/>
    </w:rPr>
  </w:style>
  <w:style w:type="paragraph" w:styleId="TOC5">
    <w:name w:val="toc 5"/>
    <w:basedOn w:val="Normal"/>
    <w:next w:val="Normal"/>
    <w:autoRedefine/>
    <w:rsid w:val="00666194"/>
    <w:pPr>
      <w:ind w:left="880"/>
      <w:jc w:val="left"/>
    </w:pPr>
    <w:rPr>
      <w:rFonts w:asciiTheme="minorHAnsi" w:hAnsiTheme="minorHAnsi"/>
      <w:sz w:val="20"/>
    </w:rPr>
  </w:style>
  <w:style w:type="paragraph" w:styleId="TOC6">
    <w:name w:val="toc 6"/>
    <w:basedOn w:val="Normal"/>
    <w:next w:val="Normal"/>
    <w:autoRedefine/>
    <w:rsid w:val="00666194"/>
    <w:pPr>
      <w:ind w:left="1100"/>
      <w:jc w:val="left"/>
    </w:pPr>
    <w:rPr>
      <w:rFonts w:asciiTheme="minorHAnsi" w:hAnsiTheme="minorHAnsi"/>
      <w:sz w:val="20"/>
    </w:rPr>
  </w:style>
  <w:style w:type="paragraph" w:styleId="TOC7">
    <w:name w:val="toc 7"/>
    <w:basedOn w:val="Normal"/>
    <w:next w:val="Normal"/>
    <w:autoRedefine/>
    <w:rsid w:val="00666194"/>
    <w:pPr>
      <w:ind w:left="1320"/>
      <w:jc w:val="left"/>
    </w:pPr>
    <w:rPr>
      <w:rFonts w:asciiTheme="minorHAnsi" w:hAnsiTheme="minorHAnsi"/>
      <w:sz w:val="20"/>
    </w:rPr>
  </w:style>
  <w:style w:type="paragraph" w:styleId="TOC8">
    <w:name w:val="toc 8"/>
    <w:basedOn w:val="Normal"/>
    <w:next w:val="Normal"/>
    <w:autoRedefine/>
    <w:rsid w:val="00666194"/>
    <w:pPr>
      <w:ind w:left="1540"/>
      <w:jc w:val="left"/>
    </w:pPr>
    <w:rPr>
      <w:rFonts w:asciiTheme="minorHAnsi" w:hAnsiTheme="minorHAnsi"/>
      <w:sz w:val="20"/>
    </w:rPr>
  </w:style>
  <w:style w:type="paragraph" w:styleId="TOC9">
    <w:name w:val="toc 9"/>
    <w:basedOn w:val="Normal"/>
    <w:next w:val="Normal"/>
    <w:autoRedefine/>
    <w:rsid w:val="00666194"/>
    <w:pPr>
      <w:ind w:left="1760"/>
      <w:jc w:val="left"/>
    </w:pPr>
    <w:rPr>
      <w:rFonts w:asciiTheme="minorHAnsi" w:hAnsiTheme="minorHAnsi"/>
      <w:sz w:val="20"/>
    </w:rPr>
  </w:style>
  <w:style w:type="paragraph" w:styleId="BodyText2">
    <w:name w:val="Body Text 2"/>
    <w:basedOn w:val="Normal"/>
    <w:link w:val="BodyText2Char"/>
    <w:rsid w:val="00666194"/>
    <w:pPr>
      <w:spacing w:after="120" w:line="480" w:lineRule="auto"/>
    </w:pPr>
  </w:style>
  <w:style w:type="character" w:customStyle="1" w:styleId="BodyText2Char">
    <w:name w:val="Body Text 2 Char"/>
    <w:basedOn w:val="DefaultParagraphFont"/>
    <w:link w:val="BodyText2"/>
    <w:rsid w:val="00666194"/>
    <w:rPr>
      <w:rFonts w:ascii="Arial" w:eastAsia="Times New Roman" w:hAnsi="Arial" w:cs="Arial"/>
      <w:snapToGrid w:val="0"/>
      <w:szCs w:val="20"/>
      <w:lang w:eastAsia="en-US"/>
    </w:rPr>
  </w:style>
  <w:style w:type="paragraph" w:styleId="CommentText">
    <w:name w:val="annotation text"/>
    <w:basedOn w:val="Normal"/>
    <w:link w:val="CommentTextChar"/>
    <w:uiPriority w:val="99"/>
    <w:rsid w:val="00666194"/>
    <w:rPr>
      <w:rFonts w:ascii="Times New Roman" w:hAnsi="Times New Roman" w:cs="Times New Roman"/>
      <w:sz w:val="20"/>
    </w:rPr>
  </w:style>
  <w:style w:type="character" w:customStyle="1" w:styleId="CommentTextChar">
    <w:name w:val="Comment Text Char"/>
    <w:basedOn w:val="DefaultParagraphFont"/>
    <w:link w:val="CommentText"/>
    <w:uiPriority w:val="99"/>
    <w:rsid w:val="00666194"/>
    <w:rPr>
      <w:rFonts w:ascii="Times New Roman" w:eastAsia="Times New Roman" w:hAnsi="Times New Roman" w:cs="Times New Roman"/>
      <w:snapToGrid w:val="0"/>
      <w:sz w:val="20"/>
      <w:szCs w:val="20"/>
      <w:lang w:eastAsia="en-US"/>
    </w:rPr>
  </w:style>
  <w:style w:type="paragraph" w:customStyle="1" w:styleId="TableText0">
    <w:name w:val="TableText"/>
    <w:basedOn w:val="Normal"/>
    <w:rsid w:val="00666194"/>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666194"/>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666194"/>
    <w:pPr>
      <w:keepNext w:val="0"/>
      <w:keepLines/>
      <w:spacing w:before="0" w:after="360"/>
      <w:ind w:left="720"/>
    </w:pPr>
    <w:rPr>
      <w:sz w:val="18"/>
      <w:szCs w:val="18"/>
    </w:rPr>
  </w:style>
  <w:style w:type="paragraph" w:customStyle="1" w:styleId="TableNotes0">
    <w:name w:val="TableNotes+0"/>
    <w:basedOn w:val="TableNotes18"/>
    <w:rsid w:val="00666194"/>
    <w:pPr>
      <w:keepNext/>
      <w:spacing w:after="0"/>
    </w:pPr>
  </w:style>
  <w:style w:type="paragraph" w:styleId="CommentSubject">
    <w:name w:val="annotation subject"/>
    <w:basedOn w:val="CommentText"/>
    <w:next w:val="CommentText"/>
    <w:link w:val="CommentSubjectChar"/>
    <w:rsid w:val="00666194"/>
    <w:rPr>
      <w:rFonts w:ascii="Arial" w:hAnsi="Arial" w:cs="Arial"/>
      <w:b/>
      <w:bCs/>
    </w:rPr>
  </w:style>
  <w:style w:type="character" w:customStyle="1" w:styleId="CommentSubjectChar">
    <w:name w:val="Comment Subject Char"/>
    <w:basedOn w:val="CommentTextChar"/>
    <w:link w:val="CommentSubject"/>
    <w:rsid w:val="00666194"/>
    <w:rPr>
      <w:rFonts w:ascii="Arial" w:eastAsia="Times New Roman" w:hAnsi="Arial" w:cs="Arial"/>
      <w:b/>
      <w:bCs/>
      <w:snapToGrid w:val="0"/>
      <w:sz w:val="20"/>
      <w:szCs w:val="20"/>
      <w:lang w:eastAsia="en-US"/>
    </w:rPr>
  </w:style>
  <w:style w:type="paragraph" w:styleId="Revision">
    <w:name w:val="Revision"/>
    <w:hidden/>
    <w:uiPriority w:val="99"/>
    <w:semiHidden/>
    <w:rsid w:val="00666194"/>
    <w:pPr>
      <w:spacing w:after="0" w:line="240" w:lineRule="auto"/>
    </w:pPr>
    <w:rPr>
      <w:rFonts w:ascii="Arial" w:eastAsia="Times New Roman" w:hAnsi="Arial" w:cs="Arial"/>
      <w:snapToGrid w:val="0"/>
      <w:szCs w:val="20"/>
      <w:lang w:eastAsia="en-US"/>
    </w:rPr>
  </w:style>
  <w:style w:type="paragraph" w:styleId="BodyTextIndent">
    <w:name w:val="Body Text Indent"/>
    <w:basedOn w:val="Normal"/>
    <w:link w:val="BodyTextIndentChar"/>
    <w:rsid w:val="00666194"/>
    <w:pPr>
      <w:spacing w:after="120"/>
      <w:ind w:left="283"/>
    </w:pPr>
  </w:style>
  <w:style w:type="character" w:customStyle="1" w:styleId="BodyTextIndentChar">
    <w:name w:val="Body Text Indent Char"/>
    <w:basedOn w:val="DefaultParagraphFont"/>
    <w:link w:val="BodyTextIndent"/>
    <w:rsid w:val="00666194"/>
    <w:rPr>
      <w:rFonts w:ascii="Arial" w:eastAsia="Times New Roman" w:hAnsi="Arial" w:cs="Arial"/>
      <w:snapToGrid w:val="0"/>
      <w:szCs w:val="20"/>
      <w:lang w:eastAsia="en-US"/>
    </w:rPr>
  </w:style>
  <w:style w:type="paragraph" w:customStyle="1" w:styleId="Char1CharCharChar">
    <w:name w:val="Char1 Char Char Char"/>
    <w:basedOn w:val="Normal"/>
    <w:rsid w:val="00666194"/>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666194"/>
    <w:rPr>
      <w:lang w:eastAsia="en-US"/>
    </w:rPr>
  </w:style>
  <w:style w:type="paragraph" w:styleId="Subtitle">
    <w:name w:val="Subtitle"/>
    <w:basedOn w:val="Normal"/>
    <w:link w:val="SubtitleChar"/>
    <w:qFormat/>
    <w:rsid w:val="00666194"/>
    <w:pPr>
      <w:widowControl/>
    </w:pPr>
    <w:rPr>
      <w:rFonts w:asciiTheme="minorHAnsi" w:eastAsiaTheme="minorEastAsia" w:hAnsiTheme="minorHAnsi" w:cstheme="minorBidi"/>
      <w:snapToGrid/>
      <w:szCs w:val="22"/>
    </w:rPr>
  </w:style>
  <w:style w:type="character" w:customStyle="1" w:styleId="SubtitleChar1">
    <w:name w:val="Subtitle Char1"/>
    <w:basedOn w:val="DefaultParagraphFont"/>
    <w:rsid w:val="00666194"/>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66194"/>
    <w:pPr>
      <w:numPr>
        <w:numId w:val="4"/>
      </w:numPr>
      <w:spacing w:after="0" w:line="240" w:lineRule="auto"/>
    </w:pPr>
    <w:rPr>
      <w:rFonts w:ascii="Arial" w:eastAsia="Times New Roman" w:hAnsi="Arial" w:cs="Arial"/>
      <w:b/>
      <w:snapToGrid w:val="0"/>
      <w:lang w:eastAsia="en-US"/>
    </w:rPr>
  </w:style>
  <w:style w:type="paragraph" w:styleId="FootnoteText">
    <w:name w:val="footnote text"/>
    <w:basedOn w:val="Normal"/>
    <w:link w:val="FootnoteTextChar"/>
    <w:unhideWhenUsed/>
    <w:rsid w:val="00666194"/>
    <w:rPr>
      <w:sz w:val="20"/>
    </w:rPr>
  </w:style>
  <w:style w:type="character" w:customStyle="1" w:styleId="FootnoteTextChar">
    <w:name w:val="Footnote Text Char"/>
    <w:basedOn w:val="DefaultParagraphFont"/>
    <w:link w:val="FootnoteText"/>
    <w:rsid w:val="00666194"/>
    <w:rPr>
      <w:rFonts w:ascii="Arial" w:eastAsia="Times New Roman" w:hAnsi="Arial" w:cs="Arial"/>
      <w:snapToGrid w:val="0"/>
      <w:sz w:val="20"/>
      <w:szCs w:val="20"/>
      <w:lang w:eastAsia="en-US"/>
    </w:rPr>
  </w:style>
  <w:style w:type="character" w:styleId="FootnoteReference">
    <w:name w:val="footnote reference"/>
    <w:basedOn w:val="DefaultParagraphFont"/>
    <w:uiPriority w:val="99"/>
    <w:semiHidden/>
    <w:unhideWhenUsed/>
    <w:rsid w:val="00666194"/>
    <w:rPr>
      <w:vertAlign w:val="superscript"/>
    </w:rPr>
  </w:style>
  <w:style w:type="paragraph" w:customStyle="1" w:styleId="PBACTableFootnote">
    <w:name w:val="PBAC Table Footnote"/>
    <w:basedOn w:val="Normal"/>
    <w:link w:val="PBACTableFootnoteChar"/>
    <w:qFormat/>
    <w:rsid w:val="00666194"/>
    <w:pPr>
      <w:widowControl/>
      <w:spacing w:before="60"/>
      <w:contextualSpacing/>
      <w:jc w:val="left"/>
    </w:pPr>
    <w:rPr>
      <w:rFonts w:ascii="News Gothic MT" w:hAnsi="News Gothic MT" w:cs="Times New Roman"/>
      <w:snapToGrid/>
      <w:sz w:val="16"/>
      <w:szCs w:val="24"/>
      <w:lang w:val="en-US"/>
    </w:rPr>
  </w:style>
  <w:style w:type="character" w:customStyle="1" w:styleId="PBACTableFootnoteChar">
    <w:name w:val="PBAC Table Footnote Char"/>
    <w:basedOn w:val="DefaultParagraphFont"/>
    <w:link w:val="PBACTableFootnote"/>
    <w:rsid w:val="00666194"/>
    <w:rPr>
      <w:rFonts w:ascii="News Gothic MT" w:eastAsia="Times New Roman" w:hAnsi="News Gothic MT" w:cs="Times New Roman"/>
      <w:sz w:val="16"/>
      <w:szCs w:val="24"/>
      <w:lang w:val="en-US" w:eastAsia="en-US"/>
    </w:rPr>
  </w:style>
  <w:style w:type="paragraph" w:customStyle="1" w:styleId="PBACTableText">
    <w:name w:val="PBAC Table Text"/>
    <w:basedOn w:val="Normal"/>
    <w:link w:val="PBACTableTextChar"/>
    <w:qFormat/>
    <w:rsid w:val="00666194"/>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666194"/>
    <w:rPr>
      <w:rFonts w:ascii="News Gothic MT" w:eastAsia="Times New Roman" w:hAnsi="News Gothic MT" w:cs="Times New Roman"/>
      <w:sz w:val="20"/>
      <w:szCs w:val="20"/>
      <w:lang w:val="en-US" w:eastAsia="en-US"/>
    </w:rPr>
  </w:style>
  <w:style w:type="paragraph" w:customStyle="1" w:styleId="PBACTableTextBoldLeft">
    <w:name w:val="PBAC Table Text + Bold + Left"/>
    <w:basedOn w:val="PBACTableText"/>
    <w:qFormat/>
    <w:rsid w:val="00666194"/>
    <w:pPr>
      <w:keepNext/>
    </w:pPr>
    <w:rPr>
      <w:b/>
      <w:bCs/>
    </w:rPr>
  </w:style>
  <w:style w:type="table" w:customStyle="1" w:styleId="SectionB">
    <w:name w:val="Section B"/>
    <w:basedOn w:val="TableGrid"/>
    <w:uiPriority w:val="99"/>
    <w:rsid w:val="00666194"/>
    <w:pPr>
      <w:spacing w:line="360" w:lineRule="auto"/>
    </w:pPr>
    <w:rPr>
      <w:rFonts w:ascii="Calibri" w:eastAsia="SimSun" w:hAnsi="Calibri"/>
      <w:sz w:val="18"/>
      <w:lang w:val="en-US" w:eastAsia="en-US"/>
    </w:rPr>
    <w:tblPr/>
  </w:style>
  <w:style w:type="character" w:styleId="PageNumber">
    <w:name w:val="page number"/>
    <w:basedOn w:val="DefaultParagraphFont"/>
    <w:rsid w:val="00666194"/>
  </w:style>
  <w:style w:type="character" w:styleId="IntenseReference">
    <w:name w:val="Intense Reference"/>
    <w:basedOn w:val="DefaultParagraphFont"/>
    <w:uiPriority w:val="32"/>
    <w:qFormat/>
    <w:rsid w:val="00666194"/>
    <w:rPr>
      <w:b/>
      <w:bCs/>
      <w:smallCaps/>
      <w:color w:val="C0504D" w:themeColor="accent2"/>
      <w:spacing w:val="5"/>
      <w:u w:val="single"/>
    </w:rPr>
  </w:style>
  <w:style w:type="character" w:customStyle="1" w:styleId="TableTitleChar">
    <w:name w:val="TableTitle Char"/>
    <w:basedOn w:val="DefaultParagraphFont"/>
    <w:link w:val="TableTitle"/>
    <w:locked/>
    <w:rsid w:val="00666194"/>
    <w:rPr>
      <w:rFonts w:ascii="Calibri" w:hAnsi="Calibri"/>
      <w:b/>
      <w:sz w:val="24"/>
      <w:szCs w:val="24"/>
    </w:rPr>
  </w:style>
  <w:style w:type="paragraph" w:customStyle="1" w:styleId="TableTitle">
    <w:name w:val="TableTitle"/>
    <w:basedOn w:val="BodyText"/>
    <w:next w:val="BodyText"/>
    <w:link w:val="TableTitleChar"/>
    <w:rsid w:val="00666194"/>
    <w:pPr>
      <w:keepNext/>
      <w:widowControl/>
      <w:tabs>
        <w:tab w:val="left" w:pos="1559"/>
      </w:tabs>
      <w:spacing w:after="60"/>
      <w:ind w:left="1559" w:hanging="1559"/>
    </w:pPr>
    <w:rPr>
      <w:rFonts w:ascii="Calibri" w:eastAsiaTheme="minorEastAsia" w:hAnsi="Calibri" w:cstheme="minorBidi"/>
      <w:b/>
      <w:snapToGrid/>
      <w:sz w:val="24"/>
      <w:szCs w:val="24"/>
      <w:lang w:eastAsia="zh-CN"/>
    </w:rPr>
  </w:style>
  <w:style w:type="character" w:customStyle="1" w:styleId="ListParagraphChar">
    <w:name w:val="List Paragraph Char"/>
    <w:link w:val="ListParagraph"/>
    <w:uiPriority w:val="34"/>
    <w:rsid w:val="000C481B"/>
    <w:rPr>
      <w:rFonts w:ascii="Arial" w:eastAsia="Times New Roman" w:hAnsi="Arial" w:cs="Arial"/>
      <w:snapToGrid w:val="0"/>
      <w:szCs w:val="20"/>
      <w:lang w:eastAsia="en-US"/>
    </w:rPr>
  </w:style>
  <w:style w:type="character" w:customStyle="1" w:styleId="HighlightGreen">
    <w:name w:val="Highlight Green"/>
    <w:basedOn w:val="DefaultParagraphFont"/>
    <w:uiPriority w:val="2"/>
    <w:qFormat/>
    <w:rsid w:val="00772EC5"/>
    <w:rPr>
      <w:rFonts w:ascii="Sabon" w:hAnsi="Sabon"/>
      <w:sz w:val="22"/>
      <w:bdr w:val="none" w:sz="0" w:space="0" w:color="auto"/>
      <w:shd w:val="clear" w:color="auto" w:fill="92D050"/>
    </w:rPr>
  </w:style>
  <w:style w:type="character" w:customStyle="1" w:styleId="TableBold">
    <w:name w:val="Table Bold"/>
    <w:uiPriority w:val="4"/>
    <w:qFormat/>
    <w:rsid w:val="00772EC5"/>
    <w:rPr>
      <w:rFonts w:ascii="Arial Narrow" w:hAnsi="Arial Narrow"/>
      <w:b/>
      <w:sz w:val="20"/>
      <w:lang w:val="en-AU"/>
    </w:rPr>
  </w:style>
  <w:style w:type="character" w:customStyle="1" w:styleId="apple-converted-space">
    <w:name w:val="apple-converted-space"/>
    <w:basedOn w:val="DefaultParagraphFont"/>
    <w:rsid w:val="00772EC5"/>
  </w:style>
  <w:style w:type="table" w:styleId="LightList">
    <w:name w:val="Light List"/>
    <w:basedOn w:val="TableNormal"/>
    <w:uiPriority w:val="61"/>
    <w:rsid w:val="00772EC5"/>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BACTableTextBoldCentered">
    <w:name w:val="PBAC Table Text + Bold + Centered"/>
    <w:basedOn w:val="PBACTableTextBoldLeft"/>
    <w:rsid w:val="00772EC5"/>
    <w:pPr>
      <w:jc w:val="center"/>
    </w:pPr>
  </w:style>
  <w:style w:type="character" w:styleId="FollowedHyperlink">
    <w:name w:val="FollowedHyperlink"/>
    <w:basedOn w:val="DefaultParagraphFont"/>
    <w:semiHidden/>
    <w:unhideWhenUsed/>
    <w:rsid w:val="00772EC5"/>
    <w:rPr>
      <w:color w:val="800080" w:themeColor="followedHyperlink"/>
      <w:u w:val="single"/>
    </w:rPr>
  </w:style>
  <w:style w:type="paragraph" w:customStyle="1" w:styleId="TableText1">
    <w:name w:val="Table Text"/>
    <w:basedOn w:val="Normal"/>
    <w:next w:val="BodyText"/>
    <w:qFormat/>
    <w:rsid w:val="00885A45"/>
    <w:pPr>
      <w:widowControl/>
      <w:spacing w:before="40" w:after="40"/>
    </w:pPr>
    <w:rPr>
      <w:rFonts w:cs="Times New Roman"/>
      <w:snapToGrid/>
      <w:sz w:val="18"/>
      <w:szCs w:val="24"/>
    </w:rPr>
  </w:style>
  <w:style w:type="character" w:styleId="PlaceholderText">
    <w:name w:val="Placeholder Text"/>
    <w:basedOn w:val="DefaultParagraphFont"/>
    <w:uiPriority w:val="99"/>
    <w:semiHidden/>
    <w:rsid w:val="00B62BF4"/>
    <w:rPr>
      <w:color w:val="808080"/>
    </w:rPr>
  </w:style>
  <w:style w:type="paragraph" w:customStyle="1" w:styleId="Table">
    <w:name w:val="Table"/>
    <w:aliases w:val="10 pt  Bold,9 pt"/>
    <w:basedOn w:val="Normal"/>
    <w:link w:val="TableChar"/>
    <w:rsid w:val="009F3929"/>
    <w:pPr>
      <w:keepLines/>
      <w:widowControl/>
      <w:tabs>
        <w:tab w:val="left" w:pos="284"/>
      </w:tabs>
      <w:spacing w:before="40" w:after="20"/>
      <w:jc w:val="left"/>
    </w:pPr>
    <w:rPr>
      <w:rFonts w:eastAsia="MS Mincho" w:cs="Times New Roman"/>
      <w:snapToGrid/>
      <w:sz w:val="20"/>
      <w:szCs w:val="24"/>
      <w:lang w:val="x-none" w:eastAsia="x-none"/>
    </w:rPr>
  </w:style>
  <w:style w:type="character" w:customStyle="1" w:styleId="TableChar">
    <w:name w:val="Table Char"/>
    <w:aliases w:val="10 pt  Bold Char,9 pt Char"/>
    <w:link w:val="Table"/>
    <w:rsid w:val="009F3929"/>
    <w:rPr>
      <w:rFonts w:ascii="Arial" w:eastAsia="MS Mincho" w:hAnsi="Arial" w:cs="Times New Roman"/>
      <w:sz w:val="20"/>
      <w:szCs w:val="24"/>
      <w:lang w:val="x-none" w:eastAsia="x-none"/>
    </w:rPr>
  </w:style>
  <w:style w:type="paragraph" w:customStyle="1" w:styleId="Default">
    <w:name w:val="Default"/>
    <w:rsid w:val="003814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annotation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C2"/>
    <w:pPr>
      <w:widowControl w:val="0"/>
      <w:spacing w:after="0" w:line="240" w:lineRule="auto"/>
      <w:jc w:val="both"/>
    </w:pPr>
    <w:rPr>
      <w:rFonts w:ascii="Arial" w:eastAsia="Times New Roman" w:hAnsi="Arial" w:cs="Arial"/>
      <w:snapToGrid w:val="0"/>
      <w:szCs w:val="20"/>
      <w:lang w:eastAsia="en-US"/>
    </w:rPr>
  </w:style>
  <w:style w:type="paragraph" w:styleId="Heading1">
    <w:name w:val="heading 1"/>
    <w:basedOn w:val="Normal"/>
    <w:next w:val="Normal"/>
    <w:link w:val="Heading1Char"/>
    <w:qFormat/>
    <w:rsid w:val="00666194"/>
    <w:pPr>
      <w:ind w:left="720" w:hanging="720"/>
      <w:outlineLvl w:val="0"/>
    </w:pPr>
    <w:rPr>
      <w:rFonts w:ascii="Arial Bold" w:hAnsi="Arial Bold"/>
      <w:b/>
      <w:caps/>
    </w:rPr>
  </w:style>
  <w:style w:type="paragraph" w:styleId="Heading2">
    <w:name w:val="heading 2"/>
    <w:basedOn w:val="Normal"/>
    <w:next w:val="Normal"/>
    <w:link w:val="Heading2Char"/>
    <w:qFormat/>
    <w:rsid w:val="00666194"/>
    <w:pPr>
      <w:outlineLvl w:val="1"/>
    </w:pPr>
    <w:rPr>
      <w:b/>
    </w:rPr>
  </w:style>
  <w:style w:type="paragraph" w:styleId="Heading3">
    <w:name w:val="heading 3"/>
    <w:basedOn w:val="Normal"/>
    <w:next w:val="Normal"/>
    <w:link w:val="Heading3Char"/>
    <w:qFormat/>
    <w:rsid w:val="00666194"/>
    <w:pPr>
      <w:outlineLvl w:val="2"/>
    </w:pPr>
    <w:rPr>
      <w:u w:val="single"/>
    </w:rPr>
  </w:style>
  <w:style w:type="paragraph" w:styleId="Heading4">
    <w:name w:val="heading 4"/>
    <w:basedOn w:val="Normal"/>
    <w:next w:val="Normal"/>
    <w:link w:val="Heading4Char"/>
    <w:rsid w:val="00666194"/>
    <w:pPr>
      <w:keepNext/>
      <w:spacing w:before="240" w:after="60"/>
      <w:outlineLvl w:val="3"/>
    </w:pPr>
    <w:rPr>
      <w:b/>
      <w:bCs/>
      <w:i/>
      <w:sz w:val="26"/>
      <w:szCs w:val="28"/>
    </w:rPr>
  </w:style>
  <w:style w:type="paragraph" w:styleId="Heading5">
    <w:name w:val="heading 5"/>
    <w:basedOn w:val="Normal"/>
    <w:next w:val="Normal"/>
    <w:link w:val="Heading5Char"/>
    <w:rsid w:val="00666194"/>
    <w:pPr>
      <w:spacing w:before="240" w:after="60"/>
      <w:outlineLvl w:val="4"/>
    </w:pPr>
    <w:rPr>
      <w:b/>
      <w:bCs/>
      <w:iCs/>
      <w:sz w:val="26"/>
      <w:szCs w:val="26"/>
    </w:rPr>
  </w:style>
  <w:style w:type="paragraph" w:styleId="Heading6">
    <w:name w:val="heading 6"/>
    <w:basedOn w:val="Normal"/>
    <w:next w:val="Normal"/>
    <w:link w:val="Heading6Char"/>
    <w:rsid w:val="00666194"/>
    <w:pPr>
      <w:spacing w:before="240" w:after="60"/>
      <w:outlineLvl w:val="5"/>
    </w:pPr>
    <w:rPr>
      <w:b/>
      <w:bCs/>
      <w:i/>
      <w:szCs w:val="22"/>
    </w:rPr>
  </w:style>
  <w:style w:type="paragraph" w:styleId="Heading7">
    <w:name w:val="heading 7"/>
    <w:basedOn w:val="Normal"/>
    <w:next w:val="Normal"/>
    <w:link w:val="Heading7Char"/>
    <w:rsid w:val="00666194"/>
    <w:pPr>
      <w:keepNext/>
      <w:jc w:val="center"/>
      <w:outlineLvl w:val="6"/>
    </w:pPr>
    <w:rPr>
      <w:b/>
      <w:sz w:val="20"/>
    </w:rPr>
  </w:style>
  <w:style w:type="paragraph" w:styleId="Heading8">
    <w:name w:val="heading 8"/>
    <w:basedOn w:val="Normal"/>
    <w:next w:val="Normal"/>
    <w:link w:val="Heading8Char"/>
    <w:rsid w:val="00666194"/>
    <w:pPr>
      <w:keepNext/>
      <w:jc w:val="right"/>
      <w:outlineLvl w:val="7"/>
    </w:pPr>
    <w:rPr>
      <w:b/>
    </w:rPr>
  </w:style>
  <w:style w:type="paragraph" w:styleId="Heading9">
    <w:name w:val="heading 9"/>
    <w:basedOn w:val="Normal"/>
    <w:next w:val="Normal"/>
    <w:link w:val="Heading9Char"/>
    <w:rsid w:val="00666194"/>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194"/>
    <w:rPr>
      <w:rFonts w:ascii="Arial Bold" w:eastAsia="Times New Roman" w:hAnsi="Arial Bold" w:cs="Arial"/>
      <w:b/>
      <w:caps/>
      <w:snapToGrid w:val="0"/>
      <w:szCs w:val="20"/>
      <w:lang w:eastAsia="en-US"/>
    </w:rPr>
  </w:style>
  <w:style w:type="character" w:customStyle="1" w:styleId="Heading2Char">
    <w:name w:val="Heading 2 Char"/>
    <w:basedOn w:val="DefaultParagraphFont"/>
    <w:link w:val="Heading2"/>
    <w:uiPriority w:val="9"/>
    <w:rsid w:val="00666194"/>
    <w:rPr>
      <w:rFonts w:ascii="Arial" w:eastAsia="Times New Roman" w:hAnsi="Arial" w:cs="Arial"/>
      <w:b/>
      <w:snapToGrid w:val="0"/>
      <w:szCs w:val="20"/>
      <w:lang w:eastAsia="en-US"/>
    </w:rPr>
  </w:style>
  <w:style w:type="character" w:customStyle="1" w:styleId="Heading3Char">
    <w:name w:val="Heading 3 Char"/>
    <w:basedOn w:val="DefaultParagraphFont"/>
    <w:link w:val="Heading3"/>
    <w:rsid w:val="00666194"/>
    <w:rPr>
      <w:rFonts w:ascii="Arial" w:eastAsia="Times New Roman" w:hAnsi="Arial" w:cs="Arial"/>
      <w:snapToGrid w:val="0"/>
      <w:szCs w:val="20"/>
      <w:u w:val="single"/>
      <w:lang w:eastAsia="en-US"/>
    </w:rPr>
  </w:style>
  <w:style w:type="character" w:customStyle="1" w:styleId="Heading4Char">
    <w:name w:val="Heading 4 Char"/>
    <w:basedOn w:val="DefaultParagraphFont"/>
    <w:link w:val="Heading4"/>
    <w:rsid w:val="00666194"/>
    <w:rPr>
      <w:rFonts w:ascii="Arial" w:eastAsia="Times New Roman" w:hAnsi="Arial" w:cs="Arial"/>
      <w:b/>
      <w:bCs/>
      <w:i/>
      <w:snapToGrid w:val="0"/>
      <w:sz w:val="26"/>
      <w:szCs w:val="28"/>
      <w:lang w:eastAsia="en-US"/>
    </w:rPr>
  </w:style>
  <w:style w:type="character" w:customStyle="1" w:styleId="Heading5Char">
    <w:name w:val="Heading 5 Char"/>
    <w:basedOn w:val="DefaultParagraphFont"/>
    <w:link w:val="Heading5"/>
    <w:rsid w:val="00666194"/>
    <w:rPr>
      <w:rFonts w:ascii="Arial" w:eastAsia="Times New Roman" w:hAnsi="Arial" w:cs="Arial"/>
      <w:b/>
      <w:bCs/>
      <w:iCs/>
      <w:snapToGrid w:val="0"/>
      <w:sz w:val="26"/>
      <w:szCs w:val="26"/>
      <w:lang w:eastAsia="en-US"/>
    </w:rPr>
  </w:style>
  <w:style w:type="character" w:customStyle="1" w:styleId="Heading6Char">
    <w:name w:val="Heading 6 Char"/>
    <w:basedOn w:val="DefaultParagraphFont"/>
    <w:link w:val="Heading6"/>
    <w:rsid w:val="00666194"/>
    <w:rPr>
      <w:rFonts w:ascii="Arial" w:eastAsia="Times New Roman" w:hAnsi="Arial" w:cs="Arial"/>
      <w:b/>
      <w:bCs/>
      <w:i/>
      <w:snapToGrid w:val="0"/>
      <w:lang w:eastAsia="en-US"/>
    </w:rPr>
  </w:style>
  <w:style w:type="character" w:customStyle="1" w:styleId="Heading7Char">
    <w:name w:val="Heading 7 Char"/>
    <w:basedOn w:val="DefaultParagraphFont"/>
    <w:link w:val="Heading7"/>
    <w:rsid w:val="00666194"/>
    <w:rPr>
      <w:rFonts w:ascii="Arial" w:eastAsia="Times New Roman" w:hAnsi="Arial" w:cs="Arial"/>
      <w:b/>
      <w:snapToGrid w:val="0"/>
      <w:sz w:val="20"/>
      <w:szCs w:val="20"/>
      <w:lang w:eastAsia="en-US"/>
    </w:rPr>
  </w:style>
  <w:style w:type="character" w:customStyle="1" w:styleId="Heading8Char">
    <w:name w:val="Heading 8 Char"/>
    <w:basedOn w:val="DefaultParagraphFont"/>
    <w:link w:val="Heading8"/>
    <w:rsid w:val="00666194"/>
    <w:rPr>
      <w:rFonts w:ascii="Arial" w:eastAsia="Times New Roman" w:hAnsi="Arial" w:cs="Arial"/>
      <w:b/>
      <w:snapToGrid w:val="0"/>
      <w:szCs w:val="20"/>
      <w:lang w:eastAsia="en-US"/>
    </w:rPr>
  </w:style>
  <w:style w:type="character" w:customStyle="1" w:styleId="Heading9Char">
    <w:name w:val="Heading 9 Char"/>
    <w:basedOn w:val="DefaultParagraphFont"/>
    <w:link w:val="Heading9"/>
    <w:rsid w:val="00666194"/>
    <w:rPr>
      <w:rFonts w:ascii="Arial" w:eastAsia="Times New Roman" w:hAnsi="Arial" w:cs="Arial"/>
      <w:b/>
      <w:snapToGrid w:val="0"/>
      <w:color w:val="000000"/>
      <w:sz w:val="20"/>
      <w:szCs w:val="20"/>
      <w:lang w:eastAsia="en-US"/>
    </w:rPr>
  </w:style>
  <w:style w:type="paragraph" w:customStyle="1" w:styleId="TableFooter">
    <w:name w:val="Table Footer"/>
    <w:basedOn w:val="Normal"/>
    <w:qFormat/>
    <w:rsid w:val="00666194"/>
    <w:rPr>
      <w:rFonts w:ascii="Arial Narrow" w:hAnsi="Arial Narrow"/>
      <w:sz w:val="18"/>
    </w:rPr>
  </w:style>
  <w:style w:type="paragraph" w:customStyle="1" w:styleId="TableHeader">
    <w:name w:val="Table Header"/>
    <w:basedOn w:val="Normal"/>
    <w:rsid w:val="00666194"/>
    <w:rPr>
      <w:b/>
      <w:sz w:val="20"/>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IB Caption"/>
    <w:basedOn w:val="Normal"/>
    <w:next w:val="Normal"/>
    <w:link w:val="CaptionChar"/>
    <w:unhideWhenUsed/>
    <w:qFormat/>
    <w:rsid w:val="00666194"/>
    <w:pPr>
      <w:spacing w:after="200"/>
    </w:pPr>
    <w:rPr>
      <w:b/>
      <w:bCs/>
      <w:color w:val="4F81BD" w:themeColor="accent1"/>
      <w:sz w:val="18"/>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IB Caption Char"/>
    <w:link w:val="Caption"/>
    <w:rsid w:val="00666194"/>
    <w:rPr>
      <w:rFonts w:ascii="Arial" w:eastAsia="Times New Roman" w:hAnsi="Arial" w:cs="Arial"/>
      <w:b/>
      <w:bCs/>
      <w:snapToGrid w:val="0"/>
      <w:color w:val="4F81BD" w:themeColor="accent1"/>
      <w:sz w:val="18"/>
      <w:szCs w:val="18"/>
      <w:lang w:eastAsia="en-US"/>
    </w:rPr>
  </w:style>
  <w:style w:type="paragraph" w:styleId="Title">
    <w:name w:val="Title"/>
    <w:basedOn w:val="Normal"/>
    <w:next w:val="Normal"/>
    <w:link w:val="TitleChar"/>
    <w:rsid w:val="006661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194"/>
    <w:rPr>
      <w:rFonts w:ascii="Cambria" w:eastAsia="Times New Roman" w:hAnsi="Cambria" w:cs="Arial"/>
      <w:b/>
      <w:bCs/>
      <w:snapToGrid w:val="0"/>
      <w:kern w:val="28"/>
      <w:sz w:val="32"/>
      <w:szCs w:val="32"/>
      <w:lang w:eastAsia="en-US"/>
    </w:rPr>
  </w:style>
  <w:style w:type="paragraph" w:styleId="BodyText">
    <w:name w:val="Body Text"/>
    <w:basedOn w:val="Normal"/>
    <w:link w:val="BodyTextChar"/>
    <w:qFormat/>
    <w:rsid w:val="00666194"/>
    <w:pPr>
      <w:jc w:val="left"/>
    </w:pPr>
  </w:style>
  <w:style w:type="character" w:customStyle="1" w:styleId="BodyTextChar">
    <w:name w:val="Body Text Char"/>
    <w:basedOn w:val="DefaultParagraphFont"/>
    <w:link w:val="BodyText"/>
    <w:rsid w:val="00666194"/>
    <w:rPr>
      <w:rFonts w:ascii="Arial" w:eastAsia="Times New Roman" w:hAnsi="Arial" w:cs="Arial"/>
      <w:snapToGrid w:val="0"/>
      <w:szCs w:val="20"/>
      <w:lang w:eastAsia="en-US"/>
    </w:rPr>
  </w:style>
  <w:style w:type="paragraph" w:styleId="ListParagraph">
    <w:name w:val="List Paragraph"/>
    <w:basedOn w:val="Normal"/>
    <w:link w:val="ListParagraphChar"/>
    <w:uiPriority w:val="34"/>
    <w:qFormat/>
    <w:rsid w:val="00666194"/>
    <w:pPr>
      <w:ind w:left="720"/>
      <w:contextualSpacing/>
    </w:pPr>
  </w:style>
  <w:style w:type="paragraph" w:customStyle="1" w:styleId="RegularText">
    <w:name w:val="Regular Text"/>
    <w:basedOn w:val="BodyText"/>
    <w:link w:val="RegularTextChar"/>
    <w:rsid w:val="00666194"/>
    <w:rPr>
      <w:b/>
    </w:rPr>
  </w:style>
  <w:style w:type="paragraph" w:styleId="NoSpacing">
    <w:name w:val="No Spacing"/>
    <w:uiPriority w:val="1"/>
    <w:qFormat/>
    <w:rsid w:val="00666194"/>
    <w:pPr>
      <w:widowControl w:val="0"/>
      <w:spacing w:after="0" w:line="240" w:lineRule="auto"/>
      <w:jc w:val="both"/>
    </w:pPr>
    <w:rPr>
      <w:rFonts w:ascii="Arial" w:eastAsia="Times New Roman" w:hAnsi="Arial" w:cs="Arial"/>
      <w:snapToGrid w:val="0"/>
      <w:szCs w:val="20"/>
      <w:lang w:eastAsia="en-US"/>
    </w:rPr>
  </w:style>
  <w:style w:type="character" w:customStyle="1" w:styleId="RegularTextChar">
    <w:name w:val="Regular Text Char"/>
    <w:basedOn w:val="BodyTextChar"/>
    <w:link w:val="RegularText"/>
    <w:rsid w:val="00666194"/>
    <w:rPr>
      <w:rFonts w:ascii="Arial" w:eastAsia="Times New Roman" w:hAnsi="Arial" w:cs="Arial"/>
      <w:b/>
      <w:snapToGrid w:val="0"/>
      <w:szCs w:val="20"/>
      <w:lang w:eastAsia="en-US"/>
    </w:rPr>
  </w:style>
  <w:style w:type="paragraph" w:styleId="Header">
    <w:name w:val="header"/>
    <w:aliases w:val="Page Header,Header title,he=header,cntr/bld"/>
    <w:basedOn w:val="Normal"/>
    <w:link w:val="HeaderChar"/>
    <w:uiPriority w:val="99"/>
    <w:rsid w:val="0066619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66194"/>
    <w:rPr>
      <w:rFonts w:ascii="Arial" w:eastAsia="Times New Roman" w:hAnsi="Arial" w:cs="Arial"/>
      <w:snapToGrid w:val="0"/>
      <w:szCs w:val="20"/>
      <w:lang w:eastAsia="en-US"/>
    </w:rPr>
  </w:style>
  <w:style w:type="paragraph" w:styleId="Footer">
    <w:name w:val="footer"/>
    <w:basedOn w:val="Normal"/>
    <w:link w:val="FooterChar"/>
    <w:uiPriority w:val="99"/>
    <w:rsid w:val="00666194"/>
    <w:pPr>
      <w:tabs>
        <w:tab w:val="center" w:pos="4513"/>
        <w:tab w:val="right" w:pos="9026"/>
      </w:tabs>
    </w:pPr>
  </w:style>
  <w:style w:type="character" w:customStyle="1" w:styleId="FooterChar">
    <w:name w:val="Footer Char"/>
    <w:basedOn w:val="DefaultParagraphFont"/>
    <w:link w:val="Footer"/>
    <w:uiPriority w:val="99"/>
    <w:rsid w:val="00666194"/>
    <w:rPr>
      <w:rFonts w:ascii="Arial" w:eastAsia="Times New Roman" w:hAnsi="Arial" w:cs="Arial"/>
      <w:snapToGrid w:val="0"/>
      <w:szCs w:val="20"/>
      <w:lang w:eastAsia="en-US"/>
    </w:rPr>
  </w:style>
  <w:style w:type="table" w:styleId="TableGrid">
    <w:name w:val="Table Grid"/>
    <w:aliases w:val="CMA Table Template,Table Gridbeth,Summary box"/>
    <w:basedOn w:val="TableNormal"/>
    <w:uiPriority w:val="59"/>
    <w:rsid w:val="0066619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66194"/>
    <w:rPr>
      <w:rFonts w:ascii="Arial Narrow" w:hAnsi="Arial Narrow"/>
      <w:b/>
      <w:sz w:val="20"/>
      <w:szCs w:val="16"/>
    </w:rPr>
  </w:style>
  <w:style w:type="paragraph" w:customStyle="1" w:styleId="Tabletext">
    <w:name w:val="Table text"/>
    <w:basedOn w:val="Normal"/>
    <w:link w:val="TabletextChar"/>
    <w:rsid w:val="00666194"/>
    <w:pPr>
      <w:widowControl/>
      <w:spacing w:after="120"/>
      <w:jc w:val="left"/>
    </w:pPr>
    <w:rPr>
      <w:rFonts w:cs="Times New Roman"/>
      <w:snapToGrid/>
      <w:sz w:val="20"/>
    </w:rPr>
  </w:style>
  <w:style w:type="paragraph" w:customStyle="1" w:styleId="TableHeading">
    <w:name w:val="TableHeading"/>
    <w:basedOn w:val="Normal"/>
    <w:rsid w:val="00666194"/>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666194"/>
    <w:rPr>
      <w:rFonts w:ascii="Arial" w:eastAsia="Times New Roman" w:hAnsi="Arial" w:cs="Times New Roman"/>
      <w:sz w:val="20"/>
      <w:szCs w:val="20"/>
      <w:lang w:eastAsia="en-US"/>
    </w:rPr>
  </w:style>
  <w:style w:type="paragraph" w:customStyle="1" w:styleId="Corpsdetextemarge">
    <w:name w:val="Corps de texte marge"/>
    <w:basedOn w:val="BodyText"/>
    <w:uiPriority w:val="99"/>
    <w:rsid w:val="00666194"/>
    <w:pPr>
      <w:widowControl/>
      <w:jc w:val="both"/>
    </w:pPr>
    <w:rPr>
      <w:rFonts w:ascii="Times" w:hAnsi="Times" w:cs="Times New Roman"/>
      <w:snapToGrid/>
      <w:sz w:val="24"/>
      <w:lang w:val="en-US"/>
    </w:rPr>
  </w:style>
  <w:style w:type="paragraph" w:styleId="NormalWeb">
    <w:name w:val="Normal (Web)"/>
    <w:basedOn w:val="Normal"/>
    <w:uiPriority w:val="99"/>
    <w:rsid w:val="00666194"/>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66194"/>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666194"/>
    <w:pPr>
      <w:spacing w:before="240" w:after="120"/>
      <w:jc w:val="left"/>
    </w:pPr>
    <w:rPr>
      <w:bCs/>
      <w:sz w:val="20"/>
    </w:rPr>
  </w:style>
  <w:style w:type="character" w:styleId="Hyperlink">
    <w:name w:val="Hyperlink"/>
    <w:basedOn w:val="DefaultParagraphFont"/>
    <w:uiPriority w:val="99"/>
    <w:unhideWhenUsed/>
    <w:rsid w:val="00666194"/>
    <w:rPr>
      <w:color w:val="0000FF" w:themeColor="hyperlink"/>
      <w:u w:val="single"/>
    </w:rPr>
  </w:style>
  <w:style w:type="paragraph" w:styleId="TOCHeading">
    <w:name w:val="TOC Heading"/>
    <w:basedOn w:val="Heading1"/>
    <w:next w:val="Normal"/>
    <w:uiPriority w:val="39"/>
    <w:unhideWhenUsed/>
    <w:rsid w:val="0066619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666194"/>
    <w:pPr>
      <w:ind w:left="440"/>
      <w:jc w:val="left"/>
    </w:pPr>
    <w:rPr>
      <w:rFonts w:asciiTheme="minorHAnsi" w:hAnsiTheme="minorHAnsi"/>
      <w:sz w:val="20"/>
    </w:rPr>
  </w:style>
  <w:style w:type="paragraph" w:styleId="BalloonText">
    <w:name w:val="Balloon Text"/>
    <w:basedOn w:val="Normal"/>
    <w:link w:val="BalloonTextChar"/>
    <w:rsid w:val="00666194"/>
    <w:rPr>
      <w:rFonts w:ascii="Tahoma" w:hAnsi="Tahoma" w:cs="Tahoma"/>
      <w:sz w:val="16"/>
      <w:szCs w:val="16"/>
    </w:rPr>
  </w:style>
  <w:style w:type="character" w:customStyle="1" w:styleId="BalloonTextChar">
    <w:name w:val="Balloon Text Char"/>
    <w:basedOn w:val="DefaultParagraphFont"/>
    <w:link w:val="BalloonText"/>
    <w:rsid w:val="00666194"/>
    <w:rPr>
      <w:rFonts w:ascii="Tahoma" w:eastAsia="Times New Roman" w:hAnsi="Tahoma" w:cs="Tahoma"/>
      <w:snapToGrid w:val="0"/>
      <w:sz w:val="16"/>
      <w:szCs w:val="16"/>
      <w:lang w:eastAsia="en-US"/>
    </w:rPr>
  </w:style>
  <w:style w:type="paragraph" w:styleId="BodyText3">
    <w:name w:val="Body Text 3"/>
    <w:basedOn w:val="Normal"/>
    <w:link w:val="BodyText3Char"/>
    <w:rsid w:val="00666194"/>
    <w:pPr>
      <w:spacing w:after="120"/>
    </w:pPr>
    <w:rPr>
      <w:sz w:val="16"/>
      <w:szCs w:val="16"/>
    </w:rPr>
  </w:style>
  <w:style w:type="character" w:customStyle="1" w:styleId="BodyText3Char">
    <w:name w:val="Body Text 3 Char"/>
    <w:basedOn w:val="DefaultParagraphFont"/>
    <w:link w:val="BodyText3"/>
    <w:rsid w:val="00666194"/>
    <w:rPr>
      <w:rFonts w:ascii="Arial" w:eastAsia="Times New Roman" w:hAnsi="Arial" w:cs="Arial"/>
      <w:snapToGrid w:val="0"/>
      <w:sz w:val="16"/>
      <w:szCs w:val="16"/>
      <w:lang w:eastAsia="en-US"/>
    </w:rPr>
  </w:style>
  <w:style w:type="paragraph" w:styleId="TOC4">
    <w:name w:val="toc 4"/>
    <w:basedOn w:val="Normal"/>
    <w:next w:val="Normal"/>
    <w:autoRedefine/>
    <w:rsid w:val="00666194"/>
    <w:pPr>
      <w:ind w:left="660"/>
      <w:jc w:val="left"/>
    </w:pPr>
    <w:rPr>
      <w:rFonts w:asciiTheme="minorHAnsi" w:hAnsiTheme="minorHAnsi"/>
      <w:sz w:val="20"/>
    </w:rPr>
  </w:style>
  <w:style w:type="paragraph" w:styleId="TOC5">
    <w:name w:val="toc 5"/>
    <w:basedOn w:val="Normal"/>
    <w:next w:val="Normal"/>
    <w:autoRedefine/>
    <w:rsid w:val="00666194"/>
    <w:pPr>
      <w:ind w:left="880"/>
      <w:jc w:val="left"/>
    </w:pPr>
    <w:rPr>
      <w:rFonts w:asciiTheme="minorHAnsi" w:hAnsiTheme="minorHAnsi"/>
      <w:sz w:val="20"/>
    </w:rPr>
  </w:style>
  <w:style w:type="paragraph" w:styleId="TOC6">
    <w:name w:val="toc 6"/>
    <w:basedOn w:val="Normal"/>
    <w:next w:val="Normal"/>
    <w:autoRedefine/>
    <w:rsid w:val="00666194"/>
    <w:pPr>
      <w:ind w:left="1100"/>
      <w:jc w:val="left"/>
    </w:pPr>
    <w:rPr>
      <w:rFonts w:asciiTheme="minorHAnsi" w:hAnsiTheme="minorHAnsi"/>
      <w:sz w:val="20"/>
    </w:rPr>
  </w:style>
  <w:style w:type="paragraph" w:styleId="TOC7">
    <w:name w:val="toc 7"/>
    <w:basedOn w:val="Normal"/>
    <w:next w:val="Normal"/>
    <w:autoRedefine/>
    <w:rsid w:val="00666194"/>
    <w:pPr>
      <w:ind w:left="1320"/>
      <w:jc w:val="left"/>
    </w:pPr>
    <w:rPr>
      <w:rFonts w:asciiTheme="minorHAnsi" w:hAnsiTheme="minorHAnsi"/>
      <w:sz w:val="20"/>
    </w:rPr>
  </w:style>
  <w:style w:type="paragraph" w:styleId="TOC8">
    <w:name w:val="toc 8"/>
    <w:basedOn w:val="Normal"/>
    <w:next w:val="Normal"/>
    <w:autoRedefine/>
    <w:rsid w:val="00666194"/>
    <w:pPr>
      <w:ind w:left="1540"/>
      <w:jc w:val="left"/>
    </w:pPr>
    <w:rPr>
      <w:rFonts w:asciiTheme="minorHAnsi" w:hAnsiTheme="minorHAnsi"/>
      <w:sz w:val="20"/>
    </w:rPr>
  </w:style>
  <w:style w:type="paragraph" w:styleId="TOC9">
    <w:name w:val="toc 9"/>
    <w:basedOn w:val="Normal"/>
    <w:next w:val="Normal"/>
    <w:autoRedefine/>
    <w:rsid w:val="00666194"/>
    <w:pPr>
      <w:ind w:left="1760"/>
      <w:jc w:val="left"/>
    </w:pPr>
    <w:rPr>
      <w:rFonts w:asciiTheme="minorHAnsi" w:hAnsiTheme="minorHAnsi"/>
      <w:sz w:val="20"/>
    </w:rPr>
  </w:style>
  <w:style w:type="paragraph" w:styleId="BodyText2">
    <w:name w:val="Body Text 2"/>
    <w:basedOn w:val="Normal"/>
    <w:link w:val="BodyText2Char"/>
    <w:rsid w:val="00666194"/>
    <w:pPr>
      <w:spacing w:after="120" w:line="480" w:lineRule="auto"/>
    </w:pPr>
  </w:style>
  <w:style w:type="character" w:customStyle="1" w:styleId="BodyText2Char">
    <w:name w:val="Body Text 2 Char"/>
    <w:basedOn w:val="DefaultParagraphFont"/>
    <w:link w:val="BodyText2"/>
    <w:rsid w:val="00666194"/>
    <w:rPr>
      <w:rFonts w:ascii="Arial" w:eastAsia="Times New Roman" w:hAnsi="Arial" w:cs="Arial"/>
      <w:snapToGrid w:val="0"/>
      <w:szCs w:val="20"/>
      <w:lang w:eastAsia="en-US"/>
    </w:rPr>
  </w:style>
  <w:style w:type="paragraph" w:styleId="CommentText">
    <w:name w:val="annotation text"/>
    <w:basedOn w:val="Normal"/>
    <w:link w:val="CommentTextChar"/>
    <w:uiPriority w:val="99"/>
    <w:rsid w:val="00666194"/>
    <w:rPr>
      <w:rFonts w:ascii="Times New Roman" w:hAnsi="Times New Roman" w:cs="Times New Roman"/>
      <w:sz w:val="20"/>
    </w:rPr>
  </w:style>
  <w:style w:type="character" w:customStyle="1" w:styleId="CommentTextChar">
    <w:name w:val="Comment Text Char"/>
    <w:basedOn w:val="DefaultParagraphFont"/>
    <w:link w:val="CommentText"/>
    <w:uiPriority w:val="99"/>
    <w:rsid w:val="00666194"/>
    <w:rPr>
      <w:rFonts w:ascii="Times New Roman" w:eastAsia="Times New Roman" w:hAnsi="Times New Roman" w:cs="Times New Roman"/>
      <w:snapToGrid w:val="0"/>
      <w:sz w:val="20"/>
      <w:szCs w:val="20"/>
      <w:lang w:eastAsia="en-US"/>
    </w:rPr>
  </w:style>
  <w:style w:type="paragraph" w:customStyle="1" w:styleId="TableText0">
    <w:name w:val="TableText"/>
    <w:basedOn w:val="Normal"/>
    <w:rsid w:val="00666194"/>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666194"/>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666194"/>
    <w:pPr>
      <w:keepNext w:val="0"/>
      <w:keepLines/>
      <w:spacing w:before="0" w:after="360"/>
      <w:ind w:left="720"/>
    </w:pPr>
    <w:rPr>
      <w:sz w:val="18"/>
      <w:szCs w:val="18"/>
    </w:rPr>
  </w:style>
  <w:style w:type="paragraph" w:customStyle="1" w:styleId="TableNotes0">
    <w:name w:val="TableNotes+0"/>
    <w:basedOn w:val="TableNotes18"/>
    <w:rsid w:val="00666194"/>
    <w:pPr>
      <w:keepNext/>
      <w:spacing w:after="0"/>
    </w:pPr>
  </w:style>
  <w:style w:type="paragraph" w:styleId="CommentSubject">
    <w:name w:val="annotation subject"/>
    <w:basedOn w:val="CommentText"/>
    <w:next w:val="CommentText"/>
    <w:link w:val="CommentSubjectChar"/>
    <w:rsid w:val="00666194"/>
    <w:rPr>
      <w:rFonts w:ascii="Arial" w:hAnsi="Arial" w:cs="Arial"/>
      <w:b/>
      <w:bCs/>
    </w:rPr>
  </w:style>
  <w:style w:type="character" w:customStyle="1" w:styleId="CommentSubjectChar">
    <w:name w:val="Comment Subject Char"/>
    <w:basedOn w:val="CommentTextChar"/>
    <w:link w:val="CommentSubject"/>
    <w:rsid w:val="00666194"/>
    <w:rPr>
      <w:rFonts w:ascii="Arial" w:eastAsia="Times New Roman" w:hAnsi="Arial" w:cs="Arial"/>
      <w:b/>
      <w:bCs/>
      <w:snapToGrid w:val="0"/>
      <w:sz w:val="20"/>
      <w:szCs w:val="20"/>
      <w:lang w:eastAsia="en-US"/>
    </w:rPr>
  </w:style>
  <w:style w:type="paragraph" w:styleId="Revision">
    <w:name w:val="Revision"/>
    <w:hidden/>
    <w:uiPriority w:val="99"/>
    <w:semiHidden/>
    <w:rsid w:val="00666194"/>
    <w:pPr>
      <w:spacing w:after="0" w:line="240" w:lineRule="auto"/>
    </w:pPr>
    <w:rPr>
      <w:rFonts w:ascii="Arial" w:eastAsia="Times New Roman" w:hAnsi="Arial" w:cs="Arial"/>
      <w:snapToGrid w:val="0"/>
      <w:szCs w:val="20"/>
      <w:lang w:eastAsia="en-US"/>
    </w:rPr>
  </w:style>
  <w:style w:type="paragraph" w:styleId="BodyTextIndent">
    <w:name w:val="Body Text Indent"/>
    <w:basedOn w:val="Normal"/>
    <w:link w:val="BodyTextIndentChar"/>
    <w:rsid w:val="00666194"/>
    <w:pPr>
      <w:spacing w:after="120"/>
      <w:ind w:left="283"/>
    </w:pPr>
  </w:style>
  <w:style w:type="character" w:customStyle="1" w:styleId="BodyTextIndentChar">
    <w:name w:val="Body Text Indent Char"/>
    <w:basedOn w:val="DefaultParagraphFont"/>
    <w:link w:val="BodyTextIndent"/>
    <w:rsid w:val="00666194"/>
    <w:rPr>
      <w:rFonts w:ascii="Arial" w:eastAsia="Times New Roman" w:hAnsi="Arial" w:cs="Arial"/>
      <w:snapToGrid w:val="0"/>
      <w:szCs w:val="20"/>
      <w:lang w:eastAsia="en-US"/>
    </w:rPr>
  </w:style>
  <w:style w:type="paragraph" w:customStyle="1" w:styleId="Char1CharCharChar">
    <w:name w:val="Char1 Char Char Char"/>
    <w:basedOn w:val="Normal"/>
    <w:rsid w:val="00666194"/>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666194"/>
    <w:rPr>
      <w:lang w:eastAsia="en-US"/>
    </w:rPr>
  </w:style>
  <w:style w:type="paragraph" w:styleId="Subtitle">
    <w:name w:val="Subtitle"/>
    <w:basedOn w:val="Normal"/>
    <w:link w:val="SubtitleChar"/>
    <w:qFormat/>
    <w:rsid w:val="00666194"/>
    <w:pPr>
      <w:widowControl/>
    </w:pPr>
    <w:rPr>
      <w:rFonts w:asciiTheme="minorHAnsi" w:eastAsiaTheme="minorEastAsia" w:hAnsiTheme="minorHAnsi" w:cstheme="minorBidi"/>
      <w:snapToGrid/>
      <w:szCs w:val="22"/>
    </w:rPr>
  </w:style>
  <w:style w:type="character" w:customStyle="1" w:styleId="SubtitleChar1">
    <w:name w:val="Subtitle Char1"/>
    <w:basedOn w:val="DefaultParagraphFont"/>
    <w:rsid w:val="00666194"/>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66194"/>
    <w:pPr>
      <w:numPr>
        <w:numId w:val="4"/>
      </w:numPr>
      <w:spacing w:after="0" w:line="240" w:lineRule="auto"/>
    </w:pPr>
    <w:rPr>
      <w:rFonts w:ascii="Arial" w:eastAsia="Times New Roman" w:hAnsi="Arial" w:cs="Arial"/>
      <w:b/>
      <w:snapToGrid w:val="0"/>
      <w:lang w:eastAsia="en-US"/>
    </w:rPr>
  </w:style>
  <w:style w:type="paragraph" w:styleId="FootnoteText">
    <w:name w:val="footnote text"/>
    <w:basedOn w:val="Normal"/>
    <w:link w:val="FootnoteTextChar"/>
    <w:unhideWhenUsed/>
    <w:rsid w:val="00666194"/>
    <w:rPr>
      <w:sz w:val="20"/>
    </w:rPr>
  </w:style>
  <w:style w:type="character" w:customStyle="1" w:styleId="FootnoteTextChar">
    <w:name w:val="Footnote Text Char"/>
    <w:basedOn w:val="DefaultParagraphFont"/>
    <w:link w:val="FootnoteText"/>
    <w:rsid w:val="00666194"/>
    <w:rPr>
      <w:rFonts w:ascii="Arial" w:eastAsia="Times New Roman" w:hAnsi="Arial" w:cs="Arial"/>
      <w:snapToGrid w:val="0"/>
      <w:sz w:val="20"/>
      <w:szCs w:val="20"/>
      <w:lang w:eastAsia="en-US"/>
    </w:rPr>
  </w:style>
  <w:style w:type="character" w:styleId="FootnoteReference">
    <w:name w:val="footnote reference"/>
    <w:basedOn w:val="DefaultParagraphFont"/>
    <w:uiPriority w:val="99"/>
    <w:semiHidden/>
    <w:unhideWhenUsed/>
    <w:rsid w:val="00666194"/>
    <w:rPr>
      <w:vertAlign w:val="superscript"/>
    </w:rPr>
  </w:style>
  <w:style w:type="paragraph" w:customStyle="1" w:styleId="PBACTableFootnote">
    <w:name w:val="PBAC Table Footnote"/>
    <w:basedOn w:val="Normal"/>
    <w:link w:val="PBACTableFootnoteChar"/>
    <w:qFormat/>
    <w:rsid w:val="00666194"/>
    <w:pPr>
      <w:widowControl/>
      <w:spacing w:before="60"/>
      <w:contextualSpacing/>
      <w:jc w:val="left"/>
    </w:pPr>
    <w:rPr>
      <w:rFonts w:ascii="News Gothic MT" w:hAnsi="News Gothic MT" w:cs="Times New Roman"/>
      <w:snapToGrid/>
      <w:sz w:val="16"/>
      <w:szCs w:val="24"/>
      <w:lang w:val="en-US"/>
    </w:rPr>
  </w:style>
  <w:style w:type="character" w:customStyle="1" w:styleId="PBACTableFootnoteChar">
    <w:name w:val="PBAC Table Footnote Char"/>
    <w:basedOn w:val="DefaultParagraphFont"/>
    <w:link w:val="PBACTableFootnote"/>
    <w:rsid w:val="00666194"/>
    <w:rPr>
      <w:rFonts w:ascii="News Gothic MT" w:eastAsia="Times New Roman" w:hAnsi="News Gothic MT" w:cs="Times New Roman"/>
      <w:sz w:val="16"/>
      <w:szCs w:val="24"/>
      <w:lang w:val="en-US" w:eastAsia="en-US"/>
    </w:rPr>
  </w:style>
  <w:style w:type="paragraph" w:customStyle="1" w:styleId="PBACTableText">
    <w:name w:val="PBAC Table Text"/>
    <w:basedOn w:val="Normal"/>
    <w:link w:val="PBACTableTextChar"/>
    <w:qFormat/>
    <w:rsid w:val="00666194"/>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666194"/>
    <w:rPr>
      <w:rFonts w:ascii="News Gothic MT" w:eastAsia="Times New Roman" w:hAnsi="News Gothic MT" w:cs="Times New Roman"/>
      <w:sz w:val="20"/>
      <w:szCs w:val="20"/>
      <w:lang w:val="en-US" w:eastAsia="en-US"/>
    </w:rPr>
  </w:style>
  <w:style w:type="paragraph" w:customStyle="1" w:styleId="PBACTableTextBoldLeft">
    <w:name w:val="PBAC Table Text + Bold + Left"/>
    <w:basedOn w:val="PBACTableText"/>
    <w:qFormat/>
    <w:rsid w:val="00666194"/>
    <w:pPr>
      <w:keepNext/>
    </w:pPr>
    <w:rPr>
      <w:b/>
      <w:bCs/>
    </w:rPr>
  </w:style>
  <w:style w:type="table" w:customStyle="1" w:styleId="SectionB">
    <w:name w:val="Section B"/>
    <w:basedOn w:val="TableGrid"/>
    <w:uiPriority w:val="99"/>
    <w:rsid w:val="00666194"/>
    <w:pPr>
      <w:spacing w:line="360" w:lineRule="auto"/>
    </w:pPr>
    <w:rPr>
      <w:rFonts w:ascii="Calibri" w:eastAsia="SimSun" w:hAnsi="Calibri"/>
      <w:sz w:val="18"/>
      <w:lang w:val="en-US" w:eastAsia="en-US"/>
    </w:rPr>
    <w:tblPr/>
  </w:style>
  <w:style w:type="character" w:styleId="PageNumber">
    <w:name w:val="page number"/>
    <w:basedOn w:val="DefaultParagraphFont"/>
    <w:rsid w:val="00666194"/>
  </w:style>
  <w:style w:type="character" w:styleId="IntenseReference">
    <w:name w:val="Intense Reference"/>
    <w:basedOn w:val="DefaultParagraphFont"/>
    <w:uiPriority w:val="32"/>
    <w:qFormat/>
    <w:rsid w:val="00666194"/>
    <w:rPr>
      <w:b/>
      <w:bCs/>
      <w:smallCaps/>
      <w:color w:val="C0504D" w:themeColor="accent2"/>
      <w:spacing w:val="5"/>
      <w:u w:val="single"/>
    </w:rPr>
  </w:style>
  <w:style w:type="character" w:customStyle="1" w:styleId="TableTitleChar">
    <w:name w:val="TableTitle Char"/>
    <w:basedOn w:val="DefaultParagraphFont"/>
    <w:link w:val="TableTitle"/>
    <w:locked/>
    <w:rsid w:val="00666194"/>
    <w:rPr>
      <w:rFonts w:ascii="Calibri" w:hAnsi="Calibri"/>
      <w:b/>
      <w:sz w:val="24"/>
      <w:szCs w:val="24"/>
    </w:rPr>
  </w:style>
  <w:style w:type="paragraph" w:customStyle="1" w:styleId="TableTitle">
    <w:name w:val="TableTitle"/>
    <w:basedOn w:val="BodyText"/>
    <w:next w:val="BodyText"/>
    <w:link w:val="TableTitleChar"/>
    <w:rsid w:val="00666194"/>
    <w:pPr>
      <w:keepNext/>
      <w:widowControl/>
      <w:tabs>
        <w:tab w:val="left" w:pos="1559"/>
      </w:tabs>
      <w:spacing w:after="60"/>
      <w:ind w:left="1559" w:hanging="1559"/>
    </w:pPr>
    <w:rPr>
      <w:rFonts w:ascii="Calibri" w:eastAsiaTheme="minorEastAsia" w:hAnsi="Calibri" w:cstheme="minorBidi"/>
      <w:b/>
      <w:snapToGrid/>
      <w:sz w:val="24"/>
      <w:szCs w:val="24"/>
      <w:lang w:eastAsia="zh-CN"/>
    </w:rPr>
  </w:style>
  <w:style w:type="character" w:customStyle="1" w:styleId="ListParagraphChar">
    <w:name w:val="List Paragraph Char"/>
    <w:link w:val="ListParagraph"/>
    <w:uiPriority w:val="34"/>
    <w:rsid w:val="000C481B"/>
    <w:rPr>
      <w:rFonts w:ascii="Arial" w:eastAsia="Times New Roman" w:hAnsi="Arial" w:cs="Arial"/>
      <w:snapToGrid w:val="0"/>
      <w:szCs w:val="20"/>
      <w:lang w:eastAsia="en-US"/>
    </w:rPr>
  </w:style>
  <w:style w:type="character" w:customStyle="1" w:styleId="HighlightGreen">
    <w:name w:val="Highlight Green"/>
    <w:basedOn w:val="DefaultParagraphFont"/>
    <w:uiPriority w:val="2"/>
    <w:qFormat/>
    <w:rsid w:val="00772EC5"/>
    <w:rPr>
      <w:rFonts w:ascii="Sabon" w:hAnsi="Sabon"/>
      <w:sz w:val="22"/>
      <w:bdr w:val="none" w:sz="0" w:space="0" w:color="auto"/>
      <w:shd w:val="clear" w:color="auto" w:fill="92D050"/>
    </w:rPr>
  </w:style>
  <w:style w:type="character" w:customStyle="1" w:styleId="TableBold">
    <w:name w:val="Table Bold"/>
    <w:uiPriority w:val="4"/>
    <w:qFormat/>
    <w:rsid w:val="00772EC5"/>
    <w:rPr>
      <w:rFonts w:ascii="Arial Narrow" w:hAnsi="Arial Narrow"/>
      <w:b/>
      <w:sz w:val="20"/>
      <w:lang w:val="en-AU"/>
    </w:rPr>
  </w:style>
  <w:style w:type="character" w:customStyle="1" w:styleId="apple-converted-space">
    <w:name w:val="apple-converted-space"/>
    <w:basedOn w:val="DefaultParagraphFont"/>
    <w:rsid w:val="00772EC5"/>
  </w:style>
  <w:style w:type="table" w:styleId="LightList">
    <w:name w:val="Light List"/>
    <w:basedOn w:val="TableNormal"/>
    <w:uiPriority w:val="61"/>
    <w:rsid w:val="00772EC5"/>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BACTableTextBoldCentered">
    <w:name w:val="PBAC Table Text + Bold + Centered"/>
    <w:basedOn w:val="PBACTableTextBoldLeft"/>
    <w:rsid w:val="00772EC5"/>
    <w:pPr>
      <w:jc w:val="center"/>
    </w:pPr>
  </w:style>
  <w:style w:type="character" w:styleId="FollowedHyperlink">
    <w:name w:val="FollowedHyperlink"/>
    <w:basedOn w:val="DefaultParagraphFont"/>
    <w:semiHidden/>
    <w:unhideWhenUsed/>
    <w:rsid w:val="00772EC5"/>
    <w:rPr>
      <w:color w:val="800080" w:themeColor="followedHyperlink"/>
      <w:u w:val="single"/>
    </w:rPr>
  </w:style>
  <w:style w:type="paragraph" w:customStyle="1" w:styleId="TableText1">
    <w:name w:val="Table Text"/>
    <w:basedOn w:val="Normal"/>
    <w:next w:val="BodyText"/>
    <w:qFormat/>
    <w:rsid w:val="00885A45"/>
    <w:pPr>
      <w:widowControl/>
      <w:spacing w:before="40" w:after="40"/>
    </w:pPr>
    <w:rPr>
      <w:rFonts w:cs="Times New Roman"/>
      <w:snapToGrid/>
      <w:sz w:val="18"/>
      <w:szCs w:val="24"/>
    </w:rPr>
  </w:style>
  <w:style w:type="character" w:styleId="PlaceholderText">
    <w:name w:val="Placeholder Text"/>
    <w:basedOn w:val="DefaultParagraphFont"/>
    <w:uiPriority w:val="99"/>
    <w:semiHidden/>
    <w:rsid w:val="00B62BF4"/>
    <w:rPr>
      <w:color w:val="808080"/>
    </w:rPr>
  </w:style>
  <w:style w:type="paragraph" w:customStyle="1" w:styleId="Table">
    <w:name w:val="Table"/>
    <w:aliases w:val="10 pt  Bold,9 pt"/>
    <w:basedOn w:val="Normal"/>
    <w:link w:val="TableChar"/>
    <w:rsid w:val="009F3929"/>
    <w:pPr>
      <w:keepLines/>
      <w:widowControl/>
      <w:tabs>
        <w:tab w:val="left" w:pos="284"/>
      </w:tabs>
      <w:spacing w:before="40" w:after="20"/>
      <w:jc w:val="left"/>
    </w:pPr>
    <w:rPr>
      <w:rFonts w:eastAsia="MS Mincho" w:cs="Times New Roman"/>
      <w:snapToGrid/>
      <w:sz w:val="20"/>
      <w:szCs w:val="24"/>
      <w:lang w:val="x-none" w:eastAsia="x-none"/>
    </w:rPr>
  </w:style>
  <w:style w:type="character" w:customStyle="1" w:styleId="TableChar">
    <w:name w:val="Table Char"/>
    <w:aliases w:val="10 pt  Bold Char,9 pt Char"/>
    <w:link w:val="Table"/>
    <w:rsid w:val="009F3929"/>
    <w:rPr>
      <w:rFonts w:ascii="Arial" w:eastAsia="MS Mincho" w:hAnsi="Arial" w:cs="Times New Roman"/>
      <w:sz w:val="20"/>
      <w:szCs w:val="24"/>
      <w:lang w:val="x-none" w:eastAsia="x-none"/>
    </w:rPr>
  </w:style>
  <w:style w:type="paragraph" w:customStyle="1" w:styleId="Default">
    <w:name w:val="Default"/>
    <w:rsid w:val="003814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652">
      <w:bodyDiv w:val="1"/>
      <w:marLeft w:val="0"/>
      <w:marRight w:val="0"/>
      <w:marTop w:val="0"/>
      <w:marBottom w:val="0"/>
      <w:divBdr>
        <w:top w:val="none" w:sz="0" w:space="0" w:color="auto"/>
        <w:left w:val="none" w:sz="0" w:space="0" w:color="auto"/>
        <w:bottom w:val="none" w:sz="0" w:space="0" w:color="auto"/>
        <w:right w:val="none" w:sz="0" w:space="0" w:color="auto"/>
      </w:divBdr>
      <w:divsChild>
        <w:div w:id="534200417">
          <w:marLeft w:val="547"/>
          <w:marRight w:val="0"/>
          <w:marTop w:val="134"/>
          <w:marBottom w:val="0"/>
          <w:divBdr>
            <w:top w:val="none" w:sz="0" w:space="0" w:color="auto"/>
            <w:left w:val="none" w:sz="0" w:space="0" w:color="auto"/>
            <w:bottom w:val="none" w:sz="0" w:space="0" w:color="auto"/>
            <w:right w:val="none" w:sz="0" w:space="0" w:color="auto"/>
          </w:divBdr>
        </w:div>
        <w:div w:id="429589945">
          <w:marLeft w:val="1166"/>
          <w:marRight w:val="0"/>
          <w:marTop w:val="115"/>
          <w:marBottom w:val="0"/>
          <w:divBdr>
            <w:top w:val="none" w:sz="0" w:space="0" w:color="auto"/>
            <w:left w:val="none" w:sz="0" w:space="0" w:color="auto"/>
            <w:bottom w:val="none" w:sz="0" w:space="0" w:color="auto"/>
            <w:right w:val="none" w:sz="0" w:space="0" w:color="auto"/>
          </w:divBdr>
        </w:div>
      </w:divsChild>
    </w:div>
    <w:div w:id="114371625">
      <w:bodyDiv w:val="1"/>
      <w:marLeft w:val="0"/>
      <w:marRight w:val="0"/>
      <w:marTop w:val="0"/>
      <w:marBottom w:val="0"/>
      <w:divBdr>
        <w:top w:val="none" w:sz="0" w:space="0" w:color="auto"/>
        <w:left w:val="none" w:sz="0" w:space="0" w:color="auto"/>
        <w:bottom w:val="none" w:sz="0" w:space="0" w:color="auto"/>
        <w:right w:val="none" w:sz="0" w:space="0" w:color="auto"/>
      </w:divBdr>
    </w:div>
    <w:div w:id="220136239">
      <w:bodyDiv w:val="1"/>
      <w:marLeft w:val="0"/>
      <w:marRight w:val="0"/>
      <w:marTop w:val="0"/>
      <w:marBottom w:val="0"/>
      <w:divBdr>
        <w:top w:val="none" w:sz="0" w:space="0" w:color="auto"/>
        <w:left w:val="none" w:sz="0" w:space="0" w:color="auto"/>
        <w:bottom w:val="none" w:sz="0" w:space="0" w:color="auto"/>
        <w:right w:val="none" w:sz="0" w:space="0" w:color="auto"/>
      </w:divBdr>
    </w:div>
    <w:div w:id="344284156">
      <w:bodyDiv w:val="1"/>
      <w:marLeft w:val="0"/>
      <w:marRight w:val="0"/>
      <w:marTop w:val="0"/>
      <w:marBottom w:val="0"/>
      <w:divBdr>
        <w:top w:val="none" w:sz="0" w:space="0" w:color="auto"/>
        <w:left w:val="none" w:sz="0" w:space="0" w:color="auto"/>
        <w:bottom w:val="none" w:sz="0" w:space="0" w:color="auto"/>
        <w:right w:val="none" w:sz="0" w:space="0" w:color="auto"/>
      </w:divBdr>
    </w:div>
    <w:div w:id="506557958">
      <w:bodyDiv w:val="1"/>
      <w:marLeft w:val="0"/>
      <w:marRight w:val="0"/>
      <w:marTop w:val="0"/>
      <w:marBottom w:val="0"/>
      <w:divBdr>
        <w:top w:val="none" w:sz="0" w:space="0" w:color="auto"/>
        <w:left w:val="none" w:sz="0" w:space="0" w:color="auto"/>
        <w:bottom w:val="none" w:sz="0" w:space="0" w:color="auto"/>
        <w:right w:val="none" w:sz="0" w:space="0" w:color="auto"/>
      </w:divBdr>
      <w:divsChild>
        <w:div w:id="967053681">
          <w:marLeft w:val="547"/>
          <w:marRight w:val="0"/>
          <w:marTop w:val="134"/>
          <w:marBottom w:val="0"/>
          <w:divBdr>
            <w:top w:val="none" w:sz="0" w:space="0" w:color="auto"/>
            <w:left w:val="none" w:sz="0" w:space="0" w:color="auto"/>
            <w:bottom w:val="none" w:sz="0" w:space="0" w:color="auto"/>
            <w:right w:val="none" w:sz="0" w:space="0" w:color="auto"/>
          </w:divBdr>
        </w:div>
      </w:divsChild>
    </w:div>
    <w:div w:id="947277968">
      <w:bodyDiv w:val="1"/>
      <w:marLeft w:val="0"/>
      <w:marRight w:val="0"/>
      <w:marTop w:val="0"/>
      <w:marBottom w:val="0"/>
      <w:divBdr>
        <w:top w:val="none" w:sz="0" w:space="0" w:color="auto"/>
        <w:left w:val="none" w:sz="0" w:space="0" w:color="auto"/>
        <w:bottom w:val="none" w:sz="0" w:space="0" w:color="auto"/>
        <w:right w:val="none" w:sz="0" w:space="0" w:color="auto"/>
      </w:divBdr>
      <w:divsChild>
        <w:div w:id="490223408">
          <w:marLeft w:val="547"/>
          <w:marRight w:val="0"/>
          <w:marTop w:val="134"/>
          <w:marBottom w:val="0"/>
          <w:divBdr>
            <w:top w:val="none" w:sz="0" w:space="0" w:color="auto"/>
            <w:left w:val="none" w:sz="0" w:space="0" w:color="auto"/>
            <w:bottom w:val="none" w:sz="0" w:space="0" w:color="auto"/>
            <w:right w:val="none" w:sz="0" w:space="0" w:color="auto"/>
          </w:divBdr>
        </w:div>
      </w:divsChild>
    </w:div>
    <w:div w:id="14488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E1B9-AC82-430A-BEF4-380ABC37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11678</Words>
  <Characters>66566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2015-10-22T01:55:00Z</dcterms:created>
  <dcterms:modified xsi:type="dcterms:W3CDTF">2015-10-22T01:58:00Z</dcterms:modified>
</cp:coreProperties>
</file>