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9C" w:rsidRDefault="006D419C" w:rsidP="006D419C">
      <w:pPr>
        <w:pStyle w:val="Header"/>
        <w:widowControl w:val="0"/>
        <w:ind w:left="1350" w:hanging="1350"/>
        <w:rPr>
          <w:rFonts w:ascii="Arial" w:hAnsi="Arial" w:cs="Arial"/>
          <w:b/>
          <w:snapToGrid w:val="0"/>
          <w:sz w:val="28"/>
          <w:szCs w:val="28"/>
        </w:rPr>
      </w:pPr>
    </w:p>
    <w:p w:rsidR="006D419C" w:rsidRPr="0039421A" w:rsidRDefault="006D419C" w:rsidP="006D419C">
      <w:pPr>
        <w:pStyle w:val="Header"/>
        <w:widowControl w:val="0"/>
        <w:rPr>
          <w:rFonts w:ascii="Arial" w:hAnsi="Arial" w:cs="Arial"/>
          <w:snapToGrid w:val="0"/>
          <w:sz w:val="28"/>
          <w:szCs w:val="28"/>
        </w:rPr>
      </w:pPr>
      <w:r w:rsidRPr="0039421A">
        <w:rPr>
          <w:rFonts w:ascii="Arial" w:hAnsi="Arial" w:cs="Arial"/>
          <w:b/>
          <w:snapToGrid w:val="0"/>
          <w:sz w:val="28"/>
          <w:szCs w:val="28"/>
          <w:u w:val="single"/>
        </w:rPr>
        <w:t>DAPAG</w:t>
      </w:r>
      <w:r w:rsidR="0039421A">
        <w:rPr>
          <w:rFonts w:ascii="Arial" w:hAnsi="Arial" w:cs="Arial"/>
          <w:b/>
          <w:snapToGrid w:val="0"/>
          <w:sz w:val="28"/>
          <w:szCs w:val="28"/>
          <w:u w:val="single"/>
        </w:rPr>
        <w:t>LIFLOZIN AND METFORMIN XR</w:t>
      </w:r>
      <w:r w:rsidR="0039421A" w:rsidRPr="0039421A">
        <w:rPr>
          <w:rFonts w:ascii="Arial" w:hAnsi="Arial" w:cs="Arial"/>
          <w:b/>
          <w:snapToGrid w:val="0"/>
          <w:sz w:val="28"/>
          <w:szCs w:val="28"/>
          <w:u w:val="single"/>
        </w:rPr>
        <w:t>:</w:t>
      </w:r>
      <w:r w:rsidR="0039421A">
        <w:rPr>
          <w:rFonts w:ascii="Arial" w:hAnsi="Arial" w:cs="Arial"/>
          <w:snapToGrid w:val="0"/>
          <w:sz w:val="22"/>
          <w:szCs w:val="22"/>
        </w:rPr>
        <w:t xml:space="preserve"> </w:t>
      </w:r>
      <w:r w:rsidR="0039421A" w:rsidRPr="0039421A">
        <w:rPr>
          <w:rFonts w:ascii="Arial" w:hAnsi="Arial" w:cs="Arial"/>
          <w:snapToGrid w:val="0"/>
          <w:sz w:val="22"/>
          <w:szCs w:val="22"/>
        </w:rPr>
        <w:t>available as</w:t>
      </w:r>
    </w:p>
    <w:p w:rsidR="006D419C" w:rsidRPr="006457A7" w:rsidRDefault="0039421A" w:rsidP="006D419C">
      <w:pPr>
        <w:pStyle w:val="Header"/>
        <w:widowControl w:val="0"/>
        <w:rPr>
          <w:rFonts w:ascii="Arial" w:hAnsi="Arial" w:cs="Arial"/>
          <w:b/>
          <w:snapToGrid w:val="0"/>
        </w:rPr>
      </w:pPr>
      <w:r w:rsidRPr="0039421A">
        <w:rPr>
          <w:rFonts w:ascii="Arial" w:hAnsi="Arial" w:cs="Arial"/>
          <w:snapToGrid w:val="0"/>
          <w:sz w:val="22"/>
          <w:szCs w:val="22"/>
        </w:rPr>
        <w:t>DAPAG</w:t>
      </w:r>
      <w:r>
        <w:rPr>
          <w:rFonts w:ascii="Arial" w:hAnsi="Arial" w:cs="Arial"/>
          <w:snapToGrid w:val="0"/>
          <w:sz w:val="22"/>
          <w:szCs w:val="22"/>
        </w:rPr>
        <w:t xml:space="preserve">LIFLOZIN AND METFORMIN XR, </w:t>
      </w:r>
      <w:r w:rsidR="006D419C" w:rsidRPr="0039421A">
        <w:rPr>
          <w:rFonts w:ascii="Arial" w:hAnsi="Arial" w:cs="Arial"/>
          <w:snapToGrid w:val="0"/>
          <w:sz w:val="22"/>
          <w:szCs w:val="22"/>
        </w:rPr>
        <w:t>Modified released tablets, 10 mg/500 mg, 10mg/1000 mg, 5 mg/1000 mg, X</w:t>
      </w:r>
      <w:r w:rsidR="006D419C" w:rsidRPr="0039421A">
        <w:rPr>
          <w:rFonts w:ascii="Arial" w:hAnsi="Arial" w:cs="Arial"/>
          <w:caps/>
          <w:snapToGrid w:val="0"/>
          <w:sz w:val="22"/>
          <w:szCs w:val="22"/>
        </w:rPr>
        <w:t>igduo</w:t>
      </w:r>
      <w:r w:rsidRPr="0039421A">
        <w:rPr>
          <w:rFonts w:ascii="Arial" w:hAnsi="Arial" w:cs="Arial"/>
          <w:sz w:val="22"/>
          <w:szCs w:val="22"/>
          <w:vertAlign w:val="superscript"/>
        </w:rPr>
        <w:t>®</w:t>
      </w:r>
      <w:r w:rsidRPr="0039421A">
        <w:rPr>
          <w:rFonts w:ascii="Arial" w:hAnsi="Arial"/>
          <w:sz w:val="22"/>
          <w:szCs w:val="22"/>
          <w:vertAlign w:val="superscript"/>
        </w:rPr>
        <w:t xml:space="preserve"> </w:t>
      </w:r>
      <w:r w:rsidR="006D419C" w:rsidRPr="0039421A">
        <w:rPr>
          <w:rFonts w:ascii="Arial" w:hAnsi="Arial" w:cs="Arial"/>
          <w:snapToGrid w:val="0"/>
          <w:sz w:val="22"/>
          <w:szCs w:val="22"/>
        </w:rPr>
        <w:t>XR, AstraZeneca Pty Ltd</w:t>
      </w:r>
    </w:p>
    <w:p w:rsidR="006D419C" w:rsidRDefault="006D419C" w:rsidP="006D419C">
      <w:pPr>
        <w:widowControl w:val="0"/>
        <w:rPr>
          <w:rFonts w:ascii="Arial" w:hAnsi="Arial" w:cs="Arial"/>
          <w:snapToGrid w:val="0"/>
        </w:rPr>
      </w:pPr>
    </w:p>
    <w:p w:rsidR="006D419C" w:rsidRDefault="006D419C" w:rsidP="006D419C">
      <w:pPr>
        <w:widowControl w:val="0"/>
        <w:tabs>
          <w:tab w:val="right" w:pos="8669"/>
        </w:tabs>
        <w:rPr>
          <w:rFonts w:ascii="Arial" w:hAnsi="Arial" w:cs="Arial"/>
          <w:b/>
        </w:rPr>
      </w:pPr>
    </w:p>
    <w:p w:rsidR="006D419C" w:rsidRDefault="006D419C" w:rsidP="006D419C">
      <w:pPr>
        <w:pStyle w:val="ListParagraph"/>
        <w:numPr>
          <w:ilvl w:val="0"/>
          <w:numId w:val="2"/>
        </w:numPr>
        <w:jc w:val="both"/>
        <w:rPr>
          <w:rFonts w:ascii="Arial" w:hAnsi="Arial"/>
          <w:b/>
          <w:sz w:val="22"/>
          <w:szCs w:val="22"/>
        </w:rPr>
      </w:pPr>
      <w:r>
        <w:rPr>
          <w:rFonts w:ascii="Arial" w:hAnsi="Arial"/>
          <w:b/>
          <w:sz w:val="22"/>
          <w:szCs w:val="22"/>
        </w:rPr>
        <w:t>Purpose of application</w:t>
      </w:r>
    </w:p>
    <w:p w:rsidR="006D419C" w:rsidRDefault="006D419C" w:rsidP="006D419C">
      <w:pPr>
        <w:rPr>
          <w:rFonts w:ascii="Arial" w:hAnsi="Arial" w:cs="Arial"/>
          <w:snapToGrid w:val="0"/>
          <w:sz w:val="22"/>
        </w:rPr>
      </w:pPr>
    </w:p>
    <w:p w:rsidR="006D419C" w:rsidRDefault="006D419C" w:rsidP="006D419C">
      <w:pPr>
        <w:pStyle w:val="ListParagraph"/>
        <w:numPr>
          <w:ilvl w:val="1"/>
          <w:numId w:val="2"/>
        </w:numPr>
        <w:jc w:val="both"/>
        <w:rPr>
          <w:rFonts w:ascii="Arial" w:hAnsi="Arial" w:cs="Arial"/>
          <w:snapToGrid w:val="0"/>
          <w:sz w:val="22"/>
        </w:rPr>
      </w:pPr>
      <w:r>
        <w:rPr>
          <w:rFonts w:ascii="Arial" w:hAnsi="Arial" w:cs="Arial"/>
          <w:snapToGrid w:val="0"/>
          <w:sz w:val="22"/>
        </w:rPr>
        <w:t xml:space="preserve">The minor submission </w:t>
      </w:r>
      <w:r w:rsidR="00B305F5">
        <w:rPr>
          <w:rFonts w:ascii="Arial" w:hAnsi="Arial" w:cs="Arial"/>
          <w:snapToGrid w:val="0"/>
          <w:sz w:val="22"/>
        </w:rPr>
        <w:t xml:space="preserve">sought for </w:t>
      </w:r>
      <w:r>
        <w:rPr>
          <w:rFonts w:ascii="Arial" w:hAnsi="Arial" w:cs="Arial"/>
          <w:snapToGrid w:val="0"/>
          <w:sz w:val="22"/>
        </w:rPr>
        <w:t xml:space="preserve">the PBS indication for </w:t>
      </w:r>
      <w:proofErr w:type="spellStart"/>
      <w:r>
        <w:rPr>
          <w:rFonts w:ascii="Arial" w:hAnsi="Arial" w:cs="Arial"/>
          <w:snapToGrid w:val="0"/>
          <w:sz w:val="22"/>
        </w:rPr>
        <w:t>dapagliflozin+metformin</w:t>
      </w:r>
      <w:proofErr w:type="spellEnd"/>
      <w:r>
        <w:rPr>
          <w:rFonts w:ascii="Arial" w:hAnsi="Arial" w:cs="Arial"/>
          <w:snapToGrid w:val="0"/>
          <w:sz w:val="22"/>
        </w:rPr>
        <w:t xml:space="preserve"> XR </w:t>
      </w:r>
      <w:r>
        <w:rPr>
          <w:rFonts w:ascii="Arial" w:hAnsi="Arial"/>
          <w:sz w:val="22"/>
          <w:szCs w:val="22"/>
        </w:rPr>
        <w:t>(</w:t>
      </w:r>
      <w:r w:rsidRPr="0039421A">
        <w:rPr>
          <w:rFonts w:ascii="Arial" w:hAnsi="Arial" w:cs="Arial"/>
          <w:snapToGrid w:val="0"/>
          <w:sz w:val="22"/>
          <w:szCs w:val="22"/>
        </w:rPr>
        <w:t>X</w:t>
      </w:r>
      <w:r w:rsidRPr="0039421A">
        <w:rPr>
          <w:rFonts w:ascii="Arial" w:hAnsi="Arial" w:cs="Arial"/>
          <w:caps/>
          <w:snapToGrid w:val="0"/>
          <w:sz w:val="22"/>
          <w:szCs w:val="22"/>
        </w:rPr>
        <w:t>igduo</w:t>
      </w:r>
      <w:r w:rsidRPr="0039421A">
        <w:rPr>
          <w:rFonts w:ascii="Arial" w:hAnsi="Arial" w:cs="Arial"/>
          <w:sz w:val="22"/>
          <w:szCs w:val="22"/>
          <w:vertAlign w:val="superscript"/>
        </w:rPr>
        <w:t>®</w:t>
      </w:r>
      <w:r>
        <w:rPr>
          <w:rFonts w:ascii="Arial" w:hAnsi="Arial"/>
          <w:sz w:val="22"/>
          <w:szCs w:val="22"/>
          <w:vertAlign w:val="superscript"/>
        </w:rPr>
        <w:t xml:space="preserve"> </w:t>
      </w:r>
      <w:r>
        <w:rPr>
          <w:rFonts w:ascii="Arial" w:hAnsi="Arial"/>
          <w:sz w:val="22"/>
          <w:szCs w:val="22"/>
        </w:rPr>
        <w:t>XR</w:t>
      </w:r>
      <w:r w:rsidRPr="00450434">
        <w:rPr>
          <w:rFonts w:ascii="Arial" w:hAnsi="Arial"/>
          <w:sz w:val="22"/>
          <w:szCs w:val="22"/>
        </w:rPr>
        <w:t>)</w:t>
      </w:r>
      <w:r>
        <w:rPr>
          <w:rFonts w:ascii="Arial" w:hAnsi="Arial"/>
          <w:b/>
          <w:sz w:val="28"/>
          <w:szCs w:val="28"/>
        </w:rPr>
        <w:t xml:space="preserve"> </w:t>
      </w:r>
      <w:r>
        <w:rPr>
          <w:rFonts w:ascii="Arial" w:hAnsi="Arial" w:cs="Arial"/>
          <w:snapToGrid w:val="0"/>
          <w:sz w:val="22"/>
        </w:rPr>
        <w:t xml:space="preserve">fixed dose combination (FDC) </w:t>
      </w:r>
      <w:r w:rsidR="0039421A">
        <w:rPr>
          <w:rFonts w:ascii="Arial" w:hAnsi="Arial" w:cs="Arial"/>
          <w:snapToGrid w:val="0"/>
          <w:sz w:val="22"/>
        </w:rPr>
        <w:t xml:space="preserve">to </w:t>
      </w:r>
      <w:r>
        <w:rPr>
          <w:rFonts w:ascii="Arial" w:hAnsi="Arial" w:cs="Arial"/>
          <w:snapToGrid w:val="0"/>
          <w:sz w:val="22"/>
        </w:rPr>
        <w:t xml:space="preserve">be extended to include use in the Add On to Insulin (AOI) and Triple Oral Therapy (TOT) settings.  This will align the PBS listings for </w:t>
      </w:r>
      <w:proofErr w:type="spellStart"/>
      <w:r>
        <w:rPr>
          <w:rFonts w:ascii="Arial" w:hAnsi="Arial" w:cs="Arial"/>
          <w:snapToGrid w:val="0"/>
          <w:sz w:val="22"/>
        </w:rPr>
        <w:t>dapagliflozin</w:t>
      </w:r>
      <w:proofErr w:type="spellEnd"/>
      <w:r>
        <w:rPr>
          <w:rFonts w:ascii="Arial" w:hAnsi="Arial" w:cs="Arial"/>
          <w:snapToGrid w:val="0"/>
          <w:sz w:val="22"/>
        </w:rPr>
        <w:t xml:space="preserve"> monotherapy (F</w:t>
      </w:r>
      <w:r w:rsidRPr="00827217">
        <w:rPr>
          <w:rFonts w:ascii="Arial" w:hAnsi="Arial" w:cs="Arial"/>
          <w:caps/>
          <w:snapToGrid w:val="0"/>
          <w:sz w:val="22"/>
        </w:rPr>
        <w:t>orxiga</w:t>
      </w:r>
      <w:r w:rsidRPr="00DB350B">
        <w:rPr>
          <w:rFonts w:ascii="Arial" w:hAnsi="Arial" w:cs="Arial"/>
          <w:sz w:val="22"/>
          <w:szCs w:val="22"/>
          <w:vertAlign w:val="superscript"/>
        </w:rPr>
        <w:t>®</w:t>
      </w:r>
      <w:r>
        <w:rPr>
          <w:rFonts w:ascii="Arial Narrow" w:hAnsi="Arial Narrow" w:cs="Arial"/>
          <w:sz w:val="20"/>
          <w:szCs w:val="20"/>
        </w:rPr>
        <w:t>)</w:t>
      </w:r>
      <w:r>
        <w:rPr>
          <w:rFonts w:ascii="Arial" w:hAnsi="Arial" w:cs="Arial"/>
          <w:snapToGrid w:val="0"/>
          <w:sz w:val="22"/>
        </w:rPr>
        <w:t xml:space="preserve"> and the </w:t>
      </w:r>
      <w:proofErr w:type="spellStart"/>
      <w:proofErr w:type="gramStart"/>
      <w:r>
        <w:rPr>
          <w:rFonts w:ascii="Arial" w:hAnsi="Arial" w:cs="Arial"/>
          <w:snapToGrid w:val="0"/>
          <w:sz w:val="22"/>
        </w:rPr>
        <w:t>dapagliflozin+</w:t>
      </w:r>
      <w:proofErr w:type="gramEnd"/>
      <w:r>
        <w:rPr>
          <w:rFonts w:ascii="Arial" w:hAnsi="Arial" w:cs="Arial"/>
          <w:snapToGrid w:val="0"/>
          <w:sz w:val="22"/>
        </w:rPr>
        <w:t>metformin</w:t>
      </w:r>
      <w:proofErr w:type="spellEnd"/>
      <w:r>
        <w:rPr>
          <w:rFonts w:ascii="Arial" w:hAnsi="Arial" w:cs="Arial"/>
          <w:snapToGrid w:val="0"/>
          <w:sz w:val="22"/>
        </w:rPr>
        <w:t xml:space="preserve"> FDC.</w:t>
      </w:r>
    </w:p>
    <w:p w:rsidR="006D419C" w:rsidRPr="00596402" w:rsidRDefault="006D419C" w:rsidP="006D419C">
      <w:pPr>
        <w:rPr>
          <w:rFonts w:ascii="Arial" w:hAnsi="Arial" w:cs="Arial"/>
          <w:b/>
          <w:sz w:val="22"/>
          <w:szCs w:val="22"/>
        </w:rPr>
      </w:pPr>
    </w:p>
    <w:p w:rsidR="006D419C" w:rsidRDefault="006D419C" w:rsidP="006D419C">
      <w:pPr>
        <w:pStyle w:val="ListParagraph"/>
        <w:numPr>
          <w:ilvl w:val="0"/>
          <w:numId w:val="2"/>
        </w:numPr>
        <w:jc w:val="both"/>
        <w:rPr>
          <w:rFonts w:ascii="Arial" w:hAnsi="Arial"/>
          <w:b/>
          <w:sz w:val="22"/>
          <w:szCs w:val="22"/>
        </w:rPr>
      </w:pPr>
      <w:r w:rsidRPr="00D81B96">
        <w:rPr>
          <w:rFonts w:ascii="Arial" w:hAnsi="Arial"/>
          <w:b/>
          <w:sz w:val="22"/>
          <w:szCs w:val="22"/>
        </w:rPr>
        <w:t xml:space="preserve">Requested Listing: </w:t>
      </w:r>
    </w:p>
    <w:p w:rsidR="006D419C" w:rsidRDefault="006D419C" w:rsidP="006D419C">
      <w:pPr>
        <w:pStyle w:val="ListParagraph"/>
        <w:jc w:val="both"/>
        <w:rPr>
          <w:rFonts w:ascii="Arial" w:hAnsi="Arial"/>
          <w:b/>
          <w:sz w:val="22"/>
          <w:szCs w:val="22"/>
        </w:rPr>
      </w:pPr>
    </w:p>
    <w:p w:rsidR="006D419C" w:rsidRPr="006457A7" w:rsidRDefault="0039421A" w:rsidP="006D419C">
      <w:pPr>
        <w:pStyle w:val="ListParagraph"/>
        <w:numPr>
          <w:ilvl w:val="1"/>
          <w:numId w:val="2"/>
        </w:numPr>
        <w:rPr>
          <w:rFonts w:ascii="Arial" w:hAnsi="Arial" w:cs="Arial"/>
          <w:snapToGrid w:val="0"/>
          <w:sz w:val="22"/>
        </w:rPr>
      </w:pPr>
      <w:r>
        <w:rPr>
          <w:rFonts w:ascii="Arial" w:hAnsi="Arial" w:cs="Arial"/>
          <w:snapToGrid w:val="0"/>
          <w:sz w:val="22"/>
        </w:rPr>
        <w:t>The submission proposed</w:t>
      </w:r>
      <w:r w:rsidR="006D419C">
        <w:rPr>
          <w:rFonts w:ascii="Arial" w:hAnsi="Arial" w:cs="Arial"/>
          <w:snapToGrid w:val="0"/>
          <w:sz w:val="22"/>
        </w:rPr>
        <w:t xml:space="preserve"> the following listings:</w:t>
      </w:r>
    </w:p>
    <w:p w:rsidR="006D419C" w:rsidRDefault="006D419C" w:rsidP="006D419C">
      <w:pPr>
        <w:rPr>
          <w:rFonts w:ascii="Arial" w:hAnsi="Arial" w:cs="Arial"/>
          <w:sz w:val="22"/>
          <w:szCs w:val="22"/>
        </w:rPr>
      </w:pPr>
    </w:p>
    <w:p w:rsidR="006D419C" w:rsidRPr="00E84213" w:rsidRDefault="006D419C" w:rsidP="006D419C">
      <w:pPr>
        <w:ind w:left="720"/>
        <w:rPr>
          <w:rFonts w:ascii="Arial" w:hAnsi="Arial" w:cs="Arial"/>
          <w:b/>
          <w:sz w:val="22"/>
          <w:szCs w:val="22"/>
        </w:rPr>
      </w:pPr>
      <w:r w:rsidRPr="00E84213">
        <w:rPr>
          <w:rFonts w:ascii="Arial" w:hAnsi="Arial" w:cs="Arial"/>
          <w:b/>
          <w:sz w:val="22"/>
          <w:szCs w:val="22"/>
        </w:rPr>
        <w:t>Add on to insulin</w:t>
      </w:r>
    </w:p>
    <w:p w:rsidR="006D419C" w:rsidRDefault="006D419C" w:rsidP="006D419C">
      <w:pPr>
        <w:ind w:left="720"/>
        <w:rPr>
          <w:rFonts w:ascii="Arial" w:hAnsi="Arial" w:cs="Arial"/>
          <w:sz w:val="22"/>
          <w:szCs w:val="22"/>
        </w:rPr>
      </w:pPr>
    </w:p>
    <w:tbl>
      <w:tblPr>
        <w:tblW w:w="8363" w:type="dxa"/>
        <w:tblInd w:w="817" w:type="dxa"/>
        <w:tblLayout w:type="fixed"/>
        <w:tblLook w:val="0000" w:firstRow="0" w:lastRow="0" w:firstColumn="0" w:lastColumn="0" w:noHBand="0" w:noVBand="0"/>
      </w:tblPr>
      <w:tblGrid>
        <w:gridCol w:w="2552"/>
        <w:gridCol w:w="1134"/>
        <w:gridCol w:w="1134"/>
        <w:gridCol w:w="708"/>
        <w:gridCol w:w="1276"/>
        <w:gridCol w:w="1559"/>
      </w:tblGrid>
      <w:tr w:rsidR="006D419C" w:rsidRPr="00596402" w:rsidTr="00BC5302">
        <w:trPr>
          <w:cantSplit/>
          <w:trHeight w:val="471"/>
        </w:trPr>
        <w:tc>
          <w:tcPr>
            <w:tcW w:w="2552"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Max.</w:t>
            </w:r>
          </w:p>
          <w:p w:rsidR="006D419C" w:rsidRPr="00596402" w:rsidRDefault="006D419C" w:rsidP="00F82FF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 xml:space="preserve">Max.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p>
        </w:tc>
        <w:tc>
          <w:tcPr>
            <w:tcW w:w="2835" w:type="dxa"/>
            <w:gridSpan w:val="2"/>
            <w:tcBorders>
              <w:bottom w:val="single" w:sz="4" w:space="0" w:color="auto"/>
            </w:tcBorders>
          </w:tcPr>
          <w:p w:rsidR="006D419C" w:rsidRPr="00596402" w:rsidRDefault="006D419C" w:rsidP="00F82FF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6D419C" w:rsidRPr="00596402" w:rsidTr="00BC5302">
        <w:trPr>
          <w:cantSplit/>
          <w:trHeight w:val="1145"/>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val="restart"/>
            <w:vAlign w:val="center"/>
          </w:tcPr>
          <w:p w:rsidR="006D419C" w:rsidRPr="00596402" w:rsidRDefault="006D419C" w:rsidP="00F82FF1">
            <w:pPr>
              <w:keepNext/>
              <w:rPr>
                <w:rFonts w:ascii="Arial Narrow" w:hAnsi="Arial Narrow" w:cs="Arial"/>
                <w:sz w:val="20"/>
                <w:szCs w:val="20"/>
              </w:rPr>
            </w:pPr>
            <w:proofErr w:type="spellStart"/>
            <w:r>
              <w:rPr>
                <w:rFonts w:ascii="Arial Narrow" w:hAnsi="Arial Narrow" w:cs="Arial"/>
                <w:sz w:val="20"/>
                <w:szCs w:val="20"/>
              </w:rPr>
              <w:t>Xigduo</w:t>
            </w:r>
            <w:proofErr w:type="spellEnd"/>
            <w:r w:rsidRPr="00DB350B">
              <w:rPr>
                <w:rFonts w:ascii="Arial Narrow" w:hAnsi="Arial Narrow" w:cs="Arial"/>
                <w:sz w:val="20"/>
                <w:szCs w:val="20"/>
                <w:vertAlign w:val="superscript"/>
              </w:rPr>
              <w:t>®</w:t>
            </w:r>
            <w:r>
              <w:rPr>
                <w:rFonts w:ascii="Arial Narrow" w:hAnsi="Arial Narrow" w:cs="Arial"/>
                <w:sz w:val="20"/>
                <w:szCs w:val="20"/>
              </w:rPr>
              <w:t xml:space="preserve"> XR</w:t>
            </w:r>
          </w:p>
        </w:tc>
        <w:tc>
          <w:tcPr>
            <w:tcW w:w="1559" w:type="dxa"/>
            <w:vMerge w:val="restart"/>
            <w:vAlign w:val="center"/>
          </w:tcPr>
          <w:p w:rsidR="006D419C" w:rsidRDefault="006D419C" w:rsidP="00F82FF1">
            <w:pPr>
              <w:keepNext/>
              <w:rPr>
                <w:rFonts w:ascii="Arial Narrow" w:hAnsi="Arial Narrow" w:cs="Arial"/>
                <w:sz w:val="20"/>
                <w:szCs w:val="20"/>
              </w:rPr>
            </w:pPr>
          </w:p>
          <w:p w:rsidR="006D419C" w:rsidRPr="00596402" w:rsidRDefault="006D419C" w:rsidP="00F82FF1">
            <w:pPr>
              <w:keepNext/>
              <w:rPr>
                <w:rFonts w:ascii="Arial Narrow" w:hAnsi="Arial Narrow" w:cs="Arial"/>
                <w:sz w:val="20"/>
                <w:szCs w:val="20"/>
              </w:rPr>
            </w:pPr>
            <w:r>
              <w:rPr>
                <w:rFonts w:ascii="Arial Narrow" w:hAnsi="Arial Narrow" w:cs="Arial"/>
                <w:sz w:val="20"/>
                <w:szCs w:val="20"/>
              </w:rPr>
              <w:t>AstraZeneca</w:t>
            </w:r>
          </w:p>
        </w:tc>
      </w:tr>
      <w:tr w:rsidR="006D419C" w:rsidRPr="00596402" w:rsidTr="00BC5302">
        <w:trPr>
          <w:cantSplit/>
          <w:trHeight w:val="1129"/>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mallCaps/>
                <w:sz w:val="20"/>
                <w:szCs w:val="20"/>
              </w:rPr>
            </w:pPr>
            <w:r>
              <w:rPr>
                <w:rFonts w:ascii="Arial Narrow" w:hAnsi="Arial Narrow" w:cs="Arial"/>
                <w:sz w:val="20"/>
                <w:szCs w:val="20"/>
              </w:rPr>
              <w:t>Tablet, 10mg/1000mg</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vMerge/>
          </w:tcPr>
          <w:p w:rsidR="006D419C" w:rsidRDefault="006D419C" w:rsidP="00F82FF1">
            <w:pPr>
              <w:keepNext/>
              <w:jc w:val="both"/>
              <w:rPr>
                <w:rFonts w:ascii="Arial Narrow" w:hAnsi="Arial Narrow" w:cs="Arial"/>
                <w:sz w:val="20"/>
                <w:szCs w:val="20"/>
              </w:rPr>
            </w:pPr>
          </w:p>
        </w:tc>
      </w:tr>
      <w:tr w:rsidR="006D419C" w:rsidRPr="00596402" w:rsidTr="00BC5302">
        <w:trPr>
          <w:cantSplit/>
          <w:trHeight w:val="577"/>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mallCaps/>
                <w:sz w:val="20"/>
                <w:szCs w:val="20"/>
              </w:rPr>
            </w:pPr>
            <w:r>
              <w:rPr>
                <w:rFonts w:ascii="Arial Narrow" w:hAnsi="Arial Narrow" w:cs="Arial"/>
                <w:sz w:val="20"/>
                <w:szCs w:val="20"/>
              </w:rPr>
              <w:t>Tablet, 5mg/1000mg</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56</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vMerge/>
          </w:tcPr>
          <w:p w:rsidR="006D419C" w:rsidRDefault="006D419C" w:rsidP="00F82FF1">
            <w:pPr>
              <w:keepNext/>
              <w:jc w:val="both"/>
              <w:rPr>
                <w:rFonts w:ascii="Arial Narrow" w:hAnsi="Arial Narrow" w:cs="Arial"/>
                <w:sz w:val="20"/>
                <w:szCs w:val="20"/>
              </w:rPr>
            </w:pPr>
          </w:p>
        </w:tc>
      </w:tr>
      <w:tr w:rsidR="006D419C" w:rsidRPr="00596402" w:rsidTr="00BC5302">
        <w:trPr>
          <w:cantSplit/>
          <w:trHeight w:val="209"/>
        </w:trPr>
        <w:tc>
          <w:tcPr>
            <w:tcW w:w="2552" w:type="dxa"/>
          </w:tcPr>
          <w:p w:rsidR="006D419C" w:rsidRDefault="006D419C" w:rsidP="00F82FF1">
            <w:pPr>
              <w:keepNext/>
              <w:ind w:left="-108"/>
              <w:jc w:val="both"/>
              <w:rPr>
                <w:rFonts w:ascii="Arial Narrow" w:hAnsi="Arial Narrow" w:cs="Arial"/>
                <w:smallCaps/>
                <w:sz w:val="20"/>
                <w:szCs w:val="20"/>
              </w:rPr>
            </w:pPr>
          </w:p>
        </w:tc>
        <w:tc>
          <w:tcPr>
            <w:tcW w:w="1134" w:type="dxa"/>
          </w:tcPr>
          <w:p w:rsidR="006D419C" w:rsidRDefault="006D419C" w:rsidP="00F82FF1">
            <w:pPr>
              <w:keepNext/>
              <w:ind w:left="-108"/>
              <w:jc w:val="both"/>
              <w:rPr>
                <w:rFonts w:ascii="Arial Narrow" w:hAnsi="Arial Narrow" w:cs="Arial"/>
                <w:sz w:val="20"/>
                <w:szCs w:val="20"/>
              </w:rPr>
            </w:pPr>
          </w:p>
        </w:tc>
        <w:tc>
          <w:tcPr>
            <w:tcW w:w="1134" w:type="dxa"/>
          </w:tcPr>
          <w:p w:rsidR="006D419C" w:rsidRDefault="006D419C" w:rsidP="00F82FF1">
            <w:pPr>
              <w:keepNext/>
              <w:ind w:left="-108"/>
              <w:jc w:val="both"/>
              <w:rPr>
                <w:rFonts w:ascii="Arial Narrow" w:hAnsi="Arial Narrow" w:cs="Arial"/>
                <w:sz w:val="20"/>
                <w:szCs w:val="20"/>
              </w:rPr>
            </w:pP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tcPr>
          <w:p w:rsidR="006D419C" w:rsidRDefault="006D419C" w:rsidP="00F82FF1">
            <w:pPr>
              <w:keepNext/>
              <w:jc w:val="both"/>
              <w:rPr>
                <w:rFonts w:ascii="Arial Narrow" w:hAnsi="Arial Narrow" w:cs="Arial"/>
                <w:sz w:val="20"/>
                <w:szCs w:val="20"/>
              </w:rPr>
            </w:pPr>
          </w:p>
        </w:tc>
      </w:tr>
    </w:tbl>
    <w:p w:rsidR="006D419C" w:rsidRDefault="006D419C" w:rsidP="006D419C">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2126"/>
        <w:gridCol w:w="6237"/>
      </w:tblGrid>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 xml:space="preserve">Category / </w:t>
            </w:r>
          </w:p>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Program</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sidRPr="00596402">
              <w:rPr>
                <w:rFonts w:ascii="Arial Narrow" w:hAnsi="Arial Narrow" w:cs="Arial"/>
                <w:sz w:val="20"/>
                <w:szCs w:val="20"/>
              </w:rPr>
              <w:t>GENERAL – General Schedule (Code GE)</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type:</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bookmarkEnd w:id="0"/>
            <w:r w:rsidRPr="00596402">
              <w:rPr>
                <w:rFonts w:ascii="Arial Narrow" w:hAnsi="Arial Narrow" w:cs="Arial"/>
                <w:sz w:val="20"/>
                <w:szCs w:val="20"/>
              </w:rPr>
              <w:t xml:space="preserve">Nurse practitioners  </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PBS Indication:</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Diabetes mellitus type 2</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827217" w:rsidRDefault="006D419C" w:rsidP="00F82FF1">
            <w:pPr>
              <w:rPr>
                <w:rFonts w:ascii="Arial Narrow" w:hAnsi="Arial Narrow" w:cs="Arial"/>
                <w:b/>
                <w:sz w:val="20"/>
                <w:szCs w:val="20"/>
              </w:rPr>
            </w:pPr>
            <w:r w:rsidRPr="00596402">
              <w:rPr>
                <w:rFonts w:ascii="Arial Narrow" w:hAnsi="Arial Narrow" w:cs="Arial"/>
                <w:b/>
                <w:sz w:val="20"/>
                <w:szCs w:val="20"/>
              </w:rPr>
              <w:t>Restriction Level / Method:</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Authority Required (Streamlined)</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lastRenderedPageBreak/>
              <w:t>Clinical criteria:</w:t>
            </w:r>
          </w:p>
          <w:p w:rsidR="006D419C" w:rsidRPr="00596402" w:rsidRDefault="006D419C" w:rsidP="00F82FF1">
            <w:pPr>
              <w:jc w:val="both"/>
              <w:rPr>
                <w:rFonts w:ascii="Arial Narrow" w:hAnsi="Arial Narrow" w:cs="Arial"/>
                <w:i/>
                <w:sz w:val="20"/>
                <w:szCs w:val="20"/>
              </w:rPr>
            </w:pPr>
          </w:p>
          <w:p w:rsidR="006D419C" w:rsidRPr="00596402" w:rsidRDefault="006D419C" w:rsidP="00F82FF1">
            <w:pPr>
              <w:jc w:val="both"/>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The treatment must be in combination with insulin</w:t>
            </w: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AND</w:t>
            </w: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Patient must have, or have had, a HbA1c measurement greater than 7% prior to the initiation of a sodium-glucose co-transporter 2 (SGLT2) inhibitor despite treatment with insulin and oral antidiabetic agents, or insulin alone where m</w:t>
            </w:r>
            <w:r>
              <w:rPr>
                <w:rFonts w:ascii="Arial Narrow" w:eastAsia="Times New Roman" w:hAnsi="Arial Narrow" w:cs="Arial"/>
                <w:lang w:val="en-AU" w:eastAsia="en-AU"/>
              </w:rPr>
              <w:t xml:space="preserve">etformin is contraindicated; </w:t>
            </w:r>
          </w:p>
          <w:p w:rsidR="006D419C" w:rsidRDefault="006D419C" w:rsidP="00F82FF1">
            <w:pPr>
              <w:pStyle w:val="TableText"/>
              <w:spacing w:before="60" w:line="240" w:lineRule="auto"/>
              <w:rPr>
                <w:rFonts w:ascii="Arial Narrow" w:eastAsia="Times New Roman" w:hAnsi="Arial Narrow" w:cs="Arial"/>
                <w:lang w:val="en-AU" w:eastAsia="en-AU"/>
              </w:rPr>
            </w:pPr>
            <w:r>
              <w:rPr>
                <w:rFonts w:ascii="Arial Narrow" w:eastAsia="Times New Roman" w:hAnsi="Arial Narrow" w:cs="Arial"/>
                <w:lang w:val="en-AU" w:eastAsia="en-AU"/>
              </w:rPr>
              <w:t>OR</w:t>
            </w: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Patient must have, or have had, where HbA1c measurement is clinically inappropriate, blood glucose levels greater than 10 </w:t>
            </w:r>
            <w:proofErr w:type="spellStart"/>
            <w:r w:rsidRPr="003E5C05">
              <w:rPr>
                <w:rFonts w:ascii="Arial Narrow" w:eastAsia="Times New Roman" w:hAnsi="Arial Narrow" w:cs="Arial"/>
                <w:lang w:val="en-AU" w:eastAsia="en-AU"/>
              </w:rPr>
              <w:t>mmol</w:t>
            </w:r>
            <w:proofErr w:type="spellEnd"/>
            <w:r w:rsidRPr="003E5C05">
              <w:rPr>
                <w:rFonts w:ascii="Arial Narrow" w:eastAsia="Times New Roman" w:hAnsi="Arial Narrow" w:cs="Arial"/>
                <w:lang w:val="en-AU" w:eastAsia="en-AU"/>
              </w:rPr>
              <w:t xml:space="preserve"> per L in more than 20% of tests over a 2 week period prior to an SGLT2 inhibitor despite treatment with insulin and oral antidiabetic agents</w:t>
            </w:r>
          </w:p>
          <w:p w:rsidR="006D419C" w:rsidRPr="00596402" w:rsidRDefault="006D419C" w:rsidP="00F82FF1">
            <w:pPr>
              <w:jc w:val="both"/>
              <w:rPr>
                <w:rFonts w:ascii="Arial Narrow" w:hAnsi="Arial Narrow" w:cs="Arial"/>
                <w:sz w:val="20"/>
                <w:szCs w:val="20"/>
              </w:rPr>
            </w:pP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Instructions</w:t>
            </w:r>
          </w:p>
          <w:p w:rsidR="006D419C" w:rsidRPr="00596402" w:rsidRDefault="006D419C" w:rsidP="00F82FF1">
            <w:pPr>
              <w:jc w:val="both"/>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The date and level of the qualifying HbA1c measurement must be, or must have been, documented in the patient's medical records at the time treatment with an SGLT2 inhibitor is initiated. </w:t>
            </w:r>
          </w:p>
          <w:p w:rsidR="006D419C" w:rsidRDefault="006D419C" w:rsidP="00F82FF1">
            <w:pPr>
              <w:pStyle w:val="TableText"/>
              <w:spacing w:before="60" w:line="240" w:lineRule="auto"/>
              <w:rPr>
                <w:rFonts w:ascii="Arial Narrow" w:eastAsia="Times New Roman" w:hAnsi="Arial Narrow" w:cs="Arial"/>
                <w:lang w:val="en-AU" w:eastAsia="en-AU"/>
              </w:rPr>
            </w:pP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The HbA1c must be no more than 4 months old at the time treatment with a </w:t>
            </w:r>
            <w:proofErr w:type="spellStart"/>
            <w:r w:rsidRPr="003E5C05">
              <w:rPr>
                <w:rFonts w:ascii="Arial Narrow" w:eastAsia="Times New Roman" w:hAnsi="Arial Narrow" w:cs="Arial"/>
                <w:lang w:val="en-AU" w:eastAsia="en-AU"/>
              </w:rPr>
              <w:t>dipeptidyl</w:t>
            </w:r>
            <w:proofErr w:type="spellEnd"/>
            <w:r w:rsidRPr="003E5C05">
              <w:rPr>
                <w:rFonts w:ascii="Arial Narrow" w:eastAsia="Times New Roman" w:hAnsi="Arial Narrow" w:cs="Arial"/>
                <w:lang w:val="en-AU" w:eastAsia="en-AU"/>
              </w:rPr>
              <w:t xml:space="preserve"> peptidase </w:t>
            </w:r>
            <w:proofErr w:type="gramStart"/>
            <w:r w:rsidRPr="003E5C05">
              <w:rPr>
                <w:rFonts w:ascii="Arial Narrow" w:eastAsia="Times New Roman" w:hAnsi="Arial Narrow" w:cs="Arial"/>
                <w:lang w:val="en-AU" w:eastAsia="en-AU"/>
              </w:rPr>
              <w:t>4 inhibitor (DPP4), a thiazolidinedione (</w:t>
            </w:r>
            <w:proofErr w:type="spellStart"/>
            <w:r w:rsidRPr="003E5C05">
              <w:rPr>
                <w:rFonts w:ascii="Arial Narrow" w:eastAsia="Times New Roman" w:hAnsi="Arial Narrow" w:cs="Arial"/>
                <w:lang w:val="en-AU" w:eastAsia="en-AU"/>
              </w:rPr>
              <w:t>glitazone</w:t>
            </w:r>
            <w:proofErr w:type="spellEnd"/>
            <w:r w:rsidRPr="003E5C05">
              <w:rPr>
                <w:rFonts w:ascii="Arial Narrow" w:eastAsia="Times New Roman" w:hAnsi="Arial Narrow" w:cs="Arial"/>
                <w:lang w:val="en-AU" w:eastAsia="en-AU"/>
              </w:rPr>
              <w:t>), a glucagon-like peptide-1 (GLP1)</w:t>
            </w:r>
            <w:proofErr w:type="gramEnd"/>
            <w:r w:rsidRPr="003E5C05">
              <w:rPr>
                <w:rFonts w:ascii="Arial Narrow" w:eastAsia="Times New Roman" w:hAnsi="Arial Narrow" w:cs="Arial"/>
                <w:lang w:val="en-AU" w:eastAsia="en-AU"/>
              </w:rPr>
              <w:t xml:space="preserve"> or an SGLT2 inhibitor was initiated. </w:t>
            </w:r>
          </w:p>
          <w:p w:rsidR="006D419C" w:rsidRDefault="006D419C" w:rsidP="00F82FF1">
            <w:pPr>
              <w:pStyle w:val="TableText"/>
              <w:spacing w:before="60" w:line="240" w:lineRule="auto"/>
              <w:rPr>
                <w:rFonts w:ascii="Arial Narrow" w:eastAsia="Times New Roman" w:hAnsi="Arial Narrow" w:cs="Arial"/>
                <w:lang w:val="en-AU" w:eastAsia="en-AU"/>
              </w:rPr>
            </w:pP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Blood glucose monitoring may be used as an alternative assessment to HbA1c levels in the following circumstances:</w:t>
            </w: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(a) A clinical condition with reduced red blood cell survival, including haemolytic anaemias and haemoglobinopathies; and/or</w:t>
            </w: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(b) Had red cell transfusion within the previous 3 months.</w:t>
            </w:r>
          </w:p>
          <w:p w:rsidR="006D419C" w:rsidRPr="003E5C05" w:rsidRDefault="006D419C" w:rsidP="00F82FF1">
            <w:pPr>
              <w:pStyle w:val="TableText"/>
              <w:spacing w:before="60" w:line="240" w:lineRule="auto"/>
              <w:rPr>
                <w:rFonts w:ascii="Arial Narrow" w:eastAsia="Times New Roman" w:hAnsi="Arial Narrow" w:cs="Arial"/>
                <w:lang w:val="en-AU" w:eastAsia="en-AU"/>
              </w:rPr>
            </w:pPr>
          </w:p>
          <w:p w:rsidR="006D419C" w:rsidRPr="00596402" w:rsidRDefault="006D419C" w:rsidP="00BC5302">
            <w:pPr>
              <w:jc w:val="both"/>
              <w:rPr>
                <w:rFonts w:ascii="Arial Narrow" w:hAnsi="Arial Narrow" w:cs="Arial"/>
                <w:sz w:val="20"/>
                <w:szCs w:val="20"/>
              </w:rPr>
            </w:pPr>
            <w:r w:rsidRPr="003E5C05">
              <w:rPr>
                <w:rFonts w:ascii="Arial Narrow" w:hAnsi="Arial Narrow" w:cs="Arial"/>
                <w:sz w:val="20"/>
                <w:szCs w:val="20"/>
              </w:rPr>
              <w:t>The results of the blood glucose monitoring, which must be no more than 4 months old at the time of initiation of treatment with an SGLT2 inhibitor, must be documented in the patient's medical records.</w:t>
            </w:r>
          </w:p>
        </w:tc>
      </w:tr>
    </w:tbl>
    <w:p w:rsidR="006D419C" w:rsidRDefault="006D419C" w:rsidP="006D419C">
      <w:pPr>
        <w:rPr>
          <w:rFonts w:ascii="Arial" w:hAnsi="Arial" w:cs="Arial"/>
          <w:sz w:val="22"/>
          <w:szCs w:val="22"/>
        </w:rPr>
      </w:pPr>
    </w:p>
    <w:p w:rsidR="00C76156" w:rsidRDefault="006D419C" w:rsidP="006D419C">
      <w:pPr>
        <w:rPr>
          <w:rFonts w:ascii="Arial" w:hAnsi="Arial" w:cs="Arial"/>
          <w:sz w:val="22"/>
          <w:szCs w:val="22"/>
        </w:rPr>
      </w:pPr>
      <w:r>
        <w:rPr>
          <w:rFonts w:ascii="Arial" w:hAnsi="Arial" w:cs="Arial"/>
          <w:sz w:val="22"/>
          <w:szCs w:val="22"/>
        </w:rPr>
        <w:tab/>
      </w:r>
    </w:p>
    <w:p w:rsidR="00C76156" w:rsidRDefault="00C76156">
      <w:pPr>
        <w:rPr>
          <w:rFonts w:ascii="Arial" w:hAnsi="Arial" w:cs="Arial"/>
          <w:sz w:val="22"/>
          <w:szCs w:val="22"/>
        </w:rPr>
      </w:pPr>
      <w:r>
        <w:rPr>
          <w:rFonts w:ascii="Arial" w:hAnsi="Arial" w:cs="Arial"/>
          <w:sz w:val="22"/>
          <w:szCs w:val="22"/>
        </w:rPr>
        <w:br w:type="page"/>
      </w:r>
    </w:p>
    <w:p w:rsidR="006D419C" w:rsidRPr="00E84213" w:rsidRDefault="006D419C" w:rsidP="00C76156">
      <w:pPr>
        <w:ind w:firstLine="720"/>
        <w:rPr>
          <w:rFonts w:ascii="Arial" w:hAnsi="Arial" w:cs="Arial"/>
          <w:b/>
          <w:sz w:val="22"/>
          <w:szCs w:val="22"/>
        </w:rPr>
      </w:pPr>
      <w:r w:rsidRPr="00E84213">
        <w:rPr>
          <w:rFonts w:ascii="Arial" w:hAnsi="Arial" w:cs="Arial"/>
          <w:b/>
          <w:sz w:val="22"/>
          <w:szCs w:val="22"/>
        </w:rPr>
        <w:lastRenderedPageBreak/>
        <w:t>Triple oral therapy</w:t>
      </w:r>
    </w:p>
    <w:p w:rsidR="006D419C" w:rsidRDefault="006D419C" w:rsidP="006D419C">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2552"/>
        <w:gridCol w:w="1134"/>
        <w:gridCol w:w="1134"/>
        <w:gridCol w:w="708"/>
        <w:gridCol w:w="1276"/>
        <w:gridCol w:w="1559"/>
      </w:tblGrid>
      <w:tr w:rsidR="006D419C" w:rsidRPr="00596402" w:rsidTr="00BC5302">
        <w:trPr>
          <w:cantSplit/>
          <w:trHeight w:val="471"/>
        </w:trPr>
        <w:tc>
          <w:tcPr>
            <w:tcW w:w="2552"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Max.</w:t>
            </w:r>
          </w:p>
          <w:p w:rsidR="006D419C" w:rsidRPr="00596402" w:rsidRDefault="006D419C" w:rsidP="00F82FF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 xml:space="preserve">Max.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p>
        </w:tc>
        <w:tc>
          <w:tcPr>
            <w:tcW w:w="2835" w:type="dxa"/>
            <w:gridSpan w:val="2"/>
            <w:tcBorders>
              <w:bottom w:val="single" w:sz="4" w:space="0" w:color="auto"/>
            </w:tcBorders>
          </w:tcPr>
          <w:p w:rsidR="006D419C" w:rsidRPr="00596402" w:rsidRDefault="006D419C" w:rsidP="00F82FF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6D419C" w:rsidRPr="00596402" w:rsidTr="00BC5302">
        <w:trPr>
          <w:cantSplit/>
          <w:trHeight w:val="1145"/>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val="restart"/>
            <w:vAlign w:val="center"/>
          </w:tcPr>
          <w:p w:rsidR="006D419C" w:rsidRPr="00596402" w:rsidRDefault="006D419C" w:rsidP="00F82FF1">
            <w:pPr>
              <w:keepNext/>
              <w:rPr>
                <w:rFonts w:ascii="Arial Narrow" w:hAnsi="Arial Narrow" w:cs="Arial"/>
                <w:sz w:val="20"/>
                <w:szCs w:val="20"/>
              </w:rPr>
            </w:pPr>
            <w:proofErr w:type="spellStart"/>
            <w:r>
              <w:rPr>
                <w:rFonts w:ascii="Arial Narrow" w:hAnsi="Arial Narrow" w:cs="Arial"/>
                <w:sz w:val="20"/>
                <w:szCs w:val="20"/>
              </w:rPr>
              <w:t>Xigduo</w:t>
            </w:r>
            <w:proofErr w:type="spellEnd"/>
            <w:r>
              <w:rPr>
                <w:rFonts w:ascii="Arial Narrow" w:hAnsi="Arial Narrow" w:cs="Arial"/>
                <w:sz w:val="20"/>
                <w:szCs w:val="20"/>
              </w:rPr>
              <w:t>® XR</w:t>
            </w:r>
          </w:p>
        </w:tc>
        <w:tc>
          <w:tcPr>
            <w:tcW w:w="1559" w:type="dxa"/>
            <w:vMerge w:val="restart"/>
            <w:vAlign w:val="center"/>
          </w:tcPr>
          <w:p w:rsidR="006D419C" w:rsidRDefault="006D419C" w:rsidP="00F82FF1">
            <w:pPr>
              <w:keepNext/>
              <w:rPr>
                <w:rFonts w:ascii="Arial Narrow" w:hAnsi="Arial Narrow" w:cs="Arial"/>
                <w:sz w:val="20"/>
                <w:szCs w:val="20"/>
              </w:rPr>
            </w:pPr>
          </w:p>
          <w:p w:rsidR="006D419C" w:rsidRPr="00596402" w:rsidRDefault="006D419C" w:rsidP="00F82FF1">
            <w:pPr>
              <w:keepNext/>
              <w:rPr>
                <w:rFonts w:ascii="Arial Narrow" w:hAnsi="Arial Narrow" w:cs="Arial"/>
                <w:sz w:val="20"/>
                <w:szCs w:val="20"/>
              </w:rPr>
            </w:pPr>
            <w:r>
              <w:rPr>
                <w:rFonts w:ascii="Arial Narrow" w:hAnsi="Arial Narrow" w:cs="Arial"/>
                <w:sz w:val="20"/>
                <w:szCs w:val="20"/>
              </w:rPr>
              <w:t>AstraZeneca</w:t>
            </w:r>
          </w:p>
        </w:tc>
      </w:tr>
      <w:tr w:rsidR="006D419C" w:rsidTr="00BC5302">
        <w:trPr>
          <w:cantSplit/>
          <w:trHeight w:val="1129"/>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mallCaps/>
                <w:sz w:val="20"/>
                <w:szCs w:val="20"/>
              </w:rPr>
            </w:pPr>
            <w:r>
              <w:rPr>
                <w:rFonts w:ascii="Arial Narrow" w:hAnsi="Arial Narrow" w:cs="Arial"/>
                <w:sz w:val="20"/>
                <w:szCs w:val="20"/>
              </w:rPr>
              <w:t>Tablet, 10mg/1000mg</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vMerge/>
          </w:tcPr>
          <w:p w:rsidR="006D419C" w:rsidRDefault="006D419C" w:rsidP="00F82FF1">
            <w:pPr>
              <w:keepNext/>
              <w:jc w:val="both"/>
              <w:rPr>
                <w:rFonts w:ascii="Arial Narrow" w:hAnsi="Arial Narrow" w:cs="Arial"/>
                <w:sz w:val="20"/>
                <w:szCs w:val="20"/>
              </w:rPr>
            </w:pPr>
          </w:p>
        </w:tc>
      </w:tr>
      <w:tr w:rsidR="006D419C" w:rsidTr="00BC5302">
        <w:trPr>
          <w:cantSplit/>
          <w:trHeight w:val="577"/>
        </w:trPr>
        <w:tc>
          <w:tcPr>
            <w:tcW w:w="2552"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 / 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mallCaps/>
                <w:sz w:val="20"/>
                <w:szCs w:val="20"/>
              </w:rPr>
            </w:pPr>
            <w:r>
              <w:rPr>
                <w:rFonts w:ascii="Arial Narrow" w:hAnsi="Arial Narrow" w:cs="Arial"/>
                <w:sz w:val="20"/>
                <w:szCs w:val="20"/>
              </w:rPr>
              <w:t>Tablet, 5mg/1000mg</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56</w:t>
            </w:r>
          </w:p>
        </w:tc>
        <w:tc>
          <w:tcPr>
            <w:tcW w:w="1134" w:type="dxa"/>
          </w:tcPr>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vMerge/>
          </w:tcPr>
          <w:p w:rsidR="006D419C" w:rsidRDefault="006D419C" w:rsidP="00F82FF1">
            <w:pPr>
              <w:keepNext/>
              <w:jc w:val="both"/>
              <w:rPr>
                <w:rFonts w:ascii="Arial Narrow" w:hAnsi="Arial Narrow" w:cs="Arial"/>
                <w:sz w:val="20"/>
                <w:szCs w:val="20"/>
              </w:rPr>
            </w:pPr>
          </w:p>
        </w:tc>
      </w:tr>
      <w:tr w:rsidR="006D419C" w:rsidTr="00BC5302">
        <w:trPr>
          <w:cantSplit/>
          <w:trHeight w:val="209"/>
        </w:trPr>
        <w:tc>
          <w:tcPr>
            <w:tcW w:w="2552" w:type="dxa"/>
          </w:tcPr>
          <w:p w:rsidR="006D419C" w:rsidRDefault="006D419C" w:rsidP="00F82FF1">
            <w:pPr>
              <w:keepNext/>
              <w:ind w:left="-108"/>
              <w:jc w:val="both"/>
              <w:rPr>
                <w:rFonts w:ascii="Arial Narrow" w:hAnsi="Arial Narrow" w:cs="Arial"/>
                <w:smallCaps/>
                <w:sz w:val="20"/>
                <w:szCs w:val="20"/>
              </w:rPr>
            </w:pPr>
          </w:p>
        </w:tc>
        <w:tc>
          <w:tcPr>
            <w:tcW w:w="1134" w:type="dxa"/>
          </w:tcPr>
          <w:p w:rsidR="006D419C" w:rsidRDefault="006D419C" w:rsidP="00F82FF1">
            <w:pPr>
              <w:keepNext/>
              <w:ind w:left="-108"/>
              <w:jc w:val="both"/>
              <w:rPr>
                <w:rFonts w:ascii="Arial Narrow" w:hAnsi="Arial Narrow" w:cs="Arial"/>
                <w:sz w:val="20"/>
                <w:szCs w:val="20"/>
              </w:rPr>
            </w:pPr>
          </w:p>
        </w:tc>
        <w:tc>
          <w:tcPr>
            <w:tcW w:w="1134" w:type="dxa"/>
          </w:tcPr>
          <w:p w:rsidR="006D419C" w:rsidRDefault="006D419C" w:rsidP="00F82FF1">
            <w:pPr>
              <w:keepNext/>
              <w:ind w:left="-108"/>
              <w:jc w:val="both"/>
              <w:rPr>
                <w:rFonts w:ascii="Arial Narrow" w:hAnsi="Arial Narrow" w:cs="Arial"/>
                <w:sz w:val="20"/>
                <w:szCs w:val="20"/>
              </w:rPr>
            </w:pP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Default="006D419C" w:rsidP="00F82FF1">
            <w:pPr>
              <w:keepNext/>
              <w:jc w:val="both"/>
              <w:rPr>
                <w:rFonts w:ascii="Arial Narrow" w:hAnsi="Arial Narrow" w:cs="Arial"/>
                <w:sz w:val="20"/>
                <w:szCs w:val="20"/>
              </w:rPr>
            </w:pPr>
          </w:p>
        </w:tc>
        <w:tc>
          <w:tcPr>
            <w:tcW w:w="1559" w:type="dxa"/>
          </w:tcPr>
          <w:p w:rsidR="006D419C" w:rsidRDefault="006D419C" w:rsidP="00F82FF1">
            <w:pPr>
              <w:keepNext/>
              <w:jc w:val="both"/>
              <w:rPr>
                <w:rFonts w:ascii="Arial Narrow" w:hAnsi="Arial Narrow" w:cs="Arial"/>
                <w:sz w:val="20"/>
                <w:szCs w:val="20"/>
              </w:rPr>
            </w:pPr>
          </w:p>
        </w:tc>
      </w:tr>
    </w:tbl>
    <w:p w:rsidR="006D419C" w:rsidRDefault="006D419C" w:rsidP="006D419C">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2126"/>
        <w:gridCol w:w="6237"/>
      </w:tblGrid>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 xml:space="preserve">Category / </w:t>
            </w:r>
          </w:p>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Program</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sidRPr="00596402">
              <w:rPr>
                <w:rFonts w:ascii="Arial Narrow" w:hAnsi="Arial Narrow" w:cs="Arial"/>
                <w:sz w:val="20"/>
                <w:szCs w:val="20"/>
              </w:rPr>
              <w:t>GENERAL – General Schedule (Code GE)</w:t>
            </w:r>
          </w:p>
          <w:p w:rsidR="006D419C" w:rsidRPr="00596402" w:rsidRDefault="006D419C" w:rsidP="00F82FF1">
            <w:pPr>
              <w:rPr>
                <w:rFonts w:ascii="Arial Narrow" w:hAnsi="Arial Narrow" w:cs="Arial"/>
                <w:sz w:val="20"/>
                <w:szCs w:val="20"/>
              </w:rPr>
            </w:pP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type:</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Nurse practitioners</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PBS Indication:</w:t>
            </w: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Diabetes mellitus type 2</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Restriction Level / Method:</w:t>
            </w:r>
          </w:p>
          <w:p w:rsidR="006D419C" w:rsidRPr="00596402" w:rsidRDefault="006D419C" w:rsidP="00F82FF1">
            <w:pPr>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Authority required (Streamlined)</w:t>
            </w: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Clinical criteria:</w:t>
            </w:r>
          </w:p>
          <w:p w:rsidR="006D419C" w:rsidRPr="00596402" w:rsidRDefault="006D419C" w:rsidP="00F82FF1">
            <w:pPr>
              <w:jc w:val="both"/>
              <w:rPr>
                <w:rFonts w:ascii="Arial Narrow" w:hAnsi="Arial Narrow" w:cs="Arial"/>
                <w:i/>
                <w:sz w:val="20"/>
                <w:szCs w:val="20"/>
              </w:rPr>
            </w:pPr>
          </w:p>
          <w:p w:rsidR="006D419C" w:rsidRPr="00596402" w:rsidRDefault="006D419C" w:rsidP="00F82FF1">
            <w:pPr>
              <w:jc w:val="both"/>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The treatment must be in combination with metformin</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AND</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The treatment must be in combination with a sulfonylurea</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AND</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Patient must have, or have had, a HbA1c measurement greater than 7% prior to the initiation of a </w:t>
            </w:r>
            <w:proofErr w:type="spellStart"/>
            <w:r w:rsidRPr="003E5C05">
              <w:rPr>
                <w:rFonts w:ascii="Arial Narrow" w:eastAsia="Times New Roman" w:hAnsi="Arial Narrow" w:cs="Arial"/>
                <w:lang w:val="en-AU" w:eastAsia="en-AU"/>
              </w:rPr>
              <w:t>dipeptidyl</w:t>
            </w:r>
            <w:proofErr w:type="spellEnd"/>
            <w:r w:rsidRPr="003E5C05">
              <w:rPr>
                <w:rFonts w:ascii="Arial Narrow" w:eastAsia="Times New Roman" w:hAnsi="Arial Narrow" w:cs="Arial"/>
                <w:lang w:val="en-AU" w:eastAsia="en-AU"/>
              </w:rPr>
              <w:t xml:space="preserve"> peptidase 4 inhibitor (DPP4), a thiazolidinedione (</w:t>
            </w:r>
            <w:proofErr w:type="spellStart"/>
            <w:r w:rsidRPr="003E5C05">
              <w:rPr>
                <w:rFonts w:ascii="Arial Narrow" w:eastAsia="Times New Roman" w:hAnsi="Arial Narrow" w:cs="Arial"/>
                <w:lang w:val="en-AU" w:eastAsia="en-AU"/>
              </w:rPr>
              <w:t>glitazone</w:t>
            </w:r>
            <w:proofErr w:type="spellEnd"/>
            <w:r w:rsidRPr="003E5C05">
              <w:rPr>
                <w:rFonts w:ascii="Arial Narrow" w:eastAsia="Times New Roman" w:hAnsi="Arial Narrow" w:cs="Arial"/>
                <w:lang w:val="en-AU" w:eastAsia="en-AU"/>
              </w:rPr>
              <w:t xml:space="preserve">), a glucagon-like peptide-1 (GLP1) or a sodium-glucose co-transporter 2 (SGLT2) inhibitor despite treatment with maximally tolerated doses of metformin and a sulfonylurea; OR </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Patient must have, or have had, where HbA1c measurement is clinically inappropriate, blood glucose levels greater than 10 </w:t>
            </w:r>
            <w:proofErr w:type="spellStart"/>
            <w:r w:rsidRPr="003E5C05">
              <w:rPr>
                <w:rFonts w:ascii="Arial Narrow" w:eastAsia="Times New Roman" w:hAnsi="Arial Narrow" w:cs="Arial"/>
                <w:lang w:val="en-AU" w:eastAsia="en-AU"/>
              </w:rPr>
              <w:t>mmol</w:t>
            </w:r>
            <w:proofErr w:type="spellEnd"/>
            <w:r w:rsidRPr="003E5C05">
              <w:rPr>
                <w:rFonts w:ascii="Arial Narrow" w:eastAsia="Times New Roman" w:hAnsi="Arial Narrow" w:cs="Arial"/>
                <w:lang w:val="en-AU" w:eastAsia="en-AU"/>
              </w:rPr>
              <w:t xml:space="preserve"> per L in more than 20% of tests over a 2 week period prior to initiation with a SGLT2 inhibitor despite treatment with maximally tolerated doses of metformin and a sulfonylurea. </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596402" w:rsidRDefault="006D419C" w:rsidP="00F82FF1">
            <w:pPr>
              <w:jc w:val="both"/>
              <w:rPr>
                <w:rFonts w:ascii="Arial Narrow" w:hAnsi="Arial Narrow" w:cs="Arial"/>
                <w:sz w:val="20"/>
                <w:szCs w:val="20"/>
              </w:rPr>
            </w:pPr>
          </w:p>
        </w:tc>
      </w:tr>
      <w:tr w:rsidR="006D419C" w:rsidRPr="00596402" w:rsidTr="00BC530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lastRenderedPageBreak/>
              <w:t>Prescriber Instructions</w:t>
            </w:r>
          </w:p>
          <w:p w:rsidR="006D419C" w:rsidRPr="00596402" w:rsidRDefault="006D419C" w:rsidP="00F82FF1">
            <w:pPr>
              <w:jc w:val="both"/>
              <w:rPr>
                <w:rFonts w:ascii="Arial Narrow" w:hAnsi="Arial Narrow" w:cs="Arial"/>
                <w:b/>
                <w:sz w:val="20"/>
                <w:szCs w:val="20"/>
              </w:rPr>
            </w:pPr>
          </w:p>
        </w:tc>
        <w:tc>
          <w:tcPr>
            <w:tcW w:w="6237" w:type="dxa"/>
            <w:tcBorders>
              <w:top w:val="single" w:sz="4" w:space="0" w:color="auto"/>
              <w:left w:val="single" w:sz="4" w:space="0" w:color="auto"/>
              <w:bottom w:val="single" w:sz="4" w:space="0" w:color="auto"/>
              <w:right w:val="single" w:sz="4" w:space="0" w:color="auto"/>
            </w:tcBorders>
          </w:tcPr>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The date and level of the qualifying HbA1c measurement must be, or must have been, documented in the patient's medical records at the time treatment with a SGLT2 inhibitor is initiated. </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before="60" w:line="240"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 xml:space="preserve">The HbA1c must be no more than 4 months old at the time treatment with a </w:t>
            </w:r>
            <w:proofErr w:type="spellStart"/>
            <w:r w:rsidRPr="003E5C05">
              <w:rPr>
                <w:rFonts w:ascii="Arial Narrow" w:eastAsia="Times New Roman" w:hAnsi="Arial Narrow" w:cs="Arial"/>
                <w:lang w:val="en-AU" w:eastAsia="en-AU"/>
              </w:rPr>
              <w:t>dipeptidyl</w:t>
            </w:r>
            <w:proofErr w:type="spellEnd"/>
            <w:r w:rsidRPr="003E5C05">
              <w:rPr>
                <w:rFonts w:ascii="Arial Narrow" w:eastAsia="Times New Roman" w:hAnsi="Arial Narrow" w:cs="Arial"/>
                <w:lang w:val="en-AU" w:eastAsia="en-AU"/>
              </w:rPr>
              <w:t xml:space="preserve"> peptidase </w:t>
            </w:r>
            <w:proofErr w:type="gramStart"/>
            <w:r w:rsidRPr="003E5C05">
              <w:rPr>
                <w:rFonts w:ascii="Arial Narrow" w:eastAsia="Times New Roman" w:hAnsi="Arial Narrow" w:cs="Arial"/>
                <w:lang w:val="en-AU" w:eastAsia="en-AU"/>
              </w:rPr>
              <w:t>4 inhibitor (DPP4), a thiazolidinedione (</w:t>
            </w:r>
            <w:proofErr w:type="spellStart"/>
            <w:r w:rsidRPr="003E5C05">
              <w:rPr>
                <w:rFonts w:ascii="Arial Narrow" w:eastAsia="Times New Roman" w:hAnsi="Arial Narrow" w:cs="Arial"/>
                <w:lang w:val="en-AU" w:eastAsia="en-AU"/>
              </w:rPr>
              <w:t>glitazone</w:t>
            </w:r>
            <w:proofErr w:type="spellEnd"/>
            <w:r w:rsidRPr="003E5C05">
              <w:rPr>
                <w:rFonts w:ascii="Arial Narrow" w:eastAsia="Times New Roman" w:hAnsi="Arial Narrow" w:cs="Arial"/>
                <w:lang w:val="en-AU" w:eastAsia="en-AU"/>
              </w:rPr>
              <w:t>), a glucagon-like peptide-1 (GLP1)</w:t>
            </w:r>
            <w:proofErr w:type="gramEnd"/>
            <w:r w:rsidRPr="003E5C05">
              <w:rPr>
                <w:rFonts w:ascii="Arial Narrow" w:eastAsia="Times New Roman" w:hAnsi="Arial Narrow" w:cs="Arial"/>
                <w:lang w:val="en-AU" w:eastAsia="en-AU"/>
              </w:rPr>
              <w:t xml:space="preserve"> or an SGLT2 inhibitor was initiated. </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Blood glucose monitoring may be used as an alternative assessment to HbA1c levels in the following circumstances:</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(a) A clinical condition with reduced red blood cell survival, including haemolytic anaemias and haemoglobinopathies; and/or</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eastAsia="Times New Roman" w:hAnsi="Arial Narrow" w:cs="Arial"/>
                <w:lang w:val="en-AU" w:eastAsia="en-AU"/>
              </w:rPr>
              <w:t>(b) Had red cell transfusion within the previous 3 months.</w:t>
            </w:r>
          </w:p>
          <w:p w:rsidR="006D419C" w:rsidRPr="003E5C05" w:rsidRDefault="006D419C" w:rsidP="00F82FF1">
            <w:pPr>
              <w:pStyle w:val="TableText"/>
              <w:spacing w:line="276" w:lineRule="auto"/>
              <w:rPr>
                <w:rFonts w:ascii="Arial Narrow" w:eastAsia="Times New Roman" w:hAnsi="Arial Narrow" w:cs="Arial"/>
                <w:lang w:val="en-AU" w:eastAsia="en-AU"/>
              </w:rPr>
            </w:pPr>
          </w:p>
          <w:p w:rsidR="006D419C" w:rsidRPr="003E5C05" w:rsidRDefault="006D419C" w:rsidP="00F82FF1">
            <w:pPr>
              <w:pStyle w:val="TableText"/>
              <w:spacing w:line="276" w:lineRule="auto"/>
              <w:rPr>
                <w:rFonts w:ascii="Arial Narrow" w:eastAsia="Times New Roman" w:hAnsi="Arial Narrow" w:cs="Arial"/>
                <w:lang w:val="en-AU" w:eastAsia="en-AU"/>
              </w:rPr>
            </w:pPr>
            <w:r w:rsidRPr="003E5C05">
              <w:rPr>
                <w:rFonts w:ascii="Arial Narrow" w:hAnsi="Arial Narrow" w:cs="Arial"/>
              </w:rPr>
              <w:t>The results of the blood glucose monitoring, which must be no more than 4 months old at the time of initiation of treatment with a SGLT2 inhibitor, must be documented in the patient's medical records.</w:t>
            </w:r>
          </w:p>
        </w:tc>
      </w:tr>
    </w:tbl>
    <w:p w:rsidR="006D419C" w:rsidRDefault="006D419C" w:rsidP="006D419C">
      <w:pPr>
        <w:pStyle w:val="ListParagraph"/>
        <w:jc w:val="both"/>
        <w:rPr>
          <w:rFonts w:ascii="Arial" w:hAnsi="Arial"/>
          <w:b/>
          <w:sz w:val="22"/>
          <w:szCs w:val="22"/>
        </w:rPr>
      </w:pPr>
    </w:p>
    <w:p w:rsidR="006D419C" w:rsidRPr="006457A7" w:rsidRDefault="006D419C" w:rsidP="006D419C">
      <w:pPr>
        <w:pStyle w:val="ListParagraph"/>
        <w:numPr>
          <w:ilvl w:val="0"/>
          <w:numId w:val="2"/>
        </w:numPr>
        <w:jc w:val="both"/>
        <w:rPr>
          <w:rFonts w:ascii="Arial" w:hAnsi="Arial"/>
          <w:b/>
          <w:sz w:val="22"/>
          <w:szCs w:val="22"/>
        </w:rPr>
      </w:pPr>
      <w:r w:rsidRPr="006457A7">
        <w:rPr>
          <w:rFonts w:ascii="Arial" w:hAnsi="Arial"/>
          <w:b/>
          <w:sz w:val="22"/>
          <w:szCs w:val="22"/>
        </w:rPr>
        <w:t>Background</w:t>
      </w:r>
    </w:p>
    <w:p w:rsidR="006D419C" w:rsidRPr="00633907" w:rsidRDefault="006D419C" w:rsidP="006D419C">
      <w:pPr>
        <w:rPr>
          <w:rFonts w:ascii="Arial" w:hAnsi="Arial" w:cs="Arial"/>
          <w:snapToGrid w:val="0"/>
          <w:sz w:val="22"/>
        </w:rPr>
      </w:pPr>
    </w:p>
    <w:p w:rsidR="006D419C" w:rsidRDefault="006D419C" w:rsidP="006D419C">
      <w:pPr>
        <w:pStyle w:val="ListParagraph"/>
        <w:numPr>
          <w:ilvl w:val="1"/>
          <w:numId w:val="2"/>
        </w:numPr>
        <w:jc w:val="both"/>
        <w:rPr>
          <w:rFonts w:ascii="Arial" w:hAnsi="Arial" w:cs="Arial"/>
          <w:snapToGrid w:val="0"/>
          <w:sz w:val="22"/>
        </w:rPr>
      </w:pPr>
      <w:proofErr w:type="spellStart"/>
      <w:r>
        <w:rPr>
          <w:rFonts w:ascii="Arial" w:hAnsi="Arial" w:cs="Arial"/>
          <w:snapToGrid w:val="0"/>
          <w:sz w:val="22"/>
        </w:rPr>
        <w:t>Dapagliflozin+metformin</w:t>
      </w:r>
      <w:proofErr w:type="spellEnd"/>
      <w:r>
        <w:rPr>
          <w:rFonts w:ascii="Arial" w:hAnsi="Arial" w:cs="Arial"/>
          <w:snapToGrid w:val="0"/>
          <w:sz w:val="22"/>
        </w:rPr>
        <w:t xml:space="preserve"> XR is TGA </w:t>
      </w:r>
      <w:r w:rsidRPr="00827217">
        <w:rPr>
          <w:rFonts w:ascii="Arial" w:hAnsi="Arial" w:cs="Arial"/>
          <w:snapToGrid w:val="0"/>
          <w:sz w:val="22"/>
        </w:rPr>
        <w:t xml:space="preserve">indicated as an adjunct to diet and exercise to improve glycaemic control in adults with type 2 diabetes mellitus when treatment with both </w:t>
      </w:r>
      <w:proofErr w:type="spellStart"/>
      <w:r w:rsidRPr="00827217">
        <w:rPr>
          <w:rFonts w:ascii="Arial" w:hAnsi="Arial" w:cs="Arial"/>
          <w:snapToGrid w:val="0"/>
          <w:sz w:val="22"/>
        </w:rPr>
        <w:t>dapagliflozin</w:t>
      </w:r>
      <w:proofErr w:type="spellEnd"/>
      <w:r w:rsidRPr="00827217">
        <w:rPr>
          <w:rFonts w:ascii="Arial" w:hAnsi="Arial" w:cs="Arial"/>
          <w:snapToGrid w:val="0"/>
          <w:sz w:val="22"/>
        </w:rPr>
        <w:t xml:space="preserve"> and metformin is appropriate</w:t>
      </w:r>
      <w:r>
        <w:rPr>
          <w:rFonts w:ascii="Arial" w:hAnsi="Arial" w:cs="Arial"/>
          <w:snapToGrid w:val="0"/>
          <w:sz w:val="22"/>
        </w:rPr>
        <w:t xml:space="preserve">. A submission to update the </w:t>
      </w:r>
      <w:proofErr w:type="spellStart"/>
      <w:r>
        <w:rPr>
          <w:rFonts w:ascii="Arial" w:hAnsi="Arial" w:cs="Arial"/>
          <w:snapToGrid w:val="0"/>
          <w:sz w:val="22"/>
        </w:rPr>
        <w:t>dapagliflozin+metformin</w:t>
      </w:r>
      <w:proofErr w:type="spellEnd"/>
      <w:r>
        <w:rPr>
          <w:rFonts w:ascii="Arial" w:hAnsi="Arial" w:cs="Arial"/>
          <w:snapToGrid w:val="0"/>
          <w:sz w:val="22"/>
        </w:rPr>
        <w:t xml:space="preserve"> XR Product Information (PI) to include triple oral therapy, consistent with the </w:t>
      </w:r>
      <w:proofErr w:type="spellStart"/>
      <w:r>
        <w:rPr>
          <w:rFonts w:ascii="Arial" w:hAnsi="Arial" w:cs="Arial"/>
          <w:snapToGrid w:val="0"/>
          <w:sz w:val="22"/>
        </w:rPr>
        <w:t>dapagliflozin</w:t>
      </w:r>
      <w:proofErr w:type="spellEnd"/>
      <w:r>
        <w:rPr>
          <w:rFonts w:ascii="Arial" w:hAnsi="Arial" w:cs="Arial"/>
          <w:snapToGrid w:val="0"/>
          <w:sz w:val="22"/>
        </w:rPr>
        <w:t xml:space="preserve"> PI is currently under evaluation by the TGA.</w:t>
      </w:r>
    </w:p>
    <w:p w:rsidR="006D419C" w:rsidRPr="00827217" w:rsidRDefault="006D419C" w:rsidP="006D419C">
      <w:pPr>
        <w:pStyle w:val="ListParagraph"/>
        <w:jc w:val="both"/>
        <w:rPr>
          <w:rFonts w:ascii="Arial" w:hAnsi="Arial" w:cs="Arial"/>
          <w:snapToGrid w:val="0"/>
          <w:sz w:val="22"/>
        </w:rPr>
      </w:pPr>
    </w:p>
    <w:p w:rsidR="006D419C" w:rsidRPr="00A64A0B" w:rsidRDefault="006D419C" w:rsidP="006D419C">
      <w:pPr>
        <w:pStyle w:val="ListParagraph"/>
        <w:numPr>
          <w:ilvl w:val="1"/>
          <w:numId w:val="2"/>
        </w:numPr>
        <w:jc w:val="both"/>
        <w:rPr>
          <w:rFonts w:ascii="Arial" w:hAnsi="Arial" w:cs="Arial"/>
          <w:snapToGrid w:val="0"/>
          <w:sz w:val="22"/>
        </w:rPr>
      </w:pPr>
      <w:proofErr w:type="spellStart"/>
      <w:r>
        <w:rPr>
          <w:rFonts w:ascii="Arial" w:hAnsi="Arial" w:cs="Arial"/>
          <w:snapToGrid w:val="0"/>
          <w:sz w:val="22"/>
        </w:rPr>
        <w:t>Dapagliflozin+metformin</w:t>
      </w:r>
      <w:proofErr w:type="spellEnd"/>
      <w:r>
        <w:rPr>
          <w:rFonts w:ascii="Arial" w:hAnsi="Arial" w:cs="Arial"/>
          <w:snapToGrid w:val="0"/>
          <w:sz w:val="22"/>
        </w:rPr>
        <w:t xml:space="preserve"> XR was </w:t>
      </w:r>
      <w:r w:rsidRPr="0069021B">
        <w:rPr>
          <w:rFonts w:ascii="Arial" w:hAnsi="Arial" w:cs="Arial"/>
          <w:snapToGrid w:val="0"/>
          <w:sz w:val="22"/>
        </w:rPr>
        <w:t xml:space="preserve">considered </w:t>
      </w:r>
      <w:r>
        <w:rPr>
          <w:rFonts w:ascii="Arial" w:hAnsi="Arial" w:cs="Arial"/>
          <w:snapToGrid w:val="0"/>
          <w:sz w:val="22"/>
        </w:rPr>
        <w:t>by the PBAC at the July 2014 meeting for</w:t>
      </w:r>
      <w:r w:rsidRPr="003D2A37">
        <w:rPr>
          <w:rFonts w:ascii="Arial" w:hAnsi="Arial" w:cs="Arial"/>
          <w:snapToGrid w:val="0"/>
          <w:sz w:val="22"/>
        </w:rPr>
        <w:t xml:space="preserve"> an Authority Required listing for treatment of </w:t>
      </w:r>
      <w:r w:rsidRPr="00B74A44">
        <w:rPr>
          <w:rFonts w:ascii="Arial" w:hAnsi="Arial" w:cs="Arial"/>
          <w:color w:val="222222"/>
          <w:sz w:val="22"/>
          <w:szCs w:val="22"/>
          <w:shd w:val="clear" w:color="auto" w:fill="FFFFFF"/>
        </w:rPr>
        <w:t xml:space="preserve">type 2 diabetes mellitus </w:t>
      </w:r>
      <w:r>
        <w:rPr>
          <w:rFonts w:ascii="Arial" w:hAnsi="Arial" w:cs="Arial"/>
          <w:color w:val="222222"/>
          <w:sz w:val="22"/>
          <w:szCs w:val="22"/>
          <w:shd w:val="clear" w:color="auto" w:fill="FFFFFF"/>
        </w:rPr>
        <w:t>(</w:t>
      </w:r>
      <w:r>
        <w:rPr>
          <w:rFonts w:ascii="Arial" w:hAnsi="Arial" w:cs="Arial"/>
          <w:snapToGrid w:val="0"/>
          <w:sz w:val="22"/>
        </w:rPr>
        <w:t xml:space="preserve">T2DM) in a </w:t>
      </w:r>
      <w:r w:rsidRPr="00B74A44">
        <w:rPr>
          <w:rFonts w:ascii="Arial" w:hAnsi="Arial" w:cs="Arial"/>
          <w:color w:val="222222"/>
          <w:sz w:val="22"/>
          <w:szCs w:val="22"/>
          <w:shd w:val="clear" w:color="auto" w:fill="FFFFFF"/>
        </w:rPr>
        <w:t>patient who</w:t>
      </w:r>
      <w:r>
        <w:rPr>
          <w:rFonts w:ascii="Arial" w:hAnsi="Arial" w:cs="Arial"/>
          <w:color w:val="222222"/>
          <w:sz w:val="22"/>
          <w:szCs w:val="22"/>
          <w:shd w:val="clear" w:color="auto" w:fill="FFFFFF"/>
        </w:rPr>
        <w:t>se condition is not adequately controlled by treatment with metformin and a sulfonylurea and whose</w:t>
      </w:r>
      <w:r w:rsidRPr="00B74A44">
        <w:rPr>
          <w:rFonts w:ascii="Arial" w:hAnsi="Arial" w:cs="Arial"/>
          <w:color w:val="222222"/>
          <w:sz w:val="22"/>
          <w:szCs w:val="22"/>
          <w:shd w:val="clear" w:color="auto" w:fill="FFFFFF"/>
        </w:rPr>
        <w:t xml:space="preserve"> HbA1c is greater than 7% prior to initia</w:t>
      </w:r>
      <w:r>
        <w:rPr>
          <w:rFonts w:ascii="Arial" w:hAnsi="Arial" w:cs="Arial"/>
          <w:color w:val="222222"/>
          <w:sz w:val="22"/>
          <w:szCs w:val="22"/>
          <w:shd w:val="clear" w:color="auto" w:fill="FFFFFF"/>
        </w:rPr>
        <w:t xml:space="preserve">tion of a gliptin, </w:t>
      </w:r>
      <w:proofErr w:type="spellStart"/>
      <w:r>
        <w:rPr>
          <w:rFonts w:ascii="Arial" w:hAnsi="Arial" w:cs="Arial"/>
          <w:color w:val="222222"/>
          <w:sz w:val="22"/>
          <w:szCs w:val="22"/>
          <w:shd w:val="clear" w:color="auto" w:fill="FFFFFF"/>
        </w:rPr>
        <w:t>glitazone</w:t>
      </w:r>
      <w:proofErr w:type="spellEnd"/>
      <w:r>
        <w:rPr>
          <w:rFonts w:ascii="Arial" w:hAnsi="Arial" w:cs="Arial"/>
          <w:color w:val="222222"/>
          <w:sz w:val="22"/>
          <w:szCs w:val="22"/>
          <w:shd w:val="clear" w:color="auto" w:fill="FFFFFF"/>
        </w:rPr>
        <w:t xml:space="preserve">, </w:t>
      </w:r>
      <w:r w:rsidRPr="00B74A44">
        <w:rPr>
          <w:rFonts w:ascii="Arial" w:hAnsi="Arial" w:cs="Arial"/>
          <w:color w:val="222222"/>
          <w:sz w:val="22"/>
          <w:szCs w:val="22"/>
          <w:shd w:val="clear" w:color="auto" w:fill="FFFFFF"/>
        </w:rPr>
        <w:t xml:space="preserve">a glucagon-like peptide-1 despite </w:t>
      </w:r>
      <w:r w:rsidRPr="00717773">
        <w:rPr>
          <w:rFonts w:ascii="Arial" w:hAnsi="Arial" w:cs="Arial"/>
          <w:sz w:val="22"/>
          <w:szCs w:val="22"/>
        </w:rPr>
        <w:t>or a sodium-glucose co-transporter-2 (SGLT2) inhibitor</w:t>
      </w:r>
      <w:r w:rsidRPr="003D2A37">
        <w:rPr>
          <w:rFonts w:ascii="Arial" w:hAnsi="Arial" w:cs="Arial"/>
          <w:snapToGrid w:val="0"/>
          <w:sz w:val="22"/>
        </w:rPr>
        <w:t xml:space="preserve">.  </w:t>
      </w:r>
      <w:r w:rsidRPr="00540DD7">
        <w:rPr>
          <w:rFonts w:ascii="Arial" w:hAnsi="Arial" w:cs="Arial"/>
          <w:color w:val="222222"/>
          <w:sz w:val="22"/>
          <w:szCs w:val="22"/>
          <w:shd w:val="clear" w:color="auto" w:fill="FFFFFF"/>
        </w:rPr>
        <w:t xml:space="preserve">The submission presented a cost-minimisation analysis based </w:t>
      </w:r>
      <w:r w:rsidRPr="00540DD7">
        <w:rPr>
          <w:rFonts w:ascii="Arial" w:hAnsi="Arial" w:cs="Arial"/>
          <w:sz w:val="22"/>
          <w:szCs w:val="22"/>
        </w:rPr>
        <w:t>on non-</w:t>
      </w:r>
      <w:r>
        <w:rPr>
          <w:rFonts w:ascii="Arial" w:hAnsi="Arial" w:cs="Arial"/>
          <w:sz w:val="22"/>
          <w:szCs w:val="22"/>
        </w:rPr>
        <w:t xml:space="preserve">inferiority between </w:t>
      </w:r>
      <w:proofErr w:type="spellStart"/>
      <w:r>
        <w:rPr>
          <w:rFonts w:ascii="Arial" w:hAnsi="Arial" w:cs="Arial"/>
          <w:sz w:val="22"/>
          <w:szCs w:val="22"/>
        </w:rPr>
        <w:t>dapagliflozin+metformin</w:t>
      </w:r>
      <w:proofErr w:type="spellEnd"/>
      <w:r>
        <w:rPr>
          <w:rFonts w:ascii="Arial" w:hAnsi="Arial" w:cs="Arial"/>
          <w:sz w:val="22"/>
          <w:szCs w:val="22"/>
        </w:rPr>
        <w:t xml:space="preserve"> XR</w:t>
      </w:r>
      <w:r w:rsidRPr="00540DD7">
        <w:rPr>
          <w:rFonts w:ascii="Arial" w:hAnsi="Arial" w:cs="Arial"/>
          <w:sz w:val="22"/>
          <w:szCs w:val="22"/>
        </w:rPr>
        <w:t xml:space="preserve"> and the individual components, on </w:t>
      </w:r>
      <w:r>
        <w:rPr>
          <w:rFonts w:ascii="Arial" w:hAnsi="Arial" w:cs="Arial"/>
          <w:sz w:val="22"/>
          <w:szCs w:val="22"/>
        </w:rPr>
        <w:t xml:space="preserve">grounds of </w:t>
      </w:r>
      <w:r w:rsidRPr="00540DD7">
        <w:rPr>
          <w:rFonts w:ascii="Arial" w:hAnsi="Arial" w:cs="Arial"/>
          <w:sz w:val="22"/>
          <w:szCs w:val="22"/>
        </w:rPr>
        <w:t>bioequivalence.</w:t>
      </w:r>
      <w:r>
        <w:rPr>
          <w:rFonts w:ascii="Arial" w:hAnsi="Arial" w:cs="Arial"/>
          <w:sz w:val="22"/>
          <w:szCs w:val="22"/>
        </w:rPr>
        <w:t xml:space="preserve">  </w:t>
      </w:r>
      <w:r>
        <w:rPr>
          <w:rFonts w:ascii="Arial" w:hAnsi="Arial" w:cs="Arial"/>
          <w:snapToGrid w:val="0"/>
          <w:sz w:val="22"/>
        </w:rPr>
        <w:t>T</w:t>
      </w:r>
      <w:r w:rsidRPr="003D2A37">
        <w:rPr>
          <w:rFonts w:ascii="Arial" w:hAnsi="Arial" w:cs="Arial"/>
          <w:snapToGrid w:val="0"/>
          <w:sz w:val="22"/>
        </w:rPr>
        <w:t>he PBAC acknowledged that the TGA ha</w:t>
      </w:r>
      <w:r>
        <w:rPr>
          <w:rFonts w:ascii="Arial" w:hAnsi="Arial" w:cs="Arial"/>
          <w:snapToGrid w:val="0"/>
          <w:sz w:val="22"/>
        </w:rPr>
        <w:t>d</w:t>
      </w:r>
      <w:r w:rsidRPr="003D2A37">
        <w:rPr>
          <w:rFonts w:ascii="Arial" w:hAnsi="Arial" w:cs="Arial"/>
          <w:snapToGrid w:val="0"/>
          <w:sz w:val="22"/>
        </w:rPr>
        <w:t xml:space="preserve"> accepted bioequival</w:t>
      </w:r>
      <w:r>
        <w:rPr>
          <w:rFonts w:ascii="Arial" w:hAnsi="Arial" w:cs="Arial"/>
          <w:snapToGrid w:val="0"/>
          <w:sz w:val="22"/>
        </w:rPr>
        <w:t xml:space="preserve">ence of </w:t>
      </w:r>
      <w:proofErr w:type="spellStart"/>
      <w:r>
        <w:rPr>
          <w:rFonts w:ascii="Arial" w:hAnsi="Arial" w:cs="Arial"/>
          <w:snapToGrid w:val="0"/>
          <w:sz w:val="22"/>
        </w:rPr>
        <w:t>dapagliflozin</w:t>
      </w:r>
      <w:r w:rsidR="00BC5302">
        <w:rPr>
          <w:rFonts w:ascii="Arial" w:hAnsi="Arial" w:cs="Arial"/>
          <w:snapToGrid w:val="0"/>
          <w:sz w:val="22"/>
        </w:rPr>
        <w:t>+</w:t>
      </w:r>
      <w:r>
        <w:rPr>
          <w:rFonts w:ascii="Arial" w:hAnsi="Arial" w:cs="Arial"/>
          <w:snapToGrid w:val="0"/>
          <w:sz w:val="22"/>
        </w:rPr>
        <w:t>metformin</w:t>
      </w:r>
      <w:proofErr w:type="spellEnd"/>
      <w:r>
        <w:rPr>
          <w:rFonts w:ascii="Arial" w:hAnsi="Arial" w:cs="Arial"/>
          <w:snapToGrid w:val="0"/>
          <w:sz w:val="22"/>
        </w:rPr>
        <w:t> </w:t>
      </w:r>
      <w:r w:rsidRPr="003D2A37">
        <w:rPr>
          <w:rFonts w:ascii="Arial" w:hAnsi="Arial" w:cs="Arial"/>
          <w:snapToGrid w:val="0"/>
          <w:sz w:val="22"/>
        </w:rPr>
        <w:t xml:space="preserve">XR to </w:t>
      </w:r>
      <w:proofErr w:type="spellStart"/>
      <w:r w:rsidRPr="003D2A37">
        <w:rPr>
          <w:rFonts w:ascii="Arial" w:hAnsi="Arial" w:cs="Arial"/>
          <w:snapToGrid w:val="0"/>
          <w:sz w:val="22"/>
        </w:rPr>
        <w:t>dapagliflozin</w:t>
      </w:r>
      <w:proofErr w:type="spellEnd"/>
      <w:r w:rsidRPr="003D2A37">
        <w:rPr>
          <w:rFonts w:ascii="Arial" w:hAnsi="Arial" w:cs="Arial"/>
          <w:snapToGrid w:val="0"/>
          <w:sz w:val="22"/>
        </w:rPr>
        <w:t xml:space="preserve"> and metformin</w:t>
      </w:r>
      <w:r>
        <w:rPr>
          <w:rFonts w:ascii="Arial" w:hAnsi="Arial" w:cs="Arial"/>
          <w:snapToGrid w:val="0"/>
          <w:sz w:val="22"/>
        </w:rPr>
        <w:t xml:space="preserve"> mono-components and the submission </w:t>
      </w:r>
      <w:r w:rsidRPr="00A64A0B">
        <w:rPr>
          <w:rFonts w:ascii="Arial" w:hAnsi="Arial" w:cs="Arial"/>
          <w:snapToGrid w:val="0"/>
          <w:sz w:val="22"/>
        </w:rPr>
        <w:t xml:space="preserve">received a positive recommendation for use in patients with an HbA1c measurement greater than 7%, despite treatment with metformin alone.  </w:t>
      </w:r>
      <w:r>
        <w:rPr>
          <w:rFonts w:ascii="Arial" w:hAnsi="Arial" w:cs="Arial"/>
          <w:snapToGrid w:val="0"/>
          <w:sz w:val="22"/>
        </w:rPr>
        <w:t>D</w:t>
      </w:r>
      <w:r w:rsidRPr="00A64A0B">
        <w:rPr>
          <w:rFonts w:ascii="Arial" w:hAnsi="Arial" w:cs="Arial"/>
          <w:snapToGrid w:val="0"/>
          <w:sz w:val="22"/>
        </w:rPr>
        <w:t>ue to supply issues</w:t>
      </w:r>
      <w:r>
        <w:rPr>
          <w:rFonts w:ascii="Arial" w:hAnsi="Arial" w:cs="Arial"/>
          <w:snapToGrid w:val="0"/>
          <w:sz w:val="22"/>
        </w:rPr>
        <w:t>,</w:t>
      </w:r>
      <w:r w:rsidRPr="00A64A0B">
        <w:rPr>
          <w:rFonts w:ascii="Arial" w:hAnsi="Arial" w:cs="Arial"/>
          <w:snapToGrid w:val="0"/>
          <w:sz w:val="22"/>
        </w:rPr>
        <w:t xml:space="preserve"> of which the Department is aware, listing is </w:t>
      </w:r>
      <w:r>
        <w:rPr>
          <w:rFonts w:ascii="Arial" w:hAnsi="Arial" w:cs="Arial"/>
          <w:snapToGrid w:val="0"/>
          <w:sz w:val="22"/>
        </w:rPr>
        <w:t xml:space="preserve">not </w:t>
      </w:r>
      <w:r w:rsidRPr="00A64A0B">
        <w:rPr>
          <w:rFonts w:ascii="Arial" w:hAnsi="Arial" w:cs="Arial"/>
          <w:snapToGrid w:val="0"/>
          <w:sz w:val="22"/>
        </w:rPr>
        <w:t>expected</w:t>
      </w:r>
      <w:r>
        <w:rPr>
          <w:rFonts w:ascii="Arial" w:hAnsi="Arial" w:cs="Arial"/>
          <w:snapToGrid w:val="0"/>
          <w:sz w:val="22"/>
        </w:rPr>
        <w:t xml:space="preserve"> until</w:t>
      </w:r>
      <w:r w:rsidRPr="00A64A0B">
        <w:rPr>
          <w:rFonts w:ascii="Arial" w:hAnsi="Arial" w:cs="Arial"/>
          <w:snapToGrid w:val="0"/>
          <w:sz w:val="22"/>
        </w:rPr>
        <w:t xml:space="preserve"> 1 </w:t>
      </w:r>
      <w:r w:rsidR="00263258">
        <w:rPr>
          <w:rFonts w:ascii="Arial" w:hAnsi="Arial" w:cs="Arial"/>
          <w:snapToGrid w:val="0"/>
          <w:sz w:val="22"/>
        </w:rPr>
        <w:t xml:space="preserve">October </w:t>
      </w:r>
      <w:r w:rsidRPr="00A64A0B">
        <w:rPr>
          <w:rFonts w:ascii="Arial" w:hAnsi="Arial" w:cs="Arial"/>
          <w:snapToGrid w:val="0"/>
          <w:sz w:val="22"/>
        </w:rPr>
        <w:t>2015.</w:t>
      </w:r>
    </w:p>
    <w:p w:rsidR="006D419C" w:rsidRPr="003D2A37" w:rsidRDefault="006D419C" w:rsidP="006D419C">
      <w:pPr>
        <w:pStyle w:val="ListParagraph"/>
        <w:jc w:val="both"/>
        <w:rPr>
          <w:rFonts w:ascii="Arial" w:hAnsi="Arial" w:cs="Arial"/>
          <w:snapToGrid w:val="0"/>
          <w:sz w:val="22"/>
        </w:rPr>
      </w:pPr>
    </w:p>
    <w:p w:rsidR="006D419C" w:rsidRDefault="006D419C" w:rsidP="006D419C">
      <w:pPr>
        <w:pStyle w:val="ListParagraph"/>
        <w:numPr>
          <w:ilvl w:val="1"/>
          <w:numId w:val="2"/>
        </w:numPr>
        <w:jc w:val="both"/>
        <w:rPr>
          <w:rFonts w:ascii="Arial" w:hAnsi="Arial" w:cs="Arial"/>
          <w:snapToGrid w:val="0"/>
          <w:sz w:val="22"/>
        </w:rPr>
      </w:pPr>
      <w:r w:rsidRPr="0062489C">
        <w:rPr>
          <w:rFonts w:ascii="Arial" w:hAnsi="Arial" w:cs="Arial"/>
          <w:snapToGrid w:val="0"/>
          <w:sz w:val="22"/>
          <w:szCs w:val="22"/>
        </w:rPr>
        <w:t xml:space="preserve">At the March 2015 PBAC meeting, </w:t>
      </w:r>
      <w:proofErr w:type="spellStart"/>
      <w:r w:rsidRPr="0062489C">
        <w:rPr>
          <w:rFonts w:ascii="Arial" w:hAnsi="Arial" w:cs="Arial"/>
          <w:snapToGrid w:val="0"/>
          <w:sz w:val="22"/>
          <w:szCs w:val="22"/>
        </w:rPr>
        <w:t>dapagliflozin</w:t>
      </w:r>
      <w:proofErr w:type="spellEnd"/>
      <w:r w:rsidRPr="0062489C">
        <w:rPr>
          <w:rFonts w:ascii="Arial" w:hAnsi="Arial" w:cs="Arial"/>
          <w:snapToGrid w:val="0"/>
          <w:sz w:val="22"/>
          <w:szCs w:val="22"/>
        </w:rPr>
        <w:t xml:space="preserve"> (</w:t>
      </w:r>
      <w:r w:rsidRPr="0062489C">
        <w:rPr>
          <w:rFonts w:ascii="Arial" w:hAnsi="Arial" w:cs="Arial"/>
          <w:sz w:val="22"/>
          <w:szCs w:val="22"/>
        </w:rPr>
        <w:t>10mg tablet) was recommended for listing</w:t>
      </w:r>
      <w:r w:rsidRPr="00036266">
        <w:rPr>
          <w:rFonts w:ascii="Arial" w:hAnsi="Arial" w:cs="Arial"/>
          <w:sz w:val="22"/>
          <w:szCs w:val="22"/>
        </w:rPr>
        <w:t xml:space="preserve"> </w:t>
      </w:r>
      <w:r w:rsidRPr="0062489C">
        <w:rPr>
          <w:rFonts w:ascii="Arial" w:hAnsi="Arial" w:cs="Arial"/>
          <w:sz w:val="22"/>
          <w:szCs w:val="22"/>
        </w:rPr>
        <w:t>for the treatment of type 2 diabetes mellitus in combination with metformin and a sulfonylurea (triple oral therapy).</w:t>
      </w:r>
      <w:r w:rsidRPr="00036266">
        <w:rPr>
          <w:rFonts w:ascii="Arial" w:hAnsi="Arial" w:cs="Arial"/>
          <w:sz w:val="22"/>
          <w:szCs w:val="22"/>
        </w:rPr>
        <w:t xml:space="preserve"> In that submission, the sponsor requested a listing for the </w:t>
      </w:r>
      <w:proofErr w:type="spellStart"/>
      <w:r w:rsidRPr="00036266">
        <w:rPr>
          <w:rFonts w:ascii="Arial" w:hAnsi="Arial" w:cs="Arial"/>
          <w:sz w:val="22"/>
          <w:szCs w:val="22"/>
        </w:rPr>
        <w:t>dapagliflozin+metfo</w:t>
      </w:r>
      <w:r>
        <w:rPr>
          <w:rFonts w:ascii="Arial" w:hAnsi="Arial" w:cs="Arial"/>
          <w:sz w:val="22"/>
          <w:szCs w:val="22"/>
        </w:rPr>
        <w:t>rmin</w:t>
      </w:r>
      <w:proofErr w:type="spellEnd"/>
      <w:r>
        <w:rPr>
          <w:rFonts w:ascii="Arial" w:hAnsi="Arial" w:cs="Arial"/>
          <w:sz w:val="22"/>
          <w:szCs w:val="22"/>
        </w:rPr>
        <w:t xml:space="preserve"> XR FDC</w:t>
      </w:r>
      <w:r w:rsidRPr="00036266">
        <w:rPr>
          <w:rFonts w:ascii="Arial" w:hAnsi="Arial" w:cs="Arial"/>
          <w:sz w:val="22"/>
          <w:szCs w:val="22"/>
        </w:rPr>
        <w:t xml:space="preserve"> for use in combination with sulfonylurea so as to align the restrictions between </w:t>
      </w:r>
      <w:proofErr w:type="spellStart"/>
      <w:r w:rsidRPr="00036266">
        <w:rPr>
          <w:rFonts w:ascii="Arial" w:hAnsi="Arial" w:cs="Arial"/>
          <w:sz w:val="22"/>
          <w:szCs w:val="22"/>
        </w:rPr>
        <w:t>dapagliflozin</w:t>
      </w:r>
      <w:proofErr w:type="spellEnd"/>
      <w:r w:rsidRPr="00036266">
        <w:rPr>
          <w:rFonts w:ascii="Arial" w:hAnsi="Arial" w:cs="Arial"/>
          <w:sz w:val="22"/>
          <w:szCs w:val="22"/>
        </w:rPr>
        <w:t xml:space="preserve"> and the FDC</w:t>
      </w:r>
      <w:r>
        <w:rPr>
          <w:rFonts w:ascii="Arial" w:hAnsi="Arial" w:cs="Arial"/>
          <w:sz w:val="22"/>
          <w:szCs w:val="22"/>
        </w:rPr>
        <w:t xml:space="preserve">. However, </w:t>
      </w:r>
      <w:r>
        <w:rPr>
          <w:rFonts w:ascii="Arial" w:hAnsi="Arial" w:cs="Arial"/>
          <w:snapToGrid w:val="0"/>
          <w:sz w:val="22"/>
        </w:rPr>
        <w:t>t</w:t>
      </w:r>
      <w:r w:rsidRPr="00036266">
        <w:rPr>
          <w:rFonts w:ascii="Arial" w:hAnsi="Arial" w:cs="Arial"/>
          <w:snapToGrid w:val="0"/>
          <w:sz w:val="22"/>
        </w:rPr>
        <w:t>he PBAC considered that the appropriate process for consideration of the sponsor’s request, made in the pre-PBAC response, would be through a minor submission.</w:t>
      </w:r>
    </w:p>
    <w:p w:rsidR="006D419C" w:rsidRPr="00036266" w:rsidRDefault="006D419C" w:rsidP="006D419C">
      <w:pPr>
        <w:pStyle w:val="ListParagraph"/>
        <w:jc w:val="both"/>
        <w:rPr>
          <w:rFonts w:ascii="Arial" w:hAnsi="Arial" w:cs="Arial"/>
          <w:snapToGrid w:val="0"/>
          <w:sz w:val="22"/>
        </w:rPr>
      </w:pPr>
    </w:p>
    <w:p w:rsidR="006D419C" w:rsidRPr="00036266" w:rsidRDefault="006D419C" w:rsidP="006D419C">
      <w:pPr>
        <w:pStyle w:val="ListParagraph"/>
        <w:numPr>
          <w:ilvl w:val="1"/>
          <w:numId w:val="2"/>
        </w:numPr>
        <w:jc w:val="both"/>
        <w:rPr>
          <w:rFonts w:ascii="Arial" w:hAnsi="Arial" w:cs="Arial"/>
          <w:snapToGrid w:val="0"/>
          <w:sz w:val="22"/>
        </w:rPr>
      </w:pPr>
      <w:proofErr w:type="spellStart"/>
      <w:r>
        <w:rPr>
          <w:rFonts w:ascii="Arial" w:hAnsi="Arial" w:cs="Arial"/>
          <w:sz w:val="22"/>
          <w:szCs w:val="22"/>
        </w:rPr>
        <w:t>Dapagliflozin</w:t>
      </w:r>
      <w:proofErr w:type="spellEnd"/>
      <w:r>
        <w:rPr>
          <w:rFonts w:ascii="Arial" w:hAnsi="Arial" w:cs="Arial"/>
          <w:sz w:val="22"/>
          <w:szCs w:val="22"/>
        </w:rPr>
        <w:t xml:space="preserve"> (10mg tablet) </w:t>
      </w:r>
      <w:r w:rsidRPr="00572DF3">
        <w:rPr>
          <w:rFonts w:ascii="Arial" w:hAnsi="Arial" w:cs="Arial"/>
          <w:sz w:val="22"/>
          <w:szCs w:val="22"/>
        </w:rPr>
        <w:t>is currently listed on the PBS</w:t>
      </w:r>
      <w:r>
        <w:rPr>
          <w:rFonts w:ascii="Arial" w:hAnsi="Arial" w:cs="Arial"/>
          <w:sz w:val="22"/>
          <w:szCs w:val="22"/>
        </w:rPr>
        <w:t xml:space="preserve"> in combination with insulin and</w:t>
      </w:r>
      <w:r w:rsidRPr="00572DF3">
        <w:rPr>
          <w:rFonts w:ascii="Arial" w:hAnsi="Arial" w:cs="Arial"/>
          <w:sz w:val="22"/>
          <w:szCs w:val="22"/>
        </w:rPr>
        <w:t xml:space="preserve"> for dual oral therapy in combination with metformin or a sulfonylurea in patients inadequately controlled on either me</w:t>
      </w:r>
      <w:r>
        <w:rPr>
          <w:rFonts w:ascii="Arial" w:hAnsi="Arial" w:cs="Arial"/>
          <w:sz w:val="22"/>
          <w:szCs w:val="22"/>
        </w:rPr>
        <w:t>tformin or a sulfonylurea alone.</w:t>
      </w:r>
    </w:p>
    <w:p w:rsidR="006D419C" w:rsidRPr="000F7443" w:rsidRDefault="006D419C" w:rsidP="006D419C">
      <w:pPr>
        <w:rPr>
          <w:rFonts w:ascii="Arial" w:hAnsi="Arial" w:cs="Arial"/>
          <w:snapToGrid w:val="0"/>
          <w:sz w:val="22"/>
        </w:rPr>
      </w:pPr>
    </w:p>
    <w:p w:rsidR="006D419C" w:rsidRPr="006457A7" w:rsidRDefault="006D419C" w:rsidP="00BC5302">
      <w:pPr>
        <w:pStyle w:val="ListParagraph"/>
        <w:numPr>
          <w:ilvl w:val="0"/>
          <w:numId w:val="2"/>
        </w:numPr>
        <w:jc w:val="both"/>
        <w:rPr>
          <w:rFonts w:ascii="Arial" w:hAnsi="Arial"/>
          <w:b/>
          <w:sz w:val="22"/>
          <w:szCs w:val="22"/>
        </w:rPr>
      </w:pPr>
      <w:r w:rsidRPr="006457A7">
        <w:rPr>
          <w:rFonts w:ascii="Arial" w:hAnsi="Arial"/>
          <w:b/>
          <w:sz w:val="22"/>
          <w:szCs w:val="22"/>
        </w:rPr>
        <w:lastRenderedPageBreak/>
        <w:t>Pricing considerations</w:t>
      </w:r>
    </w:p>
    <w:p w:rsidR="006D419C" w:rsidRDefault="006D419C" w:rsidP="00BC5302">
      <w:pPr>
        <w:jc w:val="both"/>
        <w:rPr>
          <w:rFonts w:ascii="Arial" w:hAnsi="Arial"/>
          <w:b/>
          <w:sz w:val="22"/>
          <w:szCs w:val="22"/>
        </w:rPr>
      </w:pPr>
    </w:p>
    <w:p w:rsidR="006D419C" w:rsidRDefault="006D419C" w:rsidP="00BC5302">
      <w:pPr>
        <w:pStyle w:val="ListParagraph"/>
        <w:numPr>
          <w:ilvl w:val="1"/>
          <w:numId w:val="2"/>
        </w:numPr>
        <w:jc w:val="both"/>
        <w:rPr>
          <w:rFonts w:ascii="Arial" w:hAnsi="Arial" w:cs="Arial"/>
          <w:snapToGrid w:val="0"/>
          <w:sz w:val="22"/>
        </w:rPr>
      </w:pPr>
      <w:r w:rsidRPr="000F7443">
        <w:rPr>
          <w:rFonts w:ascii="Arial" w:hAnsi="Arial" w:cs="Arial"/>
          <w:snapToGrid w:val="0"/>
          <w:sz w:val="22"/>
        </w:rPr>
        <w:t xml:space="preserve">The proposed dispensed price for maximum quantity (DPMQ) for </w:t>
      </w:r>
      <w:proofErr w:type="spellStart"/>
      <w:r>
        <w:rPr>
          <w:rFonts w:ascii="Arial" w:hAnsi="Arial" w:cs="Arial"/>
          <w:snapToGrid w:val="0"/>
          <w:sz w:val="22"/>
        </w:rPr>
        <w:t>dapagliflozin+metformin</w:t>
      </w:r>
      <w:proofErr w:type="spellEnd"/>
      <w:r w:rsidRPr="000F7443">
        <w:rPr>
          <w:rFonts w:ascii="Arial" w:hAnsi="Arial" w:cs="Arial"/>
          <w:snapToGrid w:val="0"/>
          <w:sz w:val="22"/>
        </w:rPr>
        <w:t xml:space="preserve"> XR for use in the AOI and TOT settings is consistent with the price recommended for dual therapy, i.e. the sum of the component prices of </w:t>
      </w:r>
      <w:proofErr w:type="spellStart"/>
      <w:r w:rsidRPr="000F7443">
        <w:rPr>
          <w:rFonts w:ascii="Arial" w:hAnsi="Arial" w:cs="Arial"/>
          <w:snapToGrid w:val="0"/>
          <w:sz w:val="22"/>
        </w:rPr>
        <w:t>dapagliflozin</w:t>
      </w:r>
      <w:proofErr w:type="spellEnd"/>
      <w:r w:rsidRPr="000F7443">
        <w:rPr>
          <w:rFonts w:ascii="Arial" w:hAnsi="Arial" w:cs="Arial"/>
          <w:snapToGrid w:val="0"/>
          <w:sz w:val="22"/>
        </w:rPr>
        <w:t xml:space="preserve"> and metformin immediate release (IR).</w:t>
      </w:r>
    </w:p>
    <w:p w:rsidR="006D419C" w:rsidRDefault="006D419C" w:rsidP="006D419C">
      <w:pPr>
        <w:pStyle w:val="ListParagraph"/>
        <w:spacing w:after="120"/>
        <w:jc w:val="both"/>
        <w:rPr>
          <w:rFonts w:ascii="Arial" w:hAnsi="Arial" w:cs="Arial"/>
          <w:snapToGrid w:val="0"/>
          <w:sz w:val="22"/>
        </w:rPr>
      </w:pPr>
    </w:p>
    <w:p w:rsidR="006D419C" w:rsidRDefault="006D419C" w:rsidP="006D419C">
      <w:pPr>
        <w:pStyle w:val="ListParagraph"/>
        <w:numPr>
          <w:ilvl w:val="1"/>
          <w:numId w:val="2"/>
        </w:numPr>
        <w:spacing w:after="120"/>
        <w:jc w:val="both"/>
        <w:rPr>
          <w:rFonts w:ascii="Arial" w:hAnsi="Arial" w:cs="Arial"/>
          <w:snapToGrid w:val="0"/>
          <w:sz w:val="22"/>
        </w:rPr>
      </w:pPr>
      <w:r w:rsidRPr="000F7443">
        <w:rPr>
          <w:rFonts w:ascii="Arial" w:hAnsi="Arial" w:cs="Arial"/>
          <w:snapToGrid w:val="0"/>
          <w:sz w:val="22"/>
        </w:rPr>
        <w:t xml:space="preserve">The requested </w:t>
      </w:r>
      <w:r>
        <w:rPr>
          <w:rFonts w:ascii="Arial" w:hAnsi="Arial" w:cs="Arial"/>
          <w:snapToGrid w:val="0"/>
          <w:sz w:val="22"/>
        </w:rPr>
        <w:t xml:space="preserve">price for </w:t>
      </w:r>
      <w:proofErr w:type="spellStart"/>
      <w:r>
        <w:rPr>
          <w:rFonts w:ascii="Arial" w:hAnsi="Arial" w:cs="Arial"/>
          <w:snapToGrid w:val="0"/>
          <w:sz w:val="22"/>
        </w:rPr>
        <w:t>dapagliflozin+metformin</w:t>
      </w:r>
      <w:proofErr w:type="spellEnd"/>
      <w:r w:rsidRPr="000F7443">
        <w:rPr>
          <w:rFonts w:ascii="Arial" w:hAnsi="Arial" w:cs="Arial"/>
          <w:snapToGrid w:val="0"/>
          <w:sz w:val="22"/>
        </w:rPr>
        <w:t xml:space="preserve"> XR for use in the AOI and TOT setting is presented in </w:t>
      </w:r>
      <w:r w:rsidRPr="0069021B">
        <w:rPr>
          <w:rFonts w:ascii="Arial" w:hAnsi="Arial" w:cs="Arial"/>
          <w:snapToGrid w:val="0"/>
          <w:sz w:val="22"/>
        </w:rPr>
        <w:t xml:space="preserve">Table </w:t>
      </w:r>
      <w:r>
        <w:rPr>
          <w:rFonts w:ascii="Arial" w:hAnsi="Arial" w:cs="Arial"/>
          <w:snapToGrid w:val="0"/>
          <w:sz w:val="22"/>
        </w:rPr>
        <w:t>1</w:t>
      </w:r>
      <w:r w:rsidRPr="000F7443">
        <w:rPr>
          <w:rFonts w:ascii="Arial" w:hAnsi="Arial" w:cs="Arial"/>
          <w:snapToGrid w:val="0"/>
          <w:sz w:val="22"/>
        </w:rPr>
        <w:t xml:space="preserve">. </w:t>
      </w:r>
      <w:bookmarkStart w:id="1" w:name="_Ref415236249"/>
    </w:p>
    <w:p w:rsidR="0073017B" w:rsidRPr="0073017B" w:rsidRDefault="0073017B" w:rsidP="0010471A">
      <w:pPr>
        <w:jc w:val="both"/>
        <w:rPr>
          <w:rFonts w:ascii="Arial" w:hAnsi="Arial" w:cs="Arial"/>
          <w:snapToGrid w:val="0"/>
          <w:sz w:val="22"/>
        </w:rPr>
      </w:pPr>
    </w:p>
    <w:p w:rsidR="006D419C" w:rsidRPr="0073017B" w:rsidRDefault="006D419C" w:rsidP="0010471A">
      <w:pPr>
        <w:pStyle w:val="Caption"/>
        <w:spacing w:after="0"/>
        <w:ind w:left="720"/>
        <w:rPr>
          <w:rFonts w:ascii="Arial Narrow" w:hAnsi="Arial Narrow" w:cs="Arial"/>
          <w:b w:val="0"/>
          <w:sz w:val="20"/>
          <w:lang w:val="en-GB"/>
        </w:rPr>
      </w:pPr>
      <w:bookmarkStart w:id="2" w:name="_Ref417039628"/>
      <w:r w:rsidRPr="0073017B">
        <w:rPr>
          <w:rFonts w:ascii="Arial Narrow" w:hAnsi="Arial Narrow" w:cs="Arial"/>
          <w:sz w:val="20"/>
        </w:rPr>
        <w:t xml:space="preserve">Table </w:t>
      </w:r>
      <w:bookmarkEnd w:id="1"/>
      <w:bookmarkEnd w:id="2"/>
      <w:r w:rsidRPr="0073017B">
        <w:rPr>
          <w:rFonts w:ascii="Arial Narrow" w:hAnsi="Arial Narrow" w:cs="Arial"/>
          <w:sz w:val="20"/>
        </w:rPr>
        <w:t xml:space="preserve">1: Requested price by dose for 28 days of treatment of </w:t>
      </w:r>
      <w:proofErr w:type="spellStart"/>
      <w:r w:rsidRPr="0073017B">
        <w:rPr>
          <w:rFonts w:ascii="Arial Narrow" w:hAnsi="Arial Narrow" w:cs="Arial"/>
          <w:snapToGrid w:val="0"/>
          <w:sz w:val="20"/>
        </w:rPr>
        <w:t>dapagliflozin+metformin</w:t>
      </w:r>
      <w:proofErr w:type="spellEnd"/>
      <w:r w:rsidRPr="0073017B">
        <w:rPr>
          <w:rFonts w:ascii="Arial Narrow" w:hAnsi="Arial Narrow" w:cs="Arial"/>
          <w:sz w:val="20"/>
        </w:rPr>
        <w:t xml:space="preserve"> XR as add-on therapy to insulin with metformin and triple oral therapy in combination with a sulfonylurea</w:t>
      </w:r>
    </w:p>
    <w:tbl>
      <w:tblPr>
        <w:tblW w:w="836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220"/>
        <w:gridCol w:w="2221"/>
        <w:gridCol w:w="2221"/>
      </w:tblGrid>
      <w:tr w:rsidR="00BC5302" w:rsidRPr="0005331F" w:rsidTr="00BC5302">
        <w:tc>
          <w:tcPr>
            <w:tcW w:w="1702" w:type="dxa"/>
            <w:shd w:val="clear" w:color="auto" w:fill="auto"/>
          </w:tcPr>
          <w:p w:rsidR="006D419C" w:rsidRPr="00BC5302" w:rsidRDefault="006D419C" w:rsidP="00F82FF1">
            <w:pPr>
              <w:spacing w:before="60" w:after="60"/>
              <w:jc w:val="both"/>
              <w:rPr>
                <w:rFonts w:ascii="Arial Narrow" w:hAnsi="Arial Narrow" w:cs="Arial"/>
                <w:b/>
                <w:sz w:val="20"/>
                <w:szCs w:val="20"/>
                <w:lang w:val="en-GB"/>
              </w:rPr>
            </w:pPr>
          </w:p>
        </w:tc>
        <w:tc>
          <w:tcPr>
            <w:tcW w:w="2220"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 xml:space="preserve">XIGDUO XR (10 mg </w:t>
            </w:r>
            <w:proofErr w:type="spellStart"/>
            <w:r w:rsidRPr="00BC5302">
              <w:rPr>
                <w:rFonts w:ascii="Arial Narrow" w:hAnsi="Arial Narrow" w:cs="Arial"/>
                <w:sz w:val="20"/>
                <w:szCs w:val="20"/>
                <w:lang w:val="en-GB"/>
              </w:rPr>
              <w:t>dapagliflozin</w:t>
            </w:r>
            <w:proofErr w:type="spellEnd"/>
            <w:r w:rsidRPr="00BC5302">
              <w:rPr>
                <w:rFonts w:ascii="Arial Narrow" w:hAnsi="Arial Narrow" w:cs="Arial"/>
                <w:sz w:val="20"/>
                <w:szCs w:val="20"/>
                <w:lang w:val="en-GB"/>
              </w:rPr>
              <w:t xml:space="preserve"> / 500 mg metformin XR) x 28</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 xml:space="preserve">XIGDUO XR (10 mg </w:t>
            </w:r>
            <w:proofErr w:type="spellStart"/>
            <w:r w:rsidRPr="00BC5302">
              <w:rPr>
                <w:rFonts w:ascii="Arial Narrow" w:hAnsi="Arial Narrow" w:cs="Arial"/>
                <w:sz w:val="20"/>
                <w:szCs w:val="20"/>
                <w:lang w:val="en-GB"/>
              </w:rPr>
              <w:t>dapagliflozin</w:t>
            </w:r>
            <w:proofErr w:type="spellEnd"/>
            <w:r w:rsidRPr="00BC5302">
              <w:rPr>
                <w:rFonts w:ascii="Arial Narrow" w:hAnsi="Arial Narrow" w:cs="Arial"/>
                <w:sz w:val="20"/>
                <w:szCs w:val="20"/>
                <w:lang w:val="en-GB"/>
              </w:rPr>
              <w:t xml:space="preserve"> / 1000 mg metformin XR) x 28</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 xml:space="preserve">XIGDUO XR (5 mg </w:t>
            </w:r>
            <w:proofErr w:type="spellStart"/>
            <w:r w:rsidRPr="00BC5302">
              <w:rPr>
                <w:rFonts w:ascii="Arial Narrow" w:hAnsi="Arial Narrow" w:cs="Arial"/>
                <w:sz w:val="20"/>
                <w:szCs w:val="20"/>
                <w:lang w:val="en-GB"/>
              </w:rPr>
              <w:t>dapagliflozin</w:t>
            </w:r>
            <w:proofErr w:type="spellEnd"/>
            <w:r w:rsidRPr="00BC5302">
              <w:rPr>
                <w:rFonts w:ascii="Arial Narrow" w:hAnsi="Arial Narrow" w:cs="Arial"/>
                <w:sz w:val="20"/>
                <w:szCs w:val="20"/>
                <w:lang w:val="en-GB"/>
              </w:rPr>
              <w:t xml:space="preserve"> / 1000 mg metformin XR) x 56</w:t>
            </w:r>
          </w:p>
        </w:tc>
      </w:tr>
      <w:tr w:rsidR="00BC5302" w:rsidRPr="0005331F" w:rsidTr="00BC5302">
        <w:tc>
          <w:tcPr>
            <w:tcW w:w="1702" w:type="dxa"/>
            <w:shd w:val="clear" w:color="auto" w:fill="auto"/>
          </w:tcPr>
          <w:p w:rsidR="006D419C" w:rsidRPr="00BC5302" w:rsidRDefault="006D419C" w:rsidP="00F82FF1">
            <w:pPr>
              <w:spacing w:before="60" w:after="60"/>
              <w:jc w:val="both"/>
              <w:rPr>
                <w:rFonts w:ascii="Arial Narrow" w:hAnsi="Arial Narrow" w:cs="Arial"/>
                <w:b/>
                <w:sz w:val="20"/>
                <w:szCs w:val="20"/>
                <w:lang w:val="en-GB"/>
              </w:rPr>
            </w:pPr>
            <w:r w:rsidRPr="00BC5302">
              <w:rPr>
                <w:rFonts w:ascii="Arial Narrow" w:hAnsi="Arial Narrow" w:cs="Arial"/>
                <w:b/>
                <w:sz w:val="20"/>
                <w:szCs w:val="20"/>
                <w:lang w:val="en-GB"/>
              </w:rPr>
              <w:t>Ex-manufacturer</w:t>
            </w:r>
          </w:p>
        </w:tc>
        <w:tc>
          <w:tcPr>
            <w:tcW w:w="2220"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r>
      <w:tr w:rsidR="00BC5302" w:rsidRPr="0005331F" w:rsidTr="00BC5302">
        <w:tc>
          <w:tcPr>
            <w:tcW w:w="1702" w:type="dxa"/>
            <w:shd w:val="clear" w:color="auto" w:fill="auto"/>
          </w:tcPr>
          <w:p w:rsidR="006D419C" w:rsidRPr="00BC5302" w:rsidRDefault="006D419C" w:rsidP="00F82FF1">
            <w:pPr>
              <w:spacing w:before="60" w:after="60"/>
              <w:jc w:val="both"/>
              <w:rPr>
                <w:rFonts w:ascii="Arial Narrow" w:hAnsi="Arial Narrow" w:cs="Arial"/>
                <w:b/>
                <w:sz w:val="20"/>
                <w:szCs w:val="20"/>
                <w:lang w:val="en-GB"/>
              </w:rPr>
            </w:pPr>
            <w:r w:rsidRPr="00BC5302">
              <w:rPr>
                <w:rFonts w:ascii="Arial Narrow" w:hAnsi="Arial Narrow" w:cs="Arial"/>
                <w:b/>
                <w:sz w:val="20"/>
                <w:szCs w:val="20"/>
                <w:lang w:val="en-GB"/>
              </w:rPr>
              <w:t>Price to pharmacy</w:t>
            </w:r>
          </w:p>
        </w:tc>
        <w:tc>
          <w:tcPr>
            <w:tcW w:w="2220"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r>
      <w:tr w:rsidR="00BC5302" w:rsidRPr="0005331F" w:rsidTr="00BC5302">
        <w:tc>
          <w:tcPr>
            <w:tcW w:w="1702" w:type="dxa"/>
            <w:shd w:val="clear" w:color="auto" w:fill="auto"/>
          </w:tcPr>
          <w:p w:rsidR="006D419C" w:rsidRPr="00BC5302" w:rsidRDefault="006D419C" w:rsidP="00F82FF1">
            <w:pPr>
              <w:spacing w:before="60" w:after="60"/>
              <w:jc w:val="both"/>
              <w:rPr>
                <w:rFonts w:ascii="Arial Narrow" w:hAnsi="Arial Narrow" w:cs="Arial"/>
                <w:b/>
                <w:sz w:val="20"/>
                <w:szCs w:val="20"/>
                <w:lang w:val="en-GB"/>
              </w:rPr>
            </w:pPr>
            <w:r w:rsidRPr="00BC5302">
              <w:rPr>
                <w:rFonts w:ascii="Arial Narrow" w:hAnsi="Arial Narrow" w:cs="Arial"/>
                <w:b/>
                <w:sz w:val="20"/>
                <w:szCs w:val="20"/>
                <w:lang w:val="en-GB"/>
              </w:rPr>
              <w:t>DPMQ</w:t>
            </w:r>
          </w:p>
        </w:tc>
        <w:tc>
          <w:tcPr>
            <w:tcW w:w="2220"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c>
          <w:tcPr>
            <w:tcW w:w="2221" w:type="dxa"/>
            <w:shd w:val="clear" w:color="auto" w:fill="auto"/>
          </w:tcPr>
          <w:p w:rsidR="006D419C" w:rsidRPr="00BC5302" w:rsidRDefault="006D419C" w:rsidP="00F82FF1">
            <w:pPr>
              <w:spacing w:before="60" w:after="60"/>
              <w:jc w:val="center"/>
              <w:rPr>
                <w:rFonts w:ascii="Arial Narrow" w:hAnsi="Arial Narrow" w:cs="Arial"/>
                <w:sz w:val="20"/>
                <w:szCs w:val="20"/>
                <w:lang w:val="en-GB"/>
              </w:rPr>
            </w:pPr>
            <w:r w:rsidRPr="00BC5302">
              <w:rPr>
                <w:rFonts w:ascii="Arial Narrow" w:hAnsi="Arial Narrow" w:cs="Arial"/>
                <w:sz w:val="20"/>
                <w:szCs w:val="20"/>
                <w:lang w:val="en-GB"/>
              </w:rPr>
              <w:t>$</w:t>
            </w:r>
            <w:r w:rsidR="006F0225">
              <w:rPr>
                <w:rFonts w:ascii="Arial Narrow" w:hAnsi="Arial Narrow" w:cs="Arial"/>
                <w:noProof/>
                <w:color w:val="000000"/>
                <w:sz w:val="20"/>
                <w:szCs w:val="20"/>
                <w:highlight w:val="black"/>
                <w:lang w:val="en-GB"/>
              </w:rPr>
              <w:t>'''''''''''''''</w:t>
            </w:r>
          </w:p>
        </w:tc>
      </w:tr>
    </w:tbl>
    <w:p w:rsidR="006D419C" w:rsidRPr="0073017B" w:rsidRDefault="006D419C" w:rsidP="006D419C">
      <w:pPr>
        <w:pStyle w:val="ListParagraph"/>
        <w:spacing w:after="120"/>
        <w:jc w:val="both"/>
        <w:rPr>
          <w:rFonts w:ascii="Arial Narrow" w:hAnsi="Arial Narrow" w:cs="Arial"/>
          <w:i/>
          <w:sz w:val="16"/>
          <w:szCs w:val="16"/>
          <w:lang w:val="en-GB"/>
        </w:rPr>
      </w:pPr>
      <w:r w:rsidRPr="0073017B">
        <w:rPr>
          <w:rFonts w:ascii="Arial Narrow" w:hAnsi="Arial Narrow" w:cs="Arial"/>
          <w:i/>
          <w:sz w:val="16"/>
          <w:szCs w:val="16"/>
          <w:lang w:val="en-GB"/>
        </w:rPr>
        <w:t>Abbreviations: DPMQ, dispensed price maximum quantity; mg, milligrams; XR, extended release</w:t>
      </w:r>
    </w:p>
    <w:p w:rsidR="006D419C" w:rsidRPr="0010471A" w:rsidRDefault="006D419C" w:rsidP="0010471A">
      <w:pPr>
        <w:pStyle w:val="ListParagraph"/>
        <w:spacing w:after="120"/>
        <w:jc w:val="both"/>
        <w:rPr>
          <w:rFonts w:ascii="Arial Narrow" w:hAnsi="Arial Narrow" w:cs="Arial"/>
          <w:i/>
          <w:sz w:val="16"/>
          <w:szCs w:val="16"/>
          <w:lang w:val="en-GB"/>
        </w:rPr>
      </w:pPr>
      <w:r w:rsidRPr="0073017B">
        <w:rPr>
          <w:rFonts w:ascii="Arial Narrow" w:hAnsi="Arial Narrow" w:cs="Arial"/>
          <w:i/>
          <w:sz w:val="16"/>
          <w:szCs w:val="16"/>
          <w:lang w:val="en-GB"/>
        </w:rPr>
        <w:t xml:space="preserve">Source: </w:t>
      </w:r>
      <w:proofErr w:type="spellStart"/>
      <w:r w:rsidRPr="0073017B">
        <w:rPr>
          <w:rFonts w:ascii="Arial Narrow" w:hAnsi="Arial Narrow" w:cs="Arial"/>
          <w:i/>
          <w:sz w:val="16"/>
          <w:szCs w:val="16"/>
          <w:lang w:val="en-GB"/>
        </w:rPr>
        <w:t>Xigduo</w:t>
      </w:r>
      <w:proofErr w:type="spellEnd"/>
      <w:r w:rsidRPr="0073017B">
        <w:rPr>
          <w:rFonts w:ascii="Arial Narrow" w:hAnsi="Arial Narrow" w:cs="Arial"/>
          <w:i/>
          <w:sz w:val="16"/>
          <w:szCs w:val="16"/>
          <w:lang w:val="en-GB"/>
        </w:rPr>
        <w:t xml:space="preserve"> XR Minor PBAC Submission Apr-15 - AOI &amp; TOT.xls (excel spreadsheet as part of the submission package)</w:t>
      </w:r>
    </w:p>
    <w:p w:rsidR="0010471A" w:rsidRDefault="0010471A" w:rsidP="0010471A">
      <w:pPr>
        <w:pStyle w:val="ListParagraph"/>
        <w:jc w:val="both"/>
        <w:rPr>
          <w:rFonts w:ascii="Arial" w:hAnsi="Arial" w:cs="Arial"/>
          <w:snapToGrid w:val="0"/>
          <w:sz w:val="22"/>
        </w:rPr>
      </w:pPr>
    </w:p>
    <w:p w:rsidR="006D419C" w:rsidRDefault="006D419C" w:rsidP="006D419C">
      <w:pPr>
        <w:pStyle w:val="ListParagraph"/>
        <w:numPr>
          <w:ilvl w:val="1"/>
          <w:numId w:val="2"/>
        </w:numPr>
        <w:jc w:val="both"/>
        <w:rPr>
          <w:rFonts w:ascii="Arial" w:hAnsi="Arial" w:cs="Arial"/>
          <w:snapToGrid w:val="0"/>
          <w:sz w:val="22"/>
        </w:rPr>
      </w:pPr>
      <w:r>
        <w:rPr>
          <w:rFonts w:ascii="Arial" w:hAnsi="Arial" w:cs="Arial"/>
          <w:snapToGrid w:val="0"/>
          <w:sz w:val="22"/>
        </w:rPr>
        <w:t xml:space="preserve">Consistent with the July 2014 submission, the submission estimated there would be minimal financial implications to the PBS if </w:t>
      </w:r>
      <w:proofErr w:type="spellStart"/>
      <w:r>
        <w:rPr>
          <w:rFonts w:ascii="Arial" w:hAnsi="Arial" w:cs="Arial"/>
          <w:snapToGrid w:val="0"/>
          <w:sz w:val="22"/>
        </w:rPr>
        <w:t>dapagliflozin+metformin</w:t>
      </w:r>
      <w:proofErr w:type="spellEnd"/>
      <w:r>
        <w:rPr>
          <w:rFonts w:ascii="Arial" w:hAnsi="Arial" w:cs="Arial"/>
          <w:snapToGrid w:val="0"/>
          <w:sz w:val="22"/>
        </w:rPr>
        <w:t xml:space="preserve"> XR FDC is listed, as it anticipated that </w:t>
      </w:r>
      <w:proofErr w:type="spellStart"/>
      <w:r>
        <w:rPr>
          <w:rFonts w:ascii="Arial" w:hAnsi="Arial" w:cs="Arial"/>
          <w:snapToGrid w:val="0"/>
          <w:sz w:val="22"/>
        </w:rPr>
        <w:t>dapagliflozin+metformin</w:t>
      </w:r>
      <w:proofErr w:type="spellEnd"/>
      <w:r>
        <w:rPr>
          <w:rFonts w:ascii="Arial" w:hAnsi="Arial" w:cs="Arial"/>
          <w:snapToGrid w:val="0"/>
          <w:sz w:val="22"/>
        </w:rPr>
        <w:t xml:space="preserve"> XR FDC will substitute for </w:t>
      </w:r>
      <w:proofErr w:type="spellStart"/>
      <w:r>
        <w:rPr>
          <w:rFonts w:ascii="Arial" w:hAnsi="Arial" w:cs="Arial"/>
          <w:snapToGrid w:val="0"/>
          <w:sz w:val="22"/>
        </w:rPr>
        <w:t>dapagliflozin</w:t>
      </w:r>
      <w:proofErr w:type="spellEnd"/>
      <w:r>
        <w:rPr>
          <w:rFonts w:ascii="Arial" w:hAnsi="Arial" w:cs="Arial"/>
          <w:snapToGrid w:val="0"/>
          <w:sz w:val="22"/>
        </w:rPr>
        <w:t xml:space="preserve"> and metformin mono-components over time. </w:t>
      </w:r>
    </w:p>
    <w:p w:rsidR="006D419C" w:rsidRDefault="006D419C" w:rsidP="006D419C">
      <w:pPr>
        <w:pStyle w:val="ListParagraph"/>
        <w:jc w:val="both"/>
        <w:rPr>
          <w:rFonts w:ascii="Arial" w:hAnsi="Arial" w:cs="Arial"/>
          <w:snapToGrid w:val="0"/>
          <w:sz w:val="22"/>
        </w:rPr>
      </w:pPr>
    </w:p>
    <w:p w:rsidR="006D419C" w:rsidRPr="00AE21A1" w:rsidRDefault="006D419C" w:rsidP="006D419C">
      <w:pPr>
        <w:pStyle w:val="ListParagraph"/>
        <w:numPr>
          <w:ilvl w:val="1"/>
          <w:numId w:val="2"/>
        </w:numPr>
        <w:jc w:val="both"/>
        <w:rPr>
          <w:rFonts w:ascii="Arial" w:hAnsi="Arial"/>
          <w:sz w:val="22"/>
          <w:szCs w:val="22"/>
        </w:rPr>
      </w:pPr>
      <w:r>
        <w:rPr>
          <w:rFonts w:ascii="Arial" w:hAnsi="Arial"/>
          <w:sz w:val="22"/>
          <w:szCs w:val="22"/>
        </w:rPr>
        <w:t xml:space="preserve">The estimated use and financial implications of listing </w:t>
      </w:r>
      <w:proofErr w:type="spellStart"/>
      <w:r>
        <w:rPr>
          <w:rFonts w:ascii="Arial" w:hAnsi="Arial"/>
          <w:sz w:val="22"/>
          <w:szCs w:val="22"/>
        </w:rPr>
        <w:t>dapagliflozin+metformin</w:t>
      </w:r>
      <w:proofErr w:type="spellEnd"/>
      <w:r>
        <w:rPr>
          <w:rFonts w:ascii="Arial" w:hAnsi="Arial"/>
          <w:sz w:val="22"/>
          <w:szCs w:val="22"/>
        </w:rPr>
        <w:t xml:space="preserve"> XR FDC on the PBS </w:t>
      </w:r>
      <w:r w:rsidRPr="00AE21A1">
        <w:rPr>
          <w:rFonts w:ascii="Arial" w:hAnsi="Arial"/>
          <w:sz w:val="22"/>
          <w:szCs w:val="22"/>
        </w:rPr>
        <w:t xml:space="preserve">is summarised in the table below. </w:t>
      </w:r>
    </w:p>
    <w:p w:rsidR="006D419C" w:rsidRPr="00C00DA7" w:rsidRDefault="006D419C" w:rsidP="006D419C">
      <w:pPr>
        <w:jc w:val="both"/>
        <w:rPr>
          <w:rFonts w:ascii="Arial" w:hAnsi="Arial"/>
          <w:sz w:val="22"/>
          <w:szCs w:val="22"/>
        </w:rPr>
      </w:pPr>
    </w:p>
    <w:p w:rsidR="006D419C" w:rsidRPr="006C2606" w:rsidRDefault="006D419C" w:rsidP="006D419C">
      <w:pPr>
        <w:ind w:firstLine="720"/>
        <w:rPr>
          <w:rFonts w:ascii="Arial Narrow" w:hAnsi="Arial Narrow"/>
          <w:b/>
          <w:sz w:val="20"/>
          <w:szCs w:val="20"/>
        </w:rPr>
      </w:pPr>
      <w:r>
        <w:rPr>
          <w:rFonts w:ascii="Arial Narrow" w:hAnsi="Arial Narrow"/>
          <w:b/>
          <w:sz w:val="20"/>
          <w:szCs w:val="20"/>
        </w:rPr>
        <w:t>Table 2</w:t>
      </w:r>
      <w:r w:rsidRPr="006C2606">
        <w:rPr>
          <w:rFonts w:ascii="Arial Narrow" w:hAnsi="Arial Narrow"/>
          <w:b/>
          <w:sz w:val="20"/>
          <w:szCs w:val="20"/>
        </w:rPr>
        <w:t>: Estimated use and financial implications</w:t>
      </w:r>
    </w:p>
    <w:tbl>
      <w:tblPr>
        <w:tblStyle w:val="TableGrid"/>
        <w:tblW w:w="8363" w:type="dxa"/>
        <w:tblInd w:w="817" w:type="dxa"/>
        <w:shd w:val="clear" w:color="auto" w:fill="FFFFFF" w:themeFill="background1"/>
        <w:tblLayout w:type="fixed"/>
        <w:tblLook w:val="04A0" w:firstRow="1" w:lastRow="0" w:firstColumn="1" w:lastColumn="0" w:noHBand="0" w:noVBand="1"/>
        <w:tblCaption w:val="Table 2: Estimated use and financial implications"/>
        <w:tblDescription w:val="The redacted table above shows that the estimated use and financial implications of dapagliflozin+metformin XR FDC for AOI and TOT is 50,000 - 100,000 patients treated and a saving to the PBS/RPBS of less than $10 million.  "/>
      </w:tblPr>
      <w:tblGrid>
        <w:gridCol w:w="1701"/>
        <w:gridCol w:w="1110"/>
        <w:gridCol w:w="1110"/>
        <w:gridCol w:w="1111"/>
        <w:gridCol w:w="1110"/>
        <w:gridCol w:w="1110"/>
        <w:gridCol w:w="1111"/>
      </w:tblGrid>
      <w:tr w:rsidR="00BC5302" w:rsidRPr="006C2606" w:rsidTr="005250C0">
        <w:trPr>
          <w:tblHeader/>
        </w:trPr>
        <w:tc>
          <w:tcPr>
            <w:tcW w:w="1701" w:type="dxa"/>
            <w:shd w:val="clear" w:color="auto" w:fill="FFFFFF" w:themeFill="background1"/>
            <w:noWrap/>
            <w:hideMark/>
          </w:tcPr>
          <w:p w:rsidR="006D419C" w:rsidRPr="00BC5302" w:rsidRDefault="006D419C" w:rsidP="00F82FF1">
            <w:pPr>
              <w:pStyle w:val="Table"/>
              <w:spacing w:line="240" w:lineRule="auto"/>
              <w:rPr>
                <w:rFonts w:ascii="Arial Narrow" w:hAnsi="Arial Narrow"/>
                <w:b/>
                <w:sz w:val="20"/>
                <w:szCs w:val="20"/>
              </w:rPr>
            </w:pPr>
          </w:p>
        </w:tc>
        <w:tc>
          <w:tcPr>
            <w:tcW w:w="1110" w:type="dxa"/>
            <w:shd w:val="clear" w:color="auto" w:fill="FFFFFF" w:themeFill="background1"/>
            <w:noWrap/>
            <w:hideMark/>
          </w:tcPr>
          <w:p w:rsidR="006D419C" w:rsidRPr="00BC5302" w:rsidRDefault="006D419C" w:rsidP="00F82FF1">
            <w:pPr>
              <w:pStyle w:val="TableCentre"/>
              <w:rPr>
                <w:rFonts w:ascii="Arial Narrow" w:hAnsi="Arial Narrow"/>
                <w:b/>
                <w:szCs w:val="20"/>
              </w:rPr>
            </w:pPr>
            <w:r w:rsidRPr="00BC5302">
              <w:rPr>
                <w:rFonts w:ascii="Arial Narrow" w:hAnsi="Arial Narrow"/>
                <w:b/>
                <w:szCs w:val="20"/>
              </w:rPr>
              <w:t>Year 1</w:t>
            </w:r>
          </w:p>
        </w:tc>
        <w:tc>
          <w:tcPr>
            <w:tcW w:w="1110" w:type="dxa"/>
            <w:shd w:val="clear" w:color="auto" w:fill="FFFFFF" w:themeFill="background1"/>
            <w:noWrap/>
            <w:hideMark/>
          </w:tcPr>
          <w:p w:rsidR="006D419C" w:rsidRPr="00BC5302" w:rsidRDefault="006D419C" w:rsidP="00F82FF1">
            <w:pPr>
              <w:pStyle w:val="TableCentre"/>
              <w:rPr>
                <w:rFonts w:ascii="Arial Narrow" w:hAnsi="Arial Narrow"/>
                <w:b/>
                <w:szCs w:val="20"/>
              </w:rPr>
            </w:pPr>
            <w:r w:rsidRPr="00BC5302">
              <w:rPr>
                <w:rFonts w:ascii="Arial Narrow" w:hAnsi="Arial Narrow"/>
                <w:b/>
                <w:szCs w:val="20"/>
              </w:rPr>
              <w:t>Year 2</w:t>
            </w:r>
          </w:p>
        </w:tc>
        <w:tc>
          <w:tcPr>
            <w:tcW w:w="1111" w:type="dxa"/>
            <w:shd w:val="clear" w:color="auto" w:fill="FFFFFF" w:themeFill="background1"/>
            <w:noWrap/>
            <w:hideMark/>
          </w:tcPr>
          <w:p w:rsidR="006D419C" w:rsidRPr="00BC5302" w:rsidRDefault="006D419C" w:rsidP="00F82FF1">
            <w:pPr>
              <w:pStyle w:val="TableCentre"/>
              <w:rPr>
                <w:rFonts w:ascii="Arial Narrow" w:hAnsi="Arial Narrow"/>
                <w:b/>
                <w:szCs w:val="20"/>
              </w:rPr>
            </w:pPr>
            <w:r w:rsidRPr="00BC5302">
              <w:rPr>
                <w:rFonts w:ascii="Arial Narrow" w:hAnsi="Arial Narrow"/>
                <w:b/>
                <w:szCs w:val="20"/>
              </w:rPr>
              <w:t>Year 3</w:t>
            </w:r>
          </w:p>
        </w:tc>
        <w:tc>
          <w:tcPr>
            <w:tcW w:w="1110" w:type="dxa"/>
            <w:shd w:val="clear" w:color="auto" w:fill="FFFFFF" w:themeFill="background1"/>
            <w:noWrap/>
            <w:hideMark/>
          </w:tcPr>
          <w:p w:rsidR="006D419C" w:rsidRPr="00E84213" w:rsidRDefault="006D419C" w:rsidP="00F82FF1">
            <w:pPr>
              <w:pStyle w:val="TableCentre"/>
              <w:rPr>
                <w:rFonts w:ascii="Arial Narrow" w:hAnsi="Arial Narrow"/>
                <w:b/>
                <w:szCs w:val="20"/>
              </w:rPr>
            </w:pPr>
            <w:r w:rsidRPr="00E84213">
              <w:rPr>
                <w:rFonts w:ascii="Arial Narrow" w:hAnsi="Arial Narrow"/>
                <w:b/>
                <w:szCs w:val="20"/>
              </w:rPr>
              <w:t>Year 4</w:t>
            </w:r>
          </w:p>
        </w:tc>
        <w:tc>
          <w:tcPr>
            <w:tcW w:w="1110" w:type="dxa"/>
            <w:shd w:val="clear" w:color="auto" w:fill="FFFFFF" w:themeFill="background1"/>
            <w:noWrap/>
            <w:hideMark/>
          </w:tcPr>
          <w:p w:rsidR="006D419C" w:rsidRPr="00BC5302" w:rsidRDefault="006D419C" w:rsidP="00F82FF1">
            <w:pPr>
              <w:pStyle w:val="TableCentre"/>
              <w:rPr>
                <w:rFonts w:ascii="Arial Narrow" w:hAnsi="Arial Narrow"/>
                <w:b/>
                <w:szCs w:val="20"/>
              </w:rPr>
            </w:pPr>
            <w:r w:rsidRPr="00BC5302">
              <w:rPr>
                <w:rFonts w:ascii="Arial Narrow" w:hAnsi="Arial Narrow"/>
                <w:b/>
                <w:szCs w:val="20"/>
              </w:rPr>
              <w:t>Year 5</w:t>
            </w:r>
          </w:p>
        </w:tc>
        <w:tc>
          <w:tcPr>
            <w:tcW w:w="1111" w:type="dxa"/>
            <w:shd w:val="clear" w:color="auto" w:fill="FFFFFF" w:themeFill="background1"/>
          </w:tcPr>
          <w:p w:rsidR="006D419C" w:rsidRPr="00BC5302" w:rsidRDefault="006D419C" w:rsidP="00F82FF1">
            <w:pPr>
              <w:pStyle w:val="TableCentre"/>
              <w:ind w:left="-57" w:right="-57"/>
              <w:rPr>
                <w:rFonts w:ascii="Arial Narrow" w:hAnsi="Arial Narrow"/>
                <w:b/>
                <w:szCs w:val="20"/>
              </w:rPr>
            </w:pPr>
            <w:r w:rsidRPr="00BC5302">
              <w:rPr>
                <w:rFonts w:ascii="Arial Narrow" w:hAnsi="Arial Narrow"/>
                <w:b/>
                <w:szCs w:val="20"/>
              </w:rPr>
              <w:t>Total</w:t>
            </w:r>
          </w:p>
        </w:tc>
      </w:tr>
      <w:tr w:rsidR="006D419C" w:rsidRPr="006C2606" w:rsidTr="005D4294">
        <w:trPr>
          <w:trHeight w:val="219"/>
        </w:trPr>
        <w:tc>
          <w:tcPr>
            <w:tcW w:w="8363" w:type="dxa"/>
            <w:gridSpan w:val="7"/>
            <w:shd w:val="clear" w:color="auto" w:fill="FFFFFF" w:themeFill="background1"/>
            <w:noWrap/>
          </w:tcPr>
          <w:p w:rsidR="006D419C" w:rsidRPr="00BC5302" w:rsidRDefault="006D419C" w:rsidP="00F82FF1">
            <w:pPr>
              <w:pStyle w:val="TableRight"/>
              <w:jc w:val="left"/>
              <w:rPr>
                <w:rFonts w:ascii="Arial Narrow" w:hAnsi="Arial Narrow"/>
                <w:b/>
                <w:szCs w:val="20"/>
              </w:rPr>
            </w:pPr>
            <w:r w:rsidRPr="00BC5302">
              <w:rPr>
                <w:rFonts w:ascii="Arial Narrow" w:hAnsi="Arial Narrow"/>
                <w:b/>
                <w:szCs w:val="20"/>
              </w:rPr>
              <w:t>Extent of use</w:t>
            </w:r>
          </w:p>
        </w:tc>
      </w:tr>
      <w:tr w:rsidR="00BC5302" w:rsidRPr="006C2606" w:rsidTr="00BC5302">
        <w:tc>
          <w:tcPr>
            <w:tcW w:w="1701" w:type="dxa"/>
            <w:shd w:val="clear" w:color="auto" w:fill="FFFFFF" w:themeFill="background1"/>
            <w:noWrap/>
            <w:hideMark/>
          </w:tcPr>
          <w:p w:rsidR="006D419C" w:rsidRPr="00BC5302" w:rsidRDefault="006D419C" w:rsidP="00F82FF1">
            <w:pPr>
              <w:pStyle w:val="Table"/>
              <w:spacing w:line="240" w:lineRule="auto"/>
              <w:rPr>
                <w:rFonts w:ascii="Arial Narrow" w:hAnsi="Arial Narrow"/>
                <w:sz w:val="20"/>
                <w:szCs w:val="20"/>
              </w:rPr>
            </w:pPr>
            <w:r w:rsidRPr="00BC5302">
              <w:rPr>
                <w:rFonts w:ascii="Arial Narrow" w:hAnsi="Arial Narrow"/>
                <w:sz w:val="20"/>
                <w:szCs w:val="20"/>
              </w:rPr>
              <w:t>Number treated</w:t>
            </w:r>
          </w:p>
        </w:tc>
        <w:tc>
          <w:tcPr>
            <w:tcW w:w="1110" w:type="dxa"/>
            <w:shd w:val="clear" w:color="auto" w:fill="FFFFFF" w:themeFill="background1"/>
            <w:noWrap/>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1" w:type="dxa"/>
            <w:shd w:val="clear" w:color="auto" w:fill="FFFFFF" w:themeFill="background1"/>
            <w:noWrap/>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1" w:type="dxa"/>
            <w:shd w:val="clear" w:color="auto" w:fill="FFFFFF" w:themeFill="background1"/>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BC5302" w:rsidRPr="006C2606" w:rsidTr="00BC5302">
        <w:tc>
          <w:tcPr>
            <w:tcW w:w="1701" w:type="dxa"/>
            <w:shd w:val="clear" w:color="auto" w:fill="FFFFFF" w:themeFill="background1"/>
            <w:noWrap/>
            <w:hideMark/>
          </w:tcPr>
          <w:p w:rsidR="006D419C" w:rsidRPr="00BC5302" w:rsidRDefault="006D419C" w:rsidP="00F82FF1">
            <w:pPr>
              <w:pStyle w:val="Table"/>
              <w:spacing w:line="240" w:lineRule="auto"/>
              <w:rPr>
                <w:rFonts w:ascii="Arial Narrow" w:hAnsi="Arial Narrow"/>
                <w:sz w:val="20"/>
                <w:szCs w:val="20"/>
              </w:rPr>
            </w:pPr>
            <w:r w:rsidRPr="00BC5302">
              <w:rPr>
                <w:rFonts w:ascii="Arial Narrow" w:hAnsi="Arial Narrow"/>
                <w:sz w:val="20"/>
                <w:szCs w:val="20"/>
              </w:rPr>
              <w:t>Number of services</w:t>
            </w:r>
          </w:p>
        </w:tc>
        <w:tc>
          <w:tcPr>
            <w:tcW w:w="1110" w:type="dxa"/>
            <w:shd w:val="clear" w:color="auto" w:fill="FFFFFF" w:themeFill="background1"/>
            <w:noWrap/>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1" w:type="dxa"/>
            <w:shd w:val="clear" w:color="auto" w:fill="FFFFFF" w:themeFill="background1"/>
            <w:noWrap/>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0" w:type="dxa"/>
            <w:shd w:val="clear" w:color="auto" w:fill="FFFFFF" w:themeFill="background1"/>
            <w:noWrap/>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11" w:type="dxa"/>
            <w:shd w:val="clear" w:color="auto" w:fill="FFFFFF" w:themeFill="background1"/>
            <w:vAlign w:val="bottom"/>
          </w:tcPr>
          <w:p w:rsidR="006D419C" w:rsidRPr="006F0225" w:rsidRDefault="006F0225" w:rsidP="00F82FF1">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6D419C" w:rsidRPr="006C2606" w:rsidTr="00BC5302">
        <w:tc>
          <w:tcPr>
            <w:tcW w:w="8363" w:type="dxa"/>
            <w:gridSpan w:val="7"/>
            <w:shd w:val="clear" w:color="auto" w:fill="FFFFFF" w:themeFill="background1"/>
            <w:noWrap/>
            <w:hideMark/>
          </w:tcPr>
          <w:p w:rsidR="006D419C" w:rsidRPr="005D4294" w:rsidRDefault="006D419C" w:rsidP="00F82FF1">
            <w:pPr>
              <w:pStyle w:val="TableCentre"/>
              <w:jc w:val="left"/>
              <w:rPr>
                <w:rFonts w:ascii="Arial Narrow" w:hAnsi="Arial Narrow"/>
                <w:b/>
                <w:szCs w:val="20"/>
              </w:rPr>
            </w:pPr>
            <w:r w:rsidRPr="005D4294">
              <w:rPr>
                <w:rFonts w:ascii="Arial Narrow" w:hAnsi="Arial Narrow"/>
                <w:b/>
                <w:szCs w:val="20"/>
              </w:rPr>
              <w:t xml:space="preserve">Cost of listing </w:t>
            </w:r>
            <w:proofErr w:type="spellStart"/>
            <w:r w:rsidRPr="005D4294">
              <w:rPr>
                <w:rFonts w:ascii="Arial Narrow" w:hAnsi="Arial Narrow"/>
                <w:b/>
                <w:szCs w:val="20"/>
              </w:rPr>
              <w:t>dapagliflozin+metformin</w:t>
            </w:r>
            <w:proofErr w:type="spellEnd"/>
            <w:r w:rsidRPr="005D4294">
              <w:rPr>
                <w:rFonts w:ascii="Arial Narrow" w:hAnsi="Arial Narrow"/>
                <w:b/>
                <w:szCs w:val="20"/>
              </w:rPr>
              <w:t xml:space="preserve"> on the PBS/RPBS</w:t>
            </w:r>
          </w:p>
        </w:tc>
      </w:tr>
      <w:tr w:rsidR="00BC5302" w:rsidRPr="006C2606" w:rsidTr="00BC5302">
        <w:tc>
          <w:tcPr>
            <w:tcW w:w="1701" w:type="dxa"/>
            <w:shd w:val="clear" w:color="auto" w:fill="FFFFFF" w:themeFill="background1"/>
            <w:noWrap/>
            <w:hideMark/>
          </w:tcPr>
          <w:p w:rsidR="006D419C" w:rsidRPr="00BC5302" w:rsidRDefault="006D419C" w:rsidP="00F82FF1">
            <w:pPr>
              <w:pStyle w:val="Table"/>
              <w:spacing w:line="240" w:lineRule="auto"/>
              <w:ind w:right="-57"/>
              <w:rPr>
                <w:rFonts w:ascii="Arial Narrow" w:hAnsi="Arial Narrow"/>
                <w:sz w:val="20"/>
                <w:szCs w:val="20"/>
              </w:rPr>
            </w:pPr>
            <w:r w:rsidRPr="00BC5302">
              <w:rPr>
                <w:rFonts w:ascii="Arial Narrow" w:hAnsi="Arial Narrow"/>
                <w:sz w:val="20"/>
                <w:szCs w:val="20"/>
              </w:rPr>
              <w:t xml:space="preserve">Cost to the PBS/RPBS </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6F0225" w:rsidRDefault="006F0225" w:rsidP="00F82FF1">
            <w:pPr>
              <w:pStyle w:val="TableRight"/>
              <w:ind w:right="-57"/>
              <w:rPr>
                <w:rFonts w:ascii="Arial Narrow" w:hAnsi="Arial Narrow"/>
                <w:szCs w:val="20"/>
                <w:highlight w:val="black"/>
              </w:rPr>
            </w:pPr>
            <w:r>
              <w:rPr>
                <w:rFonts w:ascii="Arial Narrow" w:hAnsi="Arial Narrow"/>
                <w:noProof/>
                <w:color w:val="000000"/>
                <w:szCs w:val="20"/>
                <w:highlight w:val="black"/>
              </w:rPr>
              <w:t>'''''''''''''''''''''''''''</w:t>
            </w:r>
          </w:p>
        </w:tc>
        <w:tc>
          <w:tcPr>
            <w:tcW w:w="1111"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EE66FC">
            <w:pPr>
              <w:pStyle w:val="TableRight"/>
              <w:ind w:right="-57"/>
              <w:jc w:val="center"/>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1" w:type="dxa"/>
            <w:shd w:val="clear" w:color="auto" w:fill="FFFFFF" w:themeFill="background1"/>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r>
      <w:tr w:rsidR="006D419C" w:rsidRPr="006C2606" w:rsidTr="00BC5302">
        <w:tc>
          <w:tcPr>
            <w:tcW w:w="8363" w:type="dxa"/>
            <w:gridSpan w:val="7"/>
            <w:shd w:val="clear" w:color="auto" w:fill="FFFFFF" w:themeFill="background1"/>
            <w:noWrap/>
          </w:tcPr>
          <w:p w:rsidR="006D419C" w:rsidRPr="005D4294" w:rsidRDefault="006D419C" w:rsidP="00F82FF1">
            <w:pPr>
              <w:pStyle w:val="TableRight"/>
              <w:ind w:right="-57"/>
              <w:jc w:val="left"/>
              <w:rPr>
                <w:rFonts w:ascii="Arial Narrow" w:hAnsi="Arial Narrow"/>
                <w:szCs w:val="20"/>
              </w:rPr>
            </w:pPr>
            <w:r w:rsidRPr="005D4294">
              <w:rPr>
                <w:rFonts w:ascii="Arial Narrow" w:hAnsi="Arial Narrow"/>
                <w:b/>
                <w:szCs w:val="20"/>
              </w:rPr>
              <w:t xml:space="preserve">Savings to PBS/RPBS from substitution of </w:t>
            </w:r>
            <w:proofErr w:type="spellStart"/>
            <w:r w:rsidRPr="005D4294">
              <w:rPr>
                <w:rFonts w:ascii="Arial Narrow" w:hAnsi="Arial Narrow"/>
                <w:b/>
                <w:szCs w:val="20"/>
              </w:rPr>
              <w:t>dapagliflozin+metformin</w:t>
            </w:r>
            <w:proofErr w:type="spellEnd"/>
            <w:r w:rsidRPr="005D4294">
              <w:rPr>
                <w:rFonts w:ascii="Arial Narrow" w:hAnsi="Arial Narrow"/>
                <w:b/>
                <w:szCs w:val="20"/>
              </w:rPr>
              <w:t xml:space="preserve"> mono-components</w:t>
            </w:r>
          </w:p>
        </w:tc>
      </w:tr>
      <w:tr w:rsidR="00BC5302" w:rsidRPr="006C2606" w:rsidTr="00BC5302">
        <w:tc>
          <w:tcPr>
            <w:tcW w:w="1701" w:type="dxa"/>
            <w:shd w:val="clear" w:color="auto" w:fill="FFFFFF" w:themeFill="background1"/>
            <w:noWrap/>
          </w:tcPr>
          <w:p w:rsidR="006D419C" w:rsidRPr="00BC5302" w:rsidRDefault="006D419C" w:rsidP="00F82FF1">
            <w:pPr>
              <w:pStyle w:val="Table"/>
              <w:spacing w:line="240" w:lineRule="auto"/>
              <w:ind w:right="-57"/>
              <w:rPr>
                <w:rFonts w:ascii="Arial Narrow" w:hAnsi="Arial Narrow"/>
                <w:sz w:val="20"/>
                <w:szCs w:val="20"/>
              </w:rPr>
            </w:pPr>
            <w:r w:rsidRPr="00BC5302">
              <w:rPr>
                <w:rFonts w:ascii="Arial Narrow" w:hAnsi="Arial Narrow"/>
                <w:sz w:val="20"/>
                <w:szCs w:val="20"/>
              </w:rPr>
              <w:t>Savings to the PBS/RPBS</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1"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1" w:type="dxa"/>
            <w:shd w:val="clear" w:color="auto" w:fill="FFFFFF" w:themeFill="background1"/>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r>
      <w:tr w:rsidR="006D419C" w:rsidRPr="006C2606" w:rsidTr="00BC5302">
        <w:tc>
          <w:tcPr>
            <w:tcW w:w="8363" w:type="dxa"/>
            <w:gridSpan w:val="7"/>
            <w:shd w:val="clear" w:color="auto" w:fill="FFFFFF" w:themeFill="background1"/>
            <w:noWrap/>
          </w:tcPr>
          <w:p w:rsidR="006D419C" w:rsidRPr="005D4294" w:rsidRDefault="006D419C" w:rsidP="00F82FF1">
            <w:pPr>
              <w:pStyle w:val="TableRight"/>
              <w:ind w:right="-57"/>
              <w:jc w:val="left"/>
              <w:rPr>
                <w:rFonts w:ascii="Arial Narrow" w:hAnsi="Arial Narrow"/>
                <w:szCs w:val="20"/>
              </w:rPr>
            </w:pPr>
            <w:r w:rsidRPr="005D4294">
              <w:rPr>
                <w:rFonts w:ascii="Arial Narrow" w:hAnsi="Arial Narrow"/>
                <w:b/>
                <w:szCs w:val="20"/>
              </w:rPr>
              <w:t xml:space="preserve">Net cost of listing </w:t>
            </w:r>
            <w:proofErr w:type="spellStart"/>
            <w:r w:rsidRPr="005D4294">
              <w:rPr>
                <w:rFonts w:ascii="Arial Narrow" w:hAnsi="Arial Narrow"/>
                <w:b/>
                <w:szCs w:val="20"/>
              </w:rPr>
              <w:t>dapagliflozin+metformin</w:t>
            </w:r>
            <w:proofErr w:type="spellEnd"/>
            <w:r w:rsidRPr="005D4294">
              <w:rPr>
                <w:rFonts w:ascii="Arial Narrow" w:hAnsi="Arial Narrow"/>
                <w:b/>
                <w:szCs w:val="20"/>
              </w:rPr>
              <w:t xml:space="preserve"> on the PBS/RPBS</w:t>
            </w:r>
          </w:p>
        </w:tc>
      </w:tr>
      <w:tr w:rsidR="00BC5302" w:rsidRPr="006C2606" w:rsidTr="00BC5302">
        <w:tc>
          <w:tcPr>
            <w:tcW w:w="1701" w:type="dxa"/>
            <w:shd w:val="clear" w:color="auto" w:fill="FFFFFF" w:themeFill="background1"/>
            <w:noWrap/>
          </w:tcPr>
          <w:p w:rsidR="006D419C" w:rsidRPr="00BC5302" w:rsidRDefault="006D419C" w:rsidP="00F82FF1">
            <w:pPr>
              <w:pStyle w:val="Table"/>
              <w:spacing w:line="240" w:lineRule="auto"/>
              <w:ind w:right="-57"/>
              <w:rPr>
                <w:rFonts w:ascii="Arial Narrow" w:hAnsi="Arial Narrow"/>
                <w:sz w:val="20"/>
                <w:szCs w:val="20"/>
              </w:rPr>
            </w:pPr>
            <w:r w:rsidRPr="00BC5302">
              <w:rPr>
                <w:rFonts w:ascii="Arial Narrow" w:hAnsi="Arial Narrow"/>
                <w:sz w:val="20"/>
                <w:szCs w:val="20"/>
              </w:rPr>
              <w:t>Net cost to the PBS/RPBS</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1"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0" w:type="dxa"/>
            <w:shd w:val="clear" w:color="auto" w:fill="FFFFFF" w:themeFill="background1"/>
            <w:noWrap/>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c>
          <w:tcPr>
            <w:tcW w:w="1111" w:type="dxa"/>
            <w:shd w:val="clear" w:color="auto" w:fill="FFFFFF" w:themeFill="background1"/>
            <w:vAlign w:val="center"/>
          </w:tcPr>
          <w:p w:rsidR="006D419C" w:rsidRPr="005D4294" w:rsidRDefault="006D419C" w:rsidP="00F82FF1">
            <w:pPr>
              <w:pStyle w:val="TableRight"/>
              <w:ind w:right="-57"/>
              <w:rPr>
                <w:rFonts w:ascii="Arial Narrow" w:hAnsi="Arial Narrow"/>
                <w:szCs w:val="20"/>
              </w:rPr>
            </w:pPr>
            <w:r w:rsidRPr="005D4294">
              <w:rPr>
                <w:rFonts w:ascii="Arial Narrow" w:hAnsi="Arial Narrow"/>
                <w:szCs w:val="20"/>
              </w:rPr>
              <w:t>-$</w:t>
            </w:r>
            <w:r w:rsidR="006F0225">
              <w:rPr>
                <w:rFonts w:ascii="Arial Narrow" w:hAnsi="Arial Narrow"/>
                <w:noProof/>
                <w:color w:val="000000"/>
                <w:szCs w:val="20"/>
                <w:highlight w:val="black"/>
              </w:rPr>
              <w:t>''''''''''''''''''''''''''</w:t>
            </w:r>
          </w:p>
        </w:tc>
      </w:tr>
    </w:tbl>
    <w:p w:rsidR="00E13E1E" w:rsidRDefault="00E13E1E" w:rsidP="006D419C">
      <w:pPr>
        <w:jc w:val="both"/>
        <w:rPr>
          <w:rFonts w:ascii="Arial" w:hAnsi="Arial"/>
          <w:b/>
          <w:sz w:val="22"/>
          <w:szCs w:val="22"/>
        </w:rPr>
      </w:pPr>
    </w:p>
    <w:p w:rsidR="00E13E1E" w:rsidRPr="00533E15" w:rsidRDefault="00E13E1E" w:rsidP="00533E15">
      <w:pPr>
        <w:pStyle w:val="ListParagraph"/>
        <w:numPr>
          <w:ilvl w:val="1"/>
          <w:numId w:val="2"/>
        </w:numPr>
        <w:jc w:val="both"/>
        <w:rPr>
          <w:rFonts w:ascii="Arial" w:hAnsi="Arial"/>
          <w:sz w:val="22"/>
          <w:szCs w:val="22"/>
        </w:rPr>
      </w:pPr>
      <w:r w:rsidRPr="00533E15">
        <w:rPr>
          <w:rFonts w:ascii="Arial" w:hAnsi="Arial"/>
          <w:sz w:val="22"/>
          <w:szCs w:val="22"/>
        </w:rPr>
        <w:t xml:space="preserve">The redacted table above shows that the estimated use and financial implications of </w:t>
      </w:r>
      <w:proofErr w:type="spellStart"/>
      <w:r w:rsidRPr="00533E15">
        <w:rPr>
          <w:rFonts w:ascii="Arial" w:hAnsi="Arial" w:cs="Arial"/>
          <w:snapToGrid w:val="0"/>
          <w:sz w:val="22"/>
        </w:rPr>
        <w:t>dapagliflozin+metformin</w:t>
      </w:r>
      <w:proofErr w:type="spellEnd"/>
      <w:r w:rsidRPr="00533E15">
        <w:rPr>
          <w:rFonts w:ascii="Arial" w:hAnsi="Arial" w:cs="Arial"/>
          <w:snapToGrid w:val="0"/>
          <w:sz w:val="22"/>
        </w:rPr>
        <w:t xml:space="preserve"> XR FDC for AOI and TOT is 50,000 - 100,000 patients treated and a saving to the PBS</w:t>
      </w:r>
      <w:r w:rsidR="005250C0" w:rsidRPr="00533E15">
        <w:rPr>
          <w:rFonts w:ascii="Arial" w:hAnsi="Arial" w:cs="Arial"/>
          <w:snapToGrid w:val="0"/>
          <w:sz w:val="22"/>
        </w:rPr>
        <w:t>/RPBS of less than $10 million.</w:t>
      </w:r>
    </w:p>
    <w:p w:rsidR="00E13E1E" w:rsidRPr="00157A2C" w:rsidRDefault="00E13E1E" w:rsidP="006D419C">
      <w:pPr>
        <w:jc w:val="both"/>
        <w:rPr>
          <w:rFonts w:ascii="Arial" w:hAnsi="Arial"/>
          <w:b/>
          <w:sz w:val="22"/>
          <w:szCs w:val="22"/>
        </w:rPr>
      </w:pPr>
    </w:p>
    <w:p w:rsidR="006D419C" w:rsidRPr="006457A7" w:rsidRDefault="006D419C" w:rsidP="006D419C">
      <w:pPr>
        <w:pStyle w:val="ListParagraph"/>
        <w:numPr>
          <w:ilvl w:val="0"/>
          <w:numId w:val="2"/>
        </w:numPr>
        <w:jc w:val="both"/>
        <w:rPr>
          <w:rFonts w:ascii="Arial" w:hAnsi="Arial"/>
          <w:b/>
          <w:sz w:val="22"/>
          <w:szCs w:val="22"/>
        </w:rPr>
      </w:pPr>
      <w:r w:rsidRPr="006457A7">
        <w:rPr>
          <w:rFonts w:ascii="Arial" w:hAnsi="Arial"/>
          <w:b/>
          <w:sz w:val="22"/>
          <w:szCs w:val="22"/>
        </w:rPr>
        <w:t>Other relevant factors</w:t>
      </w:r>
    </w:p>
    <w:p w:rsidR="006D419C" w:rsidRPr="006457A7" w:rsidRDefault="006D419C" w:rsidP="006D419C">
      <w:pPr>
        <w:pStyle w:val="ListParagraph"/>
        <w:jc w:val="both"/>
        <w:rPr>
          <w:rFonts w:ascii="Arial" w:hAnsi="Arial"/>
          <w:b/>
          <w:sz w:val="22"/>
          <w:szCs w:val="22"/>
        </w:rPr>
      </w:pPr>
    </w:p>
    <w:p w:rsidR="006D419C" w:rsidRPr="005337C3" w:rsidRDefault="006D419C" w:rsidP="006D419C">
      <w:pPr>
        <w:pStyle w:val="ListParagraph"/>
        <w:numPr>
          <w:ilvl w:val="1"/>
          <w:numId w:val="2"/>
        </w:numPr>
        <w:jc w:val="both"/>
        <w:rPr>
          <w:rFonts w:ascii="Arial" w:hAnsi="Arial"/>
          <w:b/>
          <w:sz w:val="22"/>
          <w:szCs w:val="22"/>
        </w:rPr>
      </w:pPr>
      <w:r w:rsidRPr="005337C3">
        <w:rPr>
          <w:rFonts w:ascii="Arial" w:hAnsi="Arial" w:cs="Arial"/>
          <w:snapToGrid w:val="0"/>
          <w:sz w:val="22"/>
        </w:rPr>
        <w:t xml:space="preserve">At the March 2015 PBAC meeting, the PBAC noted that </w:t>
      </w:r>
      <w:proofErr w:type="spellStart"/>
      <w:r w:rsidRPr="005337C3">
        <w:rPr>
          <w:rFonts w:ascii="Arial" w:hAnsi="Arial" w:cs="Arial"/>
          <w:snapToGrid w:val="0"/>
          <w:sz w:val="22"/>
        </w:rPr>
        <w:t>dapagliflozin</w:t>
      </w:r>
      <w:proofErr w:type="spellEnd"/>
      <w:r w:rsidRPr="005337C3">
        <w:rPr>
          <w:rFonts w:ascii="Arial" w:hAnsi="Arial" w:cs="Arial"/>
          <w:snapToGrid w:val="0"/>
          <w:sz w:val="22"/>
        </w:rPr>
        <w:t xml:space="preserve"> is associated with a higher rate of </w:t>
      </w:r>
      <w:r w:rsidR="007A08FB">
        <w:rPr>
          <w:rFonts w:ascii="Arial" w:hAnsi="Arial" w:cs="Arial"/>
          <w:snapToGrid w:val="0"/>
          <w:sz w:val="22"/>
        </w:rPr>
        <w:t xml:space="preserve">urinary tract and </w:t>
      </w:r>
      <w:r w:rsidRPr="005337C3">
        <w:rPr>
          <w:rFonts w:ascii="Arial" w:hAnsi="Arial" w:cs="Arial"/>
          <w:snapToGrid w:val="0"/>
          <w:sz w:val="22"/>
        </w:rPr>
        <w:t>genital infections compared with placebo.</w:t>
      </w:r>
      <w:r>
        <w:rPr>
          <w:rFonts w:ascii="Arial" w:hAnsi="Arial" w:cs="Arial"/>
          <w:snapToGrid w:val="0"/>
          <w:sz w:val="22"/>
        </w:rPr>
        <w:t xml:space="preserve"> </w:t>
      </w:r>
    </w:p>
    <w:p w:rsidR="006D419C" w:rsidRDefault="006D419C" w:rsidP="006D419C">
      <w:pPr>
        <w:pStyle w:val="ListParagraph"/>
        <w:jc w:val="both"/>
        <w:rPr>
          <w:rFonts w:ascii="Arial" w:hAnsi="Arial"/>
          <w:b/>
          <w:sz w:val="22"/>
          <w:szCs w:val="22"/>
        </w:rPr>
      </w:pPr>
    </w:p>
    <w:p w:rsidR="006D419C" w:rsidRDefault="00AA2625" w:rsidP="00E13E1E">
      <w:pPr>
        <w:pStyle w:val="ListParagraph"/>
        <w:keepNext/>
        <w:numPr>
          <w:ilvl w:val="0"/>
          <w:numId w:val="2"/>
        </w:numPr>
        <w:jc w:val="both"/>
        <w:rPr>
          <w:rFonts w:ascii="Arial" w:hAnsi="Arial"/>
          <w:b/>
          <w:sz w:val="22"/>
          <w:szCs w:val="22"/>
        </w:rPr>
      </w:pPr>
      <w:r>
        <w:rPr>
          <w:rFonts w:ascii="Arial" w:hAnsi="Arial"/>
          <w:b/>
          <w:sz w:val="22"/>
          <w:szCs w:val="22"/>
        </w:rPr>
        <w:lastRenderedPageBreak/>
        <w:t>PBAC Outcome</w:t>
      </w:r>
    </w:p>
    <w:p w:rsidR="006D419C" w:rsidRPr="006457A7" w:rsidRDefault="006D419C" w:rsidP="006D419C">
      <w:pPr>
        <w:pStyle w:val="ListParagraph"/>
        <w:jc w:val="both"/>
        <w:rPr>
          <w:rFonts w:ascii="Arial" w:hAnsi="Arial"/>
          <w:b/>
          <w:sz w:val="22"/>
          <w:szCs w:val="22"/>
        </w:rPr>
      </w:pPr>
    </w:p>
    <w:p w:rsidR="006D419C" w:rsidRDefault="006D419C" w:rsidP="006D419C">
      <w:pPr>
        <w:pStyle w:val="ListParagraph"/>
        <w:numPr>
          <w:ilvl w:val="1"/>
          <w:numId w:val="2"/>
        </w:numPr>
        <w:rPr>
          <w:rFonts w:ascii="Arial" w:hAnsi="Arial" w:cs="Arial"/>
          <w:snapToGrid w:val="0"/>
          <w:sz w:val="22"/>
        </w:rPr>
      </w:pPr>
      <w:r>
        <w:rPr>
          <w:rFonts w:ascii="Arial" w:hAnsi="Arial" w:cs="Arial"/>
          <w:snapToGrid w:val="0"/>
          <w:sz w:val="22"/>
        </w:rPr>
        <w:t xml:space="preserve">The </w:t>
      </w:r>
      <w:r w:rsidR="00AA2625">
        <w:rPr>
          <w:rFonts w:ascii="Arial" w:hAnsi="Arial" w:cs="Arial"/>
          <w:snapToGrid w:val="0"/>
          <w:sz w:val="22"/>
        </w:rPr>
        <w:t xml:space="preserve">PBAC recommended </w:t>
      </w:r>
      <w:r w:rsidR="00E84213">
        <w:rPr>
          <w:rFonts w:ascii="Arial" w:hAnsi="Arial" w:cs="Arial"/>
          <w:snapToGrid w:val="0"/>
          <w:sz w:val="22"/>
        </w:rPr>
        <w:t xml:space="preserve">that </w:t>
      </w:r>
      <w:r w:rsidR="00AA2625">
        <w:rPr>
          <w:rFonts w:ascii="Arial" w:hAnsi="Arial" w:cs="Arial"/>
          <w:snapToGrid w:val="0"/>
          <w:sz w:val="22"/>
        </w:rPr>
        <w:t xml:space="preserve">the listing of </w:t>
      </w:r>
      <w:proofErr w:type="spellStart"/>
      <w:r w:rsidR="00AA2625">
        <w:rPr>
          <w:rFonts w:ascii="Arial" w:hAnsi="Arial" w:cs="Arial"/>
          <w:snapToGrid w:val="0"/>
          <w:sz w:val="22"/>
        </w:rPr>
        <w:t>dapagliflozin+metformin</w:t>
      </w:r>
      <w:proofErr w:type="spellEnd"/>
      <w:r w:rsidR="00AA2625">
        <w:rPr>
          <w:rFonts w:ascii="Arial" w:hAnsi="Arial" w:cs="Arial"/>
          <w:snapToGrid w:val="0"/>
          <w:sz w:val="22"/>
        </w:rPr>
        <w:t xml:space="preserve"> </w:t>
      </w:r>
      <w:r w:rsidR="007A08FB">
        <w:rPr>
          <w:rFonts w:ascii="Arial" w:hAnsi="Arial" w:cs="Arial"/>
          <w:snapToGrid w:val="0"/>
          <w:sz w:val="22"/>
        </w:rPr>
        <w:t xml:space="preserve">XR for the treatment of </w:t>
      </w:r>
      <w:r w:rsidR="007A08FB" w:rsidRPr="00B74A44">
        <w:rPr>
          <w:rFonts w:ascii="Arial" w:hAnsi="Arial" w:cs="Arial"/>
          <w:color w:val="222222"/>
          <w:sz w:val="22"/>
          <w:szCs w:val="22"/>
          <w:shd w:val="clear" w:color="auto" w:fill="FFFFFF"/>
        </w:rPr>
        <w:t>type 2 diabetes mellitus</w:t>
      </w:r>
      <w:r w:rsidR="00E84213">
        <w:rPr>
          <w:rFonts w:ascii="Arial" w:hAnsi="Arial" w:cs="Arial"/>
          <w:snapToGrid w:val="0"/>
          <w:sz w:val="22"/>
        </w:rPr>
        <w:t xml:space="preserve"> be extended to include use in the Add On to Insulin and Triple Oral Therapy settings, consistent with the current listings for </w:t>
      </w:r>
      <w:proofErr w:type="spellStart"/>
      <w:r w:rsidR="00E84213">
        <w:rPr>
          <w:rFonts w:ascii="Arial" w:hAnsi="Arial" w:cs="Arial"/>
          <w:snapToGrid w:val="0"/>
          <w:sz w:val="22"/>
        </w:rPr>
        <w:t>dapagliflozin</w:t>
      </w:r>
      <w:proofErr w:type="spellEnd"/>
      <w:r w:rsidR="00E84213">
        <w:rPr>
          <w:rFonts w:ascii="Arial" w:hAnsi="Arial" w:cs="Arial"/>
          <w:snapToGrid w:val="0"/>
          <w:sz w:val="22"/>
        </w:rPr>
        <w:t xml:space="preserve">.   </w:t>
      </w:r>
      <w:r w:rsidR="00B305F5">
        <w:rPr>
          <w:rFonts w:ascii="Arial" w:hAnsi="Arial" w:cs="Arial"/>
          <w:snapToGrid w:val="0"/>
          <w:sz w:val="22"/>
        </w:rPr>
        <w:t xml:space="preserve">The requested restrictions are consistent with the TGA indication and previous recommendations of the PBAC. </w:t>
      </w:r>
    </w:p>
    <w:p w:rsidR="00946E23" w:rsidRPr="00946E23" w:rsidRDefault="00946E23" w:rsidP="00946E23">
      <w:pPr>
        <w:pStyle w:val="ListParagraph"/>
        <w:rPr>
          <w:rFonts w:ascii="Arial" w:hAnsi="Arial" w:cs="Arial"/>
          <w:snapToGrid w:val="0"/>
          <w:sz w:val="22"/>
        </w:rPr>
      </w:pPr>
    </w:p>
    <w:p w:rsidR="0010471A" w:rsidRPr="0010471A" w:rsidRDefault="0010471A" w:rsidP="0010471A">
      <w:pPr>
        <w:pStyle w:val="ListParagraph"/>
        <w:numPr>
          <w:ilvl w:val="1"/>
          <w:numId w:val="2"/>
        </w:numPr>
        <w:rPr>
          <w:rFonts w:ascii="Arial" w:hAnsi="Arial" w:cs="Arial"/>
          <w:snapToGrid w:val="0"/>
          <w:sz w:val="22"/>
        </w:rPr>
      </w:pPr>
      <w:r>
        <w:rPr>
          <w:rFonts w:ascii="Arial" w:hAnsi="Arial" w:cs="Arial"/>
          <w:snapToGrid w:val="0"/>
          <w:sz w:val="22"/>
        </w:rPr>
        <w:t xml:space="preserve">In its consideration of </w:t>
      </w:r>
      <w:proofErr w:type="spellStart"/>
      <w:r>
        <w:rPr>
          <w:rFonts w:ascii="Arial" w:hAnsi="Arial" w:cs="Arial"/>
          <w:snapToGrid w:val="0"/>
          <w:sz w:val="22"/>
        </w:rPr>
        <w:t>sitagliptin</w:t>
      </w:r>
      <w:proofErr w:type="spellEnd"/>
      <w:r>
        <w:rPr>
          <w:rFonts w:ascii="Arial" w:hAnsi="Arial" w:cs="Arial"/>
          <w:snapToGrid w:val="0"/>
          <w:sz w:val="22"/>
        </w:rPr>
        <w:t xml:space="preserve"> for triple oral therapy in July 2015, t</w:t>
      </w:r>
      <w:r w:rsidRPr="0010471A">
        <w:rPr>
          <w:rFonts w:ascii="Arial" w:hAnsi="Arial" w:cs="Arial"/>
          <w:snapToGrid w:val="0"/>
          <w:sz w:val="22"/>
        </w:rPr>
        <w:t>he PBAC agreed that the listing</w:t>
      </w:r>
      <w:r>
        <w:rPr>
          <w:rFonts w:ascii="Arial" w:hAnsi="Arial" w:cs="Arial"/>
          <w:snapToGrid w:val="0"/>
          <w:sz w:val="22"/>
        </w:rPr>
        <w:t xml:space="preserve">s for </w:t>
      </w:r>
      <w:r w:rsidRPr="0010471A">
        <w:rPr>
          <w:rFonts w:ascii="Arial" w:hAnsi="Arial" w:cs="Arial"/>
          <w:snapToGrid w:val="0"/>
          <w:sz w:val="22"/>
        </w:rPr>
        <w:t>DPP-4 inhibitors and SGLT2 inhibitors for triple oral therapy in type 2 diabetes mellitus should be consistent</w:t>
      </w:r>
      <w:r>
        <w:rPr>
          <w:rFonts w:ascii="Arial" w:hAnsi="Arial" w:cs="Arial"/>
          <w:snapToGrid w:val="0"/>
          <w:sz w:val="22"/>
        </w:rPr>
        <w:t>. Accordingly, t</w:t>
      </w:r>
      <w:r w:rsidRPr="0010471A">
        <w:rPr>
          <w:rFonts w:ascii="Arial" w:hAnsi="Arial" w:cs="Arial"/>
          <w:snapToGrid w:val="0"/>
          <w:sz w:val="22"/>
        </w:rPr>
        <w:t xml:space="preserve">he PBAC </w:t>
      </w:r>
      <w:r>
        <w:rPr>
          <w:rFonts w:ascii="Arial" w:hAnsi="Arial" w:cs="Arial"/>
          <w:snapToGrid w:val="0"/>
          <w:sz w:val="22"/>
        </w:rPr>
        <w:t xml:space="preserve">recommended </w:t>
      </w:r>
      <w:r w:rsidR="00946E23">
        <w:rPr>
          <w:rFonts w:ascii="Arial" w:hAnsi="Arial" w:cs="Arial"/>
          <w:snapToGrid w:val="0"/>
          <w:sz w:val="22"/>
        </w:rPr>
        <w:t xml:space="preserve">the following </w:t>
      </w:r>
      <w:r>
        <w:rPr>
          <w:rFonts w:ascii="Arial" w:hAnsi="Arial" w:cs="Arial"/>
          <w:snapToGrid w:val="0"/>
          <w:sz w:val="22"/>
        </w:rPr>
        <w:t xml:space="preserve">change to the clinical criterion for </w:t>
      </w:r>
      <w:proofErr w:type="spellStart"/>
      <w:r w:rsidR="00E35615">
        <w:rPr>
          <w:rFonts w:ascii="Arial" w:hAnsi="Arial" w:cs="Arial"/>
          <w:snapToGrid w:val="0"/>
          <w:sz w:val="22"/>
        </w:rPr>
        <w:t>dapagliflozin+metformin</w:t>
      </w:r>
      <w:proofErr w:type="spellEnd"/>
      <w:r w:rsidR="00E35615">
        <w:rPr>
          <w:rFonts w:ascii="Arial" w:hAnsi="Arial" w:cs="Arial"/>
          <w:snapToGrid w:val="0"/>
          <w:sz w:val="22"/>
        </w:rPr>
        <w:t xml:space="preserve"> XR</w:t>
      </w:r>
      <w:r w:rsidR="00946E23">
        <w:rPr>
          <w:rFonts w:ascii="Arial" w:hAnsi="Arial" w:cs="Arial"/>
          <w:snapToGrid w:val="0"/>
          <w:sz w:val="22"/>
        </w:rPr>
        <w:t xml:space="preserve"> (additions in italics and deletions in strikethrough): </w:t>
      </w:r>
      <w:r w:rsidR="00946E23" w:rsidRPr="00946E23">
        <w:rPr>
          <w:rFonts w:ascii="Arial" w:hAnsi="Arial" w:cs="Arial"/>
          <w:snapToGrid w:val="0"/>
          <w:sz w:val="22"/>
          <w:szCs w:val="22"/>
        </w:rPr>
        <w:t>“</w:t>
      </w:r>
      <w:r w:rsidR="00946E23">
        <w:rPr>
          <w:rFonts w:ascii="Arial" w:hAnsi="Arial" w:cs="Arial"/>
          <w:snapToGrid w:val="0"/>
          <w:sz w:val="22"/>
          <w:szCs w:val="22"/>
        </w:rPr>
        <w:t>…</w:t>
      </w:r>
      <w:r w:rsidRPr="00946E23">
        <w:rPr>
          <w:rFonts w:ascii="Arial" w:hAnsi="Arial" w:cs="Arial"/>
          <w:sz w:val="22"/>
          <w:szCs w:val="22"/>
          <w:lang w:eastAsia="en-AU"/>
        </w:rPr>
        <w:t xml:space="preserve">despite treatment with </w:t>
      </w:r>
      <w:r w:rsidR="00946E23" w:rsidRPr="00946E23">
        <w:rPr>
          <w:rFonts w:ascii="Arial" w:hAnsi="Arial" w:cs="Arial"/>
          <w:strike/>
          <w:sz w:val="22"/>
          <w:szCs w:val="22"/>
          <w:lang w:eastAsia="en-AU"/>
        </w:rPr>
        <w:t>maximally tolerated doses of metformin and a sulfonylurea</w:t>
      </w:r>
      <w:r w:rsidR="00946E23" w:rsidRPr="00946E23">
        <w:rPr>
          <w:rFonts w:ascii="Arial" w:hAnsi="Arial" w:cs="Arial"/>
          <w:i/>
          <w:sz w:val="22"/>
          <w:szCs w:val="22"/>
        </w:rPr>
        <w:t xml:space="preserve"> </w:t>
      </w:r>
      <w:r w:rsidRPr="00946E23">
        <w:rPr>
          <w:rFonts w:ascii="Arial" w:hAnsi="Arial" w:cs="Arial"/>
          <w:i/>
          <w:sz w:val="22"/>
          <w:szCs w:val="22"/>
        </w:rPr>
        <w:t>either metformin or a sulfonylurea</w:t>
      </w:r>
      <w:r w:rsidR="00946E23">
        <w:rPr>
          <w:rFonts w:ascii="Arial" w:hAnsi="Arial" w:cs="Arial"/>
          <w:i/>
          <w:sz w:val="22"/>
          <w:szCs w:val="22"/>
        </w:rPr>
        <w:t>,</w:t>
      </w:r>
      <w:r w:rsidRPr="00946E23">
        <w:rPr>
          <w:rFonts w:ascii="Arial" w:hAnsi="Arial" w:cs="Arial"/>
          <w:i/>
          <w:sz w:val="22"/>
          <w:szCs w:val="22"/>
        </w:rPr>
        <w:t xml:space="preserve"> or metformin and this drug</w:t>
      </w:r>
      <w:r w:rsidR="00946E23">
        <w:rPr>
          <w:rFonts w:ascii="Arial" w:hAnsi="Arial" w:cs="Arial"/>
          <w:i/>
          <w:sz w:val="22"/>
          <w:szCs w:val="22"/>
        </w:rPr>
        <w:t>,</w:t>
      </w:r>
      <w:r w:rsidRPr="00946E23">
        <w:rPr>
          <w:rFonts w:ascii="Arial" w:hAnsi="Arial" w:cs="Arial"/>
          <w:i/>
          <w:sz w:val="22"/>
          <w:szCs w:val="22"/>
        </w:rPr>
        <w:t xml:space="preserve"> or a sulfonylurea and this drug</w:t>
      </w:r>
      <w:r w:rsidR="00946E23">
        <w:rPr>
          <w:rFonts w:ascii="Arial" w:hAnsi="Arial" w:cs="Arial"/>
          <w:sz w:val="22"/>
          <w:szCs w:val="22"/>
          <w:lang w:eastAsia="en-AU"/>
        </w:rPr>
        <w:t>”.</w:t>
      </w:r>
    </w:p>
    <w:p w:rsidR="0010471A" w:rsidRDefault="0010471A" w:rsidP="0010471A">
      <w:pPr>
        <w:pStyle w:val="ListParagraph"/>
        <w:rPr>
          <w:rFonts w:ascii="Arial" w:hAnsi="Arial" w:cs="Arial"/>
          <w:snapToGrid w:val="0"/>
          <w:sz w:val="22"/>
        </w:rPr>
      </w:pPr>
    </w:p>
    <w:p w:rsidR="00E84213" w:rsidRPr="002E7872" w:rsidRDefault="00946E23" w:rsidP="00E84213">
      <w:pPr>
        <w:pStyle w:val="ListParagraph"/>
        <w:numPr>
          <w:ilvl w:val="1"/>
          <w:numId w:val="3"/>
        </w:numPr>
        <w:jc w:val="both"/>
        <w:rPr>
          <w:rFonts w:ascii="Arial" w:hAnsi="Arial"/>
          <w:sz w:val="22"/>
          <w:szCs w:val="22"/>
        </w:rPr>
      </w:pPr>
      <w:proofErr w:type="spellStart"/>
      <w:r>
        <w:rPr>
          <w:rFonts w:ascii="Arial" w:hAnsi="Arial" w:cs="Arial"/>
          <w:sz w:val="22"/>
          <w:szCs w:val="22"/>
        </w:rPr>
        <w:t>D</w:t>
      </w:r>
      <w:r w:rsidR="00C26602">
        <w:rPr>
          <w:rFonts w:ascii="Arial" w:hAnsi="Arial" w:cs="Arial"/>
          <w:sz w:val="22"/>
          <w:szCs w:val="22"/>
        </w:rPr>
        <w:t>apagliflozin+</w:t>
      </w:r>
      <w:r w:rsidR="00E84213" w:rsidRPr="002E7872">
        <w:rPr>
          <w:rFonts w:ascii="Arial" w:hAnsi="Arial" w:cs="Arial"/>
          <w:sz w:val="22"/>
          <w:szCs w:val="22"/>
        </w:rPr>
        <w:t>metformin</w:t>
      </w:r>
      <w:proofErr w:type="spellEnd"/>
      <w:r w:rsidR="00E84213" w:rsidRPr="002E7872">
        <w:rPr>
          <w:rFonts w:ascii="Arial" w:hAnsi="Arial" w:cs="Arial"/>
          <w:sz w:val="22"/>
          <w:szCs w:val="22"/>
        </w:rPr>
        <w:t xml:space="preserve"> XR FDC is suitable for prescribing by nurse practitioners for continuing therapy only where a patient has </w:t>
      </w:r>
      <w:r w:rsidR="00E84213" w:rsidRPr="002E7872">
        <w:rPr>
          <w:rFonts w:ascii="Arial" w:hAnsi="Arial" w:cs="Arial"/>
          <w:color w:val="000000"/>
          <w:sz w:val="22"/>
          <w:szCs w:val="22"/>
          <w:shd w:val="clear" w:color="auto" w:fill="FFFFFF"/>
        </w:rPr>
        <w:t>been initiated by a medical practitioner.</w:t>
      </w:r>
    </w:p>
    <w:p w:rsidR="00E84213" w:rsidRPr="001D4227" w:rsidRDefault="00E84213" w:rsidP="00E84213">
      <w:pPr>
        <w:jc w:val="both"/>
        <w:rPr>
          <w:rFonts w:ascii="Arial" w:hAnsi="Arial" w:cs="Arial"/>
          <w:sz w:val="22"/>
          <w:szCs w:val="22"/>
        </w:rPr>
      </w:pPr>
    </w:p>
    <w:p w:rsidR="00E84213" w:rsidRPr="00C26602" w:rsidRDefault="00E84213" w:rsidP="00E84213">
      <w:pPr>
        <w:pStyle w:val="ListParagraph"/>
        <w:numPr>
          <w:ilvl w:val="1"/>
          <w:numId w:val="3"/>
        </w:numPr>
        <w:jc w:val="both"/>
        <w:rPr>
          <w:rFonts w:ascii="Arial" w:hAnsi="Arial"/>
          <w:sz w:val="22"/>
          <w:szCs w:val="22"/>
        </w:rPr>
      </w:pPr>
      <w:r w:rsidRPr="002E7872">
        <w:rPr>
          <w:rFonts w:ascii="Arial" w:hAnsi="Arial" w:cs="Arial"/>
          <w:sz w:val="22"/>
          <w:szCs w:val="22"/>
        </w:rPr>
        <w:t>The Safety Net 20 Day Rule should apply.</w:t>
      </w:r>
    </w:p>
    <w:p w:rsidR="00C26602" w:rsidRPr="00C26602" w:rsidRDefault="00C26602" w:rsidP="00C26602">
      <w:pPr>
        <w:pStyle w:val="ListParagraph"/>
        <w:rPr>
          <w:rFonts w:ascii="Arial" w:hAnsi="Arial"/>
          <w:sz w:val="22"/>
          <w:szCs w:val="22"/>
        </w:rPr>
      </w:pPr>
    </w:p>
    <w:p w:rsidR="00E84213" w:rsidRDefault="00E84213" w:rsidP="00E242EB">
      <w:pPr>
        <w:jc w:val="both"/>
        <w:rPr>
          <w:rFonts w:ascii="Arial" w:hAnsi="Arial" w:cs="Arial"/>
          <w:sz w:val="22"/>
          <w:szCs w:val="22"/>
        </w:rPr>
      </w:pPr>
    </w:p>
    <w:p w:rsidR="00E84213" w:rsidRPr="00E84213" w:rsidRDefault="00E84213" w:rsidP="00E84213">
      <w:pPr>
        <w:jc w:val="both"/>
        <w:rPr>
          <w:rFonts w:ascii="Arial" w:hAnsi="Arial" w:cs="Arial"/>
          <w:b/>
          <w:sz w:val="22"/>
          <w:szCs w:val="22"/>
        </w:rPr>
      </w:pPr>
      <w:r w:rsidRPr="00E84213">
        <w:rPr>
          <w:rFonts w:ascii="Arial" w:hAnsi="Arial" w:cs="Arial"/>
          <w:b/>
          <w:sz w:val="22"/>
          <w:szCs w:val="22"/>
        </w:rPr>
        <w:t>Outcome:</w:t>
      </w:r>
    </w:p>
    <w:p w:rsidR="00E84213" w:rsidRDefault="00E84213" w:rsidP="00E84213">
      <w:pPr>
        <w:jc w:val="both"/>
        <w:rPr>
          <w:rFonts w:ascii="Arial" w:hAnsi="Arial" w:cs="Arial"/>
          <w:sz w:val="22"/>
          <w:szCs w:val="22"/>
        </w:rPr>
      </w:pPr>
      <w:r>
        <w:rPr>
          <w:rFonts w:ascii="Arial" w:hAnsi="Arial" w:cs="Arial"/>
          <w:sz w:val="22"/>
          <w:szCs w:val="22"/>
        </w:rPr>
        <w:t xml:space="preserve">Recommended </w:t>
      </w:r>
    </w:p>
    <w:p w:rsidR="006D419C" w:rsidRDefault="006D419C" w:rsidP="006D419C">
      <w:pPr>
        <w:ind w:left="720"/>
        <w:jc w:val="both"/>
        <w:rPr>
          <w:rFonts w:ascii="Arial" w:hAnsi="Arial" w:cs="Arial"/>
          <w:sz w:val="22"/>
          <w:szCs w:val="22"/>
        </w:rPr>
      </w:pPr>
    </w:p>
    <w:p w:rsidR="00E84213" w:rsidRDefault="00E84213" w:rsidP="00E84213">
      <w:pPr>
        <w:pStyle w:val="ListParagraph"/>
        <w:numPr>
          <w:ilvl w:val="0"/>
          <w:numId w:val="2"/>
        </w:numPr>
        <w:jc w:val="both"/>
        <w:rPr>
          <w:rFonts w:ascii="Arial" w:hAnsi="Arial"/>
          <w:b/>
          <w:sz w:val="22"/>
          <w:szCs w:val="22"/>
        </w:rPr>
      </w:pPr>
      <w:r>
        <w:rPr>
          <w:rFonts w:ascii="Arial" w:hAnsi="Arial"/>
          <w:b/>
          <w:sz w:val="22"/>
          <w:szCs w:val="22"/>
        </w:rPr>
        <w:t>Recommended listing</w:t>
      </w:r>
    </w:p>
    <w:p w:rsidR="006D419C" w:rsidRDefault="006D419C" w:rsidP="006D419C">
      <w:pPr>
        <w:jc w:val="both"/>
        <w:rPr>
          <w:rFonts w:ascii="Arial" w:hAnsi="Arial" w:cs="Arial"/>
          <w:sz w:val="22"/>
          <w:szCs w:val="22"/>
        </w:rPr>
      </w:pPr>
    </w:p>
    <w:p w:rsidR="0010471A" w:rsidRPr="0010471A" w:rsidRDefault="0010471A" w:rsidP="0010471A">
      <w:pPr>
        <w:widowControl w:val="0"/>
        <w:numPr>
          <w:ilvl w:val="1"/>
          <w:numId w:val="3"/>
        </w:numPr>
        <w:contextualSpacing/>
        <w:jc w:val="both"/>
        <w:rPr>
          <w:rFonts w:ascii="Arial" w:hAnsi="Arial" w:cs="Arial"/>
          <w:bCs/>
          <w:snapToGrid w:val="0"/>
          <w:sz w:val="22"/>
          <w:szCs w:val="22"/>
        </w:rPr>
      </w:pPr>
      <w:r w:rsidRPr="0010471A">
        <w:rPr>
          <w:rFonts w:ascii="Arial" w:hAnsi="Arial" w:cs="Arial"/>
          <w:bCs/>
          <w:snapToGrid w:val="0"/>
          <w:sz w:val="22"/>
          <w:szCs w:val="22"/>
        </w:rPr>
        <w:t>Amend recommended listing as follows:</w:t>
      </w:r>
    </w:p>
    <w:p w:rsidR="0010471A" w:rsidRDefault="0010471A" w:rsidP="006D419C">
      <w:pPr>
        <w:jc w:val="both"/>
        <w:rPr>
          <w:rFonts w:ascii="Arial" w:hAnsi="Arial" w:cs="Arial"/>
          <w:sz w:val="22"/>
          <w:szCs w:val="22"/>
        </w:rPr>
      </w:pPr>
    </w:p>
    <w:p w:rsidR="006D419C" w:rsidRPr="00C76156" w:rsidRDefault="006D419C" w:rsidP="0010471A">
      <w:pPr>
        <w:keepNext/>
        <w:rPr>
          <w:rFonts w:ascii="Arial" w:hAnsi="Arial" w:cs="Arial"/>
          <w:b/>
          <w:sz w:val="22"/>
          <w:szCs w:val="22"/>
        </w:rPr>
      </w:pPr>
      <w:r w:rsidRPr="00C76156">
        <w:rPr>
          <w:rFonts w:ascii="Arial" w:hAnsi="Arial" w:cs="Arial"/>
          <w:b/>
          <w:sz w:val="22"/>
          <w:szCs w:val="22"/>
        </w:rPr>
        <w:t>Add on to insulin</w:t>
      </w:r>
    </w:p>
    <w:p w:rsidR="006D419C" w:rsidRPr="00596402" w:rsidRDefault="006D419C" w:rsidP="0010471A">
      <w:pPr>
        <w:keepNext/>
        <w:jc w:val="both"/>
        <w:rPr>
          <w:rFonts w:ascii="Arial" w:hAnsi="Arial" w:cs="Arial"/>
          <w:sz w:val="22"/>
          <w:szCs w:val="22"/>
        </w:rPr>
      </w:pPr>
    </w:p>
    <w:tbl>
      <w:tblPr>
        <w:tblW w:w="8646" w:type="dxa"/>
        <w:tblInd w:w="250" w:type="dxa"/>
        <w:tblLayout w:type="fixed"/>
        <w:tblLook w:val="0000" w:firstRow="0" w:lastRow="0" w:firstColumn="0" w:lastColumn="0" w:noHBand="0" w:noVBand="0"/>
      </w:tblPr>
      <w:tblGrid>
        <w:gridCol w:w="2693"/>
        <w:gridCol w:w="426"/>
        <w:gridCol w:w="1134"/>
        <w:gridCol w:w="1134"/>
        <w:gridCol w:w="708"/>
        <w:gridCol w:w="1276"/>
        <w:gridCol w:w="1275"/>
      </w:tblGrid>
      <w:tr w:rsidR="006D419C" w:rsidRPr="00596402" w:rsidTr="00F82FF1">
        <w:trPr>
          <w:cantSplit/>
          <w:trHeight w:val="471"/>
        </w:trPr>
        <w:tc>
          <w:tcPr>
            <w:tcW w:w="3119" w:type="dxa"/>
            <w:gridSpan w:val="2"/>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Max.</w:t>
            </w:r>
          </w:p>
          <w:p w:rsidR="006D419C" w:rsidRPr="00596402" w:rsidRDefault="006D419C" w:rsidP="00F82FF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 xml:space="preserve">Max.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p>
        </w:tc>
        <w:tc>
          <w:tcPr>
            <w:tcW w:w="2551" w:type="dxa"/>
            <w:gridSpan w:val="2"/>
            <w:tcBorders>
              <w:bottom w:val="single" w:sz="4" w:space="0" w:color="auto"/>
            </w:tcBorders>
          </w:tcPr>
          <w:p w:rsidR="006D419C" w:rsidRPr="00596402" w:rsidRDefault="006D419C" w:rsidP="00F82FF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6D419C" w:rsidRPr="00596402" w:rsidTr="00F82FF1">
        <w:trPr>
          <w:cantSplit/>
          <w:trHeight w:val="577"/>
        </w:trPr>
        <w:tc>
          <w:tcPr>
            <w:tcW w:w="3119" w:type="dxa"/>
            <w:gridSpan w:val="2"/>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p w:rsidR="006D419C" w:rsidRPr="00596402" w:rsidRDefault="006D419C" w:rsidP="00F82FF1">
            <w:pPr>
              <w:keepNext/>
              <w:ind w:left="-108"/>
              <w:jc w:val="both"/>
              <w:rPr>
                <w:rFonts w:ascii="Arial Narrow" w:hAnsi="Arial Narrow" w:cs="Arial"/>
                <w:sz w:val="20"/>
                <w:szCs w:val="20"/>
              </w:rPr>
            </w:pP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val="restart"/>
            <w:vAlign w:val="center"/>
          </w:tcPr>
          <w:p w:rsidR="006D419C" w:rsidRDefault="006D419C" w:rsidP="00F82FF1">
            <w:pPr>
              <w:keepNext/>
              <w:jc w:val="center"/>
              <w:rPr>
                <w:rFonts w:ascii="Arial Narrow" w:hAnsi="Arial Narrow" w:cs="Arial"/>
                <w:sz w:val="20"/>
                <w:szCs w:val="20"/>
              </w:rPr>
            </w:pPr>
          </w:p>
          <w:p w:rsidR="006D419C" w:rsidRDefault="006D419C" w:rsidP="00F82FF1">
            <w:pPr>
              <w:keepNext/>
              <w:jc w:val="center"/>
              <w:rPr>
                <w:rFonts w:ascii="Arial Narrow" w:hAnsi="Arial Narrow" w:cs="Arial"/>
                <w:sz w:val="20"/>
                <w:szCs w:val="20"/>
              </w:rPr>
            </w:pPr>
            <w:proofErr w:type="spellStart"/>
            <w:r>
              <w:rPr>
                <w:rFonts w:ascii="Arial Narrow" w:hAnsi="Arial Narrow" w:cs="Arial"/>
                <w:sz w:val="20"/>
                <w:szCs w:val="20"/>
              </w:rPr>
              <w:t>Xigduo</w:t>
            </w:r>
            <w:proofErr w:type="spellEnd"/>
            <w:r>
              <w:rPr>
                <w:rFonts w:ascii="Arial Narrow" w:hAnsi="Arial Narrow" w:cs="Arial"/>
                <w:sz w:val="20"/>
                <w:szCs w:val="20"/>
              </w:rPr>
              <w:t>® XR</w:t>
            </w:r>
          </w:p>
          <w:p w:rsidR="006D419C" w:rsidRPr="00596402" w:rsidRDefault="006D419C" w:rsidP="00F82FF1">
            <w:pPr>
              <w:keepNext/>
              <w:jc w:val="center"/>
              <w:rPr>
                <w:rFonts w:ascii="Arial Narrow" w:hAnsi="Arial Narrow" w:cs="Arial"/>
                <w:sz w:val="20"/>
                <w:szCs w:val="20"/>
              </w:rPr>
            </w:pPr>
          </w:p>
        </w:tc>
        <w:tc>
          <w:tcPr>
            <w:tcW w:w="1275" w:type="dxa"/>
            <w:vMerge w:val="restart"/>
            <w:vAlign w:val="center"/>
          </w:tcPr>
          <w:p w:rsidR="006D419C" w:rsidRDefault="006D419C" w:rsidP="00F82FF1">
            <w:pPr>
              <w:keepNext/>
              <w:jc w:val="center"/>
              <w:rPr>
                <w:rFonts w:ascii="Arial Narrow" w:hAnsi="Arial Narrow" w:cs="Arial"/>
                <w:sz w:val="20"/>
                <w:szCs w:val="20"/>
              </w:rPr>
            </w:pPr>
          </w:p>
          <w:p w:rsidR="006D419C" w:rsidRPr="00596402" w:rsidRDefault="006D419C" w:rsidP="00F82FF1">
            <w:pPr>
              <w:keepNext/>
              <w:jc w:val="center"/>
              <w:rPr>
                <w:rFonts w:ascii="Arial Narrow" w:hAnsi="Arial Narrow" w:cs="Arial"/>
                <w:sz w:val="20"/>
                <w:szCs w:val="20"/>
              </w:rPr>
            </w:pPr>
            <w:r>
              <w:rPr>
                <w:rFonts w:ascii="Arial Narrow" w:hAnsi="Arial Narrow" w:cs="Arial"/>
                <w:sz w:val="20"/>
                <w:szCs w:val="20"/>
              </w:rPr>
              <w:t>AstraZeneca</w:t>
            </w:r>
          </w:p>
          <w:p w:rsidR="006D419C" w:rsidRPr="00596402" w:rsidRDefault="006D419C" w:rsidP="00F82FF1">
            <w:pPr>
              <w:keepNext/>
              <w:jc w:val="both"/>
              <w:rPr>
                <w:rFonts w:ascii="Arial Narrow" w:hAnsi="Arial Narrow" w:cs="Arial"/>
                <w:sz w:val="20"/>
                <w:szCs w:val="20"/>
              </w:rPr>
            </w:pPr>
          </w:p>
        </w:tc>
      </w:tr>
      <w:tr w:rsidR="006D419C" w:rsidRPr="00596402" w:rsidTr="00F82FF1">
        <w:trPr>
          <w:cantSplit/>
          <w:trHeight w:val="577"/>
        </w:trPr>
        <w:tc>
          <w:tcPr>
            <w:tcW w:w="3119" w:type="dxa"/>
            <w:gridSpan w:val="2"/>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Tablet, 10mg/1000mg</w:t>
            </w:r>
          </w:p>
          <w:p w:rsidR="006D419C" w:rsidRPr="00596402" w:rsidRDefault="006D419C" w:rsidP="00F82FF1">
            <w:pPr>
              <w:keepNext/>
              <w:ind w:left="-108"/>
              <w:jc w:val="both"/>
              <w:rPr>
                <w:rFonts w:ascii="Arial Narrow" w:hAnsi="Arial Narrow" w:cs="Arial"/>
                <w:sz w:val="20"/>
                <w:szCs w:val="20"/>
              </w:rPr>
            </w:pP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Pr="00596402" w:rsidRDefault="006D419C" w:rsidP="00F82FF1">
            <w:pPr>
              <w:keepNext/>
              <w:jc w:val="both"/>
              <w:rPr>
                <w:rFonts w:ascii="Arial Narrow" w:hAnsi="Arial Narrow" w:cs="Arial"/>
                <w:sz w:val="20"/>
                <w:szCs w:val="20"/>
              </w:rPr>
            </w:pPr>
          </w:p>
        </w:tc>
        <w:tc>
          <w:tcPr>
            <w:tcW w:w="1275" w:type="dxa"/>
            <w:vMerge/>
          </w:tcPr>
          <w:p w:rsidR="006D419C" w:rsidRPr="00596402" w:rsidRDefault="006D419C" w:rsidP="00F82FF1">
            <w:pPr>
              <w:keepNext/>
              <w:jc w:val="both"/>
              <w:rPr>
                <w:rFonts w:ascii="Arial Narrow" w:hAnsi="Arial Narrow" w:cs="Arial"/>
                <w:sz w:val="20"/>
                <w:szCs w:val="20"/>
              </w:rPr>
            </w:pPr>
          </w:p>
        </w:tc>
      </w:tr>
      <w:tr w:rsidR="006D419C" w:rsidRPr="00596402" w:rsidTr="00F82FF1">
        <w:trPr>
          <w:cantSplit/>
          <w:trHeight w:val="577"/>
        </w:trPr>
        <w:tc>
          <w:tcPr>
            <w:tcW w:w="3119" w:type="dxa"/>
            <w:gridSpan w:val="2"/>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56</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Pr="00596402" w:rsidRDefault="006D419C" w:rsidP="00F82FF1">
            <w:pPr>
              <w:keepNext/>
              <w:jc w:val="both"/>
              <w:rPr>
                <w:rFonts w:ascii="Arial Narrow" w:hAnsi="Arial Narrow" w:cs="Arial"/>
                <w:sz w:val="20"/>
                <w:szCs w:val="20"/>
              </w:rPr>
            </w:pPr>
          </w:p>
        </w:tc>
        <w:tc>
          <w:tcPr>
            <w:tcW w:w="1275" w:type="dxa"/>
            <w:vMerge/>
          </w:tcPr>
          <w:p w:rsidR="006D419C" w:rsidRPr="00596402" w:rsidRDefault="006D419C" w:rsidP="00F82FF1">
            <w:pPr>
              <w:keepNext/>
              <w:jc w:val="both"/>
              <w:rPr>
                <w:rFonts w:ascii="Arial Narrow" w:hAnsi="Arial Narrow" w:cs="Arial"/>
                <w:sz w:val="20"/>
                <w:szCs w:val="20"/>
              </w:rPr>
            </w:pPr>
          </w:p>
        </w:tc>
      </w:tr>
      <w:tr w:rsidR="006D419C" w:rsidRPr="00596402" w:rsidTr="00F82FF1">
        <w:trPr>
          <w:cantSplit/>
          <w:trHeight w:val="360"/>
        </w:trPr>
        <w:tc>
          <w:tcPr>
            <w:tcW w:w="8646" w:type="dxa"/>
            <w:gridSpan w:val="7"/>
            <w:tcBorders>
              <w:bottom w:val="single" w:sz="4" w:space="0" w:color="auto"/>
            </w:tcBorders>
          </w:tcPr>
          <w:p w:rsidR="006D419C" w:rsidRPr="00596402" w:rsidRDefault="006D419C" w:rsidP="00F82FF1">
            <w:pPr>
              <w:jc w:val="both"/>
              <w:rPr>
                <w:rFonts w:ascii="Arial Narrow" w:hAnsi="Arial Narrow" w:cs="Arial"/>
                <w:sz w:val="20"/>
                <w:szCs w:val="20"/>
              </w:rPr>
            </w:pP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 xml:space="preserve">Category / </w:t>
            </w:r>
          </w:p>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sidRPr="00596402">
              <w:rPr>
                <w:rFonts w:ascii="Arial Narrow" w:hAnsi="Arial Narrow" w:cs="Arial"/>
                <w:sz w:val="20"/>
                <w:szCs w:val="20"/>
              </w:rPr>
              <w:t>GENERAL – General Schedule (Code GE)</w:t>
            </w: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Nurse practitioners</w:t>
            </w:r>
          </w:p>
          <w:p w:rsidR="006D419C" w:rsidRPr="00596402" w:rsidRDefault="006D419C" w:rsidP="00F82FF1">
            <w:pPr>
              <w:rPr>
                <w:rFonts w:ascii="Arial Narrow" w:hAnsi="Arial Narrow" w:cs="Arial"/>
                <w:sz w:val="20"/>
                <w:szCs w:val="20"/>
              </w:rPr>
            </w:pP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Diabetes mellitus type 2</w:t>
            </w: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sz w:val="20"/>
                <w:szCs w:val="20"/>
              </w:rPr>
            </w:pPr>
            <w:r w:rsidRPr="00596402">
              <w:rPr>
                <w:rFonts w:ascii="Arial Narrow" w:hAnsi="Arial Narrow" w:cs="Arial"/>
                <w:b/>
                <w:sz w:val="20"/>
                <w:szCs w:val="20"/>
              </w:rPr>
              <w:t>Restriction Level / Method:</w:t>
            </w:r>
          </w:p>
        </w:tc>
        <w:tc>
          <w:tcPr>
            <w:tcW w:w="5953" w:type="dxa"/>
            <w:gridSpan w:val="6"/>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Authority Required (Streamlined)</w:t>
            </w: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lastRenderedPageBreak/>
              <w:t>Clinical criteria:</w:t>
            </w:r>
          </w:p>
          <w:p w:rsidR="006D419C" w:rsidRPr="00596402" w:rsidRDefault="006D419C" w:rsidP="00F82FF1">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6D419C" w:rsidRDefault="006D419C" w:rsidP="00F82FF1">
            <w:pPr>
              <w:rPr>
                <w:rFonts w:ascii="Arial Narrow" w:hAnsi="Arial Narrow" w:cs="Arial"/>
                <w:sz w:val="20"/>
                <w:szCs w:val="20"/>
              </w:rPr>
            </w:pPr>
            <w:r>
              <w:rPr>
                <w:rFonts w:ascii="Arial Narrow" w:hAnsi="Arial Narrow" w:cs="Arial"/>
                <w:sz w:val="20"/>
                <w:szCs w:val="20"/>
              </w:rPr>
              <w:t>The treatment must be in combination with insulin</w:t>
            </w:r>
          </w:p>
          <w:p w:rsidR="006D419C" w:rsidRDefault="006D419C" w:rsidP="00F82FF1">
            <w:pPr>
              <w:rPr>
                <w:rFonts w:ascii="Arial Narrow" w:hAnsi="Arial Narrow" w:cs="Arial"/>
                <w:sz w:val="20"/>
                <w:szCs w:val="20"/>
              </w:rPr>
            </w:pPr>
          </w:p>
          <w:p w:rsidR="006D419C" w:rsidRDefault="006D419C" w:rsidP="00F82FF1">
            <w:pPr>
              <w:spacing w:line="300" w:lineRule="atLeast"/>
              <w:rPr>
                <w:rFonts w:ascii="Arial Narrow" w:hAnsi="Arial Narrow" w:cs="Arial"/>
                <w:sz w:val="20"/>
                <w:szCs w:val="20"/>
              </w:rPr>
            </w:pPr>
            <w:r w:rsidRPr="004924B2">
              <w:rPr>
                <w:rFonts w:ascii="Arial Narrow" w:hAnsi="Arial Narrow" w:cs="Arial"/>
                <w:sz w:val="20"/>
                <w:szCs w:val="20"/>
              </w:rPr>
              <w:t>AND</w:t>
            </w:r>
          </w:p>
          <w:p w:rsidR="006D419C" w:rsidRPr="004924B2" w:rsidRDefault="006D419C" w:rsidP="00F82FF1">
            <w:pPr>
              <w:spacing w:line="300" w:lineRule="atLeast"/>
              <w:rPr>
                <w:rFonts w:ascii="Arial Narrow" w:hAnsi="Arial Narrow" w:cs="Arial"/>
                <w:sz w:val="20"/>
                <w:szCs w:val="20"/>
              </w:rPr>
            </w:pPr>
          </w:p>
          <w:p w:rsidR="006D419C" w:rsidRDefault="006D419C" w:rsidP="00F82FF1">
            <w:pPr>
              <w:spacing w:line="300" w:lineRule="atLeast"/>
              <w:rPr>
                <w:rFonts w:ascii="Arial Narrow" w:hAnsi="Arial Narrow" w:cs="Arial"/>
                <w:sz w:val="20"/>
                <w:szCs w:val="20"/>
              </w:rPr>
            </w:pPr>
            <w:r w:rsidRPr="004924B2">
              <w:rPr>
                <w:rFonts w:ascii="Arial Narrow" w:hAnsi="Arial Narrow" w:cs="Arial"/>
                <w:sz w:val="20"/>
                <w:szCs w:val="20"/>
              </w:rPr>
              <w:t xml:space="preserve">Patient must have, or have had, a HbA1c measurement greater than 7% prior to the initiation of a </w:t>
            </w:r>
            <w:proofErr w:type="spellStart"/>
            <w:r w:rsidRPr="004924B2">
              <w:rPr>
                <w:rFonts w:ascii="Arial Narrow" w:hAnsi="Arial Narrow" w:cs="Arial"/>
                <w:sz w:val="20"/>
                <w:szCs w:val="20"/>
              </w:rPr>
              <w:t>dipeptidyl</w:t>
            </w:r>
            <w:proofErr w:type="spellEnd"/>
            <w:r w:rsidRPr="004924B2">
              <w:rPr>
                <w:rFonts w:ascii="Arial Narrow" w:hAnsi="Arial Narrow" w:cs="Arial"/>
                <w:sz w:val="20"/>
                <w:szCs w:val="20"/>
              </w:rPr>
              <w:t xml:space="preserve"> peptidase 4 inhibitor (gliptin), a thiazolidinedione (</w:t>
            </w:r>
            <w:proofErr w:type="spellStart"/>
            <w:r w:rsidRPr="004924B2">
              <w:rPr>
                <w:rFonts w:ascii="Arial Narrow" w:hAnsi="Arial Narrow" w:cs="Arial"/>
                <w:sz w:val="20"/>
                <w:szCs w:val="20"/>
              </w:rPr>
              <w:t>glitazone</w:t>
            </w:r>
            <w:proofErr w:type="spellEnd"/>
            <w:r w:rsidRPr="004924B2">
              <w:rPr>
                <w:rFonts w:ascii="Arial Narrow" w:hAnsi="Arial Narrow" w:cs="Arial"/>
                <w:sz w:val="20"/>
                <w:szCs w:val="20"/>
              </w:rPr>
              <w:t xml:space="preserve">), a glucagon-like peptide-1 or a sodium-glucose co-transporter 2 (SGLT2) inhibitor despite treatment with insulin and oral antidiabetic agents, or insulin alone where metformin is contraindicated; OR </w:t>
            </w:r>
          </w:p>
          <w:p w:rsidR="006D419C" w:rsidRPr="004924B2" w:rsidRDefault="006D419C" w:rsidP="00F82FF1">
            <w:pPr>
              <w:spacing w:line="300" w:lineRule="atLeast"/>
              <w:rPr>
                <w:rFonts w:ascii="Arial Narrow" w:hAnsi="Arial Narrow" w:cs="Arial"/>
                <w:sz w:val="20"/>
                <w:szCs w:val="20"/>
              </w:rPr>
            </w:pPr>
          </w:p>
          <w:p w:rsidR="006D419C" w:rsidRPr="00596402" w:rsidRDefault="006D419C" w:rsidP="00F82FF1">
            <w:pPr>
              <w:spacing w:line="300" w:lineRule="atLeast"/>
              <w:rPr>
                <w:rFonts w:ascii="Arial Narrow" w:hAnsi="Arial Narrow" w:cs="Arial"/>
                <w:sz w:val="20"/>
                <w:szCs w:val="20"/>
              </w:rPr>
            </w:pPr>
            <w:r w:rsidRPr="004924B2">
              <w:rPr>
                <w:rFonts w:ascii="Arial Narrow" w:hAnsi="Arial Narrow" w:cs="Arial"/>
                <w:sz w:val="20"/>
                <w:szCs w:val="20"/>
              </w:rPr>
              <w:t xml:space="preserve">Patient must have, or have had, where HbA1c measurement is clinically inappropriate, blood glucose levels greater than 10 </w:t>
            </w:r>
            <w:proofErr w:type="spellStart"/>
            <w:r w:rsidRPr="004924B2">
              <w:rPr>
                <w:rFonts w:ascii="Arial Narrow" w:hAnsi="Arial Narrow" w:cs="Arial"/>
                <w:sz w:val="20"/>
                <w:szCs w:val="20"/>
              </w:rPr>
              <w:t>mmol</w:t>
            </w:r>
            <w:proofErr w:type="spellEnd"/>
            <w:r w:rsidRPr="004924B2">
              <w:rPr>
                <w:rFonts w:ascii="Arial Narrow" w:hAnsi="Arial Narrow" w:cs="Arial"/>
                <w:sz w:val="20"/>
                <w:szCs w:val="20"/>
              </w:rPr>
              <w:t xml:space="preserve"> per L in more than 20% of tests over a 2 week period prior to initiation with a gliptin, a </w:t>
            </w:r>
            <w:proofErr w:type="spellStart"/>
            <w:r w:rsidRPr="004924B2">
              <w:rPr>
                <w:rFonts w:ascii="Arial Narrow" w:hAnsi="Arial Narrow" w:cs="Arial"/>
                <w:sz w:val="20"/>
                <w:szCs w:val="20"/>
              </w:rPr>
              <w:t>glitazone</w:t>
            </w:r>
            <w:proofErr w:type="spellEnd"/>
            <w:r w:rsidRPr="004924B2">
              <w:rPr>
                <w:rFonts w:ascii="Arial Narrow" w:hAnsi="Arial Narrow" w:cs="Arial"/>
                <w:sz w:val="20"/>
                <w:szCs w:val="20"/>
              </w:rPr>
              <w:t xml:space="preserve">, a glucagon-like peptide-1 or an SGLT2 inhibitor despite treatment with insulin and oral antidiabetic agents, or insulin alone where metformin is contraindicated. </w:t>
            </w: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Instructions</w:t>
            </w:r>
          </w:p>
          <w:p w:rsidR="006D419C" w:rsidRPr="00596402" w:rsidRDefault="006D419C" w:rsidP="00F82FF1">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6D419C"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 xml:space="preserve">The date and level of the qualifying HbA1c measurement must be, or must have been, documented in the patient's medical records at the time treatment with a gliptin, a </w:t>
            </w:r>
            <w:proofErr w:type="spellStart"/>
            <w:r w:rsidRPr="00024D80">
              <w:rPr>
                <w:rFonts w:ascii="Arial Narrow" w:hAnsi="Arial Narrow" w:cs="Arial"/>
                <w:sz w:val="20"/>
                <w:szCs w:val="20"/>
              </w:rPr>
              <w:t>glitazone</w:t>
            </w:r>
            <w:proofErr w:type="spellEnd"/>
            <w:r w:rsidRPr="00024D80">
              <w:rPr>
                <w:rFonts w:ascii="Arial Narrow" w:hAnsi="Arial Narrow" w:cs="Arial"/>
                <w:sz w:val="20"/>
                <w:szCs w:val="20"/>
              </w:rPr>
              <w:t xml:space="preserve">, a glucagon-like peptide-1 or an SGLT2 inhibitor is initiated. </w:t>
            </w:r>
          </w:p>
          <w:p w:rsidR="006D419C" w:rsidRPr="00024D80" w:rsidRDefault="006D419C" w:rsidP="00F82FF1">
            <w:pPr>
              <w:spacing w:line="300" w:lineRule="atLeast"/>
              <w:rPr>
                <w:rFonts w:ascii="Arial Narrow" w:hAnsi="Arial Narrow" w:cs="Arial"/>
                <w:sz w:val="20"/>
                <w:szCs w:val="20"/>
              </w:rPr>
            </w:pPr>
          </w:p>
          <w:p w:rsidR="006D419C"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 xml:space="preserve">The HbA1c must be no more than 4 months old at the time treatment with a gliptin, a </w:t>
            </w:r>
            <w:proofErr w:type="spellStart"/>
            <w:r w:rsidRPr="00024D80">
              <w:rPr>
                <w:rFonts w:ascii="Arial Narrow" w:hAnsi="Arial Narrow" w:cs="Arial"/>
                <w:sz w:val="20"/>
                <w:szCs w:val="20"/>
              </w:rPr>
              <w:t>glitazone</w:t>
            </w:r>
            <w:proofErr w:type="spellEnd"/>
            <w:r w:rsidRPr="00024D80">
              <w:rPr>
                <w:rFonts w:ascii="Arial Narrow" w:hAnsi="Arial Narrow" w:cs="Arial"/>
                <w:sz w:val="20"/>
                <w:szCs w:val="20"/>
              </w:rPr>
              <w:t xml:space="preserve">, a glucagon-like peptide-1 or an SGLT2 inhibitor was initiated. </w:t>
            </w:r>
          </w:p>
          <w:p w:rsidR="006D419C" w:rsidRPr="00024D80" w:rsidRDefault="006D419C" w:rsidP="00F82FF1">
            <w:pPr>
              <w:spacing w:line="300" w:lineRule="atLeast"/>
              <w:rPr>
                <w:rFonts w:ascii="Arial Narrow" w:hAnsi="Arial Narrow" w:cs="Arial"/>
                <w:sz w:val="20"/>
                <w:szCs w:val="20"/>
              </w:rPr>
            </w:pPr>
          </w:p>
          <w:p w:rsidR="006D419C"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Blood glucose monitoring may be used as an alternative assessment to HbA1c levels in the following circumstances:</w:t>
            </w:r>
          </w:p>
          <w:p w:rsidR="006D419C" w:rsidRPr="00024D80" w:rsidRDefault="006D419C" w:rsidP="00F82FF1">
            <w:pPr>
              <w:spacing w:line="300" w:lineRule="atLeast"/>
              <w:rPr>
                <w:rFonts w:ascii="Arial Narrow" w:hAnsi="Arial Narrow" w:cs="Arial"/>
                <w:sz w:val="20"/>
                <w:szCs w:val="20"/>
              </w:rPr>
            </w:pPr>
          </w:p>
          <w:p w:rsidR="006D419C"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(a) A clinical condition with reduced red blood cell survival, including haemolytic anaemias and haemoglobinopathies; and/or</w:t>
            </w:r>
          </w:p>
          <w:p w:rsidR="006D419C" w:rsidRPr="00024D80" w:rsidRDefault="006D419C" w:rsidP="00F82FF1">
            <w:pPr>
              <w:spacing w:line="300" w:lineRule="atLeast"/>
              <w:rPr>
                <w:rFonts w:ascii="Arial Narrow" w:hAnsi="Arial Narrow" w:cs="Arial"/>
                <w:sz w:val="20"/>
                <w:szCs w:val="20"/>
              </w:rPr>
            </w:pPr>
          </w:p>
          <w:p w:rsidR="006D419C" w:rsidRPr="00024D80"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(b) Had red cell transfusion within the previous 3 months.</w:t>
            </w:r>
          </w:p>
          <w:p w:rsidR="006D419C" w:rsidRPr="00596402" w:rsidRDefault="006D419C" w:rsidP="00F82FF1">
            <w:pPr>
              <w:spacing w:line="300" w:lineRule="atLeast"/>
              <w:rPr>
                <w:rFonts w:ascii="Arial Narrow" w:hAnsi="Arial Narrow" w:cs="Arial"/>
                <w:sz w:val="20"/>
                <w:szCs w:val="20"/>
              </w:rPr>
            </w:pPr>
            <w:r w:rsidRPr="00024D80">
              <w:rPr>
                <w:rFonts w:ascii="Arial Narrow" w:hAnsi="Arial Narrow" w:cs="Arial"/>
                <w:sz w:val="20"/>
                <w:szCs w:val="20"/>
              </w:rPr>
              <w:t xml:space="preserve">The results of the blood glucose monitoring, which must be no more than 4 months old at the time of initiation of treatment with a gliptin, a </w:t>
            </w:r>
            <w:proofErr w:type="spellStart"/>
            <w:r w:rsidRPr="00024D80">
              <w:rPr>
                <w:rFonts w:ascii="Arial Narrow" w:hAnsi="Arial Narrow" w:cs="Arial"/>
                <w:sz w:val="20"/>
                <w:szCs w:val="20"/>
              </w:rPr>
              <w:t>glitazone</w:t>
            </w:r>
            <w:proofErr w:type="spellEnd"/>
            <w:r w:rsidRPr="00024D80">
              <w:rPr>
                <w:rFonts w:ascii="Arial Narrow" w:hAnsi="Arial Narrow" w:cs="Arial"/>
                <w:sz w:val="20"/>
                <w:szCs w:val="20"/>
              </w:rPr>
              <w:t xml:space="preserve">, a glucagon-like peptide-1 or an SGLT2 inhibitor, must be documented in the patient's medical records. </w:t>
            </w:r>
          </w:p>
        </w:tc>
      </w:tr>
      <w:tr w:rsidR="006D419C" w:rsidRPr="00596402" w:rsidTr="00F82FF1">
        <w:trPr>
          <w:cantSplit/>
          <w:trHeight w:val="360"/>
        </w:trPr>
        <w:tc>
          <w:tcPr>
            <w:tcW w:w="269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Administrative Advice</w:t>
            </w:r>
          </w:p>
          <w:p w:rsidR="006D419C" w:rsidRPr="00596402" w:rsidRDefault="006D419C" w:rsidP="00F82FF1">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6D419C" w:rsidRPr="0010471A" w:rsidRDefault="006D419C" w:rsidP="00F82FF1">
            <w:pPr>
              <w:rPr>
                <w:rFonts w:ascii="Arial Narrow" w:hAnsi="Arial Narrow"/>
                <w:sz w:val="20"/>
                <w:szCs w:val="20"/>
              </w:rPr>
            </w:pPr>
            <w:r w:rsidRPr="0010471A">
              <w:rPr>
                <w:rFonts w:ascii="Arial Narrow" w:hAnsi="Arial Narrow"/>
                <w:sz w:val="20"/>
                <w:szCs w:val="20"/>
              </w:rPr>
              <w:t xml:space="preserve">This fixed dose combination is not PBS-subsidised </w:t>
            </w:r>
            <w:r w:rsidRPr="0010471A">
              <w:rPr>
                <w:rFonts w:ascii="Arial Narrow" w:hAnsi="Arial Narrow" w:cs="Arial"/>
                <w:color w:val="000000"/>
                <w:sz w:val="20"/>
                <w:szCs w:val="20"/>
                <w:shd w:val="clear" w:color="auto" w:fill="FFFFFF"/>
              </w:rPr>
              <w:t>as initial therapy</w:t>
            </w:r>
            <w:r w:rsidRPr="0010471A">
              <w:rPr>
                <w:rStyle w:val="apple-converted-space"/>
                <w:rFonts w:ascii="Arial Narrow" w:hAnsi="Arial Narrow"/>
                <w:color w:val="000000"/>
                <w:sz w:val="20"/>
                <w:szCs w:val="20"/>
                <w:shd w:val="clear" w:color="auto" w:fill="FFFFFF"/>
              </w:rPr>
              <w:t> </w:t>
            </w:r>
            <w:r w:rsidRPr="0010471A">
              <w:rPr>
                <w:rFonts w:ascii="Arial Narrow" w:hAnsi="Arial Narrow"/>
                <w:sz w:val="20"/>
                <w:szCs w:val="20"/>
              </w:rPr>
              <w:t>or for use in combination with a thiazolidinedione (</w:t>
            </w:r>
            <w:proofErr w:type="spellStart"/>
            <w:r w:rsidRPr="0010471A">
              <w:rPr>
                <w:rFonts w:ascii="Arial Narrow" w:hAnsi="Arial Narrow"/>
                <w:sz w:val="20"/>
                <w:szCs w:val="20"/>
              </w:rPr>
              <w:t>glitazone</w:t>
            </w:r>
            <w:proofErr w:type="spellEnd"/>
            <w:r w:rsidRPr="0010471A">
              <w:rPr>
                <w:rFonts w:ascii="Arial Narrow" w:hAnsi="Arial Narrow"/>
                <w:sz w:val="20"/>
                <w:szCs w:val="20"/>
              </w:rPr>
              <w:t xml:space="preserve">), a </w:t>
            </w:r>
            <w:proofErr w:type="spellStart"/>
            <w:r w:rsidRPr="0010471A">
              <w:rPr>
                <w:rFonts w:ascii="Arial Narrow" w:hAnsi="Arial Narrow"/>
                <w:sz w:val="20"/>
                <w:szCs w:val="20"/>
              </w:rPr>
              <w:t>dipeptidyl</w:t>
            </w:r>
            <w:proofErr w:type="spellEnd"/>
            <w:r w:rsidRPr="0010471A">
              <w:rPr>
                <w:rFonts w:ascii="Arial Narrow" w:hAnsi="Arial Narrow"/>
                <w:sz w:val="20"/>
                <w:szCs w:val="20"/>
              </w:rPr>
              <w:t xml:space="preserve"> peptidase </w:t>
            </w:r>
            <w:proofErr w:type="gramStart"/>
            <w:r w:rsidRPr="0010471A">
              <w:rPr>
                <w:rFonts w:ascii="Arial Narrow" w:hAnsi="Arial Narrow"/>
                <w:sz w:val="20"/>
                <w:szCs w:val="20"/>
              </w:rPr>
              <w:t>4 inhibitor (gliptin)</w:t>
            </w:r>
            <w:proofErr w:type="gramEnd"/>
            <w:r w:rsidRPr="0010471A">
              <w:rPr>
                <w:rFonts w:ascii="Arial Narrow" w:hAnsi="Arial Narrow"/>
                <w:sz w:val="20"/>
                <w:szCs w:val="20"/>
              </w:rPr>
              <w:t xml:space="preserve"> or a glucagon-like peptide-1.</w:t>
            </w:r>
          </w:p>
        </w:tc>
      </w:tr>
    </w:tbl>
    <w:p w:rsidR="006D419C" w:rsidRDefault="006D419C" w:rsidP="006D419C">
      <w:pPr>
        <w:jc w:val="both"/>
        <w:rPr>
          <w:rFonts w:ascii="Arial" w:hAnsi="Arial" w:cs="Arial"/>
        </w:rPr>
      </w:pPr>
    </w:p>
    <w:p w:rsidR="006D419C" w:rsidRDefault="006D419C" w:rsidP="006D419C">
      <w:pPr>
        <w:ind w:left="720"/>
        <w:rPr>
          <w:rFonts w:ascii="Arial" w:hAnsi="Arial" w:cs="Arial"/>
          <w:sz w:val="22"/>
          <w:szCs w:val="22"/>
        </w:rPr>
      </w:pPr>
      <w:r>
        <w:rPr>
          <w:rFonts w:ascii="Arial" w:hAnsi="Arial" w:cs="Arial"/>
          <w:sz w:val="22"/>
          <w:szCs w:val="22"/>
        </w:rPr>
        <w:br w:type="page"/>
      </w:r>
    </w:p>
    <w:p w:rsidR="006D419C" w:rsidRPr="00E84213" w:rsidRDefault="006D419C" w:rsidP="006D419C">
      <w:pPr>
        <w:rPr>
          <w:rFonts w:ascii="Arial" w:hAnsi="Arial" w:cs="Arial"/>
          <w:b/>
          <w:sz w:val="22"/>
          <w:szCs w:val="22"/>
        </w:rPr>
      </w:pPr>
      <w:r w:rsidRPr="00E84213">
        <w:rPr>
          <w:rFonts w:ascii="Arial" w:hAnsi="Arial" w:cs="Arial"/>
          <w:b/>
          <w:sz w:val="22"/>
          <w:szCs w:val="22"/>
        </w:rPr>
        <w:lastRenderedPageBreak/>
        <w:t>Triple oral therapy</w:t>
      </w:r>
    </w:p>
    <w:p w:rsidR="006D419C" w:rsidRPr="00596402" w:rsidRDefault="006D419C" w:rsidP="006D419C">
      <w:pPr>
        <w:jc w:val="both"/>
        <w:rPr>
          <w:rFonts w:ascii="Arial" w:hAnsi="Arial" w:cs="Arial"/>
          <w:sz w:val="22"/>
          <w:szCs w:val="22"/>
        </w:rPr>
      </w:pPr>
    </w:p>
    <w:tbl>
      <w:tblPr>
        <w:tblW w:w="8788" w:type="dxa"/>
        <w:tblInd w:w="108" w:type="dxa"/>
        <w:tblLayout w:type="fixed"/>
        <w:tblLook w:val="0000" w:firstRow="0" w:lastRow="0" w:firstColumn="0" w:lastColumn="0" w:noHBand="0" w:noVBand="0"/>
      </w:tblPr>
      <w:tblGrid>
        <w:gridCol w:w="3261"/>
        <w:gridCol w:w="1134"/>
        <w:gridCol w:w="1134"/>
        <w:gridCol w:w="708"/>
        <w:gridCol w:w="1276"/>
        <w:gridCol w:w="1275"/>
      </w:tblGrid>
      <w:tr w:rsidR="006D419C" w:rsidRPr="00596402" w:rsidTr="00F82FF1">
        <w:trPr>
          <w:cantSplit/>
          <w:trHeight w:val="471"/>
        </w:trPr>
        <w:tc>
          <w:tcPr>
            <w:tcW w:w="3261"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r w:rsidRPr="00596402">
              <w:rPr>
                <w:rFonts w:ascii="Arial Narrow" w:hAnsi="Arial Narrow" w:cs="Arial"/>
                <w:sz w:val="20"/>
                <w:szCs w:val="20"/>
              </w:rPr>
              <w:t>Max.</w:t>
            </w:r>
          </w:p>
          <w:p w:rsidR="006D419C" w:rsidRPr="00596402" w:rsidRDefault="006D419C" w:rsidP="00F82FF1">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 xml:space="preserve">Max.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6D419C" w:rsidRPr="00596402" w:rsidRDefault="006D419C" w:rsidP="00F82FF1">
            <w:pPr>
              <w:keepNext/>
              <w:ind w:left="-108"/>
              <w:jc w:val="both"/>
              <w:rPr>
                <w:rFonts w:ascii="Arial Narrow" w:hAnsi="Arial Narrow" w:cs="Arial"/>
                <w:sz w:val="20"/>
                <w:szCs w:val="20"/>
              </w:rPr>
            </w:pPr>
          </w:p>
        </w:tc>
        <w:tc>
          <w:tcPr>
            <w:tcW w:w="2551" w:type="dxa"/>
            <w:gridSpan w:val="2"/>
            <w:tcBorders>
              <w:bottom w:val="single" w:sz="4" w:space="0" w:color="auto"/>
            </w:tcBorders>
          </w:tcPr>
          <w:p w:rsidR="006D419C" w:rsidRPr="00596402" w:rsidRDefault="006D419C" w:rsidP="00F82FF1">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6D419C" w:rsidRPr="00596402" w:rsidTr="00F82FF1">
        <w:trPr>
          <w:cantSplit/>
          <w:trHeight w:val="577"/>
        </w:trPr>
        <w:tc>
          <w:tcPr>
            <w:tcW w:w="3261"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p w:rsidR="006D419C" w:rsidRPr="00596402" w:rsidRDefault="006D419C" w:rsidP="00F82FF1">
            <w:pPr>
              <w:keepNext/>
              <w:ind w:left="-108"/>
              <w:jc w:val="both"/>
              <w:rPr>
                <w:rFonts w:ascii="Arial Narrow" w:hAnsi="Arial Narrow" w:cs="Arial"/>
                <w:sz w:val="20"/>
                <w:szCs w:val="20"/>
              </w:rPr>
            </w:pP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val="restart"/>
            <w:vAlign w:val="center"/>
          </w:tcPr>
          <w:p w:rsidR="006D419C" w:rsidRDefault="006D419C" w:rsidP="00F82FF1">
            <w:pPr>
              <w:keepNext/>
              <w:jc w:val="center"/>
              <w:rPr>
                <w:rFonts w:ascii="Arial Narrow" w:hAnsi="Arial Narrow" w:cs="Arial"/>
                <w:sz w:val="20"/>
                <w:szCs w:val="20"/>
              </w:rPr>
            </w:pPr>
          </w:p>
          <w:p w:rsidR="006D419C" w:rsidRDefault="006D419C" w:rsidP="00F82FF1">
            <w:pPr>
              <w:keepNext/>
              <w:jc w:val="center"/>
              <w:rPr>
                <w:rFonts w:ascii="Arial Narrow" w:hAnsi="Arial Narrow" w:cs="Arial"/>
                <w:sz w:val="20"/>
                <w:szCs w:val="20"/>
              </w:rPr>
            </w:pPr>
            <w:proofErr w:type="spellStart"/>
            <w:r>
              <w:rPr>
                <w:rFonts w:ascii="Arial Narrow" w:hAnsi="Arial Narrow" w:cs="Arial"/>
                <w:sz w:val="20"/>
                <w:szCs w:val="20"/>
              </w:rPr>
              <w:t>Xigduo</w:t>
            </w:r>
            <w:proofErr w:type="spellEnd"/>
            <w:r>
              <w:rPr>
                <w:rFonts w:ascii="Arial Narrow" w:hAnsi="Arial Narrow" w:cs="Arial"/>
                <w:sz w:val="20"/>
                <w:szCs w:val="20"/>
              </w:rPr>
              <w:t>® XR</w:t>
            </w:r>
          </w:p>
          <w:p w:rsidR="006D419C" w:rsidRPr="00596402" w:rsidRDefault="006D419C" w:rsidP="00F82FF1">
            <w:pPr>
              <w:keepNext/>
              <w:jc w:val="center"/>
              <w:rPr>
                <w:rFonts w:ascii="Arial Narrow" w:hAnsi="Arial Narrow" w:cs="Arial"/>
                <w:sz w:val="20"/>
                <w:szCs w:val="20"/>
              </w:rPr>
            </w:pPr>
          </w:p>
        </w:tc>
        <w:tc>
          <w:tcPr>
            <w:tcW w:w="1275" w:type="dxa"/>
            <w:vMerge w:val="restart"/>
            <w:vAlign w:val="center"/>
          </w:tcPr>
          <w:p w:rsidR="006D419C" w:rsidRDefault="006D419C" w:rsidP="00F82FF1">
            <w:pPr>
              <w:keepNext/>
              <w:jc w:val="center"/>
              <w:rPr>
                <w:rFonts w:ascii="Arial Narrow" w:hAnsi="Arial Narrow" w:cs="Arial"/>
                <w:sz w:val="20"/>
                <w:szCs w:val="20"/>
              </w:rPr>
            </w:pPr>
          </w:p>
          <w:p w:rsidR="006D419C" w:rsidRPr="00596402" w:rsidRDefault="006D419C" w:rsidP="00F82FF1">
            <w:pPr>
              <w:keepNext/>
              <w:jc w:val="center"/>
              <w:rPr>
                <w:rFonts w:ascii="Arial Narrow" w:hAnsi="Arial Narrow" w:cs="Arial"/>
                <w:sz w:val="20"/>
                <w:szCs w:val="20"/>
              </w:rPr>
            </w:pPr>
            <w:r>
              <w:rPr>
                <w:rFonts w:ascii="Arial Narrow" w:hAnsi="Arial Narrow" w:cs="Arial"/>
                <w:sz w:val="20"/>
                <w:szCs w:val="20"/>
              </w:rPr>
              <w:t>AstraZeneca</w:t>
            </w:r>
          </w:p>
          <w:p w:rsidR="006D419C" w:rsidRPr="00596402" w:rsidRDefault="006D419C" w:rsidP="00F82FF1">
            <w:pPr>
              <w:keepNext/>
              <w:jc w:val="both"/>
              <w:rPr>
                <w:rFonts w:ascii="Arial Narrow" w:hAnsi="Arial Narrow" w:cs="Arial"/>
                <w:sz w:val="20"/>
                <w:szCs w:val="20"/>
              </w:rPr>
            </w:pPr>
          </w:p>
        </w:tc>
      </w:tr>
      <w:tr w:rsidR="006D419C" w:rsidRPr="00596402" w:rsidTr="00F82FF1">
        <w:trPr>
          <w:cantSplit/>
          <w:trHeight w:val="577"/>
        </w:trPr>
        <w:tc>
          <w:tcPr>
            <w:tcW w:w="3261"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Default="006D419C" w:rsidP="00F82FF1">
            <w:pPr>
              <w:keepNext/>
              <w:ind w:left="-108"/>
              <w:jc w:val="both"/>
              <w:rPr>
                <w:rFonts w:ascii="Arial Narrow" w:hAnsi="Arial Narrow" w:cs="Arial"/>
                <w:sz w:val="20"/>
                <w:szCs w:val="20"/>
              </w:rPr>
            </w:pPr>
            <w:r>
              <w:rPr>
                <w:rFonts w:ascii="Arial Narrow" w:hAnsi="Arial Narrow" w:cs="Arial"/>
                <w:sz w:val="20"/>
                <w:szCs w:val="20"/>
              </w:rPr>
              <w:t>Tablet, 10mg/1000mg</w:t>
            </w:r>
          </w:p>
          <w:p w:rsidR="006D419C" w:rsidRPr="00596402" w:rsidRDefault="006D419C" w:rsidP="00F82FF1">
            <w:pPr>
              <w:keepNext/>
              <w:ind w:left="-108"/>
              <w:jc w:val="both"/>
              <w:rPr>
                <w:rFonts w:ascii="Arial Narrow" w:hAnsi="Arial Narrow" w:cs="Arial"/>
                <w:sz w:val="20"/>
                <w:szCs w:val="20"/>
              </w:rPr>
            </w:pP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28</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Pr="00596402" w:rsidRDefault="006D419C" w:rsidP="00F82FF1">
            <w:pPr>
              <w:keepNext/>
              <w:jc w:val="both"/>
              <w:rPr>
                <w:rFonts w:ascii="Arial Narrow" w:hAnsi="Arial Narrow" w:cs="Arial"/>
                <w:sz w:val="20"/>
                <w:szCs w:val="20"/>
              </w:rPr>
            </w:pPr>
          </w:p>
        </w:tc>
        <w:tc>
          <w:tcPr>
            <w:tcW w:w="1275" w:type="dxa"/>
            <w:vMerge/>
          </w:tcPr>
          <w:p w:rsidR="006D419C" w:rsidRPr="00596402" w:rsidRDefault="006D419C" w:rsidP="00F82FF1">
            <w:pPr>
              <w:keepNext/>
              <w:jc w:val="both"/>
              <w:rPr>
                <w:rFonts w:ascii="Arial Narrow" w:hAnsi="Arial Narrow" w:cs="Arial"/>
                <w:sz w:val="20"/>
                <w:szCs w:val="20"/>
              </w:rPr>
            </w:pPr>
          </w:p>
        </w:tc>
      </w:tr>
      <w:tr w:rsidR="006D419C" w:rsidRPr="00596402" w:rsidTr="00F82FF1">
        <w:trPr>
          <w:cantSplit/>
          <w:trHeight w:val="577"/>
        </w:trPr>
        <w:tc>
          <w:tcPr>
            <w:tcW w:w="3261" w:type="dxa"/>
          </w:tcPr>
          <w:p w:rsidR="006D419C" w:rsidRDefault="006D419C" w:rsidP="00F82FF1">
            <w:pPr>
              <w:keepNext/>
              <w:ind w:left="-108"/>
              <w:jc w:val="both"/>
              <w:rPr>
                <w:rFonts w:ascii="Arial Narrow" w:hAnsi="Arial Narrow" w:cs="Arial"/>
                <w:smallCaps/>
                <w:sz w:val="20"/>
                <w:szCs w:val="20"/>
              </w:rPr>
            </w:pPr>
            <w:r>
              <w:rPr>
                <w:rFonts w:ascii="Arial Narrow" w:hAnsi="Arial Narrow" w:cs="Arial"/>
                <w:smallCaps/>
                <w:sz w:val="20"/>
                <w:szCs w:val="20"/>
              </w:rPr>
              <w:t xml:space="preserve">DAPAGLIFOZIN/METFORMIN HYDROCHLORIDE </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mallCaps/>
                <w:sz w:val="20"/>
                <w:szCs w:val="20"/>
              </w:rPr>
              <w:t>EXTENDED RELEASE</w:t>
            </w: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Tablet, 10mg/500mg</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56</w:t>
            </w:r>
          </w:p>
        </w:tc>
        <w:tc>
          <w:tcPr>
            <w:tcW w:w="1134" w:type="dxa"/>
          </w:tcPr>
          <w:p w:rsidR="006D419C" w:rsidRPr="00596402" w:rsidRDefault="006D419C" w:rsidP="00F82FF1">
            <w:pPr>
              <w:keepNext/>
              <w:ind w:left="-108"/>
              <w:jc w:val="both"/>
              <w:rPr>
                <w:rFonts w:ascii="Arial Narrow" w:hAnsi="Arial Narrow" w:cs="Arial"/>
                <w:sz w:val="20"/>
                <w:szCs w:val="20"/>
              </w:rPr>
            </w:pPr>
          </w:p>
          <w:p w:rsidR="006D419C" w:rsidRPr="00596402" w:rsidRDefault="006D419C" w:rsidP="00F82FF1">
            <w:pPr>
              <w:keepNext/>
              <w:ind w:left="-108"/>
              <w:jc w:val="both"/>
              <w:rPr>
                <w:rFonts w:ascii="Arial Narrow" w:hAnsi="Arial Narrow" w:cs="Arial"/>
                <w:sz w:val="20"/>
                <w:szCs w:val="20"/>
              </w:rPr>
            </w:pPr>
            <w:r>
              <w:rPr>
                <w:rFonts w:ascii="Arial Narrow" w:hAnsi="Arial Narrow" w:cs="Arial"/>
                <w:sz w:val="20"/>
                <w:szCs w:val="20"/>
              </w:rPr>
              <w:t>5</w:t>
            </w:r>
          </w:p>
        </w:tc>
        <w:tc>
          <w:tcPr>
            <w:tcW w:w="708" w:type="dxa"/>
          </w:tcPr>
          <w:p w:rsidR="006D419C" w:rsidRPr="00596402" w:rsidRDefault="006D419C" w:rsidP="00F82FF1">
            <w:pPr>
              <w:keepNext/>
              <w:ind w:left="-108"/>
              <w:jc w:val="both"/>
              <w:rPr>
                <w:rFonts w:ascii="Arial Narrow" w:hAnsi="Arial Narrow" w:cs="Arial"/>
                <w:sz w:val="20"/>
                <w:szCs w:val="20"/>
              </w:rPr>
            </w:pPr>
          </w:p>
        </w:tc>
        <w:tc>
          <w:tcPr>
            <w:tcW w:w="1276" w:type="dxa"/>
            <w:vMerge/>
          </w:tcPr>
          <w:p w:rsidR="006D419C" w:rsidRPr="00596402" w:rsidRDefault="006D419C" w:rsidP="00F82FF1">
            <w:pPr>
              <w:keepNext/>
              <w:jc w:val="both"/>
              <w:rPr>
                <w:rFonts w:ascii="Arial Narrow" w:hAnsi="Arial Narrow" w:cs="Arial"/>
                <w:sz w:val="20"/>
                <w:szCs w:val="20"/>
              </w:rPr>
            </w:pPr>
          </w:p>
        </w:tc>
        <w:tc>
          <w:tcPr>
            <w:tcW w:w="1275" w:type="dxa"/>
            <w:vMerge/>
          </w:tcPr>
          <w:p w:rsidR="006D419C" w:rsidRPr="00596402" w:rsidRDefault="006D419C" w:rsidP="00F82FF1">
            <w:pPr>
              <w:keepNext/>
              <w:jc w:val="both"/>
              <w:rPr>
                <w:rFonts w:ascii="Arial Narrow" w:hAnsi="Arial Narrow" w:cs="Arial"/>
                <w:sz w:val="20"/>
                <w:szCs w:val="20"/>
              </w:rPr>
            </w:pPr>
          </w:p>
        </w:tc>
      </w:tr>
    </w:tbl>
    <w:p w:rsidR="006D419C" w:rsidRDefault="006D419C" w:rsidP="006D419C">
      <w:pPr>
        <w:jc w:val="both"/>
        <w:rPr>
          <w:rFonts w:ascii="Arial" w:hAnsi="Arial" w:cs="Arial"/>
        </w:rPr>
      </w:pPr>
    </w:p>
    <w:tbl>
      <w:tblPr>
        <w:tblW w:w="8788" w:type="dxa"/>
        <w:tblInd w:w="108" w:type="dxa"/>
        <w:tblLayout w:type="fixed"/>
        <w:tblLook w:val="0000" w:firstRow="0" w:lastRow="0" w:firstColumn="0" w:lastColumn="0" w:noHBand="0" w:noVBand="0"/>
      </w:tblPr>
      <w:tblGrid>
        <w:gridCol w:w="2835"/>
        <w:gridCol w:w="5953"/>
      </w:tblGrid>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 xml:space="preserve">Category / </w:t>
            </w:r>
          </w:p>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sidRPr="00596402">
              <w:rPr>
                <w:rFonts w:ascii="Arial Narrow" w:hAnsi="Arial Narrow" w:cs="Arial"/>
                <w:sz w:val="20"/>
                <w:szCs w:val="20"/>
              </w:rPr>
              <w:t>GENERAL – General Schedule (Code GE)</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3E15">
              <w:rPr>
                <w:rFonts w:ascii="Arial Narrow" w:hAnsi="Arial Narrow" w:cs="Arial"/>
                <w:sz w:val="20"/>
                <w:szCs w:val="20"/>
              </w:rPr>
            </w:r>
            <w:r w:rsidR="00533E15">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Nurse practitioners  </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Diabetes mellitus type 2</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4924B2" w:rsidRDefault="006D419C" w:rsidP="00F82FF1">
            <w:pPr>
              <w:jc w:val="both"/>
              <w:rPr>
                <w:rFonts w:ascii="Arial Narrow" w:hAnsi="Arial Narrow" w:cs="Arial"/>
                <w:b/>
                <w:sz w:val="20"/>
                <w:szCs w:val="20"/>
              </w:rPr>
            </w:pPr>
            <w:r w:rsidRPr="00596402">
              <w:rPr>
                <w:rFonts w:ascii="Arial Narrow" w:hAnsi="Arial Narrow" w:cs="Arial"/>
                <w:b/>
                <w:sz w:val="20"/>
                <w:szCs w:val="20"/>
              </w:rPr>
              <w:t>Restriction Level / Method:</w:t>
            </w:r>
          </w:p>
        </w:tc>
        <w:tc>
          <w:tcPr>
            <w:tcW w:w="5953"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rPr>
                <w:rFonts w:ascii="Arial Narrow" w:hAnsi="Arial Narrow" w:cs="Arial"/>
                <w:sz w:val="20"/>
                <w:szCs w:val="20"/>
              </w:rPr>
            </w:pPr>
            <w:r>
              <w:rPr>
                <w:rFonts w:ascii="Arial Narrow" w:hAnsi="Arial Narrow" w:cs="Arial"/>
                <w:sz w:val="20"/>
                <w:szCs w:val="20"/>
              </w:rPr>
              <w:t>Authority Required (Streamlined)</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Clinical criteria:</w:t>
            </w:r>
          </w:p>
          <w:p w:rsidR="006D419C" w:rsidRPr="00596402" w:rsidRDefault="006D419C" w:rsidP="00F82FF1">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6D419C" w:rsidRDefault="006D419C" w:rsidP="00F82FF1">
            <w:pPr>
              <w:rPr>
                <w:rFonts w:ascii="Arial Narrow" w:hAnsi="Arial Narrow" w:cs="Arial"/>
                <w:sz w:val="20"/>
                <w:szCs w:val="20"/>
              </w:rPr>
            </w:pPr>
            <w:r>
              <w:rPr>
                <w:rFonts w:ascii="Arial Narrow" w:hAnsi="Arial Narrow" w:cs="Arial"/>
                <w:sz w:val="20"/>
                <w:szCs w:val="20"/>
              </w:rPr>
              <w:t>The treatment must be in combination with a sulfonylurea</w:t>
            </w:r>
          </w:p>
          <w:p w:rsidR="006D419C" w:rsidRDefault="006D419C" w:rsidP="00F82FF1">
            <w:pPr>
              <w:rPr>
                <w:rFonts w:ascii="Arial Narrow" w:hAnsi="Arial Narrow" w:cs="Arial"/>
                <w:sz w:val="20"/>
                <w:szCs w:val="20"/>
              </w:rPr>
            </w:pPr>
          </w:p>
          <w:p w:rsidR="006D419C" w:rsidRDefault="006D419C" w:rsidP="00F82FF1">
            <w:pPr>
              <w:rPr>
                <w:rFonts w:ascii="Arial Narrow" w:hAnsi="Arial Narrow" w:cs="Arial"/>
                <w:sz w:val="20"/>
                <w:szCs w:val="20"/>
              </w:rPr>
            </w:pPr>
            <w:r>
              <w:rPr>
                <w:rFonts w:ascii="Arial Narrow" w:hAnsi="Arial Narrow" w:cs="Arial"/>
                <w:sz w:val="20"/>
                <w:szCs w:val="20"/>
              </w:rPr>
              <w:t>AND</w:t>
            </w:r>
          </w:p>
          <w:p w:rsidR="006D419C" w:rsidRDefault="006D419C" w:rsidP="00F82FF1">
            <w:pPr>
              <w:rPr>
                <w:rFonts w:ascii="Arial Narrow" w:hAnsi="Arial Narrow" w:cs="Arial"/>
                <w:sz w:val="20"/>
                <w:szCs w:val="20"/>
              </w:rPr>
            </w:pPr>
          </w:p>
          <w:p w:rsidR="006D419C" w:rsidRPr="00294C29" w:rsidRDefault="006D419C" w:rsidP="00F82FF1">
            <w:pPr>
              <w:pStyle w:val="TableText"/>
              <w:spacing w:line="276" w:lineRule="auto"/>
              <w:rPr>
                <w:rFonts w:ascii="Arial Narrow" w:eastAsia="Times New Roman" w:hAnsi="Arial Narrow" w:cs="Arial"/>
                <w:lang w:val="en-AU" w:eastAsia="en-AU"/>
              </w:rPr>
            </w:pPr>
            <w:r w:rsidRPr="00D17ED4">
              <w:rPr>
                <w:rFonts w:ascii="Arial Narrow" w:eastAsia="Times New Roman" w:hAnsi="Arial Narrow" w:cs="Arial"/>
                <w:lang w:val="en-AU" w:eastAsia="en-AU"/>
              </w:rPr>
              <w:t xml:space="preserve">Patient must have, or have had, a HbA1c measurement greater than 7% prior to the initiation of a </w:t>
            </w:r>
            <w:proofErr w:type="spellStart"/>
            <w:r w:rsidRPr="00D17ED4">
              <w:rPr>
                <w:rFonts w:ascii="Arial Narrow" w:eastAsia="Times New Roman" w:hAnsi="Arial Narrow" w:cs="Arial"/>
                <w:lang w:val="en-AU" w:eastAsia="en-AU"/>
              </w:rPr>
              <w:t>dipeptidyl</w:t>
            </w:r>
            <w:proofErr w:type="spellEnd"/>
            <w:r w:rsidRPr="00D17ED4">
              <w:rPr>
                <w:rFonts w:ascii="Arial Narrow" w:eastAsia="Times New Roman" w:hAnsi="Arial Narrow" w:cs="Arial"/>
                <w:lang w:val="en-AU" w:eastAsia="en-AU"/>
              </w:rPr>
              <w:t xml:space="preserve"> peptidase 4 inhibitor (gliptin), a thiazolidinedione (</w:t>
            </w:r>
            <w:proofErr w:type="spellStart"/>
            <w:r w:rsidRPr="00D17ED4">
              <w:rPr>
                <w:rFonts w:ascii="Arial Narrow" w:eastAsia="Times New Roman" w:hAnsi="Arial Narrow" w:cs="Arial"/>
                <w:lang w:val="en-AU" w:eastAsia="en-AU"/>
              </w:rPr>
              <w:t>glitazone</w:t>
            </w:r>
            <w:proofErr w:type="spellEnd"/>
            <w:r w:rsidRPr="00D17ED4">
              <w:rPr>
                <w:rFonts w:ascii="Arial Narrow" w:eastAsia="Times New Roman" w:hAnsi="Arial Narrow" w:cs="Arial"/>
                <w:lang w:val="en-AU" w:eastAsia="en-AU"/>
              </w:rPr>
              <w:t xml:space="preserve">), a glucagon-like peptide-1 or a sodium-glucose co-transporter 2 (SGLT2) inhibitor despite treatment with </w:t>
            </w:r>
            <w:r w:rsidR="00B305F5" w:rsidRPr="00750E0B">
              <w:rPr>
                <w:rFonts w:ascii="Arial Narrow" w:hAnsi="Arial Narrow"/>
              </w:rPr>
              <w:t xml:space="preserve">either metformin </w:t>
            </w:r>
            <w:r w:rsidR="00294C29" w:rsidRPr="00750E0B">
              <w:rPr>
                <w:rFonts w:ascii="Arial Narrow" w:hAnsi="Arial Narrow"/>
                <w:lang w:val="en-AU"/>
              </w:rPr>
              <w:t>and</w:t>
            </w:r>
            <w:r w:rsidR="00294C29" w:rsidRPr="00750E0B">
              <w:rPr>
                <w:rFonts w:ascii="Arial Narrow" w:hAnsi="Arial Narrow"/>
              </w:rPr>
              <w:t xml:space="preserve"> </w:t>
            </w:r>
            <w:r w:rsidR="00B305F5" w:rsidRPr="00750E0B">
              <w:rPr>
                <w:rFonts w:ascii="Arial Narrow" w:hAnsi="Arial Narrow"/>
              </w:rPr>
              <w:t>a sulfonylurea</w:t>
            </w:r>
            <w:r w:rsidR="00946E23" w:rsidRPr="00750E0B">
              <w:rPr>
                <w:rFonts w:ascii="Arial Narrow" w:hAnsi="Arial Narrow"/>
                <w:lang w:val="en-AU"/>
              </w:rPr>
              <w:t>,</w:t>
            </w:r>
            <w:r w:rsidR="00B305F5" w:rsidRPr="00750E0B">
              <w:rPr>
                <w:rFonts w:ascii="Arial Narrow" w:hAnsi="Arial Narrow"/>
              </w:rPr>
              <w:t xml:space="preserve"> or metformin and </w:t>
            </w:r>
            <w:r w:rsidR="00B305F5" w:rsidRPr="00750E0B">
              <w:rPr>
                <w:rFonts w:ascii="Arial Narrow" w:hAnsi="Arial Narrow"/>
                <w:lang w:val="en-AU"/>
              </w:rPr>
              <w:t>this drug</w:t>
            </w:r>
            <w:r w:rsidR="00946E23" w:rsidRPr="00750E0B">
              <w:rPr>
                <w:rFonts w:ascii="Arial Narrow" w:hAnsi="Arial Narrow"/>
                <w:lang w:val="en-AU"/>
              </w:rPr>
              <w:t>,</w:t>
            </w:r>
            <w:r w:rsidR="00B305F5" w:rsidRPr="00750E0B">
              <w:rPr>
                <w:rFonts w:ascii="Arial Narrow" w:hAnsi="Arial Narrow"/>
              </w:rPr>
              <w:t xml:space="preserve"> or a sulfonylurea and </w:t>
            </w:r>
            <w:r w:rsidR="00B305F5" w:rsidRPr="00750E0B">
              <w:rPr>
                <w:rFonts w:ascii="Arial Narrow" w:hAnsi="Arial Narrow"/>
                <w:lang w:val="en-AU"/>
              </w:rPr>
              <w:t>this drug;</w:t>
            </w:r>
            <w:r w:rsidR="00B305F5" w:rsidRPr="00294C29">
              <w:rPr>
                <w:rFonts w:ascii="Arial Narrow" w:hAnsi="Arial Narrow"/>
                <w:lang w:val="en-AU"/>
              </w:rPr>
              <w:t xml:space="preserve"> </w:t>
            </w:r>
          </w:p>
          <w:p w:rsidR="006D419C" w:rsidRPr="00294C29" w:rsidRDefault="006D419C" w:rsidP="00F82FF1">
            <w:pPr>
              <w:pStyle w:val="TableText"/>
              <w:spacing w:line="276" w:lineRule="auto"/>
              <w:rPr>
                <w:rFonts w:ascii="Arial Narrow" w:eastAsia="Times New Roman" w:hAnsi="Arial Narrow" w:cs="Arial"/>
                <w:lang w:val="en-AU" w:eastAsia="en-AU"/>
              </w:rPr>
            </w:pPr>
          </w:p>
          <w:p w:rsidR="006D419C" w:rsidRPr="00294C29" w:rsidRDefault="006D419C" w:rsidP="00F82FF1">
            <w:pPr>
              <w:pStyle w:val="TableText"/>
              <w:spacing w:line="276" w:lineRule="auto"/>
              <w:rPr>
                <w:rFonts w:ascii="Arial Narrow" w:eastAsia="Times New Roman" w:hAnsi="Arial Narrow" w:cs="Arial"/>
                <w:lang w:val="en-AU" w:eastAsia="en-AU"/>
              </w:rPr>
            </w:pPr>
            <w:r w:rsidRPr="00294C29">
              <w:rPr>
                <w:rFonts w:ascii="Arial Narrow" w:eastAsia="Times New Roman" w:hAnsi="Arial Narrow" w:cs="Arial"/>
                <w:lang w:val="en-AU" w:eastAsia="en-AU"/>
              </w:rPr>
              <w:t xml:space="preserve">OR </w:t>
            </w:r>
          </w:p>
          <w:p w:rsidR="006D419C" w:rsidRPr="00294C29" w:rsidRDefault="006D419C" w:rsidP="00F82FF1">
            <w:pPr>
              <w:pStyle w:val="TableText"/>
              <w:spacing w:line="276" w:lineRule="auto"/>
              <w:rPr>
                <w:rFonts w:ascii="Arial Narrow" w:eastAsia="Times New Roman" w:hAnsi="Arial Narrow" w:cs="Arial"/>
                <w:lang w:val="en-AU" w:eastAsia="en-AU"/>
              </w:rPr>
            </w:pPr>
          </w:p>
          <w:p w:rsidR="00B305F5" w:rsidRPr="00B305F5" w:rsidRDefault="006D419C" w:rsidP="00B305F5">
            <w:pPr>
              <w:jc w:val="both"/>
              <w:rPr>
                <w:rFonts w:ascii="Arial Narrow" w:hAnsi="Arial Narrow"/>
                <w:snapToGrid w:val="0"/>
              </w:rPr>
            </w:pPr>
            <w:r w:rsidRPr="00294C29">
              <w:rPr>
                <w:rFonts w:ascii="Arial Narrow" w:hAnsi="Arial Narrow" w:cs="Arial"/>
                <w:sz w:val="20"/>
                <w:szCs w:val="20"/>
              </w:rPr>
              <w:t xml:space="preserve">Patient must have, or have had, where HbA1c measurement is clinically inappropriate, blood glucose levels greater than 10 </w:t>
            </w:r>
            <w:proofErr w:type="spellStart"/>
            <w:r w:rsidRPr="00294C29">
              <w:rPr>
                <w:rFonts w:ascii="Arial Narrow" w:hAnsi="Arial Narrow" w:cs="Arial"/>
                <w:sz w:val="20"/>
                <w:szCs w:val="20"/>
              </w:rPr>
              <w:t>mmol</w:t>
            </w:r>
            <w:proofErr w:type="spellEnd"/>
            <w:r w:rsidRPr="00294C29">
              <w:rPr>
                <w:rFonts w:ascii="Arial Narrow" w:hAnsi="Arial Narrow" w:cs="Arial"/>
                <w:sz w:val="20"/>
                <w:szCs w:val="20"/>
              </w:rPr>
              <w:t xml:space="preserve"> per L in more than 20% of tests over a 2 week period prior to initiation with a gliptin, a </w:t>
            </w:r>
            <w:proofErr w:type="spellStart"/>
            <w:r w:rsidRPr="00294C29">
              <w:rPr>
                <w:rFonts w:ascii="Arial Narrow" w:hAnsi="Arial Narrow" w:cs="Arial"/>
                <w:sz w:val="20"/>
                <w:szCs w:val="20"/>
              </w:rPr>
              <w:t>glitazone</w:t>
            </w:r>
            <w:proofErr w:type="spellEnd"/>
            <w:r w:rsidRPr="00294C29">
              <w:rPr>
                <w:rFonts w:ascii="Arial Narrow" w:hAnsi="Arial Narrow" w:cs="Arial"/>
                <w:sz w:val="20"/>
                <w:szCs w:val="20"/>
              </w:rPr>
              <w:t xml:space="preserve">, a glucagon-like peptide-1 or an SGLT2 despite treatment with </w:t>
            </w:r>
            <w:r w:rsidR="00B305F5" w:rsidRPr="00750E0B">
              <w:rPr>
                <w:rFonts w:ascii="Arial Narrow" w:hAnsi="Arial Narrow"/>
                <w:sz w:val="20"/>
                <w:szCs w:val="20"/>
              </w:rPr>
              <w:t>either metformin and a sulfonylurea, or metformin and this drug</w:t>
            </w:r>
            <w:r w:rsidR="00946E23" w:rsidRPr="00750E0B">
              <w:rPr>
                <w:rFonts w:ascii="Arial Narrow" w:hAnsi="Arial Narrow"/>
                <w:sz w:val="20"/>
                <w:szCs w:val="20"/>
              </w:rPr>
              <w:t>,</w:t>
            </w:r>
            <w:r w:rsidR="00B305F5" w:rsidRPr="00750E0B">
              <w:rPr>
                <w:rFonts w:ascii="Arial Narrow" w:hAnsi="Arial Narrow"/>
                <w:sz w:val="20"/>
                <w:szCs w:val="20"/>
              </w:rPr>
              <w:t xml:space="preserve"> or a sulfonylurea and this drug.</w:t>
            </w:r>
            <w:r w:rsidR="00B305F5" w:rsidRPr="00B305F5">
              <w:rPr>
                <w:rFonts w:ascii="Arial Narrow" w:hAnsi="Arial Narrow"/>
                <w:sz w:val="20"/>
                <w:szCs w:val="20"/>
              </w:rPr>
              <w:t xml:space="preserve"> </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lastRenderedPageBreak/>
              <w:t>Prescriber Instructions</w:t>
            </w:r>
          </w:p>
          <w:p w:rsidR="006D419C" w:rsidRPr="00596402" w:rsidRDefault="006D419C" w:rsidP="00F82FF1">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6D419C" w:rsidRDefault="006D419C" w:rsidP="00F82FF1">
            <w:pPr>
              <w:pStyle w:val="TableText"/>
              <w:spacing w:line="276" w:lineRule="auto"/>
              <w:rPr>
                <w:rFonts w:ascii="Arial Narrow" w:hAnsi="Arial Narrow"/>
              </w:rPr>
            </w:pPr>
            <w:r>
              <w:rPr>
                <w:rFonts w:ascii="Arial Narrow" w:hAnsi="Arial Narrow"/>
              </w:rPr>
              <w:t xml:space="preserve">The date and level of the qualifying HbA1c measurement must be, or must have been, documented in the patient's medical records at the time treatment with a gliptin, a </w:t>
            </w:r>
            <w:proofErr w:type="spellStart"/>
            <w:r>
              <w:rPr>
                <w:rFonts w:ascii="Arial Narrow" w:hAnsi="Arial Narrow"/>
              </w:rPr>
              <w:t>glitazone</w:t>
            </w:r>
            <w:proofErr w:type="spellEnd"/>
            <w:r>
              <w:rPr>
                <w:rFonts w:ascii="Arial Narrow" w:hAnsi="Arial Narrow"/>
              </w:rPr>
              <w:t xml:space="preserve">, a glucagon-like peptide-1 or an SGLT2 inhibitor is initiated. </w:t>
            </w:r>
          </w:p>
          <w:p w:rsidR="006D419C" w:rsidRDefault="006D419C" w:rsidP="00F82FF1">
            <w:pPr>
              <w:pStyle w:val="TableText"/>
              <w:spacing w:line="276" w:lineRule="auto"/>
              <w:rPr>
                <w:rFonts w:ascii="Arial Narrow" w:hAnsi="Arial Narrow"/>
              </w:rPr>
            </w:pPr>
          </w:p>
          <w:p w:rsidR="006D419C" w:rsidRDefault="006D419C" w:rsidP="00F82FF1">
            <w:pPr>
              <w:pStyle w:val="TableText"/>
              <w:spacing w:line="276" w:lineRule="auto"/>
              <w:rPr>
                <w:rFonts w:ascii="Arial Narrow" w:hAnsi="Arial Narrow"/>
              </w:rPr>
            </w:pPr>
            <w:r>
              <w:rPr>
                <w:rFonts w:ascii="Arial Narrow" w:hAnsi="Arial Narrow"/>
              </w:rPr>
              <w:t xml:space="preserve">The HbA1c must be no more than 4 months old at the time treatment with a gliptin, a </w:t>
            </w:r>
            <w:proofErr w:type="spellStart"/>
            <w:r>
              <w:rPr>
                <w:rFonts w:ascii="Arial Narrow" w:hAnsi="Arial Narrow"/>
              </w:rPr>
              <w:t>glitazone</w:t>
            </w:r>
            <w:proofErr w:type="spellEnd"/>
            <w:r>
              <w:rPr>
                <w:rFonts w:ascii="Arial Narrow" w:hAnsi="Arial Narrow"/>
              </w:rPr>
              <w:t xml:space="preserve">, a glucagon-like peptide-1 or an SGLT2 inhibitor was initiated. </w:t>
            </w:r>
          </w:p>
          <w:p w:rsidR="006D419C" w:rsidRDefault="006D419C" w:rsidP="00F82FF1">
            <w:pPr>
              <w:pStyle w:val="TableText"/>
              <w:spacing w:line="276" w:lineRule="auto"/>
              <w:rPr>
                <w:rFonts w:ascii="Arial Narrow" w:hAnsi="Arial Narrow"/>
              </w:rPr>
            </w:pPr>
          </w:p>
          <w:p w:rsidR="006D419C" w:rsidRDefault="006D419C" w:rsidP="00F82FF1">
            <w:pPr>
              <w:pStyle w:val="TableText"/>
              <w:spacing w:line="276" w:lineRule="auto"/>
              <w:rPr>
                <w:rFonts w:ascii="Arial Narrow" w:hAnsi="Arial Narrow"/>
                <w:lang w:val="en-AU"/>
              </w:rPr>
            </w:pPr>
            <w:r>
              <w:rPr>
                <w:rFonts w:ascii="Arial Narrow" w:hAnsi="Arial Narrow"/>
              </w:rPr>
              <w:t>Blood glucose monitoring may be used as an alternative assessment to HbA1c levels in the following circumstances:</w:t>
            </w:r>
          </w:p>
          <w:p w:rsidR="006D419C" w:rsidRPr="002631A1" w:rsidRDefault="006D419C" w:rsidP="00F82FF1">
            <w:pPr>
              <w:pStyle w:val="TableText"/>
              <w:spacing w:line="276" w:lineRule="auto"/>
              <w:rPr>
                <w:rFonts w:ascii="Arial Narrow" w:hAnsi="Arial Narrow"/>
                <w:lang w:val="en-AU"/>
              </w:rPr>
            </w:pPr>
          </w:p>
          <w:p w:rsidR="006D419C" w:rsidRDefault="006D419C" w:rsidP="00F82FF1">
            <w:pPr>
              <w:pStyle w:val="TableText"/>
              <w:spacing w:line="276" w:lineRule="auto"/>
              <w:rPr>
                <w:rFonts w:ascii="Arial Narrow" w:hAnsi="Arial Narrow"/>
                <w:lang w:val="en-AU"/>
              </w:rPr>
            </w:pPr>
            <w:r>
              <w:rPr>
                <w:rFonts w:ascii="Arial Narrow" w:hAnsi="Arial Narrow"/>
              </w:rPr>
              <w:t>(a) A clinical condition with reduced red blood cell survival, including haemolytic anaemias and haemoglobinopathies; and/or</w:t>
            </w:r>
          </w:p>
          <w:p w:rsidR="006D419C" w:rsidRPr="002631A1" w:rsidRDefault="006D419C" w:rsidP="00F82FF1">
            <w:pPr>
              <w:pStyle w:val="TableText"/>
              <w:spacing w:line="276" w:lineRule="auto"/>
              <w:rPr>
                <w:rFonts w:ascii="Arial Narrow" w:hAnsi="Arial Narrow"/>
                <w:lang w:val="en-AU"/>
              </w:rPr>
            </w:pPr>
          </w:p>
          <w:p w:rsidR="006D419C" w:rsidRDefault="006D419C" w:rsidP="00F82FF1">
            <w:pPr>
              <w:pStyle w:val="TableText"/>
              <w:spacing w:line="276" w:lineRule="auto"/>
              <w:rPr>
                <w:rFonts w:ascii="Arial Narrow" w:hAnsi="Arial Narrow"/>
              </w:rPr>
            </w:pPr>
            <w:r>
              <w:rPr>
                <w:rFonts w:ascii="Arial Narrow" w:hAnsi="Arial Narrow"/>
              </w:rPr>
              <w:t>(b) Had red cell transfusion within the previous 3 months.</w:t>
            </w:r>
          </w:p>
          <w:p w:rsidR="006D419C" w:rsidRDefault="006D419C" w:rsidP="00F82FF1">
            <w:pPr>
              <w:pStyle w:val="TableText"/>
              <w:spacing w:line="276" w:lineRule="auto"/>
              <w:rPr>
                <w:rFonts w:ascii="Arial Narrow" w:hAnsi="Arial Narrow"/>
              </w:rPr>
            </w:pPr>
          </w:p>
          <w:p w:rsidR="006D419C" w:rsidRPr="00596402" w:rsidRDefault="006D419C" w:rsidP="00F82FF1">
            <w:pPr>
              <w:rPr>
                <w:rFonts w:ascii="Arial Narrow" w:hAnsi="Arial Narrow" w:cs="Arial"/>
                <w:sz w:val="20"/>
                <w:szCs w:val="20"/>
              </w:rPr>
            </w:pPr>
            <w:r>
              <w:rPr>
                <w:rFonts w:ascii="Arial Narrow" w:hAnsi="Arial Narrow"/>
                <w:snapToGrid w:val="0"/>
                <w:sz w:val="20"/>
              </w:rPr>
              <w:t xml:space="preserve">The results of the blood glucose monitoring, which must be no more than 4 months old at the time of initiation of treatment with a gliptin, a </w:t>
            </w:r>
            <w:proofErr w:type="spellStart"/>
            <w:r>
              <w:rPr>
                <w:rFonts w:ascii="Arial Narrow" w:hAnsi="Arial Narrow"/>
                <w:snapToGrid w:val="0"/>
                <w:sz w:val="20"/>
              </w:rPr>
              <w:t>glitazone</w:t>
            </w:r>
            <w:proofErr w:type="spellEnd"/>
            <w:r>
              <w:rPr>
                <w:rFonts w:ascii="Arial Narrow" w:hAnsi="Arial Narrow"/>
                <w:snapToGrid w:val="0"/>
                <w:sz w:val="20"/>
              </w:rPr>
              <w:t>, a glucagon-like peptide-1 or an SGLT2 inhibitor, must be documented in the patient's medical records</w:t>
            </w:r>
          </w:p>
        </w:tc>
      </w:tr>
      <w:tr w:rsidR="006D419C" w:rsidRPr="00596402" w:rsidTr="00F82F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419C" w:rsidRPr="00596402" w:rsidRDefault="006D419C" w:rsidP="00F82FF1">
            <w:pPr>
              <w:jc w:val="both"/>
              <w:rPr>
                <w:rFonts w:ascii="Arial Narrow" w:hAnsi="Arial Narrow" w:cs="Arial"/>
                <w:b/>
                <w:sz w:val="20"/>
                <w:szCs w:val="20"/>
              </w:rPr>
            </w:pPr>
            <w:r w:rsidRPr="00596402">
              <w:rPr>
                <w:rFonts w:ascii="Arial Narrow" w:hAnsi="Arial Narrow" w:cs="Arial"/>
                <w:b/>
                <w:sz w:val="20"/>
                <w:szCs w:val="20"/>
              </w:rPr>
              <w:t>Administrative Advice</w:t>
            </w:r>
          </w:p>
          <w:p w:rsidR="006D419C" w:rsidRPr="00596402" w:rsidRDefault="006D419C" w:rsidP="00F82FF1">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6D419C" w:rsidRPr="00750E0B" w:rsidRDefault="006D419C" w:rsidP="00F82FF1">
            <w:pPr>
              <w:pStyle w:val="TableText"/>
              <w:spacing w:line="240" w:lineRule="auto"/>
              <w:rPr>
                <w:rFonts w:ascii="Arial Narrow" w:hAnsi="Arial Narrow" w:cs="Arial"/>
              </w:rPr>
            </w:pPr>
            <w:r w:rsidRPr="00750E0B">
              <w:rPr>
                <w:rFonts w:ascii="Arial Narrow" w:hAnsi="Arial Narrow"/>
              </w:rPr>
              <w:t xml:space="preserve">This fixed dose combination is not PBS-subsidised </w:t>
            </w:r>
            <w:r w:rsidRPr="00750E0B">
              <w:rPr>
                <w:rFonts w:ascii="Arial Narrow" w:hAnsi="Arial Narrow" w:cs="Arial"/>
                <w:color w:val="000000"/>
                <w:shd w:val="clear" w:color="auto" w:fill="FFFFFF"/>
              </w:rPr>
              <w:t>as initial therapy</w:t>
            </w:r>
            <w:r w:rsidRPr="00750E0B">
              <w:rPr>
                <w:rStyle w:val="apple-converted-space"/>
                <w:rFonts w:ascii="Arial Narrow" w:hAnsi="Arial Narrow"/>
                <w:color w:val="000000"/>
                <w:shd w:val="clear" w:color="auto" w:fill="FFFFFF"/>
              </w:rPr>
              <w:t> </w:t>
            </w:r>
            <w:r w:rsidRPr="00750E0B">
              <w:rPr>
                <w:rFonts w:ascii="Arial Narrow" w:hAnsi="Arial Narrow"/>
              </w:rPr>
              <w:t>or for use in combination with a thiazolidinedione (</w:t>
            </w:r>
            <w:proofErr w:type="spellStart"/>
            <w:r w:rsidRPr="00750E0B">
              <w:rPr>
                <w:rFonts w:ascii="Arial Narrow" w:hAnsi="Arial Narrow"/>
              </w:rPr>
              <w:t>glitazone</w:t>
            </w:r>
            <w:proofErr w:type="spellEnd"/>
            <w:r w:rsidRPr="00750E0B">
              <w:rPr>
                <w:rFonts w:ascii="Arial Narrow" w:hAnsi="Arial Narrow"/>
              </w:rPr>
              <w:t xml:space="preserve">), a </w:t>
            </w:r>
            <w:proofErr w:type="spellStart"/>
            <w:r w:rsidRPr="00750E0B">
              <w:rPr>
                <w:rFonts w:ascii="Arial Narrow" w:hAnsi="Arial Narrow"/>
              </w:rPr>
              <w:t>dipeptidyl</w:t>
            </w:r>
            <w:proofErr w:type="spellEnd"/>
            <w:r w:rsidRPr="00750E0B">
              <w:rPr>
                <w:rFonts w:ascii="Arial Narrow" w:hAnsi="Arial Narrow"/>
              </w:rPr>
              <w:t xml:space="preserve"> peptidase 4 inhibitor (gliptin) or a glucagon-like peptide-1.</w:t>
            </w:r>
          </w:p>
        </w:tc>
      </w:tr>
    </w:tbl>
    <w:p w:rsidR="006D419C" w:rsidRPr="00596402" w:rsidRDefault="006D419C" w:rsidP="006D419C">
      <w:pPr>
        <w:jc w:val="both"/>
        <w:rPr>
          <w:rFonts w:ascii="Arial" w:hAnsi="Arial" w:cs="Arial"/>
        </w:rPr>
      </w:pPr>
    </w:p>
    <w:p w:rsidR="00003743" w:rsidRPr="00E13E1E" w:rsidRDefault="00EE66FC" w:rsidP="00EE66FC">
      <w:pPr>
        <w:pStyle w:val="ListParagraph"/>
        <w:numPr>
          <w:ilvl w:val="0"/>
          <w:numId w:val="3"/>
        </w:numPr>
        <w:rPr>
          <w:rStyle w:val="IntenseReference"/>
          <w:rFonts w:ascii="Arial" w:hAnsi="Arial" w:cs="Arial"/>
          <w:bCs w:val="0"/>
          <w:i w:val="0"/>
          <w:smallCaps w:val="0"/>
          <w:color w:val="auto"/>
          <w:spacing w:val="0"/>
          <w:sz w:val="22"/>
          <w:szCs w:val="22"/>
        </w:rPr>
      </w:pPr>
      <w:r w:rsidRPr="00E13E1E">
        <w:rPr>
          <w:rStyle w:val="IntenseReference"/>
          <w:rFonts w:ascii="Arial" w:hAnsi="Arial" w:cs="Arial"/>
          <w:bCs w:val="0"/>
          <w:i w:val="0"/>
          <w:smallCaps w:val="0"/>
          <w:color w:val="auto"/>
          <w:spacing w:val="0"/>
          <w:sz w:val="22"/>
          <w:szCs w:val="22"/>
        </w:rPr>
        <w:t xml:space="preserve">Context for decision </w:t>
      </w:r>
    </w:p>
    <w:p w:rsidR="00EE66FC" w:rsidRPr="00E13E1E" w:rsidRDefault="00EE66FC" w:rsidP="00EE66FC">
      <w:pPr>
        <w:pStyle w:val="ListParagraph"/>
        <w:rPr>
          <w:rStyle w:val="IntenseReference"/>
          <w:rFonts w:ascii="Arial" w:hAnsi="Arial" w:cs="Arial"/>
          <w:bCs w:val="0"/>
          <w:i w:val="0"/>
          <w:smallCaps w:val="0"/>
          <w:color w:val="auto"/>
          <w:spacing w:val="0"/>
          <w:sz w:val="22"/>
          <w:szCs w:val="22"/>
        </w:rPr>
      </w:pPr>
    </w:p>
    <w:p w:rsidR="00EE66FC" w:rsidRPr="00E13E1E" w:rsidRDefault="00EE66FC" w:rsidP="00EE66FC">
      <w:pPr>
        <w:pStyle w:val="ListParagraph"/>
        <w:rPr>
          <w:rStyle w:val="IntenseReference"/>
          <w:rFonts w:ascii="Arial" w:hAnsi="Arial" w:cs="Arial"/>
          <w:b w:val="0"/>
          <w:bCs w:val="0"/>
          <w:i w:val="0"/>
          <w:smallCaps w:val="0"/>
          <w:color w:val="auto"/>
          <w:spacing w:val="0"/>
          <w:sz w:val="22"/>
          <w:szCs w:val="22"/>
        </w:rPr>
      </w:pPr>
      <w:r w:rsidRPr="00E13E1E">
        <w:rPr>
          <w:rStyle w:val="IntenseReference"/>
          <w:rFonts w:ascii="Arial" w:hAnsi="Arial" w:cs="Arial"/>
          <w:b w:val="0"/>
          <w:bCs w:val="0"/>
          <w:i w:val="0"/>
          <w:smallCaps w:val="0"/>
          <w:color w:val="auto"/>
          <w:spacing w:val="0"/>
          <w:sz w:val="22"/>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 </w:t>
      </w:r>
    </w:p>
    <w:p w:rsidR="00EE66FC" w:rsidRPr="00E13E1E" w:rsidRDefault="00EE66FC" w:rsidP="00EE66FC">
      <w:pPr>
        <w:pStyle w:val="ListParagraph"/>
        <w:rPr>
          <w:rStyle w:val="IntenseReference"/>
          <w:rFonts w:ascii="Arial" w:hAnsi="Arial" w:cs="Arial"/>
          <w:b w:val="0"/>
          <w:bCs w:val="0"/>
          <w:i w:val="0"/>
          <w:smallCaps w:val="0"/>
          <w:color w:val="auto"/>
          <w:spacing w:val="0"/>
          <w:sz w:val="22"/>
          <w:szCs w:val="22"/>
        </w:rPr>
      </w:pPr>
    </w:p>
    <w:p w:rsidR="00EE66FC" w:rsidRDefault="00EE66FC" w:rsidP="00EE66FC">
      <w:pPr>
        <w:pStyle w:val="ListParagraph"/>
        <w:numPr>
          <w:ilvl w:val="0"/>
          <w:numId w:val="3"/>
        </w:numPr>
        <w:rPr>
          <w:rStyle w:val="IntenseReference"/>
          <w:rFonts w:ascii="Arial" w:hAnsi="Arial" w:cs="Arial"/>
          <w:bCs w:val="0"/>
          <w:i w:val="0"/>
          <w:smallCaps w:val="0"/>
          <w:color w:val="auto"/>
          <w:spacing w:val="0"/>
          <w:sz w:val="22"/>
          <w:szCs w:val="22"/>
        </w:rPr>
      </w:pPr>
      <w:r w:rsidRPr="00E13E1E">
        <w:rPr>
          <w:rStyle w:val="IntenseReference"/>
          <w:rFonts w:ascii="Arial" w:hAnsi="Arial" w:cs="Arial"/>
          <w:bCs w:val="0"/>
          <w:i w:val="0"/>
          <w:smallCaps w:val="0"/>
          <w:color w:val="auto"/>
          <w:spacing w:val="0"/>
          <w:sz w:val="22"/>
          <w:szCs w:val="22"/>
        </w:rPr>
        <w:t xml:space="preserve">Sponsor’s comment </w:t>
      </w:r>
    </w:p>
    <w:p w:rsidR="005250C0" w:rsidRDefault="005250C0" w:rsidP="005250C0">
      <w:pPr>
        <w:rPr>
          <w:rStyle w:val="IntenseReference"/>
          <w:rFonts w:ascii="Arial" w:hAnsi="Arial" w:cs="Arial"/>
          <w:bCs w:val="0"/>
          <w:i w:val="0"/>
          <w:smallCaps w:val="0"/>
          <w:color w:val="auto"/>
          <w:spacing w:val="0"/>
          <w:sz w:val="22"/>
          <w:szCs w:val="22"/>
        </w:rPr>
      </w:pPr>
    </w:p>
    <w:p w:rsidR="005250C0" w:rsidRPr="005250C0" w:rsidRDefault="005250C0" w:rsidP="005250C0">
      <w:pPr>
        <w:ind w:left="720"/>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The sponsor had no comment.</w:t>
      </w:r>
    </w:p>
    <w:p w:rsidR="00EE66FC" w:rsidRPr="00EE66FC" w:rsidRDefault="00EE66FC" w:rsidP="00EE66FC">
      <w:pPr>
        <w:pStyle w:val="ListParagraph"/>
        <w:rPr>
          <w:rStyle w:val="IntenseReference"/>
          <w:rFonts w:ascii="Arial" w:hAnsi="Arial" w:cs="Arial"/>
          <w:b w:val="0"/>
          <w:bCs w:val="0"/>
          <w:i w:val="0"/>
          <w:smallCaps w:val="0"/>
          <w:color w:val="auto"/>
          <w:spacing w:val="0"/>
        </w:rPr>
      </w:pPr>
    </w:p>
    <w:p w:rsidR="00EE66FC" w:rsidRPr="00EE66FC" w:rsidRDefault="00EE66FC" w:rsidP="00EE66FC">
      <w:pPr>
        <w:pStyle w:val="ListParagraph"/>
        <w:rPr>
          <w:rStyle w:val="IntenseReference"/>
          <w:rFonts w:ascii="Arial" w:hAnsi="Arial" w:cs="Arial"/>
          <w:b w:val="0"/>
          <w:bCs w:val="0"/>
          <w:i w:val="0"/>
          <w:smallCaps w:val="0"/>
          <w:color w:val="auto"/>
          <w:spacing w:val="0"/>
        </w:rPr>
      </w:pPr>
      <w:bookmarkStart w:id="3" w:name="_GoBack"/>
      <w:bookmarkEnd w:id="3"/>
    </w:p>
    <w:sectPr w:rsidR="00EE66FC" w:rsidRPr="00EE66FC" w:rsidSect="00BC53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A1B8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25" w:rsidRDefault="006F0225" w:rsidP="006D419C">
      <w:r>
        <w:separator/>
      </w:r>
    </w:p>
  </w:endnote>
  <w:endnote w:type="continuationSeparator" w:id="0">
    <w:p w:rsidR="006F0225" w:rsidRDefault="006F0225" w:rsidP="006D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25" w:rsidRDefault="006F0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29" w:rsidRDefault="00294C29" w:rsidP="00294C29">
    <w:pPr>
      <w:pStyle w:val="Footer"/>
      <w:jc w:val="center"/>
      <w:rPr>
        <w:rFonts w:ascii="Arial" w:hAnsi="Arial" w:cs="Arial"/>
        <w:sz w:val="22"/>
      </w:rPr>
    </w:pPr>
  </w:p>
  <w:p w:rsidR="006D419C" w:rsidRPr="00294C29" w:rsidRDefault="006D419C" w:rsidP="00294C29">
    <w:pPr>
      <w:pStyle w:val="Footer"/>
      <w:jc w:val="center"/>
      <w:rPr>
        <w:rFonts w:ascii="Arial" w:hAnsi="Arial" w:cs="Arial"/>
        <w:sz w:val="22"/>
      </w:rPr>
    </w:pPr>
    <w:r w:rsidRPr="00AF29EF">
      <w:rPr>
        <w:rFonts w:ascii="Arial" w:hAnsi="Arial" w:cs="Arial"/>
        <w:sz w:val="22"/>
      </w:rPr>
      <w:fldChar w:fldCharType="begin"/>
    </w:r>
    <w:r w:rsidRPr="00AF29EF">
      <w:rPr>
        <w:rFonts w:ascii="Arial" w:hAnsi="Arial" w:cs="Arial"/>
        <w:sz w:val="22"/>
      </w:rPr>
      <w:instrText xml:space="preserve"> PAGE   \* MERGEFORMAT </w:instrText>
    </w:r>
    <w:r w:rsidRPr="00AF29EF">
      <w:rPr>
        <w:rFonts w:ascii="Arial" w:hAnsi="Arial" w:cs="Arial"/>
        <w:sz w:val="22"/>
      </w:rPr>
      <w:fldChar w:fldCharType="separate"/>
    </w:r>
    <w:r w:rsidR="00533E15">
      <w:rPr>
        <w:rFonts w:ascii="Arial" w:hAnsi="Arial" w:cs="Arial"/>
        <w:noProof/>
        <w:sz w:val="22"/>
      </w:rPr>
      <w:t>9</w:t>
    </w:r>
    <w:r w:rsidRPr="00AF29EF">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25" w:rsidRDefault="006F0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25" w:rsidRDefault="006F0225" w:rsidP="006D419C">
      <w:r>
        <w:separator/>
      </w:r>
    </w:p>
  </w:footnote>
  <w:footnote w:type="continuationSeparator" w:id="0">
    <w:p w:rsidR="006F0225" w:rsidRDefault="006F0225" w:rsidP="006D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25" w:rsidRDefault="006F0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9C" w:rsidRPr="00DF217D" w:rsidRDefault="00EE66FC" w:rsidP="006D419C">
    <w:pPr>
      <w:pStyle w:val="Header"/>
      <w:jc w:val="center"/>
      <w:rPr>
        <w:rFonts w:ascii="Arial" w:hAnsi="Arial" w:cs="Arial"/>
        <w:i/>
        <w:color w:val="808080"/>
        <w:sz w:val="22"/>
      </w:rPr>
    </w:pPr>
    <w:r>
      <w:rPr>
        <w:rFonts w:ascii="Arial" w:hAnsi="Arial" w:cs="Arial"/>
        <w:i/>
        <w:color w:val="808080"/>
        <w:sz w:val="22"/>
      </w:rPr>
      <w:t>Public Summary Document</w:t>
    </w:r>
    <w:r w:rsidR="006D419C" w:rsidRPr="00DF217D">
      <w:rPr>
        <w:rFonts w:ascii="Arial" w:hAnsi="Arial" w:cs="Arial"/>
        <w:i/>
        <w:color w:val="808080"/>
        <w:sz w:val="22"/>
      </w:rPr>
      <w:t xml:space="preserve"> – </w:t>
    </w:r>
    <w:r w:rsidR="006D419C">
      <w:rPr>
        <w:rFonts w:ascii="Arial" w:hAnsi="Arial" w:cs="Arial"/>
        <w:i/>
        <w:color w:val="808080"/>
        <w:sz w:val="22"/>
      </w:rPr>
      <w:t xml:space="preserve">July 2015 </w:t>
    </w:r>
    <w:r w:rsidR="006D419C" w:rsidRPr="00DF217D">
      <w:rPr>
        <w:rFonts w:ascii="Arial" w:hAnsi="Arial" w:cs="Arial"/>
        <w:i/>
        <w:color w:val="808080"/>
        <w:sz w:val="22"/>
      </w:rPr>
      <w:t>PBAC</w:t>
    </w:r>
    <w:r w:rsidR="006D419C">
      <w:rPr>
        <w:rFonts w:ascii="Arial" w:hAnsi="Arial" w:cs="Arial"/>
        <w:i/>
        <w:color w:val="808080"/>
        <w:sz w:val="22"/>
      </w:rPr>
      <w:t xml:space="preserve"> </w:t>
    </w:r>
    <w:r w:rsidR="006D419C" w:rsidRPr="00DF217D">
      <w:rPr>
        <w:rFonts w:ascii="Arial" w:hAnsi="Arial" w:cs="Arial"/>
        <w:i/>
        <w:color w:val="808080"/>
        <w:sz w:val="22"/>
      </w:rPr>
      <w:t>Meeting</w:t>
    </w:r>
  </w:p>
  <w:p w:rsidR="006D419C" w:rsidRDefault="006D41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25" w:rsidRDefault="006F0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84D033C"/>
    <w:multiLevelType w:val="multilevel"/>
    <w:tmpl w:val="ECBEF4AA"/>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9C"/>
    <w:rsid w:val="00003743"/>
    <w:rsid w:val="00026877"/>
    <w:rsid w:val="00067456"/>
    <w:rsid w:val="00077828"/>
    <w:rsid w:val="0010471A"/>
    <w:rsid w:val="001B3443"/>
    <w:rsid w:val="00263258"/>
    <w:rsid w:val="00294C29"/>
    <w:rsid w:val="0030786C"/>
    <w:rsid w:val="0039421A"/>
    <w:rsid w:val="003D17F9"/>
    <w:rsid w:val="004867E2"/>
    <w:rsid w:val="005250C0"/>
    <w:rsid w:val="00533E15"/>
    <w:rsid w:val="005D4294"/>
    <w:rsid w:val="006311A5"/>
    <w:rsid w:val="00640832"/>
    <w:rsid w:val="006D419C"/>
    <w:rsid w:val="006F0225"/>
    <w:rsid w:val="00713E28"/>
    <w:rsid w:val="0073017B"/>
    <w:rsid w:val="007313BF"/>
    <w:rsid w:val="00750E0B"/>
    <w:rsid w:val="007A08FB"/>
    <w:rsid w:val="007C0516"/>
    <w:rsid w:val="00813BD5"/>
    <w:rsid w:val="0082025C"/>
    <w:rsid w:val="008264EB"/>
    <w:rsid w:val="00946E23"/>
    <w:rsid w:val="00961901"/>
    <w:rsid w:val="00A10DBF"/>
    <w:rsid w:val="00A4512D"/>
    <w:rsid w:val="00A705AF"/>
    <w:rsid w:val="00A81A3E"/>
    <w:rsid w:val="00A905A4"/>
    <w:rsid w:val="00AA2625"/>
    <w:rsid w:val="00AB12DB"/>
    <w:rsid w:val="00B305F5"/>
    <w:rsid w:val="00B4161D"/>
    <w:rsid w:val="00B42851"/>
    <w:rsid w:val="00BC5302"/>
    <w:rsid w:val="00C06DA3"/>
    <w:rsid w:val="00C26602"/>
    <w:rsid w:val="00C308C2"/>
    <w:rsid w:val="00C76156"/>
    <w:rsid w:val="00CB5B1A"/>
    <w:rsid w:val="00D451C3"/>
    <w:rsid w:val="00E13E1E"/>
    <w:rsid w:val="00E242EB"/>
    <w:rsid w:val="00E35615"/>
    <w:rsid w:val="00E84213"/>
    <w:rsid w:val="00EA6332"/>
    <w:rsid w:val="00EE6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rsid w:val="006D419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6D419C"/>
    <w:rPr>
      <w:sz w:val="24"/>
      <w:szCs w:val="24"/>
      <w:lang w:eastAsia="en-US"/>
    </w:rPr>
  </w:style>
  <w:style w:type="paragraph" w:styleId="Footer">
    <w:name w:val="footer"/>
    <w:basedOn w:val="Normal"/>
    <w:link w:val="FooterChar"/>
    <w:uiPriority w:val="99"/>
    <w:rsid w:val="006D419C"/>
    <w:pPr>
      <w:tabs>
        <w:tab w:val="center" w:pos="4513"/>
        <w:tab w:val="right" w:pos="9026"/>
      </w:tabs>
    </w:pPr>
  </w:style>
  <w:style w:type="character" w:customStyle="1" w:styleId="FooterChar">
    <w:name w:val="Footer Char"/>
    <w:basedOn w:val="DefaultParagraphFont"/>
    <w:link w:val="Footer"/>
    <w:uiPriority w:val="99"/>
    <w:rsid w:val="006D419C"/>
    <w:rPr>
      <w:sz w:val="24"/>
      <w:szCs w:val="24"/>
      <w:lang w:eastAsia="en-US"/>
    </w:rPr>
  </w:style>
  <w:style w:type="paragraph" w:styleId="Caption">
    <w:name w:val="caption"/>
    <w:aliases w:val="Bayer Caption,IB Caption,Medical Caption,CSR Caption"/>
    <w:basedOn w:val="Normal"/>
    <w:next w:val="Normal"/>
    <w:link w:val="CaptionChar"/>
    <w:uiPriority w:val="35"/>
    <w:qFormat/>
    <w:rsid w:val="006D419C"/>
    <w:pPr>
      <w:spacing w:after="200"/>
      <w:jc w:val="both"/>
    </w:pPr>
    <w:rPr>
      <w:rFonts w:ascii="Candara" w:hAnsi="Candara"/>
      <w:b/>
      <w:bCs/>
      <w:szCs w:val="18"/>
      <w:lang w:val="en-US" w:bidi="en-US"/>
    </w:rPr>
  </w:style>
  <w:style w:type="character" w:customStyle="1" w:styleId="CaptionChar">
    <w:name w:val="Caption Char"/>
    <w:aliases w:val="Bayer Caption Char,IB Caption Char,Medical Caption Char,CSR Caption Char"/>
    <w:link w:val="Caption"/>
    <w:uiPriority w:val="35"/>
    <w:rsid w:val="006D419C"/>
    <w:rPr>
      <w:rFonts w:ascii="Candara" w:hAnsi="Candara"/>
      <w:b/>
      <w:bCs/>
      <w:sz w:val="24"/>
      <w:szCs w:val="18"/>
      <w:lang w:val="en-US" w:eastAsia="en-US" w:bidi="en-US"/>
    </w:rPr>
  </w:style>
  <w:style w:type="paragraph" w:customStyle="1" w:styleId="TableText">
    <w:name w:val="Table Text"/>
    <w:basedOn w:val="Normal"/>
    <w:link w:val="TableTextChar"/>
    <w:qFormat/>
    <w:rsid w:val="006D419C"/>
    <w:pPr>
      <w:spacing w:line="360" w:lineRule="auto"/>
    </w:pPr>
    <w:rPr>
      <w:rFonts w:ascii="Arial" w:eastAsia="SimSun" w:hAnsi="Arial"/>
      <w:sz w:val="20"/>
      <w:szCs w:val="20"/>
      <w:lang w:val="x-none" w:eastAsia="zh-CN"/>
    </w:rPr>
  </w:style>
  <w:style w:type="character" w:customStyle="1" w:styleId="TableTextChar">
    <w:name w:val="Table Text Char"/>
    <w:link w:val="TableText"/>
    <w:rsid w:val="006D419C"/>
    <w:rPr>
      <w:rFonts w:ascii="Arial" w:eastAsia="SimSun" w:hAnsi="Arial"/>
      <w:lang w:val="x-none" w:eastAsia="zh-CN"/>
    </w:rPr>
  </w:style>
  <w:style w:type="character" w:customStyle="1" w:styleId="ListParagraphChar">
    <w:name w:val="List Paragraph Char"/>
    <w:link w:val="ListParagraph"/>
    <w:uiPriority w:val="72"/>
    <w:rsid w:val="006D419C"/>
    <w:rPr>
      <w:sz w:val="24"/>
      <w:szCs w:val="24"/>
      <w:lang w:eastAsia="en-US"/>
    </w:rPr>
  </w:style>
  <w:style w:type="table" w:styleId="TableGrid">
    <w:name w:val="Table Grid"/>
    <w:basedOn w:val="TableNormal"/>
    <w:uiPriority w:val="59"/>
    <w:rsid w:val="006D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D419C"/>
    <w:pPr>
      <w:spacing w:line="276" w:lineRule="auto"/>
    </w:pPr>
    <w:rPr>
      <w:rFonts w:ascii="Arial" w:hAnsi="Arial"/>
      <w:sz w:val="18"/>
      <w:szCs w:val="22"/>
      <w:lang w:bidi="en-US"/>
    </w:rPr>
  </w:style>
  <w:style w:type="character" w:customStyle="1" w:styleId="TableChar">
    <w:name w:val="Table Char"/>
    <w:link w:val="Table"/>
    <w:locked/>
    <w:rsid w:val="006D419C"/>
    <w:rPr>
      <w:rFonts w:ascii="Arial" w:hAnsi="Arial"/>
      <w:sz w:val="18"/>
      <w:szCs w:val="22"/>
      <w:lang w:eastAsia="en-US" w:bidi="en-US"/>
    </w:rPr>
  </w:style>
  <w:style w:type="paragraph" w:customStyle="1" w:styleId="TableCentre">
    <w:name w:val="Table Centre"/>
    <w:basedOn w:val="Table"/>
    <w:qFormat/>
    <w:rsid w:val="006D419C"/>
    <w:pPr>
      <w:spacing w:line="240" w:lineRule="auto"/>
      <w:jc w:val="center"/>
    </w:pPr>
    <w:rPr>
      <w:rFonts w:ascii="Candara" w:eastAsiaTheme="majorEastAsia" w:hAnsi="Candara" w:cstheme="majorBidi"/>
      <w:sz w:val="20"/>
    </w:rPr>
  </w:style>
  <w:style w:type="paragraph" w:customStyle="1" w:styleId="TableRight">
    <w:name w:val="Table Right"/>
    <w:basedOn w:val="Table"/>
    <w:next w:val="Table"/>
    <w:qFormat/>
    <w:rsid w:val="006D419C"/>
    <w:pPr>
      <w:spacing w:line="240" w:lineRule="auto"/>
      <w:jc w:val="right"/>
    </w:pPr>
    <w:rPr>
      <w:rFonts w:ascii="Candara" w:eastAsiaTheme="majorEastAsia" w:hAnsi="Candara" w:cstheme="majorBidi"/>
      <w:sz w:val="20"/>
    </w:rPr>
  </w:style>
  <w:style w:type="character" w:customStyle="1" w:styleId="apple-converted-space">
    <w:name w:val="apple-converted-space"/>
    <w:basedOn w:val="DefaultParagraphFont"/>
    <w:rsid w:val="006D419C"/>
  </w:style>
  <w:style w:type="paragraph" w:styleId="BalloonText">
    <w:name w:val="Balloon Text"/>
    <w:basedOn w:val="Normal"/>
    <w:link w:val="BalloonTextChar"/>
    <w:rsid w:val="0039421A"/>
    <w:rPr>
      <w:rFonts w:ascii="Tahoma" w:hAnsi="Tahoma" w:cs="Tahoma"/>
      <w:sz w:val="16"/>
      <w:szCs w:val="16"/>
    </w:rPr>
  </w:style>
  <w:style w:type="character" w:customStyle="1" w:styleId="BalloonTextChar">
    <w:name w:val="Balloon Text Char"/>
    <w:basedOn w:val="DefaultParagraphFont"/>
    <w:link w:val="BalloonText"/>
    <w:rsid w:val="0039421A"/>
    <w:rPr>
      <w:rFonts w:ascii="Tahoma" w:hAnsi="Tahoma" w:cs="Tahoma"/>
      <w:sz w:val="16"/>
      <w:szCs w:val="16"/>
      <w:lang w:eastAsia="en-US"/>
    </w:rPr>
  </w:style>
  <w:style w:type="character" w:styleId="CommentReference">
    <w:name w:val="annotation reference"/>
    <w:basedOn w:val="DefaultParagraphFont"/>
    <w:rsid w:val="00E84213"/>
    <w:rPr>
      <w:sz w:val="16"/>
      <w:szCs w:val="16"/>
    </w:rPr>
  </w:style>
  <w:style w:type="paragraph" w:styleId="CommentText">
    <w:name w:val="annotation text"/>
    <w:basedOn w:val="Normal"/>
    <w:link w:val="CommentTextChar"/>
    <w:rsid w:val="00E84213"/>
    <w:rPr>
      <w:sz w:val="20"/>
      <w:szCs w:val="20"/>
    </w:rPr>
  </w:style>
  <w:style w:type="character" w:customStyle="1" w:styleId="CommentTextChar">
    <w:name w:val="Comment Text Char"/>
    <w:basedOn w:val="DefaultParagraphFont"/>
    <w:link w:val="CommentText"/>
    <w:rsid w:val="00E84213"/>
    <w:rPr>
      <w:lang w:eastAsia="en-US"/>
    </w:rPr>
  </w:style>
  <w:style w:type="paragraph" w:styleId="CommentSubject">
    <w:name w:val="annotation subject"/>
    <w:basedOn w:val="CommentText"/>
    <w:next w:val="CommentText"/>
    <w:link w:val="CommentSubjectChar"/>
    <w:rsid w:val="00E84213"/>
    <w:rPr>
      <w:b/>
      <w:bCs/>
    </w:rPr>
  </w:style>
  <w:style w:type="character" w:customStyle="1" w:styleId="CommentSubjectChar">
    <w:name w:val="Comment Subject Char"/>
    <w:basedOn w:val="CommentTextChar"/>
    <w:link w:val="CommentSubject"/>
    <w:rsid w:val="00E84213"/>
    <w:rPr>
      <w:b/>
      <w:bCs/>
      <w:lang w:eastAsia="en-US"/>
    </w:rPr>
  </w:style>
  <w:style w:type="paragraph" w:customStyle="1" w:styleId="PBACHeading1">
    <w:name w:val="PBAC Heading 1"/>
    <w:qFormat/>
    <w:rsid w:val="0010471A"/>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rsid w:val="006D419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6D419C"/>
    <w:rPr>
      <w:sz w:val="24"/>
      <w:szCs w:val="24"/>
      <w:lang w:eastAsia="en-US"/>
    </w:rPr>
  </w:style>
  <w:style w:type="paragraph" w:styleId="Footer">
    <w:name w:val="footer"/>
    <w:basedOn w:val="Normal"/>
    <w:link w:val="FooterChar"/>
    <w:uiPriority w:val="99"/>
    <w:rsid w:val="006D419C"/>
    <w:pPr>
      <w:tabs>
        <w:tab w:val="center" w:pos="4513"/>
        <w:tab w:val="right" w:pos="9026"/>
      </w:tabs>
    </w:pPr>
  </w:style>
  <w:style w:type="character" w:customStyle="1" w:styleId="FooterChar">
    <w:name w:val="Footer Char"/>
    <w:basedOn w:val="DefaultParagraphFont"/>
    <w:link w:val="Footer"/>
    <w:uiPriority w:val="99"/>
    <w:rsid w:val="006D419C"/>
    <w:rPr>
      <w:sz w:val="24"/>
      <w:szCs w:val="24"/>
      <w:lang w:eastAsia="en-US"/>
    </w:rPr>
  </w:style>
  <w:style w:type="paragraph" w:styleId="Caption">
    <w:name w:val="caption"/>
    <w:aliases w:val="Bayer Caption,IB Caption,Medical Caption,CSR Caption"/>
    <w:basedOn w:val="Normal"/>
    <w:next w:val="Normal"/>
    <w:link w:val="CaptionChar"/>
    <w:uiPriority w:val="35"/>
    <w:qFormat/>
    <w:rsid w:val="006D419C"/>
    <w:pPr>
      <w:spacing w:after="200"/>
      <w:jc w:val="both"/>
    </w:pPr>
    <w:rPr>
      <w:rFonts w:ascii="Candara" w:hAnsi="Candara"/>
      <w:b/>
      <w:bCs/>
      <w:szCs w:val="18"/>
      <w:lang w:val="en-US" w:bidi="en-US"/>
    </w:rPr>
  </w:style>
  <w:style w:type="character" w:customStyle="1" w:styleId="CaptionChar">
    <w:name w:val="Caption Char"/>
    <w:aliases w:val="Bayer Caption Char,IB Caption Char,Medical Caption Char,CSR Caption Char"/>
    <w:link w:val="Caption"/>
    <w:uiPriority w:val="35"/>
    <w:rsid w:val="006D419C"/>
    <w:rPr>
      <w:rFonts w:ascii="Candara" w:hAnsi="Candara"/>
      <w:b/>
      <w:bCs/>
      <w:sz w:val="24"/>
      <w:szCs w:val="18"/>
      <w:lang w:val="en-US" w:eastAsia="en-US" w:bidi="en-US"/>
    </w:rPr>
  </w:style>
  <w:style w:type="paragraph" w:customStyle="1" w:styleId="TableText">
    <w:name w:val="Table Text"/>
    <w:basedOn w:val="Normal"/>
    <w:link w:val="TableTextChar"/>
    <w:qFormat/>
    <w:rsid w:val="006D419C"/>
    <w:pPr>
      <w:spacing w:line="360" w:lineRule="auto"/>
    </w:pPr>
    <w:rPr>
      <w:rFonts w:ascii="Arial" w:eastAsia="SimSun" w:hAnsi="Arial"/>
      <w:sz w:val="20"/>
      <w:szCs w:val="20"/>
      <w:lang w:val="x-none" w:eastAsia="zh-CN"/>
    </w:rPr>
  </w:style>
  <w:style w:type="character" w:customStyle="1" w:styleId="TableTextChar">
    <w:name w:val="Table Text Char"/>
    <w:link w:val="TableText"/>
    <w:rsid w:val="006D419C"/>
    <w:rPr>
      <w:rFonts w:ascii="Arial" w:eastAsia="SimSun" w:hAnsi="Arial"/>
      <w:lang w:val="x-none" w:eastAsia="zh-CN"/>
    </w:rPr>
  </w:style>
  <w:style w:type="character" w:customStyle="1" w:styleId="ListParagraphChar">
    <w:name w:val="List Paragraph Char"/>
    <w:link w:val="ListParagraph"/>
    <w:uiPriority w:val="72"/>
    <w:rsid w:val="006D419C"/>
    <w:rPr>
      <w:sz w:val="24"/>
      <w:szCs w:val="24"/>
      <w:lang w:eastAsia="en-US"/>
    </w:rPr>
  </w:style>
  <w:style w:type="table" w:styleId="TableGrid">
    <w:name w:val="Table Grid"/>
    <w:basedOn w:val="TableNormal"/>
    <w:uiPriority w:val="59"/>
    <w:rsid w:val="006D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D419C"/>
    <w:pPr>
      <w:spacing w:line="276" w:lineRule="auto"/>
    </w:pPr>
    <w:rPr>
      <w:rFonts w:ascii="Arial" w:hAnsi="Arial"/>
      <w:sz w:val="18"/>
      <w:szCs w:val="22"/>
      <w:lang w:bidi="en-US"/>
    </w:rPr>
  </w:style>
  <w:style w:type="character" w:customStyle="1" w:styleId="TableChar">
    <w:name w:val="Table Char"/>
    <w:link w:val="Table"/>
    <w:locked/>
    <w:rsid w:val="006D419C"/>
    <w:rPr>
      <w:rFonts w:ascii="Arial" w:hAnsi="Arial"/>
      <w:sz w:val="18"/>
      <w:szCs w:val="22"/>
      <w:lang w:eastAsia="en-US" w:bidi="en-US"/>
    </w:rPr>
  </w:style>
  <w:style w:type="paragraph" w:customStyle="1" w:styleId="TableCentre">
    <w:name w:val="Table Centre"/>
    <w:basedOn w:val="Table"/>
    <w:qFormat/>
    <w:rsid w:val="006D419C"/>
    <w:pPr>
      <w:spacing w:line="240" w:lineRule="auto"/>
      <w:jc w:val="center"/>
    </w:pPr>
    <w:rPr>
      <w:rFonts w:ascii="Candara" w:eastAsiaTheme="majorEastAsia" w:hAnsi="Candara" w:cstheme="majorBidi"/>
      <w:sz w:val="20"/>
    </w:rPr>
  </w:style>
  <w:style w:type="paragraph" w:customStyle="1" w:styleId="TableRight">
    <w:name w:val="Table Right"/>
    <w:basedOn w:val="Table"/>
    <w:next w:val="Table"/>
    <w:qFormat/>
    <w:rsid w:val="006D419C"/>
    <w:pPr>
      <w:spacing w:line="240" w:lineRule="auto"/>
      <w:jc w:val="right"/>
    </w:pPr>
    <w:rPr>
      <w:rFonts w:ascii="Candara" w:eastAsiaTheme="majorEastAsia" w:hAnsi="Candara" w:cstheme="majorBidi"/>
      <w:sz w:val="20"/>
    </w:rPr>
  </w:style>
  <w:style w:type="character" w:customStyle="1" w:styleId="apple-converted-space">
    <w:name w:val="apple-converted-space"/>
    <w:basedOn w:val="DefaultParagraphFont"/>
    <w:rsid w:val="006D419C"/>
  </w:style>
  <w:style w:type="paragraph" w:styleId="BalloonText">
    <w:name w:val="Balloon Text"/>
    <w:basedOn w:val="Normal"/>
    <w:link w:val="BalloonTextChar"/>
    <w:rsid w:val="0039421A"/>
    <w:rPr>
      <w:rFonts w:ascii="Tahoma" w:hAnsi="Tahoma" w:cs="Tahoma"/>
      <w:sz w:val="16"/>
      <w:szCs w:val="16"/>
    </w:rPr>
  </w:style>
  <w:style w:type="character" w:customStyle="1" w:styleId="BalloonTextChar">
    <w:name w:val="Balloon Text Char"/>
    <w:basedOn w:val="DefaultParagraphFont"/>
    <w:link w:val="BalloonText"/>
    <w:rsid w:val="0039421A"/>
    <w:rPr>
      <w:rFonts w:ascii="Tahoma" w:hAnsi="Tahoma" w:cs="Tahoma"/>
      <w:sz w:val="16"/>
      <w:szCs w:val="16"/>
      <w:lang w:eastAsia="en-US"/>
    </w:rPr>
  </w:style>
  <w:style w:type="character" w:styleId="CommentReference">
    <w:name w:val="annotation reference"/>
    <w:basedOn w:val="DefaultParagraphFont"/>
    <w:rsid w:val="00E84213"/>
    <w:rPr>
      <w:sz w:val="16"/>
      <w:szCs w:val="16"/>
    </w:rPr>
  </w:style>
  <w:style w:type="paragraph" w:styleId="CommentText">
    <w:name w:val="annotation text"/>
    <w:basedOn w:val="Normal"/>
    <w:link w:val="CommentTextChar"/>
    <w:rsid w:val="00E84213"/>
    <w:rPr>
      <w:sz w:val="20"/>
      <w:szCs w:val="20"/>
    </w:rPr>
  </w:style>
  <w:style w:type="character" w:customStyle="1" w:styleId="CommentTextChar">
    <w:name w:val="Comment Text Char"/>
    <w:basedOn w:val="DefaultParagraphFont"/>
    <w:link w:val="CommentText"/>
    <w:rsid w:val="00E84213"/>
    <w:rPr>
      <w:lang w:eastAsia="en-US"/>
    </w:rPr>
  </w:style>
  <w:style w:type="paragraph" w:styleId="CommentSubject">
    <w:name w:val="annotation subject"/>
    <w:basedOn w:val="CommentText"/>
    <w:next w:val="CommentText"/>
    <w:link w:val="CommentSubjectChar"/>
    <w:rsid w:val="00E84213"/>
    <w:rPr>
      <w:b/>
      <w:bCs/>
    </w:rPr>
  </w:style>
  <w:style w:type="character" w:customStyle="1" w:styleId="CommentSubjectChar">
    <w:name w:val="Comment Subject Char"/>
    <w:basedOn w:val="CommentTextChar"/>
    <w:link w:val="CommentSubject"/>
    <w:rsid w:val="00E84213"/>
    <w:rPr>
      <w:b/>
      <w:bCs/>
      <w:lang w:eastAsia="en-US"/>
    </w:rPr>
  </w:style>
  <w:style w:type="paragraph" w:customStyle="1" w:styleId="PBACHeading1">
    <w:name w:val="PBAC Heading 1"/>
    <w:qFormat/>
    <w:rsid w:val="0010471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6F4F-E04B-4033-B1E7-70B3DB5F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2529</Words>
  <Characters>15348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2015-10-16T05:21:00Z</dcterms:created>
  <dcterms:modified xsi:type="dcterms:W3CDTF">2015-10-22T22:08:00Z</dcterms:modified>
</cp:coreProperties>
</file>