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64" w:rsidRDefault="000918C5" w:rsidP="007473B7">
      <w:pPr>
        <w:pStyle w:val="Heading1"/>
        <w:widowControl/>
        <w:rPr>
          <w:sz w:val="28"/>
        </w:rPr>
      </w:pPr>
      <w:bookmarkStart w:id="0" w:name="_Toc419464741"/>
      <w:r>
        <w:rPr>
          <w:sz w:val="28"/>
        </w:rPr>
        <w:t>5.03</w:t>
      </w:r>
      <w:r w:rsidR="00B60939" w:rsidRPr="00207D00">
        <w:rPr>
          <w:sz w:val="28"/>
        </w:rPr>
        <w:tab/>
      </w:r>
      <w:r>
        <w:rPr>
          <w:sz w:val="28"/>
        </w:rPr>
        <w:t>Carglumic acid</w:t>
      </w:r>
    </w:p>
    <w:p w:rsidR="00767464" w:rsidRDefault="000918C5" w:rsidP="007473B7">
      <w:pPr>
        <w:pStyle w:val="Heading1"/>
        <w:widowControl/>
        <w:ind w:firstLine="0"/>
        <w:rPr>
          <w:caps w:val="0"/>
          <w:sz w:val="28"/>
        </w:rPr>
      </w:pPr>
      <w:r>
        <w:rPr>
          <w:caps w:val="0"/>
          <w:sz w:val="28"/>
        </w:rPr>
        <w:t>200</w:t>
      </w:r>
      <w:r w:rsidR="00767464">
        <w:rPr>
          <w:caps w:val="0"/>
          <w:sz w:val="28"/>
        </w:rPr>
        <w:t xml:space="preserve"> </w:t>
      </w:r>
      <w:r>
        <w:rPr>
          <w:caps w:val="0"/>
          <w:sz w:val="28"/>
        </w:rPr>
        <w:t>mg</w:t>
      </w:r>
      <w:r w:rsidR="00767464">
        <w:rPr>
          <w:caps w:val="0"/>
          <w:sz w:val="28"/>
        </w:rPr>
        <w:t xml:space="preserve"> tablet, 5</w:t>
      </w:r>
    </w:p>
    <w:p w:rsidR="00767464" w:rsidRPr="00767464" w:rsidRDefault="00767464" w:rsidP="007473B7">
      <w:pPr>
        <w:pStyle w:val="Heading1"/>
        <w:widowControl/>
        <w:ind w:firstLine="0"/>
        <w:rPr>
          <w:sz w:val="28"/>
        </w:rPr>
      </w:pPr>
      <w:r>
        <w:rPr>
          <w:caps w:val="0"/>
          <w:sz w:val="28"/>
        </w:rPr>
        <w:t>200 mg tablet, 20</w:t>
      </w:r>
    </w:p>
    <w:p w:rsidR="00767464" w:rsidRDefault="000918C5" w:rsidP="007473B7">
      <w:pPr>
        <w:pStyle w:val="Heading1"/>
        <w:widowControl/>
        <w:ind w:firstLine="0"/>
        <w:rPr>
          <w:sz w:val="28"/>
        </w:rPr>
      </w:pPr>
      <w:r>
        <w:rPr>
          <w:caps w:val="0"/>
          <w:sz w:val="28"/>
        </w:rPr>
        <w:t>Carbaglu</w:t>
      </w:r>
      <w:r w:rsidR="00B60939" w:rsidRPr="00207D00">
        <w:rPr>
          <w:sz w:val="28"/>
          <w:vertAlign w:val="superscript"/>
        </w:rPr>
        <w:t>®</w:t>
      </w:r>
      <w:bookmarkStart w:id="1" w:name="_GoBack"/>
      <w:bookmarkEnd w:id="1"/>
    </w:p>
    <w:p w:rsidR="00433044" w:rsidRPr="0018787D" w:rsidRDefault="000918C5" w:rsidP="007473B7">
      <w:pPr>
        <w:pStyle w:val="Heading1"/>
        <w:widowControl/>
        <w:ind w:firstLine="0"/>
        <w:rPr>
          <w:sz w:val="28"/>
        </w:rPr>
      </w:pPr>
      <w:r>
        <w:rPr>
          <w:caps w:val="0"/>
          <w:sz w:val="28"/>
        </w:rPr>
        <w:t>Emerge Health</w:t>
      </w:r>
      <w:bookmarkEnd w:id="0"/>
    </w:p>
    <w:p w:rsidR="00B60939" w:rsidRDefault="00B60939" w:rsidP="007473B7">
      <w:pPr>
        <w:widowControl/>
      </w:pPr>
    </w:p>
    <w:p w:rsidR="00B50DB8" w:rsidRPr="00407F2D" w:rsidRDefault="00B50DB8" w:rsidP="007473B7">
      <w:pPr>
        <w:pStyle w:val="PBACHeading1"/>
        <w:keepNext/>
      </w:pPr>
      <w:bookmarkStart w:id="2" w:name="_Toc419464743"/>
      <w:r w:rsidRPr="00407F2D">
        <w:t>Purpose of Application</w:t>
      </w:r>
      <w:bookmarkEnd w:id="2"/>
    </w:p>
    <w:p w:rsidR="00B60939" w:rsidRPr="00882085" w:rsidRDefault="00B60939" w:rsidP="007473B7">
      <w:pPr>
        <w:keepNext/>
        <w:widowControl/>
        <w:rPr>
          <w:szCs w:val="22"/>
        </w:rPr>
      </w:pPr>
    </w:p>
    <w:p w:rsidR="00C4711C" w:rsidRDefault="00E33034" w:rsidP="007473B7">
      <w:pPr>
        <w:pStyle w:val="ListParagraph"/>
        <w:widowControl/>
        <w:numPr>
          <w:ilvl w:val="1"/>
          <w:numId w:val="3"/>
        </w:numPr>
      </w:pPr>
      <w:r>
        <w:t xml:space="preserve">To request </w:t>
      </w:r>
      <w:r w:rsidR="001E238E" w:rsidRPr="004B3DDB">
        <w:t>Author</w:t>
      </w:r>
      <w:r w:rsidR="00215011">
        <w:t xml:space="preserve">ity Required listing for </w:t>
      </w:r>
      <w:r w:rsidR="00C37191">
        <w:t>carglumic acid</w:t>
      </w:r>
      <w:r w:rsidR="001E238E" w:rsidRPr="004B3DDB">
        <w:t xml:space="preserve"> for tre</w:t>
      </w:r>
      <w:r w:rsidR="00215011">
        <w:t xml:space="preserve">atment of </w:t>
      </w:r>
      <w:r w:rsidR="0023736A">
        <w:t xml:space="preserve">acute </w:t>
      </w:r>
      <w:r w:rsidR="00C475D7">
        <w:t xml:space="preserve">hyperammonaemia due to organic acidaemias </w:t>
      </w:r>
      <w:r w:rsidR="00230AEB">
        <w:t xml:space="preserve">- </w:t>
      </w:r>
      <w:r w:rsidR="00C475D7" w:rsidRPr="004C66AB">
        <w:rPr>
          <w:rFonts w:asciiTheme="minorBidi" w:hAnsiTheme="minorBidi" w:cstheme="minorBidi"/>
          <w:snapToGrid/>
          <w:szCs w:val="22"/>
        </w:rPr>
        <w:t>isovaleric acidaemia</w:t>
      </w:r>
      <w:r w:rsidR="00215011">
        <w:rPr>
          <w:rFonts w:asciiTheme="minorBidi" w:hAnsiTheme="minorBidi" w:cstheme="minorBidi"/>
          <w:snapToGrid/>
          <w:szCs w:val="22"/>
        </w:rPr>
        <w:t xml:space="preserve"> (IVA)</w:t>
      </w:r>
      <w:r w:rsidR="00C475D7">
        <w:rPr>
          <w:rFonts w:asciiTheme="minorBidi" w:hAnsiTheme="minorBidi" w:cstheme="minorBidi"/>
          <w:snapToGrid/>
          <w:szCs w:val="22"/>
        </w:rPr>
        <w:t xml:space="preserve">, </w:t>
      </w:r>
      <w:r w:rsidR="00C475D7" w:rsidRPr="004C66AB">
        <w:rPr>
          <w:rFonts w:asciiTheme="minorBidi" w:hAnsiTheme="minorBidi" w:cstheme="minorBidi"/>
          <w:snapToGrid/>
          <w:szCs w:val="22"/>
        </w:rPr>
        <w:t>methylmalonic acidaemia</w:t>
      </w:r>
      <w:r w:rsidR="00215011">
        <w:rPr>
          <w:rFonts w:asciiTheme="minorBidi" w:hAnsiTheme="minorBidi" w:cstheme="minorBidi"/>
          <w:snapToGrid/>
          <w:szCs w:val="22"/>
        </w:rPr>
        <w:t xml:space="preserve"> (MMA)</w:t>
      </w:r>
      <w:r w:rsidR="00C475D7">
        <w:rPr>
          <w:rFonts w:asciiTheme="minorBidi" w:hAnsiTheme="minorBidi" w:cstheme="minorBidi"/>
          <w:snapToGrid/>
          <w:szCs w:val="22"/>
        </w:rPr>
        <w:t xml:space="preserve"> and </w:t>
      </w:r>
      <w:r w:rsidR="00C475D7" w:rsidRPr="00C475D7">
        <w:rPr>
          <w:rFonts w:asciiTheme="minorBidi" w:hAnsiTheme="minorBidi" w:cstheme="minorBidi"/>
          <w:snapToGrid/>
          <w:szCs w:val="22"/>
        </w:rPr>
        <w:t>propionic acidaemia</w:t>
      </w:r>
      <w:r w:rsidR="00215011">
        <w:rPr>
          <w:rFonts w:asciiTheme="minorBidi" w:hAnsiTheme="minorBidi" w:cstheme="minorBidi"/>
          <w:snapToGrid/>
          <w:szCs w:val="22"/>
        </w:rPr>
        <w:t xml:space="preserve"> (PA)</w:t>
      </w:r>
      <w:r w:rsidR="001E238E" w:rsidRPr="004B3DDB">
        <w:t>.</w:t>
      </w:r>
      <w:r w:rsidR="00025DE1" w:rsidRPr="000C67F5">
        <w:t xml:space="preserve"> </w:t>
      </w:r>
    </w:p>
    <w:p w:rsidR="004E43B2" w:rsidRPr="000C67F5" w:rsidRDefault="004E43B2" w:rsidP="007473B7">
      <w:pPr>
        <w:widowControl/>
      </w:pPr>
    </w:p>
    <w:p w:rsidR="00B50DB8" w:rsidRPr="00407F2D" w:rsidRDefault="00B50DB8" w:rsidP="007473B7">
      <w:pPr>
        <w:pStyle w:val="PBACHeading1"/>
        <w:keepNext/>
      </w:pPr>
      <w:bookmarkStart w:id="3" w:name="_Toc419464744"/>
      <w:r w:rsidRPr="00407F2D">
        <w:t>Requested listing</w:t>
      </w:r>
      <w:bookmarkEnd w:id="3"/>
    </w:p>
    <w:p w:rsidR="00A12818" w:rsidRPr="00E452AE" w:rsidRDefault="00A12818" w:rsidP="007473B7">
      <w:pPr>
        <w:keepNext/>
        <w:widowControl/>
        <w:rPr>
          <w:szCs w:val="22"/>
        </w:rPr>
      </w:pPr>
    </w:p>
    <w:tbl>
      <w:tblPr>
        <w:tblW w:w="4594" w:type="pct"/>
        <w:tblInd w:w="738" w:type="dxa"/>
        <w:tblCellMar>
          <w:left w:w="28" w:type="dxa"/>
          <w:right w:w="28" w:type="dxa"/>
        </w:tblCellMar>
        <w:tblLook w:val="04A0" w:firstRow="1" w:lastRow="0" w:firstColumn="1" w:lastColumn="0" w:noHBand="0" w:noVBand="1"/>
      </w:tblPr>
      <w:tblGrid>
        <w:gridCol w:w="1559"/>
        <w:gridCol w:w="1046"/>
        <w:gridCol w:w="599"/>
        <w:gridCol w:w="910"/>
        <w:gridCol w:w="1828"/>
        <w:gridCol w:w="1036"/>
        <w:gridCol w:w="1367"/>
      </w:tblGrid>
      <w:tr w:rsidR="00A12818" w:rsidRPr="00A12818" w:rsidTr="00A059EF">
        <w:trPr>
          <w:cantSplit/>
          <w:trHeight w:val="471"/>
        </w:trPr>
        <w:tc>
          <w:tcPr>
            <w:tcW w:w="1561" w:type="pct"/>
            <w:gridSpan w:val="2"/>
            <w:tcBorders>
              <w:top w:val="nil"/>
              <w:left w:val="nil"/>
              <w:bottom w:val="single" w:sz="4" w:space="0" w:color="auto"/>
              <w:right w:val="nil"/>
            </w:tcBorders>
            <w:hideMark/>
          </w:tcPr>
          <w:p w:rsidR="00A12818" w:rsidRPr="00A12818" w:rsidRDefault="00A12818" w:rsidP="007473B7">
            <w:pPr>
              <w:keepNext/>
              <w:widowControl/>
              <w:rPr>
                <w:rFonts w:ascii="Arial Narrow" w:hAnsi="Arial Narrow"/>
                <w:sz w:val="20"/>
              </w:rPr>
            </w:pPr>
            <w:r w:rsidRPr="00A12818">
              <w:rPr>
                <w:rFonts w:ascii="Arial Narrow" w:hAnsi="Arial Narrow"/>
                <w:sz w:val="20"/>
              </w:rPr>
              <w:t>Name, Restriction,</w:t>
            </w:r>
          </w:p>
          <w:p w:rsidR="00A12818" w:rsidRPr="00A12818" w:rsidRDefault="00A12818" w:rsidP="007473B7">
            <w:pPr>
              <w:keepNext/>
              <w:widowControl/>
              <w:rPr>
                <w:rFonts w:ascii="Arial Narrow" w:hAnsi="Arial Narrow"/>
                <w:sz w:val="20"/>
              </w:rPr>
            </w:pPr>
            <w:r w:rsidRPr="00A12818">
              <w:rPr>
                <w:rFonts w:ascii="Arial Narrow" w:hAnsi="Arial Narrow"/>
                <w:sz w:val="20"/>
              </w:rPr>
              <w:t>Manner of administration and form</w:t>
            </w:r>
          </w:p>
        </w:tc>
        <w:tc>
          <w:tcPr>
            <w:tcW w:w="359" w:type="pct"/>
            <w:tcBorders>
              <w:top w:val="nil"/>
              <w:left w:val="nil"/>
              <w:bottom w:val="single" w:sz="4" w:space="0" w:color="auto"/>
              <w:right w:val="nil"/>
            </w:tcBorders>
            <w:hideMark/>
          </w:tcPr>
          <w:p w:rsidR="00A12818" w:rsidRPr="00A12818" w:rsidRDefault="00A12818" w:rsidP="007473B7">
            <w:pPr>
              <w:keepNext/>
              <w:widowControl/>
              <w:jc w:val="center"/>
              <w:rPr>
                <w:rFonts w:ascii="Arial Narrow" w:hAnsi="Arial Narrow"/>
                <w:sz w:val="20"/>
              </w:rPr>
            </w:pPr>
            <w:r w:rsidRPr="00A12818">
              <w:rPr>
                <w:rFonts w:ascii="Arial Narrow" w:hAnsi="Arial Narrow"/>
                <w:sz w:val="20"/>
              </w:rPr>
              <w:t>Max.</w:t>
            </w:r>
          </w:p>
          <w:p w:rsidR="00A12818" w:rsidRPr="00A12818" w:rsidRDefault="00A12818" w:rsidP="007473B7">
            <w:pPr>
              <w:keepNext/>
              <w:widowControl/>
              <w:jc w:val="center"/>
              <w:rPr>
                <w:rFonts w:ascii="Arial Narrow" w:hAnsi="Arial Narrow"/>
                <w:sz w:val="20"/>
              </w:rPr>
            </w:pPr>
            <w:r w:rsidRPr="00A12818">
              <w:rPr>
                <w:rFonts w:ascii="Arial Narrow" w:hAnsi="Arial Narrow"/>
                <w:sz w:val="20"/>
              </w:rPr>
              <w:t>Qty</w:t>
            </w:r>
          </w:p>
        </w:tc>
        <w:tc>
          <w:tcPr>
            <w:tcW w:w="545" w:type="pct"/>
            <w:tcBorders>
              <w:top w:val="nil"/>
              <w:left w:val="nil"/>
              <w:bottom w:val="single" w:sz="4" w:space="0" w:color="auto"/>
              <w:right w:val="nil"/>
            </w:tcBorders>
            <w:hideMark/>
          </w:tcPr>
          <w:p w:rsidR="00A12818" w:rsidRPr="00A12818" w:rsidRDefault="00A12818" w:rsidP="007473B7">
            <w:pPr>
              <w:keepNext/>
              <w:widowControl/>
              <w:jc w:val="center"/>
              <w:rPr>
                <w:rFonts w:ascii="Arial Narrow" w:hAnsi="Arial Narrow"/>
                <w:sz w:val="20"/>
              </w:rPr>
            </w:pPr>
            <w:r w:rsidRPr="00A12818">
              <w:rPr>
                <w:rFonts w:ascii="Arial Narrow" w:hAnsi="Arial Narrow"/>
                <w:sz w:val="20"/>
              </w:rPr>
              <w:t>№.of</w:t>
            </w:r>
          </w:p>
          <w:p w:rsidR="00A12818" w:rsidRPr="00A12818" w:rsidRDefault="00A12818" w:rsidP="007473B7">
            <w:pPr>
              <w:keepNext/>
              <w:widowControl/>
              <w:jc w:val="center"/>
              <w:rPr>
                <w:rFonts w:ascii="Arial Narrow" w:hAnsi="Arial Narrow"/>
                <w:sz w:val="20"/>
              </w:rPr>
            </w:pPr>
            <w:r w:rsidRPr="00A12818">
              <w:rPr>
                <w:rFonts w:ascii="Arial Narrow" w:hAnsi="Arial Narrow"/>
                <w:sz w:val="20"/>
              </w:rPr>
              <w:t>Rpts</w:t>
            </w:r>
          </w:p>
        </w:tc>
        <w:tc>
          <w:tcPr>
            <w:tcW w:w="1095" w:type="pct"/>
            <w:tcBorders>
              <w:top w:val="nil"/>
              <w:left w:val="nil"/>
              <w:bottom w:val="single" w:sz="4" w:space="0" w:color="auto"/>
              <w:right w:val="nil"/>
            </w:tcBorders>
            <w:hideMark/>
          </w:tcPr>
          <w:p w:rsidR="00A12818" w:rsidRPr="00A12818" w:rsidRDefault="00A12818" w:rsidP="007473B7">
            <w:pPr>
              <w:keepNext/>
              <w:widowControl/>
              <w:jc w:val="center"/>
              <w:rPr>
                <w:rFonts w:ascii="Arial Narrow" w:hAnsi="Arial Narrow"/>
                <w:sz w:val="20"/>
              </w:rPr>
            </w:pPr>
          </w:p>
        </w:tc>
        <w:tc>
          <w:tcPr>
            <w:tcW w:w="1440" w:type="pct"/>
            <w:gridSpan w:val="2"/>
            <w:tcBorders>
              <w:top w:val="nil"/>
              <w:left w:val="nil"/>
              <w:bottom w:val="single" w:sz="4" w:space="0" w:color="auto"/>
              <w:right w:val="nil"/>
            </w:tcBorders>
            <w:hideMark/>
          </w:tcPr>
          <w:p w:rsidR="00A12818" w:rsidRPr="00A12818" w:rsidRDefault="00A12818" w:rsidP="007473B7">
            <w:pPr>
              <w:keepNext/>
              <w:widowControl/>
              <w:jc w:val="center"/>
              <w:rPr>
                <w:rFonts w:ascii="Arial Narrow" w:hAnsi="Arial Narrow"/>
                <w:sz w:val="20"/>
                <w:lang w:val="fr-FR"/>
              </w:rPr>
            </w:pPr>
            <w:r w:rsidRPr="00A12818">
              <w:rPr>
                <w:rFonts w:ascii="Arial Narrow" w:hAnsi="Arial Narrow"/>
                <w:sz w:val="20"/>
              </w:rPr>
              <w:t>Proprietary Name and Manufacturer</w:t>
            </w:r>
          </w:p>
        </w:tc>
      </w:tr>
      <w:tr w:rsidR="006A6511" w:rsidRPr="00A12818" w:rsidTr="00A059EF">
        <w:trPr>
          <w:cantSplit/>
          <w:trHeight w:val="577"/>
        </w:trPr>
        <w:tc>
          <w:tcPr>
            <w:tcW w:w="1561" w:type="pct"/>
            <w:gridSpan w:val="2"/>
            <w:tcBorders>
              <w:top w:val="single" w:sz="4" w:space="0" w:color="auto"/>
              <w:bottom w:val="single" w:sz="4" w:space="0" w:color="auto"/>
            </w:tcBorders>
          </w:tcPr>
          <w:p w:rsidR="006A6511" w:rsidRDefault="006A6511" w:rsidP="007473B7">
            <w:pPr>
              <w:keepNext/>
              <w:widowControl/>
              <w:rPr>
                <w:rFonts w:ascii="Arial Narrow" w:hAnsi="Arial Narrow"/>
                <w:sz w:val="20"/>
              </w:rPr>
            </w:pPr>
            <w:r w:rsidRPr="001949FD">
              <w:rPr>
                <w:rFonts w:ascii="Arial Narrow" w:hAnsi="Arial Narrow"/>
                <w:smallCaps/>
                <w:sz w:val="20"/>
              </w:rPr>
              <w:t>CARGLUMIC ACID</w:t>
            </w:r>
            <w:r w:rsidRPr="001949FD">
              <w:rPr>
                <w:rFonts w:ascii="Arial Narrow" w:hAnsi="Arial Narrow"/>
                <w:sz w:val="20"/>
              </w:rPr>
              <w:t xml:space="preserve"> </w:t>
            </w:r>
          </w:p>
          <w:p w:rsidR="006A6511" w:rsidRDefault="006A6511" w:rsidP="007473B7">
            <w:pPr>
              <w:keepNext/>
              <w:widowControl/>
              <w:rPr>
                <w:rFonts w:ascii="Arial Narrow" w:hAnsi="Arial Narrow"/>
                <w:sz w:val="20"/>
              </w:rPr>
            </w:pPr>
            <w:r w:rsidRPr="001949FD">
              <w:rPr>
                <w:rFonts w:ascii="Arial Narrow" w:hAnsi="Arial Narrow"/>
                <w:sz w:val="20"/>
              </w:rPr>
              <w:t>200mg tablet, 5</w:t>
            </w:r>
          </w:p>
          <w:p w:rsidR="006A6511" w:rsidRPr="00A12818" w:rsidRDefault="006A6511" w:rsidP="007473B7">
            <w:pPr>
              <w:keepNext/>
              <w:widowControl/>
              <w:rPr>
                <w:rFonts w:ascii="Arial Narrow" w:hAnsi="Arial Narrow"/>
                <w:smallCaps/>
                <w:sz w:val="20"/>
              </w:rPr>
            </w:pPr>
            <w:r>
              <w:rPr>
                <w:rFonts w:ascii="Arial Narrow" w:hAnsi="Arial Narrow"/>
                <w:sz w:val="20"/>
              </w:rPr>
              <w:t>200mg tablet, 60</w:t>
            </w:r>
          </w:p>
        </w:tc>
        <w:tc>
          <w:tcPr>
            <w:tcW w:w="359" w:type="pct"/>
            <w:tcBorders>
              <w:top w:val="single" w:sz="4" w:space="0" w:color="auto"/>
              <w:bottom w:val="single" w:sz="4" w:space="0" w:color="auto"/>
            </w:tcBorders>
          </w:tcPr>
          <w:p w:rsidR="00A059EF" w:rsidRPr="00E33034" w:rsidRDefault="00A059EF" w:rsidP="007473B7">
            <w:pPr>
              <w:keepNext/>
              <w:widowControl/>
              <w:jc w:val="center"/>
              <w:rPr>
                <w:rFonts w:ascii="Arial Narrow" w:hAnsi="Arial Narrow"/>
                <w:i/>
                <w:sz w:val="20"/>
              </w:rPr>
            </w:pPr>
          </w:p>
          <w:p w:rsidR="006A6511" w:rsidRPr="003914B0" w:rsidRDefault="006A6511" w:rsidP="007473B7">
            <w:pPr>
              <w:keepNext/>
              <w:widowControl/>
              <w:jc w:val="center"/>
              <w:rPr>
                <w:rFonts w:ascii="Arial Narrow" w:hAnsi="Arial Narrow"/>
                <w:sz w:val="20"/>
              </w:rPr>
            </w:pPr>
            <w:r w:rsidRPr="003914B0">
              <w:rPr>
                <w:rFonts w:ascii="Arial Narrow" w:hAnsi="Arial Narrow"/>
                <w:sz w:val="20"/>
              </w:rPr>
              <w:t>20</w:t>
            </w:r>
          </w:p>
          <w:p w:rsidR="006A6511" w:rsidRPr="00FD6101" w:rsidRDefault="006A6511" w:rsidP="007473B7">
            <w:pPr>
              <w:keepNext/>
              <w:widowControl/>
              <w:jc w:val="center"/>
              <w:rPr>
                <w:rFonts w:ascii="Arial Narrow" w:hAnsi="Arial Narrow"/>
                <w:sz w:val="20"/>
              </w:rPr>
            </w:pPr>
            <w:r w:rsidRPr="00FD6101">
              <w:rPr>
                <w:rFonts w:ascii="Arial Narrow" w:hAnsi="Arial Narrow"/>
                <w:sz w:val="20"/>
              </w:rPr>
              <w:t>2</w:t>
            </w:r>
          </w:p>
        </w:tc>
        <w:tc>
          <w:tcPr>
            <w:tcW w:w="545" w:type="pct"/>
            <w:tcBorders>
              <w:top w:val="single" w:sz="4" w:space="0" w:color="auto"/>
              <w:bottom w:val="single" w:sz="4" w:space="0" w:color="auto"/>
            </w:tcBorders>
          </w:tcPr>
          <w:p w:rsidR="00A059EF" w:rsidRPr="00E33034" w:rsidRDefault="00A059EF" w:rsidP="007473B7">
            <w:pPr>
              <w:keepNext/>
              <w:widowControl/>
              <w:jc w:val="center"/>
              <w:rPr>
                <w:rFonts w:ascii="Arial Narrow" w:hAnsi="Arial Narrow"/>
                <w:i/>
                <w:sz w:val="20"/>
              </w:rPr>
            </w:pPr>
          </w:p>
          <w:p w:rsidR="006A6511" w:rsidRPr="00FD6101" w:rsidRDefault="006A6511" w:rsidP="007473B7">
            <w:pPr>
              <w:keepNext/>
              <w:widowControl/>
              <w:jc w:val="center"/>
              <w:rPr>
                <w:rFonts w:ascii="Arial Narrow" w:hAnsi="Arial Narrow"/>
                <w:sz w:val="20"/>
              </w:rPr>
            </w:pPr>
            <w:r w:rsidRPr="00FD6101">
              <w:rPr>
                <w:rFonts w:ascii="Arial Narrow" w:hAnsi="Arial Narrow"/>
                <w:sz w:val="20"/>
              </w:rPr>
              <w:t>0</w:t>
            </w:r>
          </w:p>
          <w:p w:rsidR="006A6511" w:rsidRPr="00CB2289" w:rsidRDefault="006A6511" w:rsidP="007473B7">
            <w:pPr>
              <w:keepNext/>
              <w:widowControl/>
              <w:jc w:val="center"/>
              <w:rPr>
                <w:rFonts w:ascii="Arial Narrow" w:hAnsi="Arial Narrow"/>
                <w:sz w:val="20"/>
              </w:rPr>
            </w:pPr>
            <w:r w:rsidRPr="00CB2289">
              <w:rPr>
                <w:rFonts w:ascii="Arial Narrow" w:hAnsi="Arial Narrow"/>
                <w:sz w:val="20"/>
              </w:rPr>
              <w:t>0</w:t>
            </w:r>
          </w:p>
        </w:tc>
        <w:tc>
          <w:tcPr>
            <w:tcW w:w="1095" w:type="pct"/>
            <w:tcBorders>
              <w:top w:val="single" w:sz="4" w:space="0" w:color="auto"/>
              <w:bottom w:val="single" w:sz="4" w:space="0" w:color="auto"/>
            </w:tcBorders>
          </w:tcPr>
          <w:p w:rsidR="00A059EF" w:rsidRDefault="00A059EF" w:rsidP="007473B7">
            <w:pPr>
              <w:keepNext/>
              <w:widowControl/>
              <w:jc w:val="center"/>
              <w:rPr>
                <w:rFonts w:ascii="Arial Narrow" w:hAnsi="Arial Narrow"/>
                <w:sz w:val="20"/>
              </w:rPr>
            </w:pPr>
          </w:p>
          <w:p w:rsidR="006A6511" w:rsidRPr="00A12818" w:rsidRDefault="006A6511" w:rsidP="007473B7">
            <w:pPr>
              <w:keepNext/>
              <w:widowControl/>
              <w:jc w:val="center"/>
              <w:rPr>
                <w:rFonts w:ascii="Arial Narrow" w:hAnsi="Arial Narrow"/>
                <w:sz w:val="20"/>
              </w:rPr>
            </w:pPr>
          </w:p>
        </w:tc>
        <w:tc>
          <w:tcPr>
            <w:tcW w:w="621" w:type="pct"/>
            <w:tcBorders>
              <w:top w:val="single" w:sz="4" w:space="0" w:color="auto"/>
              <w:bottom w:val="single" w:sz="4" w:space="0" w:color="auto"/>
            </w:tcBorders>
          </w:tcPr>
          <w:p w:rsidR="00A059EF" w:rsidRDefault="00A059EF" w:rsidP="007473B7">
            <w:pPr>
              <w:keepNext/>
              <w:widowControl/>
              <w:jc w:val="center"/>
              <w:rPr>
                <w:rFonts w:ascii="Arial Narrow" w:hAnsi="Arial Narrow"/>
                <w:sz w:val="20"/>
              </w:rPr>
            </w:pPr>
          </w:p>
          <w:p w:rsidR="006A6511" w:rsidRDefault="006A6511" w:rsidP="007473B7">
            <w:pPr>
              <w:keepNext/>
              <w:widowControl/>
              <w:jc w:val="center"/>
              <w:rPr>
                <w:rFonts w:ascii="Arial Narrow" w:hAnsi="Arial Narrow"/>
                <w:sz w:val="20"/>
              </w:rPr>
            </w:pPr>
            <w:r w:rsidRPr="00A12818">
              <w:rPr>
                <w:rFonts w:ascii="Arial Narrow" w:hAnsi="Arial Narrow"/>
                <w:sz w:val="20"/>
              </w:rPr>
              <w:t>Carbaglu®</w:t>
            </w:r>
          </w:p>
          <w:p w:rsidR="006A6511" w:rsidRPr="00A12818" w:rsidRDefault="006A6511" w:rsidP="007473B7">
            <w:pPr>
              <w:keepNext/>
              <w:widowControl/>
              <w:jc w:val="center"/>
              <w:rPr>
                <w:sz w:val="20"/>
              </w:rPr>
            </w:pPr>
            <w:r w:rsidRPr="00A12818">
              <w:rPr>
                <w:rFonts w:ascii="Arial Narrow" w:hAnsi="Arial Narrow"/>
                <w:sz w:val="20"/>
              </w:rPr>
              <w:t>Carbaglu®</w:t>
            </w:r>
          </w:p>
        </w:tc>
        <w:tc>
          <w:tcPr>
            <w:tcW w:w="819" w:type="pct"/>
            <w:tcBorders>
              <w:top w:val="single" w:sz="4" w:space="0" w:color="auto"/>
              <w:bottom w:val="single" w:sz="4" w:space="0" w:color="auto"/>
            </w:tcBorders>
          </w:tcPr>
          <w:p w:rsidR="00A059EF" w:rsidRDefault="00A059EF" w:rsidP="007473B7">
            <w:pPr>
              <w:keepNext/>
              <w:widowControl/>
              <w:jc w:val="center"/>
              <w:rPr>
                <w:rFonts w:ascii="Arial Narrow" w:hAnsi="Arial Narrow"/>
                <w:sz w:val="20"/>
              </w:rPr>
            </w:pPr>
          </w:p>
          <w:p w:rsidR="006A6511" w:rsidRDefault="006A6511" w:rsidP="007473B7">
            <w:pPr>
              <w:keepNext/>
              <w:widowControl/>
              <w:jc w:val="center"/>
              <w:rPr>
                <w:rFonts w:ascii="Arial Narrow" w:hAnsi="Arial Narrow"/>
                <w:sz w:val="20"/>
              </w:rPr>
            </w:pPr>
            <w:r w:rsidRPr="00A12818">
              <w:rPr>
                <w:rFonts w:ascii="Arial Narrow" w:hAnsi="Arial Narrow"/>
                <w:sz w:val="20"/>
              </w:rPr>
              <w:t>Emerge Health</w:t>
            </w:r>
          </w:p>
          <w:p w:rsidR="00A059EF" w:rsidRPr="00A12818" w:rsidRDefault="00A059EF" w:rsidP="007473B7">
            <w:pPr>
              <w:keepNext/>
              <w:widowControl/>
              <w:jc w:val="center"/>
              <w:rPr>
                <w:sz w:val="20"/>
              </w:rPr>
            </w:pPr>
            <w:r w:rsidRPr="00A12818">
              <w:rPr>
                <w:rFonts w:ascii="Arial Narrow" w:hAnsi="Arial Narrow"/>
                <w:sz w:val="20"/>
              </w:rPr>
              <w:t>Emerge Health</w:t>
            </w:r>
          </w:p>
        </w:tc>
      </w:tr>
      <w:tr w:rsidR="00086B72" w:rsidTr="00A059EF">
        <w:trPr>
          <w:trHeight w:val="20"/>
        </w:trPr>
        <w:tc>
          <w:tcPr>
            <w:tcW w:w="934" w:type="pct"/>
            <w:tcBorders>
              <w:top w:val="single" w:sz="4" w:space="0" w:color="auto"/>
              <w:left w:val="single" w:sz="4" w:space="0" w:color="auto"/>
              <w:bottom w:val="single" w:sz="4" w:space="0" w:color="auto"/>
              <w:right w:val="single" w:sz="4" w:space="0" w:color="auto"/>
            </w:tcBorders>
          </w:tcPr>
          <w:p w:rsidR="00086B72" w:rsidRPr="00C90F19" w:rsidRDefault="00086B72" w:rsidP="007473B7">
            <w:pPr>
              <w:widowControl/>
              <w:snapToGrid w:val="0"/>
              <w:spacing w:line="20" w:lineRule="atLeast"/>
              <w:rPr>
                <w:rFonts w:ascii="Arial Narrow" w:hAnsi="Arial Narrow"/>
                <w:sz w:val="20"/>
                <w:lang w:eastAsia="en-AU"/>
              </w:rPr>
            </w:pPr>
            <w:r>
              <w:rPr>
                <w:rFonts w:ascii="Arial Narrow" w:hAnsi="Arial Narrow"/>
                <w:sz w:val="20"/>
                <w:lang w:eastAsia="en-AU"/>
              </w:rPr>
              <w:t>Category/program</w:t>
            </w:r>
          </w:p>
        </w:tc>
        <w:tc>
          <w:tcPr>
            <w:tcW w:w="4066" w:type="pct"/>
            <w:gridSpan w:val="6"/>
            <w:tcBorders>
              <w:top w:val="single" w:sz="4" w:space="0" w:color="auto"/>
              <w:left w:val="single" w:sz="4" w:space="0" w:color="auto"/>
              <w:bottom w:val="single" w:sz="4" w:space="0" w:color="auto"/>
              <w:right w:val="single" w:sz="4" w:space="0" w:color="auto"/>
            </w:tcBorders>
          </w:tcPr>
          <w:p w:rsidR="00086B72" w:rsidRDefault="00086B72" w:rsidP="007473B7">
            <w:pPr>
              <w:widowControl/>
              <w:snapToGrid w:val="0"/>
              <w:spacing w:line="20" w:lineRule="atLeast"/>
              <w:rPr>
                <w:rFonts w:ascii="Arial Narrow" w:hAnsi="Arial Narrow"/>
                <w:sz w:val="20"/>
                <w:lang w:eastAsia="en-AU"/>
              </w:rPr>
            </w:pPr>
            <w:r w:rsidRPr="00C90F19">
              <w:rPr>
                <w:rFonts w:ascii="Arial Narrow" w:hAnsi="Arial Narrow"/>
                <w:sz w:val="20"/>
                <w:lang w:eastAsia="en-AU"/>
              </w:rPr>
              <w:t>GENERAL – General Schedule (Code GE)</w:t>
            </w:r>
          </w:p>
        </w:tc>
      </w:tr>
      <w:tr w:rsidR="00086B72" w:rsidRPr="00C90F19" w:rsidTr="00086B72">
        <w:trPr>
          <w:trHeight w:val="20"/>
        </w:trPr>
        <w:tc>
          <w:tcPr>
            <w:tcW w:w="934" w:type="pct"/>
            <w:tcBorders>
              <w:top w:val="single" w:sz="4" w:space="0" w:color="auto"/>
              <w:left w:val="single" w:sz="4" w:space="0" w:color="auto"/>
              <w:bottom w:val="single" w:sz="4" w:space="0" w:color="auto"/>
              <w:right w:val="single" w:sz="4" w:space="0" w:color="auto"/>
            </w:tcBorders>
          </w:tcPr>
          <w:p w:rsidR="00086B72" w:rsidRDefault="00086B72" w:rsidP="007473B7">
            <w:pPr>
              <w:widowControl/>
              <w:snapToGrid w:val="0"/>
              <w:spacing w:line="20" w:lineRule="atLeast"/>
              <w:rPr>
                <w:rFonts w:ascii="Arial Narrow" w:hAnsi="Arial Narrow"/>
                <w:sz w:val="20"/>
                <w:lang w:eastAsia="en-AU"/>
              </w:rPr>
            </w:pPr>
            <w:r>
              <w:rPr>
                <w:rFonts w:ascii="Arial Narrow" w:hAnsi="Arial Narrow"/>
                <w:sz w:val="20"/>
                <w:lang w:eastAsia="en-AU"/>
              </w:rPr>
              <w:t>Prescriber type</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260CE3" w:rsidRDefault="00086B72" w:rsidP="007473B7">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22B2A">
              <w:rPr>
                <w:rFonts w:ascii="Arial Narrow" w:hAnsi="Arial Narrow"/>
                <w:sz w:val="20"/>
              </w:rPr>
            </w:r>
            <w:r w:rsidR="00A22B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Dental</w:t>
            </w:r>
            <w:r w:rsidR="007F20A2">
              <w:rPr>
                <w:rFonts w:ascii="Arial Narrow" w:hAnsi="Arial Narrow"/>
                <w:sz w:val="20"/>
              </w:rPr>
              <w:t xml:space="preserve">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22B2A">
              <w:rPr>
                <w:rFonts w:ascii="Arial Narrow" w:hAnsi="Arial Narrow"/>
                <w:sz w:val="20"/>
              </w:rPr>
            </w:r>
            <w:r w:rsidR="00A22B2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Medical Practitioners</w:t>
            </w:r>
            <w:r w:rsidR="007F20A2">
              <w:rPr>
                <w:rFonts w:ascii="Arial Narrow" w:hAnsi="Arial Narrow"/>
                <w:sz w:val="20"/>
              </w:rPr>
              <w:t xml:space="preserve">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22B2A">
              <w:rPr>
                <w:rFonts w:ascii="Arial Narrow" w:hAnsi="Arial Narrow"/>
                <w:sz w:val="20"/>
              </w:rPr>
            </w:r>
            <w:r w:rsidR="00A22B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Nurse practitioners</w:t>
            </w:r>
            <w:r w:rsidR="007F20A2">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22B2A">
              <w:rPr>
                <w:rFonts w:ascii="Arial Narrow" w:hAnsi="Arial Narrow"/>
                <w:sz w:val="20"/>
              </w:rPr>
            </w:r>
            <w:r w:rsidR="00A22B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86B72" w:rsidRPr="00C90F19" w:rsidRDefault="00086B72" w:rsidP="007473B7">
            <w:pPr>
              <w:widowControl/>
              <w:snapToGrid w:val="0"/>
              <w:spacing w:line="20" w:lineRule="atLeast"/>
              <w:rPr>
                <w:rFonts w:ascii="Arial Narrow" w:hAnsi="Arial Narrow"/>
                <w:sz w:val="20"/>
                <w:lang w:eastAsia="en-AU"/>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22B2A">
              <w:rPr>
                <w:rFonts w:ascii="Arial Narrow" w:hAnsi="Arial Narrow"/>
                <w:sz w:val="20"/>
              </w:rPr>
            </w:r>
            <w:r w:rsidR="00A22B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Episodicity</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N/A</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Severity</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N/A</w:t>
            </w:r>
          </w:p>
        </w:tc>
      </w:tr>
      <w:tr w:rsidR="00086B72" w:rsidRPr="00E035FC"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Condition</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tabs>
                <w:tab w:val="left" w:pos="416"/>
                <w:tab w:val="left" w:pos="582"/>
              </w:tabs>
              <w:spacing w:after="200"/>
              <w:contextualSpacing/>
              <w:jc w:val="left"/>
              <w:rPr>
                <w:rFonts w:ascii="Arial Narrow" w:hAnsi="Arial Narrow" w:cstheme="minorBidi"/>
                <w:snapToGrid/>
                <w:sz w:val="20"/>
              </w:rPr>
            </w:pPr>
            <w:r w:rsidRPr="001370CA">
              <w:rPr>
                <w:rFonts w:ascii="Arial Narrow" w:hAnsi="Arial Narrow" w:cstheme="minorBidi"/>
                <w:snapToGrid/>
                <w:sz w:val="20"/>
              </w:rPr>
              <w:t>Hyperammonaemia due to organic acidaemias such as:</w:t>
            </w:r>
          </w:p>
          <w:p w:rsidR="00086B72" w:rsidRPr="001370CA" w:rsidRDefault="00086B72" w:rsidP="007473B7">
            <w:pPr>
              <w:widowControl/>
              <w:numPr>
                <w:ilvl w:val="1"/>
                <w:numId w:val="5"/>
              </w:numPr>
              <w:tabs>
                <w:tab w:val="left" w:pos="259"/>
                <w:tab w:val="left" w:pos="582"/>
              </w:tabs>
              <w:spacing w:after="200"/>
              <w:ind w:hanging="1440"/>
              <w:contextualSpacing/>
              <w:jc w:val="left"/>
              <w:rPr>
                <w:rFonts w:ascii="Arial Narrow" w:hAnsi="Arial Narrow" w:cstheme="minorBidi"/>
                <w:snapToGrid/>
                <w:sz w:val="20"/>
              </w:rPr>
            </w:pPr>
            <w:r w:rsidRPr="001370CA">
              <w:rPr>
                <w:rFonts w:ascii="Arial Narrow" w:hAnsi="Arial Narrow" w:cstheme="minorBidi"/>
                <w:snapToGrid/>
                <w:sz w:val="20"/>
              </w:rPr>
              <w:t>Hyperammonaemia due to isovaleric acidaemia;</w:t>
            </w:r>
          </w:p>
          <w:p w:rsidR="00086B72" w:rsidRPr="001370CA" w:rsidRDefault="00086B72" w:rsidP="007473B7">
            <w:pPr>
              <w:widowControl/>
              <w:numPr>
                <w:ilvl w:val="1"/>
                <w:numId w:val="5"/>
              </w:numPr>
              <w:tabs>
                <w:tab w:val="left" w:pos="259"/>
                <w:tab w:val="left" w:pos="582"/>
              </w:tabs>
              <w:spacing w:after="200"/>
              <w:ind w:hanging="1440"/>
              <w:contextualSpacing/>
              <w:jc w:val="left"/>
              <w:rPr>
                <w:rFonts w:ascii="Arial Narrow" w:hAnsi="Arial Narrow" w:cstheme="minorBidi"/>
                <w:snapToGrid/>
                <w:sz w:val="20"/>
              </w:rPr>
            </w:pPr>
            <w:r w:rsidRPr="001370CA">
              <w:rPr>
                <w:rFonts w:ascii="Arial Narrow" w:hAnsi="Arial Narrow" w:cstheme="minorBidi"/>
                <w:snapToGrid/>
                <w:sz w:val="20"/>
              </w:rPr>
              <w:t>Hyperammonaemia due to methylmalonic acidaemia;</w:t>
            </w:r>
          </w:p>
          <w:p w:rsidR="00086B72" w:rsidRPr="001370CA" w:rsidRDefault="00086B72" w:rsidP="007473B7">
            <w:pPr>
              <w:widowControl/>
              <w:numPr>
                <w:ilvl w:val="1"/>
                <w:numId w:val="5"/>
              </w:numPr>
              <w:tabs>
                <w:tab w:val="left" w:pos="259"/>
                <w:tab w:val="left" w:pos="582"/>
              </w:tabs>
              <w:spacing w:after="200"/>
              <w:ind w:hanging="1440"/>
              <w:contextualSpacing/>
              <w:jc w:val="left"/>
              <w:rPr>
                <w:rFonts w:ascii="Arial Narrow" w:hAnsi="Arial Narrow" w:cstheme="minorBidi"/>
                <w:snapToGrid/>
                <w:sz w:val="20"/>
                <w:lang w:val="it-IT"/>
              </w:rPr>
            </w:pPr>
            <w:r w:rsidRPr="001370CA">
              <w:rPr>
                <w:rFonts w:ascii="Arial Narrow" w:hAnsi="Arial Narrow" w:cstheme="minorBidi"/>
                <w:snapToGrid/>
                <w:sz w:val="20"/>
                <w:lang w:val="it-IT"/>
              </w:rPr>
              <w:t>Hyperammonaemia due to propionic acidaemia</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snapToGrid w:val="0"/>
              <w:spacing w:line="20" w:lineRule="atLeast"/>
              <w:rPr>
                <w:rFonts w:ascii="Arial Narrow" w:hAnsi="Arial Narrow"/>
                <w:sz w:val="20"/>
                <w:lang w:eastAsia="en-AU"/>
              </w:rPr>
            </w:pPr>
            <w:r w:rsidRPr="00C90F19">
              <w:rPr>
                <w:rFonts w:ascii="Arial Narrow" w:hAnsi="Arial Narrow"/>
                <w:sz w:val="20"/>
                <w:lang w:eastAsia="en-AU"/>
              </w:rPr>
              <w:t>Treatment phase</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tabs>
                <w:tab w:val="left" w:pos="416"/>
                <w:tab w:val="left" w:pos="582"/>
              </w:tabs>
              <w:spacing w:after="200"/>
              <w:contextualSpacing/>
              <w:jc w:val="left"/>
              <w:rPr>
                <w:rFonts w:ascii="Arial Narrow" w:hAnsi="Arial Narrow" w:cstheme="minorBidi"/>
                <w:snapToGrid/>
                <w:sz w:val="20"/>
              </w:rPr>
            </w:pPr>
            <w:r>
              <w:rPr>
                <w:rFonts w:ascii="Arial Narrow" w:hAnsi="Arial Narrow"/>
                <w:sz w:val="20"/>
                <w:lang w:eastAsia="en-AU"/>
              </w:rPr>
              <w:t>N/A</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Restriction</w:t>
            </w:r>
            <w:r>
              <w:rPr>
                <w:rFonts w:ascii="Arial Narrow" w:hAnsi="Arial Narrow"/>
                <w:sz w:val="20"/>
                <w:lang w:eastAsia="en-AU"/>
              </w:rPr>
              <w:t xml:space="preserve"> level</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Authority Required</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Treatment criteria</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tabs>
                <w:tab w:val="left" w:pos="416"/>
                <w:tab w:val="left" w:pos="582"/>
              </w:tabs>
              <w:rPr>
                <w:rFonts w:ascii="Arial Narrow" w:hAnsi="Arial Narrow"/>
                <w:snapToGrid/>
                <w:sz w:val="20"/>
              </w:rPr>
            </w:pPr>
            <w:r w:rsidRPr="001370CA">
              <w:rPr>
                <w:rFonts w:ascii="Arial Narrow" w:hAnsi="Arial Narrow"/>
                <w:snapToGrid/>
                <w:sz w:val="20"/>
              </w:rPr>
              <w:t>Treatment should be initiated under the supervision of a physician experienced in the treatment of metabolic disorders.</w:t>
            </w:r>
          </w:p>
          <w:p w:rsidR="00086B72" w:rsidRPr="001370CA" w:rsidRDefault="00086B72" w:rsidP="007473B7">
            <w:pPr>
              <w:widowControl/>
              <w:tabs>
                <w:tab w:val="left" w:pos="416"/>
                <w:tab w:val="left" w:pos="582"/>
              </w:tabs>
              <w:rPr>
                <w:rFonts w:ascii="Arial Narrow" w:hAnsi="Arial Narrow"/>
                <w:snapToGrid/>
                <w:sz w:val="20"/>
              </w:rPr>
            </w:pPr>
            <w:r w:rsidRPr="001370CA">
              <w:rPr>
                <w:rFonts w:ascii="Arial Narrow" w:hAnsi="Arial Narrow"/>
                <w:snapToGrid/>
                <w:sz w:val="20"/>
              </w:rPr>
              <w:t>Any episode of acute symptomatic hyperammonaemia should be treated as a life-threatening emergency and may be started as early as the first day of life.</w:t>
            </w:r>
            <w:r w:rsidR="007F20A2">
              <w:rPr>
                <w:rFonts w:ascii="Arial Narrow" w:hAnsi="Arial Narrow"/>
                <w:snapToGrid/>
                <w:sz w:val="20"/>
              </w:rPr>
              <w:t xml:space="preserve"> </w:t>
            </w:r>
            <w:r w:rsidRPr="001370CA">
              <w:rPr>
                <w:rFonts w:ascii="Arial Narrow" w:hAnsi="Arial Narrow"/>
                <w:snapToGrid/>
                <w:sz w:val="20"/>
              </w:rPr>
              <w:t>Treatment of hyperammonaemia may require dialysis, preferably haemodialysis, to remove a large burden of ammonia.</w:t>
            </w:r>
            <w:r w:rsidR="007F20A2">
              <w:rPr>
                <w:rFonts w:ascii="Arial Narrow" w:hAnsi="Arial Narrow"/>
                <w:snapToGrid/>
                <w:sz w:val="20"/>
              </w:rPr>
              <w:t xml:space="preserve"> </w:t>
            </w:r>
            <w:r w:rsidRPr="001370CA">
              <w:rPr>
                <w:rFonts w:ascii="Arial Narrow" w:hAnsi="Arial Narrow"/>
                <w:snapToGrid/>
                <w:sz w:val="20"/>
              </w:rPr>
              <w:t>Uncontrolled hyperammonaemia can rapidly result in brain injury/damage or death, and prompt use of all therapies necessary to reduce plasma ammonia levels is essential.</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Clinical criteria</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N/A</w:t>
            </w:r>
          </w:p>
        </w:tc>
      </w:tr>
      <w:tr w:rsidR="00086B72" w:rsidRPr="001370CA" w:rsidTr="00086B72">
        <w:trPr>
          <w:trHeight w:val="20"/>
        </w:trPr>
        <w:tc>
          <w:tcPr>
            <w:tcW w:w="934" w:type="pct"/>
            <w:tcBorders>
              <w:top w:val="single" w:sz="4" w:space="0" w:color="auto"/>
              <w:left w:val="single" w:sz="4" w:space="0" w:color="auto"/>
              <w:bottom w:val="single" w:sz="4" w:space="0" w:color="auto"/>
              <w:right w:val="single" w:sz="4" w:space="0" w:color="auto"/>
            </w:tcBorders>
            <w:hideMark/>
          </w:tcPr>
          <w:p w:rsidR="00086B72" w:rsidRPr="001370CA" w:rsidRDefault="00086B72" w:rsidP="007473B7">
            <w:pPr>
              <w:widowControl/>
              <w:snapToGrid w:val="0"/>
              <w:spacing w:line="20" w:lineRule="atLeast"/>
              <w:rPr>
                <w:rFonts w:ascii="Arial Narrow" w:hAnsi="Arial Narrow"/>
                <w:sz w:val="20"/>
                <w:lang w:eastAsia="en-AU"/>
              </w:rPr>
            </w:pPr>
            <w:r w:rsidRPr="001370CA">
              <w:rPr>
                <w:rFonts w:ascii="Arial Narrow" w:hAnsi="Arial Narrow"/>
                <w:sz w:val="20"/>
                <w:lang w:eastAsia="en-AU"/>
              </w:rPr>
              <w:t>Population criteria</w:t>
            </w:r>
          </w:p>
        </w:tc>
        <w:tc>
          <w:tcPr>
            <w:tcW w:w="4066" w:type="pct"/>
            <w:gridSpan w:val="6"/>
            <w:tcBorders>
              <w:top w:val="single" w:sz="4" w:space="0" w:color="auto"/>
              <w:left w:val="single" w:sz="4" w:space="0" w:color="auto"/>
              <w:bottom w:val="single" w:sz="4" w:space="0" w:color="auto"/>
              <w:right w:val="single" w:sz="4" w:space="0" w:color="auto"/>
            </w:tcBorders>
          </w:tcPr>
          <w:p w:rsidR="00086B72" w:rsidRPr="001370CA" w:rsidRDefault="00086B72" w:rsidP="007473B7">
            <w:pPr>
              <w:widowControl/>
              <w:adjustRightInd w:val="0"/>
              <w:spacing w:line="20" w:lineRule="atLeast"/>
              <w:rPr>
                <w:rFonts w:ascii="Arial Narrow" w:hAnsi="Arial Narrow"/>
                <w:color w:val="000000"/>
                <w:sz w:val="20"/>
                <w:lang w:eastAsia="en-AU"/>
              </w:rPr>
            </w:pPr>
            <w:r w:rsidRPr="001370CA">
              <w:rPr>
                <w:rFonts w:ascii="Arial Narrow" w:hAnsi="Arial Narrow"/>
                <w:sz w:val="20"/>
                <w:lang w:eastAsia="en-AU"/>
              </w:rPr>
              <w:t>N/A</w:t>
            </w:r>
          </w:p>
        </w:tc>
      </w:tr>
    </w:tbl>
    <w:p w:rsidR="00086B72" w:rsidRPr="004658FA" w:rsidRDefault="00086B72" w:rsidP="007473B7">
      <w:pPr>
        <w:pStyle w:val="TableFooter"/>
        <w:widowControl/>
        <w:ind w:left="720"/>
      </w:pPr>
      <w:r w:rsidRPr="004658FA">
        <w:t>Note: The submission did not provide the requested restriction in the standard table format; the information provided in the submission was placed into this format during the evaluation.</w:t>
      </w:r>
    </w:p>
    <w:p w:rsidR="00086B72" w:rsidRPr="004658FA" w:rsidRDefault="00086B72" w:rsidP="007473B7">
      <w:pPr>
        <w:pStyle w:val="ListParagraph"/>
        <w:widowControl/>
        <w:rPr>
          <w:szCs w:val="22"/>
        </w:rPr>
      </w:pPr>
    </w:p>
    <w:p w:rsidR="008045D8" w:rsidRPr="004658FA" w:rsidRDefault="006A6511" w:rsidP="007473B7">
      <w:pPr>
        <w:pStyle w:val="ListParagraph"/>
        <w:widowControl/>
        <w:numPr>
          <w:ilvl w:val="1"/>
          <w:numId w:val="3"/>
        </w:numPr>
        <w:rPr>
          <w:szCs w:val="22"/>
        </w:rPr>
      </w:pPr>
      <w:r w:rsidRPr="004658FA">
        <w:rPr>
          <w:szCs w:val="22"/>
        </w:rPr>
        <w:t>With regards to the diagnosis of organic acidaemias, the PSCR advised that “Häberle et al. (2012) indicates that after confirmation of hyperammonaemia, further biochemical tests to identify organic acids in urine must be undertaken. This will differentiate between various types of urea cycle disorders. Genetic testing is the best method to confirm the diagnosis.”</w:t>
      </w:r>
      <w:r w:rsidR="005B5CC0" w:rsidRPr="004658FA">
        <w:rPr>
          <w:szCs w:val="22"/>
        </w:rPr>
        <w:t xml:space="preserve"> (PSCR)</w:t>
      </w:r>
      <w:r w:rsidR="00C0603A" w:rsidRPr="004658FA">
        <w:rPr>
          <w:szCs w:val="22"/>
        </w:rPr>
        <w:t xml:space="preserve">. The ESC noted that it was unclear whether this genetic testing was </w:t>
      </w:r>
      <w:r w:rsidR="00233294" w:rsidRPr="004658FA">
        <w:rPr>
          <w:szCs w:val="22"/>
        </w:rPr>
        <w:t>conducted during routine neonatal screening in each state and territory</w:t>
      </w:r>
      <w:r w:rsidR="00C0603A" w:rsidRPr="004658FA">
        <w:rPr>
          <w:szCs w:val="22"/>
        </w:rPr>
        <w:t>.</w:t>
      </w:r>
      <w:r w:rsidRPr="004658FA" w:rsidDel="006A6511">
        <w:rPr>
          <w:szCs w:val="22"/>
        </w:rPr>
        <w:t xml:space="preserve"> </w:t>
      </w:r>
    </w:p>
    <w:p w:rsidR="008045D8" w:rsidRDefault="008045D8" w:rsidP="007473B7">
      <w:pPr>
        <w:pStyle w:val="ListParagraph"/>
        <w:widowControl/>
        <w:rPr>
          <w:szCs w:val="22"/>
        </w:rPr>
      </w:pPr>
    </w:p>
    <w:p w:rsidR="00502D63" w:rsidRPr="004658FA" w:rsidRDefault="00807B8C" w:rsidP="007473B7">
      <w:pPr>
        <w:pStyle w:val="ListParagraph"/>
        <w:widowControl/>
        <w:numPr>
          <w:ilvl w:val="1"/>
          <w:numId w:val="3"/>
        </w:numPr>
        <w:rPr>
          <w:rFonts w:asciiTheme="minorBidi" w:hAnsiTheme="minorBidi" w:cstheme="minorBidi"/>
          <w:snapToGrid/>
          <w:szCs w:val="22"/>
        </w:rPr>
      </w:pPr>
      <w:r w:rsidRPr="004658FA">
        <w:rPr>
          <w:rFonts w:asciiTheme="minorBidi" w:hAnsiTheme="minorBidi" w:cstheme="minorBidi"/>
          <w:snapToGrid/>
          <w:szCs w:val="22"/>
        </w:rPr>
        <w:t>The PSCR</w:t>
      </w:r>
      <w:r w:rsidR="00580E31" w:rsidRPr="004658FA">
        <w:rPr>
          <w:rFonts w:asciiTheme="minorBidi" w:hAnsiTheme="minorBidi" w:cstheme="minorBidi"/>
          <w:snapToGrid/>
          <w:szCs w:val="22"/>
        </w:rPr>
        <w:t xml:space="preserve"> </w:t>
      </w:r>
      <w:r w:rsidRPr="004658FA">
        <w:rPr>
          <w:rFonts w:asciiTheme="minorBidi" w:hAnsiTheme="minorBidi" w:cstheme="minorBidi"/>
          <w:snapToGrid/>
          <w:szCs w:val="22"/>
        </w:rPr>
        <w:t xml:space="preserve">requested that the </w:t>
      </w:r>
      <w:r w:rsidR="00580E31" w:rsidRPr="004658FA">
        <w:rPr>
          <w:rFonts w:asciiTheme="minorBidi" w:hAnsiTheme="minorBidi" w:cstheme="minorBidi"/>
          <w:snapToGrid/>
          <w:szCs w:val="22"/>
        </w:rPr>
        <w:t xml:space="preserve">requested </w:t>
      </w:r>
      <w:r w:rsidRPr="004658FA">
        <w:rPr>
          <w:rFonts w:asciiTheme="minorBidi" w:hAnsiTheme="minorBidi" w:cstheme="minorBidi"/>
          <w:snapToGrid/>
          <w:szCs w:val="22"/>
        </w:rPr>
        <w:t xml:space="preserve">maximum quantities </w:t>
      </w:r>
      <w:r w:rsidR="007A5685" w:rsidRPr="004658FA">
        <w:rPr>
          <w:rFonts w:asciiTheme="minorBidi" w:hAnsiTheme="minorBidi" w:cstheme="minorBidi"/>
          <w:snapToGrid/>
          <w:szCs w:val="22"/>
        </w:rPr>
        <w:t>be</w:t>
      </w:r>
      <w:r w:rsidR="00F977B3" w:rsidRPr="004658FA">
        <w:rPr>
          <w:rFonts w:asciiTheme="minorBidi" w:hAnsiTheme="minorBidi" w:cstheme="minorBidi"/>
          <w:snapToGrid/>
          <w:szCs w:val="22"/>
        </w:rPr>
        <w:t xml:space="preserve"> 20 for the 5</w:t>
      </w:r>
      <w:r w:rsidR="007A5685" w:rsidRPr="004658FA">
        <w:rPr>
          <w:rFonts w:asciiTheme="minorBidi" w:hAnsiTheme="minorBidi" w:cstheme="minorBidi"/>
          <w:snapToGrid/>
          <w:szCs w:val="22"/>
        </w:rPr>
        <w:noBreakHyphen/>
      </w:r>
      <w:r w:rsidR="00580E31" w:rsidRPr="004658FA">
        <w:rPr>
          <w:rFonts w:asciiTheme="minorBidi" w:hAnsiTheme="minorBidi" w:cstheme="minorBidi"/>
          <w:snapToGrid/>
          <w:szCs w:val="22"/>
        </w:rPr>
        <w:t>tablet b</w:t>
      </w:r>
      <w:r w:rsidR="00F977B3" w:rsidRPr="004658FA">
        <w:rPr>
          <w:rFonts w:asciiTheme="minorBidi" w:hAnsiTheme="minorBidi" w:cstheme="minorBidi"/>
          <w:snapToGrid/>
          <w:szCs w:val="22"/>
        </w:rPr>
        <w:t>ottle and 2 for the 60-</w:t>
      </w:r>
      <w:r w:rsidR="00580E31" w:rsidRPr="004658FA">
        <w:rPr>
          <w:rFonts w:asciiTheme="minorBidi" w:hAnsiTheme="minorBidi" w:cstheme="minorBidi"/>
          <w:snapToGrid/>
          <w:szCs w:val="22"/>
        </w:rPr>
        <w:t xml:space="preserve">tablet bottle. </w:t>
      </w:r>
      <w:r w:rsidR="00502D63" w:rsidRPr="004658FA">
        <w:rPr>
          <w:rFonts w:asciiTheme="minorBidi" w:hAnsiTheme="minorBidi" w:cstheme="minorBidi"/>
          <w:snapToGrid/>
          <w:szCs w:val="22"/>
        </w:rPr>
        <w:t xml:space="preserve">The ESC noted that the </w:t>
      </w:r>
      <w:r w:rsidR="007A5685" w:rsidRPr="004658FA">
        <w:rPr>
          <w:rFonts w:asciiTheme="minorBidi" w:hAnsiTheme="minorBidi" w:cstheme="minorBidi"/>
          <w:snapToGrid/>
          <w:szCs w:val="22"/>
        </w:rPr>
        <w:t>requested</w:t>
      </w:r>
      <w:r w:rsidR="00502D63" w:rsidRPr="004658FA">
        <w:rPr>
          <w:rFonts w:asciiTheme="minorBidi" w:hAnsiTheme="minorBidi" w:cstheme="minorBidi"/>
          <w:snapToGrid/>
          <w:szCs w:val="22"/>
        </w:rPr>
        <w:t xml:space="preserve"> maximum </w:t>
      </w:r>
      <w:r w:rsidR="00502D63" w:rsidRPr="004658FA">
        <w:rPr>
          <w:rFonts w:asciiTheme="minorBidi" w:hAnsiTheme="minorBidi" w:cstheme="minorBidi"/>
          <w:snapToGrid/>
          <w:szCs w:val="22"/>
        </w:rPr>
        <w:lastRenderedPageBreak/>
        <w:t xml:space="preserve">quantities could present a wastage issue as patients may receive more carglumic acid than required for the duration of the decompensation episode. </w:t>
      </w:r>
      <w:r w:rsidR="00983F34" w:rsidRPr="004658FA">
        <w:rPr>
          <w:rFonts w:asciiTheme="minorBidi" w:hAnsiTheme="minorBidi" w:cstheme="minorBidi"/>
          <w:snapToGrid/>
          <w:szCs w:val="22"/>
        </w:rPr>
        <w:t>Furthermore, the DPMQs provided in the submission (which were based on a maximum quantity of one bottle) will not be applicable to the new maximum quantities.</w:t>
      </w:r>
    </w:p>
    <w:p w:rsidR="00533F37" w:rsidRPr="00502D63" w:rsidRDefault="00533F37" w:rsidP="007473B7">
      <w:pPr>
        <w:pStyle w:val="ListParagraph"/>
        <w:widowControl/>
        <w:rPr>
          <w:rFonts w:asciiTheme="minorBidi" w:hAnsiTheme="minorBidi" w:cstheme="minorBidi"/>
          <w:i/>
          <w:snapToGrid/>
          <w:szCs w:val="22"/>
        </w:rPr>
      </w:pPr>
    </w:p>
    <w:p w:rsidR="00A059EF" w:rsidRPr="004658FA" w:rsidRDefault="00A059EF" w:rsidP="007473B7">
      <w:pPr>
        <w:pStyle w:val="ListParagraph"/>
        <w:widowControl/>
        <w:numPr>
          <w:ilvl w:val="1"/>
          <w:numId w:val="3"/>
        </w:numPr>
        <w:rPr>
          <w:rFonts w:asciiTheme="minorBidi" w:hAnsiTheme="minorBidi" w:cstheme="minorBidi"/>
          <w:snapToGrid/>
          <w:szCs w:val="22"/>
        </w:rPr>
      </w:pPr>
      <w:r w:rsidRPr="004658FA">
        <w:rPr>
          <w:rFonts w:asciiTheme="minorBidi" w:hAnsiTheme="minorBidi" w:cstheme="minorBidi"/>
          <w:snapToGrid/>
          <w:szCs w:val="22"/>
        </w:rPr>
        <w:t xml:space="preserve">The ESC noted that the PSCR did not provide a restriction in the appropriate format as requested </w:t>
      </w:r>
      <w:r w:rsidR="007A5685" w:rsidRPr="004658FA">
        <w:rPr>
          <w:rFonts w:asciiTheme="minorBidi" w:hAnsiTheme="minorBidi" w:cstheme="minorBidi"/>
          <w:snapToGrid/>
          <w:szCs w:val="22"/>
        </w:rPr>
        <w:t>during the evaluation</w:t>
      </w:r>
      <w:r w:rsidRPr="004658FA">
        <w:rPr>
          <w:rFonts w:asciiTheme="minorBidi" w:hAnsiTheme="minorBidi" w:cstheme="minorBidi"/>
          <w:snapToGrid/>
          <w:szCs w:val="22"/>
        </w:rPr>
        <w:t>.</w:t>
      </w:r>
    </w:p>
    <w:p w:rsidR="00086B72" w:rsidRPr="00C11A33" w:rsidRDefault="00086B72" w:rsidP="007473B7">
      <w:pPr>
        <w:widowControl/>
        <w:rPr>
          <w:szCs w:val="22"/>
        </w:rPr>
      </w:pPr>
    </w:p>
    <w:p w:rsidR="00D06A1E" w:rsidRDefault="008A1507" w:rsidP="007473B7">
      <w:pPr>
        <w:pStyle w:val="ListParagraph"/>
        <w:widowControl/>
        <w:numPr>
          <w:ilvl w:val="1"/>
          <w:numId w:val="3"/>
        </w:numPr>
        <w:rPr>
          <w:szCs w:val="22"/>
        </w:rPr>
      </w:pPr>
      <w:r>
        <w:rPr>
          <w:szCs w:val="22"/>
        </w:rPr>
        <w:t>A cost-effectiveness analysis for carglumic acid versus standard therapy</w:t>
      </w:r>
      <w:r w:rsidR="00C236B7">
        <w:rPr>
          <w:szCs w:val="22"/>
        </w:rPr>
        <w:t xml:space="preserve"> in acute hyperammonaemia secondary to IVA, MMA or PA</w:t>
      </w:r>
      <w:r>
        <w:rPr>
          <w:szCs w:val="22"/>
        </w:rPr>
        <w:t xml:space="preserve"> </w:t>
      </w:r>
      <w:r w:rsidR="00A059EF">
        <w:rPr>
          <w:szCs w:val="22"/>
        </w:rPr>
        <w:t>wa</w:t>
      </w:r>
      <w:r>
        <w:rPr>
          <w:szCs w:val="22"/>
        </w:rPr>
        <w:t>s presented.</w:t>
      </w:r>
    </w:p>
    <w:p w:rsidR="00D64702" w:rsidRPr="00D64702" w:rsidRDefault="00D64702" w:rsidP="007473B7">
      <w:pPr>
        <w:pStyle w:val="ListParagraph"/>
        <w:widowControl/>
        <w:rPr>
          <w:szCs w:val="22"/>
        </w:rPr>
      </w:pPr>
    </w:p>
    <w:p w:rsidR="00D64702" w:rsidRDefault="00D64702" w:rsidP="007473B7">
      <w:pPr>
        <w:pStyle w:val="ListParagraph"/>
        <w:widowControl/>
        <w:numPr>
          <w:ilvl w:val="1"/>
          <w:numId w:val="3"/>
        </w:numPr>
        <w:rPr>
          <w:szCs w:val="22"/>
        </w:rPr>
      </w:pPr>
      <w:r>
        <w:rPr>
          <w:szCs w:val="22"/>
        </w:rPr>
        <w:t>The pre-PBAC response requested the following additional clinical criterion:</w:t>
      </w:r>
    </w:p>
    <w:p w:rsidR="00D64702" w:rsidRPr="00194225" w:rsidRDefault="00D64702" w:rsidP="00194225">
      <w:pPr>
        <w:pStyle w:val="ListParagraph"/>
        <w:widowControl/>
        <w:ind w:left="1134"/>
        <w:rPr>
          <w:szCs w:val="22"/>
        </w:rPr>
      </w:pPr>
      <w:r w:rsidRPr="00D64702">
        <w:rPr>
          <w:szCs w:val="22"/>
        </w:rPr>
        <w:t>Patients need to be experiencing hyperammonaemia due to organic acidaemias. Treatment may be initiated then confirmatory biochemical tests to determine ammonia concentration levels as well as genetic testing should be undertaken to confirm a diagnosis of organic acidaemia. If this is not conformed then ongoing PBS prescribing should be ceased.</w:t>
      </w:r>
    </w:p>
    <w:p w:rsidR="00D64702" w:rsidRDefault="00D64702" w:rsidP="007473B7">
      <w:pPr>
        <w:widowControl/>
      </w:pPr>
    </w:p>
    <w:p w:rsidR="00FF1313" w:rsidRPr="00882085" w:rsidRDefault="00FF1313" w:rsidP="007473B7">
      <w:pPr>
        <w:widowControl/>
      </w:pPr>
    </w:p>
    <w:p w:rsidR="00B50DB8" w:rsidRPr="00407F2D" w:rsidRDefault="00B50DB8" w:rsidP="007473B7">
      <w:pPr>
        <w:pStyle w:val="PBACHeading1"/>
        <w:keepNext/>
      </w:pPr>
      <w:bookmarkStart w:id="4" w:name="_Toc419464745"/>
      <w:r w:rsidRPr="00407F2D">
        <w:t>Background</w:t>
      </w:r>
      <w:bookmarkEnd w:id="4"/>
    </w:p>
    <w:p w:rsidR="00B60939" w:rsidRPr="00882085" w:rsidRDefault="00B60939" w:rsidP="007473B7">
      <w:pPr>
        <w:keepNext/>
        <w:widowControl/>
        <w:rPr>
          <w:szCs w:val="22"/>
        </w:rPr>
      </w:pPr>
    </w:p>
    <w:p w:rsidR="00B60939" w:rsidRPr="00827409" w:rsidRDefault="00B60939" w:rsidP="007473B7">
      <w:pPr>
        <w:pStyle w:val="ListParagraph"/>
        <w:widowControl/>
        <w:numPr>
          <w:ilvl w:val="1"/>
          <w:numId w:val="3"/>
        </w:numPr>
        <w:rPr>
          <w:szCs w:val="22"/>
        </w:rPr>
      </w:pPr>
      <w:r w:rsidRPr="00B50DB8">
        <w:rPr>
          <w:szCs w:val="22"/>
        </w:rPr>
        <w:t>TGA status</w:t>
      </w:r>
      <w:r w:rsidR="00CD2EAC">
        <w:rPr>
          <w:szCs w:val="22"/>
        </w:rPr>
        <w:t xml:space="preserve"> at time of </w:t>
      </w:r>
      <w:r w:rsidR="00D64702">
        <w:rPr>
          <w:szCs w:val="22"/>
        </w:rPr>
        <w:t>PBAC consideration</w:t>
      </w:r>
      <w:r w:rsidRPr="00B50DB8">
        <w:rPr>
          <w:szCs w:val="22"/>
        </w:rPr>
        <w:t xml:space="preserve">: </w:t>
      </w:r>
      <w:r w:rsidR="00827409">
        <w:rPr>
          <w:szCs w:val="22"/>
        </w:rPr>
        <w:t>Carglumic acid was TGA registered on 12</w:t>
      </w:r>
      <w:r w:rsidR="00FC7A6B">
        <w:rPr>
          <w:szCs w:val="22"/>
        </w:rPr>
        <w:t> </w:t>
      </w:r>
      <w:r w:rsidR="00827409">
        <w:rPr>
          <w:szCs w:val="22"/>
        </w:rPr>
        <w:t>February 2015</w:t>
      </w:r>
      <w:r w:rsidR="00BC1068" w:rsidRPr="00827409">
        <w:rPr>
          <w:szCs w:val="22"/>
        </w:rPr>
        <w:t xml:space="preserve"> for the </w:t>
      </w:r>
      <w:r w:rsidR="00611DA5">
        <w:rPr>
          <w:szCs w:val="22"/>
        </w:rPr>
        <w:t xml:space="preserve">following </w:t>
      </w:r>
      <w:r w:rsidR="00BC1068" w:rsidRPr="00827409">
        <w:rPr>
          <w:szCs w:val="22"/>
        </w:rPr>
        <w:t>indications:</w:t>
      </w:r>
    </w:p>
    <w:p w:rsidR="00BC1068" w:rsidRPr="004C66AB" w:rsidRDefault="00BC1068" w:rsidP="007473B7">
      <w:pPr>
        <w:widowControl/>
        <w:numPr>
          <w:ilvl w:val="0"/>
          <w:numId w:val="5"/>
        </w:numPr>
        <w:tabs>
          <w:tab w:val="left" w:pos="416"/>
          <w:tab w:val="left" w:pos="993"/>
        </w:tabs>
        <w:spacing w:after="200"/>
        <w:ind w:left="993" w:hanging="284"/>
        <w:contextualSpacing/>
        <w:jc w:val="left"/>
        <w:rPr>
          <w:rFonts w:asciiTheme="minorBidi" w:hAnsiTheme="minorBidi" w:cstheme="minorBidi"/>
          <w:snapToGrid/>
          <w:szCs w:val="22"/>
        </w:rPr>
      </w:pPr>
      <w:r w:rsidRPr="004C66AB">
        <w:rPr>
          <w:rFonts w:asciiTheme="minorBidi" w:hAnsiTheme="minorBidi" w:cstheme="minorBidi"/>
          <w:snapToGrid/>
          <w:szCs w:val="22"/>
        </w:rPr>
        <w:t xml:space="preserve">Hyperammonaemia due to N-acetylglutamate synthase </w:t>
      </w:r>
      <w:r>
        <w:rPr>
          <w:rFonts w:asciiTheme="minorBidi" w:hAnsiTheme="minorBidi" w:cstheme="minorBidi"/>
          <w:snapToGrid/>
          <w:szCs w:val="22"/>
        </w:rPr>
        <w:t xml:space="preserve">(NAGS) </w:t>
      </w:r>
      <w:r w:rsidRPr="004C66AB">
        <w:rPr>
          <w:rFonts w:asciiTheme="minorBidi" w:hAnsiTheme="minorBidi" w:cstheme="minorBidi"/>
          <w:snapToGrid/>
          <w:szCs w:val="22"/>
        </w:rPr>
        <w:t>primary deficiency</w:t>
      </w:r>
      <w:r w:rsidR="00E646D1">
        <w:rPr>
          <w:rFonts w:asciiTheme="minorBidi" w:hAnsiTheme="minorBidi" w:cstheme="minorBidi"/>
          <w:snapToGrid/>
          <w:szCs w:val="22"/>
        </w:rPr>
        <w:t>.</w:t>
      </w:r>
    </w:p>
    <w:p w:rsidR="00BC1068" w:rsidRPr="004C66AB" w:rsidRDefault="00BC1068" w:rsidP="007473B7">
      <w:pPr>
        <w:widowControl/>
        <w:numPr>
          <w:ilvl w:val="0"/>
          <w:numId w:val="5"/>
        </w:numPr>
        <w:tabs>
          <w:tab w:val="left" w:pos="416"/>
          <w:tab w:val="left" w:pos="993"/>
        </w:tabs>
        <w:spacing w:after="200"/>
        <w:ind w:left="993" w:hanging="284"/>
        <w:contextualSpacing/>
        <w:jc w:val="left"/>
        <w:rPr>
          <w:rFonts w:asciiTheme="minorBidi" w:hAnsiTheme="minorBidi" w:cstheme="minorBidi"/>
          <w:snapToGrid/>
          <w:szCs w:val="22"/>
        </w:rPr>
      </w:pPr>
      <w:r w:rsidRPr="004C66AB">
        <w:rPr>
          <w:rFonts w:asciiTheme="minorBidi" w:hAnsiTheme="minorBidi" w:cstheme="minorBidi"/>
          <w:snapToGrid/>
          <w:szCs w:val="22"/>
        </w:rPr>
        <w:t>Hyperammonaemia due to organic acidaemias</w:t>
      </w:r>
      <w:r>
        <w:rPr>
          <w:rFonts w:asciiTheme="minorBidi" w:hAnsiTheme="minorBidi" w:cstheme="minorBidi"/>
          <w:snapToGrid/>
          <w:szCs w:val="22"/>
        </w:rPr>
        <w:t xml:space="preserve"> (OA)</w:t>
      </w:r>
      <w:r w:rsidRPr="004C66AB">
        <w:rPr>
          <w:rFonts w:asciiTheme="minorBidi" w:hAnsiTheme="minorBidi" w:cstheme="minorBidi"/>
          <w:snapToGrid/>
          <w:szCs w:val="22"/>
        </w:rPr>
        <w:t xml:space="preserve"> such as:</w:t>
      </w:r>
    </w:p>
    <w:p w:rsidR="00BC1068" w:rsidRPr="004C66AB" w:rsidRDefault="00BC1068" w:rsidP="007473B7">
      <w:pPr>
        <w:widowControl/>
        <w:numPr>
          <w:ilvl w:val="1"/>
          <w:numId w:val="5"/>
        </w:numPr>
        <w:tabs>
          <w:tab w:val="left" w:pos="416"/>
          <w:tab w:val="left" w:pos="993"/>
        </w:tabs>
        <w:spacing w:after="200"/>
        <w:ind w:left="993" w:firstLine="0"/>
        <w:contextualSpacing/>
        <w:jc w:val="left"/>
        <w:rPr>
          <w:rFonts w:asciiTheme="minorBidi" w:hAnsiTheme="minorBidi" w:cstheme="minorBidi"/>
          <w:snapToGrid/>
          <w:szCs w:val="22"/>
        </w:rPr>
      </w:pPr>
      <w:r w:rsidRPr="004C66AB">
        <w:rPr>
          <w:rFonts w:asciiTheme="minorBidi" w:hAnsiTheme="minorBidi" w:cstheme="minorBidi"/>
          <w:snapToGrid/>
          <w:szCs w:val="22"/>
        </w:rPr>
        <w:t xml:space="preserve">Hyperammonaemia due to </w:t>
      </w:r>
      <w:r w:rsidR="00E646D1">
        <w:rPr>
          <w:rFonts w:asciiTheme="minorBidi" w:hAnsiTheme="minorBidi" w:cstheme="minorBidi"/>
          <w:snapToGrid/>
          <w:szCs w:val="22"/>
        </w:rPr>
        <w:t>IVA</w:t>
      </w:r>
      <w:r w:rsidRPr="004C66AB">
        <w:rPr>
          <w:rFonts w:asciiTheme="minorBidi" w:hAnsiTheme="minorBidi" w:cstheme="minorBidi"/>
          <w:snapToGrid/>
          <w:szCs w:val="22"/>
        </w:rPr>
        <w:t>;</w:t>
      </w:r>
    </w:p>
    <w:p w:rsidR="00BC1068" w:rsidRPr="004C66AB" w:rsidRDefault="00BC1068" w:rsidP="007473B7">
      <w:pPr>
        <w:widowControl/>
        <w:numPr>
          <w:ilvl w:val="1"/>
          <w:numId w:val="5"/>
        </w:numPr>
        <w:tabs>
          <w:tab w:val="left" w:pos="416"/>
          <w:tab w:val="left" w:pos="993"/>
        </w:tabs>
        <w:spacing w:after="200"/>
        <w:ind w:left="993" w:firstLine="0"/>
        <w:contextualSpacing/>
        <w:jc w:val="left"/>
        <w:rPr>
          <w:rFonts w:asciiTheme="minorBidi" w:hAnsiTheme="minorBidi" w:cstheme="minorBidi"/>
          <w:snapToGrid/>
          <w:szCs w:val="22"/>
        </w:rPr>
      </w:pPr>
      <w:r w:rsidRPr="004C66AB">
        <w:rPr>
          <w:rFonts w:asciiTheme="minorBidi" w:hAnsiTheme="minorBidi" w:cstheme="minorBidi"/>
          <w:snapToGrid/>
          <w:szCs w:val="22"/>
        </w:rPr>
        <w:t xml:space="preserve">Hyperammonaemia due to </w:t>
      </w:r>
      <w:r w:rsidR="00E646D1">
        <w:rPr>
          <w:rFonts w:asciiTheme="minorBidi" w:hAnsiTheme="minorBidi" w:cstheme="minorBidi"/>
          <w:snapToGrid/>
          <w:szCs w:val="22"/>
        </w:rPr>
        <w:t>MMA</w:t>
      </w:r>
      <w:r w:rsidRPr="004C66AB">
        <w:rPr>
          <w:rFonts w:asciiTheme="minorBidi" w:hAnsiTheme="minorBidi" w:cstheme="minorBidi"/>
          <w:snapToGrid/>
          <w:szCs w:val="22"/>
        </w:rPr>
        <w:t>;</w:t>
      </w:r>
      <w:r w:rsidR="00E646D1">
        <w:rPr>
          <w:rFonts w:asciiTheme="minorBidi" w:hAnsiTheme="minorBidi" w:cstheme="minorBidi"/>
          <w:snapToGrid/>
          <w:szCs w:val="22"/>
        </w:rPr>
        <w:t xml:space="preserve"> and</w:t>
      </w:r>
    </w:p>
    <w:p w:rsidR="00BC1068" w:rsidRPr="00677EE7" w:rsidRDefault="00BC1068" w:rsidP="007473B7">
      <w:pPr>
        <w:widowControl/>
        <w:numPr>
          <w:ilvl w:val="1"/>
          <w:numId w:val="5"/>
        </w:numPr>
        <w:tabs>
          <w:tab w:val="left" w:pos="416"/>
          <w:tab w:val="left" w:pos="993"/>
        </w:tabs>
        <w:spacing w:after="200"/>
        <w:ind w:left="993" w:firstLine="0"/>
        <w:contextualSpacing/>
        <w:jc w:val="left"/>
        <w:rPr>
          <w:rFonts w:asciiTheme="minorBidi" w:hAnsiTheme="minorBidi" w:cstheme="minorBidi"/>
          <w:snapToGrid/>
          <w:szCs w:val="22"/>
          <w:lang w:val="it-IT"/>
        </w:rPr>
      </w:pPr>
      <w:r w:rsidRPr="004C66AB">
        <w:rPr>
          <w:rFonts w:asciiTheme="minorBidi" w:hAnsiTheme="minorBidi" w:cstheme="minorBidi"/>
          <w:snapToGrid/>
          <w:szCs w:val="22"/>
          <w:lang w:val="it-IT"/>
        </w:rPr>
        <w:t xml:space="preserve">Hyperammonaemia due to </w:t>
      </w:r>
      <w:r w:rsidR="00E646D1">
        <w:rPr>
          <w:rFonts w:asciiTheme="minorBidi" w:hAnsiTheme="minorBidi" w:cstheme="minorBidi"/>
          <w:snapToGrid/>
          <w:szCs w:val="22"/>
          <w:lang w:val="it-IT"/>
        </w:rPr>
        <w:t>PA</w:t>
      </w:r>
      <w:r w:rsidRPr="004C66AB">
        <w:rPr>
          <w:rFonts w:asciiTheme="minorBidi" w:hAnsiTheme="minorBidi" w:cstheme="minorBidi"/>
          <w:snapToGrid/>
          <w:szCs w:val="22"/>
          <w:lang w:val="it-IT"/>
        </w:rPr>
        <w:t>.</w:t>
      </w:r>
    </w:p>
    <w:p w:rsidR="00BC1068" w:rsidRPr="00827409" w:rsidRDefault="00BC1068" w:rsidP="007473B7">
      <w:pPr>
        <w:widowControl/>
        <w:rPr>
          <w:szCs w:val="22"/>
          <w:lang w:val="it-IT"/>
        </w:rPr>
      </w:pPr>
    </w:p>
    <w:p w:rsidR="002C2775" w:rsidRDefault="00677EE7" w:rsidP="007473B7">
      <w:pPr>
        <w:pStyle w:val="ListParagraph"/>
        <w:widowControl/>
        <w:numPr>
          <w:ilvl w:val="1"/>
          <w:numId w:val="3"/>
        </w:numPr>
        <w:rPr>
          <w:szCs w:val="22"/>
        </w:rPr>
      </w:pPr>
      <w:r w:rsidRPr="00677EE7">
        <w:rPr>
          <w:szCs w:val="22"/>
        </w:rPr>
        <w:t xml:space="preserve">Carglumic acid </w:t>
      </w:r>
      <w:r w:rsidR="00E646D1">
        <w:rPr>
          <w:szCs w:val="22"/>
        </w:rPr>
        <w:t>has</w:t>
      </w:r>
      <w:r w:rsidR="00E646D1" w:rsidRPr="00677EE7">
        <w:rPr>
          <w:szCs w:val="22"/>
        </w:rPr>
        <w:t xml:space="preserve"> </w:t>
      </w:r>
      <w:r w:rsidRPr="00677EE7">
        <w:rPr>
          <w:szCs w:val="22"/>
        </w:rPr>
        <w:t xml:space="preserve">not </w:t>
      </w:r>
      <w:r w:rsidR="00E646D1">
        <w:rPr>
          <w:szCs w:val="22"/>
        </w:rPr>
        <w:t xml:space="preserve">been </w:t>
      </w:r>
      <w:r w:rsidRPr="00677EE7">
        <w:rPr>
          <w:szCs w:val="22"/>
        </w:rPr>
        <w:t xml:space="preserve">considered by </w:t>
      </w:r>
      <w:r w:rsidR="00E646D1">
        <w:rPr>
          <w:szCs w:val="22"/>
        </w:rPr>
        <w:t xml:space="preserve">the </w:t>
      </w:r>
      <w:r w:rsidRPr="00677EE7">
        <w:rPr>
          <w:szCs w:val="22"/>
        </w:rPr>
        <w:t>PBAC</w:t>
      </w:r>
      <w:r w:rsidR="00E646D1">
        <w:rPr>
          <w:szCs w:val="22"/>
        </w:rPr>
        <w:t xml:space="preserve"> </w:t>
      </w:r>
      <w:r w:rsidR="00E646D1" w:rsidRPr="00677EE7">
        <w:rPr>
          <w:szCs w:val="22"/>
        </w:rPr>
        <w:t>previously</w:t>
      </w:r>
      <w:r w:rsidRPr="00677EE7">
        <w:rPr>
          <w:szCs w:val="22"/>
        </w:rPr>
        <w:t>.</w:t>
      </w:r>
    </w:p>
    <w:p w:rsidR="00E646D1" w:rsidRDefault="00E646D1" w:rsidP="007473B7">
      <w:pPr>
        <w:widowControl/>
      </w:pPr>
    </w:p>
    <w:p w:rsidR="00D64702" w:rsidRPr="00882085" w:rsidRDefault="00D64702" w:rsidP="007473B7">
      <w:pPr>
        <w:widowControl/>
      </w:pPr>
    </w:p>
    <w:p w:rsidR="00B50DB8" w:rsidRPr="00407F2D" w:rsidRDefault="00B50DB8" w:rsidP="007473B7">
      <w:pPr>
        <w:pStyle w:val="PBACHeading1"/>
        <w:keepNext/>
      </w:pPr>
      <w:bookmarkStart w:id="5" w:name="_Toc419464746"/>
      <w:r w:rsidRPr="00407F2D">
        <w:t>Clinical place for the proposed therapy</w:t>
      </w:r>
      <w:bookmarkEnd w:id="5"/>
    </w:p>
    <w:p w:rsidR="00B60939" w:rsidRPr="00882085" w:rsidRDefault="00B60939" w:rsidP="007473B7">
      <w:pPr>
        <w:keepNext/>
        <w:widowControl/>
        <w:rPr>
          <w:szCs w:val="22"/>
        </w:rPr>
      </w:pPr>
    </w:p>
    <w:p w:rsidR="007019A2" w:rsidRPr="004658FA" w:rsidRDefault="007019A2" w:rsidP="007473B7">
      <w:pPr>
        <w:pStyle w:val="ListParagraph"/>
        <w:widowControl/>
        <w:numPr>
          <w:ilvl w:val="1"/>
          <w:numId w:val="3"/>
        </w:numPr>
        <w:rPr>
          <w:szCs w:val="22"/>
        </w:rPr>
      </w:pPr>
      <w:r w:rsidRPr="004658FA">
        <w:rPr>
          <w:rFonts w:asciiTheme="minorBidi" w:hAnsiTheme="minorBidi" w:cstheme="minorBidi"/>
          <w:color w:val="000000"/>
          <w:lang w:val="en-US"/>
        </w:rPr>
        <w:t xml:space="preserve">PA, MMA and IVA are </w:t>
      </w:r>
      <w:r w:rsidR="007D4DFA" w:rsidRPr="004658FA">
        <w:rPr>
          <w:rFonts w:asciiTheme="minorBidi" w:hAnsiTheme="minorBidi" w:cstheme="minorBidi"/>
          <w:color w:val="000000"/>
          <w:lang w:val="en-US"/>
        </w:rPr>
        <w:t>organic adidaemias cause</w:t>
      </w:r>
      <w:r w:rsidR="0038609B" w:rsidRPr="004658FA">
        <w:rPr>
          <w:rFonts w:asciiTheme="minorBidi" w:hAnsiTheme="minorBidi" w:cstheme="minorBidi"/>
          <w:color w:val="000000"/>
          <w:lang w:val="en-US"/>
        </w:rPr>
        <w:t>d</w:t>
      </w:r>
      <w:r w:rsidR="007D4DFA" w:rsidRPr="004658FA">
        <w:rPr>
          <w:rFonts w:asciiTheme="minorBidi" w:hAnsiTheme="minorBidi" w:cstheme="minorBidi"/>
          <w:color w:val="000000"/>
          <w:lang w:val="en-US"/>
        </w:rPr>
        <w:t xml:space="preserve"> by inborn errors of metabolism</w:t>
      </w:r>
      <w:r w:rsidRPr="004658FA">
        <w:rPr>
          <w:rFonts w:asciiTheme="minorBidi" w:hAnsiTheme="minorBidi" w:cstheme="minorBidi"/>
          <w:color w:val="000000"/>
          <w:lang w:val="en-US"/>
        </w:rPr>
        <w:t xml:space="preserve">: </w:t>
      </w:r>
    </w:p>
    <w:p w:rsidR="007019A2" w:rsidRDefault="001933C3" w:rsidP="007473B7">
      <w:pPr>
        <w:widowControl/>
        <w:numPr>
          <w:ilvl w:val="0"/>
          <w:numId w:val="5"/>
        </w:numPr>
        <w:tabs>
          <w:tab w:val="left" w:pos="416"/>
          <w:tab w:val="left" w:pos="993"/>
        </w:tabs>
        <w:spacing w:after="200"/>
        <w:ind w:left="993" w:hanging="284"/>
        <w:contextualSpacing/>
        <w:jc w:val="left"/>
        <w:rPr>
          <w:rFonts w:asciiTheme="minorBidi" w:hAnsiTheme="minorBidi" w:cstheme="minorBidi"/>
          <w:snapToGrid/>
          <w:szCs w:val="22"/>
        </w:rPr>
      </w:pPr>
      <w:r w:rsidRPr="007019A2">
        <w:rPr>
          <w:rFonts w:asciiTheme="minorBidi" w:hAnsiTheme="minorBidi" w:cstheme="minorBidi"/>
          <w:snapToGrid/>
          <w:szCs w:val="22"/>
        </w:rPr>
        <w:t>PA is caused by a deficiency of propionyl-CoA carboxylase.</w:t>
      </w:r>
    </w:p>
    <w:p w:rsidR="007019A2" w:rsidRDefault="001933C3" w:rsidP="007473B7">
      <w:pPr>
        <w:widowControl/>
        <w:numPr>
          <w:ilvl w:val="0"/>
          <w:numId w:val="5"/>
        </w:numPr>
        <w:tabs>
          <w:tab w:val="left" w:pos="416"/>
          <w:tab w:val="left" w:pos="993"/>
        </w:tabs>
        <w:spacing w:after="200"/>
        <w:ind w:left="993" w:hanging="284"/>
        <w:contextualSpacing/>
        <w:jc w:val="left"/>
        <w:rPr>
          <w:rFonts w:asciiTheme="minorBidi" w:hAnsiTheme="minorBidi" w:cstheme="minorBidi"/>
          <w:snapToGrid/>
          <w:szCs w:val="22"/>
        </w:rPr>
      </w:pPr>
      <w:r w:rsidRPr="007019A2">
        <w:rPr>
          <w:rFonts w:asciiTheme="minorBidi" w:hAnsiTheme="minorBidi" w:cstheme="minorBidi"/>
          <w:snapToGrid/>
          <w:szCs w:val="22"/>
        </w:rPr>
        <w:t>MMA is caused by a deficiency of methylmalonyl-CoA mutase, a vitamin B12</w:t>
      </w:r>
      <w:r w:rsidR="00F977B3">
        <w:rPr>
          <w:rFonts w:asciiTheme="minorBidi" w:hAnsiTheme="minorBidi" w:cstheme="minorBidi"/>
          <w:snapToGrid/>
          <w:szCs w:val="22"/>
        </w:rPr>
        <w:noBreakHyphen/>
      </w:r>
      <w:r w:rsidRPr="007019A2">
        <w:rPr>
          <w:rFonts w:asciiTheme="minorBidi" w:hAnsiTheme="minorBidi" w:cstheme="minorBidi"/>
          <w:snapToGrid/>
          <w:szCs w:val="22"/>
        </w:rPr>
        <w:t>dependent enzyme which converts 1-methylmalonyl-CoA to succinyl-CoA.</w:t>
      </w:r>
    </w:p>
    <w:p w:rsidR="007019A2" w:rsidRDefault="001933C3" w:rsidP="007473B7">
      <w:pPr>
        <w:widowControl/>
        <w:numPr>
          <w:ilvl w:val="0"/>
          <w:numId w:val="5"/>
        </w:numPr>
        <w:tabs>
          <w:tab w:val="left" w:pos="416"/>
          <w:tab w:val="left" w:pos="993"/>
        </w:tabs>
        <w:spacing w:after="200"/>
        <w:ind w:left="993" w:hanging="284"/>
        <w:contextualSpacing/>
        <w:jc w:val="left"/>
        <w:rPr>
          <w:rFonts w:asciiTheme="minorBidi" w:hAnsiTheme="minorBidi" w:cstheme="minorBidi"/>
          <w:snapToGrid/>
          <w:szCs w:val="22"/>
        </w:rPr>
      </w:pPr>
      <w:r w:rsidRPr="007019A2">
        <w:rPr>
          <w:rFonts w:asciiTheme="minorBidi" w:hAnsiTheme="minorBidi" w:cstheme="minorBidi"/>
          <w:snapToGrid/>
          <w:szCs w:val="22"/>
        </w:rPr>
        <w:t>IVA is a leucine metabolism disease due to deficiency of isovaleryl-CoA dehydrogenase.</w:t>
      </w:r>
      <w:r w:rsidR="007F20A2" w:rsidRPr="007019A2">
        <w:rPr>
          <w:rFonts w:asciiTheme="minorBidi" w:hAnsiTheme="minorBidi" w:cstheme="minorBidi"/>
          <w:snapToGrid/>
          <w:szCs w:val="22"/>
        </w:rPr>
        <w:t xml:space="preserve"> </w:t>
      </w:r>
    </w:p>
    <w:p w:rsidR="00CE1D30" w:rsidRPr="007019A2" w:rsidRDefault="001933C3" w:rsidP="007473B7">
      <w:pPr>
        <w:widowControl/>
        <w:tabs>
          <w:tab w:val="left" w:pos="416"/>
          <w:tab w:val="left" w:pos="993"/>
        </w:tabs>
        <w:spacing w:after="200"/>
        <w:ind w:left="709"/>
        <w:contextualSpacing/>
        <w:jc w:val="left"/>
        <w:rPr>
          <w:rFonts w:asciiTheme="minorBidi" w:hAnsiTheme="minorBidi" w:cstheme="minorBidi"/>
          <w:snapToGrid/>
          <w:szCs w:val="22"/>
        </w:rPr>
      </w:pPr>
      <w:r w:rsidRPr="007019A2">
        <w:rPr>
          <w:rFonts w:asciiTheme="minorBidi" w:hAnsiTheme="minorBidi" w:cstheme="minorBidi"/>
          <w:snapToGrid/>
          <w:szCs w:val="22"/>
        </w:rPr>
        <w:t xml:space="preserve">These disorders lead to reduced </w:t>
      </w:r>
      <w:r w:rsidR="00E646D1" w:rsidRPr="007019A2">
        <w:rPr>
          <w:rFonts w:asciiTheme="minorBidi" w:hAnsiTheme="minorBidi" w:cstheme="minorBidi"/>
          <w:snapToGrid/>
          <w:szCs w:val="22"/>
        </w:rPr>
        <w:t>NAGS</w:t>
      </w:r>
      <w:r w:rsidRPr="007019A2">
        <w:rPr>
          <w:rFonts w:asciiTheme="minorBidi" w:hAnsiTheme="minorBidi" w:cstheme="minorBidi"/>
          <w:snapToGrid/>
          <w:szCs w:val="22"/>
        </w:rPr>
        <w:t xml:space="preserve"> </w:t>
      </w:r>
      <w:r w:rsidR="00763E49" w:rsidRPr="007019A2">
        <w:rPr>
          <w:rFonts w:asciiTheme="minorBidi" w:hAnsiTheme="minorBidi" w:cstheme="minorBidi"/>
          <w:snapToGrid/>
          <w:szCs w:val="22"/>
        </w:rPr>
        <w:t xml:space="preserve">activity </w:t>
      </w:r>
      <w:r w:rsidRPr="007019A2">
        <w:rPr>
          <w:rFonts w:asciiTheme="minorBidi" w:hAnsiTheme="minorBidi" w:cstheme="minorBidi"/>
          <w:snapToGrid/>
          <w:szCs w:val="22"/>
        </w:rPr>
        <w:t>and impairment of the urea cycle.</w:t>
      </w:r>
      <w:r w:rsidR="007F20A2" w:rsidRPr="007019A2">
        <w:rPr>
          <w:rFonts w:asciiTheme="minorBidi" w:hAnsiTheme="minorBidi" w:cstheme="minorBidi"/>
          <w:snapToGrid/>
          <w:szCs w:val="22"/>
        </w:rPr>
        <w:t xml:space="preserve"> </w:t>
      </w:r>
      <w:r w:rsidR="00CE1D30" w:rsidRPr="00B87D6F">
        <w:rPr>
          <w:rFonts w:asciiTheme="minorBidi" w:hAnsiTheme="minorBidi" w:cstheme="minorBidi"/>
          <w:snapToGrid/>
          <w:szCs w:val="22"/>
        </w:rPr>
        <w:t>Whilst these three deficiencies are caused by defects in different enzymes, if left untreated they will all result in hyperammonaemia.</w:t>
      </w:r>
      <w:r w:rsidR="007F20A2">
        <w:rPr>
          <w:rFonts w:asciiTheme="minorBidi" w:hAnsiTheme="minorBidi" w:cstheme="minorBidi"/>
          <w:snapToGrid/>
          <w:szCs w:val="22"/>
        </w:rPr>
        <w:t xml:space="preserve"> </w:t>
      </w:r>
      <w:r w:rsidR="002B3A05" w:rsidRPr="007019A2">
        <w:rPr>
          <w:rFonts w:asciiTheme="minorBidi" w:hAnsiTheme="minorBidi" w:cstheme="minorBidi"/>
          <w:snapToGrid/>
          <w:szCs w:val="22"/>
        </w:rPr>
        <w:t>Hyperammonaemia secondary to organic acidaemia is a serious acute condition</w:t>
      </w:r>
      <w:r w:rsidR="00743BEA" w:rsidRPr="007019A2">
        <w:rPr>
          <w:rFonts w:asciiTheme="minorBidi" w:hAnsiTheme="minorBidi" w:cstheme="minorBidi"/>
          <w:snapToGrid/>
          <w:szCs w:val="22"/>
        </w:rPr>
        <w:t xml:space="preserve"> and</w:t>
      </w:r>
      <w:r w:rsidR="00170FAC" w:rsidRPr="007019A2">
        <w:rPr>
          <w:rFonts w:asciiTheme="minorBidi" w:hAnsiTheme="minorBidi" w:cstheme="minorBidi"/>
          <w:snapToGrid/>
          <w:szCs w:val="22"/>
        </w:rPr>
        <w:t xml:space="preserve"> is most common in neonate</w:t>
      </w:r>
      <w:r w:rsidR="004D6AF5" w:rsidRPr="007019A2">
        <w:rPr>
          <w:rFonts w:asciiTheme="minorBidi" w:hAnsiTheme="minorBidi" w:cstheme="minorBidi"/>
          <w:snapToGrid/>
          <w:szCs w:val="22"/>
        </w:rPr>
        <w:t>s.</w:t>
      </w:r>
      <w:r w:rsidR="00170FAC" w:rsidRPr="007019A2">
        <w:rPr>
          <w:rFonts w:asciiTheme="minorBidi" w:hAnsiTheme="minorBidi" w:cstheme="minorBidi"/>
          <w:snapToGrid/>
          <w:szCs w:val="22"/>
        </w:rPr>
        <w:t xml:space="preserve"> </w:t>
      </w:r>
      <w:r w:rsidR="004D6AF5" w:rsidRPr="007019A2">
        <w:rPr>
          <w:rFonts w:asciiTheme="minorBidi" w:hAnsiTheme="minorBidi" w:cstheme="minorBidi"/>
          <w:snapToGrid/>
          <w:szCs w:val="22"/>
        </w:rPr>
        <w:t>P</w:t>
      </w:r>
      <w:r w:rsidR="00170FAC" w:rsidRPr="007019A2">
        <w:rPr>
          <w:rFonts w:asciiTheme="minorBidi" w:hAnsiTheme="minorBidi" w:cstheme="minorBidi"/>
          <w:snapToGrid/>
          <w:szCs w:val="22"/>
        </w:rPr>
        <w:t>atients may fall into a coma and require constant monitoring, with the possible need for admission into a neonatal intensive care unit and access to haemofiltration.</w:t>
      </w:r>
    </w:p>
    <w:p w:rsidR="001933C3" w:rsidRPr="00B87D6F" w:rsidRDefault="001933C3" w:rsidP="007473B7">
      <w:pPr>
        <w:widowControl/>
        <w:rPr>
          <w:rFonts w:asciiTheme="minorBidi" w:hAnsiTheme="minorBidi" w:cstheme="minorBidi"/>
          <w:szCs w:val="22"/>
        </w:rPr>
      </w:pPr>
    </w:p>
    <w:p w:rsidR="00E55BB5" w:rsidRDefault="00533112" w:rsidP="007473B7">
      <w:pPr>
        <w:pStyle w:val="ListParagraph"/>
        <w:widowControl/>
        <w:numPr>
          <w:ilvl w:val="1"/>
          <w:numId w:val="3"/>
        </w:numPr>
        <w:rPr>
          <w:szCs w:val="22"/>
        </w:rPr>
      </w:pPr>
      <w:r w:rsidRPr="00B87D6F">
        <w:rPr>
          <w:szCs w:val="22"/>
        </w:rPr>
        <w:t>The current treatment of hyperammonaemia includes low protein / protein-free diet, high calorie nutrition, arginine supplementation, ammonia scavengers (e.g. sodium benzoate, sodium phenylacetate or sodium phenylbutyrate); and haemofiltration as rescue therapy.</w:t>
      </w:r>
      <w:r w:rsidR="007F20A2">
        <w:rPr>
          <w:szCs w:val="22"/>
        </w:rPr>
        <w:t xml:space="preserve"> </w:t>
      </w:r>
      <w:r w:rsidR="00363658" w:rsidRPr="00B87D6F">
        <w:rPr>
          <w:szCs w:val="22"/>
        </w:rPr>
        <w:t>Carglumic acid will be added to these treatments</w:t>
      </w:r>
      <w:r w:rsidR="00AD70CF" w:rsidRPr="00B87D6F">
        <w:rPr>
          <w:szCs w:val="22"/>
        </w:rPr>
        <w:t>.</w:t>
      </w:r>
      <w:r w:rsidR="007F20A2">
        <w:rPr>
          <w:szCs w:val="22"/>
        </w:rPr>
        <w:t xml:space="preserve"> </w:t>
      </w:r>
      <w:r w:rsidR="00AD70CF" w:rsidRPr="00B87D6F">
        <w:rPr>
          <w:szCs w:val="22"/>
        </w:rPr>
        <w:t>The mean duration of treatment with carglumic acid is assumed to be five days in the economic analysis and ranged from less than one day to 29 days in the studies presented in the submission</w:t>
      </w:r>
      <w:r w:rsidR="00363658" w:rsidRPr="00B87D6F">
        <w:rPr>
          <w:szCs w:val="22"/>
        </w:rPr>
        <w:t>.</w:t>
      </w:r>
    </w:p>
    <w:p w:rsidR="007019A2" w:rsidRDefault="007019A2" w:rsidP="007473B7">
      <w:pPr>
        <w:pStyle w:val="ListParagraph"/>
        <w:widowControl/>
        <w:rPr>
          <w:i/>
          <w:szCs w:val="22"/>
        </w:rPr>
      </w:pPr>
    </w:p>
    <w:p w:rsidR="00EC1D9C" w:rsidRPr="00DC533C" w:rsidRDefault="00EC1D9C" w:rsidP="007473B7">
      <w:pPr>
        <w:pStyle w:val="ListParagraph"/>
        <w:widowControl/>
        <w:numPr>
          <w:ilvl w:val="1"/>
          <w:numId w:val="3"/>
        </w:numPr>
        <w:rPr>
          <w:color w:val="000000" w:themeColor="text1"/>
          <w:szCs w:val="22"/>
        </w:rPr>
      </w:pPr>
      <w:r w:rsidRPr="004658FA">
        <w:rPr>
          <w:color w:val="000000" w:themeColor="text1"/>
          <w:szCs w:val="22"/>
        </w:rPr>
        <w:t>The evaluation</w:t>
      </w:r>
      <w:r w:rsidR="00DC533C" w:rsidRPr="004658FA">
        <w:rPr>
          <w:color w:val="000000" w:themeColor="text1"/>
          <w:szCs w:val="22"/>
        </w:rPr>
        <w:t xml:space="preserve"> considered that</w:t>
      </w:r>
      <w:r w:rsidR="00DC533C" w:rsidRPr="00DC533C">
        <w:rPr>
          <w:i/>
          <w:color w:val="000000" w:themeColor="text1"/>
          <w:szCs w:val="22"/>
        </w:rPr>
        <w:t xml:space="preserve"> </w:t>
      </w:r>
      <w:r w:rsidR="00DC533C" w:rsidRPr="00DC533C">
        <w:rPr>
          <w:color w:val="000000" w:themeColor="text1"/>
          <w:szCs w:val="22"/>
        </w:rPr>
        <w:t xml:space="preserve">it is </w:t>
      </w:r>
      <w:r w:rsidR="00DC533C" w:rsidRPr="00DC533C">
        <w:rPr>
          <w:iCs/>
        </w:rPr>
        <w:t xml:space="preserve">unlikely that there </w:t>
      </w:r>
      <w:r w:rsidR="00A1235A">
        <w:rPr>
          <w:iCs/>
        </w:rPr>
        <w:t>would</w:t>
      </w:r>
      <w:r w:rsidR="00DC533C" w:rsidRPr="00DC533C">
        <w:rPr>
          <w:iCs/>
        </w:rPr>
        <w:t xml:space="preserve"> be </w:t>
      </w:r>
      <w:r w:rsidR="00DC533C" w:rsidRPr="004D4AC8">
        <w:rPr>
          <w:iCs/>
        </w:rPr>
        <w:t xml:space="preserve">any patients </w:t>
      </w:r>
      <w:r w:rsidR="00A1235A">
        <w:rPr>
          <w:iCs/>
        </w:rPr>
        <w:t xml:space="preserve">accessing </w:t>
      </w:r>
      <w:r w:rsidR="00DC533C" w:rsidRPr="00DC533C">
        <w:rPr>
          <w:iCs/>
        </w:rPr>
        <w:t>carglumic acid for hyperammonaemia secondary to organic acidaemia on the PBS, given the severity and nature of the condition. Hyperammonaemia secondary to organic acidaemia is a serious acute condition which is most common in neonates, and one where patients may fall into a coma and require constant monitoring, with the possible need for admission into a neonatal intensive care unit and access to haemofiltration. Thus, it is considered unlikely that patients will be treated at home or as an outpatient in hospital setting. It is possible that patients will be treated in a private hospital, but given the possibility that patients may need admission to a neonatal intensive care unit it is more likely that patients will be treated in a large tertiary public hospital as an inpatient, meaning that they would not be eligible to receive PBS funded carglumic acid.</w:t>
      </w:r>
    </w:p>
    <w:p w:rsidR="00EC1D9C" w:rsidRPr="00EC1D9C" w:rsidRDefault="00EC1D9C" w:rsidP="007473B7">
      <w:pPr>
        <w:pStyle w:val="ListParagraph"/>
        <w:widowControl/>
        <w:rPr>
          <w:i/>
          <w:color w:val="000000" w:themeColor="text1"/>
          <w:szCs w:val="22"/>
        </w:rPr>
      </w:pPr>
    </w:p>
    <w:p w:rsidR="00045E9F" w:rsidRPr="004658FA" w:rsidRDefault="007019A2" w:rsidP="007473B7">
      <w:pPr>
        <w:pStyle w:val="ListParagraph"/>
        <w:widowControl/>
        <w:numPr>
          <w:ilvl w:val="1"/>
          <w:numId w:val="3"/>
        </w:numPr>
        <w:rPr>
          <w:color w:val="000000" w:themeColor="text1"/>
          <w:szCs w:val="22"/>
        </w:rPr>
      </w:pPr>
      <w:r w:rsidRPr="004658FA">
        <w:rPr>
          <w:color w:val="000000" w:themeColor="text1"/>
          <w:szCs w:val="22"/>
        </w:rPr>
        <w:t xml:space="preserve">The Australasian Society for Inborn Errors of Metabolism (ASIEM) advised that carglumic acid has only been used in the setting of hospital admission. The ASIEM ‘stressed that there is no reason to treat patients with these organic acidaemias with carglumic acid as an on-going (at home) treatment. Rather…this treatment should be restricted to specific acute situations when the </w:t>
      </w:r>
      <w:r w:rsidR="004D4AC8" w:rsidRPr="004658FA">
        <w:rPr>
          <w:color w:val="000000" w:themeColor="text1"/>
          <w:szCs w:val="22"/>
        </w:rPr>
        <w:t>m</w:t>
      </w:r>
      <w:r w:rsidRPr="004658FA">
        <w:rPr>
          <w:color w:val="000000" w:themeColor="text1"/>
          <w:szCs w:val="22"/>
        </w:rPr>
        <w:t xml:space="preserve">etabolic </w:t>
      </w:r>
      <w:r w:rsidR="004D4AC8" w:rsidRPr="004658FA">
        <w:rPr>
          <w:color w:val="000000" w:themeColor="text1"/>
          <w:szCs w:val="22"/>
        </w:rPr>
        <w:t>p</w:t>
      </w:r>
      <w:r w:rsidRPr="004658FA">
        <w:rPr>
          <w:color w:val="000000" w:themeColor="text1"/>
          <w:szCs w:val="22"/>
        </w:rPr>
        <w:t>hysician deems it appropriate to treat a particular child at a particular time with the medication, perhaps preventing the need for haemofiltration’</w:t>
      </w:r>
      <w:r w:rsidR="00045E9F" w:rsidRPr="004658FA">
        <w:rPr>
          <w:color w:val="000000" w:themeColor="text1"/>
          <w:szCs w:val="22"/>
        </w:rPr>
        <w:t xml:space="preserve">. However, the ASIEM also noted that the main barrier for patients to access carglumic acid is the cost of the drug. </w:t>
      </w:r>
    </w:p>
    <w:p w:rsidR="007019A2" w:rsidRPr="002E6E83" w:rsidRDefault="007019A2" w:rsidP="007473B7">
      <w:pPr>
        <w:pStyle w:val="ListParagraph"/>
        <w:widowControl/>
        <w:rPr>
          <w:szCs w:val="22"/>
        </w:rPr>
      </w:pPr>
    </w:p>
    <w:p w:rsidR="00EC1D9C" w:rsidRPr="004658FA" w:rsidRDefault="00045E9F" w:rsidP="007473B7">
      <w:pPr>
        <w:pStyle w:val="ListParagraph"/>
        <w:widowControl/>
        <w:numPr>
          <w:ilvl w:val="1"/>
          <w:numId w:val="3"/>
        </w:numPr>
        <w:rPr>
          <w:szCs w:val="22"/>
        </w:rPr>
      </w:pPr>
      <w:r w:rsidRPr="004658FA">
        <w:rPr>
          <w:szCs w:val="22"/>
        </w:rPr>
        <w:t xml:space="preserve">The PSCR claimed that discussions with hospital pharmacists have confirmed that the majority of specialists treating affected metabolic patients are seeing these patients in </w:t>
      </w:r>
      <w:r w:rsidR="00EC1D9C" w:rsidRPr="004658FA">
        <w:rPr>
          <w:szCs w:val="22"/>
        </w:rPr>
        <w:t xml:space="preserve">public </w:t>
      </w:r>
      <w:r w:rsidRPr="004658FA">
        <w:rPr>
          <w:szCs w:val="22"/>
        </w:rPr>
        <w:t xml:space="preserve">hospital outpatient clinics and that treatment in this setting would access the PBS. </w:t>
      </w:r>
    </w:p>
    <w:p w:rsidR="00EC1D9C" w:rsidRPr="004658FA" w:rsidRDefault="00EC1D9C" w:rsidP="007473B7">
      <w:pPr>
        <w:pStyle w:val="ListParagraph"/>
        <w:widowControl/>
        <w:rPr>
          <w:szCs w:val="22"/>
        </w:rPr>
      </w:pPr>
    </w:p>
    <w:p w:rsidR="007019A2" w:rsidRPr="004658FA" w:rsidRDefault="00045E9F" w:rsidP="007473B7">
      <w:pPr>
        <w:pStyle w:val="ListParagraph"/>
        <w:widowControl/>
        <w:numPr>
          <w:ilvl w:val="1"/>
          <w:numId w:val="3"/>
        </w:numPr>
        <w:rPr>
          <w:szCs w:val="22"/>
        </w:rPr>
      </w:pPr>
      <w:r w:rsidRPr="004658FA">
        <w:rPr>
          <w:szCs w:val="22"/>
        </w:rPr>
        <w:t>The</w:t>
      </w:r>
      <w:r w:rsidR="00A1235A" w:rsidRPr="004658FA">
        <w:rPr>
          <w:szCs w:val="22"/>
        </w:rPr>
        <w:t xml:space="preserve"> ESC noted that the PSCR appeared</w:t>
      </w:r>
      <w:r w:rsidRPr="004658FA">
        <w:rPr>
          <w:szCs w:val="22"/>
        </w:rPr>
        <w:t xml:space="preserve"> to contradict the advice from the ASIEM that carglumic acid has only been used in the setting of hospital admission. </w:t>
      </w:r>
      <w:r w:rsidRPr="004658FA">
        <w:rPr>
          <w:color w:val="000000" w:themeColor="text1"/>
          <w:szCs w:val="22"/>
        </w:rPr>
        <w:t xml:space="preserve">However, the </w:t>
      </w:r>
      <w:r w:rsidR="007019A2" w:rsidRPr="004658FA">
        <w:rPr>
          <w:color w:val="000000" w:themeColor="text1"/>
          <w:szCs w:val="22"/>
        </w:rPr>
        <w:t xml:space="preserve">ESC </w:t>
      </w:r>
      <w:r w:rsidRPr="004658FA">
        <w:rPr>
          <w:color w:val="000000" w:themeColor="text1"/>
          <w:szCs w:val="22"/>
        </w:rPr>
        <w:t xml:space="preserve">also </w:t>
      </w:r>
      <w:r w:rsidR="007019A2" w:rsidRPr="004658FA">
        <w:rPr>
          <w:color w:val="000000" w:themeColor="text1"/>
          <w:szCs w:val="22"/>
        </w:rPr>
        <w:t xml:space="preserve">noted </w:t>
      </w:r>
      <w:r w:rsidR="00EC1D9C" w:rsidRPr="004658FA">
        <w:rPr>
          <w:color w:val="000000" w:themeColor="text1"/>
          <w:szCs w:val="22"/>
        </w:rPr>
        <w:t xml:space="preserve">that the advice from the ASIEM </w:t>
      </w:r>
      <w:r w:rsidR="00A1235A" w:rsidRPr="004658FA">
        <w:rPr>
          <w:color w:val="000000" w:themeColor="text1"/>
          <w:szCs w:val="22"/>
        </w:rPr>
        <w:t xml:space="preserve">also </w:t>
      </w:r>
      <w:r w:rsidR="00EC1D9C" w:rsidRPr="004658FA">
        <w:rPr>
          <w:color w:val="000000" w:themeColor="text1"/>
          <w:szCs w:val="22"/>
        </w:rPr>
        <w:t xml:space="preserve">appeared </w:t>
      </w:r>
      <w:r w:rsidR="00A1235A" w:rsidRPr="004658FA">
        <w:rPr>
          <w:color w:val="000000" w:themeColor="text1"/>
          <w:szCs w:val="22"/>
        </w:rPr>
        <w:t xml:space="preserve">to </w:t>
      </w:r>
      <w:r w:rsidR="004D4AC8" w:rsidRPr="004658FA">
        <w:rPr>
          <w:color w:val="000000" w:themeColor="text1"/>
          <w:szCs w:val="22"/>
        </w:rPr>
        <w:t>contradict itself</w:t>
      </w:r>
      <w:r w:rsidRPr="004658FA">
        <w:rPr>
          <w:color w:val="000000" w:themeColor="text1"/>
          <w:szCs w:val="22"/>
        </w:rPr>
        <w:t xml:space="preserve"> </w:t>
      </w:r>
      <w:r w:rsidR="00EC1D9C" w:rsidRPr="004658FA">
        <w:rPr>
          <w:color w:val="000000" w:themeColor="text1"/>
          <w:szCs w:val="22"/>
        </w:rPr>
        <w:t xml:space="preserve">by stating that </w:t>
      </w:r>
      <w:r w:rsidRPr="004658FA">
        <w:rPr>
          <w:color w:val="000000" w:themeColor="text1"/>
          <w:szCs w:val="22"/>
        </w:rPr>
        <w:t>cost is a barrier to access for patients</w:t>
      </w:r>
      <w:r w:rsidR="00A1235A" w:rsidRPr="004658FA">
        <w:rPr>
          <w:color w:val="000000" w:themeColor="text1"/>
          <w:szCs w:val="22"/>
        </w:rPr>
        <w:t xml:space="preserve"> while claiming that </w:t>
      </w:r>
      <w:r w:rsidR="00EC1D9C" w:rsidRPr="004658FA">
        <w:rPr>
          <w:color w:val="000000" w:themeColor="text1"/>
          <w:szCs w:val="22"/>
        </w:rPr>
        <w:t>all patients are receiving the drug while admitted to hospital</w:t>
      </w:r>
      <w:r w:rsidRPr="004658FA">
        <w:rPr>
          <w:color w:val="000000" w:themeColor="text1"/>
          <w:szCs w:val="22"/>
        </w:rPr>
        <w:t xml:space="preserve">. </w:t>
      </w:r>
    </w:p>
    <w:p w:rsidR="007019A2" w:rsidRPr="004658FA" w:rsidRDefault="007019A2" w:rsidP="007473B7">
      <w:pPr>
        <w:pStyle w:val="ListParagraph"/>
        <w:widowControl/>
        <w:rPr>
          <w:szCs w:val="22"/>
        </w:rPr>
      </w:pPr>
    </w:p>
    <w:p w:rsidR="007019A2" w:rsidRPr="004658FA" w:rsidRDefault="007019A2" w:rsidP="007473B7">
      <w:pPr>
        <w:pStyle w:val="ListParagraph"/>
        <w:widowControl/>
        <w:numPr>
          <w:ilvl w:val="1"/>
          <w:numId w:val="3"/>
        </w:numPr>
      </w:pPr>
      <w:r w:rsidRPr="004658FA">
        <w:rPr>
          <w:color w:val="000000" w:themeColor="text1"/>
          <w:szCs w:val="22"/>
        </w:rPr>
        <w:t xml:space="preserve">As the PSCR </w:t>
      </w:r>
      <w:r w:rsidR="008045D8" w:rsidRPr="004658FA">
        <w:rPr>
          <w:color w:val="000000" w:themeColor="text1"/>
          <w:szCs w:val="22"/>
        </w:rPr>
        <w:t>did not provide</w:t>
      </w:r>
      <w:r w:rsidRPr="004658FA">
        <w:rPr>
          <w:color w:val="000000" w:themeColor="text1"/>
          <w:szCs w:val="22"/>
        </w:rPr>
        <w:t xml:space="preserve"> further evidence to support </w:t>
      </w:r>
      <w:r w:rsidR="008045D8" w:rsidRPr="004658FA">
        <w:rPr>
          <w:color w:val="000000" w:themeColor="text1"/>
          <w:szCs w:val="22"/>
        </w:rPr>
        <w:t xml:space="preserve">the </w:t>
      </w:r>
      <w:r w:rsidRPr="004658FA">
        <w:rPr>
          <w:color w:val="000000" w:themeColor="text1"/>
          <w:szCs w:val="22"/>
        </w:rPr>
        <w:t xml:space="preserve">position </w:t>
      </w:r>
      <w:r w:rsidR="004D4AC8" w:rsidRPr="004658FA">
        <w:rPr>
          <w:color w:val="000000" w:themeColor="text1"/>
          <w:szCs w:val="22"/>
        </w:rPr>
        <w:t>that</w:t>
      </w:r>
      <w:r w:rsidRPr="004658FA">
        <w:rPr>
          <w:color w:val="000000" w:themeColor="text1"/>
          <w:szCs w:val="22"/>
        </w:rPr>
        <w:t xml:space="preserve"> </w:t>
      </w:r>
      <w:r w:rsidR="008045D8" w:rsidRPr="004658FA">
        <w:rPr>
          <w:color w:val="000000" w:themeColor="text1"/>
          <w:szCs w:val="22"/>
        </w:rPr>
        <w:t xml:space="preserve">cost </w:t>
      </w:r>
      <w:r w:rsidR="004D4AC8" w:rsidRPr="004658FA">
        <w:rPr>
          <w:color w:val="000000" w:themeColor="text1"/>
          <w:szCs w:val="22"/>
        </w:rPr>
        <w:t>to patients is</w:t>
      </w:r>
      <w:r w:rsidR="008045D8" w:rsidRPr="004658FA">
        <w:rPr>
          <w:color w:val="000000" w:themeColor="text1"/>
          <w:szCs w:val="22"/>
        </w:rPr>
        <w:t xml:space="preserve"> a barrier to access and </w:t>
      </w:r>
      <w:r w:rsidR="004D4AC8" w:rsidRPr="004658FA">
        <w:rPr>
          <w:color w:val="000000" w:themeColor="text1"/>
          <w:szCs w:val="22"/>
        </w:rPr>
        <w:t xml:space="preserve">that </w:t>
      </w:r>
      <w:r w:rsidRPr="004658FA">
        <w:rPr>
          <w:color w:val="000000" w:themeColor="text1"/>
          <w:szCs w:val="22"/>
        </w:rPr>
        <w:t xml:space="preserve">carglumic acid </w:t>
      </w:r>
      <w:r w:rsidR="004D4AC8" w:rsidRPr="004658FA">
        <w:rPr>
          <w:color w:val="000000" w:themeColor="text1"/>
          <w:szCs w:val="22"/>
        </w:rPr>
        <w:t xml:space="preserve">is used </w:t>
      </w:r>
      <w:r w:rsidRPr="004658FA">
        <w:rPr>
          <w:color w:val="000000" w:themeColor="text1"/>
          <w:szCs w:val="22"/>
        </w:rPr>
        <w:t xml:space="preserve">in an outpatient setting, the ESC </w:t>
      </w:r>
      <w:r w:rsidRPr="004658FA">
        <w:t>considered that it remained unclear</w:t>
      </w:r>
      <w:r w:rsidRPr="004658FA">
        <w:rPr>
          <w:color w:val="000000" w:themeColor="text1"/>
          <w:szCs w:val="22"/>
        </w:rPr>
        <w:t xml:space="preserve"> whether any patients currently receive carglumic acid outside of hospital admission.</w:t>
      </w:r>
      <w:r w:rsidR="00EC1D9C" w:rsidRPr="004658FA">
        <w:rPr>
          <w:color w:val="000000" w:themeColor="text1"/>
          <w:szCs w:val="22"/>
        </w:rPr>
        <w:t xml:space="preserve"> Accordingly, the ESC was unclear on the clinical need </w:t>
      </w:r>
      <w:r w:rsidR="00A1235A" w:rsidRPr="004658FA">
        <w:rPr>
          <w:color w:val="000000" w:themeColor="text1"/>
          <w:szCs w:val="22"/>
        </w:rPr>
        <w:t xml:space="preserve">to list </w:t>
      </w:r>
      <w:r w:rsidR="00EC1D9C" w:rsidRPr="004658FA">
        <w:rPr>
          <w:color w:val="000000" w:themeColor="text1"/>
          <w:szCs w:val="22"/>
        </w:rPr>
        <w:t>the drug on the PBS.</w:t>
      </w:r>
    </w:p>
    <w:p w:rsidR="00D06A1E" w:rsidRPr="00D06A1E" w:rsidRDefault="00D06A1E" w:rsidP="007473B7">
      <w:pPr>
        <w:pStyle w:val="PBACHeading1"/>
        <w:numPr>
          <w:ilvl w:val="0"/>
          <w:numId w:val="0"/>
        </w:numPr>
        <w:ind w:left="720"/>
      </w:pPr>
    </w:p>
    <w:p w:rsidR="00D06A1E" w:rsidRPr="00D06A1E" w:rsidRDefault="00D06A1E" w:rsidP="007473B7">
      <w:pPr>
        <w:pStyle w:val="PBACHeading1"/>
        <w:numPr>
          <w:ilvl w:val="0"/>
          <w:numId w:val="0"/>
        </w:numPr>
        <w:ind w:left="720"/>
        <w:rPr>
          <w:b w:val="0"/>
          <w:i/>
        </w:rPr>
      </w:pPr>
      <w:r w:rsidRPr="0018787D">
        <w:rPr>
          <w:b w:val="0"/>
          <w:i/>
        </w:rPr>
        <w:t>For more detail on PBAC’s view, see section 7 “PBAC outcome”</w:t>
      </w:r>
    </w:p>
    <w:p w:rsidR="003A72CF" w:rsidRDefault="003A72CF" w:rsidP="007473B7">
      <w:pPr>
        <w:pStyle w:val="Header"/>
        <w:widowControl/>
        <w:rPr>
          <w:szCs w:val="22"/>
        </w:rPr>
      </w:pPr>
    </w:p>
    <w:p w:rsidR="00D64702" w:rsidRPr="00882085" w:rsidRDefault="00D64702" w:rsidP="007473B7">
      <w:pPr>
        <w:pStyle w:val="Header"/>
        <w:widowControl/>
        <w:rPr>
          <w:szCs w:val="22"/>
        </w:rPr>
      </w:pPr>
    </w:p>
    <w:p w:rsidR="00B50DB8" w:rsidRPr="000C6D40" w:rsidRDefault="00B50DB8" w:rsidP="007473B7">
      <w:pPr>
        <w:pStyle w:val="PBACHeading1"/>
        <w:keepNext/>
      </w:pPr>
      <w:bookmarkStart w:id="6" w:name="_Toc419464747"/>
      <w:r w:rsidRPr="00407F2D">
        <w:t>Comparator</w:t>
      </w:r>
      <w:bookmarkEnd w:id="6"/>
    </w:p>
    <w:p w:rsidR="00B60939" w:rsidRPr="00882085" w:rsidRDefault="00B60939" w:rsidP="007473B7">
      <w:pPr>
        <w:keepNext/>
        <w:widowControl/>
      </w:pPr>
    </w:p>
    <w:p w:rsidR="00C90F19" w:rsidRPr="0018787D" w:rsidRDefault="00F24615" w:rsidP="007473B7">
      <w:pPr>
        <w:pStyle w:val="ListParagraph"/>
        <w:widowControl/>
        <w:numPr>
          <w:ilvl w:val="1"/>
          <w:numId w:val="3"/>
        </w:numPr>
        <w:rPr>
          <w:szCs w:val="22"/>
        </w:rPr>
      </w:pPr>
      <w:r>
        <w:t>The submission nominated p</w:t>
      </w:r>
      <w:r w:rsidR="00F067A2" w:rsidRPr="00F74B08">
        <w:t>lacebo</w:t>
      </w:r>
      <w:r w:rsidR="00F74B08" w:rsidRPr="00F74B08">
        <w:t xml:space="preserve"> or standard care without carglumic acid</w:t>
      </w:r>
      <w:r w:rsidR="001F0A97">
        <w:t xml:space="preserve">. </w:t>
      </w:r>
      <w:r w:rsidR="001F0A97" w:rsidRPr="004658FA">
        <w:t>Th</w:t>
      </w:r>
      <w:r w:rsidR="007F20A2" w:rsidRPr="004658FA">
        <w:t>e</w:t>
      </w:r>
      <w:r w:rsidR="001F0A97" w:rsidRPr="004658FA">
        <w:t xml:space="preserve"> </w:t>
      </w:r>
      <w:r w:rsidR="007019A2" w:rsidRPr="004658FA">
        <w:t xml:space="preserve">ESC </w:t>
      </w:r>
      <w:r w:rsidR="007F20A2" w:rsidRPr="004658FA">
        <w:t xml:space="preserve">considered this was the appropriate </w:t>
      </w:r>
      <w:r w:rsidR="001F0A97" w:rsidRPr="004658FA">
        <w:t>comparator.</w:t>
      </w:r>
    </w:p>
    <w:p w:rsidR="00AC2635" w:rsidRDefault="00AC2635" w:rsidP="007473B7">
      <w:pPr>
        <w:widowControl/>
        <w:rPr>
          <w:szCs w:val="22"/>
        </w:rPr>
      </w:pPr>
    </w:p>
    <w:p w:rsidR="00D64702" w:rsidRPr="00DF5D2B" w:rsidRDefault="00D64702" w:rsidP="007473B7">
      <w:pPr>
        <w:widowControl/>
        <w:rPr>
          <w:szCs w:val="22"/>
        </w:rPr>
      </w:pPr>
    </w:p>
    <w:p w:rsidR="00B50DB8" w:rsidRPr="00407F2D" w:rsidRDefault="00BD6CF3" w:rsidP="007473B7">
      <w:pPr>
        <w:pStyle w:val="PBACHeading1"/>
        <w:keepNext/>
      </w:pPr>
      <w:bookmarkStart w:id="7" w:name="_Toc419464748"/>
      <w:r>
        <w:t>C</w:t>
      </w:r>
      <w:r w:rsidR="00B50DB8" w:rsidRPr="00407F2D">
        <w:t>onsideration of the evidence</w:t>
      </w:r>
      <w:bookmarkEnd w:id="7"/>
    </w:p>
    <w:p w:rsidR="00B60939" w:rsidRDefault="00B60939" w:rsidP="007473B7">
      <w:pPr>
        <w:keepNext/>
        <w:widowControl/>
      </w:pPr>
    </w:p>
    <w:p w:rsidR="00D06A1E" w:rsidRPr="0018787D" w:rsidRDefault="00D06A1E" w:rsidP="007473B7">
      <w:pPr>
        <w:widowControl/>
        <w:spacing w:after="200" w:line="276" w:lineRule="auto"/>
        <w:rPr>
          <w:b/>
          <w:bCs/>
          <w:i/>
          <w:szCs w:val="22"/>
        </w:rPr>
      </w:pPr>
      <w:r w:rsidRPr="0018787D">
        <w:rPr>
          <w:b/>
          <w:bCs/>
          <w:i/>
          <w:szCs w:val="22"/>
        </w:rPr>
        <w:t>Sponsor hearing</w:t>
      </w:r>
    </w:p>
    <w:p w:rsidR="00D06A1E" w:rsidRPr="0018787D" w:rsidRDefault="00D06A1E" w:rsidP="007473B7">
      <w:pPr>
        <w:widowControl/>
        <w:numPr>
          <w:ilvl w:val="1"/>
          <w:numId w:val="3"/>
        </w:numPr>
        <w:contextualSpacing/>
        <w:rPr>
          <w:bCs/>
          <w:szCs w:val="22"/>
        </w:rPr>
      </w:pPr>
      <w:r w:rsidRPr="008B328E">
        <w:rPr>
          <w:bCs/>
          <w:szCs w:val="22"/>
        </w:rPr>
        <w:t>Th</w:t>
      </w:r>
      <w:r w:rsidR="008B328E" w:rsidRPr="008B328E">
        <w:rPr>
          <w:bCs/>
          <w:szCs w:val="22"/>
        </w:rPr>
        <w:t>ere was no hearing for this item</w:t>
      </w:r>
      <w:r w:rsidRPr="008B328E">
        <w:rPr>
          <w:bCs/>
          <w:szCs w:val="22"/>
        </w:rPr>
        <w:t>.</w:t>
      </w:r>
    </w:p>
    <w:p w:rsidR="00D06A1E" w:rsidRPr="008B328E" w:rsidRDefault="00D06A1E" w:rsidP="007473B7">
      <w:pPr>
        <w:widowControl/>
        <w:rPr>
          <w:bCs/>
          <w:szCs w:val="22"/>
        </w:rPr>
      </w:pPr>
    </w:p>
    <w:p w:rsidR="00D06A1E" w:rsidRPr="0018787D" w:rsidRDefault="00D06A1E" w:rsidP="007473B7">
      <w:pPr>
        <w:widowControl/>
        <w:spacing w:after="200" w:line="276" w:lineRule="auto"/>
        <w:rPr>
          <w:b/>
          <w:bCs/>
          <w:i/>
          <w:szCs w:val="22"/>
        </w:rPr>
      </w:pPr>
      <w:r w:rsidRPr="0018787D">
        <w:rPr>
          <w:b/>
          <w:bCs/>
          <w:i/>
          <w:szCs w:val="22"/>
        </w:rPr>
        <w:t>Consumer comments</w:t>
      </w:r>
    </w:p>
    <w:p w:rsidR="00D06A1E" w:rsidRPr="008B328E" w:rsidRDefault="00D06A1E" w:rsidP="007473B7">
      <w:pPr>
        <w:widowControl/>
        <w:numPr>
          <w:ilvl w:val="1"/>
          <w:numId w:val="3"/>
        </w:numPr>
        <w:contextualSpacing/>
        <w:rPr>
          <w:bCs/>
          <w:szCs w:val="22"/>
        </w:rPr>
      </w:pPr>
      <w:r w:rsidRPr="008B328E">
        <w:rPr>
          <w:bCs/>
          <w:szCs w:val="22"/>
        </w:rPr>
        <w:t>The PBAC noted that no consumer comme</w:t>
      </w:r>
      <w:r w:rsidR="008B328E" w:rsidRPr="008B328E">
        <w:rPr>
          <w:bCs/>
          <w:szCs w:val="22"/>
        </w:rPr>
        <w:t xml:space="preserve">nts were received for this item. </w:t>
      </w:r>
    </w:p>
    <w:p w:rsidR="00D06A1E" w:rsidRPr="00882085" w:rsidRDefault="00D06A1E" w:rsidP="007473B7">
      <w:pPr>
        <w:keepNext/>
        <w:widowControl/>
      </w:pPr>
    </w:p>
    <w:p w:rsidR="0066707C" w:rsidRPr="002C2775" w:rsidRDefault="0066707C" w:rsidP="007473B7">
      <w:pPr>
        <w:pStyle w:val="Heading2"/>
        <w:widowControl/>
        <w:rPr>
          <w:i/>
        </w:rPr>
      </w:pPr>
      <w:bookmarkStart w:id="8" w:name="_Toc419464749"/>
      <w:r w:rsidRPr="002C2775">
        <w:rPr>
          <w:i/>
        </w:rPr>
        <w:t xml:space="preserve">Clinical </w:t>
      </w:r>
      <w:r w:rsidR="002E1EA2">
        <w:rPr>
          <w:i/>
        </w:rPr>
        <w:t>studies</w:t>
      </w:r>
      <w:bookmarkEnd w:id="8"/>
    </w:p>
    <w:p w:rsidR="0066707C" w:rsidRPr="00882085" w:rsidRDefault="0066707C" w:rsidP="007473B7">
      <w:pPr>
        <w:widowControl/>
        <w:rPr>
          <w:szCs w:val="22"/>
        </w:rPr>
      </w:pPr>
    </w:p>
    <w:p w:rsidR="0066707C" w:rsidRPr="003A69BE" w:rsidRDefault="0066707C" w:rsidP="007473B7">
      <w:pPr>
        <w:pStyle w:val="ListParagraph"/>
        <w:widowControl/>
        <w:numPr>
          <w:ilvl w:val="1"/>
          <w:numId w:val="3"/>
        </w:numPr>
        <w:rPr>
          <w:szCs w:val="22"/>
        </w:rPr>
      </w:pPr>
      <w:r w:rsidRPr="003A69BE">
        <w:t xml:space="preserve">The submission </w:t>
      </w:r>
      <w:r w:rsidR="00364447">
        <w:t>wa</w:t>
      </w:r>
      <w:r w:rsidRPr="003A69BE">
        <w:t xml:space="preserve">s based on 12 non-randomised case report studies in which all patients were treated with carglumic acid </w:t>
      </w:r>
      <w:r w:rsidR="00230AEB">
        <w:t>in addition to</w:t>
      </w:r>
      <w:r w:rsidRPr="003A69BE">
        <w:t xml:space="preserve"> conventional therapy for hyperammonaemia.</w:t>
      </w:r>
      <w:r w:rsidR="007F20A2">
        <w:t xml:space="preserve"> </w:t>
      </w:r>
      <w:r>
        <w:t xml:space="preserve">A total of 58 patients with </w:t>
      </w:r>
      <w:r w:rsidRPr="003A69BE">
        <w:t xml:space="preserve">71 </w:t>
      </w:r>
      <w:r>
        <w:t xml:space="preserve">reported </w:t>
      </w:r>
      <w:r w:rsidRPr="003A69BE">
        <w:t xml:space="preserve">episodes of hyperammonaemia secondary to IVA, MMA or PA were included in the </w:t>
      </w:r>
      <w:r>
        <w:t>12 studies</w:t>
      </w:r>
      <w:r w:rsidRPr="003A69BE">
        <w:t>.</w:t>
      </w:r>
    </w:p>
    <w:p w:rsidR="0066707C" w:rsidRPr="00862502" w:rsidRDefault="0066707C" w:rsidP="007473B7">
      <w:pPr>
        <w:widowControl/>
        <w:rPr>
          <w:szCs w:val="22"/>
        </w:rPr>
      </w:pPr>
    </w:p>
    <w:p w:rsidR="0066707C" w:rsidRPr="00B50DB8" w:rsidRDefault="0066707C" w:rsidP="007473B7">
      <w:pPr>
        <w:pStyle w:val="ListParagraph"/>
        <w:widowControl/>
        <w:numPr>
          <w:ilvl w:val="1"/>
          <w:numId w:val="3"/>
        </w:numPr>
        <w:rPr>
          <w:szCs w:val="22"/>
        </w:rPr>
      </w:pPr>
      <w:r w:rsidRPr="00B50DB8">
        <w:rPr>
          <w:szCs w:val="22"/>
        </w:rPr>
        <w:t>Details of the</w:t>
      </w:r>
      <w:r w:rsidR="007A093F">
        <w:rPr>
          <w:szCs w:val="22"/>
        </w:rPr>
        <w:t xml:space="preserve"> studies</w:t>
      </w:r>
      <w:r w:rsidRPr="00B50DB8">
        <w:rPr>
          <w:szCs w:val="22"/>
        </w:rPr>
        <w:t xml:space="preserve"> presented in the submission are provided in </w:t>
      </w:r>
      <w:r w:rsidR="00230AEB">
        <w:rPr>
          <w:szCs w:val="22"/>
        </w:rPr>
        <w:t>Table 1</w:t>
      </w:r>
      <w:r w:rsidRPr="00B50DB8">
        <w:rPr>
          <w:szCs w:val="22"/>
        </w:rPr>
        <w:t>.</w:t>
      </w:r>
      <w:r w:rsidR="007F20A2">
        <w:rPr>
          <w:szCs w:val="22"/>
        </w:rPr>
        <w:t xml:space="preserve"> </w:t>
      </w:r>
    </w:p>
    <w:p w:rsidR="0066707C" w:rsidRPr="00862502" w:rsidRDefault="0066707C" w:rsidP="007473B7">
      <w:pPr>
        <w:widowControl/>
        <w:rPr>
          <w:szCs w:val="22"/>
        </w:rPr>
      </w:pPr>
    </w:p>
    <w:p w:rsidR="0066707C" w:rsidRDefault="0066707C" w:rsidP="007473B7">
      <w:pPr>
        <w:keepNext/>
        <w:widowControl/>
        <w:ind w:firstLine="720"/>
        <w:rPr>
          <w:rStyle w:val="CommentReference"/>
        </w:rPr>
      </w:pPr>
      <w:r w:rsidRPr="000812CA">
        <w:rPr>
          <w:rStyle w:val="CommentReference"/>
        </w:rPr>
        <w:t xml:space="preserve">Table </w:t>
      </w:r>
      <w:r w:rsidR="00230AEB">
        <w:rPr>
          <w:rStyle w:val="CommentReference"/>
        </w:rPr>
        <w:t>1</w:t>
      </w:r>
      <w:r w:rsidR="00230AEB" w:rsidRPr="000812CA">
        <w:rPr>
          <w:rStyle w:val="CommentReference"/>
        </w:rPr>
        <w:t xml:space="preserve">: </w:t>
      </w:r>
      <w:r w:rsidR="00230AEB">
        <w:rPr>
          <w:rStyle w:val="CommentReference"/>
        </w:rPr>
        <w:t xml:space="preserve">Studies </w:t>
      </w:r>
      <w:r w:rsidRPr="000812CA">
        <w:rPr>
          <w:rStyle w:val="CommentReference"/>
        </w:rPr>
        <w:t>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8"/>
        <w:gridCol w:w="5239"/>
        <w:gridCol w:w="2126"/>
      </w:tblGrid>
      <w:tr w:rsidR="0066707C" w:rsidRPr="00C804A6" w:rsidTr="004E76E0">
        <w:tc>
          <w:tcPr>
            <w:tcW w:w="597" w:type="pct"/>
          </w:tcPr>
          <w:p w:rsidR="0066707C" w:rsidRPr="00C804A6" w:rsidRDefault="002E1EA2" w:rsidP="007473B7">
            <w:pPr>
              <w:keepNext/>
              <w:widowControl/>
              <w:jc w:val="left"/>
              <w:rPr>
                <w:rFonts w:ascii="Arial Narrow" w:hAnsi="Arial Narrow"/>
                <w:b/>
                <w:sz w:val="20"/>
              </w:rPr>
            </w:pPr>
            <w:r>
              <w:rPr>
                <w:rFonts w:ascii="Arial Narrow" w:hAnsi="Arial Narrow"/>
                <w:b/>
                <w:sz w:val="20"/>
              </w:rPr>
              <w:t>Study</w:t>
            </w:r>
            <w:r w:rsidRPr="00C804A6">
              <w:rPr>
                <w:rFonts w:ascii="Arial Narrow" w:hAnsi="Arial Narrow"/>
                <w:b/>
                <w:sz w:val="20"/>
              </w:rPr>
              <w:t xml:space="preserve"> </w:t>
            </w:r>
            <w:r w:rsidR="0066707C" w:rsidRPr="00C804A6">
              <w:rPr>
                <w:rFonts w:ascii="Arial Narrow" w:hAnsi="Arial Narrow"/>
                <w:b/>
                <w:sz w:val="20"/>
              </w:rPr>
              <w:t>ID</w:t>
            </w:r>
          </w:p>
        </w:tc>
        <w:tc>
          <w:tcPr>
            <w:tcW w:w="3132" w:type="pct"/>
          </w:tcPr>
          <w:p w:rsidR="0066707C" w:rsidRPr="00C804A6" w:rsidRDefault="0066707C" w:rsidP="007473B7">
            <w:pPr>
              <w:keepNext/>
              <w:widowControl/>
              <w:jc w:val="center"/>
              <w:rPr>
                <w:rFonts w:ascii="Arial Narrow" w:hAnsi="Arial Narrow"/>
                <w:b/>
                <w:sz w:val="20"/>
              </w:rPr>
            </w:pPr>
            <w:r w:rsidRPr="00C804A6">
              <w:rPr>
                <w:rFonts w:ascii="Arial Narrow" w:hAnsi="Arial Narrow"/>
                <w:b/>
                <w:sz w:val="20"/>
              </w:rPr>
              <w:t>Protocol title/ Publication title</w:t>
            </w:r>
          </w:p>
        </w:tc>
        <w:tc>
          <w:tcPr>
            <w:tcW w:w="1271" w:type="pct"/>
          </w:tcPr>
          <w:p w:rsidR="0066707C" w:rsidRPr="00C804A6" w:rsidRDefault="0066707C" w:rsidP="007473B7">
            <w:pPr>
              <w:keepNext/>
              <w:widowControl/>
              <w:jc w:val="center"/>
              <w:rPr>
                <w:rFonts w:ascii="Arial Narrow" w:hAnsi="Arial Narrow"/>
                <w:b/>
                <w:sz w:val="20"/>
              </w:rPr>
            </w:pPr>
            <w:r w:rsidRPr="00C804A6">
              <w:rPr>
                <w:rFonts w:ascii="Arial Narrow" w:hAnsi="Arial Narrow"/>
                <w:b/>
                <w:sz w:val="20"/>
              </w:rPr>
              <w:t>Publication citation</w:t>
            </w:r>
          </w:p>
        </w:tc>
      </w:tr>
      <w:tr w:rsidR="0066707C" w:rsidRPr="00C804A6" w:rsidTr="00230AEB">
        <w:tc>
          <w:tcPr>
            <w:tcW w:w="5000" w:type="pct"/>
            <w:gridSpan w:val="3"/>
          </w:tcPr>
          <w:p w:rsidR="0066707C" w:rsidRPr="00C804A6" w:rsidRDefault="0066707C" w:rsidP="007473B7">
            <w:pPr>
              <w:keepNext/>
              <w:widowControl/>
              <w:jc w:val="left"/>
              <w:rPr>
                <w:rFonts w:ascii="Arial Narrow" w:hAnsi="Arial Narrow"/>
                <w:b/>
                <w:sz w:val="20"/>
              </w:rPr>
            </w:pPr>
            <w:r w:rsidRPr="00C804A6">
              <w:rPr>
                <w:rFonts w:ascii="Arial Narrow" w:hAnsi="Arial Narrow"/>
                <w:b/>
                <w:sz w:val="20"/>
              </w:rPr>
              <w:t>Case report studies</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Abacan 2013</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Abacan M. &amp; Boneh A. Use of carglumic acid in the treatment of hyperammonaemia during metabolic decompensation of patients with propionic acidaemia.</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Molecular Genetics and Metabolism 2013; 109(4), 397-401.</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Camozzi 2009</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Camozzi C.R., Millson M., Smit M. &amp; Salter J. Orphan Europe- Carbaglu® Retrospective Observational Study of Hyperammonaemia in OA Decompensation Episodes.</w:t>
            </w:r>
          </w:p>
        </w:tc>
        <w:tc>
          <w:tcPr>
            <w:tcW w:w="1271" w:type="pct"/>
          </w:tcPr>
          <w:p w:rsidR="0066707C" w:rsidRPr="00C804A6" w:rsidRDefault="0066707C" w:rsidP="007473B7">
            <w:pPr>
              <w:keepNext/>
              <w:widowControl/>
              <w:jc w:val="left"/>
              <w:rPr>
                <w:rFonts w:ascii="Arial Narrow" w:hAnsi="Arial Narrow"/>
                <w:bCs/>
                <w:sz w:val="20"/>
              </w:rPr>
            </w:pPr>
            <w:r>
              <w:rPr>
                <w:rFonts w:ascii="Arial Narrow" w:hAnsi="Arial Narrow"/>
                <w:bCs/>
                <w:sz w:val="20"/>
              </w:rPr>
              <w:t xml:space="preserve">Clinical study report, 21 July 2009 </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Fiilippi 2010</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Filippi L., Gozzini E., Fiorini P., Malvag</w:t>
            </w:r>
            <w:r>
              <w:rPr>
                <w:rFonts w:ascii="Arial Narrow" w:hAnsi="Arial Narrow"/>
                <w:bCs/>
                <w:sz w:val="20"/>
              </w:rPr>
              <w:t>ia S., La Marca G. &amp; Donati M.A</w:t>
            </w:r>
            <w:r w:rsidRPr="00C804A6">
              <w:rPr>
                <w:rFonts w:ascii="Arial Narrow" w:hAnsi="Arial Narrow"/>
                <w:bCs/>
                <w:sz w:val="20"/>
              </w:rPr>
              <w:t>. N-carbamylglutamate in emergency management of hyperammonemia in neonatal acute onset propionic and methylmalonic aciduria.</w:t>
            </w:r>
          </w:p>
        </w:tc>
        <w:tc>
          <w:tcPr>
            <w:tcW w:w="1271" w:type="pct"/>
          </w:tcPr>
          <w:p w:rsidR="0066707C" w:rsidRPr="00C804A6" w:rsidRDefault="0066707C" w:rsidP="007473B7">
            <w:pPr>
              <w:keepNext/>
              <w:widowControl/>
              <w:jc w:val="left"/>
              <w:rPr>
                <w:rFonts w:ascii="Arial Narrow" w:hAnsi="Arial Narrow"/>
                <w:bCs/>
                <w:sz w:val="20"/>
              </w:rPr>
            </w:pPr>
            <w:r>
              <w:rPr>
                <w:rFonts w:ascii="Arial Narrow" w:hAnsi="Arial Narrow"/>
                <w:bCs/>
                <w:sz w:val="20"/>
              </w:rPr>
              <w:t>Neonatology 2010; 97(</w:t>
            </w:r>
            <w:r w:rsidRPr="00C804A6">
              <w:rPr>
                <w:rFonts w:ascii="Arial Narrow" w:hAnsi="Arial Narrow"/>
                <w:bCs/>
                <w:sz w:val="20"/>
              </w:rPr>
              <w:t>3</w:t>
            </w:r>
            <w:r>
              <w:rPr>
                <w:rFonts w:ascii="Arial Narrow" w:hAnsi="Arial Narrow"/>
                <w:bCs/>
                <w:sz w:val="20"/>
              </w:rPr>
              <w:t>)</w:t>
            </w:r>
            <w:r w:rsidRPr="00C804A6">
              <w:rPr>
                <w:rFonts w:ascii="Arial Narrow" w:hAnsi="Arial Narrow"/>
                <w:bCs/>
                <w:sz w:val="20"/>
              </w:rPr>
              <w:t>, 286-290.</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Gebhardt 2005</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Gebhardt B., Dittrich S., Parbel S., Vlaho S., Matsika O. &amp; Bohles H. N-Carbamylglutamate protects patients with decompensated propionic aciduria from hyperammonaemia.</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Journal</w:t>
            </w:r>
            <w:r>
              <w:rPr>
                <w:rFonts w:ascii="Arial Narrow" w:hAnsi="Arial Narrow"/>
                <w:bCs/>
                <w:sz w:val="20"/>
              </w:rPr>
              <w:t xml:space="preserve"> of Inherited Metabolic Disease 2005; 28(2),</w:t>
            </w:r>
            <w:r w:rsidRPr="00C804A6">
              <w:rPr>
                <w:rFonts w:ascii="Arial Narrow" w:hAnsi="Arial Narrow"/>
                <w:bCs/>
                <w:sz w:val="20"/>
              </w:rPr>
              <w:t xml:space="preserve"> 241-244.</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Gebhardt 2003</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Gebhardt B., Vlaho S., Fischer D., Sewell A. &amp; Böhles H. N-carbamylglutamate enhances ammonia detoxification in a patient with decompensated methylmalonic aciduria.</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Molecular Genetics and Metabolism</w:t>
            </w:r>
            <w:r>
              <w:rPr>
                <w:rFonts w:ascii="Arial Narrow" w:hAnsi="Arial Narrow"/>
                <w:bCs/>
                <w:sz w:val="20"/>
              </w:rPr>
              <w:t xml:space="preserve"> 2003, 79(</w:t>
            </w:r>
            <w:r w:rsidRPr="00C804A6">
              <w:rPr>
                <w:rFonts w:ascii="Arial Narrow" w:hAnsi="Arial Narrow"/>
                <w:bCs/>
                <w:sz w:val="20"/>
              </w:rPr>
              <w:t>4</w:t>
            </w:r>
            <w:r>
              <w:rPr>
                <w:rFonts w:ascii="Arial Narrow" w:hAnsi="Arial Narrow"/>
                <w:bCs/>
                <w:sz w:val="20"/>
              </w:rPr>
              <w:t>)</w:t>
            </w:r>
            <w:r w:rsidRPr="00C804A6">
              <w:rPr>
                <w:rFonts w:ascii="Arial Narrow" w:hAnsi="Arial Narrow"/>
                <w:bCs/>
                <w:sz w:val="20"/>
              </w:rPr>
              <w:t>, 303-304.</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Jones 2008</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Jones S., Reed C.A., Vijay S., Walter J.H. &amp; Morris A.A. N-carbamylglutamate for neonatal hyperammonaemia in propionic acidaemia.</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Journal of inherited metabolic disease</w:t>
            </w:r>
            <w:r>
              <w:rPr>
                <w:rFonts w:ascii="Arial Narrow" w:hAnsi="Arial Narrow"/>
                <w:bCs/>
                <w:sz w:val="20"/>
              </w:rPr>
              <w:t xml:space="preserve"> 2008; 31(</w:t>
            </w:r>
            <w:r w:rsidRPr="00C804A6">
              <w:rPr>
                <w:rFonts w:ascii="Arial Narrow" w:hAnsi="Arial Narrow"/>
                <w:bCs/>
                <w:sz w:val="20"/>
              </w:rPr>
              <w:t xml:space="preserve"> Suppl 2</w:t>
            </w:r>
            <w:r>
              <w:rPr>
                <w:rFonts w:ascii="Arial Narrow" w:hAnsi="Arial Narrow"/>
                <w:bCs/>
                <w:sz w:val="20"/>
              </w:rPr>
              <w:t>)</w:t>
            </w:r>
            <w:r w:rsidRPr="00C804A6">
              <w:rPr>
                <w:rFonts w:ascii="Arial Narrow" w:hAnsi="Arial Narrow"/>
                <w:bCs/>
                <w:sz w:val="20"/>
              </w:rPr>
              <w:t>, S219-222.</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Kasapkara 2011</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Kasapkara C.S., Ezgu F.S., Okur I., Tumer</w:t>
            </w:r>
            <w:r>
              <w:rPr>
                <w:rFonts w:ascii="Arial Narrow" w:hAnsi="Arial Narrow"/>
                <w:bCs/>
                <w:sz w:val="20"/>
              </w:rPr>
              <w:t xml:space="preserve"> L., Biberoglu G. &amp; Hasanoglu A</w:t>
            </w:r>
            <w:r w:rsidRPr="00C804A6">
              <w:rPr>
                <w:rFonts w:ascii="Arial Narrow" w:hAnsi="Arial Narrow"/>
                <w:bCs/>
                <w:sz w:val="20"/>
              </w:rPr>
              <w:t xml:space="preserve">. N-carbamylglutamate treatment for acute neonatal hyperammonemia in isovaleric </w:t>
            </w:r>
            <w:r w:rsidR="00CF717E">
              <w:rPr>
                <w:rFonts w:ascii="Arial Narrow" w:hAnsi="Arial Narrow"/>
                <w:bCs/>
                <w:sz w:val="20"/>
              </w:rPr>
              <w:t>acidemia</w:t>
            </w:r>
            <w:r w:rsidRPr="00C804A6">
              <w:rPr>
                <w:rFonts w:ascii="Arial Narrow" w:hAnsi="Arial Narrow"/>
                <w:bCs/>
                <w:sz w:val="20"/>
              </w:rPr>
              <w:t>.</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European Journal of Pediatrics</w:t>
            </w:r>
            <w:r>
              <w:rPr>
                <w:rFonts w:ascii="Arial Narrow" w:hAnsi="Arial Narrow"/>
                <w:bCs/>
                <w:sz w:val="20"/>
              </w:rPr>
              <w:t xml:space="preserve"> 2011, 170(</w:t>
            </w:r>
            <w:r w:rsidRPr="00C804A6">
              <w:rPr>
                <w:rFonts w:ascii="Arial Narrow" w:hAnsi="Arial Narrow"/>
                <w:bCs/>
                <w:sz w:val="20"/>
              </w:rPr>
              <w:t>6</w:t>
            </w:r>
            <w:r>
              <w:rPr>
                <w:rFonts w:ascii="Arial Narrow" w:hAnsi="Arial Narrow"/>
                <w:bCs/>
                <w:sz w:val="20"/>
              </w:rPr>
              <w:t>)</w:t>
            </w:r>
            <w:r w:rsidRPr="00C804A6">
              <w:rPr>
                <w:rFonts w:ascii="Arial Narrow" w:hAnsi="Arial Narrow"/>
                <w:bCs/>
                <w:sz w:val="20"/>
              </w:rPr>
              <w:t>, 799-801.</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Khan2013</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 xml:space="preserve">Khan A., Casey R., Ferreira P. &amp; Reeves M. Mut(0)-methylmalonic </w:t>
            </w:r>
            <w:r w:rsidR="00CF717E">
              <w:rPr>
                <w:rFonts w:ascii="Arial Narrow" w:hAnsi="Arial Narrow"/>
                <w:bCs/>
                <w:sz w:val="20"/>
              </w:rPr>
              <w:t>acidemia</w:t>
            </w:r>
            <w:r w:rsidRPr="00C804A6">
              <w:rPr>
                <w:rFonts w:ascii="Arial Narrow" w:hAnsi="Arial Narrow"/>
                <w:bCs/>
                <w:sz w:val="20"/>
              </w:rPr>
              <w:t>: Carglumic acid can help lower blood ammonia levels and allow for adequate protein intake.</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Journal of Inherited Metabolic Disease</w:t>
            </w:r>
            <w:r>
              <w:rPr>
                <w:rFonts w:ascii="Arial Narrow" w:hAnsi="Arial Narrow"/>
                <w:bCs/>
                <w:sz w:val="20"/>
              </w:rPr>
              <w:t xml:space="preserve"> 2013, 36(</w:t>
            </w:r>
            <w:r w:rsidRPr="00C804A6">
              <w:rPr>
                <w:rFonts w:ascii="Arial Narrow" w:hAnsi="Arial Narrow"/>
                <w:bCs/>
                <w:sz w:val="20"/>
              </w:rPr>
              <w:t>2</w:t>
            </w:r>
            <w:r>
              <w:rPr>
                <w:rFonts w:ascii="Arial Narrow" w:hAnsi="Arial Narrow"/>
                <w:bCs/>
                <w:sz w:val="20"/>
              </w:rPr>
              <w:t>)</w:t>
            </w:r>
            <w:r w:rsidRPr="00C804A6">
              <w:rPr>
                <w:rFonts w:ascii="Arial Narrow" w:hAnsi="Arial Narrow"/>
                <w:bCs/>
                <w:sz w:val="20"/>
              </w:rPr>
              <w:t>, S184-S185.</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Levesque 2010</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Levesque S., Karalis A., Lamber</w:t>
            </w:r>
            <w:r>
              <w:rPr>
                <w:rFonts w:ascii="Arial Narrow" w:hAnsi="Arial Narrow"/>
                <w:bCs/>
                <w:sz w:val="20"/>
              </w:rPr>
              <w:t>t M. &amp; Russell L.</w:t>
            </w:r>
            <w:r w:rsidRPr="00C804A6">
              <w:rPr>
                <w:rFonts w:ascii="Arial Narrow" w:hAnsi="Arial Narrow"/>
                <w:bCs/>
                <w:sz w:val="20"/>
              </w:rPr>
              <w:t xml:space="preserve"> Outcome of propionic </w:t>
            </w:r>
            <w:r w:rsidR="00CF717E">
              <w:rPr>
                <w:rFonts w:ascii="Arial Narrow" w:hAnsi="Arial Narrow"/>
                <w:bCs/>
                <w:sz w:val="20"/>
              </w:rPr>
              <w:t>acidemia</w:t>
            </w:r>
            <w:r w:rsidRPr="00C804A6">
              <w:rPr>
                <w:rFonts w:ascii="Arial Narrow" w:hAnsi="Arial Narrow"/>
                <w:bCs/>
                <w:sz w:val="20"/>
              </w:rPr>
              <w:t xml:space="preserve"> treated at presentation with N-carbamylglutamate.</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Molecular Genetics and Metabolism</w:t>
            </w:r>
            <w:r>
              <w:rPr>
                <w:rFonts w:ascii="Arial Narrow" w:hAnsi="Arial Narrow"/>
                <w:bCs/>
                <w:sz w:val="20"/>
              </w:rPr>
              <w:t xml:space="preserve"> 2010</w:t>
            </w:r>
            <w:r w:rsidRPr="00C804A6">
              <w:rPr>
                <w:rFonts w:ascii="Arial Narrow" w:hAnsi="Arial Narrow"/>
                <w:bCs/>
                <w:sz w:val="20"/>
              </w:rPr>
              <w:t>, 99:3, 203.</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Levrat 2008</w:t>
            </w:r>
          </w:p>
        </w:tc>
        <w:tc>
          <w:tcPr>
            <w:tcW w:w="3132"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 xml:space="preserve">Levrat V., Forest I., Fouilhoux A., Acquaviva C., Vianey-Saban C. &amp; Guffon N. Carglumic acid: an additional therapy in the treatment of organic acidurias with hyperammonemia? </w:t>
            </w:r>
          </w:p>
        </w:tc>
        <w:tc>
          <w:tcPr>
            <w:tcW w:w="1271"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Orphanet journal of rare diseases</w:t>
            </w:r>
            <w:r>
              <w:rPr>
                <w:rFonts w:ascii="Arial Narrow" w:hAnsi="Arial Narrow"/>
                <w:bCs/>
                <w:sz w:val="20"/>
              </w:rPr>
              <w:t xml:space="preserve"> 2008 </w:t>
            </w:r>
            <w:r w:rsidRPr="00C804A6">
              <w:rPr>
                <w:rFonts w:ascii="Arial Narrow" w:hAnsi="Arial Narrow"/>
                <w:bCs/>
                <w:sz w:val="20"/>
              </w:rPr>
              <w:t>, 3, 2.</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Schwahn 2010</w:t>
            </w:r>
          </w:p>
        </w:tc>
        <w:tc>
          <w:tcPr>
            <w:tcW w:w="3132" w:type="pct"/>
          </w:tcPr>
          <w:p w:rsidR="0066707C" w:rsidRPr="00C804A6" w:rsidRDefault="0066707C" w:rsidP="007473B7">
            <w:pPr>
              <w:keepNext/>
              <w:widowControl/>
              <w:jc w:val="left"/>
              <w:rPr>
                <w:rFonts w:ascii="Arial Narrow" w:hAnsi="Arial Narrow"/>
                <w:bCs/>
                <w:sz w:val="20"/>
              </w:rPr>
            </w:pPr>
            <w:r w:rsidRPr="00AD5CA1">
              <w:rPr>
                <w:rFonts w:ascii="Arial Narrow" w:hAnsi="Arial Narrow"/>
                <w:bCs/>
                <w:sz w:val="20"/>
              </w:rPr>
              <w:t>Schwahn B.C., Pieterse L., Bisset W.M., Galloway P.G. &amp; Robinson P.H. Biochemical efficacy of N-carbamylglutamate in neonatal severe hyperammonaemia due to propionic acidaemia.</w:t>
            </w:r>
          </w:p>
        </w:tc>
        <w:tc>
          <w:tcPr>
            <w:tcW w:w="1271" w:type="pct"/>
          </w:tcPr>
          <w:p w:rsidR="0066707C" w:rsidRPr="00C804A6" w:rsidRDefault="0066707C" w:rsidP="007473B7">
            <w:pPr>
              <w:keepNext/>
              <w:widowControl/>
              <w:jc w:val="left"/>
              <w:rPr>
                <w:rFonts w:ascii="Arial Narrow" w:hAnsi="Arial Narrow"/>
                <w:bCs/>
                <w:sz w:val="20"/>
              </w:rPr>
            </w:pPr>
            <w:r w:rsidRPr="00AD5CA1">
              <w:rPr>
                <w:rFonts w:ascii="Arial Narrow" w:hAnsi="Arial Narrow"/>
                <w:bCs/>
                <w:sz w:val="20"/>
              </w:rPr>
              <w:t>European Journal of Pediatrics</w:t>
            </w:r>
            <w:r>
              <w:rPr>
                <w:rFonts w:ascii="Arial Narrow" w:hAnsi="Arial Narrow"/>
                <w:bCs/>
                <w:sz w:val="20"/>
              </w:rPr>
              <w:t xml:space="preserve"> 2010</w:t>
            </w:r>
            <w:r w:rsidRPr="00AD5CA1">
              <w:rPr>
                <w:rFonts w:ascii="Arial Narrow" w:hAnsi="Arial Narrow"/>
                <w:bCs/>
                <w:sz w:val="20"/>
              </w:rPr>
              <w:t>, 169:1, 133-134.</w:t>
            </w:r>
          </w:p>
        </w:tc>
      </w:tr>
      <w:tr w:rsidR="0066707C" w:rsidRPr="00C804A6" w:rsidTr="004E76E0">
        <w:tc>
          <w:tcPr>
            <w:tcW w:w="597" w:type="pct"/>
          </w:tcPr>
          <w:p w:rsidR="0066707C" w:rsidRPr="00C804A6" w:rsidRDefault="0066707C" w:rsidP="007473B7">
            <w:pPr>
              <w:keepNext/>
              <w:widowControl/>
              <w:jc w:val="left"/>
              <w:rPr>
                <w:rFonts w:ascii="Arial Narrow" w:hAnsi="Arial Narrow"/>
                <w:bCs/>
                <w:sz w:val="20"/>
              </w:rPr>
            </w:pPr>
            <w:r w:rsidRPr="00C804A6">
              <w:rPr>
                <w:rFonts w:ascii="Arial Narrow" w:hAnsi="Arial Narrow"/>
                <w:bCs/>
                <w:sz w:val="20"/>
              </w:rPr>
              <w:t>Soyucen 2010</w:t>
            </w:r>
          </w:p>
        </w:tc>
        <w:tc>
          <w:tcPr>
            <w:tcW w:w="3132" w:type="pct"/>
          </w:tcPr>
          <w:p w:rsidR="0066707C" w:rsidRPr="00C804A6" w:rsidRDefault="0066707C" w:rsidP="007473B7">
            <w:pPr>
              <w:keepNext/>
              <w:widowControl/>
              <w:jc w:val="left"/>
              <w:rPr>
                <w:rFonts w:ascii="Arial Narrow" w:hAnsi="Arial Narrow"/>
                <w:bCs/>
                <w:sz w:val="20"/>
              </w:rPr>
            </w:pPr>
            <w:r w:rsidRPr="00AD5CA1">
              <w:rPr>
                <w:rFonts w:ascii="Arial Narrow" w:hAnsi="Arial Narrow"/>
                <w:bCs/>
                <w:sz w:val="20"/>
              </w:rPr>
              <w:t xml:space="preserve">Soyucen E., Demirci E. &amp; Aydin A. 2010. Outpatient treatment of propionic </w:t>
            </w:r>
            <w:r w:rsidR="00CF717E">
              <w:rPr>
                <w:rFonts w:ascii="Arial Narrow" w:hAnsi="Arial Narrow"/>
                <w:bCs/>
                <w:sz w:val="20"/>
              </w:rPr>
              <w:t>acidemia</w:t>
            </w:r>
            <w:r w:rsidRPr="00AD5CA1">
              <w:rPr>
                <w:rFonts w:ascii="Arial Narrow" w:hAnsi="Arial Narrow"/>
                <w:bCs/>
                <w:sz w:val="20"/>
              </w:rPr>
              <w:t>-associated hyperammonemia with N-carbamoyl-L-glutamate in an infant.</w:t>
            </w:r>
          </w:p>
        </w:tc>
        <w:tc>
          <w:tcPr>
            <w:tcW w:w="1271" w:type="pct"/>
          </w:tcPr>
          <w:p w:rsidR="0066707C" w:rsidRPr="00C804A6" w:rsidRDefault="0066707C" w:rsidP="007473B7">
            <w:pPr>
              <w:keepNext/>
              <w:widowControl/>
              <w:jc w:val="left"/>
              <w:rPr>
                <w:rFonts w:ascii="Arial Narrow" w:hAnsi="Arial Narrow"/>
                <w:bCs/>
                <w:sz w:val="20"/>
              </w:rPr>
            </w:pPr>
            <w:r w:rsidRPr="00AD5CA1">
              <w:rPr>
                <w:rFonts w:ascii="Arial Narrow" w:hAnsi="Arial Narrow"/>
                <w:bCs/>
                <w:sz w:val="20"/>
              </w:rPr>
              <w:t>Clinical Therapeutics,</w:t>
            </w:r>
            <w:r>
              <w:rPr>
                <w:rFonts w:ascii="Arial Narrow" w:hAnsi="Arial Narrow"/>
                <w:bCs/>
                <w:sz w:val="20"/>
              </w:rPr>
              <w:t xml:space="preserve"> 2010</w:t>
            </w:r>
            <w:r w:rsidRPr="00AD5CA1">
              <w:rPr>
                <w:rFonts w:ascii="Arial Narrow" w:hAnsi="Arial Narrow"/>
                <w:bCs/>
                <w:sz w:val="20"/>
              </w:rPr>
              <w:t xml:space="preserve"> 32:4, 710-713.</w:t>
            </w:r>
          </w:p>
        </w:tc>
      </w:tr>
    </w:tbl>
    <w:p w:rsidR="0066707C" w:rsidRPr="00862502" w:rsidRDefault="0066707C" w:rsidP="007473B7">
      <w:pPr>
        <w:pStyle w:val="TableFooter"/>
        <w:widowControl/>
        <w:ind w:firstLine="720"/>
        <w:rPr>
          <w:szCs w:val="22"/>
        </w:rPr>
      </w:pPr>
      <w:r w:rsidRPr="00D13A3E">
        <w:t xml:space="preserve">Source: </w:t>
      </w:r>
      <w:r>
        <w:t>Table B:6, pp32-33 of the submission</w:t>
      </w:r>
    </w:p>
    <w:p w:rsidR="0066707C" w:rsidRPr="008F120A" w:rsidRDefault="0066707C" w:rsidP="007473B7">
      <w:pPr>
        <w:widowControl/>
        <w:rPr>
          <w:szCs w:val="22"/>
        </w:rPr>
      </w:pPr>
    </w:p>
    <w:p w:rsidR="0066707C" w:rsidRPr="00B50DB8" w:rsidRDefault="0066707C" w:rsidP="007473B7">
      <w:pPr>
        <w:pStyle w:val="ListParagraph"/>
        <w:widowControl/>
        <w:numPr>
          <w:ilvl w:val="1"/>
          <w:numId w:val="3"/>
        </w:numPr>
        <w:rPr>
          <w:szCs w:val="22"/>
        </w:rPr>
      </w:pPr>
      <w:r w:rsidRPr="00B50DB8">
        <w:rPr>
          <w:szCs w:val="22"/>
        </w:rPr>
        <w:t xml:space="preserve">The key features of the </w:t>
      </w:r>
      <w:r w:rsidR="00652967">
        <w:rPr>
          <w:szCs w:val="22"/>
        </w:rPr>
        <w:t>case report studies</w:t>
      </w:r>
      <w:r w:rsidRPr="00B50DB8">
        <w:rPr>
          <w:szCs w:val="22"/>
        </w:rPr>
        <w:t xml:space="preserve"> are summarised in </w:t>
      </w:r>
      <w:r w:rsidR="004E76E0">
        <w:rPr>
          <w:szCs w:val="22"/>
        </w:rPr>
        <w:t>Table 2</w:t>
      </w:r>
      <w:r w:rsidRPr="00B50DB8">
        <w:rPr>
          <w:szCs w:val="22"/>
        </w:rPr>
        <w:t>.</w:t>
      </w:r>
      <w:r w:rsidR="007F20A2">
        <w:rPr>
          <w:szCs w:val="22"/>
        </w:rPr>
        <w:t xml:space="preserve"> </w:t>
      </w:r>
    </w:p>
    <w:p w:rsidR="0066707C" w:rsidRDefault="0066707C" w:rsidP="007473B7">
      <w:pPr>
        <w:widowControl/>
        <w:rPr>
          <w:szCs w:val="22"/>
        </w:rPr>
      </w:pPr>
    </w:p>
    <w:p w:rsidR="0066707C" w:rsidRPr="00E2771E" w:rsidRDefault="0066707C" w:rsidP="007473B7">
      <w:pPr>
        <w:keepNext/>
        <w:widowControl/>
        <w:ind w:firstLine="720"/>
        <w:rPr>
          <w:rStyle w:val="CommentReference"/>
        </w:rPr>
      </w:pPr>
      <w:r w:rsidRPr="00E2771E">
        <w:rPr>
          <w:rStyle w:val="CommentReference"/>
        </w:rPr>
        <w:t xml:space="preserve">Table </w:t>
      </w:r>
      <w:r w:rsidR="004E76E0">
        <w:rPr>
          <w:rStyle w:val="CommentReference"/>
        </w:rPr>
        <w:t>2</w:t>
      </w:r>
      <w:r w:rsidR="004E76E0" w:rsidRPr="00E2771E">
        <w:rPr>
          <w:rStyle w:val="CommentReference"/>
        </w:rPr>
        <w:t xml:space="preserve">: </w:t>
      </w:r>
      <w:r w:rsidRPr="00E2771E">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850"/>
        <w:gridCol w:w="1419"/>
        <w:gridCol w:w="567"/>
        <w:gridCol w:w="1132"/>
        <w:gridCol w:w="2126"/>
        <w:gridCol w:w="975"/>
      </w:tblGrid>
      <w:tr w:rsidR="00AA4D55" w:rsidRPr="00E2771E" w:rsidTr="004E76E0">
        <w:tc>
          <w:tcPr>
            <w:tcW w:w="765" w:type="pct"/>
            <w:shd w:val="clear" w:color="auto" w:fill="auto"/>
            <w:vAlign w:val="center"/>
          </w:tcPr>
          <w:p w:rsidR="0066707C" w:rsidRPr="00E2771E" w:rsidRDefault="002E1EA2" w:rsidP="007473B7">
            <w:pPr>
              <w:keepNext/>
              <w:widowControl/>
              <w:jc w:val="left"/>
              <w:rPr>
                <w:rFonts w:ascii="Arial Narrow" w:hAnsi="Arial Narrow"/>
                <w:b/>
                <w:sz w:val="20"/>
                <w:lang w:val="en-US"/>
              </w:rPr>
            </w:pPr>
            <w:r>
              <w:rPr>
                <w:rFonts w:ascii="Arial Narrow" w:hAnsi="Arial Narrow"/>
                <w:b/>
                <w:sz w:val="20"/>
                <w:lang w:val="en-US"/>
              </w:rPr>
              <w:t>Study</w:t>
            </w:r>
          </w:p>
        </w:tc>
        <w:tc>
          <w:tcPr>
            <w:tcW w:w="509" w:type="pct"/>
            <w:shd w:val="clear" w:color="auto" w:fill="auto"/>
            <w:vAlign w:val="center"/>
          </w:tcPr>
          <w:p w:rsidR="0066707C" w:rsidRPr="00E2771E" w:rsidRDefault="0066707C" w:rsidP="007473B7">
            <w:pPr>
              <w:keepNext/>
              <w:widowControl/>
              <w:jc w:val="center"/>
              <w:rPr>
                <w:rFonts w:ascii="Arial Narrow" w:hAnsi="Arial Narrow"/>
                <w:b/>
                <w:sz w:val="20"/>
                <w:lang w:val="en-US"/>
              </w:rPr>
            </w:pPr>
            <w:r w:rsidRPr="00E2771E">
              <w:rPr>
                <w:rFonts w:ascii="Arial Narrow" w:hAnsi="Arial Narrow"/>
                <w:b/>
                <w:sz w:val="20"/>
                <w:lang w:val="en-US"/>
              </w:rPr>
              <w:t>N</w:t>
            </w:r>
            <w:r>
              <w:rPr>
                <w:rFonts w:ascii="Arial Narrow" w:hAnsi="Arial Narrow"/>
                <w:b/>
                <w:sz w:val="20"/>
                <w:lang w:val="en-US"/>
              </w:rPr>
              <w:t xml:space="preserve"> </w:t>
            </w:r>
            <w:r w:rsidRPr="004E76E0">
              <w:rPr>
                <w:rFonts w:ascii="Arial Narrow" w:hAnsi="Arial Narrow"/>
                <w:b/>
                <w:sz w:val="18"/>
                <w:lang w:val="en-US"/>
              </w:rPr>
              <w:t>(episodes)</w:t>
            </w:r>
          </w:p>
        </w:tc>
        <w:tc>
          <w:tcPr>
            <w:tcW w:w="850" w:type="pct"/>
            <w:shd w:val="clear" w:color="auto" w:fill="auto"/>
            <w:vAlign w:val="center"/>
          </w:tcPr>
          <w:p w:rsidR="0066707C" w:rsidRPr="00E2771E" w:rsidRDefault="0066707C" w:rsidP="007473B7">
            <w:pPr>
              <w:keepNext/>
              <w:widowControl/>
              <w:jc w:val="center"/>
              <w:rPr>
                <w:rFonts w:ascii="Arial Narrow" w:hAnsi="Arial Narrow"/>
                <w:b/>
                <w:sz w:val="20"/>
                <w:lang w:val="en-US"/>
              </w:rPr>
            </w:pPr>
            <w:r>
              <w:rPr>
                <w:rFonts w:ascii="Arial Narrow" w:hAnsi="Arial Narrow"/>
                <w:b/>
                <w:sz w:val="20"/>
                <w:lang w:val="en-US"/>
              </w:rPr>
              <w:t xml:space="preserve">Design, </w:t>
            </w:r>
            <w:r w:rsidRPr="00E2771E">
              <w:rPr>
                <w:rFonts w:ascii="Arial Narrow" w:hAnsi="Arial Narrow"/>
                <w:b/>
                <w:sz w:val="20"/>
                <w:lang w:val="en-US"/>
              </w:rPr>
              <w:t>duration</w:t>
            </w:r>
          </w:p>
        </w:tc>
        <w:tc>
          <w:tcPr>
            <w:tcW w:w="340" w:type="pct"/>
            <w:shd w:val="clear" w:color="auto" w:fill="auto"/>
            <w:vAlign w:val="center"/>
          </w:tcPr>
          <w:p w:rsidR="0066707C" w:rsidRPr="00E2771E" w:rsidRDefault="0066707C" w:rsidP="007473B7">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678" w:type="pct"/>
            <w:shd w:val="clear" w:color="auto" w:fill="auto"/>
            <w:vAlign w:val="center"/>
          </w:tcPr>
          <w:p w:rsidR="0066707C" w:rsidRPr="00E2771E" w:rsidRDefault="0066707C" w:rsidP="007473B7">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1274" w:type="pct"/>
            <w:shd w:val="clear" w:color="auto" w:fill="auto"/>
            <w:vAlign w:val="center"/>
          </w:tcPr>
          <w:p w:rsidR="0066707C" w:rsidRPr="00E2771E" w:rsidRDefault="0066707C" w:rsidP="007473B7">
            <w:pPr>
              <w:keepNext/>
              <w:widowControl/>
              <w:jc w:val="center"/>
              <w:rPr>
                <w:rFonts w:ascii="Arial Narrow" w:hAnsi="Arial Narrow"/>
                <w:b/>
                <w:sz w:val="20"/>
                <w:lang w:val="en-US"/>
              </w:rPr>
            </w:pPr>
            <w:r w:rsidRPr="00E2771E">
              <w:rPr>
                <w:rFonts w:ascii="Arial Narrow" w:hAnsi="Arial Narrow"/>
                <w:b/>
                <w:sz w:val="20"/>
                <w:lang w:val="en-US"/>
              </w:rPr>
              <w:t>Outcome(s)</w:t>
            </w:r>
          </w:p>
        </w:tc>
        <w:tc>
          <w:tcPr>
            <w:tcW w:w="584" w:type="pct"/>
            <w:shd w:val="clear" w:color="auto" w:fill="auto"/>
            <w:vAlign w:val="center"/>
          </w:tcPr>
          <w:p w:rsidR="0066707C" w:rsidRPr="00E2771E" w:rsidRDefault="0066707C" w:rsidP="007473B7">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66707C" w:rsidRPr="00E2771E" w:rsidTr="00AA4D55">
        <w:tc>
          <w:tcPr>
            <w:tcW w:w="5000" w:type="pct"/>
            <w:gridSpan w:val="7"/>
            <w:shd w:val="clear" w:color="auto" w:fill="auto"/>
            <w:vAlign w:val="center"/>
          </w:tcPr>
          <w:p w:rsidR="0066707C" w:rsidRPr="00E2771E" w:rsidRDefault="0066707C" w:rsidP="007473B7">
            <w:pPr>
              <w:keepNext/>
              <w:widowControl/>
              <w:jc w:val="left"/>
              <w:rPr>
                <w:rFonts w:ascii="Arial Narrow" w:hAnsi="Arial Narrow"/>
                <w:b/>
                <w:sz w:val="20"/>
                <w:lang w:val="en-US"/>
              </w:rPr>
            </w:pPr>
            <w:r>
              <w:rPr>
                <w:rFonts w:ascii="Arial Narrow" w:hAnsi="Arial Narrow"/>
                <w:b/>
                <w:sz w:val="20"/>
                <w:lang w:val="en-US"/>
              </w:rPr>
              <w:t>Carglumic acid plus conventional therapy</w:t>
            </w:r>
          </w:p>
        </w:tc>
      </w:tr>
      <w:tr w:rsidR="00AA4D55" w:rsidRPr="00E2771E" w:rsidTr="004E76E0">
        <w:tc>
          <w:tcPr>
            <w:tcW w:w="765" w:type="pct"/>
            <w:shd w:val="clear" w:color="auto" w:fill="auto"/>
          </w:tcPr>
          <w:p w:rsidR="0066707C" w:rsidRPr="00E2771E" w:rsidRDefault="0066707C" w:rsidP="007473B7">
            <w:pPr>
              <w:keepNext/>
              <w:widowControl/>
              <w:jc w:val="left"/>
              <w:rPr>
                <w:rFonts w:ascii="Arial Narrow" w:hAnsi="Arial Narrow"/>
                <w:sz w:val="20"/>
                <w:lang w:val="en-US"/>
              </w:rPr>
            </w:pPr>
            <w:r w:rsidRPr="00C804A6">
              <w:rPr>
                <w:rFonts w:ascii="Arial Narrow" w:hAnsi="Arial Narrow"/>
                <w:bCs/>
                <w:sz w:val="20"/>
              </w:rPr>
              <w:t>Abacan 2013</w:t>
            </w:r>
          </w:p>
        </w:tc>
        <w:tc>
          <w:tcPr>
            <w:tcW w:w="509" w:type="pct"/>
            <w:shd w:val="clear" w:color="auto" w:fill="auto"/>
            <w:vAlign w:val="center"/>
          </w:tcPr>
          <w:p w:rsidR="0066707C" w:rsidRPr="00E2771E" w:rsidRDefault="0066707C" w:rsidP="007473B7">
            <w:pPr>
              <w:keepNext/>
              <w:widowControl/>
              <w:jc w:val="center"/>
              <w:rPr>
                <w:rFonts w:ascii="Arial Narrow" w:hAnsi="Arial Narrow"/>
                <w:sz w:val="20"/>
                <w:lang w:val="en-US"/>
              </w:rPr>
            </w:pPr>
            <w:r>
              <w:rPr>
                <w:rFonts w:ascii="Arial Narrow" w:hAnsi="Arial Narrow"/>
                <w:sz w:val="20"/>
                <w:lang w:val="en-US"/>
              </w:rPr>
              <w:t>3 (8)</w:t>
            </w:r>
          </w:p>
        </w:tc>
        <w:tc>
          <w:tcPr>
            <w:tcW w:w="850" w:type="pct"/>
            <w:shd w:val="clear" w:color="auto" w:fill="auto"/>
            <w:vAlign w:val="center"/>
          </w:tcPr>
          <w:p w:rsidR="0066707C" w:rsidRPr="00E2771E" w:rsidRDefault="0066707C" w:rsidP="007473B7">
            <w:pPr>
              <w:keepNext/>
              <w:widowControl/>
              <w:jc w:val="center"/>
              <w:rPr>
                <w:rFonts w:ascii="Arial Narrow" w:hAnsi="Arial Narrow"/>
                <w:sz w:val="20"/>
                <w:lang w:val="en-US"/>
              </w:rPr>
            </w:pPr>
            <w:r>
              <w:rPr>
                <w:rFonts w:ascii="Arial Narrow" w:hAnsi="Arial Narrow"/>
                <w:sz w:val="20"/>
                <w:lang w:val="en-US"/>
              </w:rPr>
              <w:t>RCR, 1-3 days</w:t>
            </w:r>
          </w:p>
        </w:tc>
        <w:tc>
          <w:tcPr>
            <w:tcW w:w="340" w:type="pct"/>
            <w:shd w:val="clear" w:color="auto" w:fill="auto"/>
            <w:vAlign w:val="center"/>
          </w:tcPr>
          <w:p w:rsidR="0066707C" w:rsidRPr="00E2771E" w:rsidRDefault="0066707C"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66707C" w:rsidRPr="00E2771E" w:rsidRDefault="00AA4D55" w:rsidP="007473B7">
            <w:pPr>
              <w:keepNext/>
              <w:widowControl/>
              <w:jc w:val="center"/>
              <w:rPr>
                <w:rFonts w:ascii="Arial Narrow" w:hAnsi="Arial Narrow"/>
                <w:sz w:val="20"/>
                <w:lang w:val="en-US"/>
              </w:rPr>
            </w:pPr>
            <w:r>
              <w:rPr>
                <w:rFonts w:ascii="Arial Narrow" w:hAnsi="Arial Narrow"/>
                <w:sz w:val="20"/>
                <w:lang w:val="en-US"/>
              </w:rPr>
              <w:t>PA</w:t>
            </w:r>
          </w:p>
        </w:tc>
        <w:tc>
          <w:tcPr>
            <w:tcW w:w="1274" w:type="pct"/>
            <w:shd w:val="clear" w:color="auto" w:fill="auto"/>
          </w:tcPr>
          <w:p w:rsidR="0066707C"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66707C"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66707C" w:rsidRPr="00E2771E" w:rsidRDefault="0066707C" w:rsidP="007473B7">
            <w:pPr>
              <w:keepNext/>
              <w:widowControl/>
              <w:jc w:val="left"/>
              <w:rPr>
                <w:rFonts w:ascii="Arial Narrow" w:hAnsi="Arial Narrow"/>
                <w:sz w:val="20"/>
                <w:lang w:val="en-US"/>
              </w:rPr>
            </w:pPr>
            <w:r w:rsidRPr="00C804A6">
              <w:rPr>
                <w:rFonts w:ascii="Arial Narrow" w:hAnsi="Arial Narrow"/>
                <w:bCs/>
                <w:sz w:val="20"/>
              </w:rPr>
              <w:t>Camozzi 2009</w:t>
            </w:r>
          </w:p>
        </w:tc>
        <w:tc>
          <w:tcPr>
            <w:tcW w:w="509" w:type="pct"/>
            <w:shd w:val="clear" w:color="auto" w:fill="auto"/>
            <w:vAlign w:val="center"/>
          </w:tcPr>
          <w:p w:rsidR="0066707C" w:rsidRPr="00E2771E" w:rsidRDefault="0066707C" w:rsidP="007473B7">
            <w:pPr>
              <w:keepNext/>
              <w:widowControl/>
              <w:jc w:val="center"/>
              <w:rPr>
                <w:rFonts w:ascii="Arial Narrow" w:hAnsi="Arial Narrow"/>
                <w:sz w:val="20"/>
                <w:lang w:val="en-US"/>
              </w:rPr>
            </w:pPr>
            <w:r>
              <w:rPr>
                <w:rFonts w:ascii="Arial Narrow" w:hAnsi="Arial Narrow"/>
                <w:sz w:val="20"/>
                <w:lang w:val="en-US"/>
              </w:rPr>
              <w:t>39 (45)</w:t>
            </w:r>
          </w:p>
        </w:tc>
        <w:tc>
          <w:tcPr>
            <w:tcW w:w="850" w:type="pct"/>
            <w:shd w:val="clear" w:color="auto" w:fill="auto"/>
            <w:vAlign w:val="center"/>
          </w:tcPr>
          <w:p w:rsidR="0066707C" w:rsidRPr="00E2771E" w:rsidRDefault="0066707C" w:rsidP="007473B7">
            <w:pPr>
              <w:keepNext/>
              <w:widowControl/>
              <w:jc w:val="center"/>
              <w:rPr>
                <w:rFonts w:ascii="Arial Narrow" w:hAnsi="Arial Narrow"/>
                <w:sz w:val="20"/>
                <w:lang w:val="en-US"/>
              </w:rPr>
            </w:pPr>
            <w:r>
              <w:rPr>
                <w:rFonts w:ascii="Arial Narrow" w:hAnsi="Arial Narrow"/>
                <w:sz w:val="20"/>
                <w:lang w:val="en-US"/>
              </w:rPr>
              <w:t>RCR, 1-15 days</w:t>
            </w:r>
          </w:p>
        </w:tc>
        <w:tc>
          <w:tcPr>
            <w:tcW w:w="340" w:type="pct"/>
            <w:shd w:val="clear" w:color="auto" w:fill="auto"/>
            <w:vAlign w:val="center"/>
          </w:tcPr>
          <w:p w:rsidR="0066707C" w:rsidRPr="00E2771E" w:rsidRDefault="0066707C"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66707C" w:rsidRPr="00E2771E" w:rsidRDefault="00AA4D55" w:rsidP="007473B7">
            <w:pPr>
              <w:keepNext/>
              <w:widowControl/>
              <w:jc w:val="center"/>
              <w:rPr>
                <w:rFonts w:ascii="Arial Narrow" w:hAnsi="Arial Narrow"/>
                <w:sz w:val="20"/>
                <w:lang w:val="en-US"/>
              </w:rPr>
            </w:pPr>
            <w:r>
              <w:rPr>
                <w:rFonts w:ascii="Arial Narrow" w:hAnsi="Arial Narrow"/>
                <w:sz w:val="20"/>
                <w:lang w:val="en-US"/>
              </w:rPr>
              <w:t>PA, MMA, IVA</w:t>
            </w:r>
          </w:p>
        </w:tc>
        <w:tc>
          <w:tcPr>
            <w:tcW w:w="1274" w:type="pct"/>
            <w:shd w:val="clear" w:color="auto" w:fill="auto"/>
          </w:tcPr>
          <w:p w:rsidR="0066707C"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66707C"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Fiilippi 2010</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2 (2)</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10-29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 MMA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Gebhardt 2005</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2 (2)</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3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Gebhardt 2003</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1 (1)</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4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MMA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Jones 2008</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1 (2)</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1-7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Kasapkara 2011</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1 (1)</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10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IVA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Khan2013</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1 (1)</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unknown</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MMA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Levesque 2010</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3 (3)</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2-3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Levrat 2008</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2 (2)</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 xml:space="preserve">RCR, 3-4 days </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 MMA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Schwahn 2010</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2 (3)</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1-2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r w:rsidR="00AA4D55" w:rsidRPr="00E2771E" w:rsidTr="004E76E0">
        <w:tc>
          <w:tcPr>
            <w:tcW w:w="765" w:type="pct"/>
            <w:shd w:val="clear" w:color="auto" w:fill="auto"/>
          </w:tcPr>
          <w:p w:rsidR="00AA4D55" w:rsidRPr="00E2771E" w:rsidRDefault="00AA4D55" w:rsidP="007473B7">
            <w:pPr>
              <w:keepNext/>
              <w:widowControl/>
              <w:jc w:val="left"/>
              <w:rPr>
                <w:rFonts w:ascii="Arial Narrow" w:hAnsi="Arial Narrow"/>
                <w:sz w:val="20"/>
                <w:lang w:val="en-US"/>
              </w:rPr>
            </w:pPr>
            <w:r w:rsidRPr="00C804A6">
              <w:rPr>
                <w:rFonts w:ascii="Arial Narrow" w:hAnsi="Arial Narrow"/>
                <w:bCs/>
                <w:sz w:val="20"/>
              </w:rPr>
              <w:t>Soyucen 2010</w:t>
            </w:r>
          </w:p>
        </w:tc>
        <w:tc>
          <w:tcPr>
            <w:tcW w:w="509"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1 (1)</w:t>
            </w:r>
          </w:p>
        </w:tc>
        <w:tc>
          <w:tcPr>
            <w:tcW w:w="85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RCR, 4 days</w:t>
            </w:r>
          </w:p>
        </w:tc>
        <w:tc>
          <w:tcPr>
            <w:tcW w:w="340"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High</w:t>
            </w:r>
          </w:p>
        </w:tc>
        <w:tc>
          <w:tcPr>
            <w:tcW w:w="678"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PA</w:t>
            </w:r>
          </w:p>
        </w:tc>
        <w:tc>
          <w:tcPr>
            <w:tcW w:w="1274" w:type="pct"/>
            <w:shd w:val="clear" w:color="auto" w:fill="auto"/>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Plasma Ammonia reduction</w:t>
            </w:r>
          </w:p>
        </w:tc>
        <w:tc>
          <w:tcPr>
            <w:tcW w:w="584" w:type="pct"/>
            <w:shd w:val="clear" w:color="auto" w:fill="auto"/>
            <w:vAlign w:val="center"/>
          </w:tcPr>
          <w:p w:rsidR="00AA4D55" w:rsidRPr="00E2771E" w:rsidRDefault="00AA4D55" w:rsidP="007473B7">
            <w:pPr>
              <w:keepNext/>
              <w:widowControl/>
              <w:jc w:val="center"/>
              <w:rPr>
                <w:rFonts w:ascii="Arial Narrow" w:hAnsi="Arial Narrow"/>
                <w:sz w:val="20"/>
                <w:lang w:val="en-US"/>
              </w:rPr>
            </w:pPr>
            <w:r>
              <w:rPr>
                <w:rFonts w:ascii="Arial Narrow" w:hAnsi="Arial Narrow"/>
                <w:sz w:val="20"/>
                <w:lang w:val="en-US"/>
              </w:rPr>
              <w:t>Yes</w:t>
            </w:r>
          </w:p>
        </w:tc>
      </w:tr>
    </w:tbl>
    <w:p w:rsidR="0066707C" w:rsidRPr="0072416F" w:rsidRDefault="0066707C" w:rsidP="007473B7">
      <w:pPr>
        <w:pStyle w:val="TableFooter"/>
        <w:keepNext/>
        <w:widowControl/>
        <w:ind w:left="720"/>
      </w:pPr>
      <w:r>
        <w:t>RCR = Retrospective Case Report</w:t>
      </w:r>
      <w:r w:rsidR="00AA4D55">
        <w:t>; PA = Propionic Acidaemia; MMA = Methylmalonic Acidaemia; IVA = Isovaleric Acidaemia</w:t>
      </w:r>
    </w:p>
    <w:p w:rsidR="0066707C" w:rsidRPr="0072416F" w:rsidRDefault="0066707C" w:rsidP="007473B7">
      <w:pPr>
        <w:pStyle w:val="TableFooter"/>
        <w:widowControl/>
        <w:ind w:firstLine="720"/>
      </w:pPr>
      <w:r w:rsidRPr="0072416F">
        <w:t>Source: compiled during the evaluation</w:t>
      </w:r>
    </w:p>
    <w:p w:rsidR="0066707C" w:rsidRPr="00652967" w:rsidRDefault="0066707C" w:rsidP="007473B7">
      <w:pPr>
        <w:widowControl/>
        <w:rPr>
          <w:i/>
          <w:iCs/>
        </w:rPr>
      </w:pPr>
    </w:p>
    <w:p w:rsidR="0066707C" w:rsidRDefault="00652967" w:rsidP="007473B7">
      <w:pPr>
        <w:pStyle w:val="ListParagraph"/>
        <w:widowControl/>
        <w:numPr>
          <w:ilvl w:val="1"/>
          <w:numId w:val="3"/>
        </w:numPr>
        <w:rPr>
          <w:iCs/>
        </w:rPr>
      </w:pPr>
      <w:r w:rsidRPr="00B87D6F">
        <w:rPr>
          <w:iCs/>
        </w:rPr>
        <w:t xml:space="preserve">Filippi 2010, Jones 2008, Kasapkara 2011, Khan 2013, Levesque 2010 and Schwahn 2010 also reported some patient relevant outcomes including </w:t>
      </w:r>
      <w:r w:rsidRPr="00B87D6F">
        <w:rPr>
          <w:szCs w:val="22"/>
        </w:rPr>
        <w:t>developmental</w:t>
      </w:r>
      <w:r w:rsidRPr="00B87D6F">
        <w:rPr>
          <w:iCs/>
        </w:rPr>
        <w:t xml:space="preserve"> assessments and survival.</w:t>
      </w:r>
      <w:r w:rsidR="007F20A2">
        <w:rPr>
          <w:iCs/>
        </w:rPr>
        <w:t xml:space="preserve"> </w:t>
      </w:r>
      <w:r w:rsidRPr="00B87D6F">
        <w:rPr>
          <w:iCs/>
        </w:rPr>
        <w:t xml:space="preserve">However these outcomes </w:t>
      </w:r>
      <w:r w:rsidR="00D377E0">
        <w:rPr>
          <w:iCs/>
        </w:rPr>
        <w:t>were</w:t>
      </w:r>
      <w:r w:rsidR="00D377E0" w:rsidRPr="00B87D6F">
        <w:rPr>
          <w:iCs/>
        </w:rPr>
        <w:t xml:space="preserve"> </w:t>
      </w:r>
      <w:r w:rsidRPr="00B87D6F">
        <w:rPr>
          <w:iCs/>
        </w:rPr>
        <w:t xml:space="preserve">not formally quantified and </w:t>
      </w:r>
      <w:r w:rsidR="00D377E0">
        <w:rPr>
          <w:iCs/>
        </w:rPr>
        <w:t xml:space="preserve">were </w:t>
      </w:r>
      <w:r w:rsidRPr="00B87D6F">
        <w:rPr>
          <w:iCs/>
        </w:rPr>
        <w:t>not used in the submission’s clinical claim or the economic evaluation.</w:t>
      </w:r>
      <w:r w:rsidR="007F20A2">
        <w:rPr>
          <w:iCs/>
        </w:rPr>
        <w:t xml:space="preserve"> </w:t>
      </w:r>
    </w:p>
    <w:p w:rsidR="00B5356C" w:rsidRDefault="00B5356C" w:rsidP="007473B7">
      <w:pPr>
        <w:pStyle w:val="ListParagraph"/>
        <w:widowControl/>
        <w:rPr>
          <w:iCs/>
        </w:rPr>
      </w:pPr>
    </w:p>
    <w:p w:rsidR="00B5356C" w:rsidRPr="004658FA" w:rsidRDefault="00CB2289" w:rsidP="007473B7">
      <w:pPr>
        <w:pStyle w:val="ListParagraph"/>
        <w:widowControl/>
        <w:numPr>
          <w:ilvl w:val="1"/>
          <w:numId w:val="3"/>
        </w:numPr>
        <w:rPr>
          <w:iCs/>
        </w:rPr>
      </w:pPr>
      <w:r>
        <w:rPr>
          <w:iCs/>
        </w:rPr>
        <w:t>The PSCR</w:t>
      </w:r>
      <w:r w:rsidR="00B5356C" w:rsidRPr="004658FA">
        <w:rPr>
          <w:iCs/>
        </w:rPr>
        <w:t xml:space="preserve"> noted that the rarity of the organic acidaemia conditions make the running of suitably powered randomised clinical trials very difficult. The ESC acknowledged the challenges regarding the </w:t>
      </w:r>
      <w:r w:rsidR="008045D8" w:rsidRPr="004658FA">
        <w:rPr>
          <w:iCs/>
        </w:rPr>
        <w:t>availability of reliable</w:t>
      </w:r>
      <w:r w:rsidR="00B5356C" w:rsidRPr="004658FA">
        <w:rPr>
          <w:iCs/>
        </w:rPr>
        <w:t xml:space="preserve"> data </w:t>
      </w:r>
      <w:r w:rsidR="005159A1" w:rsidRPr="004658FA">
        <w:rPr>
          <w:iCs/>
        </w:rPr>
        <w:t xml:space="preserve">in the context of </w:t>
      </w:r>
      <w:r w:rsidR="007B776F" w:rsidRPr="004658FA">
        <w:rPr>
          <w:iCs/>
        </w:rPr>
        <w:t xml:space="preserve">such a </w:t>
      </w:r>
      <w:r w:rsidR="005159A1" w:rsidRPr="004658FA">
        <w:rPr>
          <w:iCs/>
        </w:rPr>
        <w:t>rare condition</w:t>
      </w:r>
      <w:r w:rsidR="00B5356C" w:rsidRPr="004658FA">
        <w:rPr>
          <w:iCs/>
        </w:rPr>
        <w:t>.</w:t>
      </w:r>
    </w:p>
    <w:p w:rsidR="00B60939" w:rsidRPr="00882085" w:rsidRDefault="00B60939" w:rsidP="007473B7">
      <w:pPr>
        <w:widowControl/>
        <w:rPr>
          <w:szCs w:val="22"/>
        </w:rPr>
      </w:pPr>
    </w:p>
    <w:p w:rsidR="00B60939" w:rsidRPr="002C2775" w:rsidRDefault="00B60939" w:rsidP="007473B7">
      <w:pPr>
        <w:pStyle w:val="Heading2"/>
        <w:widowControl/>
        <w:rPr>
          <w:i/>
        </w:rPr>
      </w:pPr>
      <w:bookmarkStart w:id="9" w:name="_Toc419464750"/>
      <w:r w:rsidRPr="002C2775">
        <w:rPr>
          <w:i/>
        </w:rPr>
        <w:t>Comparative effectiveness</w:t>
      </w:r>
      <w:bookmarkEnd w:id="9"/>
    </w:p>
    <w:p w:rsidR="00B60939" w:rsidRPr="00882085" w:rsidRDefault="00B60939" w:rsidP="007473B7">
      <w:pPr>
        <w:widowControl/>
        <w:rPr>
          <w:szCs w:val="22"/>
        </w:rPr>
      </w:pPr>
    </w:p>
    <w:p w:rsidR="002C2775" w:rsidRPr="00284BFE" w:rsidRDefault="00284BFE" w:rsidP="007473B7">
      <w:pPr>
        <w:pStyle w:val="ListParagraph"/>
        <w:widowControl/>
        <w:numPr>
          <w:ilvl w:val="1"/>
          <w:numId w:val="3"/>
        </w:numPr>
        <w:rPr>
          <w:szCs w:val="22"/>
        </w:rPr>
      </w:pPr>
      <w:r w:rsidRPr="00284BFE">
        <w:rPr>
          <w:szCs w:val="22"/>
        </w:rPr>
        <w:t xml:space="preserve">Given that only single arm case report studies have been identified, there </w:t>
      </w:r>
      <w:r w:rsidR="009B0614">
        <w:rPr>
          <w:szCs w:val="22"/>
        </w:rPr>
        <w:t>we</w:t>
      </w:r>
      <w:r w:rsidRPr="00284BFE">
        <w:rPr>
          <w:szCs w:val="22"/>
        </w:rPr>
        <w:t>re no comparative effectiveness outcomes reported by the submission.</w:t>
      </w:r>
      <w:r w:rsidR="007F20A2">
        <w:rPr>
          <w:szCs w:val="22"/>
        </w:rPr>
        <w:t xml:space="preserve"> </w:t>
      </w:r>
      <w:r w:rsidRPr="00284BFE">
        <w:rPr>
          <w:szCs w:val="22"/>
        </w:rPr>
        <w:t>However, the submission present</w:t>
      </w:r>
      <w:r w:rsidR="009B0614">
        <w:rPr>
          <w:szCs w:val="22"/>
        </w:rPr>
        <w:t>ed</w:t>
      </w:r>
      <w:r w:rsidRPr="00284BFE">
        <w:rPr>
          <w:szCs w:val="22"/>
        </w:rPr>
        <w:t xml:space="preserve"> the change in plasma ammonia levels and the number of cases with normalised ammonia levels after treatment</w:t>
      </w:r>
      <w:r w:rsidR="00D377E0">
        <w:rPr>
          <w:szCs w:val="22"/>
        </w:rPr>
        <w:t xml:space="preserve">, </w:t>
      </w:r>
      <w:r w:rsidRPr="00284BFE">
        <w:rPr>
          <w:szCs w:val="22"/>
        </w:rPr>
        <w:t>which include</w:t>
      </w:r>
      <w:r w:rsidR="00D377E0">
        <w:rPr>
          <w:szCs w:val="22"/>
        </w:rPr>
        <w:t>d</w:t>
      </w:r>
      <w:r w:rsidRPr="00284BFE">
        <w:rPr>
          <w:szCs w:val="22"/>
        </w:rPr>
        <w:t xml:space="preserve"> treatment with carglumic acid</w:t>
      </w:r>
      <w:r w:rsidR="004E76E0">
        <w:rPr>
          <w:szCs w:val="22"/>
        </w:rPr>
        <w:t>, summarised in Table 3</w:t>
      </w:r>
      <w:r w:rsidRPr="00284BFE">
        <w:rPr>
          <w:szCs w:val="22"/>
        </w:rPr>
        <w:t>.</w:t>
      </w:r>
    </w:p>
    <w:p w:rsidR="007F1017" w:rsidRDefault="007F1017" w:rsidP="007473B7">
      <w:pPr>
        <w:widowControl/>
        <w:rPr>
          <w:szCs w:val="22"/>
        </w:rPr>
      </w:pPr>
    </w:p>
    <w:p w:rsidR="007F1017" w:rsidRDefault="007F1017" w:rsidP="007473B7">
      <w:pPr>
        <w:widowControl/>
        <w:ind w:firstLine="720"/>
        <w:rPr>
          <w:rStyle w:val="CommentReference"/>
        </w:rPr>
      </w:pPr>
      <w:r w:rsidRPr="001F7361">
        <w:rPr>
          <w:rStyle w:val="CommentReference"/>
        </w:rPr>
        <w:t xml:space="preserve">Table </w:t>
      </w:r>
      <w:r w:rsidR="004E76E0">
        <w:rPr>
          <w:rStyle w:val="CommentReference"/>
        </w:rPr>
        <w:t xml:space="preserve">3: </w:t>
      </w:r>
      <w:r w:rsidRPr="001F7361">
        <w:rPr>
          <w:rStyle w:val="CommentReference"/>
        </w:rPr>
        <w:t xml:space="preserve">Results of </w:t>
      </w:r>
      <w:r w:rsidR="004E76E0">
        <w:rPr>
          <w:rStyle w:val="CommentReference"/>
        </w:rPr>
        <w:t>reductions in ammonia levels</w:t>
      </w:r>
      <w:r w:rsidRPr="001F7361">
        <w:rPr>
          <w:rStyle w:val="CommentReference"/>
        </w:rPr>
        <w:t xml:space="preserve"> across the </w:t>
      </w:r>
      <w:r w:rsidR="004E76E0">
        <w:rPr>
          <w:rStyle w:val="CommentReference"/>
        </w:rPr>
        <w:t>indications reported in the studies</w:t>
      </w:r>
      <w:r w:rsidRPr="001F7361">
        <w:rPr>
          <w:rStyle w:val="CommentReference"/>
        </w:rPr>
        <w:t xml:space="preserve"> </w:t>
      </w:r>
    </w:p>
    <w:tbl>
      <w:tblPr>
        <w:tblStyle w:val="TableGrid"/>
        <w:tblW w:w="0" w:type="auto"/>
        <w:tblInd w:w="737" w:type="dxa"/>
        <w:tblCellMar>
          <w:left w:w="28" w:type="dxa"/>
          <w:right w:w="28" w:type="dxa"/>
        </w:tblCellMar>
        <w:tblLook w:val="04A0" w:firstRow="1" w:lastRow="0" w:firstColumn="1" w:lastColumn="0" w:noHBand="0" w:noVBand="1"/>
        <w:tblCaption w:val="Table 3: Results of reductions in ammonia levels across the indications reported in the studies "/>
        <w:tblDescription w:val="This table summarises the results of reductions in ammonia levels across the indications reported in the studies.  "/>
      </w:tblPr>
      <w:tblGrid>
        <w:gridCol w:w="1276"/>
        <w:gridCol w:w="1608"/>
        <w:gridCol w:w="1819"/>
        <w:gridCol w:w="1958"/>
        <w:gridCol w:w="1684"/>
      </w:tblGrid>
      <w:tr w:rsidR="00284BFE" w:rsidTr="00A65CA9">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rsidR="00284BFE" w:rsidRDefault="00284BFE" w:rsidP="007473B7">
            <w:pPr>
              <w:widowControl/>
              <w:snapToGrid w:val="0"/>
              <w:jc w:val="left"/>
              <w:rPr>
                <w:rFonts w:ascii="Arial Narrow" w:hAnsi="Arial Narrow"/>
                <w:b/>
                <w:sz w:val="20"/>
                <w:lang w:eastAsia="en-AU"/>
              </w:rPr>
            </w:pPr>
            <w:r>
              <w:rPr>
                <w:rFonts w:ascii="Arial Narrow" w:hAnsi="Arial Narrow"/>
                <w:b/>
                <w:sz w:val="20"/>
              </w:rPr>
              <w:t xml:space="preserve">Type of </w:t>
            </w:r>
            <w:r w:rsidR="00020F38">
              <w:rPr>
                <w:rFonts w:ascii="Arial Narrow" w:hAnsi="Arial Narrow"/>
                <w:b/>
                <w:sz w:val="20"/>
              </w:rPr>
              <w:t>acidaemia</w:t>
            </w:r>
          </w:p>
        </w:tc>
        <w:tc>
          <w:tcPr>
            <w:tcW w:w="1608" w:type="dxa"/>
            <w:tcBorders>
              <w:top w:val="single" w:sz="4" w:space="0" w:color="auto"/>
              <w:left w:val="single" w:sz="4" w:space="0" w:color="auto"/>
              <w:bottom w:val="single" w:sz="4" w:space="0" w:color="auto"/>
              <w:right w:val="single" w:sz="4" w:space="0" w:color="auto"/>
            </w:tcBorders>
            <w:hideMark/>
          </w:tcPr>
          <w:p w:rsidR="00284BFE" w:rsidRPr="00032AB9" w:rsidRDefault="00284BFE" w:rsidP="007473B7">
            <w:pPr>
              <w:widowControl/>
              <w:snapToGrid w:val="0"/>
              <w:jc w:val="center"/>
              <w:rPr>
                <w:rFonts w:ascii="Arial Narrow" w:hAnsi="Arial Narrow"/>
                <w:b/>
                <w:sz w:val="20"/>
                <w:lang w:val="it-IT" w:eastAsia="en-AU"/>
              </w:rPr>
            </w:pPr>
            <w:r w:rsidRPr="00032AB9">
              <w:rPr>
                <w:rFonts w:ascii="Arial Narrow" w:hAnsi="Arial Narrow"/>
                <w:b/>
                <w:sz w:val="20"/>
                <w:lang w:val="it-IT"/>
              </w:rPr>
              <w:t>Baseline ammonia in µmol/L</w:t>
            </w:r>
          </w:p>
        </w:tc>
        <w:tc>
          <w:tcPr>
            <w:tcW w:w="1819"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b/>
                <w:sz w:val="20"/>
                <w:lang w:eastAsia="en-AU"/>
              </w:rPr>
            </w:pPr>
            <w:r>
              <w:rPr>
                <w:rFonts w:ascii="Arial Narrow" w:hAnsi="Arial Narrow"/>
                <w:b/>
                <w:sz w:val="20"/>
              </w:rPr>
              <w:t>Ammonia after treatment in µmol/L</w:t>
            </w:r>
          </w:p>
        </w:tc>
        <w:tc>
          <w:tcPr>
            <w:tcW w:w="195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b/>
                <w:sz w:val="20"/>
                <w:lang w:eastAsia="en-AU"/>
              </w:rPr>
            </w:pPr>
            <w:r>
              <w:rPr>
                <w:rFonts w:ascii="Arial Narrow" w:hAnsi="Arial Narrow"/>
                <w:b/>
                <w:sz w:val="20"/>
              </w:rPr>
              <w:t>Difference in ammonia levels in µmol/L (%)</w:t>
            </w:r>
          </w:p>
        </w:tc>
        <w:tc>
          <w:tcPr>
            <w:tcW w:w="1684"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jc w:val="center"/>
              <w:rPr>
                <w:rFonts w:ascii="Arial Narrow" w:hAnsi="Arial Narrow"/>
                <w:b/>
                <w:sz w:val="20"/>
              </w:rPr>
            </w:pPr>
            <w:r>
              <w:rPr>
                <w:rFonts w:ascii="Arial Narrow" w:hAnsi="Arial Narrow"/>
                <w:b/>
                <w:sz w:val="20"/>
              </w:rPr>
              <w:t>Normalised cases</w:t>
            </w:r>
            <w:r>
              <w:rPr>
                <w:rFonts w:ascii="Arial Narrow" w:hAnsi="Arial Narrow"/>
                <w:b/>
                <w:sz w:val="20"/>
                <w:vertAlign w:val="superscript"/>
              </w:rPr>
              <w:t>1</w:t>
            </w:r>
          </w:p>
          <w:p w:rsidR="00284BFE" w:rsidRDefault="00284BFE" w:rsidP="007473B7">
            <w:pPr>
              <w:widowControl/>
              <w:snapToGrid w:val="0"/>
              <w:jc w:val="center"/>
              <w:rPr>
                <w:rFonts w:ascii="Arial Narrow" w:hAnsi="Arial Narrow"/>
                <w:b/>
                <w:sz w:val="20"/>
                <w:lang w:eastAsia="en-AU"/>
              </w:rPr>
            </w:pPr>
            <w:r>
              <w:rPr>
                <w:rFonts w:ascii="Arial Narrow" w:hAnsi="Arial Narrow"/>
                <w:b/>
                <w:sz w:val="20"/>
              </w:rPr>
              <w:t>n (%)</w:t>
            </w:r>
          </w:p>
        </w:tc>
      </w:tr>
      <w:tr w:rsidR="00284BFE" w:rsidTr="00934323">
        <w:tc>
          <w:tcPr>
            <w:tcW w:w="1276"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rPr>
                <w:rFonts w:ascii="Arial Narrow" w:hAnsi="Arial Narrow"/>
                <w:sz w:val="20"/>
                <w:lang w:eastAsia="en-AU"/>
              </w:rPr>
            </w:pPr>
            <w:r>
              <w:rPr>
                <w:rFonts w:ascii="Arial Narrow" w:hAnsi="Arial Narrow"/>
                <w:sz w:val="20"/>
              </w:rPr>
              <w:t>PA (n=40)</w:t>
            </w:r>
          </w:p>
        </w:tc>
        <w:tc>
          <w:tcPr>
            <w:tcW w:w="160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460</w:t>
            </w:r>
          </w:p>
        </w:tc>
        <w:tc>
          <w:tcPr>
            <w:tcW w:w="1819"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74</w:t>
            </w:r>
          </w:p>
        </w:tc>
        <w:tc>
          <w:tcPr>
            <w:tcW w:w="195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386 (83.9)</w:t>
            </w:r>
          </w:p>
        </w:tc>
        <w:tc>
          <w:tcPr>
            <w:tcW w:w="1684"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33 (82.5)</w:t>
            </w:r>
          </w:p>
        </w:tc>
      </w:tr>
      <w:tr w:rsidR="00284BFE" w:rsidTr="00934323">
        <w:tc>
          <w:tcPr>
            <w:tcW w:w="1276"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rPr>
                <w:rFonts w:ascii="Arial Narrow" w:hAnsi="Arial Narrow"/>
                <w:sz w:val="20"/>
                <w:lang w:eastAsia="en-AU"/>
              </w:rPr>
            </w:pPr>
            <w:r>
              <w:rPr>
                <w:rFonts w:ascii="Arial Narrow" w:hAnsi="Arial Narrow"/>
                <w:sz w:val="20"/>
              </w:rPr>
              <w:t>MMA (n=26)</w:t>
            </w:r>
          </w:p>
        </w:tc>
        <w:tc>
          <w:tcPr>
            <w:tcW w:w="160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327</w:t>
            </w:r>
          </w:p>
        </w:tc>
        <w:tc>
          <w:tcPr>
            <w:tcW w:w="1819"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67</w:t>
            </w:r>
          </w:p>
        </w:tc>
        <w:tc>
          <w:tcPr>
            <w:tcW w:w="195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260 (79.5)</w:t>
            </w:r>
          </w:p>
        </w:tc>
        <w:tc>
          <w:tcPr>
            <w:tcW w:w="1684"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23 (88.5)</w:t>
            </w:r>
          </w:p>
        </w:tc>
      </w:tr>
      <w:tr w:rsidR="00284BFE" w:rsidTr="00934323">
        <w:tc>
          <w:tcPr>
            <w:tcW w:w="1276"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rPr>
                <w:rFonts w:ascii="Arial Narrow" w:hAnsi="Arial Narrow"/>
                <w:sz w:val="20"/>
                <w:lang w:eastAsia="en-AU"/>
              </w:rPr>
            </w:pPr>
            <w:r>
              <w:rPr>
                <w:rFonts w:ascii="Arial Narrow" w:hAnsi="Arial Narrow"/>
                <w:sz w:val="20"/>
              </w:rPr>
              <w:t>IVA (n=5)</w:t>
            </w:r>
          </w:p>
        </w:tc>
        <w:tc>
          <w:tcPr>
            <w:tcW w:w="160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647</w:t>
            </w:r>
          </w:p>
        </w:tc>
        <w:tc>
          <w:tcPr>
            <w:tcW w:w="1819"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53</w:t>
            </w:r>
          </w:p>
        </w:tc>
        <w:tc>
          <w:tcPr>
            <w:tcW w:w="195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594 (91.8)</w:t>
            </w:r>
          </w:p>
        </w:tc>
        <w:tc>
          <w:tcPr>
            <w:tcW w:w="1684"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5 (100)</w:t>
            </w:r>
          </w:p>
        </w:tc>
      </w:tr>
      <w:tr w:rsidR="00284BFE" w:rsidTr="00934323">
        <w:tc>
          <w:tcPr>
            <w:tcW w:w="1276" w:type="dxa"/>
            <w:tcBorders>
              <w:top w:val="single" w:sz="4" w:space="0" w:color="auto"/>
              <w:left w:val="single" w:sz="4" w:space="0" w:color="auto"/>
              <w:bottom w:val="single" w:sz="4" w:space="0" w:color="auto"/>
              <w:right w:val="single" w:sz="4" w:space="0" w:color="auto"/>
            </w:tcBorders>
            <w:hideMark/>
          </w:tcPr>
          <w:p w:rsidR="00284BFE" w:rsidRDefault="00934323" w:rsidP="007473B7">
            <w:pPr>
              <w:widowControl/>
              <w:snapToGrid w:val="0"/>
              <w:rPr>
                <w:rFonts w:ascii="Arial Narrow" w:hAnsi="Arial Narrow"/>
                <w:sz w:val="20"/>
                <w:lang w:eastAsia="en-AU"/>
              </w:rPr>
            </w:pPr>
            <w:r>
              <w:rPr>
                <w:rFonts w:ascii="Arial Narrow" w:hAnsi="Arial Narrow"/>
                <w:sz w:val="20"/>
              </w:rPr>
              <w:t xml:space="preserve">Total </w:t>
            </w:r>
            <w:r w:rsidR="00284BFE">
              <w:rPr>
                <w:rFonts w:ascii="Arial Narrow" w:hAnsi="Arial Narrow"/>
                <w:sz w:val="20"/>
              </w:rPr>
              <w:t>OA (n=71)</w:t>
            </w:r>
          </w:p>
        </w:tc>
        <w:tc>
          <w:tcPr>
            <w:tcW w:w="160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424</w:t>
            </w:r>
          </w:p>
        </w:tc>
        <w:tc>
          <w:tcPr>
            <w:tcW w:w="1819"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70</w:t>
            </w:r>
          </w:p>
        </w:tc>
        <w:tc>
          <w:tcPr>
            <w:tcW w:w="1958"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354 (83.5)</w:t>
            </w:r>
          </w:p>
        </w:tc>
        <w:tc>
          <w:tcPr>
            <w:tcW w:w="1684" w:type="dxa"/>
            <w:tcBorders>
              <w:top w:val="single" w:sz="4" w:space="0" w:color="auto"/>
              <w:left w:val="single" w:sz="4" w:space="0" w:color="auto"/>
              <w:bottom w:val="single" w:sz="4" w:space="0" w:color="auto"/>
              <w:right w:val="single" w:sz="4" w:space="0" w:color="auto"/>
            </w:tcBorders>
            <w:hideMark/>
          </w:tcPr>
          <w:p w:rsidR="00284BFE" w:rsidRDefault="00284BFE" w:rsidP="007473B7">
            <w:pPr>
              <w:widowControl/>
              <w:snapToGrid w:val="0"/>
              <w:jc w:val="center"/>
              <w:rPr>
                <w:rFonts w:ascii="Arial Narrow" w:hAnsi="Arial Narrow"/>
                <w:sz w:val="20"/>
                <w:lang w:eastAsia="en-AU"/>
              </w:rPr>
            </w:pPr>
            <w:r>
              <w:rPr>
                <w:rFonts w:ascii="Arial Narrow" w:hAnsi="Arial Narrow"/>
                <w:sz w:val="20"/>
              </w:rPr>
              <w:t>61 (85.9)</w:t>
            </w:r>
            <w:r>
              <w:rPr>
                <w:rFonts w:ascii="Arial Narrow" w:hAnsi="Arial Narrow"/>
                <w:sz w:val="20"/>
                <w:vertAlign w:val="superscript"/>
              </w:rPr>
              <w:t>2</w:t>
            </w:r>
          </w:p>
        </w:tc>
      </w:tr>
    </w:tbl>
    <w:p w:rsidR="00284BFE" w:rsidRPr="004E76E0" w:rsidRDefault="00284BFE" w:rsidP="007473B7">
      <w:pPr>
        <w:widowControl/>
        <w:tabs>
          <w:tab w:val="left" w:pos="993"/>
        </w:tabs>
        <w:ind w:left="709"/>
        <w:rPr>
          <w:rFonts w:ascii="Arial Narrow" w:hAnsi="Arial Narrow"/>
          <w:sz w:val="18"/>
        </w:rPr>
      </w:pPr>
      <w:r w:rsidRPr="004E76E0">
        <w:rPr>
          <w:rFonts w:ascii="Arial Narrow" w:hAnsi="Arial Narrow"/>
          <w:sz w:val="18"/>
          <w:vertAlign w:val="superscript"/>
        </w:rPr>
        <w:t>1</w:t>
      </w:r>
      <w:r w:rsidR="004E76E0">
        <w:rPr>
          <w:rFonts w:ascii="Arial Narrow" w:hAnsi="Arial Narrow"/>
          <w:sz w:val="18"/>
        </w:rPr>
        <w:tab/>
      </w:r>
      <w:r w:rsidRPr="004E76E0">
        <w:rPr>
          <w:rFonts w:ascii="Arial Narrow" w:hAnsi="Arial Narrow"/>
          <w:sz w:val="18"/>
        </w:rPr>
        <w:t>defined as plasma ammonia level ≤100 µmol/L in neonates and ≤50 µmol/L in children or adults</w:t>
      </w:r>
    </w:p>
    <w:p w:rsidR="00284BFE" w:rsidRPr="004E76E0" w:rsidRDefault="00284BFE" w:rsidP="007473B7">
      <w:pPr>
        <w:widowControl/>
        <w:tabs>
          <w:tab w:val="left" w:pos="993"/>
        </w:tabs>
        <w:ind w:left="709"/>
        <w:rPr>
          <w:rFonts w:ascii="Arial Narrow" w:hAnsi="Arial Narrow"/>
          <w:sz w:val="18"/>
        </w:rPr>
      </w:pPr>
      <w:r w:rsidRPr="004E76E0">
        <w:rPr>
          <w:rFonts w:ascii="Arial Narrow" w:hAnsi="Arial Narrow"/>
          <w:sz w:val="18"/>
          <w:vertAlign w:val="superscript"/>
        </w:rPr>
        <w:t>2</w:t>
      </w:r>
      <w:r w:rsidR="004E76E0">
        <w:rPr>
          <w:rFonts w:ascii="Arial Narrow" w:hAnsi="Arial Narrow"/>
          <w:sz w:val="18"/>
        </w:rPr>
        <w:tab/>
      </w:r>
      <w:r w:rsidRPr="004E76E0">
        <w:rPr>
          <w:rFonts w:ascii="Arial Narrow" w:hAnsi="Arial Narrow"/>
          <w:sz w:val="18"/>
        </w:rPr>
        <w:t>estimated average time taken to reach normalisation from first dose of carglumic acid was 32.7 hours</w:t>
      </w:r>
    </w:p>
    <w:p w:rsidR="00934323" w:rsidRDefault="00934323" w:rsidP="007473B7">
      <w:pPr>
        <w:widowControl/>
        <w:ind w:left="709"/>
        <w:rPr>
          <w:rFonts w:ascii="Arial Narrow" w:hAnsi="Arial Narrow"/>
          <w:sz w:val="18"/>
        </w:rPr>
      </w:pPr>
      <w:r w:rsidRPr="00934323">
        <w:rPr>
          <w:rFonts w:ascii="Arial Narrow" w:hAnsi="Arial Narrow"/>
          <w:sz w:val="18"/>
        </w:rPr>
        <w:t>PA = Propionic Acidaemia; MMA = Methylmalonic Acidaemia; IVA = Isovaleric Acidaemia</w:t>
      </w:r>
      <w:r>
        <w:rPr>
          <w:rFonts w:ascii="Arial Narrow" w:hAnsi="Arial Narrow"/>
          <w:sz w:val="18"/>
        </w:rPr>
        <w:t>; OA = O</w:t>
      </w:r>
      <w:r w:rsidRPr="00934323">
        <w:rPr>
          <w:rFonts w:ascii="Arial Narrow" w:hAnsi="Arial Narrow"/>
          <w:sz w:val="18"/>
        </w:rPr>
        <w:t xml:space="preserve">rganic </w:t>
      </w:r>
      <w:r>
        <w:rPr>
          <w:rFonts w:ascii="Arial Narrow" w:hAnsi="Arial Narrow"/>
          <w:sz w:val="18"/>
        </w:rPr>
        <w:t>A</w:t>
      </w:r>
      <w:r w:rsidRPr="00934323">
        <w:rPr>
          <w:rFonts w:ascii="Arial Narrow" w:hAnsi="Arial Narrow"/>
          <w:sz w:val="18"/>
        </w:rPr>
        <w:t xml:space="preserve">cidaemias </w:t>
      </w:r>
    </w:p>
    <w:p w:rsidR="00284BFE" w:rsidRPr="004E76E0" w:rsidRDefault="00284BFE" w:rsidP="007473B7">
      <w:pPr>
        <w:widowControl/>
        <w:ind w:left="709"/>
        <w:rPr>
          <w:rFonts w:ascii="Arial Narrow" w:hAnsi="Arial Narrow"/>
          <w:sz w:val="18"/>
        </w:rPr>
      </w:pPr>
      <w:r w:rsidRPr="004E76E0">
        <w:rPr>
          <w:rFonts w:ascii="Arial Narrow" w:hAnsi="Arial Narrow"/>
          <w:sz w:val="18"/>
        </w:rPr>
        <w:t xml:space="preserve">Source: Table B:16, p103 and table B:20, p108 of the submission </w:t>
      </w:r>
    </w:p>
    <w:p w:rsidR="00B60939" w:rsidRDefault="00B60939" w:rsidP="007473B7">
      <w:pPr>
        <w:widowControl/>
        <w:rPr>
          <w:szCs w:val="22"/>
        </w:rPr>
      </w:pPr>
    </w:p>
    <w:p w:rsidR="00284BFE" w:rsidRPr="00B87D6F" w:rsidRDefault="00364447" w:rsidP="007473B7">
      <w:pPr>
        <w:pStyle w:val="ListParagraph"/>
        <w:widowControl/>
        <w:numPr>
          <w:ilvl w:val="1"/>
          <w:numId w:val="3"/>
        </w:numPr>
        <w:rPr>
          <w:szCs w:val="22"/>
        </w:rPr>
      </w:pPr>
      <w:r w:rsidRPr="004658FA">
        <w:rPr>
          <w:szCs w:val="22"/>
        </w:rPr>
        <w:t>The ESC considered that the risk of bias in the studies was very high due to</w:t>
      </w:r>
      <w:r w:rsidR="00A26832" w:rsidRPr="004658FA">
        <w:rPr>
          <w:szCs w:val="22"/>
        </w:rPr>
        <w:t xml:space="preserve"> the small number of patients,</w:t>
      </w:r>
      <w:r w:rsidR="007B776F">
        <w:rPr>
          <w:i/>
          <w:szCs w:val="22"/>
        </w:rPr>
        <w:t xml:space="preserve"> </w:t>
      </w:r>
      <w:r w:rsidR="00284BFE" w:rsidRPr="00B87D6F">
        <w:rPr>
          <w:szCs w:val="22"/>
        </w:rPr>
        <w:t>the large number of confounders and lack of control patients.</w:t>
      </w:r>
      <w:r w:rsidR="007F20A2">
        <w:rPr>
          <w:szCs w:val="22"/>
        </w:rPr>
        <w:t xml:space="preserve"> </w:t>
      </w:r>
      <w:r w:rsidR="00284BFE" w:rsidRPr="00B87D6F">
        <w:rPr>
          <w:szCs w:val="22"/>
        </w:rPr>
        <w:t>The submission assume</w:t>
      </w:r>
      <w:r>
        <w:rPr>
          <w:szCs w:val="22"/>
        </w:rPr>
        <w:t>d</w:t>
      </w:r>
      <w:r w:rsidR="00284BFE" w:rsidRPr="00B87D6F">
        <w:rPr>
          <w:szCs w:val="22"/>
        </w:rPr>
        <w:t xml:space="preserve"> that the decrease in ammonia levels </w:t>
      </w:r>
      <w:r w:rsidR="00A26832">
        <w:rPr>
          <w:szCs w:val="22"/>
        </w:rPr>
        <w:t>wa</w:t>
      </w:r>
      <w:r w:rsidR="00284BFE" w:rsidRPr="00B87D6F">
        <w:rPr>
          <w:szCs w:val="22"/>
        </w:rPr>
        <w:t xml:space="preserve">s attributable solely to carglumic acid administration, </w:t>
      </w:r>
      <w:r w:rsidR="00E801E8" w:rsidRPr="00B87D6F">
        <w:rPr>
          <w:szCs w:val="22"/>
        </w:rPr>
        <w:t>which likely overestimate</w:t>
      </w:r>
      <w:r w:rsidR="00A26832">
        <w:rPr>
          <w:szCs w:val="22"/>
        </w:rPr>
        <w:t>d</w:t>
      </w:r>
      <w:r w:rsidR="00E801E8" w:rsidRPr="00B87D6F">
        <w:rPr>
          <w:szCs w:val="22"/>
        </w:rPr>
        <w:t xml:space="preserve"> the</w:t>
      </w:r>
      <w:r w:rsidR="00284BFE" w:rsidRPr="00B87D6F">
        <w:rPr>
          <w:szCs w:val="22"/>
        </w:rPr>
        <w:t xml:space="preserve"> true ammonia level lowering effect of carglumic acid as there were a large number of concomitant therapies used to lower ammonia levels which the submission </w:t>
      </w:r>
      <w:r w:rsidR="001F2C4F" w:rsidRPr="00B87D6F">
        <w:rPr>
          <w:szCs w:val="22"/>
        </w:rPr>
        <w:t xml:space="preserve">did </w:t>
      </w:r>
      <w:r w:rsidR="00284BFE" w:rsidRPr="00B87D6F">
        <w:rPr>
          <w:szCs w:val="22"/>
        </w:rPr>
        <w:t xml:space="preserve">not attempt to account or adjust for. Further, </w:t>
      </w:r>
      <w:r w:rsidR="00A26832">
        <w:rPr>
          <w:szCs w:val="22"/>
        </w:rPr>
        <w:t xml:space="preserve">the evaluation considered </w:t>
      </w:r>
      <w:r w:rsidR="00284BFE" w:rsidRPr="00B87D6F">
        <w:rPr>
          <w:szCs w:val="22"/>
        </w:rPr>
        <w:t xml:space="preserve">it </w:t>
      </w:r>
      <w:r w:rsidR="00A26832">
        <w:rPr>
          <w:szCs w:val="22"/>
        </w:rPr>
        <w:t>was</w:t>
      </w:r>
      <w:r w:rsidR="00A26832" w:rsidRPr="00B87D6F">
        <w:rPr>
          <w:szCs w:val="22"/>
        </w:rPr>
        <w:t xml:space="preserve"> </w:t>
      </w:r>
      <w:r w:rsidR="00284BFE" w:rsidRPr="00B87D6F">
        <w:rPr>
          <w:szCs w:val="22"/>
        </w:rPr>
        <w:t xml:space="preserve">unclear if it </w:t>
      </w:r>
      <w:r w:rsidR="00A26832">
        <w:rPr>
          <w:szCs w:val="22"/>
        </w:rPr>
        <w:t xml:space="preserve">was </w:t>
      </w:r>
      <w:r w:rsidR="00284BFE" w:rsidRPr="00B87D6F">
        <w:rPr>
          <w:szCs w:val="22"/>
        </w:rPr>
        <w:t xml:space="preserve">appropriate to combine all the patients from the different studies and derive a mean ammonia level given the heterogeneity in the patients and the doses and types of therapies given to treat the hyperammonaemia episode. </w:t>
      </w:r>
    </w:p>
    <w:p w:rsidR="00284BFE" w:rsidRDefault="00284BFE" w:rsidP="007473B7">
      <w:pPr>
        <w:widowControl/>
        <w:ind w:left="709" w:firstLine="11"/>
        <w:rPr>
          <w:szCs w:val="22"/>
        </w:rPr>
      </w:pPr>
    </w:p>
    <w:p w:rsidR="00BC3FD2" w:rsidRPr="004658FA" w:rsidRDefault="00BC3FD2" w:rsidP="007473B7">
      <w:pPr>
        <w:pStyle w:val="ListParagraph"/>
        <w:widowControl/>
        <w:numPr>
          <w:ilvl w:val="1"/>
          <w:numId w:val="3"/>
        </w:numPr>
        <w:rPr>
          <w:iCs/>
        </w:rPr>
      </w:pPr>
      <w:r w:rsidRPr="004658FA">
        <w:rPr>
          <w:iCs/>
        </w:rPr>
        <w:t xml:space="preserve">The ESC </w:t>
      </w:r>
      <w:r w:rsidR="00A26832" w:rsidRPr="004658FA">
        <w:rPr>
          <w:iCs/>
        </w:rPr>
        <w:t xml:space="preserve">considered that the claim that carglumic acid reduces ammonia levels was adequately supported while noting </w:t>
      </w:r>
      <w:r w:rsidRPr="004658FA">
        <w:rPr>
          <w:iCs/>
        </w:rPr>
        <w:t xml:space="preserve">the difficulty in determining the true magnitude of the reduction attributable solely to carglumic acid. </w:t>
      </w:r>
    </w:p>
    <w:p w:rsidR="00BC3FD2" w:rsidRPr="00B87D6F" w:rsidRDefault="00BC3FD2" w:rsidP="007473B7">
      <w:pPr>
        <w:widowControl/>
        <w:ind w:left="709" w:firstLine="11"/>
        <w:rPr>
          <w:szCs w:val="22"/>
        </w:rPr>
      </w:pPr>
    </w:p>
    <w:p w:rsidR="00DC533C" w:rsidRPr="00DC533C" w:rsidRDefault="00705CBA" w:rsidP="007473B7">
      <w:pPr>
        <w:pStyle w:val="ListParagraph"/>
        <w:widowControl/>
        <w:numPr>
          <w:ilvl w:val="1"/>
          <w:numId w:val="3"/>
        </w:numPr>
        <w:rPr>
          <w:i/>
          <w:iCs/>
        </w:rPr>
      </w:pPr>
      <w:r w:rsidRPr="00B87D6F">
        <w:rPr>
          <w:iCs/>
        </w:rPr>
        <w:t xml:space="preserve">Enns 2007 </w:t>
      </w:r>
      <w:r w:rsidRPr="00B87D6F">
        <w:rPr>
          <w:iCs/>
          <w:szCs w:val="22"/>
        </w:rPr>
        <w:t>was</w:t>
      </w:r>
      <w:r w:rsidRPr="00B87D6F">
        <w:rPr>
          <w:iCs/>
        </w:rPr>
        <w:t xml:space="preserve"> a study which attempted to determine whether treatment with sodium phenylacetate and sodium benzoate reduced mortality due to acute hyperammonaemia due to urea-cycle disorders, as compared with historical data.</w:t>
      </w:r>
      <w:r w:rsidR="007F20A2">
        <w:rPr>
          <w:iCs/>
        </w:rPr>
        <w:t xml:space="preserve"> </w:t>
      </w:r>
      <w:r w:rsidRPr="00B87D6F">
        <w:rPr>
          <w:iCs/>
        </w:rPr>
        <w:t>Like the carglumic acid studies included in the submission, Enns 2007 reports the changes in ammonium levels observed in patients who received treatment similar to what the submission describes as the current treatment regimen with no carglumic acid.</w:t>
      </w:r>
      <w:r w:rsidR="007F20A2">
        <w:rPr>
          <w:iCs/>
        </w:rPr>
        <w:t xml:space="preserve"> </w:t>
      </w:r>
      <w:r w:rsidRPr="00B87D6F">
        <w:rPr>
          <w:iCs/>
        </w:rPr>
        <w:t>Of the neonates who survived, a median ammonium level at baseline of 374</w:t>
      </w:r>
      <w:r w:rsidR="001F2C4F" w:rsidRPr="00B87D6F">
        <w:rPr>
          <w:iCs/>
        </w:rPr>
        <w:t> </w:t>
      </w:r>
      <w:r w:rsidRPr="00B87D6F">
        <w:rPr>
          <w:iCs/>
        </w:rPr>
        <w:t>µmol/L and 24 µmol/L at the end of treatment was observed.</w:t>
      </w:r>
      <w:r w:rsidR="007F20A2">
        <w:rPr>
          <w:iCs/>
        </w:rPr>
        <w:t xml:space="preserve"> </w:t>
      </w:r>
      <w:r w:rsidRPr="00B87D6F">
        <w:rPr>
          <w:iCs/>
        </w:rPr>
        <w:t>The median ammonium level</w:t>
      </w:r>
      <w:r w:rsidR="004B51D9">
        <w:rPr>
          <w:iCs/>
        </w:rPr>
        <w:t>s</w:t>
      </w:r>
      <w:r w:rsidRPr="00B87D6F">
        <w:rPr>
          <w:iCs/>
        </w:rPr>
        <w:t xml:space="preserve"> observed in the carglumic acid studies at baseline and end of treatment were 315 µmol/L and 59 µmol/L, respectively (where greater than 80% of all patients in the studies identified were neonates, though not all patients were</w:t>
      </w:r>
      <w:r w:rsidRPr="00995E0F">
        <w:rPr>
          <w:i/>
          <w:iCs/>
        </w:rPr>
        <w:t xml:space="preserve"> </w:t>
      </w:r>
      <w:r w:rsidRPr="00B87D6F">
        <w:rPr>
          <w:iCs/>
        </w:rPr>
        <w:t>neonates).</w:t>
      </w:r>
    </w:p>
    <w:p w:rsidR="00DC533C" w:rsidRPr="001F0A97" w:rsidRDefault="00DC533C" w:rsidP="007473B7">
      <w:pPr>
        <w:pStyle w:val="ListParagraph"/>
        <w:widowControl/>
        <w:rPr>
          <w:i/>
          <w:iCs/>
        </w:rPr>
      </w:pPr>
    </w:p>
    <w:p w:rsidR="00FD461F" w:rsidRPr="004658FA" w:rsidRDefault="00DC533C" w:rsidP="007473B7">
      <w:pPr>
        <w:pStyle w:val="ListParagraph"/>
        <w:widowControl/>
        <w:numPr>
          <w:ilvl w:val="1"/>
          <w:numId w:val="3"/>
        </w:numPr>
        <w:rPr>
          <w:szCs w:val="22"/>
        </w:rPr>
      </w:pPr>
      <w:r w:rsidRPr="004658FA">
        <w:rPr>
          <w:szCs w:val="22"/>
        </w:rPr>
        <w:t>The ASIEM claimed tha</w:t>
      </w:r>
      <w:r w:rsidR="00233294" w:rsidRPr="004658FA">
        <w:rPr>
          <w:szCs w:val="22"/>
        </w:rPr>
        <w:t>t the use of carglumic acid has been beneficial in several Australian patients with PA in several episodes of metabolic decompensation</w:t>
      </w:r>
      <w:r w:rsidR="004B51D9" w:rsidRPr="004658FA">
        <w:rPr>
          <w:szCs w:val="22"/>
        </w:rPr>
        <w:t>, in some cases preventing the need for haemofiltration. However, the ASIEM noted that the beneficial effect of carglumic acid in MMA is less pronounced, but that the data around ammonia levels before and after treatment are limited.</w:t>
      </w:r>
    </w:p>
    <w:p w:rsidR="00705CBA" w:rsidRPr="00882085" w:rsidRDefault="00705CBA" w:rsidP="007473B7">
      <w:pPr>
        <w:widowControl/>
        <w:rPr>
          <w:szCs w:val="22"/>
        </w:rPr>
      </w:pPr>
    </w:p>
    <w:p w:rsidR="00B60939" w:rsidRPr="002C2775" w:rsidRDefault="00B60939" w:rsidP="007473B7">
      <w:pPr>
        <w:pStyle w:val="Heading2"/>
        <w:widowControl/>
        <w:rPr>
          <w:i/>
        </w:rPr>
      </w:pPr>
      <w:bookmarkStart w:id="10" w:name="_Toc419464751"/>
      <w:r w:rsidRPr="002C2775">
        <w:rPr>
          <w:i/>
        </w:rPr>
        <w:t>Comparative harms</w:t>
      </w:r>
      <w:bookmarkEnd w:id="10"/>
    </w:p>
    <w:p w:rsidR="00B60939" w:rsidRPr="00882085" w:rsidRDefault="00B60939" w:rsidP="007473B7">
      <w:pPr>
        <w:widowControl/>
        <w:ind w:left="720" w:hanging="720"/>
        <w:rPr>
          <w:szCs w:val="22"/>
        </w:rPr>
      </w:pPr>
    </w:p>
    <w:p w:rsidR="007B776F" w:rsidRPr="00AC2635" w:rsidRDefault="00284BFE" w:rsidP="007473B7">
      <w:pPr>
        <w:pStyle w:val="ListParagraph"/>
        <w:widowControl/>
        <w:numPr>
          <w:ilvl w:val="1"/>
          <w:numId w:val="3"/>
        </w:numPr>
        <w:rPr>
          <w:iCs/>
        </w:rPr>
      </w:pPr>
      <w:r w:rsidRPr="00AC2635">
        <w:rPr>
          <w:iCs/>
        </w:rPr>
        <w:t>No comparative harms were reported by the submission.</w:t>
      </w:r>
      <w:r w:rsidR="007F20A2">
        <w:rPr>
          <w:iCs/>
        </w:rPr>
        <w:t xml:space="preserve"> </w:t>
      </w:r>
      <w:r w:rsidRPr="00AC2635">
        <w:rPr>
          <w:iCs/>
        </w:rPr>
        <w:t>The only adverse event reported in the 12 studies identified was a case of strong, non-offensive and aromatic urinary odour.</w:t>
      </w:r>
      <w:r w:rsidR="007F20A2">
        <w:rPr>
          <w:iCs/>
        </w:rPr>
        <w:t xml:space="preserve"> </w:t>
      </w:r>
      <w:r w:rsidRPr="00AC2635">
        <w:rPr>
          <w:iCs/>
        </w:rPr>
        <w:t>The lack of adverse events may be a result of the short follow up (no more than 29 days), the age of the patients in the studies being very young and unable to report possible subjective adverse events, and the patients being generally unwell to begin with.</w:t>
      </w:r>
      <w:r w:rsidR="007F20A2">
        <w:rPr>
          <w:iCs/>
        </w:rPr>
        <w:t xml:space="preserve"> </w:t>
      </w:r>
    </w:p>
    <w:p w:rsidR="007B776F" w:rsidRDefault="007B776F" w:rsidP="007473B7">
      <w:pPr>
        <w:pStyle w:val="ListParagraph"/>
        <w:widowControl/>
        <w:rPr>
          <w:i/>
          <w:szCs w:val="22"/>
        </w:rPr>
      </w:pPr>
      <w:bookmarkStart w:id="11" w:name="_Toc419464752"/>
    </w:p>
    <w:p w:rsidR="00B5356C" w:rsidRPr="004658FA" w:rsidRDefault="00B5356C" w:rsidP="007473B7">
      <w:pPr>
        <w:pStyle w:val="ListParagraph"/>
        <w:widowControl/>
        <w:numPr>
          <w:ilvl w:val="1"/>
          <w:numId w:val="3"/>
        </w:numPr>
        <w:rPr>
          <w:szCs w:val="22"/>
        </w:rPr>
      </w:pPr>
      <w:r w:rsidRPr="004658FA">
        <w:rPr>
          <w:szCs w:val="22"/>
        </w:rPr>
        <w:t>The ASIEM claimed that carglumic acid is well tolerated by all patients at all ages.</w:t>
      </w:r>
    </w:p>
    <w:p w:rsidR="00B5356C" w:rsidRPr="00B5356C" w:rsidRDefault="00B5356C" w:rsidP="007473B7">
      <w:pPr>
        <w:widowControl/>
      </w:pPr>
    </w:p>
    <w:p w:rsidR="00B60939" w:rsidRPr="002C2775" w:rsidRDefault="00B60939" w:rsidP="007473B7">
      <w:pPr>
        <w:pStyle w:val="Heading2"/>
        <w:keepNext/>
        <w:widowControl/>
        <w:rPr>
          <w:i/>
        </w:rPr>
      </w:pPr>
      <w:r w:rsidRPr="002C2775">
        <w:rPr>
          <w:i/>
        </w:rPr>
        <w:t>Clinical claim</w:t>
      </w:r>
      <w:bookmarkEnd w:id="11"/>
    </w:p>
    <w:p w:rsidR="00B60939" w:rsidRPr="00882085" w:rsidRDefault="00B60939" w:rsidP="007473B7">
      <w:pPr>
        <w:keepNext/>
        <w:widowControl/>
        <w:ind w:left="720" w:hanging="720"/>
        <w:rPr>
          <w:szCs w:val="22"/>
        </w:rPr>
      </w:pPr>
    </w:p>
    <w:p w:rsidR="00284BFE" w:rsidRPr="00B87D6F" w:rsidRDefault="00284BFE" w:rsidP="007473B7">
      <w:pPr>
        <w:pStyle w:val="ListParagraph"/>
        <w:widowControl/>
        <w:numPr>
          <w:ilvl w:val="1"/>
          <w:numId w:val="3"/>
        </w:numPr>
      </w:pPr>
      <w:r w:rsidRPr="00B87D6F">
        <w:t>The submission describe</w:t>
      </w:r>
      <w:r w:rsidR="009B0614" w:rsidRPr="00B87D6F">
        <w:t>d</w:t>
      </w:r>
      <w:r w:rsidRPr="00B87D6F">
        <w:t xml:space="preserve"> carglumic acid as having superior long-term efficacy</w:t>
      </w:r>
      <w:r w:rsidR="006215CE" w:rsidRPr="00B87D6F">
        <w:t xml:space="preserve"> </w:t>
      </w:r>
      <w:r w:rsidRPr="00B87D6F">
        <w:t>when added to current standard of care (a low protein or protein-free diet, high calorie nutrition, arginine supplementation, ammonia scavengers and haemofiltration as rescue therapy), and is well tolerated with no reports of significant adverse effects to the drug. This claim is not adequately supported as:</w:t>
      </w:r>
    </w:p>
    <w:p w:rsidR="00284BFE" w:rsidRPr="00B87D6F" w:rsidRDefault="00A35C15" w:rsidP="007473B7">
      <w:pPr>
        <w:pStyle w:val="ListParagraph"/>
        <w:widowControl/>
        <w:numPr>
          <w:ilvl w:val="0"/>
          <w:numId w:val="12"/>
        </w:numPr>
        <w:snapToGrid w:val="0"/>
      </w:pPr>
      <w:r>
        <w:t>t</w:t>
      </w:r>
      <w:r w:rsidRPr="00B87D6F">
        <w:t xml:space="preserve">he </w:t>
      </w:r>
      <w:r w:rsidR="00284BFE" w:rsidRPr="00B87D6F">
        <w:t xml:space="preserve">level of evidence (case reports) </w:t>
      </w:r>
      <w:r w:rsidR="00181A99">
        <w:t>did</w:t>
      </w:r>
      <w:r w:rsidR="00181A99" w:rsidRPr="00B87D6F">
        <w:t xml:space="preserve"> </w:t>
      </w:r>
      <w:r w:rsidR="00284BFE" w:rsidRPr="00B87D6F">
        <w:t>not allow for a superiority claim given the lack of information on the outcomes of patients in the absence of carglumic acid treatment;</w:t>
      </w:r>
    </w:p>
    <w:p w:rsidR="00284BFE" w:rsidRPr="00B87D6F" w:rsidRDefault="00A35C15" w:rsidP="007473B7">
      <w:pPr>
        <w:pStyle w:val="ListParagraph"/>
        <w:widowControl/>
        <w:numPr>
          <w:ilvl w:val="0"/>
          <w:numId w:val="12"/>
        </w:numPr>
        <w:snapToGrid w:val="0"/>
      </w:pPr>
      <w:r>
        <w:t>t</w:t>
      </w:r>
      <w:r w:rsidRPr="00B87D6F">
        <w:t xml:space="preserve">he </w:t>
      </w:r>
      <w:r w:rsidR="00181A99">
        <w:t>“</w:t>
      </w:r>
      <w:r w:rsidR="00284BFE" w:rsidRPr="00B87D6F">
        <w:t>long term efficacy</w:t>
      </w:r>
      <w:r w:rsidR="00181A99">
        <w:t>”</w:t>
      </w:r>
      <w:r w:rsidR="00284BFE" w:rsidRPr="00B87D6F">
        <w:t xml:space="preserve"> of carglumic acid </w:t>
      </w:r>
      <w:r w:rsidR="00181A99">
        <w:t>wa</w:t>
      </w:r>
      <w:r w:rsidR="007B455C" w:rsidRPr="00B87D6F">
        <w:t xml:space="preserve">s not clearly defined (though assumed to be the </w:t>
      </w:r>
      <w:r w:rsidR="007B455C" w:rsidRPr="00B87D6F">
        <w:rPr>
          <w:iCs/>
        </w:rPr>
        <w:t>absence of developmental delay or neurological damage and continual survival)</w:t>
      </w:r>
      <w:r w:rsidR="007B455C" w:rsidRPr="00B87D6F">
        <w:t xml:space="preserve"> and </w:t>
      </w:r>
      <w:r w:rsidR="006E1907">
        <w:t>wa</w:t>
      </w:r>
      <w:r w:rsidR="00284BFE" w:rsidRPr="00B87D6F">
        <w:t>s not supported by the evidence, as the longest follow</w:t>
      </w:r>
      <w:r w:rsidR="00FA1133">
        <w:noBreakHyphen/>
      </w:r>
      <w:r w:rsidR="00284BFE" w:rsidRPr="00B87D6F">
        <w:t xml:space="preserve">up in the </w:t>
      </w:r>
      <w:r w:rsidR="007A093F" w:rsidRPr="00B87D6F">
        <w:t>study</w:t>
      </w:r>
      <w:r w:rsidR="00284BFE" w:rsidRPr="00B87D6F">
        <w:t xml:space="preserve"> was at 29 days of treatment, with only </w:t>
      </w:r>
      <w:r w:rsidR="00FB2BE5">
        <w:t>two</w:t>
      </w:r>
      <w:r w:rsidR="00284BFE" w:rsidRPr="00B87D6F">
        <w:t xml:space="preserve"> out of the 58</w:t>
      </w:r>
      <w:r w:rsidR="00FA1133">
        <w:t> </w:t>
      </w:r>
      <w:r w:rsidR="00284BFE" w:rsidRPr="00B87D6F">
        <w:t xml:space="preserve">patients having been observed beyond </w:t>
      </w:r>
      <w:r w:rsidR="00FB2BE5">
        <w:t>three</w:t>
      </w:r>
      <w:r w:rsidR="00284BFE" w:rsidRPr="00B87D6F">
        <w:t xml:space="preserve"> years of age;</w:t>
      </w:r>
    </w:p>
    <w:p w:rsidR="00284BFE" w:rsidRPr="00B87D6F" w:rsidRDefault="00A35C15" w:rsidP="007473B7">
      <w:pPr>
        <w:pStyle w:val="ListParagraph"/>
        <w:widowControl/>
        <w:numPr>
          <w:ilvl w:val="0"/>
          <w:numId w:val="12"/>
        </w:numPr>
        <w:snapToGrid w:val="0"/>
      </w:pPr>
      <w:r>
        <w:t>t</w:t>
      </w:r>
      <w:r w:rsidRPr="00B87D6F">
        <w:t xml:space="preserve">here </w:t>
      </w:r>
      <w:r w:rsidR="00FA1133">
        <w:t>were</w:t>
      </w:r>
      <w:r w:rsidR="00FA1133" w:rsidRPr="00B87D6F">
        <w:t xml:space="preserve"> </w:t>
      </w:r>
      <w:r w:rsidR="00284BFE" w:rsidRPr="00B87D6F">
        <w:t>many confounding factors with the evidence, including varying doses of carglumic acid administered, varying doses and types of concomitant therapies, different duration of treatment, different time elapsed since treatment initiation, and different peak levels of ammonia which</w:t>
      </w:r>
      <w:r w:rsidR="00926E17">
        <w:t xml:space="preserve"> were not accounted or adjusted for in</w:t>
      </w:r>
      <w:r w:rsidR="00284BFE" w:rsidRPr="00B87D6F">
        <w:t xml:space="preserve"> the submission;</w:t>
      </w:r>
    </w:p>
    <w:p w:rsidR="00284BFE" w:rsidRPr="00B87D6F" w:rsidRDefault="00A35C15" w:rsidP="007473B7">
      <w:pPr>
        <w:pStyle w:val="ListParagraph"/>
        <w:widowControl/>
        <w:numPr>
          <w:ilvl w:val="0"/>
          <w:numId w:val="12"/>
        </w:numPr>
        <w:snapToGrid w:val="0"/>
      </w:pPr>
      <w:r>
        <w:t>t</w:t>
      </w:r>
      <w:r w:rsidRPr="00B87D6F">
        <w:t xml:space="preserve">he </w:t>
      </w:r>
      <w:r w:rsidR="00284BFE" w:rsidRPr="00B87D6F">
        <w:t>evidence presented focused on a surrogate outcome, plasma ammonia levels, which may not be correlated with patient relevant outcomes such as survival and developmental retardation as carglumic acid does not affect the levels of toxic metabolites (apart from ammonia) already accumulated in the body</w:t>
      </w:r>
      <w:r w:rsidR="00926E17">
        <w:t xml:space="preserve">. </w:t>
      </w:r>
      <w:r w:rsidR="006C2B42" w:rsidRPr="004658FA">
        <w:t>The ESC noted that an assessment of decreased ammonia level, as a surrogate outcome for target clinical outcomes such as survival and development, was undertaken during the evaluation using the PBAC surrogate to finals outcome framework. The evaluation concluded that the relationship was unclear and subject to inherent bias</w:t>
      </w:r>
      <w:r w:rsidRPr="004658FA">
        <w:t>;</w:t>
      </w:r>
      <w:r>
        <w:rPr>
          <w:i/>
        </w:rPr>
        <w:t xml:space="preserve"> </w:t>
      </w:r>
      <w:r w:rsidRPr="00A35C15">
        <w:t>and</w:t>
      </w:r>
      <w:r>
        <w:rPr>
          <w:i/>
        </w:rPr>
        <w:t xml:space="preserve"> </w:t>
      </w:r>
    </w:p>
    <w:p w:rsidR="0042797A" w:rsidRDefault="00A35C15" w:rsidP="007473B7">
      <w:pPr>
        <w:pStyle w:val="ListParagraph"/>
        <w:widowControl/>
        <w:numPr>
          <w:ilvl w:val="0"/>
          <w:numId w:val="12"/>
        </w:numPr>
        <w:snapToGrid w:val="0"/>
      </w:pPr>
      <w:r>
        <w:t>t</w:t>
      </w:r>
      <w:r w:rsidRPr="00B87D6F">
        <w:t xml:space="preserve">he </w:t>
      </w:r>
      <w:r w:rsidR="00284BFE" w:rsidRPr="00B87D6F">
        <w:t>submission assume</w:t>
      </w:r>
      <w:r w:rsidR="00787302">
        <w:t>d</w:t>
      </w:r>
      <w:r w:rsidR="00284BFE" w:rsidRPr="00B87D6F">
        <w:t xml:space="preserve"> that carglumic acid will be effective in </w:t>
      </w:r>
      <w:r w:rsidR="004C2087">
        <w:t xml:space="preserve">the </w:t>
      </w:r>
      <w:r w:rsidR="00284BFE" w:rsidRPr="00B87D6F">
        <w:t>treatment of neonates, children and adults.</w:t>
      </w:r>
      <w:r w:rsidR="007F20A2">
        <w:t xml:space="preserve"> </w:t>
      </w:r>
      <w:r w:rsidR="00284BFE" w:rsidRPr="00B87D6F">
        <w:t xml:space="preserve">However, only </w:t>
      </w:r>
      <w:r w:rsidR="00FB2BE5">
        <w:t>two</w:t>
      </w:r>
      <w:r w:rsidR="00284BFE" w:rsidRPr="00B87D6F">
        <w:t xml:space="preserve"> patients (both reported by </w:t>
      </w:r>
      <w:r w:rsidR="00406D8D" w:rsidRPr="00B87D6F">
        <w:t>Camozzi 2009) were older than 10</w:t>
      </w:r>
      <w:r w:rsidR="00284BFE" w:rsidRPr="00B87D6F">
        <w:t xml:space="preserve"> years of age, with the mean age of all patients being less than one year in all studies.</w:t>
      </w:r>
      <w:r w:rsidR="00592D3B">
        <w:t xml:space="preserve"> </w:t>
      </w:r>
      <w:r w:rsidR="00F562C0" w:rsidRPr="004658FA">
        <w:t xml:space="preserve">Noting the lack of data in adults, </w:t>
      </w:r>
      <w:r w:rsidR="00F562C0" w:rsidRPr="004658FA">
        <w:rPr>
          <w:szCs w:val="22"/>
        </w:rPr>
        <w:t>the ESC noted that it was unclear</w:t>
      </w:r>
      <w:r w:rsidR="004C2087" w:rsidRPr="004658FA">
        <w:rPr>
          <w:szCs w:val="22"/>
        </w:rPr>
        <w:t xml:space="preserve"> </w:t>
      </w:r>
      <w:r w:rsidR="00F562C0" w:rsidRPr="004658FA">
        <w:rPr>
          <w:szCs w:val="22"/>
        </w:rPr>
        <w:t>if patients would continue to have decompensation episodes as they get older.</w:t>
      </w:r>
    </w:p>
    <w:p w:rsidR="00AC2635" w:rsidRDefault="00AC2635" w:rsidP="007473B7">
      <w:pPr>
        <w:widowControl/>
        <w:snapToGrid w:val="0"/>
        <w:ind w:left="720"/>
      </w:pPr>
    </w:p>
    <w:p w:rsidR="00FD461F" w:rsidRPr="00046341" w:rsidRDefault="00284BFE" w:rsidP="007473B7">
      <w:pPr>
        <w:pStyle w:val="ListParagraph"/>
        <w:widowControl/>
        <w:numPr>
          <w:ilvl w:val="1"/>
          <w:numId w:val="3"/>
        </w:numPr>
      </w:pPr>
      <w:r w:rsidRPr="00B87D6F">
        <w:rPr>
          <w:szCs w:val="22"/>
        </w:rPr>
        <w:t xml:space="preserve">Overall, given the level of evidence, </w:t>
      </w:r>
      <w:r w:rsidR="00F562C0" w:rsidRPr="004658FA">
        <w:rPr>
          <w:szCs w:val="22"/>
        </w:rPr>
        <w:t xml:space="preserve">the evaluation and the ESC considered it was </w:t>
      </w:r>
      <w:r w:rsidRPr="00B87D6F">
        <w:rPr>
          <w:szCs w:val="22"/>
        </w:rPr>
        <w:t>reasonable to expect that treatment with carglumic acid along with current standard therapy (inc</w:t>
      </w:r>
      <w:r w:rsidR="005C12D6" w:rsidRPr="00B87D6F">
        <w:rPr>
          <w:szCs w:val="22"/>
        </w:rPr>
        <w:t>luding a low protein or protein</w:t>
      </w:r>
      <w:r w:rsidR="005C12D6" w:rsidRPr="00B87D6F">
        <w:rPr>
          <w:szCs w:val="22"/>
        </w:rPr>
        <w:noBreakHyphen/>
      </w:r>
      <w:r w:rsidRPr="00B87D6F">
        <w:rPr>
          <w:szCs w:val="22"/>
        </w:rPr>
        <w:t>free diet, high calorie nutrition, arginine supplementation, ammonia scavengers and/or haemofiltration as rescue therapy) will lead to a decrease in plasma ammonia levels in the short term, and carglumic acid is likely to have a reasonable safety profile.</w:t>
      </w:r>
      <w:r w:rsidR="007F20A2">
        <w:rPr>
          <w:szCs w:val="22"/>
        </w:rPr>
        <w:t xml:space="preserve"> </w:t>
      </w:r>
      <w:r w:rsidRPr="00B87D6F">
        <w:rPr>
          <w:szCs w:val="22"/>
        </w:rPr>
        <w:t>It is also known that carglumic acid will not decrease the levels of other toxic metabolites including methylmalonate, methylcitrate and propionyl-CoA, all of which contribute to the morbidity and mortality of the metabolic decompensation episode.</w:t>
      </w:r>
      <w:r w:rsidR="007F20A2">
        <w:rPr>
          <w:szCs w:val="22"/>
        </w:rPr>
        <w:t xml:space="preserve"> </w:t>
      </w:r>
      <w:r w:rsidRPr="00B87D6F">
        <w:rPr>
          <w:szCs w:val="22"/>
        </w:rPr>
        <w:t>The effect of carglumic acid on long term patient outcomes such as mortality and developmental retardation is unknown, and the comparative safety and effect of carglumic acid plus standard therapy versus standard therapy alone is also unknown.</w:t>
      </w:r>
    </w:p>
    <w:p w:rsidR="00046341" w:rsidRPr="00046341" w:rsidRDefault="00046341" w:rsidP="007473B7">
      <w:pPr>
        <w:pStyle w:val="ListParagraph"/>
        <w:widowControl/>
      </w:pPr>
      <w:r>
        <w:rPr>
          <w:szCs w:val="22"/>
        </w:rPr>
        <w:t xml:space="preserve"> </w:t>
      </w:r>
    </w:p>
    <w:p w:rsidR="00046341" w:rsidRPr="008B328E" w:rsidRDefault="00046341" w:rsidP="007473B7">
      <w:pPr>
        <w:pStyle w:val="ListParagraph"/>
        <w:widowControl/>
        <w:numPr>
          <w:ilvl w:val="1"/>
          <w:numId w:val="3"/>
        </w:numPr>
      </w:pPr>
      <w:r w:rsidRPr="00046341">
        <w:rPr>
          <w:bCs/>
          <w:szCs w:val="22"/>
        </w:rPr>
        <w:t xml:space="preserve">The PBAC </w:t>
      </w:r>
      <w:r w:rsidRPr="00046341">
        <w:rPr>
          <w:szCs w:val="22"/>
        </w:rPr>
        <w:t>agreed</w:t>
      </w:r>
      <w:r w:rsidRPr="00046341">
        <w:rPr>
          <w:bCs/>
          <w:szCs w:val="22"/>
        </w:rPr>
        <w:t xml:space="preserve"> with ESC that the submission did not demonstrate the comparative safety and </w:t>
      </w:r>
      <w:r w:rsidR="007473B7">
        <w:rPr>
          <w:bCs/>
          <w:szCs w:val="22"/>
        </w:rPr>
        <w:t>efficacy</w:t>
      </w:r>
      <w:r w:rsidRPr="00046341">
        <w:rPr>
          <w:bCs/>
          <w:szCs w:val="22"/>
        </w:rPr>
        <w:t xml:space="preserve"> of carglumic acid plus standard therapy versus standard therapy alone</w:t>
      </w:r>
      <w:r>
        <w:rPr>
          <w:bCs/>
          <w:szCs w:val="22"/>
        </w:rPr>
        <w:t>.</w:t>
      </w:r>
    </w:p>
    <w:p w:rsidR="00284BFE" w:rsidRDefault="00284BFE" w:rsidP="007473B7">
      <w:pPr>
        <w:widowControl/>
      </w:pPr>
    </w:p>
    <w:p w:rsidR="00B60939" w:rsidRPr="002C2775" w:rsidRDefault="00B60939" w:rsidP="007473B7">
      <w:pPr>
        <w:pStyle w:val="Heading2"/>
        <w:keepNext/>
        <w:widowControl/>
        <w:rPr>
          <w:i/>
        </w:rPr>
      </w:pPr>
      <w:bookmarkStart w:id="12" w:name="_Toc419464753"/>
      <w:r w:rsidRPr="002C2775">
        <w:rPr>
          <w:i/>
        </w:rPr>
        <w:t>Economic analysis</w:t>
      </w:r>
      <w:bookmarkEnd w:id="12"/>
      <w:r w:rsidR="00491B3A" w:rsidRPr="002C2775">
        <w:rPr>
          <w:i/>
        </w:rPr>
        <w:t xml:space="preserve"> </w:t>
      </w:r>
    </w:p>
    <w:p w:rsidR="00B60939" w:rsidRPr="00882085" w:rsidRDefault="00B60939" w:rsidP="007473B7">
      <w:pPr>
        <w:keepNext/>
        <w:widowControl/>
        <w:ind w:left="720" w:hanging="720"/>
        <w:rPr>
          <w:szCs w:val="22"/>
        </w:rPr>
      </w:pPr>
    </w:p>
    <w:p w:rsidR="002D2676" w:rsidRPr="002D2676" w:rsidRDefault="002D2676" w:rsidP="007473B7">
      <w:pPr>
        <w:pStyle w:val="ListParagraph"/>
        <w:widowControl/>
        <w:numPr>
          <w:ilvl w:val="1"/>
          <w:numId w:val="3"/>
        </w:numPr>
        <w:rPr>
          <w:szCs w:val="22"/>
        </w:rPr>
      </w:pPr>
      <w:r w:rsidRPr="002D2676">
        <w:t>The submission present</w:t>
      </w:r>
      <w:r w:rsidR="005B5CC0">
        <w:t>ed</w:t>
      </w:r>
      <w:r w:rsidRPr="002D2676">
        <w:t xml:space="preserve"> a simple cost-effectiveness analysis based on carglumic acid drug costs per episode </w:t>
      </w:r>
      <w:r w:rsidR="005511C2">
        <w:t>(</w:t>
      </w:r>
      <w:r w:rsidR="00870700">
        <w:t xml:space="preserve">see </w:t>
      </w:r>
      <w:r w:rsidR="005511C2">
        <w:t>Table 4).</w:t>
      </w:r>
      <w:r w:rsidR="004E76E0">
        <w:t xml:space="preserve"> </w:t>
      </w:r>
      <w:r w:rsidR="005511C2">
        <w:t xml:space="preserve">The results are </w:t>
      </w:r>
      <w:r w:rsidR="004E76E0">
        <w:t xml:space="preserve">summarised in Table </w:t>
      </w:r>
      <w:r w:rsidR="005511C2">
        <w:t>5</w:t>
      </w:r>
      <w:r w:rsidRPr="002D2676">
        <w:t>.</w:t>
      </w:r>
      <w:r w:rsidR="007F20A2">
        <w:t xml:space="preserve"> </w:t>
      </w:r>
    </w:p>
    <w:p w:rsidR="005511C2" w:rsidRDefault="005511C2" w:rsidP="007473B7">
      <w:pPr>
        <w:widowControl/>
        <w:ind w:firstLine="720"/>
        <w:rPr>
          <w:rFonts w:ascii="Arial Narrow" w:hAnsi="Arial Narrow"/>
          <w:b/>
          <w:sz w:val="20"/>
          <w:szCs w:val="16"/>
        </w:rPr>
      </w:pPr>
    </w:p>
    <w:p w:rsidR="005511C2" w:rsidRPr="005511C2" w:rsidRDefault="005511C2" w:rsidP="007473B7">
      <w:pPr>
        <w:keepNext/>
        <w:widowControl/>
        <w:ind w:firstLine="720"/>
        <w:rPr>
          <w:rFonts w:ascii="Arial Narrow" w:hAnsi="Arial Narrow"/>
          <w:b/>
          <w:sz w:val="20"/>
          <w:szCs w:val="16"/>
        </w:rPr>
      </w:pPr>
      <w:r w:rsidRPr="005511C2">
        <w:rPr>
          <w:rFonts w:ascii="Arial Narrow" w:hAnsi="Arial Narrow"/>
          <w:b/>
          <w:sz w:val="20"/>
          <w:szCs w:val="16"/>
        </w:rPr>
        <w:t>Table 4: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8"/>
        <w:gridCol w:w="2400"/>
        <w:gridCol w:w="3667"/>
      </w:tblGrid>
      <w:tr w:rsidR="005511C2" w:rsidRPr="005511C2" w:rsidTr="00AD70CF">
        <w:trPr>
          <w:tblHeader/>
        </w:trPr>
        <w:tc>
          <w:tcPr>
            <w:tcW w:w="1365" w:type="pct"/>
            <w:shd w:val="clear" w:color="auto" w:fill="auto"/>
            <w:vAlign w:val="center"/>
          </w:tcPr>
          <w:p w:rsidR="005511C2" w:rsidRPr="005511C2" w:rsidRDefault="005511C2" w:rsidP="007473B7">
            <w:pPr>
              <w:keepNext/>
              <w:widowControl/>
              <w:jc w:val="left"/>
              <w:rPr>
                <w:rFonts w:ascii="Arial Narrow" w:hAnsi="Arial Narrow"/>
                <w:b/>
                <w:sz w:val="20"/>
              </w:rPr>
            </w:pPr>
            <w:r w:rsidRPr="005511C2">
              <w:rPr>
                <w:rFonts w:ascii="Arial Narrow" w:hAnsi="Arial Narrow"/>
                <w:b/>
                <w:sz w:val="20"/>
              </w:rPr>
              <w:t>Component</w:t>
            </w:r>
          </w:p>
        </w:tc>
        <w:tc>
          <w:tcPr>
            <w:tcW w:w="1438" w:type="pct"/>
            <w:shd w:val="clear" w:color="auto" w:fill="auto"/>
            <w:vAlign w:val="center"/>
          </w:tcPr>
          <w:p w:rsidR="005511C2" w:rsidRPr="005511C2" w:rsidRDefault="005511C2" w:rsidP="007473B7">
            <w:pPr>
              <w:keepNext/>
              <w:widowControl/>
              <w:jc w:val="center"/>
              <w:rPr>
                <w:rFonts w:ascii="Arial Narrow" w:hAnsi="Arial Narrow"/>
                <w:b/>
                <w:sz w:val="20"/>
              </w:rPr>
            </w:pPr>
            <w:r w:rsidRPr="005511C2">
              <w:rPr>
                <w:rFonts w:ascii="Arial Narrow" w:hAnsi="Arial Narrow"/>
                <w:b/>
                <w:sz w:val="20"/>
              </w:rPr>
              <w:t>Summary</w:t>
            </w:r>
          </w:p>
        </w:tc>
        <w:tc>
          <w:tcPr>
            <w:tcW w:w="2197" w:type="pct"/>
          </w:tcPr>
          <w:p w:rsidR="005511C2" w:rsidRPr="005511C2" w:rsidRDefault="005511C2" w:rsidP="007473B7">
            <w:pPr>
              <w:keepNext/>
              <w:widowControl/>
              <w:jc w:val="center"/>
              <w:rPr>
                <w:rFonts w:ascii="Arial Narrow" w:hAnsi="Arial Narrow"/>
                <w:b/>
                <w:sz w:val="20"/>
              </w:rPr>
            </w:pPr>
            <w:r w:rsidRPr="005511C2">
              <w:rPr>
                <w:rFonts w:ascii="Arial Narrow" w:hAnsi="Arial Narrow"/>
                <w:b/>
                <w:sz w:val="20"/>
              </w:rPr>
              <w:t>Comment</w:t>
            </w:r>
          </w:p>
        </w:tc>
      </w:tr>
      <w:tr w:rsidR="00870700" w:rsidRPr="005511C2" w:rsidTr="00AD70CF">
        <w:tc>
          <w:tcPr>
            <w:tcW w:w="1365" w:type="pct"/>
            <w:shd w:val="clear" w:color="auto" w:fill="auto"/>
            <w:vAlign w:val="center"/>
          </w:tcPr>
          <w:p w:rsidR="00870700" w:rsidRPr="005511C2" w:rsidRDefault="00870700" w:rsidP="007473B7">
            <w:pPr>
              <w:keepNext/>
              <w:widowControl/>
              <w:jc w:val="left"/>
              <w:rPr>
                <w:rFonts w:ascii="Arial Narrow" w:hAnsi="Arial Narrow"/>
                <w:sz w:val="20"/>
              </w:rPr>
            </w:pPr>
            <w:r w:rsidRPr="005511C2">
              <w:rPr>
                <w:rFonts w:ascii="Arial Narrow" w:hAnsi="Arial Narrow"/>
                <w:sz w:val="20"/>
              </w:rPr>
              <w:t>Treatment duration</w:t>
            </w:r>
          </w:p>
        </w:tc>
        <w:tc>
          <w:tcPr>
            <w:tcW w:w="1438" w:type="pct"/>
            <w:shd w:val="clear" w:color="auto" w:fill="auto"/>
            <w:vAlign w:val="center"/>
          </w:tcPr>
          <w:p w:rsidR="00870700" w:rsidRPr="005511C2" w:rsidRDefault="00870700" w:rsidP="007473B7">
            <w:pPr>
              <w:keepNext/>
              <w:widowControl/>
              <w:jc w:val="left"/>
              <w:rPr>
                <w:rFonts w:ascii="Arial Narrow" w:hAnsi="Arial Narrow" w:cstheme="minorBidi"/>
                <w:snapToGrid/>
                <w:sz w:val="20"/>
                <w:lang w:eastAsia="en-AU"/>
              </w:rPr>
            </w:pPr>
            <w:r w:rsidRPr="005511C2">
              <w:rPr>
                <w:rFonts w:ascii="Arial Narrow" w:hAnsi="Arial Narrow" w:cstheme="minorBidi"/>
                <w:snapToGrid/>
                <w:sz w:val="20"/>
                <w:lang w:eastAsia="en-AU"/>
              </w:rPr>
              <w:t>5 days</w:t>
            </w:r>
          </w:p>
        </w:tc>
        <w:tc>
          <w:tcPr>
            <w:tcW w:w="2197" w:type="pct"/>
            <w:vMerge w:val="restart"/>
            <w:vAlign w:val="center"/>
          </w:tcPr>
          <w:p w:rsidR="00870700" w:rsidRPr="00FA1133" w:rsidRDefault="00870700" w:rsidP="007473B7">
            <w:pPr>
              <w:keepNext/>
              <w:widowControl/>
              <w:jc w:val="left"/>
              <w:rPr>
                <w:rFonts w:ascii="Arial Narrow" w:hAnsi="Arial Narrow" w:cstheme="minorBidi"/>
                <w:iCs/>
                <w:color w:val="000000" w:themeColor="text1"/>
                <w:sz w:val="20"/>
              </w:rPr>
            </w:pPr>
            <w:r w:rsidRPr="00FA1133">
              <w:rPr>
                <w:rFonts w:ascii="Arial Narrow" w:hAnsi="Arial Narrow" w:cstheme="minorBidi"/>
                <w:iCs/>
                <w:color w:val="000000" w:themeColor="text1"/>
                <w:sz w:val="20"/>
              </w:rPr>
              <w:t>May not be appropriate to apply to all types of OA as a different duration of therapy is required by each patient group.</w:t>
            </w:r>
          </w:p>
        </w:tc>
      </w:tr>
      <w:tr w:rsidR="00870700" w:rsidRPr="005511C2" w:rsidTr="00AD70CF">
        <w:tc>
          <w:tcPr>
            <w:tcW w:w="1365" w:type="pct"/>
            <w:shd w:val="clear" w:color="auto" w:fill="auto"/>
            <w:vAlign w:val="center"/>
          </w:tcPr>
          <w:p w:rsidR="00870700" w:rsidRPr="005511C2" w:rsidRDefault="00870700" w:rsidP="007473B7">
            <w:pPr>
              <w:keepNext/>
              <w:widowControl/>
              <w:jc w:val="left"/>
              <w:rPr>
                <w:rFonts w:ascii="Arial Narrow" w:hAnsi="Arial Narrow"/>
                <w:sz w:val="20"/>
              </w:rPr>
            </w:pPr>
            <w:r w:rsidRPr="005511C2">
              <w:rPr>
                <w:rFonts w:ascii="Arial Narrow" w:hAnsi="Arial Narrow"/>
                <w:sz w:val="20"/>
              </w:rPr>
              <w:t>Time horizon</w:t>
            </w:r>
          </w:p>
        </w:tc>
        <w:tc>
          <w:tcPr>
            <w:tcW w:w="1438" w:type="pct"/>
            <w:shd w:val="clear" w:color="auto" w:fill="auto"/>
            <w:vAlign w:val="center"/>
          </w:tcPr>
          <w:p w:rsidR="00870700" w:rsidRPr="005511C2" w:rsidRDefault="00870700" w:rsidP="007473B7">
            <w:pPr>
              <w:keepNext/>
              <w:widowControl/>
              <w:jc w:val="left"/>
              <w:rPr>
                <w:rFonts w:ascii="Arial Narrow" w:hAnsi="Arial Narrow"/>
                <w:sz w:val="20"/>
              </w:rPr>
            </w:pPr>
            <w:r w:rsidRPr="005511C2">
              <w:rPr>
                <w:rFonts w:ascii="Arial Narrow" w:hAnsi="Arial Narrow"/>
                <w:sz w:val="20"/>
              </w:rPr>
              <w:t xml:space="preserve">5 days in the model base case versus </w:t>
            </w:r>
            <w:r>
              <w:rPr>
                <w:rFonts w:ascii="Arial Narrow" w:hAnsi="Arial Narrow"/>
                <w:sz w:val="20"/>
              </w:rPr>
              <w:t>1-29</w:t>
            </w:r>
            <w:r w:rsidRPr="005511C2">
              <w:rPr>
                <w:rFonts w:ascii="Arial Narrow" w:hAnsi="Arial Narrow"/>
                <w:sz w:val="20"/>
              </w:rPr>
              <w:t xml:space="preserve"> days in </w:t>
            </w:r>
            <w:r>
              <w:rPr>
                <w:rFonts w:ascii="Arial Narrow" w:hAnsi="Arial Narrow"/>
                <w:sz w:val="20"/>
              </w:rPr>
              <w:t>studies</w:t>
            </w:r>
          </w:p>
        </w:tc>
        <w:tc>
          <w:tcPr>
            <w:tcW w:w="2197" w:type="pct"/>
            <w:vMerge/>
            <w:vAlign w:val="center"/>
          </w:tcPr>
          <w:p w:rsidR="00870700" w:rsidRPr="00FA1133" w:rsidRDefault="00870700" w:rsidP="007473B7">
            <w:pPr>
              <w:keepNext/>
              <w:widowControl/>
              <w:jc w:val="left"/>
              <w:rPr>
                <w:rFonts w:ascii="Arial Narrow" w:hAnsi="Arial Narrow" w:cstheme="minorBidi"/>
                <w:iCs/>
                <w:color w:val="000000" w:themeColor="text1"/>
                <w:sz w:val="20"/>
              </w:rPr>
            </w:pPr>
          </w:p>
        </w:tc>
      </w:tr>
      <w:tr w:rsidR="005511C2" w:rsidRPr="005511C2" w:rsidTr="00AD70CF">
        <w:tc>
          <w:tcPr>
            <w:tcW w:w="1365" w:type="pct"/>
            <w:shd w:val="clear" w:color="auto" w:fill="auto"/>
            <w:vAlign w:val="center"/>
          </w:tcPr>
          <w:p w:rsidR="005511C2" w:rsidRPr="005511C2" w:rsidRDefault="005511C2" w:rsidP="007473B7">
            <w:pPr>
              <w:keepNext/>
              <w:widowControl/>
              <w:jc w:val="left"/>
              <w:rPr>
                <w:rFonts w:ascii="Arial Narrow" w:hAnsi="Arial Narrow"/>
                <w:sz w:val="20"/>
              </w:rPr>
            </w:pPr>
            <w:r w:rsidRPr="005511C2">
              <w:rPr>
                <w:rFonts w:ascii="Arial Narrow" w:hAnsi="Arial Narrow"/>
                <w:sz w:val="20"/>
              </w:rPr>
              <w:t>Outcomes</w:t>
            </w:r>
          </w:p>
        </w:tc>
        <w:tc>
          <w:tcPr>
            <w:tcW w:w="1438" w:type="pct"/>
            <w:shd w:val="clear" w:color="auto" w:fill="auto"/>
            <w:vAlign w:val="center"/>
          </w:tcPr>
          <w:p w:rsidR="005511C2" w:rsidRPr="005511C2" w:rsidRDefault="005511C2" w:rsidP="007473B7">
            <w:pPr>
              <w:keepNext/>
              <w:widowControl/>
              <w:contextualSpacing/>
              <w:jc w:val="left"/>
              <w:rPr>
                <w:rFonts w:ascii="Arial Narrow" w:hAnsi="Arial Narrow"/>
                <w:sz w:val="20"/>
              </w:rPr>
            </w:pPr>
            <w:r w:rsidRPr="005511C2">
              <w:rPr>
                <w:rFonts w:ascii="Arial Narrow" w:hAnsi="Arial Narrow" w:cstheme="minorBidi"/>
                <w:snapToGrid/>
                <w:sz w:val="20"/>
                <w:lang w:eastAsia="en-AU"/>
              </w:rPr>
              <w:t>P</w:t>
            </w:r>
            <w:r w:rsidRPr="005511C2">
              <w:rPr>
                <w:rFonts w:ascii="Arial Narrow" w:hAnsi="Arial Narrow"/>
                <w:sz w:val="20"/>
              </w:rPr>
              <w:t>atients normalised; and</w:t>
            </w:r>
          </w:p>
          <w:p w:rsidR="005511C2" w:rsidRPr="005511C2" w:rsidRDefault="005511C2" w:rsidP="007473B7">
            <w:pPr>
              <w:keepNext/>
              <w:widowControl/>
              <w:contextualSpacing/>
              <w:jc w:val="left"/>
            </w:pPr>
            <w:r w:rsidRPr="005511C2">
              <w:rPr>
                <w:rFonts w:ascii="Arial Narrow" w:hAnsi="Arial Narrow"/>
                <w:sz w:val="20"/>
              </w:rPr>
              <w:t>One µmol/L reduction in mean ammonia.</w:t>
            </w:r>
          </w:p>
        </w:tc>
        <w:tc>
          <w:tcPr>
            <w:tcW w:w="2197" w:type="pct"/>
            <w:vAlign w:val="center"/>
          </w:tcPr>
          <w:p w:rsidR="005511C2" w:rsidRPr="00FA1133" w:rsidRDefault="00870700" w:rsidP="007473B7">
            <w:pPr>
              <w:keepNext/>
              <w:widowControl/>
              <w:jc w:val="left"/>
              <w:rPr>
                <w:rFonts w:ascii="Arial Narrow" w:hAnsi="Arial Narrow" w:cstheme="minorBidi"/>
                <w:snapToGrid/>
                <w:sz w:val="20"/>
                <w:lang w:eastAsia="en-AU"/>
              </w:rPr>
            </w:pPr>
            <w:r w:rsidRPr="00FA1133">
              <w:rPr>
                <w:rFonts w:ascii="Arial Narrow" w:hAnsi="Arial Narrow"/>
                <w:sz w:val="20"/>
              </w:rPr>
              <w:t>These surrogate outcomes have not been formally linked to long-term clinically relevant outcomes.</w:t>
            </w:r>
          </w:p>
        </w:tc>
      </w:tr>
      <w:tr w:rsidR="005511C2" w:rsidRPr="005511C2" w:rsidTr="00AD70CF">
        <w:tc>
          <w:tcPr>
            <w:tcW w:w="1365" w:type="pct"/>
            <w:shd w:val="clear" w:color="auto" w:fill="auto"/>
            <w:vAlign w:val="center"/>
          </w:tcPr>
          <w:p w:rsidR="005511C2" w:rsidRPr="005511C2" w:rsidRDefault="005511C2" w:rsidP="007473B7">
            <w:pPr>
              <w:keepNext/>
              <w:widowControl/>
              <w:jc w:val="left"/>
              <w:rPr>
                <w:rFonts w:ascii="Arial Narrow" w:hAnsi="Arial Narrow"/>
                <w:sz w:val="20"/>
              </w:rPr>
            </w:pPr>
            <w:r w:rsidRPr="005511C2">
              <w:rPr>
                <w:rFonts w:ascii="Arial Narrow" w:hAnsi="Arial Narrow"/>
                <w:sz w:val="20"/>
              </w:rPr>
              <w:t>Methods used to generate results</w:t>
            </w:r>
          </w:p>
        </w:tc>
        <w:tc>
          <w:tcPr>
            <w:tcW w:w="1438" w:type="pct"/>
            <w:shd w:val="clear" w:color="auto" w:fill="auto"/>
            <w:vAlign w:val="center"/>
          </w:tcPr>
          <w:p w:rsidR="005511C2" w:rsidRPr="005511C2" w:rsidRDefault="002E1EA2" w:rsidP="007473B7">
            <w:pPr>
              <w:keepNext/>
              <w:widowControl/>
              <w:jc w:val="left"/>
              <w:rPr>
                <w:rFonts w:ascii="Arial Narrow" w:hAnsi="Arial Narrow"/>
                <w:sz w:val="20"/>
              </w:rPr>
            </w:pPr>
            <w:r>
              <w:rPr>
                <w:rFonts w:ascii="Arial Narrow" w:hAnsi="Arial Narrow"/>
                <w:sz w:val="20"/>
              </w:rPr>
              <w:t>Study</w:t>
            </w:r>
            <w:r w:rsidR="005511C2" w:rsidRPr="005511C2">
              <w:rPr>
                <w:rFonts w:ascii="Arial Narrow" w:hAnsi="Arial Narrow"/>
                <w:sz w:val="20"/>
              </w:rPr>
              <w:t>-based</w:t>
            </w:r>
          </w:p>
        </w:tc>
        <w:tc>
          <w:tcPr>
            <w:tcW w:w="2197" w:type="pct"/>
            <w:vAlign w:val="center"/>
          </w:tcPr>
          <w:p w:rsidR="005511C2" w:rsidRPr="00FA1133" w:rsidRDefault="00870700" w:rsidP="007473B7">
            <w:pPr>
              <w:keepNext/>
              <w:widowControl/>
              <w:jc w:val="left"/>
              <w:rPr>
                <w:rFonts w:ascii="Arial Narrow" w:hAnsi="Arial Narrow"/>
                <w:sz w:val="20"/>
              </w:rPr>
            </w:pPr>
            <w:r w:rsidRPr="00FA1133">
              <w:rPr>
                <w:rFonts w:ascii="Arial Narrow" w:hAnsi="Arial Narrow"/>
                <w:sz w:val="20"/>
              </w:rPr>
              <w:t>The overall body of clinical evidence is of low quality, and it is difficult to determine the incremental safety and efficacy of carglumic acid as there are many confounding factors in the case reports</w:t>
            </w:r>
            <w:r w:rsidR="00BA1926" w:rsidRPr="00FA1133">
              <w:rPr>
                <w:rFonts w:ascii="Arial Narrow" w:hAnsi="Arial Narrow"/>
                <w:sz w:val="20"/>
              </w:rPr>
              <w:t>.</w:t>
            </w:r>
          </w:p>
        </w:tc>
      </w:tr>
      <w:tr w:rsidR="005511C2" w:rsidRPr="005511C2" w:rsidTr="00AD70CF">
        <w:tc>
          <w:tcPr>
            <w:tcW w:w="1365" w:type="pct"/>
            <w:shd w:val="clear" w:color="auto" w:fill="auto"/>
            <w:vAlign w:val="center"/>
          </w:tcPr>
          <w:p w:rsidR="005511C2" w:rsidRPr="005511C2" w:rsidRDefault="005511C2" w:rsidP="007473B7">
            <w:pPr>
              <w:keepNext/>
              <w:widowControl/>
              <w:jc w:val="left"/>
              <w:rPr>
                <w:rFonts w:ascii="Arial Narrow" w:hAnsi="Arial Narrow"/>
                <w:sz w:val="20"/>
              </w:rPr>
            </w:pPr>
            <w:r w:rsidRPr="005511C2">
              <w:rPr>
                <w:rFonts w:ascii="Arial Narrow" w:hAnsi="Arial Narrow"/>
                <w:sz w:val="20"/>
              </w:rPr>
              <w:t>Age groups and distribution</w:t>
            </w:r>
          </w:p>
        </w:tc>
        <w:tc>
          <w:tcPr>
            <w:tcW w:w="1438" w:type="pct"/>
            <w:shd w:val="clear" w:color="auto" w:fill="auto"/>
            <w:vAlign w:val="center"/>
          </w:tcPr>
          <w:p w:rsidR="005511C2" w:rsidRPr="005511C2" w:rsidRDefault="005511C2" w:rsidP="007473B7">
            <w:pPr>
              <w:keepNext/>
              <w:widowControl/>
              <w:jc w:val="left"/>
              <w:rPr>
                <w:rFonts w:ascii="Arial Narrow" w:hAnsi="Arial Narrow"/>
                <w:sz w:val="20"/>
              </w:rPr>
            </w:pPr>
            <w:r w:rsidRPr="005511C2">
              <w:rPr>
                <w:rFonts w:ascii="Arial Narrow" w:hAnsi="Arial Narrow"/>
                <w:sz w:val="20"/>
              </w:rPr>
              <w:t>Baby: 50%</w:t>
            </w:r>
          </w:p>
          <w:p w:rsidR="005511C2" w:rsidRPr="005511C2" w:rsidRDefault="005511C2" w:rsidP="007473B7">
            <w:pPr>
              <w:keepNext/>
              <w:widowControl/>
              <w:jc w:val="left"/>
              <w:rPr>
                <w:rFonts w:ascii="Arial Narrow" w:hAnsi="Arial Narrow"/>
                <w:sz w:val="20"/>
              </w:rPr>
            </w:pPr>
            <w:r w:rsidRPr="005511C2">
              <w:rPr>
                <w:rFonts w:ascii="Arial Narrow" w:hAnsi="Arial Narrow"/>
                <w:sz w:val="20"/>
              </w:rPr>
              <w:t>Child: 50%</w:t>
            </w:r>
          </w:p>
        </w:tc>
        <w:tc>
          <w:tcPr>
            <w:tcW w:w="2197" w:type="pct"/>
            <w:vAlign w:val="center"/>
          </w:tcPr>
          <w:p w:rsidR="005511C2" w:rsidRPr="00FA1133" w:rsidRDefault="00B72286" w:rsidP="007473B7">
            <w:pPr>
              <w:keepNext/>
              <w:widowControl/>
              <w:rPr>
                <w:rFonts w:asciiTheme="minorHAnsi" w:eastAsiaTheme="minorEastAsia" w:hAnsiTheme="minorHAnsi" w:cstheme="minorBidi"/>
                <w:snapToGrid/>
                <w:szCs w:val="22"/>
                <w:lang w:eastAsia="zh-CN"/>
              </w:rPr>
            </w:pPr>
            <w:r w:rsidRPr="00FA1133">
              <w:rPr>
                <w:rFonts w:ascii="Arial Narrow" w:eastAsiaTheme="minorEastAsia" w:hAnsi="Arial Narrow" w:cstheme="minorBidi"/>
                <w:iCs/>
                <w:snapToGrid/>
                <w:sz w:val="20"/>
                <w:szCs w:val="22"/>
                <w:lang w:eastAsia="zh-CN"/>
              </w:rPr>
              <w:t>Differs to the study population (82% babies, 15% children and 3% adults).</w:t>
            </w:r>
          </w:p>
        </w:tc>
      </w:tr>
      <w:tr w:rsidR="005511C2" w:rsidRPr="005511C2" w:rsidTr="00AD70CF">
        <w:tc>
          <w:tcPr>
            <w:tcW w:w="1365" w:type="pct"/>
            <w:shd w:val="clear" w:color="auto" w:fill="auto"/>
            <w:vAlign w:val="center"/>
          </w:tcPr>
          <w:p w:rsidR="005511C2" w:rsidRPr="005511C2" w:rsidRDefault="005511C2" w:rsidP="007473B7">
            <w:pPr>
              <w:keepNext/>
              <w:widowControl/>
              <w:jc w:val="left"/>
              <w:rPr>
                <w:rFonts w:ascii="Arial Narrow" w:hAnsi="Arial Narrow"/>
                <w:sz w:val="20"/>
              </w:rPr>
            </w:pPr>
            <w:r w:rsidRPr="005511C2">
              <w:rPr>
                <w:rFonts w:ascii="Arial Narrow" w:hAnsi="Arial Narrow"/>
                <w:sz w:val="20"/>
              </w:rPr>
              <w:t>Age groups and weight</w:t>
            </w:r>
          </w:p>
        </w:tc>
        <w:tc>
          <w:tcPr>
            <w:tcW w:w="1438" w:type="pct"/>
            <w:shd w:val="clear" w:color="auto" w:fill="auto"/>
            <w:vAlign w:val="center"/>
          </w:tcPr>
          <w:p w:rsidR="005511C2" w:rsidRPr="005511C2" w:rsidRDefault="005511C2" w:rsidP="007473B7">
            <w:pPr>
              <w:keepNext/>
              <w:widowControl/>
              <w:jc w:val="left"/>
              <w:rPr>
                <w:rFonts w:ascii="Arial Narrow" w:hAnsi="Arial Narrow"/>
                <w:sz w:val="20"/>
              </w:rPr>
            </w:pPr>
            <w:r w:rsidRPr="005511C2">
              <w:rPr>
                <w:rFonts w:ascii="Arial Narrow" w:hAnsi="Arial Narrow"/>
                <w:sz w:val="20"/>
              </w:rPr>
              <w:t>Baby (6 months): 7.8kg</w:t>
            </w:r>
          </w:p>
          <w:p w:rsidR="005511C2" w:rsidRPr="005511C2" w:rsidRDefault="005511C2" w:rsidP="007473B7">
            <w:pPr>
              <w:keepNext/>
              <w:widowControl/>
              <w:jc w:val="left"/>
              <w:rPr>
                <w:rFonts w:ascii="Arial Narrow" w:hAnsi="Arial Narrow"/>
                <w:sz w:val="20"/>
              </w:rPr>
            </w:pPr>
            <w:r w:rsidRPr="005511C2">
              <w:rPr>
                <w:rFonts w:ascii="Arial Narrow" w:hAnsi="Arial Narrow"/>
                <w:sz w:val="20"/>
              </w:rPr>
              <w:t>Child (10 years): 32.5 kg</w:t>
            </w:r>
          </w:p>
        </w:tc>
        <w:tc>
          <w:tcPr>
            <w:tcW w:w="2197" w:type="pct"/>
            <w:vAlign w:val="center"/>
          </w:tcPr>
          <w:p w:rsidR="005511C2" w:rsidRPr="00FA1133" w:rsidRDefault="005511C2" w:rsidP="007473B7">
            <w:pPr>
              <w:keepNext/>
              <w:widowControl/>
              <w:jc w:val="left"/>
              <w:rPr>
                <w:rFonts w:ascii="Arial Narrow" w:hAnsi="Arial Narrow"/>
                <w:iCs/>
                <w:sz w:val="20"/>
              </w:rPr>
            </w:pPr>
            <w:r w:rsidRPr="00FA1133">
              <w:rPr>
                <w:rFonts w:ascii="Arial Narrow" w:hAnsi="Arial Narrow"/>
                <w:iCs/>
                <w:sz w:val="20"/>
              </w:rPr>
              <w:t>The “child” group is actually 1-10 years (not 1-18 years) from the study population.</w:t>
            </w:r>
          </w:p>
        </w:tc>
      </w:tr>
    </w:tbl>
    <w:p w:rsidR="005511C2" w:rsidRPr="00F977B3" w:rsidRDefault="00F977B3" w:rsidP="007473B7">
      <w:pPr>
        <w:widowControl/>
        <w:ind w:left="709"/>
        <w:rPr>
          <w:rFonts w:ascii="Arial Narrow" w:hAnsi="Arial Narrow"/>
          <w:sz w:val="18"/>
          <w:szCs w:val="18"/>
        </w:rPr>
      </w:pPr>
      <w:r w:rsidRPr="00F977B3">
        <w:rPr>
          <w:rFonts w:ascii="Arial Narrow" w:hAnsi="Arial Narrow"/>
          <w:sz w:val="18"/>
          <w:szCs w:val="18"/>
        </w:rPr>
        <w:t>Abbreviations: OA = organic acidaemias</w:t>
      </w:r>
      <w:r>
        <w:rPr>
          <w:rFonts w:ascii="Arial Narrow" w:hAnsi="Arial Narrow"/>
          <w:sz w:val="18"/>
          <w:szCs w:val="18"/>
        </w:rPr>
        <w:t xml:space="preserve">. </w:t>
      </w:r>
      <w:r w:rsidR="005511C2" w:rsidRPr="004658FA">
        <w:rPr>
          <w:rFonts w:ascii="Arial Narrow" w:hAnsi="Arial Narrow"/>
          <w:iCs/>
          <w:sz w:val="18"/>
          <w:szCs w:val="18"/>
        </w:rPr>
        <w:t>Source: compiled during the evaluation</w:t>
      </w:r>
    </w:p>
    <w:p w:rsidR="005511C2" w:rsidRDefault="005511C2" w:rsidP="007473B7">
      <w:pPr>
        <w:pStyle w:val="PBACHeading1"/>
        <w:numPr>
          <w:ilvl w:val="0"/>
          <w:numId w:val="0"/>
        </w:numPr>
        <w:ind w:left="720"/>
        <w:rPr>
          <w:rStyle w:val="CommentReference"/>
        </w:rPr>
      </w:pPr>
    </w:p>
    <w:p w:rsidR="00FB3184" w:rsidRPr="000C6D40" w:rsidRDefault="00FB3184" w:rsidP="007473B7">
      <w:pPr>
        <w:widowControl/>
        <w:ind w:firstLine="720"/>
        <w:rPr>
          <w:rStyle w:val="CommentReference"/>
        </w:rPr>
      </w:pPr>
      <w:bookmarkStart w:id="13" w:name="_Toc419083736"/>
      <w:bookmarkStart w:id="14" w:name="_Toc419083845"/>
      <w:r w:rsidRPr="000C6D40">
        <w:rPr>
          <w:rStyle w:val="CommentReference"/>
        </w:rPr>
        <w:t xml:space="preserve">Table </w:t>
      </w:r>
      <w:r w:rsidR="005511C2">
        <w:rPr>
          <w:rStyle w:val="CommentReference"/>
        </w:rPr>
        <w:t>5</w:t>
      </w:r>
      <w:r w:rsidR="004E76E0" w:rsidRPr="000C6D40">
        <w:rPr>
          <w:rStyle w:val="CommentReference"/>
        </w:rPr>
        <w:t xml:space="preserve">: </w:t>
      </w:r>
      <w:r w:rsidRPr="000C6D40">
        <w:rPr>
          <w:rStyle w:val="CommentReference"/>
        </w:rPr>
        <w:t>Results of the economic evaluation (total organic acidaemias)</w:t>
      </w:r>
      <w:bookmarkEnd w:id="13"/>
      <w:bookmarkEnd w:id="14"/>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7"/>
        <w:gridCol w:w="1562"/>
        <w:gridCol w:w="1564"/>
        <w:gridCol w:w="1682"/>
      </w:tblGrid>
      <w:tr w:rsidR="00FB3184" w:rsidRPr="004E2ADC" w:rsidTr="004E76E0">
        <w:tc>
          <w:tcPr>
            <w:tcW w:w="2119" w:type="pct"/>
          </w:tcPr>
          <w:p w:rsidR="00FB3184" w:rsidRPr="004E2ADC" w:rsidRDefault="00FB3184" w:rsidP="007473B7">
            <w:pPr>
              <w:widowControl/>
              <w:rPr>
                <w:rFonts w:ascii="Arial Narrow" w:hAnsi="Arial Narrow"/>
                <w:b/>
                <w:sz w:val="20"/>
              </w:rPr>
            </w:pPr>
            <w:r w:rsidRPr="004E2ADC">
              <w:rPr>
                <w:rFonts w:ascii="Arial Narrow" w:hAnsi="Arial Narrow"/>
                <w:b/>
                <w:sz w:val="20"/>
              </w:rPr>
              <w:t>Component</w:t>
            </w:r>
          </w:p>
        </w:tc>
        <w:tc>
          <w:tcPr>
            <w:tcW w:w="936" w:type="pct"/>
          </w:tcPr>
          <w:p w:rsidR="00FB3184" w:rsidRPr="004E2ADC" w:rsidRDefault="00FB3184" w:rsidP="007473B7">
            <w:pPr>
              <w:widowControl/>
              <w:jc w:val="center"/>
              <w:rPr>
                <w:rFonts w:ascii="Arial Narrow" w:hAnsi="Arial Narrow"/>
                <w:b/>
                <w:sz w:val="20"/>
              </w:rPr>
            </w:pPr>
            <w:r>
              <w:rPr>
                <w:rFonts w:ascii="Arial Narrow" w:hAnsi="Arial Narrow"/>
                <w:b/>
                <w:sz w:val="20"/>
              </w:rPr>
              <w:t>Carglumic acid</w:t>
            </w:r>
          </w:p>
        </w:tc>
        <w:tc>
          <w:tcPr>
            <w:tcW w:w="936" w:type="pct"/>
          </w:tcPr>
          <w:p w:rsidR="00FB3184" w:rsidRPr="004E2ADC" w:rsidRDefault="00FB3184" w:rsidP="007473B7">
            <w:pPr>
              <w:widowControl/>
              <w:jc w:val="center"/>
              <w:rPr>
                <w:rFonts w:ascii="Arial Narrow" w:hAnsi="Arial Narrow"/>
                <w:b/>
                <w:sz w:val="20"/>
              </w:rPr>
            </w:pPr>
            <w:r>
              <w:rPr>
                <w:rFonts w:ascii="Arial Narrow" w:hAnsi="Arial Narrow"/>
                <w:b/>
                <w:sz w:val="20"/>
              </w:rPr>
              <w:t>Standard care</w:t>
            </w:r>
          </w:p>
        </w:tc>
        <w:tc>
          <w:tcPr>
            <w:tcW w:w="1008" w:type="pct"/>
          </w:tcPr>
          <w:p w:rsidR="00FB3184" w:rsidRPr="004E2ADC" w:rsidRDefault="00FB3184" w:rsidP="007473B7">
            <w:pPr>
              <w:widowControl/>
              <w:jc w:val="center"/>
              <w:rPr>
                <w:rFonts w:ascii="Arial Narrow" w:hAnsi="Arial Narrow"/>
                <w:b/>
                <w:sz w:val="20"/>
              </w:rPr>
            </w:pPr>
            <w:r w:rsidRPr="004E2ADC">
              <w:rPr>
                <w:rFonts w:ascii="Arial Narrow" w:hAnsi="Arial Narrow"/>
                <w:b/>
                <w:sz w:val="20"/>
              </w:rPr>
              <w:t>Increment</w:t>
            </w:r>
          </w:p>
        </w:tc>
      </w:tr>
      <w:tr w:rsidR="00FB3184" w:rsidRPr="004E2ADC" w:rsidTr="004E76E0">
        <w:tc>
          <w:tcPr>
            <w:tcW w:w="2119" w:type="pct"/>
          </w:tcPr>
          <w:p w:rsidR="00FB3184" w:rsidRPr="004E2ADC" w:rsidRDefault="00FB3184" w:rsidP="007473B7">
            <w:pPr>
              <w:widowControl/>
              <w:rPr>
                <w:rFonts w:ascii="Arial Narrow" w:hAnsi="Arial Narrow"/>
                <w:sz w:val="20"/>
              </w:rPr>
            </w:pPr>
            <w:r w:rsidRPr="004E2ADC">
              <w:rPr>
                <w:rFonts w:ascii="Arial Narrow" w:hAnsi="Arial Narrow"/>
                <w:sz w:val="20"/>
              </w:rPr>
              <w:t>Costs</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w:t>
            </w:r>
            <w:r w:rsidR="005B64CC">
              <w:rPr>
                <w:rFonts w:ascii="Arial Narrow" w:hAnsi="Arial Narrow"/>
                <w:noProof/>
                <w:color w:val="000000"/>
                <w:sz w:val="20"/>
                <w:highlight w:val="black"/>
              </w:rPr>
              <w:t>'''''''''''''</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w:t>
            </w:r>
            <w:r w:rsidRPr="00CB2289">
              <w:rPr>
                <w:rFonts w:ascii="Arial Narrow" w:hAnsi="Arial Narrow"/>
                <w:sz w:val="20"/>
              </w:rPr>
              <w:t>0</w:t>
            </w:r>
          </w:p>
        </w:tc>
        <w:tc>
          <w:tcPr>
            <w:tcW w:w="1008" w:type="pct"/>
          </w:tcPr>
          <w:p w:rsidR="00FB3184" w:rsidRPr="004E2ADC" w:rsidRDefault="00FB3184" w:rsidP="007473B7">
            <w:pPr>
              <w:widowControl/>
              <w:jc w:val="center"/>
              <w:rPr>
                <w:rFonts w:ascii="Arial Narrow" w:hAnsi="Arial Narrow"/>
                <w:sz w:val="20"/>
              </w:rPr>
            </w:pPr>
            <w:r>
              <w:rPr>
                <w:rFonts w:ascii="Arial Narrow" w:hAnsi="Arial Narrow"/>
                <w:sz w:val="20"/>
              </w:rPr>
              <w:t>$</w:t>
            </w:r>
            <w:r w:rsidR="005B64CC">
              <w:rPr>
                <w:rFonts w:ascii="Arial Narrow" w:hAnsi="Arial Narrow"/>
                <w:noProof/>
                <w:color w:val="000000"/>
                <w:sz w:val="20"/>
                <w:highlight w:val="black"/>
              </w:rPr>
              <w:t>''''''''''''''</w:t>
            </w:r>
          </w:p>
        </w:tc>
      </w:tr>
      <w:tr w:rsidR="00FB3184" w:rsidRPr="004E2ADC" w:rsidTr="004E76E0">
        <w:tc>
          <w:tcPr>
            <w:tcW w:w="2119" w:type="pct"/>
          </w:tcPr>
          <w:p w:rsidR="00FB3184" w:rsidRPr="004E2ADC" w:rsidRDefault="00FB3184" w:rsidP="007473B7">
            <w:pPr>
              <w:widowControl/>
              <w:rPr>
                <w:rFonts w:ascii="Arial Narrow" w:hAnsi="Arial Narrow"/>
                <w:sz w:val="20"/>
              </w:rPr>
            </w:pPr>
            <w:r>
              <w:rPr>
                <w:rFonts w:ascii="Arial Narrow" w:hAnsi="Arial Narrow"/>
                <w:sz w:val="20"/>
              </w:rPr>
              <w:t>patient normalised – total OA</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86%</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0</w:t>
            </w:r>
          </w:p>
        </w:tc>
        <w:tc>
          <w:tcPr>
            <w:tcW w:w="1008" w:type="pct"/>
          </w:tcPr>
          <w:p w:rsidR="00FB3184" w:rsidRPr="004E2ADC" w:rsidRDefault="00FB3184" w:rsidP="007473B7">
            <w:pPr>
              <w:widowControl/>
              <w:jc w:val="center"/>
              <w:rPr>
                <w:rFonts w:ascii="Arial Narrow" w:hAnsi="Arial Narrow"/>
                <w:sz w:val="20"/>
              </w:rPr>
            </w:pPr>
            <w:r>
              <w:rPr>
                <w:rFonts w:ascii="Arial Narrow" w:hAnsi="Arial Narrow"/>
                <w:sz w:val="20"/>
              </w:rPr>
              <w:t>86%</w:t>
            </w:r>
          </w:p>
        </w:tc>
      </w:tr>
      <w:tr w:rsidR="00FB3184" w:rsidRPr="004E2ADC" w:rsidTr="004E76E0">
        <w:tc>
          <w:tcPr>
            <w:tcW w:w="3992" w:type="pct"/>
            <w:gridSpan w:val="3"/>
          </w:tcPr>
          <w:p w:rsidR="00FB3184" w:rsidRPr="004E2ADC" w:rsidRDefault="00FB3184" w:rsidP="007473B7">
            <w:pPr>
              <w:widowControl/>
              <w:jc w:val="right"/>
              <w:rPr>
                <w:rFonts w:ascii="Arial Narrow" w:hAnsi="Arial Narrow"/>
                <w:b/>
                <w:sz w:val="20"/>
              </w:rPr>
            </w:pPr>
            <w:r>
              <w:rPr>
                <w:rFonts w:ascii="Arial Narrow" w:hAnsi="Arial Narrow"/>
                <w:b/>
                <w:sz w:val="20"/>
              </w:rPr>
              <w:t>Incremental cost/extra patient normalised</w:t>
            </w:r>
          </w:p>
        </w:tc>
        <w:tc>
          <w:tcPr>
            <w:tcW w:w="1008" w:type="pct"/>
          </w:tcPr>
          <w:p w:rsidR="00FB3184" w:rsidRPr="004E2ADC" w:rsidRDefault="00FB3184" w:rsidP="007473B7">
            <w:pPr>
              <w:widowControl/>
              <w:jc w:val="center"/>
              <w:rPr>
                <w:rFonts w:ascii="Arial Narrow" w:hAnsi="Arial Narrow"/>
                <w:b/>
                <w:sz w:val="20"/>
              </w:rPr>
            </w:pPr>
            <w:r>
              <w:rPr>
                <w:rFonts w:ascii="Arial Narrow" w:hAnsi="Arial Narrow"/>
                <w:b/>
                <w:sz w:val="20"/>
              </w:rPr>
              <w:t>$</w:t>
            </w:r>
            <w:r w:rsidR="005B64CC">
              <w:rPr>
                <w:rFonts w:ascii="Arial Narrow" w:hAnsi="Arial Narrow"/>
                <w:b/>
                <w:noProof/>
                <w:color w:val="000000"/>
                <w:sz w:val="20"/>
                <w:highlight w:val="black"/>
              </w:rPr>
              <w:t>''''''''''''</w:t>
            </w:r>
          </w:p>
        </w:tc>
      </w:tr>
      <w:tr w:rsidR="00FB3184" w:rsidRPr="004E2ADC" w:rsidTr="004E76E0">
        <w:tc>
          <w:tcPr>
            <w:tcW w:w="2119" w:type="pct"/>
          </w:tcPr>
          <w:p w:rsidR="00FB3184" w:rsidRPr="004E2ADC" w:rsidRDefault="00FB3184" w:rsidP="007473B7">
            <w:pPr>
              <w:widowControl/>
              <w:rPr>
                <w:rFonts w:ascii="Arial Narrow" w:hAnsi="Arial Narrow"/>
                <w:sz w:val="20"/>
              </w:rPr>
            </w:pPr>
            <w:r w:rsidRPr="004E2ADC">
              <w:rPr>
                <w:rFonts w:ascii="Arial Narrow" w:hAnsi="Arial Narrow"/>
                <w:sz w:val="20"/>
              </w:rPr>
              <w:t>Costs</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w:t>
            </w:r>
            <w:r w:rsidR="005B64CC">
              <w:rPr>
                <w:rFonts w:ascii="Arial Narrow" w:hAnsi="Arial Narrow"/>
                <w:noProof/>
                <w:color w:val="000000"/>
                <w:sz w:val="20"/>
                <w:highlight w:val="black"/>
              </w:rPr>
              <w:t>''''''''''''''</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w:t>
            </w:r>
            <w:r w:rsidRPr="00CB2289">
              <w:rPr>
                <w:rFonts w:ascii="Arial Narrow" w:hAnsi="Arial Narrow"/>
                <w:sz w:val="20"/>
              </w:rPr>
              <w:t>0</w:t>
            </w:r>
          </w:p>
        </w:tc>
        <w:tc>
          <w:tcPr>
            <w:tcW w:w="1008" w:type="pct"/>
          </w:tcPr>
          <w:p w:rsidR="00FB3184" w:rsidRPr="004E2ADC" w:rsidRDefault="00FB3184" w:rsidP="007473B7">
            <w:pPr>
              <w:widowControl/>
              <w:jc w:val="center"/>
              <w:rPr>
                <w:rFonts w:ascii="Arial Narrow" w:hAnsi="Arial Narrow"/>
                <w:sz w:val="20"/>
              </w:rPr>
            </w:pPr>
            <w:r>
              <w:rPr>
                <w:rFonts w:ascii="Arial Narrow" w:hAnsi="Arial Narrow"/>
                <w:sz w:val="20"/>
              </w:rPr>
              <w:t>$</w:t>
            </w:r>
            <w:r w:rsidR="005B64CC">
              <w:rPr>
                <w:rFonts w:ascii="Arial Narrow" w:hAnsi="Arial Narrow"/>
                <w:noProof/>
                <w:color w:val="000000"/>
                <w:sz w:val="20"/>
                <w:highlight w:val="black"/>
              </w:rPr>
              <w:t>'''''''''''''</w:t>
            </w:r>
          </w:p>
        </w:tc>
      </w:tr>
      <w:tr w:rsidR="00FB3184" w:rsidRPr="004E2ADC" w:rsidTr="004E76E0">
        <w:tc>
          <w:tcPr>
            <w:tcW w:w="2119" w:type="pct"/>
          </w:tcPr>
          <w:p w:rsidR="00FB3184" w:rsidRPr="004E2ADC" w:rsidRDefault="00FB3184" w:rsidP="007473B7">
            <w:pPr>
              <w:widowControl/>
              <w:rPr>
                <w:rFonts w:ascii="Arial Narrow" w:hAnsi="Arial Narrow"/>
                <w:sz w:val="20"/>
              </w:rPr>
            </w:pPr>
            <w:r>
              <w:rPr>
                <w:rFonts w:ascii="Arial Narrow" w:hAnsi="Arial Narrow"/>
                <w:sz w:val="20"/>
              </w:rPr>
              <w:t>reduction in mean ammonia (µmol/L) – total OA</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354</w:t>
            </w:r>
          </w:p>
        </w:tc>
        <w:tc>
          <w:tcPr>
            <w:tcW w:w="936" w:type="pct"/>
          </w:tcPr>
          <w:p w:rsidR="00FB3184" w:rsidRPr="004E2ADC" w:rsidRDefault="00FB3184" w:rsidP="007473B7">
            <w:pPr>
              <w:widowControl/>
              <w:jc w:val="center"/>
              <w:rPr>
                <w:rFonts w:ascii="Arial Narrow" w:hAnsi="Arial Narrow"/>
                <w:sz w:val="20"/>
              </w:rPr>
            </w:pPr>
            <w:r>
              <w:rPr>
                <w:rFonts w:ascii="Arial Narrow" w:hAnsi="Arial Narrow"/>
                <w:sz w:val="20"/>
              </w:rPr>
              <w:t>0</w:t>
            </w:r>
          </w:p>
        </w:tc>
        <w:tc>
          <w:tcPr>
            <w:tcW w:w="1008" w:type="pct"/>
          </w:tcPr>
          <w:p w:rsidR="00FB3184" w:rsidRPr="004E2ADC" w:rsidRDefault="00FB3184" w:rsidP="007473B7">
            <w:pPr>
              <w:widowControl/>
              <w:jc w:val="center"/>
              <w:rPr>
                <w:rFonts w:ascii="Arial Narrow" w:hAnsi="Arial Narrow"/>
                <w:sz w:val="20"/>
              </w:rPr>
            </w:pPr>
            <w:r>
              <w:rPr>
                <w:rFonts w:ascii="Arial Narrow" w:hAnsi="Arial Narrow"/>
                <w:sz w:val="20"/>
              </w:rPr>
              <w:t>354</w:t>
            </w:r>
          </w:p>
        </w:tc>
      </w:tr>
      <w:tr w:rsidR="00FB3184" w:rsidRPr="004E2ADC" w:rsidTr="004E76E0">
        <w:tc>
          <w:tcPr>
            <w:tcW w:w="3992" w:type="pct"/>
            <w:gridSpan w:val="3"/>
          </w:tcPr>
          <w:p w:rsidR="00FB3184" w:rsidRPr="004E2ADC" w:rsidRDefault="00FB3184" w:rsidP="007473B7">
            <w:pPr>
              <w:widowControl/>
              <w:jc w:val="right"/>
              <w:rPr>
                <w:rFonts w:ascii="Arial Narrow" w:hAnsi="Arial Narrow"/>
                <w:b/>
                <w:sz w:val="20"/>
              </w:rPr>
            </w:pPr>
            <w:r>
              <w:rPr>
                <w:rFonts w:ascii="Arial Narrow" w:hAnsi="Arial Narrow"/>
                <w:b/>
                <w:sz w:val="20"/>
              </w:rPr>
              <w:t>Incremental cost/one µmol/L reduction in mean ammonia</w:t>
            </w:r>
          </w:p>
        </w:tc>
        <w:tc>
          <w:tcPr>
            <w:tcW w:w="1008" w:type="pct"/>
          </w:tcPr>
          <w:p w:rsidR="00FB3184" w:rsidRPr="004E2ADC" w:rsidRDefault="00FB3184" w:rsidP="007473B7">
            <w:pPr>
              <w:widowControl/>
              <w:jc w:val="center"/>
              <w:rPr>
                <w:rFonts w:ascii="Arial Narrow" w:hAnsi="Arial Narrow"/>
                <w:b/>
                <w:sz w:val="20"/>
              </w:rPr>
            </w:pPr>
            <w:r>
              <w:rPr>
                <w:rFonts w:ascii="Arial Narrow" w:hAnsi="Arial Narrow"/>
                <w:b/>
                <w:sz w:val="20"/>
              </w:rPr>
              <w:t>$</w:t>
            </w:r>
            <w:r w:rsidR="005B64CC">
              <w:rPr>
                <w:rFonts w:ascii="Arial Narrow" w:hAnsi="Arial Narrow"/>
                <w:b/>
                <w:noProof/>
                <w:color w:val="000000"/>
                <w:sz w:val="20"/>
                <w:highlight w:val="black"/>
              </w:rPr>
              <w:t>'''''</w:t>
            </w:r>
          </w:p>
        </w:tc>
      </w:tr>
    </w:tbl>
    <w:p w:rsidR="00FB3184" w:rsidRPr="000C6D40" w:rsidRDefault="00FB3184" w:rsidP="007473B7">
      <w:pPr>
        <w:widowControl/>
        <w:ind w:left="709"/>
        <w:rPr>
          <w:rFonts w:ascii="Arial Narrow" w:hAnsi="Arial Narrow"/>
          <w:sz w:val="18"/>
        </w:rPr>
      </w:pPr>
      <w:bookmarkStart w:id="15" w:name="_Toc419083737"/>
      <w:bookmarkStart w:id="16" w:name="_Toc419083846"/>
      <w:r w:rsidRPr="000C6D40">
        <w:rPr>
          <w:rFonts w:ascii="Arial Narrow" w:hAnsi="Arial Narrow"/>
          <w:sz w:val="18"/>
        </w:rPr>
        <w:t>Abbreviations: OA = organic acidaemias</w:t>
      </w:r>
      <w:bookmarkEnd w:id="15"/>
      <w:bookmarkEnd w:id="16"/>
      <w:r w:rsidR="00F977B3">
        <w:rPr>
          <w:rFonts w:ascii="Arial Narrow" w:hAnsi="Arial Narrow"/>
          <w:sz w:val="18"/>
        </w:rPr>
        <w:t xml:space="preserve">. </w:t>
      </w:r>
      <w:bookmarkStart w:id="17" w:name="_Toc419083738"/>
      <w:bookmarkStart w:id="18" w:name="_Toc419083847"/>
      <w:r w:rsidRPr="000C6D40">
        <w:rPr>
          <w:rFonts w:ascii="Arial Narrow" w:hAnsi="Arial Narrow"/>
          <w:sz w:val="18"/>
        </w:rPr>
        <w:t>Source: Tables D:7-D:8, p127 of the submission</w:t>
      </w:r>
      <w:bookmarkEnd w:id="17"/>
      <w:bookmarkEnd w:id="18"/>
    </w:p>
    <w:p w:rsidR="00FB3184" w:rsidRDefault="00FB3184" w:rsidP="007473B7">
      <w:pPr>
        <w:widowControl/>
        <w:rPr>
          <w:szCs w:val="22"/>
        </w:rPr>
      </w:pPr>
    </w:p>
    <w:p w:rsidR="00CB2289" w:rsidRPr="00CB2289" w:rsidRDefault="00CB2289" w:rsidP="00CB2289">
      <w:pPr>
        <w:widowControl/>
        <w:ind w:left="709"/>
        <w:rPr>
          <w:i/>
          <w:szCs w:val="22"/>
        </w:rPr>
      </w:pPr>
      <w:r w:rsidRPr="00CB2289">
        <w:rPr>
          <w:i/>
          <w:szCs w:val="22"/>
        </w:rPr>
        <w:t>The redacted table above</w:t>
      </w:r>
      <w:r>
        <w:rPr>
          <w:i/>
          <w:szCs w:val="22"/>
        </w:rPr>
        <w:t xml:space="preserve"> shows that the incremental cost per extra patient normalised and for one </w:t>
      </w:r>
      <w:r w:rsidRPr="00CB2289">
        <w:rPr>
          <w:i/>
          <w:szCs w:val="22"/>
        </w:rPr>
        <w:t xml:space="preserve">µmol/L reduction in mean ammonia </w:t>
      </w:r>
      <w:r>
        <w:rPr>
          <w:i/>
          <w:szCs w:val="22"/>
        </w:rPr>
        <w:t>were less than $15,000.</w:t>
      </w:r>
    </w:p>
    <w:p w:rsidR="00CB2289" w:rsidRPr="002D2676" w:rsidRDefault="00CB2289" w:rsidP="007473B7">
      <w:pPr>
        <w:widowControl/>
        <w:rPr>
          <w:szCs w:val="22"/>
        </w:rPr>
      </w:pPr>
    </w:p>
    <w:p w:rsidR="000E34B9" w:rsidRPr="00B87D6F" w:rsidRDefault="00AB6D16" w:rsidP="007473B7">
      <w:pPr>
        <w:pStyle w:val="ListParagraph"/>
        <w:widowControl/>
        <w:numPr>
          <w:ilvl w:val="1"/>
          <w:numId w:val="3"/>
        </w:numPr>
        <w:rPr>
          <w:iCs/>
          <w:szCs w:val="22"/>
        </w:rPr>
      </w:pPr>
      <w:r w:rsidRPr="00B87D6F">
        <w:rPr>
          <w:iCs/>
          <w:szCs w:val="22"/>
        </w:rPr>
        <w:t xml:space="preserve">The cost-effectiveness ratios </w:t>
      </w:r>
      <w:r w:rsidR="00F562C0" w:rsidRPr="00B87D6F">
        <w:rPr>
          <w:iCs/>
          <w:szCs w:val="22"/>
        </w:rPr>
        <w:t xml:space="preserve">estimated </w:t>
      </w:r>
      <w:r w:rsidR="00F562C0">
        <w:rPr>
          <w:iCs/>
          <w:szCs w:val="22"/>
        </w:rPr>
        <w:t>in the submission were</w:t>
      </w:r>
      <w:r w:rsidR="00F562C0" w:rsidRPr="00B87D6F">
        <w:rPr>
          <w:iCs/>
          <w:szCs w:val="22"/>
        </w:rPr>
        <w:t xml:space="preserve"> </w:t>
      </w:r>
      <w:r w:rsidRPr="00B87D6F">
        <w:rPr>
          <w:iCs/>
          <w:szCs w:val="22"/>
        </w:rPr>
        <w:t xml:space="preserve">largely uninformative </w:t>
      </w:r>
      <w:r w:rsidR="00697984">
        <w:rPr>
          <w:iCs/>
          <w:szCs w:val="22"/>
        </w:rPr>
        <w:t>due to the following issues</w:t>
      </w:r>
      <w:r w:rsidR="00E13346" w:rsidRPr="00B87D6F">
        <w:rPr>
          <w:iCs/>
          <w:szCs w:val="22"/>
        </w:rPr>
        <w:t>:</w:t>
      </w:r>
    </w:p>
    <w:p w:rsidR="000E34B9" w:rsidRPr="000E34B9" w:rsidRDefault="000E34B9" w:rsidP="007473B7">
      <w:pPr>
        <w:pStyle w:val="BodyText"/>
        <w:widowControl/>
        <w:numPr>
          <w:ilvl w:val="0"/>
          <w:numId w:val="19"/>
        </w:numPr>
        <w:ind w:left="1134" w:hanging="425"/>
      </w:pPr>
      <w:r w:rsidRPr="005511C2">
        <w:t>the submission assume</w:t>
      </w:r>
      <w:r w:rsidR="00B14441">
        <w:t>d</w:t>
      </w:r>
      <w:r w:rsidRPr="005511C2">
        <w:t xml:space="preserve"> that the reduction in ammonia levels was solely attributable to carglumic acid, where patients in the studies were treated with a variety of additional therapies;</w:t>
      </w:r>
    </w:p>
    <w:p w:rsidR="00533F37" w:rsidRPr="000E34B9" w:rsidRDefault="000E34B9" w:rsidP="007473B7">
      <w:pPr>
        <w:pStyle w:val="BodyText"/>
        <w:widowControl/>
        <w:numPr>
          <w:ilvl w:val="0"/>
          <w:numId w:val="19"/>
        </w:numPr>
        <w:ind w:left="1134" w:hanging="425"/>
      </w:pPr>
      <w:r w:rsidRPr="000E34B9">
        <w:t xml:space="preserve">these surrogate outcomes </w:t>
      </w:r>
      <w:r w:rsidR="00B14441">
        <w:t xml:space="preserve">were not </w:t>
      </w:r>
      <w:r w:rsidRPr="000E34B9">
        <w:t>formally linked to clinically relevant outcomes such as life years gained</w:t>
      </w:r>
      <w:r w:rsidR="00861906">
        <w:t xml:space="preserve"> </w:t>
      </w:r>
      <w:r w:rsidR="00861906" w:rsidRPr="004658FA">
        <w:t>and a review of the relationship undertaken during the evaluation found it was unclear and subject to inherent bias</w:t>
      </w:r>
      <w:r w:rsidR="00A35C15" w:rsidRPr="004658FA">
        <w:t xml:space="preserve">; </w:t>
      </w:r>
      <w:r w:rsidR="00A35C15" w:rsidRPr="008045D8">
        <w:t>and</w:t>
      </w:r>
    </w:p>
    <w:p w:rsidR="000E34B9" w:rsidRDefault="000E34B9" w:rsidP="007473B7">
      <w:pPr>
        <w:pStyle w:val="BodyText"/>
        <w:widowControl/>
        <w:numPr>
          <w:ilvl w:val="0"/>
          <w:numId w:val="19"/>
        </w:numPr>
        <w:ind w:left="1134" w:hanging="425"/>
      </w:pPr>
      <w:r w:rsidRPr="000E34B9">
        <w:t xml:space="preserve">the results </w:t>
      </w:r>
      <w:r w:rsidR="006C2B42">
        <w:t>were</w:t>
      </w:r>
      <w:r w:rsidR="006C2B42" w:rsidRPr="000E34B9">
        <w:t xml:space="preserve"> </w:t>
      </w:r>
      <w:r w:rsidRPr="000E34B9">
        <w:t>unreliable due to uncertainty regarding carglumic acid costs as there was a wide variation around average patient weight and treatment duration</w:t>
      </w:r>
      <w:r w:rsidR="00A35C15">
        <w:t>.</w:t>
      </w:r>
    </w:p>
    <w:p w:rsidR="00B835E4" w:rsidRDefault="00B835E4" w:rsidP="007473B7">
      <w:pPr>
        <w:pStyle w:val="BodyText"/>
        <w:widowControl/>
        <w:rPr>
          <w:i/>
        </w:rPr>
      </w:pPr>
    </w:p>
    <w:p w:rsidR="00453D83" w:rsidRPr="004658FA" w:rsidRDefault="00453D83" w:rsidP="007473B7">
      <w:pPr>
        <w:pStyle w:val="ListParagraph"/>
        <w:widowControl/>
        <w:numPr>
          <w:ilvl w:val="1"/>
          <w:numId w:val="3"/>
        </w:numPr>
      </w:pPr>
      <w:r w:rsidRPr="004658FA">
        <w:t>The ESC considered that if any patients were being treated in an outpatient setting, and therefore would be eligible to access the drug through the PBS, it would likely be older children as infants are more likely to be treated in an inpatient setting. This reasoning is based on a study by Evans et al (2007), which found that better survival was associated with the age of infants when they experienced their first decompensation episode, (that is, older infants were more likely to survive). Therefore if older infants and children are more likely to survive perhaps they are more likely to be treated as outpatients than infants. Accordingly, if older children are more likely to be treated on an outpatient basis then this is likely to result in higher average drug costs (in line with the higher average weight) for the PBS population, compared with patients that receive the drug while admitted to hospital. However the proportion of infants versus older children and adults likely to be treated as outpatients is currently unknown</w:t>
      </w:r>
      <w:r w:rsidR="00A32C91" w:rsidRPr="004658FA">
        <w:t>, and it is was not clear how the submission had proposed the 50</w:t>
      </w:r>
      <w:r w:rsidR="008F6CE9" w:rsidRPr="004658FA">
        <w:t>:</w:t>
      </w:r>
      <w:r w:rsidR="00A32C91" w:rsidRPr="004658FA">
        <w:t>50 distribution between infants and children</w:t>
      </w:r>
      <w:r w:rsidRPr="004658FA">
        <w:t>.</w:t>
      </w:r>
    </w:p>
    <w:p w:rsidR="000E34B9" w:rsidRPr="00533F37" w:rsidRDefault="000E34B9" w:rsidP="007473B7">
      <w:pPr>
        <w:widowControl/>
        <w:rPr>
          <w:i/>
          <w:iCs/>
          <w:szCs w:val="22"/>
        </w:rPr>
      </w:pPr>
    </w:p>
    <w:p w:rsidR="000E34B9" w:rsidRPr="00B87D6F" w:rsidRDefault="00A37FF2" w:rsidP="007473B7">
      <w:pPr>
        <w:pStyle w:val="ListParagraph"/>
        <w:widowControl/>
        <w:numPr>
          <w:ilvl w:val="1"/>
          <w:numId w:val="3"/>
        </w:numPr>
        <w:rPr>
          <w:iCs/>
          <w:szCs w:val="22"/>
        </w:rPr>
      </w:pPr>
      <w:r w:rsidRPr="00B87D6F">
        <w:rPr>
          <w:iCs/>
          <w:szCs w:val="22"/>
        </w:rPr>
        <w:t xml:space="preserve">The </w:t>
      </w:r>
      <w:r w:rsidRPr="00B87D6F">
        <w:rPr>
          <w:iCs/>
        </w:rPr>
        <w:t>results of the sensitivity analyses indicate</w:t>
      </w:r>
      <w:r w:rsidR="00533F37">
        <w:rPr>
          <w:iCs/>
        </w:rPr>
        <w:t>d</w:t>
      </w:r>
      <w:r w:rsidRPr="00B87D6F">
        <w:rPr>
          <w:iCs/>
        </w:rPr>
        <w:t xml:space="preserve"> that the model </w:t>
      </w:r>
      <w:r w:rsidR="00697984">
        <w:rPr>
          <w:iCs/>
        </w:rPr>
        <w:t>was</w:t>
      </w:r>
      <w:r w:rsidR="00697984" w:rsidRPr="00B87D6F">
        <w:rPr>
          <w:iCs/>
        </w:rPr>
        <w:t xml:space="preserve"> </w:t>
      </w:r>
      <w:r w:rsidRPr="00B87D6F">
        <w:rPr>
          <w:iCs/>
        </w:rPr>
        <w:t xml:space="preserve">most sensitive to the average weight based on the assumed age distribution of the treated population, and the treatment duration for carglumic acid. </w:t>
      </w:r>
    </w:p>
    <w:p w:rsidR="00C25D9C" w:rsidRDefault="00C25D9C" w:rsidP="007473B7">
      <w:pPr>
        <w:widowControl/>
        <w:rPr>
          <w:szCs w:val="22"/>
        </w:rPr>
      </w:pPr>
    </w:p>
    <w:p w:rsidR="00C25D9C" w:rsidRPr="002C2775" w:rsidRDefault="008A4758" w:rsidP="007473B7">
      <w:pPr>
        <w:pStyle w:val="Heading2"/>
        <w:keepNext/>
        <w:widowControl/>
        <w:rPr>
          <w:i/>
          <w:szCs w:val="22"/>
        </w:rPr>
      </w:pPr>
      <w:bookmarkStart w:id="19" w:name="_Toc419464754"/>
      <w:r>
        <w:rPr>
          <w:i/>
        </w:rPr>
        <w:t>Drug cost/patient/course</w:t>
      </w:r>
      <w:r w:rsidR="00C25D9C" w:rsidRPr="002C2775">
        <w:rPr>
          <w:i/>
        </w:rPr>
        <w:t>:</w:t>
      </w:r>
      <w:bookmarkEnd w:id="19"/>
      <w:r w:rsidR="00C25D9C" w:rsidRPr="002C2775">
        <w:rPr>
          <w:i/>
        </w:rPr>
        <w:t xml:space="preserve"> </w:t>
      </w:r>
      <w:r w:rsidR="00AC2635">
        <w:rPr>
          <w:i/>
        </w:rPr>
        <w:t>$</w:t>
      </w:r>
      <w:r w:rsidR="005B64CC">
        <w:rPr>
          <w:i/>
          <w:noProof/>
          <w:color w:val="000000"/>
          <w:highlight w:val="black"/>
        </w:rPr>
        <w:t>'''''''''''</w:t>
      </w:r>
    </w:p>
    <w:p w:rsidR="00C25D9C" w:rsidRPr="00C25D9C" w:rsidRDefault="00C25D9C" w:rsidP="007473B7">
      <w:pPr>
        <w:keepNext/>
        <w:widowControl/>
        <w:rPr>
          <w:szCs w:val="22"/>
        </w:rPr>
      </w:pPr>
    </w:p>
    <w:p w:rsidR="00B60939" w:rsidRPr="009E232D" w:rsidRDefault="009E232D" w:rsidP="007473B7">
      <w:pPr>
        <w:pStyle w:val="ListParagraph"/>
        <w:widowControl/>
        <w:numPr>
          <w:ilvl w:val="1"/>
          <w:numId w:val="3"/>
        </w:numPr>
        <w:rPr>
          <w:szCs w:val="22"/>
        </w:rPr>
      </w:pPr>
      <w:r w:rsidRPr="009E232D">
        <w:rPr>
          <w:szCs w:val="22"/>
        </w:rPr>
        <w:t>$</w:t>
      </w:r>
      <w:r w:rsidR="005B64CC">
        <w:rPr>
          <w:noProof/>
          <w:color w:val="000000"/>
          <w:szCs w:val="22"/>
          <w:highlight w:val="black"/>
        </w:rPr>
        <w:t>'''''''''''''</w:t>
      </w:r>
      <w:r w:rsidR="00C25D9C" w:rsidRPr="009E232D">
        <w:rPr>
          <w:szCs w:val="22"/>
        </w:rPr>
        <w:t xml:space="preserve"> per patient per course</w:t>
      </w:r>
      <w:r w:rsidR="003430B6">
        <w:rPr>
          <w:szCs w:val="22"/>
        </w:rPr>
        <w:t xml:space="preserve"> per </w:t>
      </w:r>
      <w:r w:rsidR="00F977B3">
        <w:rPr>
          <w:szCs w:val="22"/>
        </w:rPr>
        <w:t>organic acidaemia</w:t>
      </w:r>
      <w:r w:rsidR="00F977B3" w:rsidRPr="009E232D">
        <w:rPr>
          <w:szCs w:val="22"/>
        </w:rPr>
        <w:t xml:space="preserve"> </w:t>
      </w:r>
      <w:r w:rsidRPr="009E232D">
        <w:rPr>
          <w:szCs w:val="22"/>
        </w:rPr>
        <w:t>decompensation episode</w:t>
      </w:r>
      <w:r w:rsidR="003430B6">
        <w:rPr>
          <w:szCs w:val="22"/>
        </w:rPr>
        <w:t>,</w:t>
      </w:r>
      <w:r w:rsidRPr="009E232D">
        <w:rPr>
          <w:szCs w:val="22"/>
        </w:rPr>
        <w:t xml:space="preserve"> assuming an average patient weight of 20.15 kg, treatment duration of </w:t>
      </w:r>
      <w:r w:rsidR="00DC0BD5">
        <w:rPr>
          <w:szCs w:val="22"/>
        </w:rPr>
        <w:t>five</w:t>
      </w:r>
      <w:r w:rsidRPr="009E232D">
        <w:rPr>
          <w:szCs w:val="22"/>
        </w:rPr>
        <w:t xml:space="preserve"> days and no wastage</w:t>
      </w:r>
      <w:r w:rsidR="00C25D9C" w:rsidRPr="009E232D">
        <w:rPr>
          <w:szCs w:val="22"/>
        </w:rPr>
        <w:t>.</w:t>
      </w:r>
    </w:p>
    <w:p w:rsidR="00345100" w:rsidRPr="006215CE" w:rsidRDefault="00345100" w:rsidP="007473B7">
      <w:pPr>
        <w:widowControl/>
        <w:rPr>
          <w:szCs w:val="22"/>
        </w:rPr>
      </w:pPr>
    </w:p>
    <w:p w:rsidR="00B60939" w:rsidRPr="002C2775" w:rsidRDefault="00B60939" w:rsidP="007473B7">
      <w:pPr>
        <w:pStyle w:val="Heading2"/>
        <w:widowControl/>
        <w:rPr>
          <w:i/>
        </w:rPr>
      </w:pPr>
      <w:bookmarkStart w:id="20" w:name="_Toc419464755"/>
      <w:r w:rsidRPr="002C2775">
        <w:rPr>
          <w:i/>
        </w:rPr>
        <w:t>Estimated PBS usage &amp; financial implications</w:t>
      </w:r>
      <w:bookmarkEnd w:id="20"/>
    </w:p>
    <w:p w:rsidR="00B60939" w:rsidRPr="00882085" w:rsidRDefault="00B60939" w:rsidP="007473B7">
      <w:pPr>
        <w:widowControl/>
        <w:ind w:left="720" w:hanging="720"/>
        <w:rPr>
          <w:b/>
          <w:i/>
          <w:szCs w:val="22"/>
        </w:rPr>
      </w:pPr>
    </w:p>
    <w:p w:rsidR="004E48C4" w:rsidRPr="004E48C4" w:rsidRDefault="00270B4C" w:rsidP="007473B7">
      <w:pPr>
        <w:pStyle w:val="ListParagraph"/>
        <w:widowControl/>
        <w:numPr>
          <w:ilvl w:val="1"/>
          <w:numId w:val="3"/>
        </w:numPr>
        <w:ind w:left="709"/>
        <w:rPr>
          <w:szCs w:val="22"/>
        </w:rPr>
      </w:pPr>
      <w:r>
        <w:t xml:space="preserve">This submission </w:t>
      </w:r>
      <w:r w:rsidR="00CD2EAC">
        <w:t>was not</w:t>
      </w:r>
      <w:r w:rsidR="00C25D9C">
        <w:t xml:space="preserve"> considered by DUSC</w:t>
      </w:r>
      <w:r w:rsidR="00C25D9C" w:rsidRPr="008A50B4">
        <w:rPr>
          <w:color w:val="0070C0"/>
        </w:rPr>
        <w:t>.</w:t>
      </w:r>
      <w:r w:rsidR="007F20A2">
        <w:rPr>
          <w:color w:val="0070C0"/>
        </w:rPr>
        <w:t xml:space="preserve"> </w:t>
      </w:r>
      <w:r w:rsidR="008A50B4" w:rsidRPr="008A50B4">
        <w:t xml:space="preserve">The submission </w:t>
      </w:r>
      <w:r w:rsidR="008A50B4" w:rsidRPr="00CD2EAC">
        <w:rPr>
          <w:iCs/>
        </w:rPr>
        <w:t>reasonably</w:t>
      </w:r>
      <w:r w:rsidR="008A50B4" w:rsidRPr="00CD2EAC">
        <w:t xml:space="preserve"> </w:t>
      </w:r>
      <w:r w:rsidR="008A50B4" w:rsidRPr="008A50B4">
        <w:t>used an epidemiological approach</w:t>
      </w:r>
      <w:r w:rsidR="008A50B4">
        <w:t xml:space="preserve"> based on the incidence of </w:t>
      </w:r>
      <w:r w:rsidR="00F977B3">
        <w:rPr>
          <w:szCs w:val="22"/>
        </w:rPr>
        <w:t>organic acidaemia</w:t>
      </w:r>
      <w:r w:rsidR="00F977B3" w:rsidDel="00F977B3">
        <w:t xml:space="preserve"> </w:t>
      </w:r>
      <w:r w:rsidR="008A50B4">
        <w:t>decompensation episodes in Victoria,</w:t>
      </w:r>
      <w:r w:rsidR="008A50B4" w:rsidRPr="008A50B4">
        <w:t xml:space="preserve"> to estimate the extent of use and financial implications of the requested listing for carglumic acid</w:t>
      </w:r>
      <w:r w:rsidR="004E76E0">
        <w:t xml:space="preserve">, summarised in Table </w:t>
      </w:r>
      <w:r w:rsidR="00A95810">
        <w:t>6</w:t>
      </w:r>
      <w:r w:rsidR="004E76E0">
        <w:t>.</w:t>
      </w:r>
    </w:p>
    <w:p w:rsidR="004E48C4" w:rsidRPr="00345100" w:rsidRDefault="004E48C4" w:rsidP="007473B7">
      <w:pPr>
        <w:pStyle w:val="ListParagraph"/>
        <w:widowControl/>
        <w:ind w:left="709"/>
        <w:rPr>
          <w:szCs w:val="22"/>
        </w:rPr>
      </w:pPr>
    </w:p>
    <w:p w:rsidR="00A1235A" w:rsidRPr="00A1235A" w:rsidRDefault="00A37FF2" w:rsidP="007473B7">
      <w:pPr>
        <w:pStyle w:val="ListParagraph"/>
        <w:widowControl/>
        <w:numPr>
          <w:ilvl w:val="1"/>
          <w:numId w:val="3"/>
        </w:numPr>
        <w:ind w:left="709"/>
        <w:rPr>
          <w:szCs w:val="22"/>
        </w:rPr>
      </w:pPr>
      <w:r w:rsidRPr="00B87D6F">
        <w:t>The submission’s estimate of the number of episodes</w:t>
      </w:r>
      <w:r w:rsidR="005A16C7">
        <w:t xml:space="preserve"> per </w:t>
      </w:r>
      <w:r w:rsidRPr="00B87D6F">
        <w:t xml:space="preserve">year likely to be treated is based on the number of </w:t>
      </w:r>
      <w:r w:rsidR="00F977B3">
        <w:rPr>
          <w:szCs w:val="22"/>
        </w:rPr>
        <w:t>organic acidaemia</w:t>
      </w:r>
      <w:r w:rsidR="00F977B3" w:rsidRPr="00B87D6F" w:rsidDel="00F977B3">
        <w:t xml:space="preserve"> </w:t>
      </w:r>
      <w:r w:rsidRPr="00B87D6F">
        <w:t>decompensation episodes in Victoria from personal communication with a clinician, assumed to be correlated with population size in Australia.</w:t>
      </w:r>
      <w:r w:rsidR="007F20A2">
        <w:t xml:space="preserve"> </w:t>
      </w:r>
      <w:r w:rsidRPr="00B87D6F">
        <w:t xml:space="preserve">Whether this is an over- or under-estimate </w:t>
      </w:r>
      <w:r w:rsidR="00A1235A">
        <w:t>wa</w:t>
      </w:r>
      <w:r w:rsidRPr="00B87D6F">
        <w:t xml:space="preserve">s unknown because the number of episodes </w:t>
      </w:r>
      <w:r w:rsidR="00A1235A">
        <w:t>could not</w:t>
      </w:r>
      <w:r w:rsidR="00A1235A" w:rsidRPr="00B87D6F">
        <w:t xml:space="preserve"> </w:t>
      </w:r>
      <w:r w:rsidRPr="00B87D6F">
        <w:t>be independently verified.</w:t>
      </w:r>
      <w:r w:rsidR="0042797A">
        <w:t xml:space="preserve"> </w:t>
      </w:r>
    </w:p>
    <w:p w:rsidR="00A1235A" w:rsidRPr="00A1235A" w:rsidRDefault="00A1235A" w:rsidP="007473B7">
      <w:pPr>
        <w:pStyle w:val="ListParagraph"/>
        <w:widowControl/>
        <w:rPr>
          <w:i/>
        </w:rPr>
      </w:pPr>
    </w:p>
    <w:p w:rsidR="00CE0A90" w:rsidRPr="004658FA" w:rsidRDefault="00CE0A90" w:rsidP="007473B7">
      <w:pPr>
        <w:pStyle w:val="ListParagraph"/>
        <w:widowControl/>
        <w:numPr>
          <w:ilvl w:val="1"/>
          <w:numId w:val="3"/>
        </w:numPr>
        <w:ind w:left="709"/>
        <w:rPr>
          <w:szCs w:val="22"/>
        </w:rPr>
      </w:pPr>
      <w:r w:rsidRPr="004658FA">
        <w:t xml:space="preserve">The ESC noted that it was unclear </w:t>
      </w:r>
      <w:r w:rsidR="00A1235A" w:rsidRPr="004658FA">
        <w:t xml:space="preserve">if there are any </w:t>
      </w:r>
      <w:r w:rsidRPr="004658FA">
        <w:t xml:space="preserve">patients </w:t>
      </w:r>
      <w:r w:rsidR="00DC0BD5">
        <w:t>who</w:t>
      </w:r>
      <w:r w:rsidR="00DC0BD5" w:rsidRPr="004658FA">
        <w:t xml:space="preserve"> </w:t>
      </w:r>
      <w:r w:rsidRPr="004658FA">
        <w:t xml:space="preserve">are not currently accessing treatment who need it </w:t>
      </w:r>
      <w:r w:rsidR="00A1235A" w:rsidRPr="004658FA">
        <w:t xml:space="preserve">or </w:t>
      </w:r>
      <w:r w:rsidRPr="004658FA">
        <w:t xml:space="preserve">how many </w:t>
      </w:r>
      <w:r w:rsidR="00A1235A" w:rsidRPr="004658FA">
        <w:t xml:space="preserve">may be </w:t>
      </w:r>
      <w:r w:rsidRPr="004658FA">
        <w:t xml:space="preserve">paying privately for such treatment. </w:t>
      </w:r>
      <w:r w:rsidR="00CB2289">
        <w:t>The PSCR</w:t>
      </w:r>
      <w:r w:rsidR="00A1235A" w:rsidRPr="004658FA">
        <w:t xml:space="preserve"> claimed that carglumic acid is funded by public hospitals and patients which results in a financial burden to both groups as well as under-use due to the cost. </w:t>
      </w:r>
      <w:r w:rsidR="00A1235A" w:rsidRPr="004658FA">
        <w:rPr>
          <w:color w:val="000000" w:themeColor="text1"/>
          <w:szCs w:val="22"/>
        </w:rPr>
        <w:t>The ESC noted that this barrier to access for patients was not substantiated in either the submission or the PSCR and was unlikely to be the case for the majority of patients who would be treated while admitted to a public hospital.</w:t>
      </w:r>
    </w:p>
    <w:p w:rsidR="00345100" w:rsidRPr="00345100" w:rsidRDefault="00345100" w:rsidP="007473B7">
      <w:pPr>
        <w:widowControl/>
        <w:rPr>
          <w:b/>
        </w:rPr>
      </w:pPr>
    </w:p>
    <w:p w:rsidR="00C25D9C" w:rsidRDefault="00C25D9C" w:rsidP="007473B7">
      <w:pPr>
        <w:keepNext/>
        <w:widowControl/>
        <w:ind w:firstLine="709"/>
        <w:rPr>
          <w:rStyle w:val="CommentReference"/>
        </w:rPr>
      </w:pPr>
      <w:r w:rsidRPr="001222FC">
        <w:rPr>
          <w:rStyle w:val="CommentReference"/>
        </w:rPr>
        <w:t xml:space="preserve">Table </w:t>
      </w:r>
      <w:r w:rsidR="00A95810">
        <w:rPr>
          <w:rStyle w:val="CommentReference"/>
        </w:rPr>
        <w:t>6</w:t>
      </w:r>
      <w:r w:rsidR="004E76E0" w:rsidRPr="001222FC">
        <w:rPr>
          <w:rStyle w:val="CommentReference"/>
        </w:rPr>
        <w:t xml:space="preserve">: </w:t>
      </w: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C25D9C" w:rsidRPr="004E2ADC" w:rsidTr="005D044D">
        <w:trPr>
          <w:tblHeader/>
        </w:trPr>
        <w:tc>
          <w:tcPr>
            <w:tcW w:w="1359" w:type="pct"/>
            <w:shd w:val="clear" w:color="auto" w:fill="auto"/>
            <w:vAlign w:val="center"/>
          </w:tcPr>
          <w:p w:rsidR="00C25D9C" w:rsidRPr="004E2ADC" w:rsidRDefault="00C25D9C" w:rsidP="007473B7">
            <w:pPr>
              <w:keepNext/>
              <w:widowControl/>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7473B7">
            <w:pPr>
              <w:keepNext/>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7473B7">
            <w:pPr>
              <w:keepNext/>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7473B7">
            <w:pPr>
              <w:keepNext/>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7473B7">
            <w:pPr>
              <w:keepNext/>
              <w:widowControl/>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7473B7">
            <w:pPr>
              <w:keepNext/>
              <w:widowControl/>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7473B7">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3A496D" w:rsidRPr="004E2ADC" w:rsidTr="005D044D">
        <w:tc>
          <w:tcPr>
            <w:tcW w:w="1359" w:type="pct"/>
            <w:shd w:val="clear" w:color="auto" w:fill="auto"/>
            <w:vAlign w:val="center"/>
          </w:tcPr>
          <w:p w:rsidR="003A496D" w:rsidRPr="004E2ADC" w:rsidRDefault="003A496D" w:rsidP="007473B7">
            <w:pPr>
              <w:keepNext/>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center"/>
          </w:tcPr>
          <w:p w:rsidR="003A496D" w:rsidRPr="005B64CC" w:rsidRDefault="005B64CC" w:rsidP="007473B7">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3A496D" w:rsidRPr="005B64CC" w:rsidRDefault="005B64CC" w:rsidP="007473B7">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3A496D" w:rsidRPr="005B64CC" w:rsidRDefault="005B64CC" w:rsidP="007473B7">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3A496D" w:rsidRPr="005B64CC" w:rsidRDefault="005B64CC" w:rsidP="007473B7">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3A496D" w:rsidRPr="005B64CC" w:rsidRDefault="005B64CC" w:rsidP="007473B7">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25D9C" w:rsidRPr="004E2ADC" w:rsidTr="005D044D">
        <w:tc>
          <w:tcPr>
            <w:tcW w:w="1359" w:type="pct"/>
            <w:shd w:val="clear" w:color="auto" w:fill="auto"/>
            <w:vAlign w:val="center"/>
          </w:tcPr>
          <w:p w:rsidR="00C25D9C" w:rsidRPr="004E2ADC" w:rsidRDefault="00C25D9C" w:rsidP="007473B7">
            <w:pPr>
              <w:keepNext/>
              <w:widowControl/>
              <w:tabs>
                <w:tab w:val="left" w:pos="142"/>
              </w:tabs>
              <w:jc w:val="left"/>
              <w:rPr>
                <w:rFonts w:ascii="Arial Narrow" w:hAnsi="Arial Narrow"/>
                <w:sz w:val="20"/>
              </w:rPr>
            </w:pPr>
            <w:r w:rsidRPr="004E2ADC">
              <w:rPr>
                <w:rFonts w:ascii="Arial Narrow" w:hAnsi="Arial Narrow"/>
                <w:sz w:val="20"/>
              </w:rPr>
              <w:t>Market share</w:t>
            </w:r>
          </w:p>
        </w:tc>
        <w:tc>
          <w:tcPr>
            <w:tcW w:w="679" w:type="pct"/>
            <w:shd w:val="clear" w:color="auto" w:fill="auto"/>
            <w:vAlign w:val="center"/>
          </w:tcPr>
          <w:p w:rsidR="00C25D9C" w:rsidRPr="004E2ADC" w:rsidRDefault="005B64CC" w:rsidP="007473B7">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679" w:type="pct"/>
            <w:shd w:val="clear" w:color="auto" w:fill="auto"/>
            <w:vAlign w:val="center"/>
          </w:tcPr>
          <w:p w:rsidR="00C25D9C" w:rsidRPr="004E2ADC" w:rsidRDefault="005B64CC" w:rsidP="007473B7">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64" w:type="pct"/>
            <w:shd w:val="clear" w:color="auto" w:fill="auto"/>
            <w:vAlign w:val="center"/>
          </w:tcPr>
          <w:p w:rsidR="00C25D9C" w:rsidRPr="004E2ADC" w:rsidRDefault="005B64CC" w:rsidP="007473B7">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64" w:type="pct"/>
            <w:shd w:val="clear" w:color="auto" w:fill="auto"/>
            <w:vAlign w:val="center"/>
          </w:tcPr>
          <w:p w:rsidR="00C25D9C" w:rsidRPr="004E2ADC" w:rsidRDefault="005B64CC" w:rsidP="007473B7">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c>
          <w:tcPr>
            <w:tcW w:w="755" w:type="pct"/>
            <w:shd w:val="clear" w:color="auto" w:fill="auto"/>
            <w:vAlign w:val="center"/>
          </w:tcPr>
          <w:p w:rsidR="00C25D9C" w:rsidRPr="004E2ADC" w:rsidRDefault="005B64CC" w:rsidP="007473B7">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C25D9C" w:rsidRPr="004E2ADC">
              <w:rPr>
                <w:rFonts w:ascii="Arial Narrow" w:hAnsi="Arial Narrow"/>
                <w:bCs/>
                <w:color w:val="000000"/>
                <w:sz w:val="20"/>
              </w:rPr>
              <w:t>%</w:t>
            </w:r>
          </w:p>
        </w:tc>
      </w:tr>
      <w:tr w:rsidR="00C25D9C" w:rsidRPr="004E2ADC" w:rsidTr="005D044D">
        <w:tc>
          <w:tcPr>
            <w:tcW w:w="1359" w:type="pct"/>
            <w:shd w:val="clear" w:color="auto" w:fill="auto"/>
            <w:vAlign w:val="center"/>
          </w:tcPr>
          <w:p w:rsidR="00C25D9C" w:rsidRPr="004E2ADC" w:rsidRDefault="001C63A5" w:rsidP="007473B7">
            <w:pPr>
              <w:keepNext/>
              <w:widowControl/>
              <w:tabs>
                <w:tab w:val="left" w:pos="142"/>
              </w:tabs>
              <w:jc w:val="left"/>
              <w:rPr>
                <w:rFonts w:ascii="Arial Narrow" w:hAnsi="Arial Narrow"/>
                <w:sz w:val="20"/>
              </w:rPr>
            </w:pPr>
            <w:r>
              <w:rPr>
                <w:rFonts w:ascii="Arial Narrow" w:hAnsi="Arial Narrow"/>
                <w:sz w:val="20"/>
              </w:rPr>
              <w:t>Bottles</w:t>
            </w:r>
            <w:r w:rsidR="00C25D9C" w:rsidRPr="004E2ADC">
              <w:rPr>
                <w:rFonts w:ascii="Arial Narrow" w:hAnsi="Arial Narrow"/>
                <w:sz w:val="20"/>
                <w:vertAlign w:val="superscript"/>
              </w:rPr>
              <w:t>a</w:t>
            </w:r>
          </w:p>
        </w:tc>
        <w:tc>
          <w:tcPr>
            <w:tcW w:w="679" w:type="pct"/>
            <w:shd w:val="clear" w:color="auto" w:fill="auto"/>
            <w:vAlign w:val="center"/>
          </w:tcPr>
          <w:p w:rsidR="00C25D9C" w:rsidRPr="005B64CC" w:rsidRDefault="005B64CC" w:rsidP="007473B7">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25D9C" w:rsidRPr="005B64CC" w:rsidRDefault="005B64CC" w:rsidP="007473B7">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5B64CC" w:rsidRDefault="005B64CC" w:rsidP="007473B7">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5B64CC" w:rsidRDefault="005B64CC" w:rsidP="007473B7">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C25D9C" w:rsidRPr="005B64CC" w:rsidRDefault="005B64CC" w:rsidP="007473B7">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5D044D">
        <w:tc>
          <w:tcPr>
            <w:tcW w:w="5000" w:type="pct"/>
            <w:gridSpan w:val="6"/>
            <w:shd w:val="clear" w:color="auto" w:fill="auto"/>
            <w:vAlign w:val="center"/>
          </w:tcPr>
          <w:p w:rsidR="00C25D9C" w:rsidRPr="004E2ADC" w:rsidRDefault="00C25D9C" w:rsidP="007473B7">
            <w:pPr>
              <w:keepNext/>
              <w:widowControl/>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862A41" w:rsidRPr="004E2ADC" w:rsidTr="005D044D">
        <w:tc>
          <w:tcPr>
            <w:tcW w:w="1359" w:type="pct"/>
            <w:shd w:val="clear" w:color="auto" w:fill="auto"/>
            <w:vAlign w:val="center"/>
          </w:tcPr>
          <w:p w:rsidR="00862A41" w:rsidRPr="004E2ADC" w:rsidRDefault="00862A41" w:rsidP="007473B7">
            <w:pPr>
              <w:keepNext/>
              <w:widowControl/>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center"/>
          </w:tcPr>
          <w:p w:rsidR="00862A41" w:rsidRPr="00862A41" w:rsidRDefault="00862A41" w:rsidP="007473B7">
            <w:pPr>
              <w:keepNext/>
              <w:widowControl/>
              <w:jc w:val="center"/>
              <w:rPr>
                <w:rFonts w:ascii="Arial Narrow" w:hAnsi="Arial Narrow"/>
                <w:bCs/>
                <w:color w:val="000000"/>
                <w:sz w:val="20"/>
              </w:rPr>
            </w:pPr>
            <w:r w:rsidRPr="00862A41">
              <w:rPr>
                <w:rFonts w:ascii="Arial Narrow" w:hAnsi="Arial Narrow"/>
                <w:sz w:val="20"/>
              </w:rPr>
              <w:t>$</w:t>
            </w:r>
            <w:r w:rsidR="005B64CC">
              <w:rPr>
                <w:rFonts w:ascii="Arial Narrow" w:hAnsi="Arial Narrow"/>
                <w:noProof/>
                <w:color w:val="000000"/>
                <w:sz w:val="20"/>
                <w:highlight w:val="black"/>
              </w:rPr>
              <w:t>'''''''''''''''''''</w:t>
            </w:r>
          </w:p>
        </w:tc>
        <w:tc>
          <w:tcPr>
            <w:tcW w:w="679" w:type="pct"/>
            <w:shd w:val="clear" w:color="auto" w:fill="auto"/>
            <w:vAlign w:val="center"/>
          </w:tcPr>
          <w:p w:rsidR="00862A41" w:rsidRPr="00862A41" w:rsidRDefault="00862A41" w:rsidP="007473B7">
            <w:pPr>
              <w:keepNext/>
              <w:widowControl/>
              <w:jc w:val="center"/>
              <w:rPr>
                <w:rFonts w:ascii="Arial Narrow" w:hAnsi="Arial Narrow"/>
                <w:bCs/>
                <w:color w:val="000000"/>
                <w:sz w:val="20"/>
              </w:rPr>
            </w:pPr>
            <w:r w:rsidRPr="00862A41">
              <w:rPr>
                <w:rFonts w:ascii="Arial Narrow" w:hAnsi="Arial Narrow"/>
                <w:sz w:val="20"/>
              </w:rPr>
              <w:t>$</w:t>
            </w:r>
            <w:r w:rsidR="005B64CC">
              <w:rPr>
                <w:rFonts w:ascii="Arial Narrow" w:hAnsi="Arial Narrow"/>
                <w:noProof/>
                <w:color w:val="000000"/>
                <w:sz w:val="20"/>
                <w:highlight w:val="black"/>
              </w:rPr>
              <w:t>''''''''''''''''''''''</w:t>
            </w:r>
          </w:p>
        </w:tc>
        <w:tc>
          <w:tcPr>
            <w:tcW w:w="764" w:type="pct"/>
            <w:shd w:val="clear" w:color="auto" w:fill="auto"/>
            <w:vAlign w:val="center"/>
          </w:tcPr>
          <w:p w:rsidR="00862A41" w:rsidRPr="00862A41" w:rsidRDefault="00862A41" w:rsidP="007473B7">
            <w:pPr>
              <w:keepNext/>
              <w:widowControl/>
              <w:jc w:val="center"/>
              <w:rPr>
                <w:rFonts w:ascii="Arial Narrow" w:hAnsi="Arial Narrow"/>
                <w:bCs/>
                <w:color w:val="000000"/>
                <w:sz w:val="20"/>
              </w:rPr>
            </w:pPr>
            <w:r w:rsidRPr="00862A41">
              <w:rPr>
                <w:rFonts w:ascii="Arial Narrow" w:hAnsi="Arial Narrow"/>
                <w:sz w:val="20"/>
              </w:rPr>
              <w:t>$</w:t>
            </w:r>
            <w:r w:rsidR="005B64CC">
              <w:rPr>
                <w:rFonts w:ascii="Arial Narrow" w:hAnsi="Arial Narrow"/>
                <w:noProof/>
                <w:color w:val="000000"/>
                <w:sz w:val="20"/>
                <w:highlight w:val="black"/>
              </w:rPr>
              <w:t>'''''''''''''''''</w:t>
            </w:r>
          </w:p>
        </w:tc>
        <w:tc>
          <w:tcPr>
            <w:tcW w:w="764" w:type="pct"/>
            <w:shd w:val="clear" w:color="auto" w:fill="auto"/>
            <w:vAlign w:val="center"/>
          </w:tcPr>
          <w:p w:rsidR="00862A41" w:rsidRPr="00862A41" w:rsidRDefault="00862A41" w:rsidP="007473B7">
            <w:pPr>
              <w:keepNext/>
              <w:widowControl/>
              <w:jc w:val="center"/>
              <w:rPr>
                <w:rFonts w:ascii="Arial Narrow" w:hAnsi="Arial Narrow"/>
                <w:bCs/>
                <w:color w:val="000000"/>
                <w:sz w:val="20"/>
              </w:rPr>
            </w:pPr>
            <w:r w:rsidRPr="00862A41">
              <w:rPr>
                <w:rFonts w:ascii="Arial Narrow" w:hAnsi="Arial Narrow"/>
                <w:sz w:val="20"/>
              </w:rPr>
              <w:t>$</w:t>
            </w:r>
            <w:r w:rsidR="005B64CC">
              <w:rPr>
                <w:rFonts w:ascii="Arial Narrow" w:hAnsi="Arial Narrow"/>
                <w:noProof/>
                <w:color w:val="000000"/>
                <w:sz w:val="20"/>
                <w:highlight w:val="black"/>
              </w:rPr>
              <w:t>'''''''''''''''''''''</w:t>
            </w:r>
          </w:p>
        </w:tc>
        <w:tc>
          <w:tcPr>
            <w:tcW w:w="755" w:type="pct"/>
            <w:shd w:val="clear" w:color="auto" w:fill="auto"/>
            <w:vAlign w:val="center"/>
          </w:tcPr>
          <w:p w:rsidR="00862A41" w:rsidRPr="00862A41" w:rsidRDefault="00862A41" w:rsidP="007473B7">
            <w:pPr>
              <w:keepNext/>
              <w:widowControl/>
              <w:jc w:val="center"/>
              <w:rPr>
                <w:rFonts w:ascii="Arial Narrow" w:hAnsi="Arial Narrow"/>
                <w:bCs/>
                <w:color w:val="000000"/>
                <w:sz w:val="20"/>
              </w:rPr>
            </w:pPr>
            <w:r w:rsidRPr="00862A41">
              <w:rPr>
                <w:rFonts w:ascii="Arial Narrow" w:hAnsi="Arial Narrow"/>
                <w:sz w:val="20"/>
              </w:rPr>
              <w:t>$</w:t>
            </w:r>
            <w:r w:rsidR="005B64CC">
              <w:rPr>
                <w:rFonts w:ascii="Arial Narrow" w:hAnsi="Arial Narrow"/>
                <w:noProof/>
                <w:color w:val="000000"/>
                <w:sz w:val="20"/>
                <w:highlight w:val="black"/>
              </w:rPr>
              <w:t>''''''''''''''''''</w:t>
            </w:r>
          </w:p>
        </w:tc>
      </w:tr>
      <w:tr w:rsidR="00C25D9C" w:rsidRPr="004E2ADC" w:rsidTr="005D044D">
        <w:tc>
          <w:tcPr>
            <w:tcW w:w="1359" w:type="pct"/>
            <w:shd w:val="clear" w:color="auto" w:fill="auto"/>
            <w:vAlign w:val="center"/>
          </w:tcPr>
          <w:p w:rsidR="00C25D9C" w:rsidRPr="004E2ADC" w:rsidRDefault="00C25D9C" w:rsidP="007473B7">
            <w:pPr>
              <w:keepNext/>
              <w:widowControl/>
              <w:tabs>
                <w:tab w:val="left" w:pos="142"/>
              </w:tabs>
              <w:jc w:val="left"/>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C25D9C" w:rsidRPr="004E2ADC" w:rsidRDefault="00862A41" w:rsidP="007473B7">
            <w:pPr>
              <w:keepNext/>
              <w:widowControl/>
              <w:jc w:val="center"/>
              <w:rPr>
                <w:rFonts w:ascii="Arial Narrow" w:hAnsi="Arial Narrow"/>
                <w:bCs/>
                <w:color w:val="000000"/>
                <w:sz w:val="20"/>
              </w:rPr>
            </w:pPr>
            <w:r>
              <w:rPr>
                <w:rFonts w:ascii="Arial Narrow" w:hAnsi="Arial Narrow"/>
                <w:bCs/>
                <w:sz w:val="19"/>
                <w:szCs w:val="19"/>
              </w:rPr>
              <w:t>-</w:t>
            </w:r>
          </w:p>
        </w:tc>
        <w:tc>
          <w:tcPr>
            <w:tcW w:w="679" w:type="pct"/>
            <w:shd w:val="clear" w:color="auto" w:fill="auto"/>
            <w:vAlign w:val="center"/>
          </w:tcPr>
          <w:p w:rsidR="00C25D9C" w:rsidRPr="004E2ADC" w:rsidRDefault="00862A41" w:rsidP="007473B7">
            <w:pPr>
              <w:keepNext/>
              <w:widowControl/>
              <w:jc w:val="center"/>
              <w:rPr>
                <w:rFonts w:ascii="Arial Narrow" w:hAnsi="Arial Narrow"/>
                <w:bCs/>
                <w:color w:val="000000"/>
                <w:sz w:val="20"/>
              </w:rPr>
            </w:pPr>
            <w:r>
              <w:rPr>
                <w:rFonts w:ascii="Arial Narrow" w:hAnsi="Arial Narrow"/>
                <w:bCs/>
                <w:color w:val="000000"/>
                <w:sz w:val="20"/>
              </w:rPr>
              <w:t>-</w:t>
            </w:r>
          </w:p>
        </w:tc>
        <w:tc>
          <w:tcPr>
            <w:tcW w:w="764" w:type="pct"/>
            <w:shd w:val="clear" w:color="auto" w:fill="auto"/>
            <w:vAlign w:val="center"/>
          </w:tcPr>
          <w:p w:rsidR="00C25D9C" w:rsidRPr="004E2ADC" w:rsidRDefault="00862A41" w:rsidP="007473B7">
            <w:pPr>
              <w:keepNext/>
              <w:widowControl/>
              <w:jc w:val="center"/>
              <w:rPr>
                <w:rFonts w:ascii="Arial Narrow" w:hAnsi="Arial Narrow"/>
                <w:bCs/>
                <w:color w:val="000000"/>
                <w:sz w:val="20"/>
              </w:rPr>
            </w:pPr>
            <w:r>
              <w:rPr>
                <w:rFonts w:ascii="Arial Narrow" w:hAnsi="Arial Narrow"/>
                <w:bCs/>
                <w:sz w:val="19"/>
                <w:szCs w:val="19"/>
              </w:rPr>
              <w:t>-</w:t>
            </w:r>
          </w:p>
        </w:tc>
        <w:tc>
          <w:tcPr>
            <w:tcW w:w="764" w:type="pct"/>
            <w:shd w:val="clear" w:color="auto" w:fill="auto"/>
            <w:vAlign w:val="center"/>
          </w:tcPr>
          <w:p w:rsidR="00C25D9C" w:rsidRPr="004E2ADC" w:rsidRDefault="00862A41" w:rsidP="007473B7">
            <w:pPr>
              <w:keepNext/>
              <w:widowControl/>
              <w:jc w:val="center"/>
              <w:rPr>
                <w:rFonts w:ascii="Arial Narrow" w:hAnsi="Arial Narrow"/>
                <w:bCs/>
                <w:color w:val="000000"/>
                <w:sz w:val="20"/>
              </w:rPr>
            </w:pPr>
            <w:r>
              <w:rPr>
                <w:rFonts w:ascii="Arial Narrow" w:hAnsi="Arial Narrow"/>
                <w:bCs/>
                <w:sz w:val="19"/>
                <w:szCs w:val="19"/>
              </w:rPr>
              <w:t>-</w:t>
            </w:r>
          </w:p>
        </w:tc>
        <w:tc>
          <w:tcPr>
            <w:tcW w:w="755" w:type="pct"/>
            <w:shd w:val="clear" w:color="auto" w:fill="auto"/>
            <w:vAlign w:val="center"/>
          </w:tcPr>
          <w:p w:rsidR="00C25D9C" w:rsidRPr="004E2ADC" w:rsidRDefault="00862A41" w:rsidP="007473B7">
            <w:pPr>
              <w:keepNext/>
              <w:widowControl/>
              <w:jc w:val="center"/>
              <w:rPr>
                <w:rFonts w:ascii="Arial Narrow" w:hAnsi="Arial Narrow"/>
                <w:bCs/>
                <w:color w:val="000000"/>
                <w:sz w:val="20"/>
              </w:rPr>
            </w:pPr>
            <w:r>
              <w:rPr>
                <w:rFonts w:ascii="Arial Narrow" w:hAnsi="Arial Narrow"/>
                <w:bCs/>
                <w:sz w:val="19"/>
                <w:szCs w:val="19"/>
              </w:rPr>
              <w:t>-</w:t>
            </w:r>
          </w:p>
        </w:tc>
      </w:tr>
      <w:tr w:rsidR="00C25D9C" w:rsidRPr="004E2ADC" w:rsidTr="005D044D">
        <w:tc>
          <w:tcPr>
            <w:tcW w:w="5000" w:type="pct"/>
            <w:gridSpan w:val="6"/>
            <w:shd w:val="clear" w:color="auto" w:fill="auto"/>
            <w:vAlign w:val="center"/>
          </w:tcPr>
          <w:p w:rsidR="00C25D9C" w:rsidRPr="004E2ADC" w:rsidRDefault="00C25D9C" w:rsidP="007473B7">
            <w:pPr>
              <w:keepNext/>
              <w:widowControl/>
              <w:jc w:val="left"/>
              <w:rPr>
                <w:rFonts w:ascii="Arial Narrow" w:hAnsi="Arial Narrow"/>
                <w:b/>
                <w:color w:val="000000"/>
                <w:sz w:val="20"/>
              </w:rPr>
            </w:pPr>
            <w:r w:rsidRPr="004E2ADC">
              <w:rPr>
                <w:rFonts w:ascii="Arial Narrow" w:hAnsi="Arial Narrow"/>
                <w:b/>
                <w:color w:val="000000"/>
                <w:sz w:val="20"/>
              </w:rPr>
              <w:t>Estimated total net cost</w:t>
            </w:r>
          </w:p>
        </w:tc>
      </w:tr>
      <w:tr w:rsidR="00862A41" w:rsidRPr="004E2ADC" w:rsidTr="005D044D">
        <w:tc>
          <w:tcPr>
            <w:tcW w:w="1359" w:type="pct"/>
            <w:shd w:val="clear" w:color="auto" w:fill="auto"/>
            <w:vAlign w:val="center"/>
          </w:tcPr>
          <w:p w:rsidR="00862A41" w:rsidRPr="00145540" w:rsidRDefault="00862A41" w:rsidP="007473B7">
            <w:pPr>
              <w:keepNext/>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center"/>
          </w:tcPr>
          <w:p w:rsidR="00862A41" w:rsidRPr="00862A41" w:rsidRDefault="00862A41" w:rsidP="007473B7">
            <w:pPr>
              <w:keepNext/>
              <w:widowControl/>
              <w:jc w:val="center"/>
              <w:rPr>
                <w:rFonts w:ascii="Arial Narrow" w:hAnsi="Arial Narrow"/>
                <w:b/>
                <w:bCs/>
                <w:color w:val="000000"/>
                <w:sz w:val="20"/>
              </w:rPr>
            </w:pPr>
            <w:r w:rsidRPr="00862A41">
              <w:rPr>
                <w:rFonts w:ascii="Arial Narrow" w:hAnsi="Arial Narrow"/>
                <w:b/>
                <w:bCs/>
                <w:sz w:val="20"/>
              </w:rPr>
              <w:t>$</w:t>
            </w:r>
            <w:r w:rsidR="005B64CC">
              <w:rPr>
                <w:rFonts w:ascii="Arial Narrow" w:hAnsi="Arial Narrow"/>
                <w:b/>
                <w:bCs/>
                <w:noProof/>
                <w:color w:val="000000"/>
                <w:sz w:val="20"/>
                <w:highlight w:val="black"/>
              </w:rPr>
              <w:t>'''''''''''''''''</w:t>
            </w:r>
          </w:p>
        </w:tc>
        <w:tc>
          <w:tcPr>
            <w:tcW w:w="679" w:type="pct"/>
            <w:shd w:val="clear" w:color="auto" w:fill="auto"/>
            <w:vAlign w:val="center"/>
          </w:tcPr>
          <w:p w:rsidR="00862A41" w:rsidRPr="00862A41" w:rsidRDefault="00862A41" w:rsidP="007473B7">
            <w:pPr>
              <w:keepNext/>
              <w:widowControl/>
              <w:jc w:val="center"/>
              <w:rPr>
                <w:rFonts w:ascii="Arial Narrow" w:hAnsi="Arial Narrow"/>
                <w:b/>
                <w:bCs/>
                <w:color w:val="000000"/>
                <w:sz w:val="20"/>
              </w:rPr>
            </w:pPr>
            <w:r w:rsidRPr="00862A41">
              <w:rPr>
                <w:rFonts w:ascii="Arial Narrow" w:hAnsi="Arial Narrow"/>
                <w:b/>
                <w:bCs/>
                <w:sz w:val="20"/>
              </w:rPr>
              <w:t>$</w:t>
            </w:r>
            <w:r w:rsidR="005B64CC">
              <w:rPr>
                <w:rFonts w:ascii="Arial Narrow" w:hAnsi="Arial Narrow"/>
                <w:b/>
                <w:bCs/>
                <w:noProof/>
                <w:color w:val="000000"/>
                <w:sz w:val="20"/>
                <w:highlight w:val="black"/>
              </w:rPr>
              <w:t>'''''''''''''''</w:t>
            </w:r>
          </w:p>
        </w:tc>
        <w:tc>
          <w:tcPr>
            <w:tcW w:w="764" w:type="pct"/>
            <w:shd w:val="clear" w:color="auto" w:fill="auto"/>
            <w:vAlign w:val="center"/>
          </w:tcPr>
          <w:p w:rsidR="00862A41" w:rsidRPr="00862A41" w:rsidRDefault="00862A41" w:rsidP="007473B7">
            <w:pPr>
              <w:keepNext/>
              <w:widowControl/>
              <w:jc w:val="center"/>
              <w:rPr>
                <w:rFonts w:ascii="Arial Narrow" w:hAnsi="Arial Narrow"/>
                <w:b/>
                <w:bCs/>
                <w:color w:val="000000"/>
                <w:sz w:val="20"/>
              </w:rPr>
            </w:pPr>
            <w:r w:rsidRPr="00862A41">
              <w:rPr>
                <w:rFonts w:ascii="Arial Narrow" w:hAnsi="Arial Narrow"/>
                <w:b/>
                <w:bCs/>
                <w:sz w:val="20"/>
              </w:rPr>
              <w:t>$</w:t>
            </w:r>
            <w:r w:rsidR="005B64CC">
              <w:rPr>
                <w:rFonts w:ascii="Arial Narrow" w:hAnsi="Arial Narrow"/>
                <w:b/>
                <w:bCs/>
                <w:noProof/>
                <w:color w:val="000000"/>
                <w:sz w:val="20"/>
                <w:highlight w:val="black"/>
              </w:rPr>
              <w:t>'''''''''''''''''</w:t>
            </w:r>
          </w:p>
        </w:tc>
        <w:tc>
          <w:tcPr>
            <w:tcW w:w="764" w:type="pct"/>
            <w:shd w:val="clear" w:color="auto" w:fill="auto"/>
            <w:vAlign w:val="center"/>
          </w:tcPr>
          <w:p w:rsidR="00862A41" w:rsidRPr="00862A41" w:rsidRDefault="00862A41" w:rsidP="007473B7">
            <w:pPr>
              <w:keepNext/>
              <w:widowControl/>
              <w:jc w:val="center"/>
              <w:rPr>
                <w:rFonts w:ascii="Arial Narrow" w:hAnsi="Arial Narrow"/>
                <w:b/>
                <w:bCs/>
                <w:color w:val="000000"/>
                <w:sz w:val="20"/>
              </w:rPr>
            </w:pPr>
            <w:r w:rsidRPr="00862A41">
              <w:rPr>
                <w:rFonts w:ascii="Arial Narrow" w:hAnsi="Arial Narrow"/>
                <w:b/>
                <w:bCs/>
                <w:sz w:val="20"/>
              </w:rPr>
              <w:t>$</w:t>
            </w:r>
            <w:r w:rsidR="005B64CC">
              <w:rPr>
                <w:rFonts w:ascii="Arial Narrow" w:hAnsi="Arial Narrow"/>
                <w:b/>
                <w:bCs/>
                <w:noProof/>
                <w:color w:val="000000"/>
                <w:sz w:val="20"/>
                <w:highlight w:val="black"/>
              </w:rPr>
              <w:t>'''''''''''''''''</w:t>
            </w:r>
          </w:p>
        </w:tc>
        <w:tc>
          <w:tcPr>
            <w:tcW w:w="755" w:type="pct"/>
            <w:shd w:val="clear" w:color="auto" w:fill="auto"/>
            <w:vAlign w:val="center"/>
          </w:tcPr>
          <w:p w:rsidR="00862A41" w:rsidRPr="00862A41" w:rsidRDefault="00862A41" w:rsidP="007473B7">
            <w:pPr>
              <w:keepNext/>
              <w:widowControl/>
              <w:jc w:val="center"/>
              <w:rPr>
                <w:rFonts w:ascii="Arial Narrow" w:hAnsi="Arial Narrow"/>
                <w:b/>
                <w:bCs/>
                <w:color w:val="000000"/>
                <w:sz w:val="20"/>
              </w:rPr>
            </w:pPr>
            <w:r w:rsidRPr="00862A41">
              <w:rPr>
                <w:rFonts w:ascii="Arial Narrow" w:hAnsi="Arial Narrow"/>
                <w:b/>
                <w:bCs/>
                <w:sz w:val="20"/>
              </w:rPr>
              <w:t>$</w:t>
            </w:r>
            <w:r w:rsidR="005B64CC">
              <w:rPr>
                <w:rFonts w:ascii="Arial Narrow" w:hAnsi="Arial Narrow"/>
                <w:b/>
                <w:bCs/>
                <w:noProof/>
                <w:color w:val="000000"/>
                <w:sz w:val="20"/>
                <w:highlight w:val="black"/>
              </w:rPr>
              <w:t>'''''''''''''''</w:t>
            </w:r>
          </w:p>
        </w:tc>
      </w:tr>
    </w:tbl>
    <w:p w:rsidR="00C25D9C" w:rsidRPr="001222FC" w:rsidRDefault="00C25D9C" w:rsidP="007473B7">
      <w:pPr>
        <w:pStyle w:val="TableFooter"/>
        <w:keepNext/>
        <w:widowControl/>
        <w:ind w:firstLine="720"/>
        <w:rPr>
          <w:sz w:val="16"/>
          <w:szCs w:val="18"/>
        </w:rPr>
      </w:pPr>
      <w:r w:rsidRPr="001222FC">
        <w:rPr>
          <w:vertAlign w:val="superscript"/>
        </w:rPr>
        <w:t>a</w:t>
      </w:r>
      <w:r>
        <w:t xml:space="preserve"> </w:t>
      </w:r>
      <w:r w:rsidR="008A4758">
        <w:t xml:space="preserve">Assuming </w:t>
      </w:r>
      <w:r w:rsidR="001C63A5">
        <w:t>13.04 bottles (200mg tablets x 5) per patient (no wastage scenario)</w:t>
      </w:r>
      <w:r w:rsidRPr="001222FC">
        <w:t xml:space="preserve"> as estimated by the submission.</w:t>
      </w:r>
    </w:p>
    <w:p w:rsidR="009D1A13" w:rsidRDefault="009D1A13" w:rsidP="007473B7">
      <w:pPr>
        <w:keepNext/>
        <w:widowControl/>
        <w:ind w:firstLine="720"/>
        <w:rPr>
          <w:rFonts w:ascii="Arial Narrow" w:hAnsi="Arial Narrow"/>
          <w:sz w:val="18"/>
          <w:szCs w:val="18"/>
        </w:rPr>
      </w:pPr>
      <w:r w:rsidRPr="009D1A13">
        <w:rPr>
          <w:rFonts w:ascii="Arial Narrow" w:hAnsi="Arial Narrow"/>
          <w:sz w:val="18"/>
          <w:szCs w:val="18"/>
        </w:rPr>
        <w:t>Source: Table E:3, p 134 of the submission</w:t>
      </w:r>
    </w:p>
    <w:p w:rsidR="00E801E8" w:rsidRDefault="00E801E8" w:rsidP="007473B7">
      <w:pPr>
        <w:keepNext/>
        <w:widowControl/>
        <w:ind w:firstLine="720"/>
        <w:rPr>
          <w:rFonts w:ascii="Arial Narrow" w:hAnsi="Arial Narrow"/>
          <w:sz w:val="18"/>
          <w:szCs w:val="18"/>
        </w:rPr>
      </w:pPr>
    </w:p>
    <w:p w:rsidR="007473B7" w:rsidRDefault="00CB2289" w:rsidP="007473B7">
      <w:pPr>
        <w:pStyle w:val="ListParagraph"/>
        <w:widowControl/>
        <w:numPr>
          <w:ilvl w:val="1"/>
          <w:numId w:val="3"/>
        </w:numPr>
        <w:rPr>
          <w:szCs w:val="22"/>
        </w:rPr>
      </w:pPr>
      <w:r>
        <w:rPr>
          <w:szCs w:val="22"/>
        </w:rPr>
        <w:t>The redacted table shows that a</w:t>
      </w:r>
      <w:r w:rsidR="007473B7">
        <w:rPr>
          <w:szCs w:val="22"/>
        </w:rPr>
        <w:t>t year 5, the estimated number of patients was</w:t>
      </w:r>
      <w:r w:rsidR="00051C37">
        <w:rPr>
          <w:szCs w:val="22"/>
        </w:rPr>
        <w:t xml:space="preserve"> </w:t>
      </w:r>
      <w:r w:rsidR="00FD6101">
        <w:rPr>
          <w:szCs w:val="22"/>
        </w:rPr>
        <w:t>less than 10</w:t>
      </w:r>
      <w:r>
        <w:rPr>
          <w:szCs w:val="22"/>
        </w:rPr>
        <w:t>,</w:t>
      </w:r>
      <w:r w:rsidR="00FD6101">
        <w:rPr>
          <w:szCs w:val="22"/>
        </w:rPr>
        <w:t>0</w:t>
      </w:r>
      <w:r>
        <w:rPr>
          <w:szCs w:val="22"/>
        </w:rPr>
        <w:t>00</w:t>
      </w:r>
      <w:r w:rsidR="00FD6101">
        <w:rPr>
          <w:szCs w:val="22"/>
        </w:rPr>
        <w:t xml:space="preserve"> </w:t>
      </w:r>
      <w:r w:rsidR="007473B7">
        <w:rPr>
          <w:szCs w:val="22"/>
        </w:rPr>
        <w:t>and the net cost to the PBS would be</w:t>
      </w:r>
      <w:r w:rsidR="00051C37">
        <w:rPr>
          <w:szCs w:val="22"/>
        </w:rPr>
        <w:t xml:space="preserve"> </w:t>
      </w:r>
      <w:r w:rsidR="00FD6101">
        <w:rPr>
          <w:szCs w:val="22"/>
        </w:rPr>
        <w:t xml:space="preserve">less than $10 million. </w:t>
      </w:r>
    </w:p>
    <w:p w:rsidR="007473B7" w:rsidRPr="007473B7" w:rsidRDefault="007473B7" w:rsidP="007473B7">
      <w:pPr>
        <w:pStyle w:val="ListParagraph"/>
        <w:widowControl/>
        <w:rPr>
          <w:szCs w:val="22"/>
        </w:rPr>
      </w:pPr>
    </w:p>
    <w:p w:rsidR="00C25D9C" w:rsidRPr="004E76E0" w:rsidRDefault="00F82996" w:rsidP="007473B7">
      <w:pPr>
        <w:pStyle w:val="ListParagraph"/>
        <w:widowControl/>
        <w:numPr>
          <w:ilvl w:val="1"/>
          <w:numId w:val="3"/>
        </w:numPr>
        <w:rPr>
          <w:szCs w:val="22"/>
        </w:rPr>
      </w:pPr>
      <w:r w:rsidRPr="00F82996">
        <w:t xml:space="preserve">Key sensitivity analyses are provided in </w:t>
      </w:r>
      <w:r w:rsidRPr="004E76E0">
        <w:t>Table</w:t>
      </w:r>
      <w:r w:rsidR="00576972" w:rsidRPr="004E76E0">
        <w:t xml:space="preserve"> </w:t>
      </w:r>
      <w:r w:rsidR="00A95810">
        <w:t>7</w:t>
      </w:r>
      <w:r w:rsidR="004E76E0" w:rsidRPr="004E76E0">
        <w:t>.</w:t>
      </w:r>
    </w:p>
    <w:p w:rsidR="00E0413C" w:rsidRPr="004E76E0" w:rsidRDefault="00E0413C" w:rsidP="007473B7">
      <w:pPr>
        <w:pStyle w:val="ListParagraph"/>
        <w:widowControl/>
      </w:pPr>
    </w:p>
    <w:p w:rsidR="00E0413C" w:rsidRPr="00E0413C" w:rsidRDefault="00E0413C" w:rsidP="007473B7">
      <w:pPr>
        <w:keepNext/>
        <w:widowControl/>
        <w:ind w:firstLine="720"/>
        <w:rPr>
          <w:rFonts w:ascii="Arial Narrow" w:hAnsi="Arial Narrow" w:cstheme="minorBidi"/>
          <w:b/>
          <w:bCs/>
          <w:sz w:val="20"/>
        </w:rPr>
      </w:pPr>
      <w:r>
        <w:rPr>
          <w:rFonts w:ascii="Arial Narrow" w:hAnsi="Arial Narrow" w:cstheme="minorBidi"/>
          <w:b/>
          <w:bCs/>
          <w:sz w:val="20"/>
        </w:rPr>
        <w:t xml:space="preserve">Table </w:t>
      </w:r>
      <w:r w:rsidR="00A95810">
        <w:rPr>
          <w:rFonts w:ascii="Arial Narrow" w:hAnsi="Arial Narrow" w:cstheme="minorBidi"/>
          <w:b/>
          <w:bCs/>
          <w:sz w:val="20"/>
        </w:rPr>
        <w:t>7</w:t>
      </w:r>
      <w:r w:rsidRPr="00E0413C">
        <w:rPr>
          <w:rFonts w:ascii="Arial Narrow" w:hAnsi="Arial Narrow" w:cstheme="minorBidi"/>
          <w:b/>
          <w:bCs/>
          <w:sz w:val="20"/>
        </w:rPr>
        <w:t xml:space="preserve">: </w:t>
      </w:r>
      <w:r>
        <w:rPr>
          <w:rFonts w:ascii="Arial Narrow" w:hAnsi="Arial Narrow" w:cstheme="minorBidi"/>
          <w:b/>
          <w:bCs/>
          <w:sz w:val="20"/>
        </w:rPr>
        <w:t>Key s</w:t>
      </w:r>
      <w:r w:rsidRPr="00E0413C">
        <w:rPr>
          <w:rFonts w:ascii="Arial Narrow" w:hAnsi="Arial Narrow" w:cstheme="minorBidi"/>
          <w:b/>
          <w:bCs/>
          <w:sz w:val="20"/>
        </w:rPr>
        <w:t>ensitivity analysis of the total net cost to the PBS/RPBS of listing carglumic acid</w:t>
      </w:r>
    </w:p>
    <w:tbl>
      <w:tblPr>
        <w:tblStyle w:val="TableGrid"/>
        <w:tblW w:w="0" w:type="auto"/>
        <w:tblInd w:w="737" w:type="dxa"/>
        <w:tblLayout w:type="fixed"/>
        <w:tblCellMar>
          <w:left w:w="28" w:type="dxa"/>
          <w:right w:w="28" w:type="dxa"/>
        </w:tblCellMar>
        <w:tblLook w:val="04A0" w:firstRow="1" w:lastRow="0" w:firstColumn="1" w:lastColumn="0" w:noHBand="0" w:noVBand="1"/>
        <w:tblCaption w:val="Table 7: Key sensitivity analysis of the total net cost to the PBS/RPBS of listing carglumic acid"/>
        <w:tblDescription w:val="This redacted table summarises the key sensitivity analysis of the total net cost to the PBS/RPBS of listing carglumic acid. "/>
      </w:tblPr>
      <w:tblGrid>
        <w:gridCol w:w="3969"/>
        <w:gridCol w:w="875"/>
        <w:gridCol w:w="875"/>
        <w:gridCol w:w="875"/>
        <w:gridCol w:w="875"/>
        <w:gridCol w:w="876"/>
      </w:tblGrid>
      <w:tr w:rsidR="00E0413C" w:rsidRPr="00E0413C" w:rsidTr="00A65CA9">
        <w:trPr>
          <w:tblHeader/>
        </w:trPr>
        <w:tc>
          <w:tcPr>
            <w:tcW w:w="3969" w:type="dxa"/>
          </w:tcPr>
          <w:p w:rsidR="00E0413C" w:rsidRPr="00E0413C" w:rsidRDefault="00E0413C" w:rsidP="007473B7">
            <w:pPr>
              <w:keepNext/>
              <w:widowControl/>
              <w:jc w:val="left"/>
              <w:rPr>
                <w:rFonts w:ascii="Arial Narrow" w:hAnsi="Arial Narrow" w:cstheme="minorBidi"/>
                <w:sz w:val="20"/>
              </w:rPr>
            </w:pPr>
          </w:p>
        </w:tc>
        <w:tc>
          <w:tcPr>
            <w:tcW w:w="875" w:type="dxa"/>
            <w:vAlign w:val="center"/>
          </w:tcPr>
          <w:p w:rsidR="00E0413C" w:rsidRPr="00E0413C" w:rsidRDefault="00E0413C" w:rsidP="007473B7">
            <w:pPr>
              <w:keepNext/>
              <w:widowControl/>
              <w:jc w:val="center"/>
              <w:rPr>
                <w:rFonts w:ascii="Arial Narrow" w:hAnsi="Arial Narrow" w:cstheme="minorBidi"/>
                <w:b/>
                <w:bCs/>
                <w:sz w:val="20"/>
              </w:rPr>
            </w:pPr>
            <w:r w:rsidRPr="00E0413C">
              <w:rPr>
                <w:rFonts w:ascii="Arial Narrow" w:hAnsi="Arial Narrow" w:cstheme="minorBidi"/>
                <w:b/>
                <w:bCs/>
                <w:sz w:val="20"/>
              </w:rPr>
              <w:t>Year 1</w:t>
            </w:r>
          </w:p>
        </w:tc>
        <w:tc>
          <w:tcPr>
            <w:tcW w:w="875" w:type="dxa"/>
            <w:vAlign w:val="center"/>
          </w:tcPr>
          <w:p w:rsidR="00E0413C" w:rsidRPr="00E0413C" w:rsidRDefault="00E0413C" w:rsidP="007473B7">
            <w:pPr>
              <w:keepNext/>
              <w:widowControl/>
              <w:jc w:val="center"/>
              <w:rPr>
                <w:rFonts w:ascii="Arial Narrow" w:hAnsi="Arial Narrow" w:cstheme="minorBidi"/>
                <w:b/>
                <w:bCs/>
                <w:sz w:val="20"/>
              </w:rPr>
            </w:pPr>
            <w:r w:rsidRPr="00E0413C">
              <w:rPr>
                <w:rFonts w:ascii="Arial Narrow" w:hAnsi="Arial Narrow" w:cstheme="minorBidi"/>
                <w:b/>
                <w:bCs/>
                <w:sz w:val="20"/>
              </w:rPr>
              <w:t>Year 2</w:t>
            </w:r>
          </w:p>
        </w:tc>
        <w:tc>
          <w:tcPr>
            <w:tcW w:w="875" w:type="dxa"/>
            <w:vAlign w:val="center"/>
          </w:tcPr>
          <w:p w:rsidR="00E0413C" w:rsidRPr="00E0413C" w:rsidRDefault="00E0413C" w:rsidP="007473B7">
            <w:pPr>
              <w:keepNext/>
              <w:widowControl/>
              <w:jc w:val="center"/>
              <w:rPr>
                <w:rFonts w:ascii="Arial Narrow" w:hAnsi="Arial Narrow" w:cstheme="minorBidi"/>
                <w:b/>
                <w:bCs/>
                <w:sz w:val="20"/>
              </w:rPr>
            </w:pPr>
            <w:r w:rsidRPr="00E0413C">
              <w:rPr>
                <w:rFonts w:ascii="Arial Narrow" w:hAnsi="Arial Narrow" w:cstheme="minorBidi"/>
                <w:b/>
                <w:bCs/>
                <w:sz w:val="20"/>
              </w:rPr>
              <w:t>Year 3</w:t>
            </w:r>
          </w:p>
        </w:tc>
        <w:tc>
          <w:tcPr>
            <w:tcW w:w="875" w:type="dxa"/>
            <w:vAlign w:val="center"/>
          </w:tcPr>
          <w:p w:rsidR="00E0413C" w:rsidRPr="00E0413C" w:rsidRDefault="00E0413C" w:rsidP="007473B7">
            <w:pPr>
              <w:keepNext/>
              <w:widowControl/>
              <w:jc w:val="center"/>
              <w:rPr>
                <w:rFonts w:ascii="Arial Narrow" w:hAnsi="Arial Narrow" w:cstheme="minorBidi"/>
                <w:b/>
                <w:bCs/>
                <w:sz w:val="20"/>
              </w:rPr>
            </w:pPr>
            <w:r w:rsidRPr="00E0413C">
              <w:rPr>
                <w:rFonts w:ascii="Arial Narrow" w:hAnsi="Arial Narrow" w:cstheme="minorBidi"/>
                <w:b/>
                <w:bCs/>
                <w:sz w:val="20"/>
              </w:rPr>
              <w:t>Year 4</w:t>
            </w:r>
          </w:p>
        </w:tc>
        <w:tc>
          <w:tcPr>
            <w:tcW w:w="876" w:type="dxa"/>
            <w:vAlign w:val="center"/>
          </w:tcPr>
          <w:p w:rsidR="00E0413C" w:rsidRPr="00E0413C" w:rsidRDefault="00E0413C" w:rsidP="007473B7">
            <w:pPr>
              <w:keepNext/>
              <w:widowControl/>
              <w:jc w:val="center"/>
              <w:rPr>
                <w:rFonts w:ascii="Arial Narrow" w:hAnsi="Arial Narrow" w:cstheme="minorBidi"/>
                <w:b/>
                <w:bCs/>
                <w:sz w:val="20"/>
              </w:rPr>
            </w:pPr>
            <w:r w:rsidRPr="00E0413C">
              <w:rPr>
                <w:rFonts w:ascii="Arial Narrow" w:hAnsi="Arial Narrow" w:cstheme="minorBidi"/>
                <w:b/>
                <w:bCs/>
                <w:sz w:val="20"/>
              </w:rPr>
              <w:t>Year 5</w:t>
            </w:r>
          </w:p>
        </w:tc>
      </w:tr>
      <w:tr w:rsidR="00E0413C" w:rsidRPr="00E0413C" w:rsidTr="00842738">
        <w:tc>
          <w:tcPr>
            <w:tcW w:w="3969" w:type="dxa"/>
          </w:tcPr>
          <w:p w:rsidR="00E0413C" w:rsidRPr="00E0413C" w:rsidRDefault="00E0413C" w:rsidP="007473B7">
            <w:pPr>
              <w:keepNext/>
              <w:widowControl/>
              <w:jc w:val="left"/>
              <w:rPr>
                <w:rFonts w:ascii="Arial Narrow" w:hAnsi="Arial Narrow" w:cstheme="minorBidi"/>
                <w:b/>
                <w:bCs/>
                <w:sz w:val="20"/>
              </w:rPr>
            </w:pPr>
            <w:r w:rsidRPr="00E0413C">
              <w:rPr>
                <w:rFonts w:ascii="Arial Narrow" w:hAnsi="Arial Narrow" w:cstheme="minorBidi"/>
                <w:b/>
                <w:bCs/>
                <w:sz w:val="20"/>
              </w:rPr>
              <w:t>Base Case</w:t>
            </w:r>
            <w:r w:rsidR="00842738">
              <w:rPr>
                <w:rFonts w:ascii="Arial Narrow" w:hAnsi="Arial Narrow" w:cstheme="minorBidi"/>
                <w:b/>
                <w:bCs/>
                <w:sz w:val="20"/>
              </w:rPr>
              <w:t xml:space="preserve"> (duration=5 days; weight=20.15kg)</w:t>
            </w:r>
          </w:p>
        </w:tc>
        <w:tc>
          <w:tcPr>
            <w:tcW w:w="875" w:type="dxa"/>
            <w:vAlign w:val="center"/>
          </w:tcPr>
          <w:p w:rsidR="00E0413C" w:rsidRPr="00E0413C" w:rsidRDefault="00E0413C" w:rsidP="007473B7">
            <w:pPr>
              <w:keepNext/>
              <w:widowControl/>
              <w:jc w:val="center"/>
              <w:rPr>
                <w:rFonts w:ascii="Arial Narrow" w:hAnsi="Arial Narrow" w:cstheme="minorBidi"/>
                <w:sz w:val="20"/>
              </w:rPr>
            </w:pPr>
            <w:r w:rsidRPr="00E0413C">
              <w:rPr>
                <w:rFonts w:ascii="Arial Narrow" w:hAnsi="Arial Narrow" w:cstheme="minorBidi"/>
                <w:b/>
                <w:bCs/>
                <w:sz w:val="20"/>
              </w:rPr>
              <w:t>$</w:t>
            </w:r>
            <w:r w:rsidR="005B64CC">
              <w:rPr>
                <w:rFonts w:ascii="Arial Narrow" w:hAnsi="Arial Narrow" w:cstheme="minorBidi"/>
                <w:b/>
                <w:b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sz w:val="20"/>
              </w:rPr>
            </w:pPr>
            <w:r w:rsidRPr="00E0413C">
              <w:rPr>
                <w:rFonts w:ascii="Arial Narrow" w:hAnsi="Arial Narrow" w:cstheme="minorBidi"/>
                <w:b/>
                <w:bCs/>
                <w:sz w:val="20"/>
              </w:rPr>
              <w:t>$</w:t>
            </w:r>
            <w:r w:rsidR="005B64CC">
              <w:rPr>
                <w:rFonts w:ascii="Arial Narrow" w:hAnsi="Arial Narrow" w:cstheme="minorBidi"/>
                <w:b/>
                <w:b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sz w:val="20"/>
              </w:rPr>
            </w:pPr>
            <w:r w:rsidRPr="00E0413C">
              <w:rPr>
                <w:rFonts w:ascii="Arial Narrow" w:hAnsi="Arial Narrow" w:cstheme="minorBidi"/>
                <w:b/>
                <w:bCs/>
                <w:sz w:val="20"/>
              </w:rPr>
              <w:t>$</w:t>
            </w:r>
            <w:r w:rsidR="005B64CC">
              <w:rPr>
                <w:rFonts w:ascii="Arial Narrow" w:hAnsi="Arial Narrow" w:cstheme="minorBidi"/>
                <w:b/>
                <w:b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sz w:val="20"/>
              </w:rPr>
            </w:pPr>
            <w:r w:rsidRPr="00E0413C">
              <w:rPr>
                <w:rFonts w:ascii="Arial Narrow" w:hAnsi="Arial Narrow" w:cstheme="minorBidi"/>
                <w:b/>
                <w:bCs/>
                <w:sz w:val="20"/>
              </w:rPr>
              <w:t>$</w:t>
            </w:r>
            <w:r w:rsidR="005B64CC">
              <w:rPr>
                <w:rFonts w:ascii="Arial Narrow" w:hAnsi="Arial Narrow" w:cstheme="minorBidi"/>
                <w:b/>
                <w:bCs/>
                <w:noProof/>
                <w:color w:val="000000"/>
                <w:sz w:val="20"/>
                <w:highlight w:val="black"/>
              </w:rPr>
              <w:t>''''''''''''''''</w:t>
            </w:r>
          </w:p>
        </w:tc>
        <w:tc>
          <w:tcPr>
            <w:tcW w:w="876" w:type="dxa"/>
            <w:vAlign w:val="center"/>
          </w:tcPr>
          <w:p w:rsidR="00E0413C" w:rsidRPr="00E0413C" w:rsidRDefault="00E0413C" w:rsidP="007473B7">
            <w:pPr>
              <w:keepNext/>
              <w:widowControl/>
              <w:jc w:val="center"/>
              <w:rPr>
                <w:rFonts w:ascii="Arial Narrow" w:hAnsi="Arial Narrow" w:cstheme="minorBidi"/>
                <w:sz w:val="20"/>
              </w:rPr>
            </w:pPr>
            <w:r w:rsidRPr="00E0413C">
              <w:rPr>
                <w:rFonts w:ascii="Arial Narrow" w:hAnsi="Arial Narrow" w:cstheme="minorBidi"/>
                <w:b/>
                <w:bCs/>
                <w:sz w:val="20"/>
              </w:rPr>
              <w:t>$</w:t>
            </w:r>
            <w:r w:rsidR="005B64CC">
              <w:rPr>
                <w:rFonts w:ascii="Arial Narrow" w:hAnsi="Arial Narrow" w:cstheme="minorBidi"/>
                <w:b/>
                <w:bCs/>
                <w:noProof/>
                <w:color w:val="000000"/>
                <w:sz w:val="20"/>
                <w:highlight w:val="black"/>
              </w:rPr>
              <w:t>'''''''''''''''''</w:t>
            </w:r>
          </w:p>
        </w:tc>
      </w:tr>
      <w:tr w:rsidR="00E0413C" w:rsidRPr="00E0413C" w:rsidTr="00842738">
        <w:tc>
          <w:tcPr>
            <w:tcW w:w="3969" w:type="dxa"/>
          </w:tcPr>
          <w:p w:rsidR="00E0413C" w:rsidRPr="00842738" w:rsidRDefault="00E0413C" w:rsidP="007473B7">
            <w:pPr>
              <w:keepNext/>
              <w:widowControl/>
              <w:jc w:val="left"/>
              <w:rPr>
                <w:rFonts w:ascii="Arial Narrow" w:hAnsi="Arial Narrow" w:cstheme="minorBidi"/>
                <w:b/>
                <w:bCs/>
                <w:sz w:val="20"/>
                <w:vertAlign w:val="superscript"/>
              </w:rPr>
            </w:pPr>
            <w:r w:rsidRPr="00842738">
              <w:rPr>
                <w:rFonts w:ascii="Arial Narrow" w:hAnsi="Arial Narrow" w:cstheme="minorBidi"/>
                <w:sz w:val="20"/>
              </w:rPr>
              <w:t>Duration of treatment with carglumic acid: 7 days</w:t>
            </w:r>
            <w:r w:rsidR="00842738">
              <w:rPr>
                <w:rFonts w:ascii="Arial Narrow" w:hAnsi="Arial Narrow" w:cstheme="minorBidi"/>
                <w:sz w:val="20"/>
                <w:vertAlign w:val="superscript"/>
              </w:rPr>
              <w:t>a</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6"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r>
      <w:tr w:rsidR="00E0413C" w:rsidRPr="00E0413C" w:rsidTr="00842738">
        <w:tc>
          <w:tcPr>
            <w:tcW w:w="3969" w:type="dxa"/>
          </w:tcPr>
          <w:p w:rsidR="00E0413C" w:rsidRPr="00E0413C" w:rsidRDefault="00E0413C" w:rsidP="007473B7">
            <w:pPr>
              <w:keepNext/>
              <w:widowControl/>
              <w:jc w:val="left"/>
              <w:rPr>
                <w:rFonts w:ascii="Arial Narrow" w:hAnsi="Arial Narrow" w:cstheme="minorBidi"/>
                <w:sz w:val="20"/>
              </w:rPr>
            </w:pPr>
            <w:r w:rsidRPr="00E0413C">
              <w:rPr>
                <w:rFonts w:ascii="Arial Narrow" w:hAnsi="Arial Narrow" w:cstheme="minorBidi"/>
                <w:i/>
                <w:iCs/>
                <w:sz w:val="20"/>
              </w:rPr>
              <w:t>Duration of treatment with carglumic acid:</w:t>
            </w:r>
            <w:r w:rsidR="00842738">
              <w:rPr>
                <w:rFonts w:ascii="Arial Narrow" w:hAnsi="Arial Narrow" w:cstheme="minorBidi"/>
                <w:i/>
                <w:iCs/>
                <w:sz w:val="20"/>
              </w:rPr>
              <w:t xml:space="preserve"> </w:t>
            </w:r>
            <w:r w:rsidRPr="00E0413C">
              <w:rPr>
                <w:rFonts w:ascii="Arial Narrow" w:hAnsi="Arial Narrow" w:cstheme="minorBidi"/>
                <w:i/>
                <w:iCs/>
                <w:sz w:val="20"/>
              </w:rPr>
              <w:t>3 days</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6" w:type="dxa"/>
            <w:vAlign w:val="center"/>
          </w:tcPr>
          <w:p w:rsidR="00E0413C" w:rsidRPr="00E0413C" w:rsidRDefault="00E0413C" w:rsidP="007473B7">
            <w:pPr>
              <w:keepNext/>
              <w:widowControl/>
              <w:jc w:val="center"/>
              <w:rPr>
                <w:rFonts w:ascii="Arial Narrow" w:hAnsi="Arial Narrow" w:cstheme="minorBidi"/>
                <w:i/>
                <w:iCs/>
                <w:sz w:val="20"/>
              </w:rPr>
            </w:pPr>
            <w:r w:rsidRPr="00E0413C">
              <w:rPr>
                <w:rFonts w:ascii="Arial Narrow" w:hAnsi="Arial Narrow" w:cstheme="minorBidi"/>
                <w:i/>
                <w:iCs/>
                <w:sz w:val="20"/>
              </w:rPr>
              <w:t>$</w:t>
            </w:r>
            <w:r w:rsidR="005B64CC">
              <w:rPr>
                <w:rFonts w:ascii="Arial Narrow" w:hAnsi="Arial Narrow" w:cstheme="minorBidi"/>
                <w:i/>
                <w:iCs/>
                <w:noProof/>
                <w:color w:val="000000"/>
                <w:sz w:val="20"/>
                <w:highlight w:val="black"/>
              </w:rPr>
              <w:t>'''''''''''''''''</w:t>
            </w:r>
          </w:p>
        </w:tc>
      </w:tr>
      <w:tr w:rsidR="00842738" w:rsidRPr="00E0413C" w:rsidTr="00842738">
        <w:tc>
          <w:tcPr>
            <w:tcW w:w="3969" w:type="dxa"/>
          </w:tcPr>
          <w:p w:rsidR="00842738" w:rsidRPr="00E0413C" w:rsidRDefault="00842738" w:rsidP="007473B7">
            <w:pPr>
              <w:keepNext/>
              <w:widowControl/>
              <w:jc w:val="left"/>
              <w:rPr>
                <w:rFonts w:ascii="Arial Narrow" w:hAnsi="Arial Narrow" w:cstheme="minorBidi"/>
                <w:i/>
                <w:iCs/>
                <w:sz w:val="20"/>
              </w:rPr>
            </w:pPr>
            <w:r w:rsidRPr="00D5750B">
              <w:rPr>
                <w:rFonts w:ascii="Arial Narrow" w:hAnsi="Arial Narrow" w:cstheme="minorBidi"/>
                <w:sz w:val="20"/>
              </w:rPr>
              <w:t>20% increase in average weight</w:t>
            </w:r>
          </w:p>
        </w:tc>
        <w:tc>
          <w:tcPr>
            <w:tcW w:w="875" w:type="dxa"/>
            <w:vAlign w:val="center"/>
          </w:tcPr>
          <w:p w:rsidR="00842738" w:rsidRPr="00E0413C" w:rsidRDefault="00842738" w:rsidP="007473B7">
            <w:pPr>
              <w:keepNext/>
              <w:widowControl/>
              <w:jc w:val="center"/>
              <w:rPr>
                <w:rFonts w:ascii="Arial Narrow" w:hAnsi="Arial Narrow" w:cstheme="minorBidi"/>
                <w:i/>
                <w:iCs/>
                <w:sz w:val="20"/>
              </w:rPr>
            </w:pPr>
            <w:r w:rsidRPr="00D5750B">
              <w:rPr>
                <w:rFonts w:ascii="Arial Narrow" w:hAnsi="Arial Narrow" w:cstheme="minorBidi"/>
                <w:sz w:val="20"/>
              </w:rPr>
              <w:t>$</w:t>
            </w:r>
            <w:r w:rsidR="005B64CC">
              <w:rPr>
                <w:rFonts w:ascii="Arial Narrow" w:hAnsi="Arial Narrow" w:cstheme="minorBidi"/>
                <w:noProof/>
                <w:color w:val="000000"/>
                <w:sz w:val="20"/>
                <w:highlight w:val="black"/>
              </w:rPr>
              <w:t>'''''''''''''''''''</w:t>
            </w:r>
          </w:p>
        </w:tc>
        <w:tc>
          <w:tcPr>
            <w:tcW w:w="875" w:type="dxa"/>
            <w:vAlign w:val="center"/>
          </w:tcPr>
          <w:p w:rsidR="00842738" w:rsidRPr="00E0413C" w:rsidRDefault="00842738" w:rsidP="007473B7">
            <w:pPr>
              <w:keepNext/>
              <w:widowControl/>
              <w:jc w:val="center"/>
              <w:rPr>
                <w:rFonts w:ascii="Arial Narrow" w:hAnsi="Arial Narrow" w:cstheme="minorBidi"/>
                <w:i/>
                <w:iCs/>
                <w:sz w:val="20"/>
              </w:rPr>
            </w:pPr>
            <w:r w:rsidRPr="00D5750B">
              <w:rPr>
                <w:rFonts w:ascii="Arial Narrow" w:hAnsi="Arial Narrow" w:cstheme="minorBidi"/>
                <w:sz w:val="20"/>
              </w:rPr>
              <w:t>$</w:t>
            </w:r>
            <w:r w:rsidR="005B64CC">
              <w:rPr>
                <w:rFonts w:ascii="Arial Narrow" w:hAnsi="Arial Narrow" w:cstheme="minorBidi"/>
                <w:noProof/>
                <w:color w:val="000000"/>
                <w:sz w:val="20"/>
                <w:highlight w:val="black"/>
              </w:rPr>
              <w:t>''''''''''''''''''</w:t>
            </w:r>
          </w:p>
        </w:tc>
        <w:tc>
          <w:tcPr>
            <w:tcW w:w="875" w:type="dxa"/>
            <w:vAlign w:val="center"/>
          </w:tcPr>
          <w:p w:rsidR="00842738" w:rsidRPr="00E0413C" w:rsidRDefault="00842738" w:rsidP="007473B7">
            <w:pPr>
              <w:keepNext/>
              <w:widowControl/>
              <w:jc w:val="center"/>
              <w:rPr>
                <w:rFonts w:ascii="Arial Narrow" w:hAnsi="Arial Narrow" w:cstheme="minorBidi"/>
                <w:i/>
                <w:iCs/>
                <w:sz w:val="20"/>
              </w:rPr>
            </w:pPr>
            <w:r w:rsidRPr="00D5750B">
              <w:rPr>
                <w:rFonts w:ascii="Arial Narrow" w:hAnsi="Arial Narrow" w:cstheme="minorBidi"/>
                <w:sz w:val="20"/>
              </w:rPr>
              <w:t>$</w:t>
            </w:r>
            <w:r w:rsidR="005B64CC">
              <w:rPr>
                <w:rFonts w:ascii="Arial Narrow" w:hAnsi="Arial Narrow" w:cstheme="minorBidi"/>
                <w:noProof/>
                <w:color w:val="000000"/>
                <w:sz w:val="20"/>
                <w:highlight w:val="black"/>
              </w:rPr>
              <w:t>''''''''''''''''''''</w:t>
            </w:r>
          </w:p>
        </w:tc>
        <w:tc>
          <w:tcPr>
            <w:tcW w:w="875" w:type="dxa"/>
            <w:vAlign w:val="center"/>
          </w:tcPr>
          <w:p w:rsidR="00842738" w:rsidRPr="00E0413C" w:rsidRDefault="00842738" w:rsidP="007473B7">
            <w:pPr>
              <w:keepNext/>
              <w:widowControl/>
              <w:jc w:val="center"/>
              <w:rPr>
                <w:rFonts w:ascii="Arial Narrow" w:hAnsi="Arial Narrow" w:cstheme="minorBidi"/>
                <w:i/>
                <w:iCs/>
                <w:sz w:val="20"/>
              </w:rPr>
            </w:pPr>
            <w:r w:rsidRPr="00D5750B">
              <w:rPr>
                <w:rFonts w:ascii="Arial Narrow" w:hAnsi="Arial Narrow" w:cstheme="minorBidi"/>
                <w:sz w:val="20"/>
              </w:rPr>
              <w:t>$</w:t>
            </w:r>
            <w:r w:rsidR="005B64CC">
              <w:rPr>
                <w:rFonts w:ascii="Arial Narrow" w:hAnsi="Arial Narrow" w:cstheme="minorBidi"/>
                <w:noProof/>
                <w:color w:val="000000"/>
                <w:sz w:val="20"/>
                <w:highlight w:val="black"/>
              </w:rPr>
              <w:t>''''''''''''''''''</w:t>
            </w:r>
          </w:p>
        </w:tc>
        <w:tc>
          <w:tcPr>
            <w:tcW w:w="876" w:type="dxa"/>
            <w:vAlign w:val="center"/>
          </w:tcPr>
          <w:p w:rsidR="00842738" w:rsidRPr="00E0413C" w:rsidRDefault="00842738" w:rsidP="007473B7">
            <w:pPr>
              <w:keepNext/>
              <w:widowControl/>
              <w:jc w:val="center"/>
              <w:rPr>
                <w:rFonts w:ascii="Arial Narrow" w:hAnsi="Arial Narrow" w:cstheme="minorBidi"/>
                <w:i/>
                <w:iCs/>
                <w:sz w:val="20"/>
              </w:rPr>
            </w:pPr>
            <w:r w:rsidRPr="00D5750B">
              <w:rPr>
                <w:rFonts w:ascii="Arial Narrow" w:hAnsi="Arial Narrow" w:cstheme="minorBidi"/>
                <w:sz w:val="20"/>
              </w:rPr>
              <w:t>$</w:t>
            </w:r>
            <w:r w:rsidR="005B64CC">
              <w:rPr>
                <w:rFonts w:ascii="Arial Narrow" w:hAnsi="Arial Narrow" w:cstheme="minorBidi"/>
                <w:noProof/>
                <w:color w:val="000000"/>
                <w:sz w:val="20"/>
                <w:highlight w:val="black"/>
              </w:rPr>
              <w:t>''''''''''''''''''''</w:t>
            </w:r>
          </w:p>
        </w:tc>
      </w:tr>
      <w:tr w:rsidR="00842738" w:rsidRPr="00E0413C" w:rsidTr="00842738">
        <w:tc>
          <w:tcPr>
            <w:tcW w:w="3969" w:type="dxa"/>
          </w:tcPr>
          <w:p w:rsidR="00842738" w:rsidRPr="00842738" w:rsidRDefault="00842738" w:rsidP="007473B7">
            <w:pPr>
              <w:keepNext/>
              <w:widowControl/>
              <w:jc w:val="left"/>
              <w:rPr>
                <w:rFonts w:ascii="Arial Narrow" w:hAnsi="Arial Narrow" w:cstheme="minorBidi"/>
                <w:sz w:val="20"/>
              </w:rPr>
            </w:pPr>
            <w:r w:rsidRPr="00842738">
              <w:rPr>
                <w:rFonts w:ascii="Arial Narrow" w:hAnsi="Arial Narrow" w:cstheme="minorBidi"/>
                <w:i/>
                <w:sz w:val="20"/>
              </w:rPr>
              <w:t>Duration of treatment with carglumic acid: 7 days</w:t>
            </w:r>
            <w:r w:rsidRPr="00842738">
              <w:rPr>
                <w:rFonts w:ascii="Arial Narrow" w:hAnsi="Arial Narrow"/>
                <w:i/>
                <w:iCs/>
                <w:sz w:val="20"/>
                <w:vertAlign w:val="superscript"/>
              </w:rPr>
              <w:t xml:space="preserve"> a </w:t>
            </w:r>
            <w:r w:rsidRPr="00842738">
              <w:rPr>
                <w:rFonts w:ascii="Arial Narrow" w:hAnsi="Arial Narrow"/>
                <w:iCs/>
                <w:sz w:val="20"/>
              </w:rPr>
              <w:t xml:space="preserve">AND </w:t>
            </w:r>
            <w:r w:rsidRPr="00842738">
              <w:rPr>
                <w:rFonts w:ascii="Arial Narrow" w:hAnsi="Arial Narrow" w:cstheme="minorBidi"/>
                <w:sz w:val="20"/>
              </w:rPr>
              <w:t>20% increase in average weight</w:t>
            </w:r>
          </w:p>
        </w:tc>
        <w:tc>
          <w:tcPr>
            <w:tcW w:w="875" w:type="dxa"/>
            <w:vAlign w:val="center"/>
          </w:tcPr>
          <w:p w:rsidR="00842738" w:rsidRPr="00D5750B" w:rsidRDefault="00842738" w:rsidP="007473B7">
            <w:pPr>
              <w:keepNext/>
              <w:widowControl/>
              <w:jc w:val="center"/>
              <w:rPr>
                <w:rFonts w:ascii="Arial Narrow" w:hAnsi="Arial Narrow" w:cstheme="minorBidi"/>
                <w:sz w:val="20"/>
              </w:rPr>
            </w:pPr>
            <w:r w:rsidRPr="000C66A1">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842738" w:rsidRPr="00D5750B" w:rsidRDefault="00842738" w:rsidP="007473B7">
            <w:pPr>
              <w:keepNext/>
              <w:widowControl/>
              <w:jc w:val="center"/>
              <w:rPr>
                <w:rFonts w:ascii="Arial Narrow" w:hAnsi="Arial Narrow" w:cstheme="minorBidi"/>
                <w:sz w:val="20"/>
              </w:rPr>
            </w:pPr>
            <w:r w:rsidRPr="000C66A1">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842738" w:rsidRPr="00D5750B" w:rsidRDefault="00842738" w:rsidP="007473B7">
            <w:pPr>
              <w:keepNext/>
              <w:widowControl/>
              <w:jc w:val="center"/>
              <w:rPr>
                <w:rFonts w:ascii="Arial Narrow" w:hAnsi="Arial Narrow" w:cstheme="minorBidi"/>
                <w:sz w:val="20"/>
              </w:rPr>
            </w:pPr>
            <w:r w:rsidRPr="000C66A1">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5" w:type="dxa"/>
            <w:vAlign w:val="center"/>
          </w:tcPr>
          <w:p w:rsidR="00842738" w:rsidRPr="00D5750B" w:rsidRDefault="00842738" w:rsidP="007473B7">
            <w:pPr>
              <w:keepNext/>
              <w:widowControl/>
              <w:jc w:val="center"/>
              <w:rPr>
                <w:rFonts w:ascii="Arial Narrow" w:hAnsi="Arial Narrow" w:cstheme="minorBidi"/>
                <w:sz w:val="20"/>
              </w:rPr>
            </w:pPr>
            <w:r w:rsidRPr="000C66A1">
              <w:rPr>
                <w:rFonts w:ascii="Arial Narrow" w:hAnsi="Arial Narrow" w:cstheme="minorBidi"/>
                <w:i/>
                <w:iCs/>
                <w:sz w:val="20"/>
              </w:rPr>
              <w:t>$</w:t>
            </w:r>
            <w:r w:rsidR="005B64CC">
              <w:rPr>
                <w:rFonts w:ascii="Arial Narrow" w:hAnsi="Arial Narrow" w:cstheme="minorBidi"/>
                <w:i/>
                <w:iCs/>
                <w:noProof/>
                <w:color w:val="000000"/>
                <w:sz w:val="20"/>
                <w:highlight w:val="black"/>
              </w:rPr>
              <w:t>''''''''''''''''''''</w:t>
            </w:r>
          </w:p>
        </w:tc>
        <w:tc>
          <w:tcPr>
            <w:tcW w:w="876" w:type="dxa"/>
            <w:vAlign w:val="center"/>
          </w:tcPr>
          <w:p w:rsidR="00842738" w:rsidRPr="00D5750B" w:rsidRDefault="00842738" w:rsidP="007473B7">
            <w:pPr>
              <w:keepNext/>
              <w:widowControl/>
              <w:jc w:val="center"/>
              <w:rPr>
                <w:rFonts w:ascii="Arial Narrow" w:hAnsi="Arial Narrow" w:cstheme="minorBidi"/>
                <w:sz w:val="20"/>
              </w:rPr>
            </w:pPr>
            <w:r w:rsidRPr="000C66A1">
              <w:rPr>
                <w:rFonts w:ascii="Arial Narrow" w:hAnsi="Arial Narrow" w:cstheme="minorBidi"/>
                <w:i/>
                <w:iCs/>
                <w:sz w:val="20"/>
              </w:rPr>
              <w:t>$</w:t>
            </w:r>
            <w:r w:rsidR="005B64CC">
              <w:rPr>
                <w:rFonts w:ascii="Arial Narrow" w:hAnsi="Arial Narrow" w:cstheme="minorBidi"/>
                <w:i/>
                <w:iCs/>
                <w:noProof/>
                <w:color w:val="000000"/>
                <w:sz w:val="20"/>
                <w:highlight w:val="black"/>
              </w:rPr>
              <w:t>'''''''''''''''''''''</w:t>
            </w:r>
          </w:p>
        </w:tc>
      </w:tr>
    </w:tbl>
    <w:p w:rsidR="00842738" w:rsidRPr="000C66A1" w:rsidRDefault="00842738" w:rsidP="007473B7">
      <w:pPr>
        <w:keepNext/>
        <w:widowControl/>
        <w:tabs>
          <w:tab w:val="left" w:pos="993"/>
        </w:tabs>
        <w:ind w:left="993" w:hanging="284"/>
        <w:rPr>
          <w:rFonts w:ascii="Arial Narrow" w:hAnsi="Arial Narrow"/>
          <w:i/>
          <w:iCs/>
          <w:sz w:val="18"/>
        </w:rPr>
      </w:pPr>
      <w:r w:rsidRPr="000C66A1">
        <w:rPr>
          <w:rFonts w:ascii="Arial Narrow" w:hAnsi="Arial Narrow"/>
          <w:i/>
          <w:iCs/>
          <w:sz w:val="18"/>
          <w:vertAlign w:val="superscript"/>
        </w:rPr>
        <w:t>a</w:t>
      </w:r>
      <w:r>
        <w:rPr>
          <w:rFonts w:ascii="Arial Narrow" w:hAnsi="Arial Narrow"/>
          <w:i/>
          <w:iCs/>
          <w:sz w:val="18"/>
          <w:vertAlign w:val="superscript"/>
        </w:rPr>
        <w:tab/>
      </w:r>
      <w:r w:rsidRPr="004658FA">
        <w:rPr>
          <w:rFonts w:ascii="Arial Narrow" w:hAnsi="Arial Narrow"/>
          <w:iCs/>
          <w:sz w:val="18"/>
        </w:rPr>
        <w:t>In the submission’s analysis in Table E.4 (p139), the submission erroneously did not multiply the estimated increase in use of 259 mg/kg (from the increase in treatment duration to 7 days) by the average weight (kg) per patient, hence under-estimating costs.</w:t>
      </w:r>
    </w:p>
    <w:p w:rsidR="00E0413C" w:rsidRDefault="00E0413C" w:rsidP="007473B7">
      <w:pPr>
        <w:pStyle w:val="ListParagraph"/>
        <w:widowControl/>
        <w:rPr>
          <w:szCs w:val="22"/>
        </w:rPr>
      </w:pPr>
    </w:p>
    <w:p w:rsidR="00E801E8" w:rsidRPr="00B87D6F" w:rsidRDefault="00E801E8" w:rsidP="007473B7">
      <w:pPr>
        <w:pStyle w:val="ListParagraph"/>
        <w:widowControl/>
        <w:numPr>
          <w:ilvl w:val="1"/>
          <w:numId w:val="3"/>
        </w:numPr>
        <w:rPr>
          <w:szCs w:val="22"/>
        </w:rPr>
      </w:pPr>
      <w:r w:rsidRPr="00B87D6F">
        <w:rPr>
          <w:iCs/>
        </w:rPr>
        <w:t xml:space="preserve">The estimates </w:t>
      </w:r>
      <w:r w:rsidR="00F977B3">
        <w:rPr>
          <w:iCs/>
        </w:rPr>
        <w:t>were</w:t>
      </w:r>
      <w:r w:rsidR="00F977B3" w:rsidRPr="00B87D6F">
        <w:rPr>
          <w:iCs/>
        </w:rPr>
        <w:t xml:space="preserve"> </w:t>
      </w:r>
      <w:r w:rsidRPr="00B87D6F">
        <w:rPr>
          <w:iCs/>
        </w:rPr>
        <w:t xml:space="preserve">most sensitive to the duration of treatment with carglumic acid and </w:t>
      </w:r>
      <w:r w:rsidRPr="00B87D6F">
        <w:t>average</w:t>
      </w:r>
      <w:r w:rsidRPr="00B87D6F">
        <w:rPr>
          <w:iCs/>
        </w:rPr>
        <w:t xml:space="preserve"> weight based on the age distribution.</w:t>
      </w:r>
    </w:p>
    <w:p w:rsidR="000C15D8" w:rsidRPr="00CD2EAC" w:rsidRDefault="000C15D8" w:rsidP="007473B7">
      <w:pPr>
        <w:widowControl/>
        <w:rPr>
          <w:szCs w:val="22"/>
        </w:rPr>
      </w:pPr>
    </w:p>
    <w:p w:rsidR="00576972" w:rsidRPr="002C2775" w:rsidRDefault="00576972" w:rsidP="007473B7">
      <w:pPr>
        <w:pStyle w:val="Heading2"/>
        <w:keepNext/>
        <w:widowControl/>
        <w:rPr>
          <w:i/>
          <w:szCs w:val="22"/>
        </w:rPr>
      </w:pPr>
      <w:bookmarkStart w:id="21" w:name="_Toc419464757"/>
      <w:r w:rsidRPr="002C2775">
        <w:rPr>
          <w:i/>
        </w:rPr>
        <w:t>Financial Management – Risk Sharing Arrangements</w:t>
      </w:r>
      <w:bookmarkEnd w:id="21"/>
    </w:p>
    <w:p w:rsidR="00C25D9C" w:rsidRPr="00576972" w:rsidRDefault="00C25D9C" w:rsidP="007473B7">
      <w:pPr>
        <w:keepNext/>
        <w:widowControl/>
        <w:rPr>
          <w:szCs w:val="22"/>
        </w:rPr>
      </w:pPr>
    </w:p>
    <w:p w:rsidR="00C25D9C" w:rsidRPr="00D06A1E" w:rsidRDefault="00B7365A" w:rsidP="007473B7">
      <w:pPr>
        <w:pStyle w:val="ListParagraph"/>
        <w:widowControl/>
        <w:numPr>
          <w:ilvl w:val="1"/>
          <w:numId w:val="3"/>
        </w:numPr>
        <w:rPr>
          <w:rFonts w:eastAsia="SimSun"/>
          <w:color w:val="000000" w:themeColor="text1"/>
          <w:szCs w:val="22"/>
        </w:rPr>
      </w:pPr>
      <w:r w:rsidRPr="00B7365A">
        <w:t>T</w:t>
      </w:r>
      <w:r w:rsidR="00576972" w:rsidRPr="00B7365A">
        <w:t>he submission state</w:t>
      </w:r>
      <w:r w:rsidR="00533F37">
        <w:t>d</w:t>
      </w:r>
      <w:r w:rsidR="00576972" w:rsidRPr="00B7365A">
        <w:t xml:space="preserve"> that the sponsor </w:t>
      </w:r>
      <w:r w:rsidR="00BC2779">
        <w:t>wa</w:t>
      </w:r>
      <w:r w:rsidR="00576972" w:rsidRPr="00B7365A">
        <w:t>s willing to under</w:t>
      </w:r>
      <w:r w:rsidRPr="00B7365A">
        <w:t>take a risk sharing arrangement.</w:t>
      </w:r>
      <w:r w:rsidR="00576972" w:rsidRPr="00B7365A">
        <w:t xml:space="preserve"> </w:t>
      </w:r>
      <w:r w:rsidRPr="00B7365A">
        <w:rPr>
          <w:rFonts w:eastAsia="SimSun"/>
        </w:rPr>
        <w:t xml:space="preserve">No </w:t>
      </w:r>
      <w:r w:rsidR="00C90F19">
        <w:rPr>
          <w:rFonts w:eastAsia="SimSun"/>
        </w:rPr>
        <w:t xml:space="preserve">further </w:t>
      </w:r>
      <w:r w:rsidRPr="00B7365A">
        <w:rPr>
          <w:rFonts w:eastAsia="SimSun"/>
          <w:color w:val="000000" w:themeColor="text1"/>
        </w:rPr>
        <w:t xml:space="preserve">details </w:t>
      </w:r>
      <w:r w:rsidR="004E76E0">
        <w:rPr>
          <w:rFonts w:eastAsia="SimSun"/>
          <w:color w:val="000000" w:themeColor="text1"/>
        </w:rPr>
        <w:t>were provided</w:t>
      </w:r>
      <w:r w:rsidRPr="00B7365A">
        <w:rPr>
          <w:rFonts w:eastAsia="SimSun"/>
          <w:color w:val="000000" w:themeColor="text1"/>
        </w:rPr>
        <w:t>.</w:t>
      </w:r>
    </w:p>
    <w:p w:rsidR="00D06A1E" w:rsidRDefault="00D06A1E" w:rsidP="007473B7">
      <w:pPr>
        <w:pStyle w:val="PBACHeading1"/>
        <w:numPr>
          <w:ilvl w:val="0"/>
          <w:numId w:val="0"/>
        </w:numPr>
        <w:ind w:left="720" w:hanging="720"/>
        <w:rPr>
          <w:rFonts w:eastAsia="SimSun"/>
        </w:rPr>
      </w:pPr>
    </w:p>
    <w:p w:rsidR="0018787D" w:rsidRPr="00D06A1E" w:rsidRDefault="0018787D" w:rsidP="007473B7">
      <w:pPr>
        <w:pStyle w:val="PBACHeading1"/>
        <w:numPr>
          <w:ilvl w:val="0"/>
          <w:numId w:val="0"/>
        </w:numPr>
        <w:ind w:left="720"/>
        <w:rPr>
          <w:b w:val="0"/>
          <w:i/>
        </w:rPr>
      </w:pPr>
      <w:r w:rsidRPr="0018787D">
        <w:rPr>
          <w:b w:val="0"/>
          <w:i/>
        </w:rPr>
        <w:t>For more detail on PBAC’s view, see section 7 “PBAC outcome”</w:t>
      </w:r>
    </w:p>
    <w:p w:rsidR="001D6F94" w:rsidRDefault="001D6F94" w:rsidP="007473B7">
      <w:pPr>
        <w:widowControl/>
        <w:rPr>
          <w:szCs w:val="22"/>
        </w:rPr>
      </w:pPr>
    </w:p>
    <w:p w:rsidR="00DC0BD5" w:rsidRPr="00F24837" w:rsidRDefault="00DC0BD5" w:rsidP="007473B7">
      <w:pPr>
        <w:widowControl/>
        <w:rPr>
          <w:szCs w:val="22"/>
        </w:rPr>
      </w:pPr>
    </w:p>
    <w:p w:rsidR="00D06A1E" w:rsidRPr="00C44BC0" w:rsidRDefault="00D06A1E" w:rsidP="007473B7">
      <w:pPr>
        <w:widowControl/>
        <w:numPr>
          <w:ilvl w:val="0"/>
          <w:numId w:val="3"/>
        </w:numPr>
        <w:rPr>
          <w:b/>
          <w:bCs/>
          <w:szCs w:val="22"/>
        </w:rPr>
      </w:pPr>
      <w:r w:rsidRPr="00C44BC0">
        <w:rPr>
          <w:b/>
          <w:bCs/>
          <w:szCs w:val="22"/>
        </w:rPr>
        <w:t>PBAC Outcome</w:t>
      </w:r>
    </w:p>
    <w:p w:rsidR="00D06A1E" w:rsidRPr="00C44BC0" w:rsidRDefault="00D06A1E" w:rsidP="007473B7">
      <w:pPr>
        <w:widowControl/>
        <w:contextualSpacing/>
        <w:rPr>
          <w:b/>
          <w:bCs/>
          <w:szCs w:val="22"/>
          <w:lang w:val="en-GB"/>
        </w:rPr>
      </w:pPr>
    </w:p>
    <w:p w:rsidR="007B0304" w:rsidRPr="00C44BC0" w:rsidRDefault="00C14DD3" w:rsidP="007473B7">
      <w:pPr>
        <w:widowControl/>
        <w:numPr>
          <w:ilvl w:val="1"/>
          <w:numId w:val="3"/>
        </w:numPr>
        <w:contextualSpacing/>
        <w:rPr>
          <w:bCs/>
          <w:szCs w:val="22"/>
          <w:lang w:val="en-GB"/>
        </w:rPr>
      </w:pPr>
      <w:r w:rsidRPr="00C44BC0">
        <w:rPr>
          <w:bCs/>
          <w:szCs w:val="22"/>
          <w:lang w:val="en-GB"/>
        </w:rPr>
        <w:t>The PBAC</w:t>
      </w:r>
      <w:r w:rsidR="007473B7">
        <w:rPr>
          <w:bCs/>
          <w:szCs w:val="22"/>
          <w:lang w:val="en-GB"/>
        </w:rPr>
        <w:t xml:space="preserve"> rejected the request </w:t>
      </w:r>
      <w:r w:rsidR="00DC0BD5">
        <w:rPr>
          <w:bCs/>
          <w:szCs w:val="22"/>
          <w:lang w:val="en-GB"/>
        </w:rPr>
        <w:t>to list</w:t>
      </w:r>
      <w:r w:rsidR="006A7317">
        <w:rPr>
          <w:bCs/>
          <w:szCs w:val="22"/>
          <w:lang w:val="en-GB"/>
        </w:rPr>
        <w:t xml:space="preserve"> </w:t>
      </w:r>
      <w:r w:rsidRPr="00C44BC0">
        <w:rPr>
          <w:bCs/>
          <w:szCs w:val="22"/>
          <w:lang w:val="en-GB"/>
        </w:rPr>
        <w:t xml:space="preserve">carglumic acid </w:t>
      </w:r>
      <w:r w:rsidR="00DC0BD5">
        <w:rPr>
          <w:bCs/>
          <w:szCs w:val="22"/>
          <w:lang w:val="en-GB"/>
        </w:rPr>
        <w:t xml:space="preserve">on the PBS </w:t>
      </w:r>
      <w:r w:rsidRPr="00C44BC0">
        <w:rPr>
          <w:bCs/>
          <w:szCs w:val="22"/>
          <w:lang w:val="en-GB"/>
        </w:rPr>
        <w:t>for the treatment of hyperammonaemia</w:t>
      </w:r>
      <w:r w:rsidR="007473B7">
        <w:rPr>
          <w:bCs/>
          <w:szCs w:val="22"/>
          <w:lang w:val="en-GB"/>
        </w:rPr>
        <w:t xml:space="preserve"> on the basis that it considered that the PBS was not the appropriate mechanism for dispensing carglumic acid, in light of advice provided by the ASIEM</w:t>
      </w:r>
      <w:r w:rsidR="007B0304" w:rsidRPr="00C44BC0">
        <w:rPr>
          <w:bCs/>
          <w:szCs w:val="22"/>
          <w:lang w:val="en-GB"/>
        </w:rPr>
        <w:t xml:space="preserve">. </w:t>
      </w:r>
    </w:p>
    <w:p w:rsidR="007B0304" w:rsidRPr="00C44BC0" w:rsidRDefault="007B0304" w:rsidP="007473B7">
      <w:pPr>
        <w:widowControl/>
        <w:ind w:left="720"/>
        <w:contextualSpacing/>
        <w:rPr>
          <w:bCs/>
          <w:szCs w:val="22"/>
          <w:lang w:val="en-GB"/>
        </w:rPr>
      </w:pPr>
    </w:p>
    <w:p w:rsidR="00C44BC0" w:rsidRDefault="00C44BC0" w:rsidP="007473B7">
      <w:pPr>
        <w:widowControl/>
        <w:numPr>
          <w:ilvl w:val="1"/>
          <w:numId w:val="3"/>
        </w:numPr>
        <w:contextualSpacing/>
        <w:rPr>
          <w:bCs/>
          <w:szCs w:val="22"/>
          <w:lang w:val="en-GB"/>
        </w:rPr>
      </w:pPr>
      <w:r w:rsidRPr="00C44BC0">
        <w:rPr>
          <w:bCs/>
          <w:szCs w:val="22"/>
          <w:lang w:val="en-GB"/>
        </w:rPr>
        <w:t>The PBAC noted the ASIEM advice</w:t>
      </w:r>
      <w:r w:rsidRPr="00C44BC0">
        <w:rPr>
          <w:color w:val="000000" w:themeColor="text1"/>
          <w:szCs w:val="22"/>
        </w:rPr>
        <w:t xml:space="preserve"> that carglumic acid has only been used in the setting of hospital admission</w:t>
      </w:r>
      <w:r w:rsidR="003C56D2">
        <w:rPr>
          <w:color w:val="000000" w:themeColor="text1"/>
          <w:szCs w:val="22"/>
        </w:rPr>
        <w:t>,</w:t>
      </w:r>
      <w:r w:rsidRPr="00C44BC0">
        <w:rPr>
          <w:color w:val="000000" w:themeColor="text1"/>
          <w:szCs w:val="22"/>
        </w:rPr>
        <w:t xml:space="preserve"> and considered that </w:t>
      </w:r>
      <w:r w:rsidRPr="00C44BC0">
        <w:rPr>
          <w:bCs/>
          <w:szCs w:val="22"/>
          <w:lang w:val="en-GB"/>
        </w:rPr>
        <w:t>the provision of carglumic acid to neonates and older children would constitute routine care provided by hospitals in the context of acute decompensation episodes.</w:t>
      </w:r>
      <w:r w:rsidR="000F3F86">
        <w:rPr>
          <w:bCs/>
          <w:szCs w:val="22"/>
          <w:lang w:val="en-GB"/>
        </w:rPr>
        <w:t xml:space="preserve"> In this regard, the PBAC </w:t>
      </w:r>
      <w:r w:rsidR="000F3F86" w:rsidRPr="00C44BC0">
        <w:rPr>
          <w:bCs/>
          <w:szCs w:val="22"/>
          <w:lang w:val="en-GB"/>
        </w:rPr>
        <w:t>consider</w:t>
      </w:r>
      <w:r w:rsidR="000F3F86">
        <w:rPr>
          <w:bCs/>
          <w:szCs w:val="22"/>
          <w:lang w:val="en-GB"/>
        </w:rPr>
        <w:t>ed</w:t>
      </w:r>
      <w:r w:rsidR="000F3F86" w:rsidRPr="00C44BC0">
        <w:rPr>
          <w:bCs/>
          <w:szCs w:val="22"/>
          <w:lang w:val="en-GB"/>
        </w:rPr>
        <w:t xml:space="preserve"> that </w:t>
      </w:r>
      <w:r w:rsidR="000F3F86">
        <w:rPr>
          <w:bCs/>
          <w:szCs w:val="22"/>
          <w:lang w:val="en-GB"/>
        </w:rPr>
        <w:t xml:space="preserve">there was no unmet clinical need to be addressed through listing carglumic acid on the PBS. </w:t>
      </w:r>
    </w:p>
    <w:p w:rsidR="000F3F86" w:rsidRPr="00C44BC0" w:rsidRDefault="000F3F86" w:rsidP="000F3F86">
      <w:pPr>
        <w:widowControl/>
        <w:contextualSpacing/>
        <w:rPr>
          <w:bCs/>
          <w:szCs w:val="22"/>
          <w:lang w:val="en-GB"/>
        </w:rPr>
      </w:pPr>
    </w:p>
    <w:p w:rsidR="003C56D2" w:rsidRPr="00233F3B" w:rsidRDefault="003C56D2" w:rsidP="00233F3B">
      <w:pPr>
        <w:widowControl/>
        <w:numPr>
          <w:ilvl w:val="1"/>
          <w:numId w:val="3"/>
        </w:numPr>
        <w:contextualSpacing/>
        <w:rPr>
          <w:bCs/>
          <w:szCs w:val="22"/>
          <w:lang w:val="en-GB"/>
        </w:rPr>
      </w:pPr>
      <w:r w:rsidRPr="00C44BC0">
        <w:t xml:space="preserve">The PBAC noted that the </w:t>
      </w:r>
      <w:r w:rsidR="006A7317">
        <w:t>submission did not</w:t>
      </w:r>
      <w:r w:rsidRPr="00C44BC0">
        <w:t xml:space="preserve"> provide evidence to support the sponsor’s assertions that carglumic acid </w:t>
      </w:r>
      <w:r w:rsidR="006A7317">
        <w:t xml:space="preserve">is currently being used </w:t>
      </w:r>
      <w:r w:rsidRPr="00C44BC0">
        <w:t>in an outpatient setting</w:t>
      </w:r>
      <w:r w:rsidR="00C0659A">
        <w:t>,</w:t>
      </w:r>
      <w:r w:rsidRPr="00C44BC0">
        <w:t xml:space="preserve"> and that cost was a barrier to </w:t>
      </w:r>
      <w:r w:rsidR="006A7317">
        <w:t>access</w:t>
      </w:r>
      <w:r w:rsidR="00233F3B">
        <w:t>ing</w:t>
      </w:r>
      <w:r w:rsidR="006A7317">
        <w:t xml:space="preserve"> </w:t>
      </w:r>
      <w:r>
        <w:t>treatment.</w:t>
      </w:r>
    </w:p>
    <w:p w:rsidR="000F3F86" w:rsidRDefault="000F3F86" w:rsidP="000F3F86">
      <w:pPr>
        <w:pStyle w:val="ListParagraph"/>
        <w:widowControl/>
        <w:rPr>
          <w:bCs/>
          <w:szCs w:val="22"/>
          <w:lang w:val="en-GB"/>
        </w:rPr>
      </w:pPr>
    </w:p>
    <w:p w:rsidR="000F3F86" w:rsidRDefault="000F3F86" w:rsidP="000F3F86">
      <w:pPr>
        <w:widowControl/>
        <w:numPr>
          <w:ilvl w:val="1"/>
          <w:numId w:val="3"/>
        </w:numPr>
        <w:contextualSpacing/>
        <w:rPr>
          <w:bCs/>
          <w:szCs w:val="22"/>
          <w:lang w:val="en-GB"/>
        </w:rPr>
      </w:pPr>
      <w:r>
        <w:rPr>
          <w:bCs/>
          <w:szCs w:val="22"/>
          <w:lang w:val="en-GB"/>
        </w:rPr>
        <w:t>The PBAC agreed that standard care without carglumic acid was the appropriate comparator.</w:t>
      </w:r>
    </w:p>
    <w:p w:rsidR="000F3F86" w:rsidRDefault="000F3F86" w:rsidP="000F3F86">
      <w:pPr>
        <w:widowControl/>
        <w:ind w:left="720"/>
        <w:contextualSpacing/>
        <w:rPr>
          <w:bCs/>
          <w:szCs w:val="22"/>
          <w:lang w:val="en-GB"/>
        </w:rPr>
      </w:pPr>
    </w:p>
    <w:p w:rsidR="000F3F86" w:rsidRDefault="000F3F86" w:rsidP="000F3F86">
      <w:pPr>
        <w:widowControl/>
        <w:numPr>
          <w:ilvl w:val="1"/>
          <w:numId w:val="3"/>
        </w:numPr>
        <w:contextualSpacing/>
        <w:rPr>
          <w:bCs/>
          <w:szCs w:val="22"/>
          <w:lang w:val="en-GB"/>
        </w:rPr>
      </w:pPr>
      <w:r>
        <w:rPr>
          <w:bCs/>
          <w:szCs w:val="22"/>
          <w:lang w:val="en-GB"/>
        </w:rPr>
        <w:t>The PBAC noted that the available evidence for carglumic acid for this indication was limited to non-randomised case report studies</w:t>
      </w:r>
      <w:r w:rsidR="006A7317">
        <w:rPr>
          <w:bCs/>
          <w:szCs w:val="22"/>
          <w:lang w:val="en-GB"/>
        </w:rPr>
        <w:t xml:space="preserve"> with no comparator arm and very short follow-up periods</w:t>
      </w:r>
      <w:r>
        <w:rPr>
          <w:bCs/>
          <w:szCs w:val="22"/>
          <w:lang w:val="en-GB"/>
        </w:rPr>
        <w:t xml:space="preserve">. </w:t>
      </w:r>
      <w:r w:rsidR="00FB2BE5">
        <w:rPr>
          <w:bCs/>
          <w:szCs w:val="22"/>
          <w:lang w:val="en-GB"/>
        </w:rPr>
        <w:t>However, t</w:t>
      </w:r>
      <w:r>
        <w:rPr>
          <w:bCs/>
          <w:szCs w:val="22"/>
          <w:lang w:val="en-GB"/>
        </w:rPr>
        <w:t>he PBAC noted</w:t>
      </w:r>
      <w:r w:rsidR="00FB2BE5">
        <w:rPr>
          <w:bCs/>
          <w:szCs w:val="22"/>
          <w:lang w:val="en-GB"/>
        </w:rPr>
        <w:t xml:space="preserve"> </w:t>
      </w:r>
      <w:r>
        <w:rPr>
          <w:bCs/>
          <w:szCs w:val="22"/>
          <w:lang w:val="en-GB"/>
        </w:rPr>
        <w:t xml:space="preserve">the challenges regarding availability of reliable data given the rarity of the condition. </w:t>
      </w:r>
    </w:p>
    <w:p w:rsidR="000F3F86" w:rsidRDefault="000F3F86" w:rsidP="000F3F86">
      <w:pPr>
        <w:widowControl/>
        <w:ind w:left="720"/>
        <w:contextualSpacing/>
        <w:rPr>
          <w:bCs/>
          <w:szCs w:val="22"/>
          <w:lang w:val="en-GB"/>
        </w:rPr>
      </w:pPr>
    </w:p>
    <w:p w:rsidR="000F3F86" w:rsidRPr="00FB2BE5" w:rsidRDefault="000F3F86" w:rsidP="006A7317">
      <w:pPr>
        <w:widowControl/>
        <w:numPr>
          <w:ilvl w:val="1"/>
          <w:numId w:val="3"/>
        </w:numPr>
        <w:contextualSpacing/>
        <w:rPr>
          <w:bCs/>
          <w:szCs w:val="22"/>
          <w:lang w:val="en-GB"/>
        </w:rPr>
      </w:pPr>
      <w:r>
        <w:rPr>
          <w:bCs/>
          <w:szCs w:val="22"/>
          <w:lang w:val="en-GB"/>
        </w:rPr>
        <w:t>The</w:t>
      </w:r>
      <w:r w:rsidRPr="00C44BC0">
        <w:rPr>
          <w:bCs/>
          <w:szCs w:val="22"/>
          <w:lang w:val="en-GB"/>
        </w:rPr>
        <w:t xml:space="preserve"> PBAC </w:t>
      </w:r>
      <w:r>
        <w:rPr>
          <w:bCs/>
          <w:szCs w:val="22"/>
          <w:lang w:val="en-GB"/>
        </w:rPr>
        <w:t xml:space="preserve">considered it </w:t>
      </w:r>
      <w:r w:rsidRPr="00C44BC0">
        <w:rPr>
          <w:szCs w:val="22"/>
        </w:rPr>
        <w:t>reasonable to expect that treatment with carglumic acid, along with current standard therapy,</w:t>
      </w:r>
      <w:r>
        <w:rPr>
          <w:szCs w:val="22"/>
        </w:rPr>
        <w:t xml:space="preserve"> wou</w:t>
      </w:r>
      <w:r w:rsidRPr="00C44BC0">
        <w:rPr>
          <w:szCs w:val="22"/>
        </w:rPr>
        <w:t>l</w:t>
      </w:r>
      <w:r>
        <w:rPr>
          <w:szCs w:val="22"/>
        </w:rPr>
        <w:t>d</w:t>
      </w:r>
      <w:r w:rsidRPr="00C44BC0">
        <w:rPr>
          <w:szCs w:val="22"/>
        </w:rPr>
        <w:t xml:space="preserve"> lead to a decrease in plasma ammonia levels</w:t>
      </w:r>
      <w:r>
        <w:rPr>
          <w:szCs w:val="22"/>
        </w:rPr>
        <w:t xml:space="preserve"> in the short term</w:t>
      </w:r>
      <w:r w:rsidR="006A7317">
        <w:rPr>
          <w:szCs w:val="22"/>
        </w:rPr>
        <w:t xml:space="preserve"> and carglumic acid is likely to have a reasonable safety profile</w:t>
      </w:r>
      <w:r>
        <w:rPr>
          <w:szCs w:val="22"/>
        </w:rPr>
        <w:t xml:space="preserve">. However </w:t>
      </w:r>
      <w:r w:rsidR="006A7317">
        <w:rPr>
          <w:szCs w:val="22"/>
        </w:rPr>
        <w:t xml:space="preserve">the effect of carglumic acid on long-term patient outcomes, such as mortality and developmental retardation </w:t>
      </w:r>
      <w:r w:rsidR="0019220F">
        <w:rPr>
          <w:szCs w:val="22"/>
        </w:rPr>
        <w:t>wa</w:t>
      </w:r>
      <w:r w:rsidR="006A7317">
        <w:rPr>
          <w:szCs w:val="22"/>
        </w:rPr>
        <w:t xml:space="preserve">s unknown. Further, the PBAC noted that </w:t>
      </w:r>
      <w:r w:rsidR="006A7317" w:rsidRPr="006A7317">
        <w:rPr>
          <w:szCs w:val="22"/>
        </w:rPr>
        <w:t xml:space="preserve">the comparative safety and </w:t>
      </w:r>
      <w:r w:rsidR="006A7317">
        <w:rPr>
          <w:szCs w:val="22"/>
        </w:rPr>
        <w:t>efficacy</w:t>
      </w:r>
      <w:r w:rsidR="006A7317" w:rsidRPr="006A7317">
        <w:rPr>
          <w:szCs w:val="22"/>
        </w:rPr>
        <w:t xml:space="preserve"> of carglumic acid plus standard therapy versus standard therapy alone </w:t>
      </w:r>
      <w:r w:rsidR="0019220F">
        <w:rPr>
          <w:szCs w:val="22"/>
        </w:rPr>
        <w:t>wa</w:t>
      </w:r>
      <w:r w:rsidR="006A7317">
        <w:rPr>
          <w:szCs w:val="22"/>
        </w:rPr>
        <w:t>s</w:t>
      </w:r>
      <w:r w:rsidR="006A7317" w:rsidRPr="006A7317">
        <w:rPr>
          <w:szCs w:val="22"/>
        </w:rPr>
        <w:t xml:space="preserve"> also unknown.</w:t>
      </w:r>
    </w:p>
    <w:p w:rsidR="006A7317" w:rsidRDefault="006A7317" w:rsidP="006A7317">
      <w:pPr>
        <w:pStyle w:val="ListParagraph"/>
        <w:rPr>
          <w:bCs/>
          <w:szCs w:val="22"/>
          <w:lang w:val="en-GB"/>
        </w:rPr>
      </w:pPr>
    </w:p>
    <w:p w:rsidR="006A7317" w:rsidRDefault="006A7317" w:rsidP="006A7317">
      <w:pPr>
        <w:widowControl/>
        <w:numPr>
          <w:ilvl w:val="1"/>
          <w:numId w:val="3"/>
        </w:numPr>
        <w:contextualSpacing/>
        <w:rPr>
          <w:bCs/>
          <w:szCs w:val="22"/>
          <w:lang w:val="en-GB"/>
        </w:rPr>
      </w:pPr>
      <w:r>
        <w:rPr>
          <w:bCs/>
          <w:szCs w:val="22"/>
          <w:lang w:val="en-GB"/>
        </w:rPr>
        <w:t xml:space="preserve">The PBAC noted that the cost effectiveness analysis provided in the submission was uninformative due to the issues raised by the ESC </w:t>
      </w:r>
      <w:r w:rsidRPr="00560265">
        <w:rPr>
          <w:bCs/>
          <w:szCs w:val="22"/>
          <w:lang w:val="en-GB"/>
        </w:rPr>
        <w:t>(see paragraph 6.19).</w:t>
      </w:r>
    </w:p>
    <w:p w:rsidR="00FA1133" w:rsidRDefault="00FA1133" w:rsidP="00FA1133">
      <w:pPr>
        <w:pStyle w:val="ListParagraph"/>
        <w:rPr>
          <w:bCs/>
          <w:szCs w:val="22"/>
          <w:lang w:val="en-GB"/>
        </w:rPr>
      </w:pPr>
    </w:p>
    <w:p w:rsidR="00FA1133" w:rsidRDefault="00FA1133" w:rsidP="006A7317">
      <w:pPr>
        <w:widowControl/>
        <w:numPr>
          <w:ilvl w:val="1"/>
          <w:numId w:val="3"/>
        </w:numPr>
        <w:contextualSpacing/>
        <w:rPr>
          <w:bCs/>
          <w:szCs w:val="22"/>
          <w:lang w:val="en-GB"/>
        </w:rPr>
      </w:pPr>
      <w:r>
        <w:rPr>
          <w:bCs/>
          <w:szCs w:val="22"/>
          <w:lang w:val="en-GB"/>
        </w:rPr>
        <w:t xml:space="preserve">The PBAC noted the challenges in identifying the patient population for this indication and that the estimated number of patients could not be independently verified. </w:t>
      </w:r>
    </w:p>
    <w:p w:rsidR="006A7317" w:rsidRDefault="006A7317" w:rsidP="006A7317">
      <w:pPr>
        <w:pStyle w:val="ListParagraph"/>
        <w:rPr>
          <w:bCs/>
          <w:szCs w:val="22"/>
          <w:lang w:val="en-GB"/>
        </w:rPr>
      </w:pPr>
    </w:p>
    <w:p w:rsidR="006A7317" w:rsidRPr="000F3F86" w:rsidRDefault="006A7317" w:rsidP="006A7317">
      <w:pPr>
        <w:widowControl/>
        <w:numPr>
          <w:ilvl w:val="1"/>
          <w:numId w:val="3"/>
        </w:numPr>
        <w:contextualSpacing/>
        <w:rPr>
          <w:bCs/>
          <w:szCs w:val="22"/>
          <w:lang w:val="en-GB"/>
        </w:rPr>
      </w:pPr>
      <w:r>
        <w:rPr>
          <w:bCs/>
          <w:szCs w:val="22"/>
          <w:lang w:val="en-GB"/>
        </w:rPr>
        <w:t>The PBAC noted that this submission is eligible for an Independent Review.</w:t>
      </w:r>
    </w:p>
    <w:p w:rsidR="00D06A1E" w:rsidRDefault="00D06A1E" w:rsidP="007473B7">
      <w:pPr>
        <w:widowControl/>
        <w:rPr>
          <w:b/>
          <w:bCs/>
          <w:szCs w:val="22"/>
          <w:lang w:val="en-GB"/>
        </w:rPr>
      </w:pPr>
    </w:p>
    <w:p w:rsidR="00D06A1E" w:rsidRPr="00C44BC0" w:rsidRDefault="00D06A1E" w:rsidP="007473B7">
      <w:pPr>
        <w:widowControl/>
        <w:rPr>
          <w:b/>
          <w:bCs/>
          <w:szCs w:val="22"/>
          <w:lang w:val="en-GB"/>
        </w:rPr>
      </w:pPr>
      <w:r w:rsidRPr="00C44BC0">
        <w:rPr>
          <w:b/>
          <w:bCs/>
          <w:szCs w:val="22"/>
          <w:lang w:val="en-GB"/>
        </w:rPr>
        <w:t>Outcome:</w:t>
      </w:r>
    </w:p>
    <w:p w:rsidR="00D06A1E" w:rsidRPr="00C44BC0" w:rsidRDefault="00D06A1E" w:rsidP="007473B7">
      <w:pPr>
        <w:widowControl/>
        <w:rPr>
          <w:bCs/>
          <w:szCs w:val="22"/>
          <w:lang w:val="en-GB"/>
        </w:rPr>
      </w:pPr>
      <w:r w:rsidRPr="00C44BC0">
        <w:rPr>
          <w:bCs/>
          <w:szCs w:val="22"/>
          <w:lang w:val="en-GB"/>
        </w:rPr>
        <w:t xml:space="preserve">Rejected </w:t>
      </w:r>
    </w:p>
    <w:p w:rsidR="00D06A1E" w:rsidRDefault="00D06A1E" w:rsidP="007473B7">
      <w:pPr>
        <w:widowControl/>
        <w:rPr>
          <w:b/>
          <w:bCs/>
          <w:szCs w:val="22"/>
          <w:highlight w:val="yellow"/>
        </w:rPr>
      </w:pPr>
    </w:p>
    <w:p w:rsidR="007B1C1A" w:rsidRPr="007B1C1A" w:rsidRDefault="007B1C1A" w:rsidP="007B1C1A">
      <w:pPr>
        <w:widowControl/>
        <w:numPr>
          <w:ilvl w:val="0"/>
          <w:numId w:val="3"/>
        </w:numPr>
        <w:rPr>
          <w:b/>
          <w:bCs/>
          <w:szCs w:val="22"/>
        </w:rPr>
      </w:pPr>
      <w:r w:rsidRPr="007B1C1A">
        <w:rPr>
          <w:b/>
          <w:bCs/>
          <w:szCs w:val="22"/>
        </w:rPr>
        <w:t>Context for Decision</w:t>
      </w:r>
    </w:p>
    <w:p w:rsidR="007B1C1A" w:rsidRPr="007B1C1A" w:rsidRDefault="007B1C1A" w:rsidP="007B1C1A">
      <w:pPr>
        <w:widowControl/>
        <w:rPr>
          <w:b/>
          <w:bCs/>
          <w:szCs w:val="22"/>
        </w:rPr>
      </w:pPr>
    </w:p>
    <w:p w:rsidR="007B1C1A" w:rsidRPr="007B1C1A" w:rsidRDefault="007B1C1A" w:rsidP="002D44E3">
      <w:pPr>
        <w:widowControl/>
        <w:ind w:left="720"/>
        <w:rPr>
          <w:bCs/>
          <w:szCs w:val="22"/>
        </w:rPr>
      </w:pPr>
      <w:r w:rsidRPr="007B1C1A">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B1C1A" w:rsidRPr="007B1C1A" w:rsidRDefault="007B1C1A" w:rsidP="007B1C1A">
      <w:pPr>
        <w:widowControl/>
        <w:rPr>
          <w:b/>
          <w:bCs/>
          <w:szCs w:val="22"/>
        </w:rPr>
      </w:pPr>
    </w:p>
    <w:p w:rsidR="007B1C1A" w:rsidRPr="007B1C1A" w:rsidRDefault="007B1C1A" w:rsidP="007B1C1A">
      <w:pPr>
        <w:widowControl/>
        <w:numPr>
          <w:ilvl w:val="0"/>
          <w:numId w:val="3"/>
        </w:numPr>
        <w:rPr>
          <w:b/>
          <w:bCs/>
          <w:szCs w:val="22"/>
        </w:rPr>
      </w:pPr>
      <w:r w:rsidRPr="007B1C1A">
        <w:rPr>
          <w:b/>
          <w:bCs/>
          <w:szCs w:val="22"/>
        </w:rPr>
        <w:t>Sponsor’s Comment</w:t>
      </w:r>
    </w:p>
    <w:p w:rsidR="007B1C1A" w:rsidRDefault="007B1C1A" w:rsidP="007B1C1A">
      <w:pPr>
        <w:widowControl/>
        <w:rPr>
          <w:b/>
          <w:bCs/>
          <w:szCs w:val="22"/>
        </w:rPr>
      </w:pPr>
    </w:p>
    <w:p w:rsidR="00A65CA9" w:rsidRPr="00A65CA9" w:rsidRDefault="00A65CA9" w:rsidP="00A65CA9">
      <w:pPr>
        <w:widowControl/>
        <w:ind w:left="720"/>
        <w:rPr>
          <w:bCs/>
          <w:szCs w:val="22"/>
        </w:rPr>
      </w:pPr>
      <w:r>
        <w:rPr>
          <w:bCs/>
          <w:szCs w:val="22"/>
        </w:rPr>
        <w:t>The sponsor had no comment.</w:t>
      </w:r>
    </w:p>
    <w:p w:rsidR="007B1C1A" w:rsidRDefault="007B1C1A" w:rsidP="007473B7">
      <w:pPr>
        <w:widowControl/>
        <w:rPr>
          <w:b/>
          <w:bCs/>
          <w:szCs w:val="22"/>
          <w:highlight w:val="yellow"/>
        </w:rPr>
      </w:pPr>
    </w:p>
    <w:p w:rsidR="00A564AA" w:rsidRPr="00D06A1E" w:rsidRDefault="00A564AA" w:rsidP="007473B7">
      <w:pPr>
        <w:widowControl/>
        <w:jc w:val="left"/>
        <w:rPr>
          <w:b/>
        </w:rPr>
      </w:pPr>
    </w:p>
    <w:sectPr w:rsidR="00A564AA" w:rsidRPr="00D06A1E" w:rsidSect="00B87D6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01A8B" w15:done="0"/>
  <w15:commentEx w15:paraId="7036FD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4CC" w:rsidRDefault="005B64CC" w:rsidP="00124A51">
      <w:r>
        <w:separator/>
      </w:r>
    </w:p>
  </w:endnote>
  <w:endnote w:type="continuationSeparator" w:id="0">
    <w:p w:rsidR="005B64CC" w:rsidRDefault="005B64C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A9" w:rsidRDefault="00A65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E7" w:rsidRPr="00D13A3E" w:rsidRDefault="00E363E7" w:rsidP="00015886">
    <w:pPr>
      <w:ind w:right="360"/>
      <w:jc w:val="center"/>
      <w:rPr>
        <w:b/>
        <w:sz w:val="20"/>
      </w:rPr>
    </w:pPr>
  </w:p>
  <w:p w:rsidR="00E363E7" w:rsidRPr="00651169" w:rsidRDefault="00E363E7" w:rsidP="00136545">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A22B2A">
      <w:rPr>
        <w:noProof/>
        <w:sz w:val="20"/>
      </w:rPr>
      <w:t>1</w:t>
    </w:r>
    <w:r w:rsidRPr="00651169">
      <w:rPr>
        <w:noProof/>
        <w:sz w:val="20"/>
      </w:rPr>
      <w:fldChar w:fldCharType="end"/>
    </w:r>
  </w:p>
  <w:p w:rsidR="00E363E7" w:rsidRPr="00015886" w:rsidRDefault="00E363E7"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A9" w:rsidRDefault="00A65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4CC" w:rsidRDefault="005B64CC" w:rsidP="00124A51">
      <w:r>
        <w:separator/>
      </w:r>
    </w:p>
  </w:footnote>
  <w:footnote w:type="continuationSeparator" w:id="0">
    <w:p w:rsidR="005B64CC" w:rsidRDefault="005B64C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A9" w:rsidRDefault="00A65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E7" w:rsidRDefault="00E363E7" w:rsidP="00606802">
    <w:pPr>
      <w:tabs>
        <w:tab w:val="left" w:pos="142"/>
        <w:tab w:val="right" w:pos="9027"/>
      </w:tabs>
      <w:jc w:val="right"/>
      <w:rPr>
        <w:color w:val="D9D9D9" w:themeColor="background1" w:themeShade="D9"/>
      </w:rPr>
    </w:pPr>
  </w:p>
  <w:p w:rsidR="00E363E7" w:rsidRDefault="00E363E7" w:rsidP="00606802">
    <w:pPr>
      <w:tabs>
        <w:tab w:val="left" w:pos="142"/>
        <w:tab w:val="right" w:pos="9027"/>
      </w:tabs>
      <w:jc w:val="right"/>
      <w:rPr>
        <w:color w:val="D9D9D9" w:themeColor="background1" w:themeShade="D9"/>
      </w:rPr>
    </w:pPr>
  </w:p>
  <w:p w:rsidR="00E363E7" w:rsidRDefault="00E363E7" w:rsidP="00A65CA9">
    <w:pPr>
      <w:pStyle w:val="Header"/>
      <w:rPr>
        <w:b/>
        <w:bCs/>
        <w:i/>
        <w:color w:val="808080"/>
      </w:rPr>
    </w:pPr>
  </w:p>
  <w:p w:rsidR="00E363E7" w:rsidRPr="00DF217D" w:rsidRDefault="007B1C1A" w:rsidP="00136545">
    <w:pPr>
      <w:pStyle w:val="Header"/>
      <w:ind w:left="360"/>
      <w:jc w:val="center"/>
      <w:rPr>
        <w:i/>
        <w:color w:val="808080"/>
      </w:rPr>
    </w:pPr>
    <w:r>
      <w:rPr>
        <w:i/>
        <w:color w:val="808080"/>
      </w:rPr>
      <w:t xml:space="preserve">Public Summary Document </w:t>
    </w:r>
    <w:r w:rsidR="00E363E7" w:rsidRPr="00DF217D">
      <w:rPr>
        <w:i/>
        <w:color w:val="808080"/>
      </w:rPr>
      <w:t xml:space="preserve">– </w:t>
    </w:r>
    <w:r w:rsidR="00E363E7">
      <w:rPr>
        <w:i/>
        <w:color w:val="808080"/>
      </w:rPr>
      <w:t xml:space="preserve">July 2015 </w:t>
    </w:r>
    <w:r w:rsidR="00E363E7" w:rsidRPr="00DF217D">
      <w:rPr>
        <w:i/>
        <w:color w:val="808080"/>
      </w:rPr>
      <w:t>PBAC</w:t>
    </w:r>
    <w:r w:rsidR="00E363E7">
      <w:rPr>
        <w:i/>
        <w:color w:val="808080"/>
      </w:rPr>
      <w:t xml:space="preserve"> </w:t>
    </w:r>
    <w:r w:rsidR="00E363E7" w:rsidRPr="00DF217D">
      <w:rPr>
        <w:i/>
        <w:color w:val="808080"/>
      </w:rPr>
      <w:t>Meeting</w:t>
    </w:r>
  </w:p>
  <w:p w:rsidR="00E363E7" w:rsidRDefault="00E363E7" w:rsidP="002A29BC">
    <w:pPr>
      <w:tabs>
        <w:tab w:val="left" w:pos="142"/>
        <w:tab w:val="right" w:pos="9027"/>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A9" w:rsidRDefault="00A65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8D9"/>
    <w:multiLevelType w:val="hybridMultilevel"/>
    <w:tmpl w:val="90C0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2F0F01"/>
    <w:multiLevelType w:val="hybridMultilevel"/>
    <w:tmpl w:val="7C60EB1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4A7301"/>
    <w:multiLevelType w:val="hybridMultilevel"/>
    <w:tmpl w:val="7F987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84D4D"/>
    <w:multiLevelType w:val="hybridMultilevel"/>
    <w:tmpl w:val="778E1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B52C93"/>
    <w:multiLevelType w:val="hybridMultilevel"/>
    <w:tmpl w:val="954611C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B26F30"/>
    <w:multiLevelType w:val="hybridMultilevel"/>
    <w:tmpl w:val="B9081B7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nsid w:val="25D105A2"/>
    <w:multiLevelType w:val="hybridMultilevel"/>
    <w:tmpl w:val="97E0E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91275E"/>
    <w:multiLevelType w:val="hybridMultilevel"/>
    <w:tmpl w:val="11F42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7C34E2"/>
    <w:multiLevelType w:val="hybridMultilevel"/>
    <w:tmpl w:val="CED42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751C59"/>
    <w:multiLevelType w:val="hybridMultilevel"/>
    <w:tmpl w:val="E148226A"/>
    <w:lvl w:ilvl="0" w:tplc="88EE797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CE153F2"/>
    <w:multiLevelType w:val="hybridMultilevel"/>
    <w:tmpl w:val="790AF0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E0915AF"/>
    <w:multiLevelType w:val="hybridMultilevel"/>
    <w:tmpl w:val="110C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97952C0"/>
    <w:multiLevelType w:val="hybridMultilevel"/>
    <w:tmpl w:val="58402024"/>
    <w:lvl w:ilvl="0" w:tplc="0E2C0F4C">
      <w:start w:val="1"/>
      <w:numFmt w:val="lowerRoman"/>
      <w:lvlText w:val="%1)"/>
      <w:lvlJc w:val="left"/>
      <w:pPr>
        <w:ind w:left="108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13D297A"/>
    <w:multiLevelType w:val="hybridMultilevel"/>
    <w:tmpl w:val="D722B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7533040"/>
    <w:multiLevelType w:val="hybridMultilevel"/>
    <w:tmpl w:val="954E4B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91D3F8F"/>
    <w:multiLevelType w:val="hybridMultilevel"/>
    <w:tmpl w:val="F0A6B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DA21D45"/>
    <w:multiLevelType w:val="hybridMultilevel"/>
    <w:tmpl w:val="17B011E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9">
    <w:nsid w:val="784D033C"/>
    <w:multiLevelType w:val="multilevel"/>
    <w:tmpl w:val="334C3CE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D4B012C"/>
    <w:multiLevelType w:val="hybridMultilevel"/>
    <w:tmpl w:val="481495F4"/>
    <w:lvl w:ilvl="0" w:tplc="1E4491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9"/>
  </w:num>
  <w:num w:numId="4">
    <w:abstractNumId w:val="3"/>
  </w:num>
  <w:num w:numId="5">
    <w:abstractNumId w:val="6"/>
  </w:num>
  <w:num w:numId="6">
    <w:abstractNumId w:val="10"/>
  </w:num>
  <w:num w:numId="7">
    <w:abstractNumId w:val="9"/>
  </w:num>
  <w:num w:numId="8">
    <w:abstractNumId w:val="20"/>
  </w:num>
  <w:num w:numId="9">
    <w:abstractNumId w:val="11"/>
  </w:num>
  <w:num w:numId="10">
    <w:abstractNumId w:val="0"/>
  </w:num>
  <w:num w:numId="11">
    <w:abstractNumId w:val="14"/>
  </w:num>
  <w:num w:numId="12">
    <w:abstractNumId w:val="5"/>
  </w:num>
  <w:num w:numId="13">
    <w:abstractNumId w:val="15"/>
  </w:num>
  <w:num w:numId="14">
    <w:abstractNumId w:val="2"/>
  </w:num>
  <w:num w:numId="15">
    <w:abstractNumId w:val="18"/>
  </w:num>
  <w:num w:numId="16">
    <w:abstractNumId w:val="17"/>
  </w:num>
  <w:num w:numId="17">
    <w:abstractNumId w:val="1"/>
  </w:num>
  <w:num w:numId="18">
    <w:abstractNumId w:val="16"/>
  </w:num>
  <w:num w:numId="19">
    <w:abstractNumId w:val="7"/>
  </w:num>
  <w:num w:numId="20">
    <w:abstractNumId w:val="4"/>
  </w:num>
  <w:num w:numId="21">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DF9"/>
    <w:rsid w:val="00003499"/>
    <w:rsid w:val="00003F50"/>
    <w:rsid w:val="00004B38"/>
    <w:rsid w:val="000053D6"/>
    <w:rsid w:val="000072DD"/>
    <w:rsid w:val="00007FCD"/>
    <w:rsid w:val="00011B7C"/>
    <w:rsid w:val="00012BDD"/>
    <w:rsid w:val="00013247"/>
    <w:rsid w:val="000135E0"/>
    <w:rsid w:val="00015886"/>
    <w:rsid w:val="000162EF"/>
    <w:rsid w:val="00017B88"/>
    <w:rsid w:val="00020F38"/>
    <w:rsid w:val="0002225F"/>
    <w:rsid w:val="00023296"/>
    <w:rsid w:val="00023763"/>
    <w:rsid w:val="00023990"/>
    <w:rsid w:val="00025A64"/>
    <w:rsid w:val="00025DE1"/>
    <w:rsid w:val="00026729"/>
    <w:rsid w:val="000315F0"/>
    <w:rsid w:val="00032AB9"/>
    <w:rsid w:val="0003738B"/>
    <w:rsid w:val="000401B4"/>
    <w:rsid w:val="00040895"/>
    <w:rsid w:val="00043228"/>
    <w:rsid w:val="000432DA"/>
    <w:rsid w:val="0004390D"/>
    <w:rsid w:val="00043C37"/>
    <w:rsid w:val="00045E9F"/>
    <w:rsid w:val="0004609F"/>
    <w:rsid w:val="0004616B"/>
    <w:rsid w:val="000462C6"/>
    <w:rsid w:val="00046341"/>
    <w:rsid w:val="00051C37"/>
    <w:rsid w:val="00052A1E"/>
    <w:rsid w:val="000546D7"/>
    <w:rsid w:val="00060A25"/>
    <w:rsid w:val="0006396B"/>
    <w:rsid w:val="0006724B"/>
    <w:rsid w:val="00067581"/>
    <w:rsid w:val="00070C32"/>
    <w:rsid w:val="00071248"/>
    <w:rsid w:val="000717DC"/>
    <w:rsid w:val="000720B9"/>
    <w:rsid w:val="00080C51"/>
    <w:rsid w:val="000812CA"/>
    <w:rsid w:val="0008185D"/>
    <w:rsid w:val="00081F6D"/>
    <w:rsid w:val="000840BC"/>
    <w:rsid w:val="00084AAD"/>
    <w:rsid w:val="000860AD"/>
    <w:rsid w:val="00086B72"/>
    <w:rsid w:val="00087627"/>
    <w:rsid w:val="00090C7E"/>
    <w:rsid w:val="000918C5"/>
    <w:rsid w:val="0009217C"/>
    <w:rsid w:val="00093580"/>
    <w:rsid w:val="000939C1"/>
    <w:rsid w:val="00094125"/>
    <w:rsid w:val="000953B1"/>
    <w:rsid w:val="000955C0"/>
    <w:rsid w:val="00096667"/>
    <w:rsid w:val="00096748"/>
    <w:rsid w:val="00097494"/>
    <w:rsid w:val="000A1C98"/>
    <w:rsid w:val="000A2287"/>
    <w:rsid w:val="000A3341"/>
    <w:rsid w:val="000A5FFF"/>
    <w:rsid w:val="000A6484"/>
    <w:rsid w:val="000A6D87"/>
    <w:rsid w:val="000A735F"/>
    <w:rsid w:val="000B22C3"/>
    <w:rsid w:val="000B2988"/>
    <w:rsid w:val="000B2CCA"/>
    <w:rsid w:val="000B3E63"/>
    <w:rsid w:val="000B41AA"/>
    <w:rsid w:val="000B4ADC"/>
    <w:rsid w:val="000C15D8"/>
    <w:rsid w:val="000C256A"/>
    <w:rsid w:val="000C3C9B"/>
    <w:rsid w:val="000C4FA8"/>
    <w:rsid w:val="000C66A1"/>
    <w:rsid w:val="000C67F5"/>
    <w:rsid w:val="000C6D40"/>
    <w:rsid w:val="000C7765"/>
    <w:rsid w:val="000D1BFC"/>
    <w:rsid w:val="000D3C1B"/>
    <w:rsid w:val="000D3C45"/>
    <w:rsid w:val="000D3E47"/>
    <w:rsid w:val="000D6012"/>
    <w:rsid w:val="000D622E"/>
    <w:rsid w:val="000D6FEE"/>
    <w:rsid w:val="000D7C99"/>
    <w:rsid w:val="000D7D86"/>
    <w:rsid w:val="000E0BCB"/>
    <w:rsid w:val="000E1D63"/>
    <w:rsid w:val="000E34B9"/>
    <w:rsid w:val="000E3DFB"/>
    <w:rsid w:val="000E5559"/>
    <w:rsid w:val="000E67C5"/>
    <w:rsid w:val="000F202F"/>
    <w:rsid w:val="000F2BC4"/>
    <w:rsid w:val="000F3F86"/>
    <w:rsid w:val="000F4021"/>
    <w:rsid w:val="000F4BB8"/>
    <w:rsid w:val="000F4E1A"/>
    <w:rsid w:val="000F5AAD"/>
    <w:rsid w:val="000F701E"/>
    <w:rsid w:val="000F7127"/>
    <w:rsid w:val="001001B2"/>
    <w:rsid w:val="00100343"/>
    <w:rsid w:val="00100F8A"/>
    <w:rsid w:val="00101524"/>
    <w:rsid w:val="00102737"/>
    <w:rsid w:val="001045D3"/>
    <w:rsid w:val="00106419"/>
    <w:rsid w:val="00106C74"/>
    <w:rsid w:val="0010707B"/>
    <w:rsid w:val="0011032E"/>
    <w:rsid w:val="00110DDA"/>
    <w:rsid w:val="00111771"/>
    <w:rsid w:val="0011276E"/>
    <w:rsid w:val="0011348B"/>
    <w:rsid w:val="00114050"/>
    <w:rsid w:val="00115F90"/>
    <w:rsid w:val="001160DD"/>
    <w:rsid w:val="001161C7"/>
    <w:rsid w:val="00117710"/>
    <w:rsid w:val="00120780"/>
    <w:rsid w:val="00120A6B"/>
    <w:rsid w:val="00121525"/>
    <w:rsid w:val="00121799"/>
    <w:rsid w:val="001222FC"/>
    <w:rsid w:val="00123363"/>
    <w:rsid w:val="00123D80"/>
    <w:rsid w:val="00124A51"/>
    <w:rsid w:val="00126621"/>
    <w:rsid w:val="001271F2"/>
    <w:rsid w:val="001301E9"/>
    <w:rsid w:val="00130EFE"/>
    <w:rsid w:val="00132908"/>
    <w:rsid w:val="00133996"/>
    <w:rsid w:val="00134DBB"/>
    <w:rsid w:val="00136545"/>
    <w:rsid w:val="00136B30"/>
    <w:rsid w:val="001370CA"/>
    <w:rsid w:val="001373CE"/>
    <w:rsid w:val="00137645"/>
    <w:rsid w:val="0014015A"/>
    <w:rsid w:val="001406AA"/>
    <w:rsid w:val="00140E99"/>
    <w:rsid w:val="001414F0"/>
    <w:rsid w:val="00141634"/>
    <w:rsid w:val="00142F66"/>
    <w:rsid w:val="001430EC"/>
    <w:rsid w:val="00145273"/>
    <w:rsid w:val="00145540"/>
    <w:rsid w:val="001456B0"/>
    <w:rsid w:val="0015075C"/>
    <w:rsid w:val="00153881"/>
    <w:rsid w:val="00156E97"/>
    <w:rsid w:val="00157130"/>
    <w:rsid w:val="001617B8"/>
    <w:rsid w:val="00161E4C"/>
    <w:rsid w:val="00162913"/>
    <w:rsid w:val="00163EFF"/>
    <w:rsid w:val="00164C39"/>
    <w:rsid w:val="001650CA"/>
    <w:rsid w:val="001654D9"/>
    <w:rsid w:val="00165656"/>
    <w:rsid w:val="001661FB"/>
    <w:rsid w:val="0017042D"/>
    <w:rsid w:val="00170FAC"/>
    <w:rsid w:val="0017270D"/>
    <w:rsid w:val="00172C1E"/>
    <w:rsid w:val="001730FF"/>
    <w:rsid w:val="00177720"/>
    <w:rsid w:val="001779B3"/>
    <w:rsid w:val="00181A99"/>
    <w:rsid w:val="001824B3"/>
    <w:rsid w:val="00184E54"/>
    <w:rsid w:val="00185BB3"/>
    <w:rsid w:val="0018752F"/>
    <w:rsid w:val="0018787D"/>
    <w:rsid w:val="001908F1"/>
    <w:rsid w:val="0019220F"/>
    <w:rsid w:val="00192815"/>
    <w:rsid w:val="00192ABB"/>
    <w:rsid w:val="00193212"/>
    <w:rsid w:val="001933C3"/>
    <w:rsid w:val="00193C41"/>
    <w:rsid w:val="00194225"/>
    <w:rsid w:val="0019436D"/>
    <w:rsid w:val="00195222"/>
    <w:rsid w:val="001975D8"/>
    <w:rsid w:val="001A0397"/>
    <w:rsid w:val="001A28E4"/>
    <w:rsid w:val="001A2AC1"/>
    <w:rsid w:val="001A3B9A"/>
    <w:rsid w:val="001A4003"/>
    <w:rsid w:val="001A52DA"/>
    <w:rsid w:val="001B02CD"/>
    <w:rsid w:val="001B0B02"/>
    <w:rsid w:val="001B19EC"/>
    <w:rsid w:val="001B25E4"/>
    <w:rsid w:val="001B3443"/>
    <w:rsid w:val="001B35F8"/>
    <w:rsid w:val="001B38CC"/>
    <w:rsid w:val="001B48D5"/>
    <w:rsid w:val="001B4D18"/>
    <w:rsid w:val="001B581A"/>
    <w:rsid w:val="001B6499"/>
    <w:rsid w:val="001B660D"/>
    <w:rsid w:val="001B6834"/>
    <w:rsid w:val="001C0CCF"/>
    <w:rsid w:val="001C30DF"/>
    <w:rsid w:val="001C44D3"/>
    <w:rsid w:val="001C63A5"/>
    <w:rsid w:val="001C6E66"/>
    <w:rsid w:val="001C6E9B"/>
    <w:rsid w:val="001D0129"/>
    <w:rsid w:val="001D062C"/>
    <w:rsid w:val="001D2099"/>
    <w:rsid w:val="001D3787"/>
    <w:rsid w:val="001D401A"/>
    <w:rsid w:val="001D4A1B"/>
    <w:rsid w:val="001D4F14"/>
    <w:rsid w:val="001D5000"/>
    <w:rsid w:val="001D6F94"/>
    <w:rsid w:val="001E0A01"/>
    <w:rsid w:val="001E1655"/>
    <w:rsid w:val="001E238E"/>
    <w:rsid w:val="001E2726"/>
    <w:rsid w:val="001E2B1E"/>
    <w:rsid w:val="001E3362"/>
    <w:rsid w:val="001E4274"/>
    <w:rsid w:val="001E44DF"/>
    <w:rsid w:val="001E45F0"/>
    <w:rsid w:val="001E498C"/>
    <w:rsid w:val="001E52EB"/>
    <w:rsid w:val="001E66A6"/>
    <w:rsid w:val="001E740C"/>
    <w:rsid w:val="001E74B6"/>
    <w:rsid w:val="001F0A97"/>
    <w:rsid w:val="001F1235"/>
    <w:rsid w:val="001F1CB3"/>
    <w:rsid w:val="001F1FB7"/>
    <w:rsid w:val="001F2C4F"/>
    <w:rsid w:val="001F61A4"/>
    <w:rsid w:val="001F7361"/>
    <w:rsid w:val="001F77B1"/>
    <w:rsid w:val="0020145A"/>
    <w:rsid w:val="00202F6B"/>
    <w:rsid w:val="0020385F"/>
    <w:rsid w:val="00204C24"/>
    <w:rsid w:val="002061C6"/>
    <w:rsid w:val="00206799"/>
    <w:rsid w:val="00206EB0"/>
    <w:rsid w:val="00207021"/>
    <w:rsid w:val="00207A52"/>
    <w:rsid w:val="00207D00"/>
    <w:rsid w:val="00207F61"/>
    <w:rsid w:val="00210518"/>
    <w:rsid w:val="002105C1"/>
    <w:rsid w:val="00212030"/>
    <w:rsid w:val="002122FF"/>
    <w:rsid w:val="00215011"/>
    <w:rsid w:val="0021673B"/>
    <w:rsid w:val="00216BF4"/>
    <w:rsid w:val="00217C8A"/>
    <w:rsid w:val="00220041"/>
    <w:rsid w:val="002200FF"/>
    <w:rsid w:val="002201D2"/>
    <w:rsid w:val="00220E24"/>
    <w:rsid w:val="00222AA9"/>
    <w:rsid w:val="00222E5E"/>
    <w:rsid w:val="00223B49"/>
    <w:rsid w:val="00224119"/>
    <w:rsid w:val="0022412A"/>
    <w:rsid w:val="00224DD4"/>
    <w:rsid w:val="002255EF"/>
    <w:rsid w:val="002309CC"/>
    <w:rsid w:val="00230AEB"/>
    <w:rsid w:val="00231827"/>
    <w:rsid w:val="0023259F"/>
    <w:rsid w:val="00233294"/>
    <w:rsid w:val="00233F3B"/>
    <w:rsid w:val="002354D8"/>
    <w:rsid w:val="00235BB9"/>
    <w:rsid w:val="00236681"/>
    <w:rsid w:val="00237001"/>
    <w:rsid w:val="0023736A"/>
    <w:rsid w:val="0024733C"/>
    <w:rsid w:val="00253AD2"/>
    <w:rsid w:val="00253D80"/>
    <w:rsid w:val="00254DC6"/>
    <w:rsid w:val="00254DCF"/>
    <w:rsid w:val="0025534B"/>
    <w:rsid w:val="00255BB7"/>
    <w:rsid w:val="00256717"/>
    <w:rsid w:val="00256ECB"/>
    <w:rsid w:val="00261FD9"/>
    <w:rsid w:val="00262A87"/>
    <w:rsid w:val="002630A0"/>
    <w:rsid w:val="00264E7B"/>
    <w:rsid w:val="00266695"/>
    <w:rsid w:val="0026737C"/>
    <w:rsid w:val="00267D1C"/>
    <w:rsid w:val="00267F4D"/>
    <w:rsid w:val="00270B4C"/>
    <w:rsid w:val="0027151B"/>
    <w:rsid w:val="00273809"/>
    <w:rsid w:val="00273BD3"/>
    <w:rsid w:val="00274EFC"/>
    <w:rsid w:val="00275A37"/>
    <w:rsid w:val="00275C5A"/>
    <w:rsid w:val="00281014"/>
    <w:rsid w:val="00284BFE"/>
    <w:rsid w:val="00287523"/>
    <w:rsid w:val="00290739"/>
    <w:rsid w:val="00290A75"/>
    <w:rsid w:val="00291868"/>
    <w:rsid w:val="0029207B"/>
    <w:rsid w:val="002932C9"/>
    <w:rsid w:val="00293A8D"/>
    <w:rsid w:val="0029549C"/>
    <w:rsid w:val="00296B53"/>
    <w:rsid w:val="002A14AB"/>
    <w:rsid w:val="002A2290"/>
    <w:rsid w:val="002A29BC"/>
    <w:rsid w:val="002A5075"/>
    <w:rsid w:val="002A5256"/>
    <w:rsid w:val="002A57D9"/>
    <w:rsid w:val="002A76EA"/>
    <w:rsid w:val="002B16D7"/>
    <w:rsid w:val="002B1C1F"/>
    <w:rsid w:val="002B30A7"/>
    <w:rsid w:val="002B3A05"/>
    <w:rsid w:val="002B3FBC"/>
    <w:rsid w:val="002B432F"/>
    <w:rsid w:val="002B6CCE"/>
    <w:rsid w:val="002C15A3"/>
    <w:rsid w:val="002C1BFF"/>
    <w:rsid w:val="002C2151"/>
    <w:rsid w:val="002C2775"/>
    <w:rsid w:val="002C27C1"/>
    <w:rsid w:val="002C4375"/>
    <w:rsid w:val="002C4AB1"/>
    <w:rsid w:val="002C5D63"/>
    <w:rsid w:val="002C63DB"/>
    <w:rsid w:val="002D11AF"/>
    <w:rsid w:val="002D1502"/>
    <w:rsid w:val="002D2676"/>
    <w:rsid w:val="002D2CAA"/>
    <w:rsid w:val="002D44E3"/>
    <w:rsid w:val="002D4605"/>
    <w:rsid w:val="002D51A5"/>
    <w:rsid w:val="002D5829"/>
    <w:rsid w:val="002D5E0A"/>
    <w:rsid w:val="002D73EB"/>
    <w:rsid w:val="002E1EA2"/>
    <w:rsid w:val="002E5DE4"/>
    <w:rsid w:val="002E6E83"/>
    <w:rsid w:val="002E77A4"/>
    <w:rsid w:val="002F1FC8"/>
    <w:rsid w:val="002F2226"/>
    <w:rsid w:val="002F2F00"/>
    <w:rsid w:val="002F49E5"/>
    <w:rsid w:val="002F4B20"/>
    <w:rsid w:val="002F59CA"/>
    <w:rsid w:val="002F5B4C"/>
    <w:rsid w:val="002F6A93"/>
    <w:rsid w:val="00300244"/>
    <w:rsid w:val="00301017"/>
    <w:rsid w:val="0030160B"/>
    <w:rsid w:val="0030172D"/>
    <w:rsid w:val="00301A4F"/>
    <w:rsid w:val="00302AF4"/>
    <w:rsid w:val="003034EA"/>
    <w:rsid w:val="00303526"/>
    <w:rsid w:val="00305259"/>
    <w:rsid w:val="0030738E"/>
    <w:rsid w:val="00307830"/>
    <w:rsid w:val="0030786C"/>
    <w:rsid w:val="0031031A"/>
    <w:rsid w:val="00310981"/>
    <w:rsid w:val="00310D11"/>
    <w:rsid w:val="0031299F"/>
    <w:rsid w:val="00313C9C"/>
    <w:rsid w:val="0031487D"/>
    <w:rsid w:val="00314C61"/>
    <w:rsid w:val="00315498"/>
    <w:rsid w:val="00315D0D"/>
    <w:rsid w:val="003166C8"/>
    <w:rsid w:val="0032073B"/>
    <w:rsid w:val="00320B47"/>
    <w:rsid w:val="00320D60"/>
    <w:rsid w:val="00322E71"/>
    <w:rsid w:val="003254C9"/>
    <w:rsid w:val="0033302B"/>
    <w:rsid w:val="00333683"/>
    <w:rsid w:val="00333695"/>
    <w:rsid w:val="003366C9"/>
    <w:rsid w:val="003371B0"/>
    <w:rsid w:val="003430B6"/>
    <w:rsid w:val="0034315F"/>
    <w:rsid w:val="00345100"/>
    <w:rsid w:val="00346219"/>
    <w:rsid w:val="00346689"/>
    <w:rsid w:val="0034763F"/>
    <w:rsid w:val="003524CF"/>
    <w:rsid w:val="00353422"/>
    <w:rsid w:val="0035620E"/>
    <w:rsid w:val="00362657"/>
    <w:rsid w:val="00363178"/>
    <w:rsid w:val="00363658"/>
    <w:rsid w:val="00363DA1"/>
    <w:rsid w:val="00364447"/>
    <w:rsid w:val="00365534"/>
    <w:rsid w:val="00365988"/>
    <w:rsid w:val="00366194"/>
    <w:rsid w:val="00366222"/>
    <w:rsid w:val="003664D8"/>
    <w:rsid w:val="003704CC"/>
    <w:rsid w:val="00371416"/>
    <w:rsid w:val="00373A21"/>
    <w:rsid w:val="003741FB"/>
    <w:rsid w:val="003748BE"/>
    <w:rsid w:val="00375293"/>
    <w:rsid w:val="00375E2D"/>
    <w:rsid w:val="00380D6D"/>
    <w:rsid w:val="00382CAA"/>
    <w:rsid w:val="0038365C"/>
    <w:rsid w:val="0038609B"/>
    <w:rsid w:val="00386800"/>
    <w:rsid w:val="00386814"/>
    <w:rsid w:val="003911F6"/>
    <w:rsid w:val="003914B0"/>
    <w:rsid w:val="00391551"/>
    <w:rsid w:val="0039380D"/>
    <w:rsid w:val="00393D07"/>
    <w:rsid w:val="003961F3"/>
    <w:rsid w:val="00396FD0"/>
    <w:rsid w:val="003A1A7A"/>
    <w:rsid w:val="003A315E"/>
    <w:rsid w:val="003A36E9"/>
    <w:rsid w:val="003A3D91"/>
    <w:rsid w:val="003A496D"/>
    <w:rsid w:val="003A5275"/>
    <w:rsid w:val="003A54C2"/>
    <w:rsid w:val="003A58EB"/>
    <w:rsid w:val="003A5C38"/>
    <w:rsid w:val="003A606B"/>
    <w:rsid w:val="003A72CF"/>
    <w:rsid w:val="003A76D1"/>
    <w:rsid w:val="003B0479"/>
    <w:rsid w:val="003B2553"/>
    <w:rsid w:val="003B43DA"/>
    <w:rsid w:val="003B452E"/>
    <w:rsid w:val="003B4740"/>
    <w:rsid w:val="003B69FD"/>
    <w:rsid w:val="003B6CCF"/>
    <w:rsid w:val="003B6E16"/>
    <w:rsid w:val="003C0B6A"/>
    <w:rsid w:val="003C196D"/>
    <w:rsid w:val="003C30C6"/>
    <w:rsid w:val="003C56D2"/>
    <w:rsid w:val="003C62C0"/>
    <w:rsid w:val="003C7591"/>
    <w:rsid w:val="003D1174"/>
    <w:rsid w:val="003D1828"/>
    <w:rsid w:val="003D2422"/>
    <w:rsid w:val="003D24CD"/>
    <w:rsid w:val="003D2E1D"/>
    <w:rsid w:val="003D74B1"/>
    <w:rsid w:val="003E15AE"/>
    <w:rsid w:val="003E1F63"/>
    <w:rsid w:val="003E4187"/>
    <w:rsid w:val="003E6523"/>
    <w:rsid w:val="003E6EE6"/>
    <w:rsid w:val="003E744E"/>
    <w:rsid w:val="003F0322"/>
    <w:rsid w:val="003F044A"/>
    <w:rsid w:val="003F0696"/>
    <w:rsid w:val="003F243B"/>
    <w:rsid w:val="003F287F"/>
    <w:rsid w:val="003F2DC7"/>
    <w:rsid w:val="003F4156"/>
    <w:rsid w:val="003F59D1"/>
    <w:rsid w:val="003F6132"/>
    <w:rsid w:val="003F639A"/>
    <w:rsid w:val="004020E4"/>
    <w:rsid w:val="00404659"/>
    <w:rsid w:val="00404BDC"/>
    <w:rsid w:val="00405745"/>
    <w:rsid w:val="00406D8D"/>
    <w:rsid w:val="0041040A"/>
    <w:rsid w:val="00410708"/>
    <w:rsid w:val="00410EC7"/>
    <w:rsid w:val="00411D99"/>
    <w:rsid w:val="00414476"/>
    <w:rsid w:val="0041520A"/>
    <w:rsid w:val="0041594C"/>
    <w:rsid w:val="0041726D"/>
    <w:rsid w:val="00420B9F"/>
    <w:rsid w:val="00420D12"/>
    <w:rsid w:val="00421213"/>
    <w:rsid w:val="004217DF"/>
    <w:rsid w:val="00421B29"/>
    <w:rsid w:val="0042390D"/>
    <w:rsid w:val="00426149"/>
    <w:rsid w:val="0042797A"/>
    <w:rsid w:val="00430BAC"/>
    <w:rsid w:val="004319F8"/>
    <w:rsid w:val="00431AC6"/>
    <w:rsid w:val="00431D0F"/>
    <w:rsid w:val="004329B7"/>
    <w:rsid w:val="00432AF9"/>
    <w:rsid w:val="00433044"/>
    <w:rsid w:val="0043326E"/>
    <w:rsid w:val="00434E85"/>
    <w:rsid w:val="00435970"/>
    <w:rsid w:val="00436A57"/>
    <w:rsid w:val="00440817"/>
    <w:rsid w:val="0044156A"/>
    <w:rsid w:val="00441892"/>
    <w:rsid w:val="0044250F"/>
    <w:rsid w:val="00442B8E"/>
    <w:rsid w:val="004443A7"/>
    <w:rsid w:val="00445460"/>
    <w:rsid w:val="004464EB"/>
    <w:rsid w:val="0045078D"/>
    <w:rsid w:val="00450CB7"/>
    <w:rsid w:val="0045278B"/>
    <w:rsid w:val="0045389A"/>
    <w:rsid w:val="004539DA"/>
    <w:rsid w:val="00453D83"/>
    <w:rsid w:val="00455D45"/>
    <w:rsid w:val="00456D2B"/>
    <w:rsid w:val="00456FB9"/>
    <w:rsid w:val="0046100C"/>
    <w:rsid w:val="0046109A"/>
    <w:rsid w:val="0046412F"/>
    <w:rsid w:val="00464595"/>
    <w:rsid w:val="00465852"/>
    <w:rsid w:val="004658FA"/>
    <w:rsid w:val="00466587"/>
    <w:rsid w:val="00466775"/>
    <w:rsid w:val="0046704C"/>
    <w:rsid w:val="00467824"/>
    <w:rsid w:val="00470988"/>
    <w:rsid w:val="0047224C"/>
    <w:rsid w:val="004804F7"/>
    <w:rsid w:val="00481E6D"/>
    <w:rsid w:val="004821DC"/>
    <w:rsid w:val="00486787"/>
    <w:rsid w:val="004867E2"/>
    <w:rsid w:val="004876E6"/>
    <w:rsid w:val="004879BD"/>
    <w:rsid w:val="00491B3A"/>
    <w:rsid w:val="0049246B"/>
    <w:rsid w:val="00492CFD"/>
    <w:rsid w:val="004962D2"/>
    <w:rsid w:val="004967D2"/>
    <w:rsid w:val="004A0A1F"/>
    <w:rsid w:val="004A0DA1"/>
    <w:rsid w:val="004A1269"/>
    <w:rsid w:val="004A2FF4"/>
    <w:rsid w:val="004A357A"/>
    <w:rsid w:val="004A4161"/>
    <w:rsid w:val="004A5B6E"/>
    <w:rsid w:val="004A6597"/>
    <w:rsid w:val="004B03BC"/>
    <w:rsid w:val="004B0BA6"/>
    <w:rsid w:val="004B1CB4"/>
    <w:rsid w:val="004B2F18"/>
    <w:rsid w:val="004B3DDB"/>
    <w:rsid w:val="004B3E53"/>
    <w:rsid w:val="004B44FD"/>
    <w:rsid w:val="004B51D9"/>
    <w:rsid w:val="004B5CFC"/>
    <w:rsid w:val="004B6403"/>
    <w:rsid w:val="004B6EEA"/>
    <w:rsid w:val="004B7388"/>
    <w:rsid w:val="004C058C"/>
    <w:rsid w:val="004C129C"/>
    <w:rsid w:val="004C2087"/>
    <w:rsid w:val="004C3EA4"/>
    <w:rsid w:val="004C4AED"/>
    <w:rsid w:val="004C66AB"/>
    <w:rsid w:val="004D1CE1"/>
    <w:rsid w:val="004D3A8C"/>
    <w:rsid w:val="004D3B1B"/>
    <w:rsid w:val="004D3FCF"/>
    <w:rsid w:val="004D4AC8"/>
    <w:rsid w:val="004D4BCB"/>
    <w:rsid w:val="004D5129"/>
    <w:rsid w:val="004D58EC"/>
    <w:rsid w:val="004D6AF5"/>
    <w:rsid w:val="004D744F"/>
    <w:rsid w:val="004E068B"/>
    <w:rsid w:val="004E074A"/>
    <w:rsid w:val="004E0EB8"/>
    <w:rsid w:val="004E2ADC"/>
    <w:rsid w:val="004E43B2"/>
    <w:rsid w:val="004E48C4"/>
    <w:rsid w:val="004E6500"/>
    <w:rsid w:val="004E76E0"/>
    <w:rsid w:val="004F0474"/>
    <w:rsid w:val="004F0537"/>
    <w:rsid w:val="004F0856"/>
    <w:rsid w:val="004F1D02"/>
    <w:rsid w:val="004F1F39"/>
    <w:rsid w:val="004F2679"/>
    <w:rsid w:val="004F2C60"/>
    <w:rsid w:val="004F3101"/>
    <w:rsid w:val="004F3360"/>
    <w:rsid w:val="004F7865"/>
    <w:rsid w:val="00500065"/>
    <w:rsid w:val="00500073"/>
    <w:rsid w:val="005005A8"/>
    <w:rsid w:val="0050179B"/>
    <w:rsid w:val="005017ED"/>
    <w:rsid w:val="0050192D"/>
    <w:rsid w:val="0050221D"/>
    <w:rsid w:val="00502D63"/>
    <w:rsid w:val="00502EF2"/>
    <w:rsid w:val="00502F8F"/>
    <w:rsid w:val="005030D4"/>
    <w:rsid w:val="00503280"/>
    <w:rsid w:val="005050A5"/>
    <w:rsid w:val="00505E66"/>
    <w:rsid w:val="00506928"/>
    <w:rsid w:val="0051297C"/>
    <w:rsid w:val="00513664"/>
    <w:rsid w:val="005141E5"/>
    <w:rsid w:val="005152B5"/>
    <w:rsid w:val="005159A1"/>
    <w:rsid w:val="005162C3"/>
    <w:rsid w:val="00516E61"/>
    <w:rsid w:val="00520081"/>
    <w:rsid w:val="00521319"/>
    <w:rsid w:val="00521F71"/>
    <w:rsid w:val="00523C28"/>
    <w:rsid w:val="005255E2"/>
    <w:rsid w:val="00525602"/>
    <w:rsid w:val="00525816"/>
    <w:rsid w:val="00527864"/>
    <w:rsid w:val="0053006E"/>
    <w:rsid w:val="00531C9B"/>
    <w:rsid w:val="00533112"/>
    <w:rsid w:val="00533F37"/>
    <w:rsid w:val="005340B4"/>
    <w:rsid w:val="0053557C"/>
    <w:rsid w:val="00536079"/>
    <w:rsid w:val="005361FE"/>
    <w:rsid w:val="00536493"/>
    <w:rsid w:val="005416A1"/>
    <w:rsid w:val="0054435B"/>
    <w:rsid w:val="005460DA"/>
    <w:rsid w:val="00546193"/>
    <w:rsid w:val="00546D9A"/>
    <w:rsid w:val="00547337"/>
    <w:rsid w:val="005478CC"/>
    <w:rsid w:val="005511C2"/>
    <w:rsid w:val="005520BE"/>
    <w:rsid w:val="00552BD3"/>
    <w:rsid w:val="00554738"/>
    <w:rsid w:val="00555109"/>
    <w:rsid w:val="0055596E"/>
    <w:rsid w:val="0055724C"/>
    <w:rsid w:val="00560265"/>
    <w:rsid w:val="00564F39"/>
    <w:rsid w:val="0056696F"/>
    <w:rsid w:val="00570555"/>
    <w:rsid w:val="00574553"/>
    <w:rsid w:val="00574C85"/>
    <w:rsid w:val="005752AE"/>
    <w:rsid w:val="00575D4E"/>
    <w:rsid w:val="00575D8D"/>
    <w:rsid w:val="00576972"/>
    <w:rsid w:val="005778BA"/>
    <w:rsid w:val="00580E31"/>
    <w:rsid w:val="0058193F"/>
    <w:rsid w:val="00582502"/>
    <w:rsid w:val="00583699"/>
    <w:rsid w:val="00585442"/>
    <w:rsid w:val="0058553B"/>
    <w:rsid w:val="005867A7"/>
    <w:rsid w:val="00590678"/>
    <w:rsid w:val="00590F2B"/>
    <w:rsid w:val="00592D3B"/>
    <w:rsid w:val="0059423B"/>
    <w:rsid w:val="00596E27"/>
    <w:rsid w:val="005A0643"/>
    <w:rsid w:val="005A16C7"/>
    <w:rsid w:val="005A271F"/>
    <w:rsid w:val="005A2940"/>
    <w:rsid w:val="005A3AD3"/>
    <w:rsid w:val="005A442F"/>
    <w:rsid w:val="005A53DD"/>
    <w:rsid w:val="005B5857"/>
    <w:rsid w:val="005B5CC0"/>
    <w:rsid w:val="005B64CC"/>
    <w:rsid w:val="005B7202"/>
    <w:rsid w:val="005B7EC4"/>
    <w:rsid w:val="005C12D6"/>
    <w:rsid w:val="005C1B83"/>
    <w:rsid w:val="005C346B"/>
    <w:rsid w:val="005C387C"/>
    <w:rsid w:val="005C4B64"/>
    <w:rsid w:val="005C7121"/>
    <w:rsid w:val="005C7DE8"/>
    <w:rsid w:val="005D044D"/>
    <w:rsid w:val="005D12C7"/>
    <w:rsid w:val="005D18AD"/>
    <w:rsid w:val="005D6F73"/>
    <w:rsid w:val="005E1204"/>
    <w:rsid w:val="005E1DCD"/>
    <w:rsid w:val="005E4A79"/>
    <w:rsid w:val="005E4EB2"/>
    <w:rsid w:val="005E626F"/>
    <w:rsid w:val="005E64D0"/>
    <w:rsid w:val="005E6F2A"/>
    <w:rsid w:val="005E734D"/>
    <w:rsid w:val="005E73C0"/>
    <w:rsid w:val="005E7CF6"/>
    <w:rsid w:val="005F2706"/>
    <w:rsid w:val="005F2A7D"/>
    <w:rsid w:val="005F2B1D"/>
    <w:rsid w:val="005F4061"/>
    <w:rsid w:val="005F4E62"/>
    <w:rsid w:val="005F6A5B"/>
    <w:rsid w:val="005F6A8F"/>
    <w:rsid w:val="005F6F73"/>
    <w:rsid w:val="005F7088"/>
    <w:rsid w:val="005F72D1"/>
    <w:rsid w:val="00602DA1"/>
    <w:rsid w:val="006051EB"/>
    <w:rsid w:val="00605534"/>
    <w:rsid w:val="00606802"/>
    <w:rsid w:val="00607669"/>
    <w:rsid w:val="0061188E"/>
    <w:rsid w:val="00611DA5"/>
    <w:rsid w:val="00612F97"/>
    <w:rsid w:val="00613074"/>
    <w:rsid w:val="00615B80"/>
    <w:rsid w:val="00616802"/>
    <w:rsid w:val="00617C35"/>
    <w:rsid w:val="00617E12"/>
    <w:rsid w:val="00621477"/>
    <w:rsid w:val="006215CE"/>
    <w:rsid w:val="0062340E"/>
    <w:rsid w:val="00623819"/>
    <w:rsid w:val="006249FD"/>
    <w:rsid w:val="00625359"/>
    <w:rsid w:val="00625BE9"/>
    <w:rsid w:val="006271CD"/>
    <w:rsid w:val="006276F7"/>
    <w:rsid w:val="006276FC"/>
    <w:rsid w:val="00630333"/>
    <w:rsid w:val="0063054C"/>
    <w:rsid w:val="00630BA9"/>
    <w:rsid w:val="0063114A"/>
    <w:rsid w:val="00631D6B"/>
    <w:rsid w:val="00633282"/>
    <w:rsid w:val="006345AA"/>
    <w:rsid w:val="0063467B"/>
    <w:rsid w:val="0063479F"/>
    <w:rsid w:val="006363FC"/>
    <w:rsid w:val="006364A1"/>
    <w:rsid w:val="006378E1"/>
    <w:rsid w:val="00637BFD"/>
    <w:rsid w:val="006432B9"/>
    <w:rsid w:val="006436AB"/>
    <w:rsid w:val="00643FFD"/>
    <w:rsid w:val="00645686"/>
    <w:rsid w:val="006459B8"/>
    <w:rsid w:val="0064685A"/>
    <w:rsid w:val="006471CC"/>
    <w:rsid w:val="0065079F"/>
    <w:rsid w:val="006518C0"/>
    <w:rsid w:val="006519F3"/>
    <w:rsid w:val="0065293B"/>
    <w:rsid w:val="00652967"/>
    <w:rsid w:val="00652E2F"/>
    <w:rsid w:val="00655A70"/>
    <w:rsid w:val="006573A3"/>
    <w:rsid w:val="00661D7B"/>
    <w:rsid w:val="00661E2F"/>
    <w:rsid w:val="00662363"/>
    <w:rsid w:val="006642A9"/>
    <w:rsid w:val="00664446"/>
    <w:rsid w:val="00665314"/>
    <w:rsid w:val="006667E4"/>
    <w:rsid w:val="00666D94"/>
    <w:rsid w:val="0066707C"/>
    <w:rsid w:val="00667725"/>
    <w:rsid w:val="006704EE"/>
    <w:rsid w:val="00670DCB"/>
    <w:rsid w:val="0067158C"/>
    <w:rsid w:val="00671EF2"/>
    <w:rsid w:val="006721A8"/>
    <w:rsid w:val="006737B4"/>
    <w:rsid w:val="00674570"/>
    <w:rsid w:val="00674E42"/>
    <w:rsid w:val="006751FD"/>
    <w:rsid w:val="00676B09"/>
    <w:rsid w:val="00676C32"/>
    <w:rsid w:val="00677EE7"/>
    <w:rsid w:val="006819DF"/>
    <w:rsid w:val="00682112"/>
    <w:rsid w:val="00682116"/>
    <w:rsid w:val="00682E70"/>
    <w:rsid w:val="006832F2"/>
    <w:rsid w:val="00686DC3"/>
    <w:rsid w:val="00687261"/>
    <w:rsid w:val="006872BA"/>
    <w:rsid w:val="006917D7"/>
    <w:rsid w:val="00692E6F"/>
    <w:rsid w:val="00693B4B"/>
    <w:rsid w:val="00694F44"/>
    <w:rsid w:val="0069545A"/>
    <w:rsid w:val="00697984"/>
    <w:rsid w:val="006A2AAC"/>
    <w:rsid w:val="006A2CC9"/>
    <w:rsid w:val="006A356B"/>
    <w:rsid w:val="006A5D08"/>
    <w:rsid w:val="006A6511"/>
    <w:rsid w:val="006A7317"/>
    <w:rsid w:val="006A778A"/>
    <w:rsid w:val="006B0F3C"/>
    <w:rsid w:val="006B56DE"/>
    <w:rsid w:val="006B6908"/>
    <w:rsid w:val="006B6C34"/>
    <w:rsid w:val="006B6CA6"/>
    <w:rsid w:val="006C2A8E"/>
    <w:rsid w:val="006C2B42"/>
    <w:rsid w:val="006C477C"/>
    <w:rsid w:val="006C56E6"/>
    <w:rsid w:val="006C5965"/>
    <w:rsid w:val="006C59FA"/>
    <w:rsid w:val="006C5B06"/>
    <w:rsid w:val="006C65A6"/>
    <w:rsid w:val="006C694A"/>
    <w:rsid w:val="006C6AE8"/>
    <w:rsid w:val="006C6D72"/>
    <w:rsid w:val="006C6E8B"/>
    <w:rsid w:val="006D10A4"/>
    <w:rsid w:val="006D35D6"/>
    <w:rsid w:val="006D37E9"/>
    <w:rsid w:val="006D3852"/>
    <w:rsid w:val="006D3C7D"/>
    <w:rsid w:val="006D4740"/>
    <w:rsid w:val="006D48B3"/>
    <w:rsid w:val="006D5137"/>
    <w:rsid w:val="006D598B"/>
    <w:rsid w:val="006D5D5F"/>
    <w:rsid w:val="006E1907"/>
    <w:rsid w:val="006E4B0C"/>
    <w:rsid w:val="006F08A3"/>
    <w:rsid w:val="006F09F9"/>
    <w:rsid w:val="006F1B43"/>
    <w:rsid w:val="006F1C51"/>
    <w:rsid w:val="006F2CD3"/>
    <w:rsid w:val="006F3E03"/>
    <w:rsid w:val="006F4C83"/>
    <w:rsid w:val="006F63A5"/>
    <w:rsid w:val="006F661D"/>
    <w:rsid w:val="007019A2"/>
    <w:rsid w:val="00701AFD"/>
    <w:rsid w:val="00701F72"/>
    <w:rsid w:val="0070276E"/>
    <w:rsid w:val="00702F8F"/>
    <w:rsid w:val="00703243"/>
    <w:rsid w:val="00704EE2"/>
    <w:rsid w:val="007055E5"/>
    <w:rsid w:val="00705CBA"/>
    <w:rsid w:val="00705FF7"/>
    <w:rsid w:val="007101EB"/>
    <w:rsid w:val="00711A36"/>
    <w:rsid w:val="00713E48"/>
    <w:rsid w:val="0071501A"/>
    <w:rsid w:val="00716741"/>
    <w:rsid w:val="007172AD"/>
    <w:rsid w:val="00720F8A"/>
    <w:rsid w:val="0072317B"/>
    <w:rsid w:val="007237F8"/>
    <w:rsid w:val="0072416F"/>
    <w:rsid w:val="00724E39"/>
    <w:rsid w:val="00725A81"/>
    <w:rsid w:val="00731617"/>
    <w:rsid w:val="0073168E"/>
    <w:rsid w:val="00731988"/>
    <w:rsid w:val="00732499"/>
    <w:rsid w:val="0073276A"/>
    <w:rsid w:val="00732C05"/>
    <w:rsid w:val="007331C2"/>
    <w:rsid w:val="007336EC"/>
    <w:rsid w:val="00734F87"/>
    <w:rsid w:val="00735328"/>
    <w:rsid w:val="00735B70"/>
    <w:rsid w:val="0073658E"/>
    <w:rsid w:val="00736798"/>
    <w:rsid w:val="0073685B"/>
    <w:rsid w:val="00742342"/>
    <w:rsid w:val="00743BEA"/>
    <w:rsid w:val="00744345"/>
    <w:rsid w:val="007443AB"/>
    <w:rsid w:val="00745BB9"/>
    <w:rsid w:val="007473B7"/>
    <w:rsid w:val="00747D20"/>
    <w:rsid w:val="007557BE"/>
    <w:rsid w:val="00760C31"/>
    <w:rsid w:val="007610D6"/>
    <w:rsid w:val="00763E49"/>
    <w:rsid w:val="00765120"/>
    <w:rsid w:val="007657B4"/>
    <w:rsid w:val="00767464"/>
    <w:rsid w:val="00767E02"/>
    <w:rsid w:val="0077021F"/>
    <w:rsid w:val="00771C4D"/>
    <w:rsid w:val="00772AAD"/>
    <w:rsid w:val="00772B4C"/>
    <w:rsid w:val="00773C9B"/>
    <w:rsid w:val="0077552C"/>
    <w:rsid w:val="007760F3"/>
    <w:rsid w:val="007770C6"/>
    <w:rsid w:val="0077753E"/>
    <w:rsid w:val="00780746"/>
    <w:rsid w:val="00780845"/>
    <w:rsid w:val="0078206A"/>
    <w:rsid w:val="00785713"/>
    <w:rsid w:val="007859DE"/>
    <w:rsid w:val="00785D33"/>
    <w:rsid w:val="00787302"/>
    <w:rsid w:val="007910D1"/>
    <w:rsid w:val="00791111"/>
    <w:rsid w:val="007921ED"/>
    <w:rsid w:val="007937E6"/>
    <w:rsid w:val="007946FF"/>
    <w:rsid w:val="007A01F5"/>
    <w:rsid w:val="007A093F"/>
    <w:rsid w:val="007A0A12"/>
    <w:rsid w:val="007A0BE2"/>
    <w:rsid w:val="007A0EB7"/>
    <w:rsid w:val="007A1394"/>
    <w:rsid w:val="007A13D5"/>
    <w:rsid w:val="007A2267"/>
    <w:rsid w:val="007A5685"/>
    <w:rsid w:val="007A74A1"/>
    <w:rsid w:val="007B02FC"/>
    <w:rsid w:val="007B0304"/>
    <w:rsid w:val="007B0D57"/>
    <w:rsid w:val="007B0D82"/>
    <w:rsid w:val="007B11C8"/>
    <w:rsid w:val="007B1C1A"/>
    <w:rsid w:val="007B251D"/>
    <w:rsid w:val="007B455C"/>
    <w:rsid w:val="007B45E1"/>
    <w:rsid w:val="007B4976"/>
    <w:rsid w:val="007B776F"/>
    <w:rsid w:val="007B77D1"/>
    <w:rsid w:val="007C0912"/>
    <w:rsid w:val="007C0CE0"/>
    <w:rsid w:val="007C16FF"/>
    <w:rsid w:val="007C361D"/>
    <w:rsid w:val="007C5F77"/>
    <w:rsid w:val="007C6707"/>
    <w:rsid w:val="007C7D9B"/>
    <w:rsid w:val="007D0B38"/>
    <w:rsid w:val="007D1D89"/>
    <w:rsid w:val="007D38C9"/>
    <w:rsid w:val="007D39D3"/>
    <w:rsid w:val="007D4DF0"/>
    <w:rsid w:val="007D4DFA"/>
    <w:rsid w:val="007D6015"/>
    <w:rsid w:val="007D6DDF"/>
    <w:rsid w:val="007E13B8"/>
    <w:rsid w:val="007E31A6"/>
    <w:rsid w:val="007E3D1E"/>
    <w:rsid w:val="007E40A1"/>
    <w:rsid w:val="007E5CDA"/>
    <w:rsid w:val="007E7AF9"/>
    <w:rsid w:val="007F0A07"/>
    <w:rsid w:val="007F1017"/>
    <w:rsid w:val="007F129F"/>
    <w:rsid w:val="007F206C"/>
    <w:rsid w:val="007F20A2"/>
    <w:rsid w:val="007F3026"/>
    <w:rsid w:val="007F4A3F"/>
    <w:rsid w:val="008022E3"/>
    <w:rsid w:val="008045D8"/>
    <w:rsid w:val="00805142"/>
    <w:rsid w:val="00805AD3"/>
    <w:rsid w:val="00807A8B"/>
    <w:rsid w:val="00807B8C"/>
    <w:rsid w:val="00810B22"/>
    <w:rsid w:val="00810C28"/>
    <w:rsid w:val="008110F5"/>
    <w:rsid w:val="00811B6E"/>
    <w:rsid w:val="00812149"/>
    <w:rsid w:val="0081391D"/>
    <w:rsid w:val="00813F54"/>
    <w:rsid w:val="008145D7"/>
    <w:rsid w:val="008166EF"/>
    <w:rsid w:val="0081753D"/>
    <w:rsid w:val="00817CA5"/>
    <w:rsid w:val="008203DF"/>
    <w:rsid w:val="00820D73"/>
    <w:rsid w:val="00822732"/>
    <w:rsid w:val="00823C44"/>
    <w:rsid w:val="008253D3"/>
    <w:rsid w:val="008264EB"/>
    <w:rsid w:val="00826792"/>
    <w:rsid w:val="00827409"/>
    <w:rsid w:val="008314E9"/>
    <w:rsid w:val="00833B05"/>
    <w:rsid w:val="0084014D"/>
    <w:rsid w:val="00840CA2"/>
    <w:rsid w:val="0084139D"/>
    <w:rsid w:val="008417DA"/>
    <w:rsid w:val="0084235C"/>
    <w:rsid w:val="00842738"/>
    <w:rsid w:val="00843584"/>
    <w:rsid w:val="00843A4B"/>
    <w:rsid w:val="00843CE6"/>
    <w:rsid w:val="00844220"/>
    <w:rsid w:val="00847BE7"/>
    <w:rsid w:val="00847EE1"/>
    <w:rsid w:val="00850F28"/>
    <w:rsid w:val="00851C3E"/>
    <w:rsid w:val="00851D5A"/>
    <w:rsid w:val="008527CD"/>
    <w:rsid w:val="008531F3"/>
    <w:rsid w:val="00853E1D"/>
    <w:rsid w:val="00856E9A"/>
    <w:rsid w:val="00857276"/>
    <w:rsid w:val="00860792"/>
    <w:rsid w:val="008611E9"/>
    <w:rsid w:val="00861906"/>
    <w:rsid w:val="00861D3A"/>
    <w:rsid w:val="008624F5"/>
    <w:rsid w:val="00862502"/>
    <w:rsid w:val="00862A41"/>
    <w:rsid w:val="008635BE"/>
    <w:rsid w:val="00870700"/>
    <w:rsid w:val="008748DE"/>
    <w:rsid w:val="008750E1"/>
    <w:rsid w:val="00875E43"/>
    <w:rsid w:val="00877597"/>
    <w:rsid w:val="00882874"/>
    <w:rsid w:val="008836E6"/>
    <w:rsid w:val="0088371D"/>
    <w:rsid w:val="00883787"/>
    <w:rsid w:val="00884CE6"/>
    <w:rsid w:val="008852BA"/>
    <w:rsid w:val="0088541E"/>
    <w:rsid w:val="008906D7"/>
    <w:rsid w:val="00891AAB"/>
    <w:rsid w:val="00892B2B"/>
    <w:rsid w:val="00894489"/>
    <w:rsid w:val="008963A5"/>
    <w:rsid w:val="00896BA9"/>
    <w:rsid w:val="008973B6"/>
    <w:rsid w:val="008A1434"/>
    <w:rsid w:val="008A1507"/>
    <w:rsid w:val="008A1D3A"/>
    <w:rsid w:val="008A3C3E"/>
    <w:rsid w:val="008A3E78"/>
    <w:rsid w:val="008A4758"/>
    <w:rsid w:val="008A4F73"/>
    <w:rsid w:val="008A50B4"/>
    <w:rsid w:val="008A58BE"/>
    <w:rsid w:val="008A6EF0"/>
    <w:rsid w:val="008A780A"/>
    <w:rsid w:val="008A79DE"/>
    <w:rsid w:val="008A7C47"/>
    <w:rsid w:val="008B04CD"/>
    <w:rsid w:val="008B05BA"/>
    <w:rsid w:val="008B2F50"/>
    <w:rsid w:val="008B328E"/>
    <w:rsid w:val="008B6A3C"/>
    <w:rsid w:val="008B7A95"/>
    <w:rsid w:val="008B7D7E"/>
    <w:rsid w:val="008C0480"/>
    <w:rsid w:val="008C16D7"/>
    <w:rsid w:val="008C2813"/>
    <w:rsid w:val="008C7ECB"/>
    <w:rsid w:val="008D18CF"/>
    <w:rsid w:val="008D2C5B"/>
    <w:rsid w:val="008D2D00"/>
    <w:rsid w:val="008D3E3F"/>
    <w:rsid w:val="008D4307"/>
    <w:rsid w:val="008D727B"/>
    <w:rsid w:val="008E00E8"/>
    <w:rsid w:val="008E15C1"/>
    <w:rsid w:val="008E1B9E"/>
    <w:rsid w:val="008E2091"/>
    <w:rsid w:val="008E6227"/>
    <w:rsid w:val="008F120A"/>
    <w:rsid w:val="008F3611"/>
    <w:rsid w:val="008F4521"/>
    <w:rsid w:val="008F48EB"/>
    <w:rsid w:val="008F4F0B"/>
    <w:rsid w:val="008F6CE9"/>
    <w:rsid w:val="008F708B"/>
    <w:rsid w:val="008F7D2C"/>
    <w:rsid w:val="008F7EA9"/>
    <w:rsid w:val="009015D5"/>
    <w:rsid w:val="009046B7"/>
    <w:rsid w:val="009062A5"/>
    <w:rsid w:val="00906B61"/>
    <w:rsid w:val="00910ABF"/>
    <w:rsid w:val="00911272"/>
    <w:rsid w:val="009115E2"/>
    <w:rsid w:val="00915141"/>
    <w:rsid w:val="00915BD8"/>
    <w:rsid w:val="009163DA"/>
    <w:rsid w:val="00916D54"/>
    <w:rsid w:val="00917641"/>
    <w:rsid w:val="00921068"/>
    <w:rsid w:val="00921E0F"/>
    <w:rsid w:val="009224B5"/>
    <w:rsid w:val="0092287D"/>
    <w:rsid w:val="00925BF8"/>
    <w:rsid w:val="00926E17"/>
    <w:rsid w:val="009273EB"/>
    <w:rsid w:val="0093138A"/>
    <w:rsid w:val="00931C07"/>
    <w:rsid w:val="0093289C"/>
    <w:rsid w:val="00932AE7"/>
    <w:rsid w:val="00932C94"/>
    <w:rsid w:val="00933F69"/>
    <w:rsid w:val="00934323"/>
    <w:rsid w:val="0093506B"/>
    <w:rsid w:val="00935616"/>
    <w:rsid w:val="009360D3"/>
    <w:rsid w:val="009376C6"/>
    <w:rsid w:val="00940087"/>
    <w:rsid w:val="0094357B"/>
    <w:rsid w:val="00943BED"/>
    <w:rsid w:val="009476FA"/>
    <w:rsid w:val="00950BA5"/>
    <w:rsid w:val="0095127A"/>
    <w:rsid w:val="00956010"/>
    <w:rsid w:val="00956E15"/>
    <w:rsid w:val="00957099"/>
    <w:rsid w:val="0095798B"/>
    <w:rsid w:val="00960613"/>
    <w:rsid w:val="00960AF8"/>
    <w:rsid w:val="0096227D"/>
    <w:rsid w:val="00962CB9"/>
    <w:rsid w:val="00963A4C"/>
    <w:rsid w:val="00963FE0"/>
    <w:rsid w:val="00964312"/>
    <w:rsid w:val="00965D94"/>
    <w:rsid w:val="0097032B"/>
    <w:rsid w:val="00970CE0"/>
    <w:rsid w:val="009801F5"/>
    <w:rsid w:val="00981ECA"/>
    <w:rsid w:val="00983E57"/>
    <w:rsid w:val="00983F34"/>
    <w:rsid w:val="00986BC5"/>
    <w:rsid w:val="009879D6"/>
    <w:rsid w:val="00994B23"/>
    <w:rsid w:val="00995E0F"/>
    <w:rsid w:val="00996B1A"/>
    <w:rsid w:val="009A016A"/>
    <w:rsid w:val="009A03AC"/>
    <w:rsid w:val="009A169C"/>
    <w:rsid w:val="009A174A"/>
    <w:rsid w:val="009A1AE3"/>
    <w:rsid w:val="009A25CC"/>
    <w:rsid w:val="009A2786"/>
    <w:rsid w:val="009A3551"/>
    <w:rsid w:val="009A4B09"/>
    <w:rsid w:val="009A5E05"/>
    <w:rsid w:val="009A5E62"/>
    <w:rsid w:val="009A67F6"/>
    <w:rsid w:val="009A7DE0"/>
    <w:rsid w:val="009B0614"/>
    <w:rsid w:val="009B2C97"/>
    <w:rsid w:val="009B3E26"/>
    <w:rsid w:val="009B6AB5"/>
    <w:rsid w:val="009B7E15"/>
    <w:rsid w:val="009C0F0C"/>
    <w:rsid w:val="009C2006"/>
    <w:rsid w:val="009C23CA"/>
    <w:rsid w:val="009C6213"/>
    <w:rsid w:val="009D0E38"/>
    <w:rsid w:val="009D1582"/>
    <w:rsid w:val="009D1A13"/>
    <w:rsid w:val="009D5745"/>
    <w:rsid w:val="009D5B91"/>
    <w:rsid w:val="009E2202"/>
    <w:rsid w:val="009E232D"/>
    <w:rsid w:val="009E3E7E"/>
    <w:rsid w:val="009E4A7A"/>
    <w:rsid w:val="009E4C07"/>
    <w:rsid w:val="009E6E06"/>
    <w:rsid w:val="009F2AE1"/>
    <w:rsid w:val="009F2D78"/>
    <w:rsid w:val="009F31A9"/>
    <w:rsid w:val="009F3951"/>
    <w:rsid w:val="009F3CE7"/>
    <w:rsid w:val="009F4E29"/>
    <w:rsid w:val="009F4F26"/>
    <w:rsid w:val="009F526C"/>
    <w:rsid w:val="009F55B0"/>
    <w:rsid w:val="00A0085B"/>
    <w:rsid w:val="00A02055"/>
    <w:rsid w:val="00A0247E"/>
    <w:rsid w:val="00A024C4"/>
    <w:rsid w:val="00A03D43"/>
    <w:rsid w:val="00A04380"/>
    <w:rsid w:val="00A04699"/>
    <w:rsid w:val="00A059EF"/>
    <w:rsid w:val="00A079E8"/>
    <w:rsid w:val="00A1235A"/>
    <w:rsid w:val="00A12818"/>
    <w:rsid w:val="00A12D3B"/>
    <w:rsid w:val="00A13948"/>
    <w:rsid w:val="00A13955"/>
    <w:rsid w:val="00A1500C"/>
    <w:rsid w:val="00A16800"/>
    <w:rsid w:val="00A203C9"/>
    <w:rsid w:val="00A21DF0"/>
    <w:rsid w:val="00A22B2A"/>
    <w:rsid w:val="00A23481"/>
    <w:rsid w:val="00A240C8"/>
    <w:rsid w:val="00A24B31"/>
    <w:rsid w:val="00A257BA"/>
    <w:rsid w:val="00A25E68"/>
    <w:rsid w:val="00A261C6"/>
    <w:rsid w:val="00A26832"/>
    <w:rsid w:val="00A27027"/>
    <w:rsid w:val="00A27AEC"/>
    <w:rsid w:val="00A32C91"/>
    <w:rsid w:val="00A3499D"/>
    <w:rsid w:val="00A35C15"/>
    <w:rsid w:val="00A35D16"/>
    <w:rsid w:val="00A360A0"/>
    <w:rsid w:val="00A37FF2"/>
    <w:rsid w:val="00A40AFE"/>
    <w:rsid w:val="00A41196"/>
    <w:rsid w:val="00A425CC"/>
    <w:rsid w:val="00A4326F"/>
    <w:rsid w:val="00A43C59"/>
    <w:rsid w:val="00A44F79"/>
    <w:rsid w:val="00A453DD"/>
    <w:rsid w:val="00A45F95"/>
    <w:rsid w:val="00A46206"/>
    <w:rsid w:val="00A4627B"/>
    <w:rsid w:val="00A465FC"/>
    <w:rsid w:val="00A46A40"/>
    <w:rsid w:val="00A50CB9"/>
    <w:rsid w:val="00A50ECD"/>
    <w:rsid w:val="00A52729"/>
    <w:rsid w:val="00A53675"/>
    <w:rsid w:val="00A54F10"/>
    <w:rsid w:val="00A55618"/>
    <w:rsid w:val="00A564AA"/>
    <w:rsid w:val="00A56B6A"/>
    <w:rsid w:val="00A56B95"/>
    <w:rsid w:val="00A578DC"/>
    <w:rsid w:val="00A63738"/>
    <w:rsid w:val="00A65CA9"/>
    <w:rsid w:val="00A662B4"/>
    <w:rsid w:val="00A66EC2"/>
    <w:rsid w:val="00A6725B"/>
    <w:rsid w:val="00A704F7"/>
    <w:rsid w:val="00A723E7"/>
    <w:rsid w:val="00A7719C"/>
    <w:rsid w:val="00A81A11"/>
    <w:rsid w:val="00A82EF3"/>
    <w:rsid w:val="00A84251"/>
    <w:rsid w:val="00A84583"/>
    <w:rsid w:val="00A8582F"/>
    <w:rsid w:val="00A85A22"/>
    <w:rsid w:val="00A86E8B"/>
    <w:rsid w:val="00A874D8"/>
    <w:rsid w:val="00A9033F"/>
    <w:rsid w:val="00A90636"/>
    <w:rsid w:val="00A9108F"/>
    <w:rsid w:val="00A929A6"/>
    <w:rsid w:val="00A92DF6"/>
    <w:rsid w:val="00A93072"/>
    <w:rsid w:val="00A93195"/>
    <w:rsid w:val="00A933F1"/>
    <w:rsid w:val="00A95810"/>
    <w:rsid w:val="00A959D8"/>
    <w:rsid w:val="00A96548"/>
    <w:rsid w:val="00A96EB1"/>
    <w:rsid w:val="00A97A43"/>
    <w:rsid w:val="00AA0DBA"/>
    <w:rsid w:val="00AA1D79"/>
    <w:rsid w:val="00AA231C"/>
    <w:rsid w:val="00AA2352"/>
    <w:rsid w:val="00AA2E6E"/>
    <w:rsid w:val="00AA4D55"/>
    <w:rsid w:val="00AA602B"/>
    <w:rsid w:val="00AA795C"/>
    <w:rsid w:val="00AB042A"/>
    <w:rsid w:val="00AB06E5"/>
    <w:rsid w:val="00AB2D34"/>
    <w:rsid w:val="00AB3430"/>
    <w:rsid w:val="00AB3835"/>
    <w:rsid w:val="00AB42EE"/>
    <w:rsid w:val="00AB6D16"/>
    <w:rsid w:val="00AB7354"/>
    <w:rsid w:val="00AB7929"/>
    <w:rsid w:val="00AB7CFA"/>
    <w:rsid w:val="00AC133B"/>
    <w:rsid w:val="00AC2057"/>
    <w:rsid w:val="00AC2635"/>
    <w:rsid w:val="00AC34CF"/>
    <w:rsid w:val="00AC73F9"/>
    <w:rsid w:val="00AD1BAB"/>
    <w:rsid w:val="00AD22B7"/>
    <w:rsid w:val="00AD4278"/>
    <w:rsid w:val="00AD43F4"/>
    <w:rsid w:val="00AD4CA0"/>
    <w:rsid w:val="00AD5DA8"/>
    <w:rsid w:val="00AD70CF"/>
    <w:rsid w:val="00AE0972"/>
    <w:rsid w:val="00AE1D89"/>
    <w:rsid w:val="00AE2929"/>
    <w:rsid w:val="00AE2C59"/>
    <w:rsid w:val="00AE543E"/>
    <w:rsid w:val="00AE6D6D"/>
    <w:rsid w:val="00AE7280"/>
    <w:rsid w:val="00AE772F"/>
    <w:rsid w:val="00AF0376"/>
    <w:rsid w:val="00AF046C"/>
    <w:rsid w:val="00AF071A"/>
    <w:rsid w:val="00AF10BA"/>
    <w:rsid w:val="00AF22B2"/>
    <w:rsid w:val="00AF367E"/>
    <w:rsid w:val="00AF530E"/>
    <w:rsid w:val="00AF5CFC"/>
    <w:rsid w:val="00AF7CD8"/>
    <w:rsid w:val="00B007F9"/>
    <w:rsid w:val="00B01F61"/>
    <w:rsid w:val="00B043AF"/>
    <w:rsid w:val="00B1199F"/>
    <w:rsid w:val="00B1246B"/>
    <w:rsid w:val="00B14441"/>
    <w:rsid w:val="00B157E9"/>
    <w:rsid w:val="00B16BB9"/>
    <w:rsid w:val="00B23302"/>
    <w:rsid w:val="00B23987"/>
    <w:rsid w:val="00B242B8"/>
    <w:rsid w:val="00B24772"/>
    <w:rsid w:val="00B27C0F"/>
    <w:rsid w:val="00B34673"/>
    <w:rsid w:val="00B35952"/>
    <w:rsid w:val="00B367CF"/>
    <w:rsid w:val="00B36AC7"/>
    <w:rsid w:val="00B40E73"/>
    <w:rsid w:val="00B421CB"/>
    <w:rsid w:val="00B4267A"/>
    <w:rsid w:val="00B42699"/>
    <w:rsid w:val="00B42851"/>
    <w:rsid w:val="00B43C9E"/>
    <w:rsid w:val="00B44D42"/>
    <w:rsid w:val="00B45B81"/>
    <w:rsid w:val="00B46DC0"/>
    <w:rsid w:val="00B50DB8"/>
    <w:rsid w:val="00B50E05"/>
    <w:rsid w:val="00B522E5"/>
    <w:rsid w:val="00B5356C"/>
    <w:rsid w:val="00B538DF"/>
    <w:rsid w:val="00B53905"/>
    <w:rsid w:val="00B543E8"/>
    <w:rsid w:val="00B54B5B"/>
    <w:rsid w:val="00B552B3"/>
    <w:rsid w:val="00B5562E"/>
    <w:rsid w:val="00B55F1B"/>
    <w:rsid w:val="00B561AE"/>
    <w:rsid w:val="00B57000"/>
    <w:rsid w:val="00B6056A"/>
    <w:rsid w:val="00B60939"/>
    <w:rsid w:val="00B60AFD"/>
    <w:rsid w:val="00B620FB"/>
    <w:rsid w:val="00B62715"/>
    <w:rsid w:val="00B67CDC"/>
    <w:rsid w:val="00B72286"/>
    <w:rsid w:val="00B72D7F"/>
    <w:rsid w:val="00B73377"/>
    <w:rsid w:val="00B7365A"/>
    <w:rsid w:val="00B74A5D"/>
    <w:rsid w:val="00B755D2"/>
    <w:rsid w:val="00B76F1D"/>
    <w:rsid w:val="00B77260"/>
    <w:rsid w:val="00B808F1"/>
    <w:rsid w:val="00B8097A"/>
    <w:rsid w:val="00B818A4"/>
    <w:rsid w:val="00B81A0E"/>
    <w:rsid w:val="00B835CE"/>
    <w:rsid w:val="00B835E4"/>
    <w:rsid w:val="00B850CA"/>
    <w:rsid w:val="00B85F65"/>
    <w:rsid w:val="00B8649C"/>
    <w:rsid w:val="00B87D27"/>
    <w:rsid w:val="00B87D6F"/>
    <w:rsid w:val="00B910BA"/>
    <w:rsid w:val="00B92D0B"/>
    <w:rsid w:val="00B93CB4"/>
    <w:rsid w:val="00B94945"/>
    <w:rsid w:val="00B95FE8"/>
    <w:rsid w:val="00BA041A"/>
    <w:rsid w:val="00BA1926"/>
    <w:rsid w:val="00BA3F05"/>
    <w:rsid w:val="00BA5576"/>
    <w:rsid w:val="00BA7317"/>
    <w:rsid w:val="00BA79EB"/>
    <w:rsid w:val="00BA7BF6"/>
    <w:rsid w:val="00BB12B9"/>
    <w:rsid w:val="00BB17A4"/>
    <w:rsid w:val="00BB2B37"/>
    <w:rsid w:val="00BB5AEA"/>
    <w:rsid w:val="00BB666D"/>
    <w:rsid w:val="00BB7405"/>
    <w:rsid w:val="00BB7A48"/>
    <w:rsid w:val="00BC0B0A"/>
    <w:rsid w:val="00BC1068"/>
    <w:rsid w:val="00BC11B1"/>
    <w:rsid w:val="00BC2779"/>
    <w:rsid w:val="00BC3FD2"/>
    <w:rsid w:val="00BC41A5"/>
    <w:rsid w:val="00BC5868"/>
    <w:rsid w:val="00BC6B35"/>
    <w:rsid w:val="00BC7326"/>
    <w:rsid w:val="00BC7774"/>
    <w:rsid w:val="00BD1C17"/>
    <w:rsid w:val="00BD5021"/>
    <w:rsid w:val="00BD59A2"/>
    <w:rsid w:val="00BD5A67"/>
    <w:rsid w:val="00BD6CF3"/>
    <w:rsid w:val="00BD7AA4"/>
    <w:rsid w:val="00BE1F1E"/>
    <w:rsid w:val="00BE2180"/>
    <w:rsid w:val="00BE272B"/>
    <w:rsid w:val="00BE412B"/>
    <w:rsid w:val="00BE4275"/>
    <w:rsid w:val="00BE5865"/>
    <w:rsid w:val="00BE63C4"/>
    <w:rsid w:val="00BF2147"/>
    <w:rsid w:val="00BF2433"/>
    <w:rsid w:val="00BF3776"/>
    <w:rsid w:val="00BF4576"/>
    <w:rsid w:val="00BF61C9"/>
    <w:rsid w:val="00BF6D45"/>
    <w:rsid w:val="00BF6DDA"/>
    <w:rsid w:val="00BF7277"/>
    <w:rsid w:val="00BF7EB7"/>
    <w:rsid w:val="00C00224"/>
    <w:rsid w:val="00C046AC"/>
    <w:rsid w:val="00C05355"/>
    <w:rsid w:val="00C0603A"/>
    <w:rsid w:val="00C06280"/>
    <w:rsid w:val="00C0659A"/>
    <w:rsid w:val="00C06ACE"/>
    <w:rsid w:val="00C06B02"/>
    <w:rsid w:val="00C0759E"/>
    <w:rsid w:val="00C11416"/>
    <w:rsid w:val="00C1149B"/>
    <w:rsid w:val="00C11540"/>
    <w:rsid w:val="00C11A33"/>
    <w:rsid w:val="00C12091"/>
    <w:rsid w:val="00C120E3"/>
    <w:rsid w:val="00C137CF"/>
    <w:rsid w:val="00C13FF0"/>
    <w:rsid w:val="00C140FA"/>
    <w:rsid w:val="00C144EA"/>
    <w:rsid w:val="00C1491A"/>
    <w:rsid w:val="00C14DD3"/>
    <w:rsid w:val="00C20F04"/>
    <w:rsid w:val="00C22619"/>
    <w:rsid w:val="00C2291E"/>
    <w:rsid w:val="00C2302E"/>
    <w:rsid w:val="00C236B7"/>
    <w:rsid w:val="00C24F4C"/>
    <w:rsid w:val="00C25418"/>
    <w:rsid w:val="00C25D9C"/>
    <w:rsid w:val="00C30E3E"/>
    <w:rsid w:val="00C31649"/>
    <w:rsid w:val="00C31EC9"/>
    <w:rsid w:val="00C33182"/>
    <w:rsid w:val="00C33443"/>
    <w:rsid w:val="00C338F0"/>
    <w:rsid w:val="00C36BDF"/>
    <w:rsid w:val="00C37191"/>
    <w:rsid w:val="00C40385"/>
    <w:rsid w:val="00C41D03"/>
    <w:rsid w:val="00C41EE1"/>
    <w:rsid w:val="00C44B2F"/>
    <w:rsid w:val="00C44BC0"/>
    <w:rsid w:val="00C45531"/>
    <w:rsid w:val="00C46816"/>
    <w:rsid w:val="00C4711C"/>
    <w:rsid w:val="00C475D7"/>
    <w:rsid w:val="00C51710"/>
    <w:rsid w:val="00C51966"/>
    <w:rsid w:val="00C544CA"/>
    <w:rsid w:val="00C5464A"/>
    <w:rsid w:val="00C54B1D"/>
    <w:rsid w:val="00C54C2D"/>
    <w:rsid w:val="00C552BF"/>
    <w:rsid w:val="00C570B1"/>
    <w:rsid w:val="00C60207"/>
    <w:rsid w:val="00C6091F"/>
    <w:rsid w:val="00C62614"/>
    <w:rsid w:val="00C65576"/>
    <w:rsid w:val="00C65E54"/>
    <w:rsid w:val="00C66165"/>
    <w:rsid w:val="00C66B71"/>
    <w:rsid w:val="00C709AF"/>
    <w:rsid w:val="00C70FB8"/>
    <w:rsid w:val="00C71264"/>
    <w:rsid w:val="00C72E2E"/>
    <w:rsid w:val="00C74489"/>
    <w:rsid w:val="00C750C8"/>
    <w:rsid w:val="00C75595"/>
    <w:rsid w:val="00C75835"/>
    <w:rsid w:val="00C8171B"/>
    <w:rsid w:val="00C8213F"/>
    <w:rsid w:val="00C84672"/>
    <w:rsid w:val="00C846C4"/>
    <w:rsid w:val="00C86EB7"/>
    <w:rsid w:val="00C8797A"/>
    <w:rsid w:val="00C90F19"/>
    <w:rsid w:val="00C927A2"/>
    <w:rsid w:val="00C938CF"/>
    <w:rsid w:val="00C970A7"/>
    <w:rsid w:val="00CA1A6B"/>
    <w:rsid w:val="00CA225D"/>
    <w:rsid w:val="00CA2F32"/>
    <w:rsid w:val="00CA5245"/>
    <w:rsid w:val="00CA71CE"/>
    <w:rsid w:val="00CA7B09"/>
    <w:rsid w:val="00CA7EBB"/>
    <w:rsid w:val="00CB2289"/>
    <w:rsid w:val="00CB2294"/>
    <w:rsid w:val="00CB3AF9"/>
    <w:rsid w:val="00CB3F81"/>
    <w:rsid w:val="00CB5B1A"/>
    <w:rsid w:val="00CB5E77"/>
    <w:rsid w:val="00CC31F6"/>
    <w:rsid w:val="00CC6791"/>
    <w:rsid w:val="00CC7215"/>
    <w:rsid w:val="00CD11A8"/>
    <w:rsid w:val="00CD1D53"/>
    <w:rsid w:val="00CD2E1D"/>
    <w:rsid w:val="00CD2EAC"/>
    <w:rsid w:val="00CD3540"/>
    <w:rsid w:val="00CD3D70"/>
    <w:rsid w:val="00CD6ADC"/>
    <w:rsid w:val="00CD6DC6"/>
    <w:rsid w:val="00CD7053"/>
    <w:rsid w:val="00CE0A90"/>
    <w:rsid w:val="00CE14D7"/>
    <w:rsid w:val="00CE17B5"/>
    <w:rsid w:val="00CE1D30"/>
    <w:rsid w:val="00CE5E19"/>
    <w:rsid w:val="00CE6274"/>
    <w:rsid w:val="00CE77DD"/>
    <w:rsid w:val="00CE7986"/>
    <w:rsid w:val="00CF0E61"/>
    <w:rsid w:val="00CF14E8"/>
    <w:rsid w:val="00CF456B"/>
    <w:rsid w:val="00CF53C5"/>
    <w:rsid w:val="00CF5A22"/>
    <w:rsid w:val="00CF6EB2"/>
    <w:rsid w:val="00CF717E"/>
    <w:rsid w:val="00CF73D3"/>
    <w:rsid w:val="00D0262E"/>
    <w:rsid w:val="00D02AC7"/>
    <w:rsid w:val="00D0378A"/>
    <w:rsid w:val="00D0606D"/>
    <w:rsid w:val="00D06A1E"/>
    <w:rsid w:val="00D110BD"/>
    <w:rsid w:val="00D11120"/>
    <w:rsid w:val="00D11AFF"/>
    <w:rsid w:val="00D1219B"/>
    <w:rsid w:val="00D12532"/>
    <w:rsid w:val="00D13FC6"/>
    <w:rsid w:val="00D162DC"/>
    <w:rsid w:val="00D17D6C"/>
    <w:rsid w:val="00D20CB1"/>
    <w:rsid w:val="00D25D40"/>
    <w:rsid w:val="00D262BA"/>
    <w:rsid w:val="00D2779B"/>
    <w:rsid w:val="00D305E9"/>
    <w:rsid w:val="00D30B21"/>
    <w:rsid w:val="00D34419"/>
    <w:rsid w:val="00D3515A"/>
    <w:rsid w:val="00D351D4"/>
    <w:rsid w:val="00D357FF"/>
    <w:rsid w:val="00D36CE2"/>
    <w:rsid w:val="00D377E0"/>
    <w:rsid w:val="00D40539"/>
    <w:rsid w:val="00D406C4"/>
    <w:rsid w:val="00D43B53"/>
    <w:rsid w:val="00D44649"/>
    <w:rsid w:val="00D464C7"/>
    <w:rsid w:val="00D512A7"/>
    <w:rsid w:val="00D5227D"/>
    <w:rsid w:val="00D526D4"/>
    <w:rsid w:val="00D52750"/>
    <w:rsid w:val="00D54E8C"/>
    <w:rsid w:val="00D55294"/>
    <w:rsid w:val="00D56DF0"/>
    <w:rsid w:val="00D5750B"/>
    <w:rsid w:val="00D578F7"/>
    <w:rsid w:val="00D61E24"/>
    <w:rsid w:val="00D64702"/>
    <w:rsid w:val="00D64E6F"/>
    <w:rsid w:val="00D661D5"/>
    <w:rsid w:val="00D701B1"/>
    <w:rsid w:val="00D712D0"/>
    <w:rsid w:val="00D73AD5"/>
    <w:rsid w:val="00D73AD8"/>
    <w:rsid w:val="00D76423"/>
    <w:rsid w:val="00D76972"/>
    <w:rsid w:val="00D76A44"/>
    <w:rsid w:val="00D76D5A"/>
    <w:rsid w:val="00D80109"/>
    <w:rsid w:val="00D828C6"/>
    <w:rsid w:val="00D84AA1"/>
    <w:rsid w:val="00D8511D"/>
    <w:rsid w:val="00D86B66"/>
    <w:rsid w:val="00D9224D"/>
    <w:rsid w:val="00D922AE"/>
    <w:rsid w:val="00D923F2"/>
    <w:rsid w:val="00D92F5D"/>
    <w:rsid w:val="00D93753"/>
    <w:rsid w:val="00D93908"/>
    <w:rsid w:val="00D95A7C"/>
    <w:rsid w:val="00D964C4"/>
    <w:rsid w:val="00DA0531"/>
    <w:rsid w:val="00DA1A62"/>
    <w:rsid w:val="00DA77A5"/>
    <w:rsid w:val="00DA7DFF"/>
    <w:rsid w:val="00DB1A53"/>
    <w:rsid w:val="00DB22F4"/>
    <w:rsid w:val="00DB6F4F"/>
    <w:rsid w:val="00DB77FB"/>
    <w:rsid w:val="00DC0A7F"/>
    <w:rsid w:val="00DC0BD5"/>
    <w:rsid w:val="00DC533C"/>
    <w:rsid w:val="00DC5501"/>
    <w:rsid w:val="00DC7FB4"/>
    <w:rsid w:val="00DD186E"/>
    <w:rsid w:val="00DD2334"/>
    <w:rsid w:val="00DD3F28"/>
    <w:rsid w:val="00DD4537"/>
    <w:rsid w:val="00DD4E15"/>
    <w:rsid w:val="00DD6376"/>
    <w:rsid w:val="00DD7C7F"/>
    <w:rsid w:val="00DE2CF1"/>
    <w:rsid w:val="00DE4857"/>
    <w:rsid w:val="00DE4FCB"/>
    <w:rsid w:val="00DE600E"/>
    <w:rsid w:val="00DE6C9C"/>
    <w:rsid w:val="00DE739C"/>
    <w:rsid w:val="00DE7B8E"/>
    <w:rsid w:val="00DF0DE9"/>
    <w:rsid w:val="00DF2B17"/>
    <w:rsid w:val="00DF3149"/>
    <w:rsid w:val="00DF38DF"/>
    <w:rsid w:val="00DF390A"/>
    <w:rsid w:val="00DF4513"/>
    <w:rsid w:val="00DF564C"/>
    <w:rsid w:val="00DF5D2B"/>
    <w:rsid w:val="00DF5FA0"/>
    <w:rsid w:val="00DF671D"/>
    <w:rsid w:val="00DF68F7"/>
    <w:rsid w:val="00DF7575"/>
    <w:rsid w:val="00E00AAD"/>
    <w:rsid w:val="00E01C95"/>
    <w:rsid w:val="00E0214C"/>
    <w:rsid w:val="00E02C64"/>
    <w:rsid w:val="00E02D59"/>
    <w:rsid w:val="00E035FC"/>
    <w:rsid w:val="00E0413C"/>
    <w:rsid w:val="00E07374"/>
    <w:rsid w:val="00E10149"/>
    <w:rsid w:val="00E10942"/>
    <w:rsid w:val="00E13346"/>
    <w:rsid w:val="00E14AD6"/>
    <w:rsid w:val="00E16372"/>
    <w:rsid w:val="00E16FD2"/>
    <w:rsid w:val="00E20ED6"/>
    <w:rsid w:val="00E21358"/>
    <w:rsid w:val="00E2249B"/>
    <w:rsid w:val="00E22A0D"/>
    <w:rsid w:val="00E2421D"/>
    <w:rsid w:val="00E26253"/>
    <w:rsid w:val="00E26EB6"/>
    <w:rsid w:val="00E2771E"/>
    <w:rsid w:val="00E3025C"/>
    <w:rsid w:val="00E30FBD"/>
    <w:rsid w:val="00E320E3"/>
    <w:rsid w:val="00E33034"/>
    <w:rsid w:val="00E34103"/>
    <w:rsid w:val="00E34BF2"/>
    <w:rsid w:val="00E363E7"/>
    <w:rsid w:val="00E37569"/>
    <w:rsid w:val="00E375D1"/>
    <w:rsid w:val="00E4062B"/>
    <w:rsid w:val="00E41E30"/>
    <w:rsid w:val="00E427BB"/>
    <w:rsid w:val="00E43D70"/>
    <w:rsid w:val="00E452AE"/>
    <w:rsid w:val="00E47B2C"/>
    <w:rsid w:val="00E51560"/>
    <w:rsid w:val="00E55424"/>
    <w:rsid w:val="00E559E8"/>
    <w:rsid w:val="00E55BB5"/>
    <w:rsid w:val="00E62173"/>
    <w:rsid w:val="00E646D1"/>
    <w:rsid w:val="00E656B6"/>
    <w:rsid w:val="00E65E79"/>
    <w:rsid w:val="00E67416"/>
    <w:rsid w:val="00E70FA5"/>
    <w:rsid w:val="00E71322"/>
    <w:rsid w:val="00E718B6"/>
    <w:rsid w:val="00E718F8"/>
    <w:rsid w:val="00E721C9"/>
    <w:rsid w:val="00E72A18"/>
    <w:rsid w:val="00E73581"/>
    <w:rsid w:val="00E74664"/>
    <w:rsid w:val="00E7480D"/>
    <w:rsid w:val="00E7599A"/>
    <w:rsid w:val="00E801E8"/>
    <w:rsid w:val="00E836B1"/>
    <w:rsid w:val="00E83BDF"/>
    <w:rsid w:val="00E845E0"/>
    <w:rsid w:val="00E94683"/>
    <w:rsid w:val="00E95151"/>
    <w:rsid w:val="00E9583E"/>
    <w:rsid w:val="00E96378"/>
    <w:rsid w:val="00E9692F"/>
    <w:rsid w:val="00E96E3F"/>
    <w:rsid w:val="00EA3864"/>
    <w:rsid w:val="00EA5B53"/>
    <w:rsid w:val="00EA5F2E"/>
    <w:rsid w:val="00EA77AB"/>
    <w:rsid w:val="00EA7B0D"/>
    <w:rsid w:val="00EA7CB7"/>
    <w:rsid w:val="00EB15B6"/>
    <w:rsid w:val="00EB4916"/>
    <w:rsid w:val="00EB560A"/>
    <w:rsid w:val="00EB6283"/>
    <w:rsid w:val="00EB7353"/>
    <w:rsid w:val="00EC00C9"/>
    <w:rsid w:val="00EC02B8"/>
    <w:rsid w:val="00EC1D9C"/>
    <w:rsid w:val="00EC31B7"/>
    <w:rsid w:val="00EC36DB"/>
    <w:rsid w:val="00EC3B98"/>
    <w:rsid w:val="00EC46EE"/>
    <w:rsid w:val="00EC4FE7"/>
    <w:rsid w:val="00EC56CD"/>
    <w:rsid w:val="00EC664F"/>
    <w:rsid w:val="00ED02D7"/>
    <w:rsid w:val="00ED07B8"/>
    <w:rsid w:val="00ED0A63"/>
    <w:rsid w:val="00ED1047"/>
    <w:rsid w:val="00ED139F"/>
    <w:rsid w:val="00ED14CC"/>
    <w:rsid w:val="00ED2AFB"/>
    <w:rsid w:val="00ED5463"/>
    <w:rsid w:val="00ED6C74"/>
    <w:rsid w:val="00ED726D"/>
    <w:rsid w:val="00EE07D3"/>
    <w:rsid w:val="00EE0A94"/>
    <w:rsid w:val="00EE1FA4"/>
    <w:rsid w:val="00EE2121"/>
    <w:rsid w:val="00EE36D9"/>
    <w:rsid w:val="00EE50BD"/>
    <w:rsid w:val="00EE7AF3"/>
    <w:rsid w:val="00EF02FE"/>
    <w:rsid w:val="00EF22D9"/>
    <w:rsid w:val="00EF5F43"/>
    <w:rsid w:val="00EF7B76"/>
    <w:rsid w:val="00F02A81"/>
    <w:rsid w:val="00F03A38"/>
    <w:rsid w:val="00F06294"/>
    <w:rsid w:val="00F067A2"/>
    <w:rsid w:val="00F07197"/>
    <w:rsid w:val="00F12FA8"/>
    <w:rsid w:val="00F13D24"/>
    <w:rsid w:val="00F141FD"/>
    <w:rsid w:val="00F17EF9"/>
    <w:rsid w:val="00F21D4A"/>
    <w:rsid w:val="00F24615"/>
    <w:rsid w:val="00F24837"/>
    <w:rsid w:val="00F2575F"/>
    <w:rsid w:val="00F262EC"/>
    <w:rsid w:val="00F3023A"/>
    <w:rsid w:val="00F3121E"/>
    <w:rsid w:val="00F316D7"/>
    <w:rsid w:val="00F33DE9"/>
    <w:rsid w:val="00F33E19"/>
    <w:rsid w:val="00F34C39"/>
    <w:rsid w:val="00F3619A"/>
    <w:rsid w:val="00F3738C"/>
    <w:rsid w:val="00F37455"/>
    <w:rsid w:val="00F40836"/>
    <w:rsid w:val="00F45721"/>
    <w:rsid w:val="00F457F0"/>
    <w:rsid w:val="00F45B6F"/>
    <w:rsid w:val="00F46CB6"/>
    <w:rsid w:val="00F46E9B"/>
    <w:rsid w:val="00F50020"/>
    <w:rsid w:val="00F50280"/>
    <w:rsid w:val="00F51EC6"/>
    <w:rsid w:val="00F51FB4"/>
    <w:rsid w:val="00F526B3"/>
    <w:rsid w:val="00F5456B"/>
    <w:rsid w:val="00F55589"/>
    <w:rsid w:val="00F55E73"/>
    <w:rsid w:val="00F562C0"/>
    <w:rsid w:val="00F57BE6"/>
    <w:rsid w:val="00F60092"/>
    <w:rsid w:val="00F6197E"/>
    <w:rsid w:val="00F64A4E"/>
    <w:rsid w:val="00F65135"/>
    <w:rsid w:val="00F700FD"/>
    <w:rsid w:val="00F736FC"/>
    <w:rsid w:val="00F74B08"/>
    <w:rsid w:val="00F77C10"/>
    <w:rsid w:val="00F80E5D"/>
    <w:rsid w:val="00F8247D"/>
    <w:rsid w:val="00F82828"/>
    <w:rsid w:val="00F82970"/>
    <w:rsid w:val="00F82996"/>
    <w:rsid w:val="00F851CE"/>
    <w:rsid w:val="00F868CB"/>
    <w:rsid w:val="00F869D4"/>
    <w:rsid w:val="00F90D28"/>
    <w:rsid w:val="00F92040"/>
    <w:rsid w:val="00F93488"/>
    <w:rsid w:val="00F94E94"/>
    <w:rsid w:val="00F95D44"/>
    <w:rsid w:val="00F95E5B"/>
    <w:rsid w:val="00F977B3"/>
    <w:rsid w:val="00F979B8"/>
    <w:rsid w:val="00F97A78"/>
    <w:rsid w:val="00FA1133"/>
    <w:rsid w:val="00FA24E7"/>
    <w:rsid w:val="00FA33ED"/>
    <w:rsid w:val="00FA6C28"/>
    <w:rsid w:val="00FB2BE5"/>
    <w:rsid w:val="00FB2D7D"/>
    <w:rsid w:val="00FB2FCB"/>
    <w:rsid w:val="00FB3184"/>
    <w:rsid w:val="00FB388F"/>
    <w:rsid w:val="00FB46A9"/>
    <w:rsid w:val="00FB6276"/>
    <w:rsid w:val="00FB769D"/>
    <w:rsid w:val="00FC02FF"/>
    <w:rsid w:val="00FC1074"/>
    <w:rsid w:val="00FC1884"/>
    <w:rsid w:val="00FC57AF"/>
    <w:rsid w:val="00FC6EEF"/>
    <w:rsid w:val="00FC7A6B"/>
    <w:rsid w:val="00FD05D5"/>
    <w:rsid w:val="00FD0665"/>
    <w:rsid w:val="00FD14F3"/>
    <w:rsid w:val="00FD155A"/>
    <w:rsid w:val="00FD2100"/>
    <w:rsid w:val="00FD216C"/>
    <w:rsid w:val="00FD2BED"/>
    <w:rsid w:val="00FD446D"/>
    <w:rsid w:val="00FD461F"/>
    <w:rsid w:val="00FD6101"/>
    <w:rsid w:val="00FD7067"/>
    <w:rsid w:val="00FD7A29"/>
    <w:rsid w:val="00FE15B1"/>
    <w:rsid w:val="00FE6221"/>
    <w:rsid w:val="00FF039A"/>
    <w:rsid w:val="00FF0DC6"/>
    <w:rsid w:val="00FF1313"/>
    <w:rsid w:val="00FF2B0E"/>
    <w:rsid w:val="00FF3DCF"/>
    <w:rsid w:val="00FF53B6"/>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4B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styleId="FootnoteText">
    <w:name w:val="footnote text"/>
    <w:basedOn w:val="Normal"/>
    <w:link w:val="FootnoteTextChar"/>
    <w:rsid w:val="00BB666D"/>
    <w:rPr>
      <w:rFonts w:ascii="Times New Roman" w:hAnsi="Times New Roman" w:cs="Times New Roman"/>
      <w:sz w:val="20"/>
    </w:rPr>
  </w:style>
  <w:style w:type="character" w:customStyle="1" w:styleId="FootnoteTextChar">
    <w:name w:val="Footnote Text Char"/>
    <w:basedOn w:val="DefaultParagraphFont"/>
    <w:link w:val="FootnoteText"/>
    <w:rsid w:val="00BB666D"/>
    <w:rPr>
      <w:snapToGrid w:val="0"/>
      <w:lang w:eastAsia="en-US"/>
    </w:rPr>
  </w:style>
  <w:style w:type="character" w:styleId="FootnoteReference">
    <w:name w:val="footnote reference"/>
    <w:uiPriority w:val="99"/>
    <w:rsid w:val="00BB666D"/>
    <w:rPr>
      <w:vertAlign w:val="superscript"/>
    </w:rPr>
  </w:style>
  <w:style w:type="character" w:styleId="PageNumber">
    <w:name w:val="page number"/>
    <w:basedOn w:val="DefaultParagraphFont"/>
    <w:rsid w:val="00067581"/>
  </w:style>
  <w:style w:type="paragraph" w:customStyle="1" w:styleId="ANormalItalic">
    <w:name w:val="A Normal Italic"/>
    <w:basedOn w:val="Normal"/>
    <w:link w:val="ANormalItalicChar"/>
    <w:rsid w:val="00CD3D70"/>
    <w:rPr>
      <w:rFonts w:ascii="Times New Roman" w:hAnsi="Times New Roman" w:cs="Times New Roman"/>
      <w:i/>
      <w:sz w:val="24"/>
      <w:szCs w:val="24"/>
    </w:rPr>
  </w:style>
  <w:style w:type="character" w:customStyle="1" w:styleId="ANormalItalicChar">
    <w:name w:val="A Normal Italic Char"/>
    <w:basedOn w:val="DefaultParagraphFont"/>
    <w:link w:val="ANormalItalic"/>
    <w:rsid w:val="00CD3D70"/>
    <w:rPr>
      <w:i/>
      <w:snapToGrid w:val="0"/>
      <w:sz w:val="24"/>
      <w:szCs w:val="24"/>
      <w:lang w:eastAsia="en-US"/>
    </w:rPr>
  </w:style>
  <w:style w:type="character" w:customStyle="1" w:styleId="ListParagraphChar">
    <w:name w:val="List Paragraph Char"/>
    <w:link w:val="ListParagraph"/>
    <w:uiPriority w:val="34"/>
    <w:locked/>
    <w:rsid w:val="002201D2"/>
    <w:rPr>
      <w:rFonts w:ascii="Arial" w:hAnsi="Arial" w:cs="Arial"/>
      <w:snapToGrid w:val="0"/>
      <w:sz w:val="22"/>
      <w:lang w:eastAsia="en-US"/>
    </w:rPr>
  </w:style>
  <w:style w:type="character" w:styleId="FollowedHyperlink">
    <w:name w:val="FollowedHyperlink"/>
    <w:basedOn w:val="DefaultParagraphFont"/>
    <w:semiHidden/>
    <w:unhideWhenUsed/>
    <w:rsid w:val="00ED07B8"/>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90F19"/>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4B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styleId="FootnoteText">
    <w:name w:val="footnote text"/>
    <w:basedOn w:val="Normal"/>
    <w:link w:val="FootnoteTextChar"/>
    <w:rsid w:val="00BB666D"/>
    <w:rPr>
      <w:rFonts w:ascii="Times New Roman" w:hAnsi="Times New Roman" w:cs="Times New Roman"/>
      <w:sz w:val="20"/>
    </w:rPr>
  </w:style>
  <w:style w:type="character" w:customStyle="1" w:styleId="FootnoteTextChar">
    <w:name w:val="Footnote Text Char"/>
    <w:basedOn w:val="DefaultParagraphFont"/>
    <w:link w:val="FootnoteText"/>
    <w:rsid w:val="00BB666D"/>
    <w:rPr>
      <w:snapToGrid w:val="0"/>
      <w:lang w:eastAsia="en-US"/>
    </w:rPr>
  </w:style>
  <w:style w:type="character" w:styleId="FootnoteReference">
    <w:name w:val="footnote reference"/>
    <w:uiPriority w:val="99"/>
    <w:rsid w:val="00BB666D"/>
    <w:rPr>
      <w:vertAlign w:val="superscript"/>
    </w:rPr>
  </w:style>
  <w:style w:type="character" w:styleId="PageNumber">
    <w:name w:val="page number"/>
    <w:basedOn w:val="DefaultParagraphFont"/>
    <w:rsid w:val="00067581"/>
  </w:style>
  <w:style w:type="paragraph" w:customStyle="1" w:styleId="ANormalItalic">
    <w:name w:val="A Normal Italic"/>
    <w:basedOn w:val="Normal"/>
    <w:link w:val="ANormalItalicChar"/>
    <w:rsid w:val="00CD3D70"/>
    <w:rPr>
      <w:rFonts w:ascii="Times New Roman" w:hAnsi="Times New Roman" w:cs="Times New Roman"/>
      <w:i/>
      <w:sz w:val="24"/>
      <w:szCs w:val="24"/>
    </w:rPr>
  </w:style>
  <w:style w:type="character" w:customStyle="1" w:styleId="ANormalItalicChar">
    <w:name w:val="A Normal Italic Char"/>
    <w:basedOn w:val="DefaultParagraphFont"/>
    <w:link w:val="ANormalItalic"/>
    <w:rsid w:val="00CD3D70"/>
    <w:rPr>
      <w:i/>
      <w:snapToGrid w:val="0"/>
      <w:sz w:val="24"/>
      <w:szCs w:val="24"/>
      <w:lang w:eastAsia="en-US"/>
    </w:rPr>
  </w:style>
  <w:style w:type="character" w:customStyle="1" w:styleId="ListParagraphChar">
    <w:name w:val="List Paragraph Char"/>
    <w:link w:val="ListParagraph"/>
    <w:uiPriority w:val="34"/>
    <w:locked/>
    <w:rsid w:val="002201D2"/>
    <w:rPr>
      <w:rFonts w:ascii="Arial" w:hAnsi="Arial" w:cs="Arial"/>
      <w:snapToGrid w:val="0"/>
      <w:sz w:val="22"/>
      <w:lang w:eastAsia="en-US"/>
    </w:rPr>
  </w:style>
  <w:style w:type="character" w:styleId="FollowedHyperlink">
    <w:name w:val="FollowedHyperlink"/>
    <w:basedOn w:val="DefaultParagraphFont"/>
    <w:semiHidden/>
    <w:unhideWhenUsed/>
    <w:rsid w:val="00ED07B8"/>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90F19"/>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38B8-F541-42BE-8287-9F5B12DC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4880</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2015-10-26T04:31:00Z</dcterms:created>
  <dcterms:modified xsi:type="dcterms:W3CDTF">2015-10-26T04:32:00Z</dcterms:modified>
</cp:coreProperties>
</file>