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2574A0" w:rsidRDefault="00B60939" w:rsidP="00207D00"/>
    <w:p w:rsidR="00B60939" w:rsidRPr="004A1862" w:rsidRDefault="00C13FD5" w:rsidP="00207D00">
      <w:pPr>
        <w:pStyle w:val="Heading1"/>
        <w:rPr>
          <w:sz w:val="28"/>
          <w:lang w:val="it-IT"/>
        </w:rPr>
      </w:pPr>
      <w:bookmarkStart w:id="0" w:name="_Toc419189220"/>
      <w:r w:rsidRPr="004A1862">
        <w:rPr>
          <w:sz w:val="28"/>
          <w:lang w:val="it-IT"/>
        </w:rPr>
        <w:t>5.02</w:t>
      </w:r>
      <w:r w:rsidR="00B60939" w:rsidRPr="004A1862">
        <w:rPr>
          <w:sz w:val="28"/>
          <w:lang w:val="it-IT"/>
        </w:rPr>
        <w:tab/>
      </w:r>
      <w:r w:rsidR="003616F1" w:rsidRPr="004A1862">
        <w:rPr>
          <w:sz w:val="28"/>
          <w:lang w:val="it-IT"/>
        </w:rPr>
        <w:t>BRINZOLOMIDE / BRIMONIDINE TARTRATE 1%/0.2%</w:t>
      </w:r>
      <w:r w:rsidR="00B60939" w:rsidRPr="004A1862">
        <w:rPr>
          <w:sz w:val="28"/>
          <w:lang w:val="it-IT"/>
        </w:rPr>
        <w:t xml:space="preserve">, </w:t>
      </w:r>
      <w:r w:rsidR="003616F1" w:rsidRPr="004A1862">
        <w:rPr>
          <w:caps w:val="0"/>
          <w:sz w:val="28"/>
          <w:lang w:val="it-IT"/>
        </w:rPr>
        <w:t>suspension</w:t>
      </w:r>
      <w:r w:rsidR="00A64C31" w:rsidRPr="004A1862">
        <w:rPr>
          <w:caps w:val="0"/>
          <w:sz w:val="28"/>
          <w:lang w:val="it-IT"/>
        </w:rPr>
        <w:t xml:space="preserve"> </w:t>
      </w:r>
      <w:r w:rsidR="00B615C9" w:rsidRPr="004A1862">
        <w:rPr>
          <w:sz w:val="28"/>
          <w:lang w:val="it-IT"/>
        </w:rPr>
        <w:t xml:space="preserve">5 </w:t>
      </w:r>
      <w:r w:rsidR="00A64C31" w:rsidRPr="004A1862">
        <w:rPr>
          <w:caps w:val="0"/>
          <w:sz w:val="28"/>
          <w:lang w:val="it-IT"/>
        </w:rPr>
        <w:t>m</w:t>
      </w:r>
      <w:r w:rsidR="00B615C9" w:rsidRPr="004A1862">
        <w:rPr>
          <w:sz w:val="28"/>
          <w:lang w:val="it-IT"/>
        </w:rPr>
        <w:t>L,</w:t>
      </w:r>
      <w:r w:rsidR="00B60939" w:rsidRPr="004A1862">
        <w:rPr>
          <w:sz w:val="28"/>
          <w:lang w:val="it-IT"/>
        </w:rPr>
        <w:t xml:space="preserve"> </w:t>
      </w:r>
      <w:r w:rsidR="003616F1" w:rsidRPr="004A1862">
        <w:rPr>
          <w:caps w:val="0"/>
          <w:sz w:val="28"/>
          <w:lang w:val="it-IT"/>
        </w:rPr>
        <w:t>Simbrinza</w:t>
      </w:r>
      <w:r w:rsidR="00B60939" w:rsidRPr="004A1862">
        <w:rPr>
          <w:sz w:val="28"/>
          <w:vertAlign w:val="superscript"/>
          <w:lang w:val="it-IT"/>
        </w:rPr>
        <w:t>®</w:t>
      </w:r>
      <w:r w:rsidR="00B60939" w:rsidRPr="004A1862">
        <w:rPr>
          <w:sz w:val="28"/>
          <w:lang w:val="it-IT"/>
        </w:rPr>
        <w:t xml:space="preserve">, </w:t>
      </w:r>
      <w:r w:rsidR="003616F1" w:rsidRPr="004A1862">
        <w:rPr>
          <w:caps w:val="0"/>
          <w:sz w:val="28"/>
          <w:lang w:val="it-IT"/>
        </w:rPr>
        <w:t>Alcon Laboratories (Australia) Pty Ltd</w:t>
      </w:r>
      <w:r w:rsidR="00B60939" w:rsidRPr="004A1862">
        <w:rPr>
          <w:sz w:val="28"/>
          <w:lang w:val="it-IT"/>
        </w:rPr>
        <w:t>.</w:t>
      </w:r>
      <w:bookmarkEnd w:id="0"/>
    </w:p>
    <w:p w:rsidR="004B0105" w:rsidRPr="004A1862" w:rsidRDefault="004B0105" w:rsidP="00433044">
      <w:pPr>
        <w:rPr>
          <w:lang w:val="it-IT"/>
        </w:rPr>
      </w:pPr>
    </w:p>
    <w:p w:rsidR="00B60939" w:rsidRPr="004A1862" w:rsidRDefault="00B60939" w:rsidP="00207D00">
      <w:pPr>
        <w:rPr>
          <w:lang w:val="it-IT"/>
        </w:rPr>
      </w:pPr>
    </w:p>
    <w:p w:rsidR="00B50DB8" w:rsidRPr="004A1862" w:rsidRDefault="00B50DB8" w:rsidP="00BD6CF3">
      <w:pPr>
        <w:pStyle w:val="PBACHeading1"/>
      </w:pPr>
      <w:bookmarkStart w:id="1" w:name="_Toc419189222"/>
      <w:r w:rsidRPr="004A1862">
        <w:t>Purpose of Application</w:t>
      </w:r>
      <w:bookmarkEnd w:id="1"/>
    </w:p>
    <w:p w:rsidR="00B60939" w:rsidRPr="004A1862" w:rsidRDefault="00B60939" w:rsidP="00B60939">
      <w:pPr>
        <w:rPr>
          <w:szCs w:val="22"/>
        </w:rPr>
      </w:pPr>
    </w:p>
    <w:p w:rsidR="002C2775" w:rsidRPr="004A1862" w:rsidRDefault="004B10EF" w:rsidP="006A326A">
      <w:pPr>
        <w:pStyle w:val="ListParagraph"/>
        <w:widowControl/>
        <w:numPr>
          <w:ilvl w:val="1"/>
          <w:numId w:val="11"/>
        </w:numPr>
        <w:rPr>
          <w:szCs w:val="22"/>
        </w:rPr>
      </w:pPr>
      <w:r w:rsidRPr="004A1862">
        <w:t>Restricted Benefit</w:t>
      </w:r>
      <w:r w:rsidR="001E238E" w:rsidRPr="004A1862">
        <w:t xml:space="preserve"> list</w:t>
      </w:r>
      <w:r w:rsidRPr="004A1862">
        <w:t xml:space="preserve">ing for </w:t>
      </w:r>
      <w:r w:rsidR="005F5B00" w:rsidRPr="004A1862">
        <w:t xml:space="preserve">brinzolamide + brimonidine fixed dose combination (FDC) </w:t>
      </w:r>
      <w:r w:rsidR="001E238E" w:rsidRPr="004A1862">
        <w:t>for tre</w:t>
      </w:r>
      <w:r w:rsidRPr="004A1862">
        <w:t xml:space="preserve">atment of </w:t>
      </w:r>
      <w:r w:rsidR="00BB6352" w:rsidRPr="004A1862">
        <w:t xml:space="preserve">elevated intra </w:t>
      </w:r>
      <w:r w:rsidR="003536AF" w:rsidRPr="004A1862">
        <w:t>ocular pressure</w:t>
      </w:r>
      <w:r w:rsidR="00BB6352" w:rsidRPr="004A1862">
        <w:t>.</w:t>
      </w:r>
    </w:p>
    <w:p w:rsidR="00B60939" w:rsidRPr="004A1862" w:rsidRDefault="00B60939" w:rsidP="004B1CB4"/>
    <w:p w:rsidR="004E43B2" w:rsidRPr="004A1862" w:rsidRDefault="004E43B2" w:rsidP="004B1CB4"/>
    <w:p w:rsidR="00B50DB8" w:rsidRPr="004A1862" w:rsidRDefault="00B50DB8" w:rsidP="00BD6CF3">
      <w:pPr>
        <w:pStyle w:val="PBACHeading1"/>
      </w:pPr>
      <w:bookmarkStart w:id="2" w:name="_Toc419189223"/>
      <w:r w:rsidRPr="004A1862">
        <w:t>Requested listing</w:t>
      </w:r>
      <w:bookmarkStart w:id="3" w:name="_GoBack"/>
      <w:bookmarkEnd w:id="2"/>
      <w:bookmarkEnd w:id="3"/>
    </w:p>
    <w:p w:rsidR="00B60939" w:rsidRPr="004A1862" w:rsidRDefault="00B60939" w:rsidP="004B1CB4"/>
    <w:p w:rsidR="002574A0" w:rsidRPr="004A1862" w:rsidRDefault="002574A0" w:rsidP="002574A0">
      <w:pPr>
        <w:pStyle w:val="ListParagraph"/>
        <w:widowControl/>
        <w:numPr>
          <w:ilvl w:val="1"/>
          <w:numId w:val="11"/>
        </w:numPr>
      </w:pPr>
      <w:r w:rsidRPr="004A1862">
        <w:t>Suggestions and additions proposed by the Secretariat to the requested listing are added in italics and suggested deletions are crossed out with strikethrough.</w:t>
      </w:r>
    </w:p>
    <w:p w:rsidR="00C55BD0" w:rsidRPr="004A1862" w:rsidRDefault="00C55BD0" w:rsidP="00C55BD0">
      <w:pPr>
        <w:pStyle w:val="ListParagraph"/>
        <w:widowControl/>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701B84" w:rsidRPr="004A1862" w:rsidTr="00701B84">
        <w:trPr>
          <w:cantSplit/>
          <w:trHeight w:val="471"/>
        </w:trPr>
        <w:tc>
          <w:tcPr>
            <w:tcW w:w="3261" w:type="dxa"/>
            <w:gridSpan w:val="2"/>
            <w:tcBorders>
              <w:bottom w:val="single" w:sz="4" w:space="0" w:color="auto"/>
            </w:tcBorders>
          </w:tcPr>
          <w:p w:rsidR="00701B84" w:rsidRPr="004A1862" w:rsidRDefault="00701B84" w:rsidP="00B021BA">
            <w:pPr>
              <w:keepNext/>
              <w:widowControl/>
              <w:ind w:left="-108"/>
              <w:rPr>
                <w:rFonts w:ascii="Arial Narrow" w:hAnsi="Arial Narrow"/>
                <w:snapToGrid/>
                <w:sz w:val="20"/>
                <w:lang w:eastAsia="en-AU"/>
              </w:rPr>
            </w:pPr>
            <w:r w:rsidRPr="004A1862">
              <w:rPr>
                <w:rFonts w:ascii="Arial Narrow" w:hAnsi="Arial Narrow"/>
                <w:snapToGrid/>
                <w:sz w:val="20"/>
                <w:lang w:eastAsia="en-AU"/>
              </w:rPr>
              <w:t>Name, Restriction,</w:t>
            </w:r>
          </w:p>
          <w:p w:rsidR="00701B84" w:rsidRPr="004A1862" w:rsidRDefault="00701B84" w:rsidP="00B021BA">
            <w:pPr>
              <w:keepNext/>
              <w:widowControl/>
              <w:ind w:left="-108"/>
              <w:rPr>
                <w:rFonts w:ascii="Arial Narrow" w:hAnsi="Arial Narrow"/>
                <w:snapToGrid/>
                <w:sz w:val="20"/>
                <w:lang w:eastAsia="en-AU"/>
              </w:rPr>
            </w:pPr>
            <w:r w:rsidRPr="004A1862">
              <w:rPr>
                <w:rFonts w:ascii="Arial Narrow" w:hAnsi="Arial Narrow"/>
                <w:snapToGrid/>
                <w:sz w:val="20"/>
                <w:lang w:eastAsia="en-AU"/>
              </w:rPr>
              <w:t>Manner of administration and form</w:t>
            </w:r>
          </w:p>
        </w:tc>
        <w:tc>
          <w:tcPr>
            <w:tcW w:w="567" w:type="dxa"/>
            <w:tcBorders>
              <w:bottom w:val="single" w:sz="4" w:space="0" w:color="auto"/>
            </w:tcBorders>
          </w:tcPr>
          <w:p w:rsidR="00701B84" w:rsidRPr="004A1862" w:rsidRDefault="00701B84" w:rsidP="00B021BA">
            <w:pPr>
              <w:keepNext/>
              <w:widowControl/>
              <w:ind w:left="-108"/>
              <w:rPr>
                <w:rFonts w:ascii="Arial Narrow" w:hAnsi="Arial Narrow"/>
                <w:snapToGrid/>
                <w:sz w:val="20"/>
                <w:lang w:eastAsia="en-AU"/>
              </w:rPr>
            </w:pPr>
            <w:r w:rsidRPr="004A1862">
              <w:rPr>
                <w:rFonts w:ascii="Arial Narrow" w:hAnsi="Arial Narrow"/>
                <w:snapToGrid/>
                <w:sz w:val="20"/>
                <w:lang w:eastAsia="en-AU"/>
              </w:rPr>
              <w:t>Max.</w:t>
            </w:r>
          </w:p>
          <w:p w:rsidR="00701B84" w:rsidRPr="004A1862" w:rsidRDefault="00701B84" w:rsidP="00B021BA">
            <w:pPr>
              <w:keepNext/>
              <w:widowControl/>
              <w:ind w:left="-108"/>
              <w:rPr>
                <w:rFonts w:ascii="Arial Narrow" w:hAnsi="Arial Narrow"/>
                <w:snapToGrid/>
                <w:sz w:val="20"/>
                <w:lang w:eastAsia="en-AU"/>
              </w:rPr>
            </w:pPr>
            <w:r w:rsidRPr="004A1862">
              <w:rPr>
                <w:rFonts w:ascii="Arial Narrow" w:hAnsi="Arial Narrow"/>
                <w:snapToGrid/>
                <w:sz w:val="20"/>
                <w:lang w:eastAsia="en-AU"/>
              </w:rPr>
              <w:t>Qty</w:t>
            </w:r>
          </w:p>
        </w:tc>
        <w:tc>
          <w:tcPr>
            <w:tcW w:w="850" w:type="dxa"/>
            <w:tcBorders>
              <w:bottom w:val="single" w:sz="4" w:space="0" w:color="auto"/>
            </w:tcBorders>
          </w:tcPr>
          <w:p w:rsidR="00701B84" w:rsidRPr="004A1862" w:rsidRDefault="00701B84" w:rsidP="00B021BA">
            <w:pPr>
              <w:keepNext/>
              <w:widowControl/>
              <w:ind w:left="-108"/>
              <w:rPr>
                <w:rFonts w:ascii="Arial Narrow" w:hAnsi="Arial Narrow"/>
                <w:snapToGrid/>
                <w:sz w:val="20"/>
                <w:lang w:eastAsia="en-AU"/>
              </w:rPr>
            </w:pPr>
            <w:r w:rsidRPr="004A1862">
              <w:rPr>
                <w:rFonts w:ascii="Arial Narrow" w:hAnsi="Arial Narrow"/>
                <w:snapToGrid/>
                <w:sz w:val="20"/>
                <w:lang w:eastAsia="en-AU"/>
              </w:rPr>
              <w:t>№.of</w:t>
            </w:r>
          </w:p>
          <w:p w:rsidR="00701B84" w:rsidRPr="004A1862" w:rsidRDefault="00701B84" w:rsidP="00B021BA">
            <w:pPr>
              <w:keepNext/>
              <w:widowControl/>
              <w:ind w:left="-108"/>
              <w:rPr>
                <w:rFonts w:ascii="Arial Narrow" w:hAnsi="Arial Narrow"/>
                <w:snapToGrid/>
                <w:sz w:val="20"/>
                <w:lang w:eastAsia="en-AU"/>
              </w:rPr>
            </w:pPr>
            <w:r w:rsidRPr="004A1862">
              <w:rPr>
                <w:rFonts w:ascii="Arial Narrow" w:hAnsi="Arial Narrow"/>
                <w:snapToGrid/>
                <w:sz w:val="20"/>
                <w:lang w:eastAsia="en-AU"/>
              </w:rPr>
              <w:t>Rpts</w:t>
            </w:r>
          </w:p>
        </w:tc>
        <w:tc>
          <w:tcPr>
            <w:tcW w:w="1701" w:type="dxa"/>
            <w:tcBorders>
              <w:bottom w:val="single" w:sz="4" w:space="0" w:color="auto"/>
            </w:tcBorders>
          </w:tcPr>
          <w:p w:rsidR="00701B84" w:rsidRPr="004A1862" w:rsidRDefault="00701B84" w:rsidP="00B021BA">
            <w:pPr>
              <w:keepNext/>
              <w:widowControl/>
              <w:ind w:left="-108"/>
              <w:rPr>
                <w:rFonts w:ascii="Arial Narrow" w:hAnsi="Arial Narrow"/>
                <w:snapToGrid/>
                <w:sz w:val="20"/>
                <w:lang w:eastAsia="en-AU"/>
              </w:rPr>
            </w:pPr>
            <w:r w:rsidRPr="004A1862">
              <w:rPr>
                <w:rFonts w:ascii="Arial Narrow" w:hAnsi="Arial Narrow"/>
                <w:snapToGrid/>
                <w:sz w:val="20"/>
                <w:lang w:eastAsia="en-AU"/>
              </w:rPr>
              <w:t>Dispensed Price for Max. Qty</w:t>
            </w:r>
          </w:p>
        </w:tc>
        <w:tc>
          <w:tcPr>
            <w:tcW w:w="2835" w:type="dxa"/>
            <w:gridSpan w:val="2"/>
            <w:tcBorders>
              <w:bottom w:val="single" w:sz="4" w:space="0" w:color="auto"/>
            </w:tcBorders>
          </w:tcPr>
          <w:p w:rsidR="00701B84" w:rsidRPr="004A1862" w:rsidRDefault="00701B84" w:rsidP="00B021BA">
            <w:pPr>
              <w:keepNext/>
              <w:widowControl/>
              <w:rPr>
                <w:rFonts w:ascii="Arial Narrow" w:hAnsi="Arial Narrow"/>
                <w:snapToGrid/>
                <w:sz w:val="20"/>
                <w:lang w:val="fr-FR" w:eastAsia="en-AU"/>
              </w:rPr>
            </w:pPr>
            <w:r w:rsidRPr="004A1862">
              <w:rPr>
                <w:rFonts w:ascii="Arial Narrow" w:hAnsi="Arial Narrow"/>
                <w:snapToGrid/>
                <w:sz w:val="20"/>
                <w:lang w:eastAsia="en-AU"/>
              </w:rPr>
              <w:t>Proprietary Name and Manufacturer</w:t>
            </w:r>
          </w:p>
        </w:tc>
      </w:tr>
      <w:tr w:rsidR="00701B84" w:rsidRPr="004A1862" w:rsidTr="00701B84">
        <w:trPr>
          <w:cantSplit/>
          <w:trHeight w:val="577"/>
        </w:trPr>
        <w:tc>
          <w:tcPr>
            <w:tcW w:w="3261" w:type="dxa"/>
            <w:gridSpan w:val="2"/>
          </w:tcPr>
          <w:p w:rsidR="00701B84" w:rsidRPr="004A1862" w:rsidRDefault="00701B84" w:rsidP="00B021BA">
            <w:pPr>
              <w:keepNext/>
              <w:widowControl/>
              <w:ind w:left="-108"/>
              <w:rPr>
                <w:rFonts w:ascii="Arial Narrow" w:hAnsi="Arial Narrow"/>
                <w:snapToGrid/>
                <w:sz w:val="20"/>
                <w:lang w:eastAsia="en-AU"/>
              </w:rPr>
            </w:pPr>
            <w:r w:rsidRPr="004A1862">
              <w:rPr>
                <w:rFonts w:ascii="Arial Narrow" w:hAnsi="Arial Narrow"/>
                <w:smallCaps/>
                <w:snapToGrid/>
                <w:sz w:val="20"/>
                <w:lang w:eastAsia="en-AU"/>
              </w:rPr>
              <w:t>brinzolamide/brimonidine tartrate</w:t>
            </w:r>
          </w:p>
          <w:p w:rsidR="00701B84" w:rsidRPr="004A1862" w:rsidRDefault="00701B84" w:rsidP="00B021BA">
            <w:pPr>
              <w:keepNext/>
              <w:widowControl/>
              <w:ind w:left="-108"/>
              <w:rPr>
                <w:rFonts w:ascii="Arial Narrow" w:hAnsi="Arial Narrow"/>
                <w:snapToGrid/>
                <w:sz w:val="20"/>
                <w:lang w:eastAsia="en-AU"/>
              </w:rPr>
            </w:pPr>
            <w:r w:rsidRPr="004A1862">
              <w:rPr>
                <w:rFonts w:ascii="Arial Narrow" w:hAnsi="Arial Narrow"/>
                <w:snapToGrid/>
                <w:sz w:val="20"/>
                <w:lang w:eastAsia="en-AU"/>
              </w:rPr>
              <w:t xml:space="preserve">fixed-dose combination, Suspension, 10mg/mL/2mg/mL  </w:t>
            </w:r>
          </w:p>
        </w:tc>
        <w:tc>
          <w:tcPr>
            <w:tcW w:w="567" w:type="dxa"/>
          </w:tcPr>
          <w:p w:rsidR="00701B84" w:rsidRPr="004A1862" w:rsidRDefault="00701B84" w:rsidP="00B021BA">
            <w:pPr>
              <w:keepNext/>
              <w:widowControl/>
              <w:ind w:left="-108"/>
              <w:rPr>
                <w:rFonts w:ascii="Arial Narrow" w:hAnsi="Arial Narrow"/>
                <w:snapToGrid/>
                <w:sz w:val="20"/>
                <w:lang w:eastAsia="en-AU"/>
              </w:rPr>
            </w:pPr>
          </w:p>
          <w:p w:rsidR="00701B84" w:rsidRPr="004A1862" w:rsidRDefault="00701B84" w:rsidP="00B021BA">
            <w:pPr>
              <w:keepNext/>
              <w:widowControl/>
              <w:ind w:left="-108"/>
              <w:rPr>
                <w:rFonts w:ascii="Arial Narrow" w:hAnsi="Arial Narrow"/>
                <w:snapToGrid/>
                <w:sz w:val="20"/>
                <w:lang w:eastAsia="en-AU"/>
              </w:rPr>
            </w:pPr>
            <w:r w:rsidRPr="004A1862">
              <w:rPr>
                <w:rFonts w:ascii="Arial Narrow" w:hAnsi="Arial Narrow"/>
                <w:snapToGrid/>
                <w:sz w:val="20"/>
                <w:lang w:eastAsia="en-AU"/>
              </w:rPr>
              <w:t>1</w:t>
            </w:r>
          </w:p>
        </w:tc>
        <w:tc>
          <w:tcPr>
            <w:tcW w:w="850" w:type="dxa"/>
          </w:tcPr>
          <w:p w:rsidR="00701B84" w:rsidRPr="004A1862" w:rsidRDefault="00701B84" w:rsidP="00B021BA">
            <w:pPr>
              <w:keepNext/>
              <w:widowControl/>
              <w:ind w:left="-108"/>
              <w:rPr>
                <w:rFonts w:ascii="Arial Narrow" w:hAnsi="Arial Narrow"/>
                <w:snapToGrid/>
                <w:sz w:val="20"/>
                <w:lang w:eastAsia="en-AU"/>
              </w:rPr>
            </w:pPr>
          </w:p>
          <w:p w:rsidR="00701B84" w:rsidRPr="004A1862" w:rsidRDefault="00701B84" w:rsidP="00B021BA">
            <w:pPr>
              <w:keepNext/>
              <w:widowControl/>
              <w:ind w:left="-108"/>
              <w:rPr>
                <w:rFonts w:ascii="Arial Narrow" w:hAnsi="Arial Narrow"/>
                <w:snapToGrid/>
                <w:sz w:val="20"/>
                <w:lang w:eastAsia="en-AU"/>
              </w:rPr>
            </w:pPr>
            <w:r w:rsidRPr="004A1862">
              <w:rPr>
                <w:rFonts w:ascii="Arial Narrow" w:hAnsi="Arial Narrow"/>
                <w:snapToGrid/>
                <w:sz w:val="20"/>
                <w:lang w:eastAsia="en-AU"/>
              </w:rPr>
              <w:t>5</w:t>
            </w:r>
          </w:p>
        </w:tc>
        <w:tc>
          <w:tcPr>
            <w:tcW w:w="1701" w:type="dxa"/>
          </w:tcPr>
          <w:p w:rsidR="00701B84" w:rsidRPr="004A1862" w:rsidRDefault="00701B84" w:rsidP="00B021BA">
            <w:pPr>
              <w:keepNext/>
              <w:widowControl/>
              <w:ind w:left="-108"/>
              <w:rPr>
                <w:rFonts w:ascii="Arial Narrow" w:hAnsi="Arial Narrow"/>
                <w:snapToGrid/>
                <w:sz w:val="20"/>
                <w:lang w:eastAsia="en-AU"/>
              </w:rPr>
            </w:pPr>
          </w:p>
          <w:p w:rsidR="00701B84" w:rsidRPr="004A1862" w:rsidRDefault="00701B84" w:rsidP="00B021BA">
            <w:pPr>
              <w:keepNext/>
              <w:widowControl/>
              <w:ind w:left="-108"/>
              <w:rPr>
                <w:rFonts w:ascii="Arial Narrow" w:hAnsi="Arial Narrow"/>
                <w:snapToGrid/>
                <w:sz w:val="20"/>
                <w:lang w:eastAsia="en-AU"/>
              </w:rPr>
            </w:pPr>
            <w:r w:rsidRPr="004A1862">
              <w:rPr>
                <w:rFonts w:ascii="Arial Narrow" w:hAnsi="Arial Narrow"/>
                <w:snapToGrid/>
                <w:sz w:val="20"/>
                <w:lang w:eastAsia="en-AU"/>
              </w:rPr>
              <w:t>$</w:t>
            </w:r>
            <w:r w:rsidR="001119B4">
              <w:rPr>
                <w:rFonts w:ascii="Arial Narrow" w:hAnsi="Arial Narrow"/>
                <w:noProof/>
                <w:snapToGrid/>
                <w:color w:val="000000"/>
                <w:sz w:val="20"/>
                <w:highlight w:val="black"/>
                <w:lang w:eastAsia="en-AU"/>
              </w:rPr>
              <w:t>''''''''''''</w:t>
            </w:r>
          </w:p>
        </w:tc>
        <w:tc>
          <w:tcPr>
            <w:tcW w:w="1559" w:type="dxa"/>
          </w:tcPr>
          <w:p w:rsidR="00701B84" w:rsidRPr="004A1862" w:rsidRDefault="00701B84" w:rsidP="00B021BA">
            <w:pPr>
              <w:keepNext/>
              <w:widowControl/>
              <w:rPr>
                <w:rFonts w:ascii="Arial Narrow" w:hAnsi="Arial Narrow"/>
                <w:snapToGrid/>
                <w:sz w:val="20"/>
                <w:lang w:eastAsia="en-AU"/>
              </w:rPr>
            </w:pPr>
            <w:r w:rsidRPr="004A1862">
              <w:rPr>
                <w:rFonts w:ascii="Arial Narrow" w:hAnsi="Arial Narrow"/>
                <w:snapToGrid/>
                <w:sz w:val="20"/>
                <w:lang w:eastAsia="en-AU"/>
              </w:rPr>
              <w:t>Simbrinza</w:t>
            </w:r>
            <w:r w:rsidRPr="004A1862">
              <w:rPr>
                <w:rFonts w:ascii="Arial Narrow" w:hAnsi="Arial Narrow"/>
                <w:snapToGrid/>
                <w:sz w:val="20"/>
                <w:vertAlign w:val="superscript"/>
                <w:lang w:eastAsia="en-AU"/>
              </w:rPr>
              <w:t>®</w:t>
            </w:r>
          </w:p>
        </w:tc>
        <w:tc>
          <w:tcPr>
            <w:tcW w:w="1276" w:type="dxa"/>
          </w:tcPr>
          <w:p w:rsidR="00701B84" w:rsidRPr="004A1862" w:rsidRDefault="008E08F8" w:rsidP="00B021BA">
            <w:pPr>
              <w:keepNext/>
              <w:widowControl/>
              <w:rPr>
                <w:rFonts w:ascii="Arial Narrow" w:hAnsi="Arial Narrow"/>
                <w:snapToGrid/>
                <w:sz w:val="20"/>
                <w:lang w:eastAsia="en-AU"/>
              </w:rPr>
            </w:pPr>
            <w:r w:rsidRPr="004A1862">
              <w:rPr>
                <w:rFonts w:ascii="Arial Narrow" w:hAnsi="Arial Narrow"/>
                <w:snapToGrid/>
                <w:sz w:val="20"/>
                <w:lang w:eastAsia="en-AU"/>
              </w:rPr>
              <w:t>Alcon</w:t>
            </w:r>
          </w:p>
        </w:tc>
      </w:tr>
      <w:tr w:rsidR="00701B84" w:rsidRPr="004A1862" w:rsidTr="00701B84">
        <w:trPr>
          <w:cantSplit/>
          <w:trHeight w:val="360"/>
        </w:trPr>
        <w:tc>
          <w:tcPr>
            <w:tcW w:w="9214" w:type="dxa"/>
            <w:gridSpan w:val="7"/>
            <w:tcBorders>
              <w:bottom w:val="single" w:sz="4" w:space="0" w:color="auto"/>
            </w:tcBorders>
          </w:tcPr>
          <w:p w:rsidR="00701B84" w:rsidRPr="004A1862" w:rsidRDefault="00701B84" w:rsidP="00B021BA">
            <w:pPr>
              <w:widowControl/>
              <w:rPr>
                <w:rFonts w:ascii="Arial Narrow" w:hAnsi="Arial Narrow"/>
                <w:snapToGrid/>
                <w:sz w:val="20"/>
                <w:lang w:eastAsia="en-AU"/>
              </w:rPr>
            </w:pP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t xml:space="preserve">Category / </w:t>
            </w:r>
          </w:p>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t>GENERAL – General Schedule (Code GE)</w:t>
            </w:r>
          </w:p>
          <w:p w:rsidR="00701B84" w:rsidRPr="004A1862" w:rsidRDefault="00701B84" w:rsidP="00B021BA">
            <w:pPr>
              <w:widowControl/>
              <w:jc w:val="left"/>
              <w:rPr>
                <w:rFonts w:ascii="Arial Narrow" w:hAnsi="Arial Narrow"/>
                <w:snapToGrid/>
                <w:sz w:val="20"/>
                <w:lang w:eastAsia="en-AU"/>
              </w:rPr>
            </w:pP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t>Prescriber type:</w:t>
            </w:r>
          </w:p>
          <w:p w:rsidR="00701B84" w:rsidRPr="004A1862" w:rsidRDefault="00701B84" w:rsidP="00B021BA">
            <w:pPr>
              <w:widowControl/>
              <w:rPr>
                <w:rFonts w:ascii="Arial Narrow" w:hAnsi="Arial Narrow"/>
                <w:b/>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Check1"/>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 xml:space="preserve">Dental  </w:t>
            </w:r>
            <w:r w:rsidRPr="004A1862">
              <w:rPr>
                <w:rFonts w:ascii="Arial Narrow" w:hAnsi="Arial Narrow"/>
                <w:snapToGrid/>
                <w:sz w:val="20"/>
                <w:lang w:eastAsia="en-AU"/>
              </w:rPr>
              <w:fldChar w:fldCharType="begin">
                <w:ffData>
                  <w:name w:val=""/>
                  <w:enabled/>
                  <w:calcOnExit w:val="0"/>
                  <w:checkBox>
                    <w:sizeAuto/>
                    <w:default w:val="1"/>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 xml:space="preserve">Medical Practitioners  </w:t>
            </w:r>
            <w:r w:rsidRPr="004A1862">
              <w:rPr>
                <w:rFonts w:ascii="Arial Narrow" w:hAnsi="Arial Narrow"/>
                <w:snapToGrid/>
                <w:sz w:val="20"/>
                <w:lang w:eastAsia="en-AU"/>
              </w:rPr>
              <w:fldChar w:fldCharType="begin">
                <w:ffData>
                  <w:name w:val="Check3"/>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 xml:space="preserve">Nurse practitioners  </w:t>
            </w:r>
            <w:r w:rsidRPr="004A1862">
              <w:rPr>
                <w:rFonts w:ascii="Arial Narrow" w:hAnsi="Arial Narrow"/>
                <w:snapToGrid/>
                <w:sz w:val="20"/>
                <w:lang w:eastAsia="en-AU"/>
              </w:rPr>
              <w:fldChar w:fldCharType="begin">
                <w:ffData>
                  <w:name w:val=""/>
                  <w:enabled/>
                  <w:calcOnExit w:val="0"/>
                  <w:checkBox>
                    <w:sizeAuto/>
                    <w:default w:val="1"/>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Optometrists</w:t>
            </w:r>
          </w:p>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Check5"/>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Midwives</w:t>
            </w: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t>Elevated intra-ocular pressure</w:t>
            </w: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t>Elevated intra-ocular pressure</w:t>
            </w: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t>Treatment phase:</w:t>
            </w:r>
          </w:p>
          <w:p w:rsidR="00701B84" w:rsidRPr="004A1862" w:rsidRDefault="00701B84" w:rsidP="00B021BA">
            <w:pPr>
              <w:widowControl/>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t>N/A</w:t>
            </w: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t>Restriction Level / Method:</w:t>
            </w:r>
          </w:p>
          <w:p w:rsidR="00701B84" w:rsidRPr="004A1862" w:rsidRDefault="00701B84" w:rsidP="00B021BA">
            <w:pPr>
              <w:widowControl/>
              <w:jc w:val="left"/>
              <w:rPr>
                <w:rFonts w:ascii="Arial Narrow" w:hAnsi="Arial Narrow"/>
                <w:i/>
                <w:snapToGrid/>
                <w:sz w:val="20"/>
                <w:lang w:eastAsia="en-AU"/>
              </w:rPr>
            </w:pPr>
          </w:p>
          <w:p w:rsidR="00701B84" w:rsidRPr="004A1862" w:rsidRDefault="00701B84" w:rsidP="00B021BA">
            <w:pPr>
              <w:widowControl/>
              <w:jc w:val="left"/>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Check1"/>
                  <w:enabled/>
                  <w:calcOnExit w:val="0"/>
                  <w:checkBox>
                    <w:sizeAuto/>
                    <w:default w:val="1"/>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Restricted benefit</w:t>
            </w:r>
          </w:p>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Authority Required - In Writing</w:t>
            </w:r>
          </w:p>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Check3"/>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Authority Required - Telephone</w:t>
            </w:r>
          </w:p>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Authority Required – Emergency</w:t>
            </w:r>
          </w:p>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Check5"/>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Authority Required - Electronic</w:t>
            </w:r>
          </w:p>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Check5"/>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Streamlined</w:t>
            </w: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b/>
                <w:snapToGrid/>
                <w:sz w:val="20"/>
                <w:lang w:eastAsia="en-AU"/>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t>N/A</w:t>
            </w:r>
          </w:p>
          <w:p w:rsidR="00701B84" w:rsidRPr="004A1862" w:rsidRDefault="00701B84" w:rsidP="00B021BA">
            <w:pPr>
              <w:widowControl/>
              <w:jc w:val="left"/>
              <w:rPr>
                <w:rFonts w:ascii="Arial Narrow" w:hAnsi="Arial Narrow"/>
                <w:snapToGrid/>
                <w:sz w:val="20"/>
                <w:lang w:eastAsia="en-AU"/>
              </w:rPr>
            </w:pP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t>Clinical criteria:</w:t>
            </w:r>
          </w:p>
          <w:p w:rsidR="00701B84" w:rsidRPr="004A1862" w:rsidRDefault="00701B84" w:rsidP="00B021BA">
            <w:pPr>
              <w:widowControl/>
              <w:rPr>
                <w:rFonts w:ascii="Arial Narrow" w:hAnsi="Arial Narrow"/>
                <w:i/>
                <w:snapToGrid/>
                <w:sz w:val="20"/>
                <w:lang w:eastAsia="en-AU"/>
              </w:rPr>
            </w:pPr>
          </w:p>
          <w:p w:rsidR="00701B84" w:rsidRPr="004A1862" w:rsidRDefault="00701B84" w:rsidP="00B021BA">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t>The condition must have been inadequately controlled with monotherapy,</w:t>
            </w:r>
          </w:p>
          <w:p w:rsidR="00701B84" w:rsidRPr="004A1862" w:rsidRDefault="00701B84" w:rsidP="00B021BA">
            <w:pPr>
              <w:widowControl/>
              <w:jc w:val="left"/>
              <w:rPr>
                <w:rFonts w:ascii="Arial Narrow" w:hAnsi="Arial Narrow"/>
                <w:snapToGrid/>
                <w:sz w:val="20"/>
                <w:lang w:eastAsia="en-AU"/>
              </w:rPr>
            </w:pPr>
          </w:p>
          <w:p w:rsidR="00701B84" w:rsidRPr="004A1862" w:rsidRDefault="00701B84" w:rsidP="00B021BA">
            <w:pPr>
              <w:widowControl/>
              <w:rPr>
                <w:rFonts w:ascii="Arial Narrow" w:hAnsi="Arial Narrow"/>
                <w:snapToGrid/>
                <w:sz w:val="20"/>
                <w:lang w:eastAsia="en-AU"/>
              </w:rPr>
            </w:pPr>
            <w:r w:rsidRPr="004A1862">
              <w:rPr>
                <w:rFonts w:ascii="Arial Narrow" w:hAnsi="Arial Narrow"/>
                <w:snapToGrid/>
                <w:sz w:val="20"/>
                <w:lang w:eastAsia="en-AU"/>
              </w:rPr>
              <w:t>AND</w:t>
            </w:r>
          </w:p>
          <w:p w:rsidR="00701B84" w:rsidRPr="004A1862" w:rsidRDefault="00701B84" w:rsidP="00B021BA">
            <w:pPr>
              <w:widowControl/>
              <w:rPr>
                <w:rFonts w:ascii="Arial Narrow" w:hAnsi="Arial Narrow"/>
                <w:snapToGrid/>
                <w:sz w:val="20"/>
                <w:lang w:eastAsia="en-AU"/>
              </w:rPr>
            </w:pPr>
          </w:p>
          <w:p w:rsidR="00701B84" w:rsidRPr="004A1862" w:rsidRDefault="00701B84" w:rsidP="00B021BA">
            <w:pPr>
              <w:widowControl/>
              <w:rPr>
                <w:rFonts w:ascii="Arial Narrow" w:hAnsi="Arial Narrow"/>
                <w:snapToGrid/>
                <w:sz w:val="20"/>
                <w:lang w:eastAsia="en-AU"/>
              </w:rPr>
            </w:pPr>
            <w:r w:rsidRPr="004A1862">
              <w:rPr>
                <w:rFonts w:ascii="Arial Narrow" w:hAnsi="Arial Narrow"/>
                <w:snapToGrid/>
                <w:sz w:val="20"/>
                <w:lang w:eastAsia="en-AU"/>
              </w:rPr>
              <w:t>Patient must have open-angle glaucoma; OR</w:t>
            </w:r>
          </w:p>
          <w:p w:rsidR="00701B84" w:rsidRPr="004A1862" w:rsidRDefault="00701B84" w:rsidP="00B021BA">
            <w:pPr>
              <w:widowControl/>
              <w:rPr>
                <w:rFonts w:ascii="Arial Narrow" w:hAnsi="Arial Narrow"/>
                <w:snapToGrid/>
                <w:sz w:val="20"/>
                <w:lang w:eastAsia="en-AU"/>
              </w:rPr>
            </w:pPr>
          </w:p>
          <w:p w:rsidR="00701B84" w:rsidRPr="004A1862" w:rsidRDefault="00701B84" w:rsidP="00B021BA">
            <w:pPr>
              <w:widowControl/>
              <w:rPr>
                <w:rFonts w:ascii="Arial Narrow" w:hAnsi="Arial Narrow"/>
                <w:snapToGrid/>
                <w:sz w:val="20"/>
                <w:lang w:eastAsia="en-AU"/>
              </w:rPr>
            </w:pPr>
            <w:r w:rsidRPr="004A1862">
              <w:rPr>
                <w:rFonts w:ascii="Arial Narrow" w:hAnsi="Arial Narrow"/>
                <w:snapToGrid/>
                <w:sz w:val="20"/>
                <w:lang w:eastAsia="en-AU"/>
              </w:rPr>
              <w:t>Patient must have ocular hypertension.</w:t>
            </w: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lastRenderedPageBreak/>
              <w:t>Population criteria:</w:t>
            </w:r>
          </w:p>
          <w:p w:rsidR="00701B84" w:rsidRPr="004A1862" w:rsidRDefault="00701B84" w:rsidP="00B021BA">
            <w:pPr>
              <w:widowControl/>
              <w:jc w:val="left"/>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82FB3">
            <w:pPr>
              <w:widowControl/>
              <w:jc w:val="left"/>
              <w:rPr>
                <w:rFonts w:ascii="Arial Narrow" w:hAnsi="Arial Narrow"/>
                <w:snapToGrid/>
                <w:sz w:val="20"/>
                <w:lang w:eastAsia="en-AU"/>
              </w:rPr>
            </w:pPr>
            <w:r w:rsidRPr="004A1862">
              <w:rPr>
                <w:rFonts w:ascii="Arial Narrow" w:hAnsi="Arial Narrow"/>
                <w:snapToGrid/>
                <w:sz w:val="20"/>
                <w:lang w:eastAsia="en-AU"/>
              </w:rPr>
              <w:t>N/A</w:t>
            </w: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t>Prescriber Instructions</w:t>
            </w:r>
          </w:p>
          <w:p w:rsidR="00701B84" w:rsidRPr="004A1862" w:rsidRDefault="00701B84" w:rsidP="00B021BA">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snapToGrid/>
                <w:sz w:val="20"/>
                <w:lang w:eastAsia="en-AU"/>
              </w:rPr>
              <w:t>N/A</w:t>
            </w:r>
          </w:p>
        </w:tc>
      </w:tr>
      <w:tr w:rsidR="00701B84" w:rsidRPr="004A1862" w:rsidTr="00701B84">
        <w:trPr>
          <w:cantSplit/>
          <w:trHeight w:val="360"/>
        </w:trPr>
        <w:tc>
          <w:tcPr>
            <w:tcW w:w="2835" w:type="dxa"/>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rPr>
                <w:rFonts w:ascii="Arial Narrow" w:hAnsi="Arial Narrow"/>
                <w:b/>
                <w:snapToGrid/>
                <w:sz w:val="20"/>
                <w:lang w:eastAsia="en-AU"/>
              </w:rPr>
            </w:pPr>
            <w:r w:rsidRPr="004A1862">
              <w:rPr>
                <w:rFonts w:ascii="Arial Narrow" w:hAnsi="Arial Narrow"/>
                <w:b/>
                <w:snapToGrid/>
                <w:sz w:val="20"/>
                <w:lang w:eastAsia="en-AU"/>
              </w:rPr>
              <w:t>Administrative Advice</w:t>
            </w:r>
          </w:p>
          <w:p w:rsidR="00701B84" w:rsidRPr="004A1862" w:rsidRDefault="00701B84" w:rsidP="00B021BA">
            <w:pPr>
              <w:widowControl/>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701B84" w:rsidRPr="004A1862" w:rsidRDefault="00701B84" w:rsidP="00B021BA">
            <w:pPr>
              <w:widowControl/>
              <w:jc w:val="left"/>
              <w:rPr>
                <w:rFonts w:ascii="Arial Narrow" w:hAnsi="Arial Narrow"/>
                <w:snapToGrid/>
                <w:sz w:val="20"/>
                <w:lang w:eastAsia="en-AU"/>
              </w:rPr>
            </w:pPr>
            <w:r w:rsidRPr="004A1862">
              <w:rPr>
                <w:rFonts w:ascii="Arial Narrow" w:hAnsi="Arial Narrow"/>
                <w:i/>
                <w:snapToGrid/>
                <w:sz w:val="20"/>
                <w:lang w:eastAsia="en-AU"/>
              </w:rPr>
              <w:t>For prescribing in accordance with Optometry Board of Australia guidelines.</w:t>
            </w:r>
            <w:r w:rsidRPr="004A1862">
              <w:rPr>
                <w:rFonts w:ascii="Arial Narrow" w:hAnsi="Arial Narrow"/>
                <w:snapToGrid/>
                <w:sz w:val="20"/>
                <w:lang w:eastAsia="en-AU"/>
              </w:rPr>
              <w:t xml:space="preserve"> </w:t>
            </w:r>
            <w:r w:rsidRPr="004A1862">
              <w:rPr>
                <w:rFonts w:ascii="Arial Narrow" w:hAnsi="Arial Narrow"/>
                <w:strike/>
                <w:snapToGrid/>
                <w:sz w:val="20"/>
                <w:lang w:eastAsia="en-AU"/>
              </w:rPr>
              <w:t>For prescribing by optometrists where care of a patient is shared between an optometrist and ophthalmologist in a formalise arrangement with an agreed management plan. Further information can be found in the Guidelines for Shared Care of Glaucoma Patients</w:t>
            </w:r>
          </w:p>
        </w:tc>
      </w:tr>
    </w:tbl>
    <w:p w:rsidR="00701B84" w:rsidRPr="004A1862" w:rsidRDefault="00701B84" w:rsidP="00350DF2">
      <w:pPr>
        <w:pStyle w:val="ListParagraph"/>
        <w:widowControl/>
      </w:pPr>
    </w:p>
    <w:p w:rsidR="006A326A" w:rsidRPr="004A1862" w:rsidRDefault="006A326A" w:rsidP="006A326A">
      <w:pPr>
        <w:pStyle w:val="ListParagraph"/>
        <w:widowControl/>
        <w:numPr>
          <w:ilvl w:val="1"/>
          <w:numId w:val="21"/>
        </w:numPr>
        <w:snapToGrid w:val="0"/>
        <w:rPr>
          <w:szCs w:val="22"/>
        </w:rPr>
      </w:pPr>
      <w:r w:rsidRPr="004A1862">
        <w:rPr>
          <w:szCs w:val="22"/>
        </w:rPr>
        <w:t xml:space="preserve">The requested listing of </w:t>
      </w:r>
      <w:r w:rsidR="005F5B00" w:rsidRPr="004A1862">
        <w:t xml:space="preserve">brinzolamide + brimonidine FDC </w:t>
      </w:r>
      <w:r w:rsidRPr="004A1862">
        <w:rPr>
          <w:szCs w:val="22"/>
        </w:rPr>
        <w:t>is based on cost-minimisation</w:t>
      </w:r>
      <w:r w:rsidR="00C81D23" w:rsidRPr="004A1862">
        <w:rPr>
          <w:szCs w:val="22"/>
        </w:rPr>
        <w:t xml:space="preserve"> analysi</w:t>
      </w:r>
      <w:r w:rsidRPr="004A1862">
        <w:rPr>
          <w:szCs w:val="22"/>
        </w:rPr>
        <w:t>s compared with brinzolamide 1%</w:t>
      </w:r>
      <w:r w:rsidR="009E19EA" w:rsidRPr="004A1862">
        <w:rPr>
          <w:szCs w:val="22"/>
        </w:rPr>
        <w:t xml:space="preserve"> (Azopt</w:t>
      </w:r>
      <w:r w:rsidR="009E19EA" w:rsidRPr="004A1862">
        <w:rPr>
          <w:szCs w:val="22"/>
          <w:vertAlign w:val="superscript"/>
        </w:rPr>
        <w:t>®</w:t>
      </w:r>
      <w:r w:rsidR="009E19EA" w:rsidRPr="004A1862">
        <w:rPr>
          <w:szCs w:val="22"/>
        </w:rPr>
        <w:t>)</w:t>
      </w:r>
      <w:r w:rsidRPr="004A1862">
        <w:rPr>
          <w:szCs w:val="22"/>
        </w:rPr>
        <w:t xml:space="preserve"> and brimonidine tartrate 0.2%</w:t>
      </w:r>
      <w:r w:rsidR="009E19EA" w:rsidRPr="004A1862">
        <w:rPr>
          <w:szCs w:val="22"/>
        </w:rPr>
        <w:t xml:space="preserve"> (Alphagan</w:t>
      </w:r>
      <w:r w:rsidR="009E19EA" w:rsidRPr="004A1862">
        <w:rPr>
          <w:szCs w:val="22"/>
          <w:vertAlign w:val="superscript"/>
        </w:rPr>
        <w:t>®</w:t>
      </w:r>
      <w:r w:rsidR="009E19EA" w:rsidRPr="004A1862">
        <w:rPr>
          <w:szCs w:val="22"/>
        </w:rPr>
        <w:t>)</w:t>
      </w:r>
      <w:r w:rsidRPr="004A1862">
        <w:rPr>
          <w:szCs w:val="22"/>
        </w:rPr>
        <w:t xml:space="preserve"> administered concomitantly. </w:t>
      </w:r>
    </w:p>
    <w:p w:rsidR="00712F76" w:rsidRPr="004A1862" w:rsidRDefault="00712F76" w:rsidP="00712F76">
      <w:pPr>
        <w:pStyle w:val="ListParagraph"/>
        <w:widowControl/>
        <w:snapToGrid w:val="0"/>
        <w:rPr>
          <w:szCs w:val="22"/>
        </w:rPr>
      </w:pPr>
    </w:p>
    <w:p w:rsidR="00712F76" w:rsidRPr="004A1862" w:rsidRDefault="00712F76" w:rsidP="00712F76">
      <w:pPr>
        <w:pStyle w:val="ListParagraph"/>
        <w:widowControl/>
        <w:numPr>
          <w:ilvl w:val="1"/>
          <w:numId w:val="21"/>
        </w:numPr>
        <w:snapToGrid w:val="0"/>
        <w:rPr>
          <w:szCs w:val="22"/>
        </w:rPr>
      </w:pPr>
      <w:r w:rsidRPr="004A1862">
        <w:rPr>
          <w:bCs/>
          <w:szCs w:val="22"/>
        </w:rPr>
        <w:t>The Pre-Sub-Committee Response (PSCR) clarified that the 5 mL pack only is intended for PBS listing. The 2.5 mL pack is a physician sample.</w:t>
      </w:r>
    </w:p>
    <w:p w:rsidR="00F97A78" w:rsidRPr="004A1862" w:rsidRDefault="00F97A78" w:rsidP="00A35D16">
      <w:pPr>
        <w:widowControl/>
        <w:rPr>
          <w:szCs w:val="22"/>
        </w:rPr>
      </w:pPr>
    </w:p>
    <w:p w:rsidR="004E43B2" w:rsidRPr="004A1862" w:rsidRDefault="00CF228E" w:rsidP="00CF228E">
      <w:pPr>
        <w:ind w:firstLine="709"/>
        <w:rPr>
          <w:i/>
        </w:rPr>
      </w:pPr>
      <w:r w:rsidRPr="004A1862">
        <w:rPr>
          <w:i/>
        </w:rPr>
        <w:t>For more detail on PBAC’s view, see section 7 “PBAC outcome”</w:t>
      </w:r>
    </w:p>
    <w:p w:rsidR="00CF228E" w:rsidRPr="004A1862" w:rsidRDefault="00CF228E" w:rsidP="00CF228E">
      <w:pPr>
        <w:ind w:firstLine="709"/>
        <w:rPr>
          <w:i/>
        </w:rPr>
      </w:pPr>
    </w:p>
    <w:p w:rsidR="00CF228E" w:rsidRPr="004A1862" w:rsidRDefault="00CF228E" w:rsidP="00CF228E">
      <w:pPr>
        <w:ind w:firstLine="709"/>
      </w:pPr>
    </w:p>
    <w:p w:rsidR="00B50DB8" w:rsidRPr="004A1862" w:rsidRDefault="00B50DB8" w:rsidP="00BD6CF3">
      <w:pPr>
        <w:pStyle w:val="PBACHeading1"/>
      </w:pPr>
      <w:bookmarkStart w:id="4" w:name="_Toc419189224"/>
      <w:r w:rsidRPr="004A1862">
        <w:t>Background</w:t>
      </w:r>
      <w:bookmarkEnd w:id="4"/>
    </w:p>
    <w:p w:rsidR="00B60939" w:rsidRPr="004A1862" w:rsidRDefault="00B60939" w:rsidP="00B60939">
      <w:pPr>
        <w:rPr>
          <w:szCs w:val="22"/>
        </w:rPr>
      </w:pPr>
    </w:p>
    <w:p w:rsidR="00B60939" w:rsidRPr="004A1862" w:rsidRDefault="00C55BD0" w:rsidP="00085912">
      <w:pPr>
        <w:pStyle w:val="ListParagraph"/>
        <w:widowControl/>
        <w:numPr>
          <w:ilvl w:val="1"/>
          <w:numId w:val="11"/>
        </w:numPr>
        <w:rPr>
          <w:szCs w:val="22"/>
        </w:rPr>
      </w:pPr>
      <w:r w:rsidRPr="004A1862">
        <w:t>B</w:t>
      </w:r>
      <w:r w:rsidR="005F5B00" w:rsidRPr="004A1862">
        <w:t xml:space="preserve">rinzolamide + brimonidine FDC </w:t>
      </w:r>
      <w:r w:rsidR="00B60939" w:rsidRPr="004A1862">
        <w:rPr>
          <w:szCs w:val="22"/>
        </w:rPr>
        <w:t>was TGA registere</w:t>
      </w:r>
      <w:r w:rsidR="00085912" w:rsidRPr="004A1862">
        <w:rPr>
          <w:szCs w:val="22"/>
        </w:rPr>
        <w:t xml:space="preserve">d on </w:t>
      </w:r>
      <w:r w:rsidR="000B3DC0" w:rsidRPr="004A1862">
        <w:rPr>
          <w:szCs w:val="22"/>
        </w:rPr>
        <w:t>20 November</w:t>
      </w:r>
      <w:r w:rsidR="00085912" w:rsidRPr="004A1862">
        <w:rPr>
          <w:szCs w:val="22"/>
        </w:rPr>
        <w:t xml:space="preserve"> 2014 for </w:t>
      </w:r>
      <w:r w:rsidR="000B3DC0" w:rsidRPr="004A1862">
        <w:rPr>
          <w:szCs w:val="22"/>
        </w:rPr>
        <w:t>decrease of elevated</w:t>
      </w:r>
      <w:r w:rsidR="007A2174" w:rsidRPr="004A1862">
        <w:rPr>
          <w:szCs w:val="22"/>
        </w:rPr>
        <w:t xml:space="preserve"> intraocular pressure </w:t>
      </w:r>
      <w:r w:rsidR="00BB6352" w:rsidRPr="004A1862">
        <w:rPr>
          <w:szCs w:val="22"/>
        </w:rPr>
        <w:t xml:space="preserve">(IOP) </w:t>
      </w:r>
      <w:r w:rsidR="007A2174" w:rsidRPr="004A1862">
        <w:rPr>
          <w:szCs w:val="22"/>
        </w:rPr>
        <w:t>in adult patients with open-angle glaucoma</w:t>
      </w:r>
      <w:r w:rsidR="008F5407" w:rsidRPr="004A1862">
        <w:rPr>
          <w:szCs w:val="22"/>
        </w:rPr>
        <w:t xml:space="preserve"> or ocular hypertension for whom monotherapy provides insufficient IOP reduction</w:t>
      </w:r>
      <w:r w:rsidR="00085912" w:rsidRPr="004A1862">
        <w:rPr>
          <w:szCs w:val="22"/>
        </w:rPr>
        <w:t>.</w:t>
      </w:r>
    </w:p>
    <w:p w:rsidR="002533BA" w:rsidRPr="004A1862" w:rsidRDefault="002533BA" w:rsidP="00B60939">
      <w:pPr>
        <w:pStyle w:val="ListParagraph"/>
        <w:rPr>
          <w:szCs w:val="22"/>
        </w:rPr>
      </w:pPr>
    </w:p>
    <w:p w:rsidR="00C81D23" w:rsidRPr="004A1862" w:rsidRDefault="00C55BD0" w:rsidP="00C81D23">
      <w:pPr>
        <w:pStyle w:val="ListParagraph"/>
        <w:widowControl/>
        <w:numPr>
          <w:ilvl w:val="1"/>
          <w:numId w:val="11"/>
        </w:numPr>
        <w:rPr>
          <w:szCs w:val="22"/>
        </w:rPr>
      </w:pPr>
      <w:r w:rsidRPr="004A1862">
        <w:t>B</w:t>
      </w:r>
      <w:r w:rsidR="005F5B00" w:rsidRPr="004A1862">
        <w:t xml:space="preserve">rinzolamide + brimonidine FDC </w:t>
      </w:r>
      <w:r w:rsidR="00C81D23" w:rsidRPr="004A1862">
        <w:rPr>
          <w:szCs w:val="22"/>
        </w:rPr>
        <w:t>has not been considered by the PBAC</w:t>
      </w:r>
      <w:r w:rsidR="004B0105" w:rsidRPr="004A1862">
        <w:rPr>
          <w:szCs w:val="22"/>
        </w:rPr>
        <w:t xml:space="preserve"> previously</w:t>
      </w:r>
      <w:r w:rsidR="00C81D23" w:rsidRPr="004A1862">
        <w:rPr>
          <w:szCs w:val="22"/>
        </w:rPr>
        <w:t>.</w:t>
      </w:r>
    </w:p>
    <w:p w:rsidR="00B60939" w:rsidRPr="004A1862" w:rsidRDefault="00B60939" w:rsidP="004B1CB4"/>
    <w:p w:rsidR="00E55BB5" w:rsidRPr="004A1862" w:rsidRDefault="00E55BB5" w:rsidP="004B1CB4"/>
    <w:p w:rsidR="00BD04C3" w:rsidRPr="004A1862" w:rsidRDefault="00B50DB8" w:rsidP="00BD04C3">
      <w:pPr>
        <w:pStyle w:val="PBACHeading1"/>
      </w:pPr>
      <w:bookmarkStart w:id="5" w:name="_Toc419189225"/>
      <w:r w:rsidRPr="004A1862">
        <w:t>Clinical place for the proposed therapy</w:t>
      </w:r>
      <w:bookmarkEnd w:id="5"/>
    </w:p>
    <w:p w:rsidR="000E2B8F" w:rsidRPr="004A1862" w:rsidRDefault="000E2B8F" w:rsidP="000E2B8F">
      <w:pPr>
        <w:pStyle w:val="PBACHeading1"/>
        <w:numPr>
          <w:ilvl w:val="0"/>
          <w:numId w:val="0"/>
        </w:numPr>
        <w:ind w:left="720"/>
      </w:pPr>
    </w:p>
    <w:p w:rsidR="00BD04C3" w:rsidRPr="004A1862" w:rsidRDefault="000E2B8F" w:rsidP="00C70AEB">
      <w:pPr>
        <w:pStyle w:val="ListParagraph"/>
        <w:widowControl/>
        <w:numPr>
          <w:ilvl w:val="1"/>
          <w:numId w:val="11"/>
        </w:numPr>
        <w:rPr>
          <w:szCs w:val="22"/>
        </w:rPr>
      </w:pPr>
      <w:r w:rsidRPr="004A1862">
        <w:rPr>
          <w:szCs w:val="22"/>
        </w:rPr>
        <w:t>Glaucoma</w:t>
      </w:r>
      <w:r w:rsidR="00A7147C" w:rsidRPr="004A1862">
        <w:rPr>
          <w:szCs w:val="22"/>
        </w:rPr>
        <w:t xml:space="preserve"> is a progressive chronic disease characterised by elevated </w:t>
      </w:r>
      <w:r w:rsidR="00C70AEB" w:rsidRPr="004A1862">
        <w:rPr>
          <w:szCs w:val="22"/>
        </w:rPr>
        <w:t>IOP</w:t>
      </w:r>
      <w:r w:rsidR="00A7147C" w:rsidRPr="004A1862">
        <w:rPr>
          <w:szCs w:val="22"/>
        </w:rPr>
        <w:t>.</w:t>
      </w:r>
      <w:r w:rsidR="00BB6352" w:rsidRPr="004A1862">
        <w:rPr>
          <w:szCs w:val="22"/>
        </w:rPr>
        <w:t xml:space="preserve"> </w:t>
      </w:r>
      <w:r w:rsidR="00A7147C" w:rsidRPr="004A1862">
        <w:rPr>
          <w:szCs w:val="22"/>
          <w:u w:val="single"/>
        </w:rPr>
        <w:t>Open angle glaucoma</w:t>
      </w:r>
      <w:r w:rsidR="00A7147C" w:rsidRPr="004A1862">
        <w:rPr>
          <w:szCs w:val="22"/>
        </w:rPr>
        <w:t xml:space="preserve"> </w:t>
      </w:r>
      <w:r w:rsidR="00C70AEB" w:rsidRPr="004A1862">
        <w:rPr>
          <w:szCs w:val="22"/>
        </w:rPr>
        <w:t xml:space="preserve">(OAG) </w:t>
      </w:r>
      <w:r w:rsidR="00A7147C" w:rsidRPr="004A1862">
        <w:rPr>
          <w:szCs w:val="22"/>
        </w:rPr>
        <w:t xml:space="preserve">is a disease of the optic nerve with characteristic changes in the optic nerve head (optic disc) and typical defects in the visual field, usually with raised </w:t>
      </w:r>
      <w:r w:rsidR="00A7147C" w:rsidRPr="004A1862">
        <w:rPr>
          <w:rStyle w:val="ANormalChar"/>
          <w:sz w:val="22"/>
          <w:szCs w:val="22"/>
        </w:rPr>
        <w:t xml:space="preserve">intraocular pressure, and without the angle of the anterior chamber of the eye being blocked by the root of the iris, as occurs in angle closure glaucoma. </w:t>
      </w:r>
      <w:r w:rsidR="00A7147C" w:rsidRPr="004A1862">
        <w:rPr>
          <w:szCs w:val="22"/>
        </w:rPr>
        <w:t xml:space="preserve"> </w:t>
      </w:r>
      <w:r w:rsidR="00A7147C" w:rsidRPr="004A1862">
        <w:rPr>
          <w:szCs w:val="22"/>
          <w:u w:val="single"/>
        </w:rPr>
        <w:t>Ocular hypertension</w:t>
      </w:r>
      <w:r w:rsidR="00A7147C" w:rsidRPr="004A1862">
        <w:rPr>
          <w:szCs w:val="22"/>
        </w:rPr>
        <w:t xml:space="preserve"> </w:t>
      </w:r>
      <w:r w:rsidR="00C70AEB" w:rsidRPr="004A1862">
        <w:rPr>
          <w:szCs w:val="22"/>
        </w:rPr>
        <w:t xml:space="preserve">(OH) </w:t>
      </w:r>
      <w:r w:rsidR="00A7147C" w:rsidRPr="004A1862">
        <w:rPr>
          <w:szCs w:val="22"/>
        </w:rPr>
        <w:t>is consistently or recurrently elevated intraocular pressure greater than 21 mmHg, in the absence of clinical evidence of optic nerve damage or visual field defect.</w:t>
      </w:r>
    </w:p>
    <w:p w:rsidR="00BD04C3" w:rsidRPr="004A1862" w:rsidRDefault="00BD04C3" w:rsidP="00BD04C3">
      <w:pPr>
        <w:widowControl/>
        <w:rPr>
          <w:szCs w:val="22"/>
        </w:rPr>
      </w:pPr>
    </w:p>
    <w:p w:rsidR="00B60939" w:rsidRPr="004A1862" w:rsidRDefault="00A27505" w:rsidP="006C2680">
      <w:pPr>
        <w:pStyle w:val="ListParagraph"/>
        <w:widowControl/>
        <w:numPr>
          <w:ilvl w:val="1"/>
          <w:numId w:val="11"/>
        </w:numPr>
        <w:rPr>
          <w:szCs w:val="22"/>
        </w:rPr>
      </w:pPr>
      <w:r w:rsidRPr="004A1862">
        <w:rPr>
          <w:szCs w:val="22"/>
        </w:rPr>
        <w:t xml:space="preserve">For patients presenting with elevated IOP and a diagnosis of OAG or OH, the preferred first-line monotherapy is a prostaglandin analogue (PGA) </w:t>
      </w:r>
      <w:r w:rsidR="00A52C10" w:rsidRPr="004A1862">
        <w:rPr>
          <w:szCs w:val="22"/>
        </w:rPr>
        <w:t>or b</w:t>
      </w:r>
      <w:r w:rsidRPr="004A1862">
        <w:rPr>
          <w:szCs w:val="22"/>
        </w:rPr>
        <w:t xml:space="preserve">eta-blocker monotherapy.  Patients inadequately controlled on these monotherapies may switch within the same drug class, or uncommonly, to an agent within one of the other two main classes of anti-glaucoma medication; </w:t>
      </w:r>
      <w:r w:rsidR="00633864" w:rsidRPr="004A1862">
        <w:rPr>
          <w:szCs w:val="22"/>
        </w:rPr>
        <w:t>alpha-2 adrenergic agonist (</w:t>
      </w:r>
      <w:r w:rsidRPr="004A1862">
        <w:rPr>
          <w:szCs w:val="22"/>
        </w:rPr>
        <w:t>AA</w:t>
      </w:r>
      <w:r w:rsidR="00633864" w:rsidRPr="004A1862">
        <w:rPr>
          <w:szCs w:val="22"/>
        </w:rPr>
        <w:t>)</w:t>
      </w:r>
      <w:r w:rsidRPr="004A1862">
        <w:rPr>
          <w:szCs w:val="22"/>
        </w:rPr>
        <w:t xml:space="preserve"> or </w:t>
      </w:r>
      <w:r w:rsidR="00633864" w:rsidRPr="004A1862">
        <w:rPr>
          <w:szCs w:val="22"/>
        </w:rPr>
        <w:t>carbonic anhydrase inhibitor (</w:t>
      </w:r>
      <w:r w:rsidRPr="004A1862">
        <w:rPr>
          <w:szCs w:val="22"/>
        </w:rPr>
        <w:t>CAI</w:t>
      </w:r>
      <w:r w:rsidR="00633864" w:rsidRPr="004A1862">
        <w:rPr>
          <w:szCs w:val="22"/>
        </w:rPr>
        <w:t>)</w:t>
      </w:r>
      <w:r w:rsidRPr="004A1862">
        <w:rPr>
          <w:szCs w:val="22"/>
        </w:rPr>
        <w:t xml:space="preserve">. </w:t>
      </w:r>
      <w:r w:rsidR="006C2680" w:rsidRPr="004A1862">
        <w:rPr>
          <w:szCs w:val="22"/>
        </w:rPr>
        <w:t xml:space="preserve"> </w:t>
      </w:r>
      <w:r w:rsidRPr="004A1862">
        <w:rPr>
          <w:szCs w:val="22"/>
        </w:rPr>
        <w:t xml:space="preserve">Alternatively, a second active agent may be added to the regimen e.g. timolol is added to a PGA.  </w:t>
      </w:r>
      <w:r w:rsidR="00554DEB" w:rsidRPr="004A1862">
        <w:t>Simbrinza</w:t>
      </w:r>
      <w:r w:rsidR="00A52C10" w:rsidRPr="004A1862">
        <w:t xml:space="preserve"> provides a therapeutic alternative to two monotherapies of the respective components.</w:t>
      </w:r>
    </w:p>
    <w:p w:rsidR="002C2775" w:rsidRPr="004A1862" w:rsidRDefault="002C2775" w:rsidP="002C2775">
      <w:pPr>
        <w:widowControl/>
        <w:rPr>
          <w:szCs w:val="22"/>
        </w:rPr>
      </w:pPr>
    </w:p>
    <w:p w:rsidR="00CF228E" w:rsidRPr="004A1862" w:rsidRDefault="00CF228E" w:rsidP="00CF228E">
      <w:pPr>
        <w:pStyle w:val="Header"/>
        <w:ind w:firstLine="709"/>
        <w:rPr>
          <w:szCs w:val="22"/>
        </w:rPr>
      </w:pPr>
    </w:p>
    <w:p w:rsidR="00B50DB8" w:rsidRPr="004A1862" w:rsidRDefault="00B50DB8" w:rsidP="006A326A">
      <w:pPr>
        <w:pStyle w:val="Header"/>
        <w:widowControl/>
        <w:numPr>
          <w:ilvl w:val="0"/>
          <w:numId w:val="11"/>
        </w:numPr>
        <w:tabs>
          <w:tab w:val="clear" w:pos="4513"/>
          <w:tab w:val="clear" w:pos="9026"/>
        </w:tabs>
        <w:rPr>
          <w:b/>
          <w:szCs w:val="22"/>
        </w:rPr>
      </w:pPr>
      <w:r w:rsidRPr="004A1862">
        <w:rPr>
          <w:b/>
          <w:szCs w:val="22"/>
        </w:rPr>
        <w:lastRenderedPageBreak/>
        <w:t>Comparator</w:t>
      </w:r>
    </w:p>
    <w:p w:rsidR="00B60939" w:rsidRPr="004A1862" w:rsidRDefault="00B60939" w:rsidP="004B1CB4"/>
    <w:p w:rsidR="004B0105" w:rsidRPr="004A1862" w:rsidRDefault="00C55BD0" w:rsidP="006C2680">
      <w:pPr>
        <w:pStyle w:val="ListParagraph"/>
        <w:widowControl/>
        <w:numPr>
          <w:ilvl w:val="1"/>
          <w:numId w:val="11"/>
        </w:numPr>
        <w:rPr>
          <w:bCs/>
          <w:iCs/>
        </w:rPr>
      </w:pPr>
      <w:r w:rsidRPr="004A1862">
        <w:t>The submission nominated b</w:t>
      </w:r>
      <w:r w:rsidR="004B36B8" w:rsidRPr="004A1862">
        <w:t>rinzolamide 1%</w:t>
      </w:r>
      <w:r w:rsidR="00201213" w:rsidRPr="004A1862">
        <w:t xml:space="preserve"> </w:t>
      </w:r>
      <w:r w:rsidR="004B36B8" w:rsidRPr="004A1862">
        <w:t>and brimonidine tartrate 0.2%</w:t>
      </w:r>
      <w:r w:rsidR="00201213" w:rsidRPr="004A1862">
        <w:t xml:space="preserve"> </w:t>
      </w:r>
      <w:r w:rsidR="004B36B8" w:rsidRPr="004A1862">
        <w:t>administered concomitantly</w:t>
      </w:r>
      <w:r w:rsidRPr="004A1862">
        <w:t xml:space="preserve"> as the comparator</w:t>
      </w:r>
      <w:r w:rsidR="004B36B8" w:rsidRPr="004A1862">
        <w:t>.</w:t>
      </w:r>
      <w:r w:rsidR="00F067A2" w:rsidRPr="004A1862">
        <w:rPr>
          <w:color w:val="3366FF"/>
        </w:rPr>
        <w:t xml:space="preserve"> </w:t>
      </w:r>
      <w:r w:rsidR="00F37AC2" w:rsidRPr="004A1862">
        <w:t xml:space="preserve">The main argument provided in support of this nomination are that </w:t>
      </w:r>
      <w:r w:rsidR="005F5B00" w:rsidRPr="004A1862">
        <w:t xml:space="preserve">brinzolamide + brimonidine FDC </w:t>
      </w:r>
      <w:r w:rsidR="00F37AC2" w:rsidRPr="004A1862">
        <w:t xml:space="preserve">simplifies the dosing regimen, and offers a reduction in the dosing burden and preservative load by decreasing the number of eye drops administered in one </w:t>
      </w:r>
      <w:r w:rsidR="0029000E" w:rsidRPr="004A1862">
        <w:t>sitting.</w:t>
      </w:r>
      <w:r w:rsidR="00464ED1" w:rsidRPr="004A1862">
        <w:t xml:space="preserve"> </w:t>
      </w:r>
      <w:r w:rsidR="00364432" w:rsidRPr="004A1862">
        <w:t xml:space="preserve">The ESC noted that concomitant use of the individual components </w:t>
      </w:r>
      <w:r w:rsidRPr="004A1862">
        <w:t>i</w:t>
      </w:r>
      <w:r w:rsidR="00231D92" w:rsidRPr="004A1862">
        <w:t>s</w:t>
      </w:r>
      <w:r w:rsidR="00364432" w:rsidRPr="004A1862">
        <w:t xml:space="preserve"> </w:t>
      </w:r>
      <w:r w:rsidR="00551AF4" w:rsidRPr="004A1862">
        <w:t>an</w:t>
      </w:r>
      <w:r w:rsidR="00A570A1" w:rsidRPr="004A1862">
        <w:t xml:space="preserve"> </w:t>
      </w:r>
      <w:r w:rsidR="00364432" w:rsidRPr="004A1862">
        <w:t>appropriate</w:t>
      </w:r>
      <w:r w:rsidR="00A570A1" w:rsidRPr="004A1862">
        <w:t xml:space="preserve"> comparator</w:t>
      </w:r>
      <w:r w:rsidR="00364432" w:rsidRPr="004A1862">
        <w:rPr>
          <w:i/>
        </w:rPr>
        <w:t>.</w:t>
      </w:r>
    </w:p>
    <w:p w:rsidR="004B0105" w:rsidRPr="004A1862" w:rsidRDefault="004B0105" w:rsidP="004B0105">
      <w:pPr>
        <w:pStyle w:val="ListParagraph"/>
        <w:widowControl/>
        <w:rPr>
          <w:bCs/>
          <w:iCs/>
        </w:rPr>
      </w:pPr>
    </w:p>
    <w:p w:rsidR="00C22A00" w:rsidRPr="004A1862" w:rsidRDefault="0029000E" w:rsidP="006C2680">
      <w:pPr>
        <w:pStyle w:val="ListParagraph"/>
        <w:widowControl/>
        <w:numPr>
          <w:ilvl w:val="1"/>
          <w:numId w:val="11"/>
        </w:numPr>
        <w:rPr>
          <w:bCs/>
          <w:iCs/>
        </w:rPr>
      </w:pPr>
      <w:r w:rsidRPr="004A1862">
        <w:rPr>
          <w:bCs/>
          <w:iCs/>
        </w:rPr>
        <w:t>The</w:t>
      </w:r>
      <w:r w:rsidR="00EC031B" w:rsidRPr="004A1862">
        <w:rPr>
          <w:bCs/>
          <w:iCs/>
        </w:rPr>
        <w:t xml:space="preserve"> submission</w:t>
      </w:r>
      <w:r w:rsidR="00693B49" w:rsidRPr="004A1862">
        <w:rPr>
          <w:bCs/>
          <w:iCs/>
        </w:rPr>
        <w:t xml:space="preserve"> also </w:t>
      </w:r>
      <w:r w:rsidR="00EC031B" w:rsidRPr="004A1862">
        <w:rPr>
          <w:bCs/>
          <w:iCs/>
        </w:rPr>
        <w:t>acknowledge</w:t>
      </w:r>
      <w:r w:rsidR="00693B49" w:rsidRPr="004A1862">
        <w:rPr>
          <w:bCs/>
          <w:iCs/>
        </w:rPr>
        <w:t>d</w:t>
      </w:r>
      <w:r w:rsidR="00EC031B" w:rsidRPr="004A1862">
        <w:rPr>
          <w:bCs/>
          <w:iCs/>
        </w:rPr>
        <w:t xml:space="preserve"> that brinzolamide</w:t>
      </w:r>
      <w:r w:rsidR="005F5B00" w:rsidRPr="004A1862">
        <w:rPr>
          <w:bCs/>
          <w:iCs/>
        </w:rPr>
        <w:t xml:space="preserve"> + </w:t>
      </w:r>
      <w:r w:rsidR="00EC031B" w:rsidRPr="004A1862">
        <w:rPr>
          <w:bCs/>
          <w:iCs/>
        </w:rPr>
        <w:t>timolol (Azarga</w:t>
      </w:r>
      <w:r w:rsidR="009773B7" w:rsidRPr="004A1862">
        <w:rPr>
          <w:bCs/>
          <w:iCs/>
        </w:rPr>
        <w:t>®</w:t>
      </w:r>
      <w:r w:rsidR="005F5B00" w:rsidRPr="004A1862">
        <w:rPr>
          <w:bCs/>
          <w:iCs/>
        </w:rPr>
        <w:t xml:space="preserve">), dorzolamide + </w:t>
      </w:r>
      <w:r w:rsidR="00EC031B" w:rsidRPr="004A1862">
        <w:rPr>
          <w:bCs/>
          <w:iCs/>
        </w:rPr>
        <w:t>timolol (Cosopt</w:t>
      </w:r>
      <w:r w:rsidR="009773B7" w:rsidRPr="004A1862">
        <w:rPr>
          <w:bCs/>
          <w:iCs/>
        </w:rPr>
        <w:t>®</w:t>
      </w:r>
      <w:r w:rsidR="00EC031B" w:rsidRPr="004A1862">
        <w:rPr>
          <w:bCs/>
          <w:iCs/>
        </w:rPr>
        <w:t>) or brimonidine</w:t>
      </w:r>
      <w:r w:rsidR="005F5B00" w:rsidRPr="004A1862">
        <w:rPr>
          <w:bCs/>
          <w:iCs/>
        </w:rPr>
        <w:t xml:space="preserve"> + </w:t>
      </w:r>
      <w:r w:rsidR="00EC031B" w:rsidRPr="004A1862">
        <w:rPr>
          <w:bCs/>
          <w:iCs/>
        </w:rPr>
        <w:t>timolol (Combigan</w:t>
      </w:r>
      <w:r w:rsidR="009773B7" w:rsidRPr="004A1862">
        <w:rPr>
          <w:bCs/>
          <w:iCs/>
        </w:rPr>
        <w:t>®</w:t>
      </w:r>
      <w:r w:rsidR="00EC031B" w:rsidRPr="004A1862">
        <w:rPr>
          <w:bCs/>
          <w:iCs/>
        </w:rPr>
        <w:t xml:space="preserve">) FDCs could potentially be replaced by </w:t>
      </w:r>
      <w:r w:rsidR="005F5B00" w:rsidRPr="004A1862">
        <w:t xml:space="preserve">brinzolamide + brimonidine FDC </w:t>
      </w:r>
      <w:r w:rsidR="00297070" w:rsidRPr="004A1862">
        <w:rPr>
          <w:bCs/>
          <w:iCs/>
        </w:rPr>
        <w:t>in patients currently treated with timolol-based FDCs</w:t>
      </w:r>
      <w:r w:rsidR="00C35EF1" w:rsidRPr="004A1862">
        <w:rPr>
          <w:bCs/>
          <w:iCs/>
        </w:rPr>
        <w:t>,</w:t>
      </w:r>
      <w:r w:rsidR="00297070" w:rsidRPr="004A1862">
        <w:rPr>
          <w:bCs/>
          <w:iCs/>
        </w:rPr>
        <w:t xml:space="preserve"> but with health concerns related to beta-blocker use</w:t>
      </w:r>
      <w:r w:rsidR="00C22A00" w:rsidRPr="004A1862">
        <w:rPr>
          <w:bCs/>
          <w:iCs/>
        </w:rPr>
        <w:t>.</w:t>
      </w:r>
      <w:r w:rsidR="00C22A00" w:rsidRPr="004A1862">
        <w:rPr>
          <w:bCs/>
          <w:i/>
          <w:iCs/>
        </w:rPr>
        <w:t xml:space="preserve"> </w:t>
      </w:r>
      <w:r w:rsidR="00C22A00" w:rsidRPr="004A1862">
        <w:rPr>
          <w:bCs/>
          <w:iCs/>
        </w:rPr>
        <w:t>The E</w:t>
      </w:r>
      <w:r w:rsidR="00111410" w:rsidRPr="004A1862">
        <w:rPr>
          <w:bCs/>
          <w:iCs/>
        </w:rPr>
        <w:t xml:space="preserve">SC </w:t>
      </w:r>
      <w:r w:rsidR="00C22A00" w:rsidRPr="004A1862">
        <w:rPr>
          <w:bCs/>
          <w:iCs/>
        </w:rPr>
        <w:t xml:space="preserve">considered </w:t>
      </w:r>
      <w:r w:rsidR="00111410" w:rsidRPr="004A1862">
        <w:rPr>
          <w:bCs/>
          <w:iCs/>
        </w:rPr>
        <w:t>that the</w:t>
      </w:r>
      <w:r w:rsidR="00AB0AD7" w:rsidRPr="004A1862">
        <w:rPr>
          <w:bCs/>
          <w:iCs/>
        </w:rPr>
        <w:t>se</w:t>
      </w:r>
      <w:r w:rsidR="00111410" w:rsidRPr="004A1862">
        <w:rPr>
          <w:bCs/>
          <w:iCs/>
        </w:rPr>
        <w:t xml:space="preserve"> FDCs should be considered as relevant secondary comparators.</w:t>
      </w:r>
      <w:r w:rsidR="00111410" w:rsidRPr="004A1862">
        <w:rPr>
          <w:bCs/>
          <w:i/>
          <w:iCs/>
        </w:rPr>
        <w:t xml:space="preserve"> </w:t>
      </w:r>
      <w:r w:rsidR="00DA66F9" w:rsidRPr="004A1862">
        <w:rPr>
          <w:bCs/>
          <w:iCs/>
        </w:rPr>
        <w:t>The potential alternative therapie</w:t>
      </w:r>
      <w:r w:rsidRPr="004A1862">
        <w:rPr>
          <w:bCs/>
          <w:iCs/>
        </w:rPr>
        <w:t xml:space="preserve">s in this case are listed </w:t>
      </w:r>
      <w:r w:rsidR="00AB0AD7" w:rsidRPr="004A1862">
        <w:rPr>
          <w:bCs/>
          <w:iCs/>
        </w:rPr>
        <w:t>in Table 1.</w:t>
      </w:r>
      <w:r w:rsidR="00EC031B" w:rsidRPr="004A1862">
        <w:rPr>
          <w:bCs/>
          <w:iCs/>
        </w:rPr>
        <w:t xml:space="preserve"> </w:t>
      </w:r>
    </w:p>
    <w:p w:rsidR="00C22A00" w:rsidRPr="004A1862" w:rsidRDefault="00C22A00" w:rsidP="00C22A00">
      <w:pPr>
        <w:pStyle w:val="ListParagraph"/>
        <w:rPr>
          <w:bCs/>
          <w:i/>
          <w:iCs/>
        </w:rPr>
      </w:pPr>
    </w:p>
    <w:p w:rsidR="000A717C" w:rsidRPr="004A1862" w:rsidRDefault="000C603C" w:rsidP="006C2680">
      <w:pPr>
        <w:pStyle w:val="ListParagraph"/>
        <w:widowControl/>
        <w:numPr>
          <w:ilvl w:val="1"/>
          <w:numId w:val="11"/>
        </w:numPr>
        <w:rPr>
          <w:bCs/>
          <w:iCs/>
        </w:rPr>
      </w:pPr>
      <w:r w:rsidRPr="004A1862">
        <w:rPr>
          <w:bCs/>
          <w:iCs/>
        </w:rPr>
        <w:t xml:space="preserve">The ESC </w:t>
      </w:r>
      <w:r w:rsidR="00111410" w:rsidRPr="004A1862">
        <w:rPr>
          <w:bCs/>
          <w:iCs/>
        </w:rPr>
        <w:t>noted the</w:t>
      </w:r>
      <w:r w:rsidR="00CA0574" w:rsidRPr="004A1862">
        <w:rPr>
          <w:bCs/>
          <w:iCs/>
        </w:rPr>
        <w:t xml:space="preserve"> </w:t>
      </w:r>
      <w:r w:rsidR="008D5478" w:rsidRPr="004A1862">
        <w:rPr>
          <w:bCs/>
          <w:iCs/>
        </w:rPr>
        <w:t>PSCR</w:t>
      </w:r>
      <w:r w:rsidR="00CA0574" w:rsidRPr="004A1862">
        <w:rPr>
          <w:bCs/>
          <w:iCs/>
        </w:rPr>
        <w:t xml:space="preserve"> </w:t>
      </w:r>
      <w:r w:rsidR="00111410" w:rsidRPr="004A1862">
        <w:rPr>
          <w:bCs/>
          <w:iCs/>
        </w:rPr>
        <w:t xml:space="preserve">argued that </w:t>
      </w:r>
      <w:r w:rsidRPr="004A1862">
        <w:rPr>
          <w:bCs/>
          <w:iCs/>
        </w:rPr>
        <w:t xml:space="preserve">that </w:t>
      </w:r>
      <w:r w:rsidR="00D5582F" w:rsidRPr="004A1862">
        <w:rPr>
          <w:bCs/>
          <w:iCs/>
        </w:rPr>
        <w:t>the prosta</w:t>
      </w:r>
      <w:r w:rsidRPr="004A1862">
        <w:rPr>
          <w:bCs/>
          <w:iCs/>
        </w:rPr>
        <w:t>glandin-containing FDCs</w:t>
      </w:r>
      <w:r w:rsidR="00111410" w:rsidRPr="004A1862">
        <w:rPr>
          <w:bCs/>
          <w:iCs/>
        </w:rPr>
        <w:t xml:space="preserve"> (namely with bimatoprost, latanoprost and travoprost)</w:t>
      </w:r>
      <w:r w:rsidRPr="004A1862">
        <w:rPr>
          <w:bCs/>
          <w:iCs/>
        </w:rPr>
        <w:t xml:space="preserve"> </w:t>
      </w:r>
      <w:r w:rsidR="00D5582F" w:rsidRPr="004A1862">
        <w:rPr>
          <w:bCs/>
          <w:iCs/>
        </w:rPr>
        <w:t>should not be considered potential comparators</w:t>
      </w:r>
      <w:r w:rsidR="008B540E" w:rsidRPr="004A1862">
        <w:rPr>
          <w:bCs/>
          <w:iCs/>
        </w:rPr>
        <w:t>.</w:t>
      </w:r>
    </w:p>
    <w:p w:rsidR="00F546BC" w:rsidRPr="004A1862" w:rsidRDefault="00F546BC" w:rsidP="00F546BC">
      <w:pPr>
        <w:pStyle w:val="ListParagraph"/>
        <w:widowControl/>
        <w:rPr>
          <w:bCs/>
          <w:i/>
          <w:iCs/>
        </w:rPr>
      </w:pPr>
    </w:p>
    <w:p w:rsidR="000A717C" w:rsidRPr="004A1862" w:rsidRDefault="0029000E" w:rsidP="00B82FB3">
      <w:pPr>
        <w:keepNext/>
        <w:ind w:firstLine="709"/>
        <w:rPr>
          <w:rStyle w:val="CommentReference"/>
        </w:rPr>
      </w:pPr>
      <w:r w:rsidRPr="004A1862">
        <w:rPr>
          <w:rStyle w:val="CommentReference"/>
        </w:rPr>
        <w:t xml:space="preserve">Table 1: </w:t>
      </w:r>
      <w:r w:rsidR="001E18E9" w:rsidRPr="004A1862">
        <w:rPr>
          <w:rStyle w:val="CommentReference"/>
        </w:rPr>
        <w:t>Simbrinza compared to</w:t>
      </w:r>
      <w:r w:rsidR="001E18E9" w:rsidRPr="004A1862">
        <w:rPr>
          <w:rStyle w:val="CommentReference"/>
          <w:i/>
        </w:rPr>
        <w:t xml:space="preserve"> </w:t>
      </w:r>
      <w:r w:rsidRPr="004A1862">
        <w:rPr>
          <w:rStyle w:val="CommentReference"/>
        </w:rPr>
        <w:t>Timolol based FDC therapies</w:t>
      </w:r>
      <w:r w:rsidR="001E18E9" w:rsidRPr="004A1862">
        <w:rPr>
          <w:rStyle w:val="CommentReference"/>
        </w:rPr>
        <w:t xml:space="preserve"> </w:t>
      </w:r>
    </w:p>
    <w:tbl>
      <w:tblPr>
        <w:tblW w:w="0" w:type="auto"/>
        <w:tblInd w:w="817" w:type="dxa"/>
        <w:tblCellMar>
          <w:left w:w="0" w:type="dxa"/>
          <w:right w:w="0" w:type="dxa"/>
        </w:tblCellMar>
        <w:tblLook w:val="04A0" w:firstRow="1" w:lastRow="0" w:firstColumn="1" w:lastColumn="0" w:noHBand="0" w:noVBand="1"/>
      </w:tblPr>
      <w:tblGrid>
        <w:gridCol w:w="1276"/>
        <w:gridCol w:w="2471"/>
        <w:gridCol w:w="1141"/>
        <w:gridCol w:w="1146"/>
        <w:gridCol w:w="955"/>
        <w:gridCol w:w="718"/>
        <w:gridCol w:w="718"/>
      </w:tblGrid>
      <w:tr w:rsidR="00983816" w:rsidRPr="004A1862" w:rsidTr="00B82FB3">
        <w:trPr>
          <w:trHeight w:val="256"/>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Drug</w:t>
            </w:r>
          </w:p>
        </w:tc>
        <w:tc>
          <w:tcPr>
            <w:tcW w:w="24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Form</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MoA</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Type of FDC</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Formulary</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DPMQ</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AEMP</w:t>
            </w:r>
          </w:p>
        </w:tc>
      </w:tr>
      <w:tr w:rsidR="00983816" w:rsidRPr="004A1862" w:rsidTr="00B82FB3">
        <w:trPr>
          <w:trHeight w:val="512"/>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2A00" w:rsidRPr="004A1862" w:rsidRDefault="00C22A00"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Brinzolamide with brimonidine tartrate,</w:t>
            </w:r>
          </w:p>
          <w:p w:rsidR="00C22A00" w:rsidRPr="004A1862" w:rsidRDefault="00C22A00"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Simbrinza®</w:t>
            </w:r>
          </w:p>
        </w:tc>
        <w:tc>
          <w:tcPr>
            <w:tcW w:w="2471" w:type="dxa"/>
            <w:tcBorders>
              <w:top w:val="nil"/>
              <w:left w:val="nil"/>
              <w:bottom w:val="single" w:sz="8" w:space="0" w:color="auto"/>
              <w:right w:val="single" w:sz="8" w:space="0" w:color="auto"/>
            </w:tcBorders>
            <w:tcMar>
              <w:top w:w="0" w:type="dxa"/>
              <w:left w:w="108" w:type="dxa"/>
              <w:bottom w:w="0" w:type="dxa"/>
              <w:right w:w="108" w:type="dxa"/>
            </w:tcMar>
            <w:vAlign w:val="bottom"/>
          </w:tcPr>
          <w:p w:rsidR="00C22A00" w:rsidRPr="004A1862" w:rsidRDefault="00C22A00" w:rsidP="00B82FB3">
            <w:pPr>
              <w:keepNext/>
              <w:tabs>
                <w:tab w:val="left" w:pos="142"/>
              </w:tabs>
              <w:jc w:val="left"/>
              <w:rPr>
                <w:rFonts w:ascii="Arial Narrow" w:hAnsi="Arial Narrow" w:cs="Times New Roman"/>
                <w:snapToGrid/>
                <w:sz w:val="20"/>
                <w:lang w:eastAsia="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22A00" w:rsidRPr="004A1862" w:rsidRDefault="00C22A00"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Application to the eye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C22A00" w:rsidRPr="004A1862" w:rsidRDefault="001E18E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CAI/AA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C22A00" w:rsidRPr="004A1862" w:rsidRDefault="00C22A00" w:rsidP="00B82FB3">
            <w:pPr>
              <w:keepNext/>
              <w:tabs>
                <w:tab w:val="left" w:pos="142"/>
              </w:tabs>
              <w:jc w:val="left"/>
              <w:rPr>
                <w:rFonts w:ascii="Arial Narrow" w:hAnsi="Arial Narrow" w:cs="Times New Roman"/>
                <w:snapToGrid/>
                <w:sz w:val="20"/>
                <w:lang w:eastAsia="en-AU"/>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C22A00" w:rsidRPr="004A1862" w:rsidRDefault="00C22A00"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$36.83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C22A00" w:rsidRPr="004A1862" w:rsidRDefault="001E18E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$24.32</w:t>
            </w:r>
          </w:p>
        </w:tc>
      </w:tr>
      <w:tr w:rsidR="00983816" w:rsidRPr="004A1862" w:rsidTr="00B82FB3">
        <w:trPr>
          <w:trHeight w:val="512"/>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Bimatoprost with timolol</w:t>
            </w:r>
          </w:p>
        </w:tc>
        <w:tc>
          <w:tcPr>
            <w:tcW w:w="2471" w:type="dxa"/>
            <w:tcBorders>
              <w:top w:val="nil"/>
              <w:left w:val="nil"/>
              <w:bottom w:val="single" w:sz="8" w:space="0" w:color="auto"/>
              <w:right w:val="single" w:sz="8" w:space="0" w:color="auto"/>
            </w:tcBorders>
            <w:tcMar>
              <w:top w:w="0" w:type="dxa"/>
              <w:left w:w="108" w:type="dxa"/>
              <w:bottom w:w="0" w:type="dxa"/>
              <w:right w:w="108" w:type="dxa"/>
            </w:tcMar>
            <w:vAlign w:val="bottom"/>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Eye drops 300 micrograms bimatoprost with timolol 5 mg (as maleate) per mL, 3 mL</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Application to the eye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PGA/BB</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CDL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DA66F9" w:rsidRPr="004A1862" w:rsidRDefault="00DA66F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$46.94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DA66F9" w:rsidRPr="004A1862" w:rsidRDefault="00DA66F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$33.18</w:t>
            </w:r>
          </w:p>
        </w:tc>
      </w:tr>
      <w:tr w:rsidR="00983816" w:rsidRPr="004A1862" w:rsidTr="00B82FB3">
        <w:trPr>
          <w:trHeight w:val="512"/>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Latanoprost with timolol</w:t>
            </w:r>
          </w:p>
        </w:tc>
        <w:tc>
          <w:tcPr>
            <w:tcW w:w="2471" w:type="dxa"/>
            <w:tcBorders>
              <w:top w:val="nil"/>
              <w:left w:val="nil"/>
              <w:bottom w:val="single" w:sz="8" w:space="0" w:color="auto"/>
              <w:right w:val="single" w:sz="8" w:space="0" w:color="auto"/>
            </w:tcBorders>
            <w:tcMar>
              <w:top w:w="0" w:type="dxa"/>
              <w:left w:w="108" w:type="dxa"/>
              <w:bottom w:w="0" w:type="dxa"/>
              <w:right w:w="108" w:type="dxa"/>
            </w:tcMar>
            <w:vAlign w:val="bottom"/>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Eye drops 50 micrograms latanoprost with timolol 5 mg (as maleate) per mL, 2.5 mL</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Application to the eye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PGA/BB</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F2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DA66F9" w:rsidRPr="004A1862" w:rsidRDefault="00DA66F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$41.21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DA66F9" w:rsidRPr="004A1862" w:rsidRDefault="00DA66F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$27.86</w:t>
            </w:r>
          </w:p>
        </w:tc>
      </w:tr>
      <w:tr w:rsidR="00983816" w:rsidRPr="004A1862" w:rsidTr="00B82FB3">
        <w:trPr>
          <w:trHeight w:val="512"/>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Travoprost with timolol</w:t>
            </w:r>
          </w:p>
        </w:tc>
        <w:tc>
          <w:tcPr>
            <w:tcW w:w="2471" w:type="dxa"/>
            <w:tcBorders>
              <w:top w:val="nil"/>
              <w:left w:val="nil"/>
              <w:bottom w:val="single" w:sz="8" w:space="0" w:color="auto"/>
              <w:right w:val="single" w:sz="8" w:space="0" w:color="auto"/>
            </w:tcBorders>
            <w:tcMar>
              <w:top w:w="0" w:type="dxa"/>
              <w:left w:w="108" w:type="dxa"/>
              <w:bottom w:w="0" w:type="dxa"/>
              <w:right w:w="108" w:type="dxa"/>
            </w:tcMar>
            <w:vAlign w:val="bottom"/>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Eye drops 40 micrograms travoprost with timolol 5 mg (as maleate) per mL, 2.5 mL</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Application to the eye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PGA/BB</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CDL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DA66F9" w:rsidRPr="004A1862" w:rsidRDefault="00DA66F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$46.94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rsidR="00DA66F9" w:rsidRPr="004A1862" w:rsidRDefault="00DA66F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$33.18</w:t>
            </w:r>
          </w:p>
        </w:tc>
      </w:tr>
      <w:tr w:rsidR="00983816" w:rsidRPr="004A1862" w:rsidTr="00B82FB3">
        <w:trPr>
          <w:trHeight w:val="512"/>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Brimonidine with timolol</w:t>
            </w:r>
            <w:r w:rsidR="00C301E0" w:rsidRPr="004A1862">
              <w:rPr>
                <w:rFonts w:ascii="Arial Narrow" w:hAnsi="Arial Narrow" w:cs="Times New Roman"/>
                <w:snapToGrid/>
                <w:sz w:val="20"/>
                <w:lang w:eastAsia="en-AU"/>
              </w:rPr>
              <w:t>, Combigan</w:t>
            </w:r>
            <w:r w:rsidR="00C301E0" w:rsidRPr="004A1862">
              <w:rPr>
                <w:rFonts w:ascii="Arial Narrow" w:hAnsi="Arial Narrow" w:cs="Times New Roman"/>
                <w:snapToGrid/>
                <w:sz w:val="20"/>
                <w:vertAlign w:val="superscript"/>
                <w:lang w:eastAsia="en-AU"/>
              </w:rPr>
              <w:t>®</w:t>
            </w:r>
          </w:p>
        </w:tc>
        <w:tc>
          <w:tcPr>
            <w:tcW w:w="2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Eye drops containing brimonidine tartrate 2 mg with timolol 5 mg (as maleate) per mL, 5 mL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Application to the eye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AA/BB</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CDL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66F9" w:rsidRPr="004A1862" w:rsidRDefault="00DA66F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$26.37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66F9" w:rsidRPr="004A1862" w:rsidRDefault="00DA66F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$15.86</w:t>
            </w:r>
          </w:p>
        </w:tc>
      </w:tr>
      <w:tr w:rsidR="00983816" w:rsidRPr="004A1862" w:rsidTr="00B82FB3">
        <w:trPr>
          <w:trHeight w:val="512"/>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Brinzolamide with timolol</w:t>
            </w:r>
            <w:r w:rsidR="00C301E0" w:rsidRPr="004A1862">
              <w:rPr>
                <w:rFonts w:ascii="Arial Narrow" w:hAnsi="Arial Narrow" w:cs="Times New Roman"/>
                <w:snapToGrid/>
                <w:sz w:val="20"/>
                <w:lang w:eastAsia="en-AU"/>
              </w:rPr>
              <w:t>,</w:t>
            </w:r>
          </w:p>
          <w:p w:rsidR="00C301E0" w:rsidRPr="004A1862" w:rsidRDefault="00C301E0"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Azarga</w:t>
            </w:r>
            <w:r w:rsidRPr="004A1862">
              <w:rPr>
                <w:rFonts w:ascii="Arial Narrow" w:hAnsi="Arial Narrow" w:cs="Times New Roman"/>
                <w:snapToGrid/>
                <w:sz w:val="20"/>
                <w:vertAlign w:val="superscript"/>
                <w:lang w:eastAsia="en-AU"/>
              </w:rPr>
              <w:t>®</w:t>
            </w:r>
          </w:p>
        </w:tc>
        <w:tc>
          <w:tcPr>
            <w:tcW w:w="2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Eye drops 10 mg brinzolamide with timolol 5 mg (as maleate) per mL, 5 mL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Application to the eye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CAI/BB</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CDL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66F9" w:rsidRPr="004A1862" w:rsidRDefault="00DA66F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$27.22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66F9" w:rsidRPr="004A1862" w:rsidRDefault="00DA66F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$16.55</w:t>
            </w:r>
          </w:p>
        </w:tc>
      </w:tr>
      <w:tr w:rsidR="00983816" w:rsidRPr="004A1862" w:rsidTr="00B82FB3">
        <w:trPr>
          <w:trHeight w:val="512"/>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Dorzolamide with timolol</w:t>
            </w:r>
            <w:r w:rsidR="00C301E0" w:rsidRPr="004A1862">
              <w:rPr>
                <w:rFonts w:ascii="Arial Narrow" w:hAnsi="Arial Narrow" w:cs="Times New Roman"/>
                <w:snapToGrid/>
                <w:sz w:val="20"/>
                <w:lang w:eastAsia="en-AU"/>
              </w:rPr>
              <w:t>,</w:t>
            </w:r>
          </w:p>
          <w:p w:rsidR="00C301E0" w:rsidRPr="004A1862" w:rsidRDefault="00C301E0"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Cos</w:t>
            </w:r>
            <w:r w:rsidR="002C254C" w:rsidRPr="004A1862">
              <w:rPr>
                <w:rFonts w:ascii="Arial Narrow" w:hAnsi="Arial Narrow" w:cs="Times New Roman"/>
                <w:snapToGrid/>
                <w:sz w:val="20"/>
                <w:lang w:eastAsia="en-AU"/>
              </w:rPr>
              <w:t>o</w:t>
            </w:r>
            <w:r w:rsidRPr="004A1862">
              <w:rPr>
                <w:rFonts w:ascii="Arial Narrow" w:hAnsi="Arial Narrow" w:cs="Times New Roman"/>
                <w:snapToGrid/>
                <w:sz w:val="20"/>
                <w:lang w:eastAsia="en-AU"/>
              </w:rPr>
              <w:t>pt</w:t>
            </w:r>
            <w:r w:rsidRPr="004A1862">
              <w:rPr>
                <w:rFonts w:ascii="Arial Narrow" w:hAnsi="Arial Narrow" w:cs="Times New Roman"/>
                <w:snapToGrid/>
                <w:sz w:val="20"/>
                <w:vertAlign w:val="superscript"/>
                <w:lang w:eastAsia="en-AU"/>
              </w:rPr>
              <w:t>®</w:t>
            </w:r>
          </w:p>
        </w:tc>
        <w:tc>
          <w:tcPr>
            <w:tcW w:w="24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Eye drops containing dorzolamide 20 mg (as hydrochloride) with timolol 5 mg (as maleate) per mL, 5 mL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Application to the eye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CAI/BB</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66F9" w:rsidRPr="004A1862" w:rsidRDefault="00DA66F9" w:rsidP="00B82FB3">
            <w:pPr>
              <w:keepNext/>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F2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66F9" w:rsidRPr="004A1862" w:rsidRDefault="00DA66F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A66F9" w:rsidRPr="004A1862" w:rsidRDefault="00DA66F9" w:rsidP="00B82FB3">
            <w:pPr>
              <w:keepNext/>
              <w:tabs>
                <w:tab w:val="left" w:pos="142"/>
              </w:tabs>
              <w:jc w:val="right"/>
              <w:rPr>
                <w:rFonts w:ascii="Arial Narrow" w:hAnsi="Arial Narrow" w:cs="Times New Roman"/>
                <w:snapToGrid/>
                <w:sz w:val="20"/>
                <w:lang w:eastAsia="en-AU"/>
              </w:rPr>
            </w:pPr>
            <w:r w:rsidRPr="004A1862">
              <w:rPr>
                <w:rFonts w:ascii="Arial Narrow" w:hAnsi="Arial Narrow" w:cs="Times New Roman"/>
                <w:snapToGrid/>
                <w:sz w:val="20"/>
                <w:lang w:eastAsia="en-AU"/>
              </w:rPr>
              <w:t>$14.10</w:t>
            </w:r>
          </w:p>
        </w:tc>
      </w:tr>
    </w:tbl>
    <w:p w:rsidR="00B60939" w:rsidRPr="004A1862" w:rsidRDefault="001E18E9" w:rsidP="00962869">
      <w:pPr>
        <w:ind w:left="709"/>
        <w:rPr>
          <w:bCs/>
          <w:szCs w:val="22"/>
        </w:rPr>
      </w:pPr>
      <w:r w:rsidRPr="004A1862">
        <w:rPr>
          <w:rFonts w:ascii="Arial Narrow" w:hAnsi="Arial Narrow"/>
          <w:sz w:val="20"/>
        </w:rPr>
        <w:t>PGA = prostaglandin analogue; BB = beta-blocker, CAI = carbonic anhydrase inhibitor; AA = alpha-2 adrenergic agonist</w:t>
      </w:r>
      <w:r w:rsidR="00B82FB3" w:rsidRPr="004A1862">
        <w:rPr>
          <w:rFonts w:ascii="Arial Narrow" w:hAnsi="Arial Narrow"/>
          <w:sz w:val="20"/>
        </w:rPr>
        <w:t>.</w:t>
      </w:r>
    </w:p>
    <w:p w:rsidR="001E18E9" w:rsidRPr="004A1862" w:rsidRDefault="001E18E9" w:rsidP="003102FA">
      <w:pPr>
        <w:ind w:left="709"/>
        <w:rPr>
          <w:bCs/>
          <w:szCs w:val="22"/>
        </w:rPr>
      </w:pPr>
    </w:p>
    <w:p w:rsidR="00F546BC" w:rsidRPr="004A1862" w:rsidRDefault="00CF228E" w:rsidP="003102FA">
      <w:pPr>
        <w:ind w:left="709"/>
        <w:rPr>
          <w:bCs/>
          <w:i/>
          <w:szCs w:val="22"/>
        </w:rPr>
      </w:pPr>
      <w:r w:rsidRPr="004A1862">
        <w:rPr>
          <w:bCs/>
          <w:i/>
          <w:szCs w:val="22"/>
        </w:rPr>
        <w:t>For more detail on PBAC’s view, see section 7 “PBAC outcome”</w:t>
      </w:r>
      <w:r w:rsidR="00E65670" w:rsidRPr="004A1862">
        <w:rPr>
          <w:bCs/>
          <w:i/>
          <w:szCs w:val="22"/>
        </w:rPr>
        <w:t>.</w:t>
      </w:r>
    </w:p>
    <w:p w:rsidR="00CF228E" w:rsidRPr="004A1862" w:rsidRDefault="00CF228E" w:rsidP="003102FA">
      <w:pPr>
        <w:ind w:left="709"/>
        <w:rPr>
          <w:bCs/>
          <w:i/>
          <w:szCs w:val="22"/>
        </w:rPr>
      </w:pPr>
    </w:p>
    <w:p w:rsidR="00CF228E" w:rsidRPr="004A1862" w:rsidRDefault="00CF228E" w:rsidP="003102FA">
      <w:pPr>
        <w:ind w:left="709"/>
        <w:rPr>
          <w:bCs/>
          <w:szCs w:val="22"/>
        </w:rPr>
      </w:pPr>
    </w:p>
    <w:p w:rsidR="00B50DB8" w:rsidRPr="004A1862" w:rsidRDefault="00BD6CF3" w:rsidP="00BD6CF3">
      <w:pPr>
        <w:pStyle w:val="PBACHeading1"/>
      </w:pPr>
      <w:bookmarkStart w:id="6" w:name="_Toc419189226"/>
      <w:r w:rsidRPr="004A1862">
        <w:t>C</w:t>
      </w:r>
      <w:r w:rsidR="00B50DB8" w:rsidRPr="004A1862">
        <w:t>onsideration of the evidence</w:t>
      </w:r>
      <w:bookmarkEnd w:id="6"/>
    </w:p>
    <w:p w:rsidR="00B60939" w:rsidRPr="004A1862" w:rsidRDefault="00B60939" w:rsidP="004B1CB4"/>
    <w:p w:rsidR="000E697A" w:rsidRPr="004A1862" w:rsidRDefault="000E697A" w:rsidP="000E697A">
      <w:pPr>
        <w:rPr>
          <w:b/>
          <w:i/>
        </w:rPr>
      </w:pPr>
      <w:r w:rsidRPr="004A1862">
        <w:rPr>
          <w:b/>
          <w:i/>
        </w:rPr>
        <w:t>Sponsor hearing</w:t>
      </w:r>
    </w:p>
    <w:p w:rsidR="000E697A" w:rsidRPr="004A1862" w:rsidRDefault="000E697A" w:rsidP="000E697A">
      <w:pPr>
        <w:rPr>
          <w:b/>
        </w:rPr>
      </w:pPr>
    </w:p>
    <w:p w:rsidR="000E697A" w:rsidRPr="004A1862" w:rsidRDefault="00B021BA" w:rsidP="000E697A">
      <w:pPr>
        <w:numPr>
          <w:ilvl w:val="1"/>
          <w:numId w:val="11"/>
        </w:numPr>
      </w:pPr>
      <w:r w:rsidRPr="004A1862">
        <w:t>The sponsor requested a hearing for this item.</w:t>
      </w:r>
    </w:p>
    <w:p w:rsidR="00547897" w:rsidRPr="004A1862" w:rsidRDefault="00547897" w:rsidP="00547897">
      <w:pPr>
        <w:ind w:left="720"/>
      </w:pPr>
    </w:p>
    <w:p w:rsidR="00547897" w:rsidRPr="004A1862" w:rsidRDefault="002E12B2" w:rsidP="000E697A">
      <w:pPr>
        <w:numPr>
          <w:ilvl w:val="1"/>
          <w:numId w:val="11"/>
        </w:numPr>
      </w:pPr>
      <w:r w:rsidRPr="004A1862">
        <w:rPr>
          <w:bCs/>
        </w:rPr>
        <w:t xml:space="preserve">The </w:t>
      </w:r>
      <w:r w:rsidR="00B021BA" w:rsidRPr="004A1862">
        <w:rPr>
          <w:bCs/>
        </w:rPr>
        <w:t xml:space="preserve">clinician addressed the clinical positioning of </w:t>
      </w:r>
      <w:r w:rsidR="005F5B00" w:rsidRPr="004A1862">
        <w:t xml:space="preserve">brinzolamide + brimonidine FDC </w:t>
      </w:r>
      <w:r w:rsidR="00B021BA" w:rsidRPr="004A1862">
        <w:rPr>
          <w:bCs/>
        </w:rPr>
        <w:t xml:space="preserve">in the treatment algorithm to lower IOP to a safe level thereby eliminating the risk of glaucoma progression. The clinician’s view was that FDCs are clinically important as they facilitate adherence and persistence, simplify dosing regimen, exclude wash-out and reduce ocular surface exposure to preservatives. All currently available FDCs contain a beta-blocker which is contraindicated in some patients as described in the NHMRC Guidelines (2010). The clinician emphasised that PBS </w:t>
      </w:r>
      <w:r w:rsidR="009C1B6A" w:rsidRPr="004A1862">
        <w:rPr>
          <w:bCs/>
        </w:rPr>
        <w:t>listing</w:t>
      </w:r>
      <w:r w:rsidR="00B021BA" w:rsidRPr="004A1862">
        <w:rPr>
          <w:bCs/>
        </w:rPr>
        <w:t xml:space="preserve"> of </w:t>
      </w:r>
      <w:r w:rsidR="005F5B00" w:rsidRPr="004A1862">
        <w:t xml:space="preserve">brinzolamide + brimonidine FDC </w:t>
      </w:r>
      <w:r w:rsidR="00B021BA" w:rsidRPr="004A1862">
        <w:rPr>
          <w:bCs/>
        </w:rPr>
        <w:t xml:space="preserve">would benefit this sub group of patients. In clinical practice </w:t>
      </w:r>
      <w:r w:rsidR="005F5B00" w:rsidRPr="004A1862">
        <w:t xml:space="preserve">brinzolamide + brimonidine FDC </w:t>
      </w:r>
      <w:r w:rsidR="00B021BA" w:rsidRPr="004A1862">
        <w:rPr>
          <w:bCs/>
        </w:rPr>
        <w:t>replaces separate bottles of brinzolamide and brimonidine reducing the daily dosage from four to two drops for patients using brinzolamide and brimonidine consecutively.</w:t>
      </w:r>
    </w:p>
    <w:p w:rsidR="00547897" w:rsidRPr="004A1862" w:rsidRDefault="00547897" w:rsidP="00547897">
      <w:pPr>
        <w:ind w:left="720"/>
      </w:pPr>
    </w:p>
    <w:p w:rsidR="00547897" w:rsidRPr="004A1862" w:rsidRDefault="00B021BA" w:rsidP="000E697A">
      <w:pPr>
        <w:numPr>
          <w:ilvl w:val="1"/>
          <w:numId w:val="11"/>
        </w:numPr>
        <w:rPr>
          <w:i/>
        </w:rPr>
      </w:pPr>
      <w:r w:rsidRPr="004A1862">
        <w:t>The PBAC considered the hearing was moderately informative.</w:t>
      </w:r>
    </w:p>
    <w:p w:rsidR="000E697A" w:rsidRPr="004A1862" w:rsidRDefault="000E697A" w:rsidP="000E697A">
      <w:pPr>
        <w:rPr>
          <w:b/>
        </w:rPr>
      </w:pPr>
    </w:p>
    <w:p w:rsidR="000E697A" w:rsidRPr="004A1862" w:rsidRDefault="000E697A" w:rsidP="000E697A">
      <w:pPr>
        <w:rPr>
          <w:b/>
        </w:rPr>
      </w:pPr>
      <w:r w:rsidRPr="004A1862">
        <w:rPr>
          <w:b/>
        </w:rPr>
        <w:t>Consumer comments</w:t>
      </w:r>
    </w:p>
    <w:p w:rsidR="000E697A" w:rsidRPr="004A1862" w:rsidRDefault="000E697A" w:rsidP="000E697A">
      <w:pPr>
        <w:rPr>
          <w:b/>
        </w:rPr>
      </w:pPr>
    </w:p>
    <w:p w:rsidR="000E697A" w:rsidRPr="004A1862" w:rsidRDefault="00B021BA" w:rsidP="000E697A">
      <w:pPr>
        <w:numPr>
          <w:ilvl w:val="1"/>
          <w:numId w:val="11"/>
        </w:numPr>
      </w:pPr>
      <w:r w:rsidRPr="004A1862">
        <w:t>There were no consumer comments received for this item.</w:t>
      </w:r>
    </w:p>
    <w:p w:rsidR="000E697A" w:rsidRPr="004A1862" w:rsidRDefault="000E697A" w:rsidP="000E697A"/>
    <w:p w:rsidR="00B60939" w:rsidRPr="004A1862" w:rsidRDefault="00B60939" w:rsidP="002C2775">
      <w:pPr>
        <w:pStyle w:val="Heading2"/>
        <w:rPr>
          <w:i/>
        </w:rPr>
      </w:pPr>
      <w:bookmarkStart w:id="7" w:name="_Toc419189227"/>
      <w:r w:rsidRPr="004A1862">
        <w:rPr>
          <w:i/>
        </w:rPr>
        <w:t>Clinical trials</w:t>
      </w:r>
      <w:bookmarkEnd w:id="7"/>
    </w:p>
    <w:p w:rsidR="00B60939" w:rsidRPr="004A1862" w:rsidRDefault="00B60939" w:rsidP="00B60939">
      <w:pPr>
        <w:rPr>
          <w:szCs w:val="22"/>
        </w:rPr>
      </w:pPr>
    </w:p>
    <w:p w:rsidR="00F546BC" w:rsidRPr="004A1862" w:rsidRDefault="00862502" w:rsidP="006C2680">
      <w:pPr>
        <w:pStyle w:val="ListParagraph"/>
        <w:widowControl/>
        <w:numPr>
          <w:ilvl w:val="1"/>
          <w:numId w:val="11"/>
        </w:numPr>
      </w:pPr>
      <w:r w:rsidRPr="004A1862">
        <w:t xml:space="preserve">The submission is based on one </w:t>
      </w:r>
      <w:r w:rsidR="00582445" w:rsidRPr="004A1862">
        <w:t xml:space="preserve">phase III non-inferiority </w:t>
      </w:r>
      <w:r w:rsidRPr="004A1862">
        <w:t>head-to</w:t>
      </w:r>
      <w:r w:rsidR="00A53433" w:rsidRPr="004A1862">
        <w:t xml:space="preserve">-head </w:t>
      </w:r>
      <w:r w:rsidR="00CC042C" w:rsidRPr="004A1862">
        <w:t xml:space="preserve">trial comparing </w:t>
      </w:r>
      <w:r w:rsidR="005F5B00" w:rsidRPr="004A1862">
        <w:t xml:space="preserve">brinzolamide + brimonidine FDC </w:t>
      </w:r>
      <w:r w:rsidR="00CC042C" w:rsidRPr="004A1862">
        <w:t xml:space="preserve">to </w:t>
      </w:r>
      <w:r w:rsidR="005F5B00" w:rsidRPr="004A1862">
        <w:rPr>
          <w:szCs w:val="22"/>
        </w:rPr>
        <w:t xml:space="preserve">brinzolamide </w:t>
      </w:r>
      <w:r w:rsidR="00A53433" w:rsidRPr="004A1862">
        <w:t xml:space="preserve">and </w:t>
      </w:r>
      <w:r w:rsidR="005F5B00" w:rsidRPr="004A1862">
        <w:rPr>
          <w:szCs w:val="22"/>
        </w:rPr>
        <w:t>brimonidine</w:t>
      </w:r>
      <w:r w:rsidR="005F5B00" w:rsidRPr="004A1862">
        <w:t xml:space="preserve"> </w:t>
      </w:r>
      <w:r w:rsidR="00A53433" w:rsidRPr="004A1862">
        <w:t xml:space="preserve">administered concomitantly (Trial C-10-041) </w:t>
      </w:r>
      <w:r w:rsidR="00113867" w:rsidRPr="004A1862">
        <w:t>(n=831</w:t>
      </w:r>
      <w:r w:rsidRPr="004A1862">
        <w:t>)</w:t>
      </w:r>
      <w:r w:rsidR="00A53433" w:rsidRPr="004A1862">
        <w:t xml:space="preserve"> and one supportive </w:t>
      </w:r>
      <w:r w:rsidR="00582445" w:rsidRPr="004A1862">
        <w:t>phase III superiority</w:t>
      </w:r>
      <w:r w:rsidR="00582445" w:rsidRPr="004A1862">
        <w:rPr>
          <w:i/>
        </w:rPr>
        <w:t xml:space="preserve"> </w:t>
      </w:r>
      <w:r w:rsidR="00A53433" w:rsidRPr="004A1862">
        <w:t xml:space="preserve">randomised trial comparing </w:t>
      </w:r>
      <w:r w:rsidR="005F5B00" w:rsidRPr="004A1862">
        <w:t xml:space="preserve">brinzolamide + brimonidine FDC </w:t>
      </w:r>
      <w:r w:rsidR="00A53433" w:rsidRPr="004A1862">
        <w:t xml:space="preserve">to </w:t>
      </w:r>
      <w:r w:rsidR="005F5B00" w:rsidRPr="004A1862">
        <w:rPr>
          <w:szCs w:val="22"/>
        </w:rPr>
        <w:t xml:space="preserve">brinzolamide </w:t>
      </w:r>
      <w:r w:rsidR="00A53433" w:rsidRPr="004A1862">
        <w:t xml:space="preserve">and </w:t>
      </w:r>
      <w:r w:rsidR="005F5B00" w:rsidRPr="004A1862">
        <w:rPr>
          <w:szCs w:val="22"/>
        </w:rPr>
        <w:t>brimonidine</w:t>
      </w:r>
      <w:r w:rsidR="005F5B00" w:rsidRPr="004A1862">
        <w:t xml:space="preserve"> </w:t>
      </w:r>
      <w:r w:rsidR="00A53433" w:rsidRPr="004A1862">
        <w:t>administered as monotherapy (Trial C-10-040)</w:t>
      </w:r>
      <w:r w:rsidR="00113867" w:rsidRPr="004A1862">
        <w:t xml:space="preserve"> (n=559)</w:t>
      </w:r>
      <w:r w:rsidRPr="004A1862">
        <w:t>.</w:t>
      </w:r>
      <w:r w:rsidR="00702F8F" w:rsidRPr="004A1862">
        <w:t xml:space="preserve"> </w:t>
      </w:r>
      <w:r w:rsidR="006C2680" w:rsidRPr="004A1862">
        <w:t xml:space="preserve"> </w:t>
      </w:r>
      <w:r w:rsidR="00582445" w:rsidRPr="004A1862">
        <w:t>The ESC noted that the C-10-041 trial use</w:t>
      </w:r>
      <w:r w:rsidR="005B156C" w:rsidRPr="004A1862">
        <w:t>d</w:t>
      </w:r>
      <w:r w:rsidR="00582445" w:rsidRPr="004A1862">
        <w:t xml:space="preserve"> a per protocol approach to the comparative effectiveness analysis whilst the C-10-040 study employ</w:t>
      </w:r>
      <w:r w:rsidR="005B156C" w:rsidRPr="004A1862">
        <w:t>ed</w:t>
      </w:r>
      <w:r w:rsidR="00582445" w:rsidRPr="004A1862">
        <w:t xml:space="preserve"> an </w:t>
      </w:r>
      <w:r w:rsidR="005B156C" w:rsidRPr="004A1862">
        <w:t>intention to treat (</w:t>
      </w:r>
      <w:r w:rsidR="00582445" w:rsidRPr="004A1862">
        <w:t>ITT</w:t>
      </w:r>
      <w:r w:rsidR="005B156C" w:rsidRPr="004A1862">
        <w:t>)</w:t>
      </w:r>
      <w:r w:rsidR="00582445" w:rsidRPr="004A1862">
        <w:t xml:space="preserve"> analysis, which are </w:t>
      </w:r>
      <w:r w:rsidR="005B156C" w:rsidRPr="004A1862">
        <w:t xml:space="preserve">considered </w:t>
      </w:r>
      <w:r w:rsidR="00582445" w:rsidRPr="004A1862">
        <w:t>appropriate for non-inferiority and superiority designs respectively.</w:t>
      </w:r>
      <w:r w:rsidR="008D5478" w:rsidRPr="004A1862">
        <w:rPr>
          <w:i/>
        </w:rPr>
        <w:t xml:space="preserve"> </w:t>
      </w:r>
      <w:r w:rsidR="00A01CD9" w:rsidRPr="004A1862">
        <w:t>The submission also present</w:t>
      </w:r>
      <w:r w:rsidR="000A717C" w:rsidRPr="004A1862">
        <w:t>ed</w:t>
      </w:r>
      <w:r w:rsidR="00A01CD9" w:rsidRPr="004A1862">
        <w:t xml:space="preserve"> a</w:t>
      </w:r>
      <w:r w:rsidR="00582445" w:rsidRPr="004A1862">
        <w:t>n informal, qualitativ</w:t>
      </w:r>
      <w:r w:rsidR="00582445" w:rsidRPr="004A1862">
        <w:rPr>
          <w:i/>
        </w:rPr>
        <w:t>e</w:t>
      </w:r>
      <w:r w:rsidR="00A01CD9" w:rsidRPr="004A1862">
        <w:t xml:space="preserve"> comparison of </w:t>
      </w:r>
      <w:r w:rsidR="005F5B00" w:rsidRPr="004A1862">
        <w:t xml:space="preserve">brinzolamide + brimonidine FDC </w:t>
      </w:r>
      <w:r w:rsidR="006C2680" w:rsidRPr="004A1862">
        <w:t xml:space="preserve">and </w:t>
      </w:r>
      <w:r w:rsidR="005F5B00" w:rsidRPr="004A1862">
        <w:rPr>
          <w:bCs/>
          <w:iCs/>
        </w:rPr>
        <w:t xml:space="preserve">brinzolamide + timolol </w:t>
      </w:r>
      <w:r w:rsidR="006C2680" w:rsidRPr="004A1862">
        <w:rPr>
          <w:iCs/>
        </w:rPr>
        <w:t xml:space="preserve">FDC using </w:t>
      </w:r>
      <w:r w:rsidR="005F5B00" w:rsidRPr="004A1862">
        <w:rPr>
          <w:szCs w:val="22"/>
        </w:rPr>
        <w:t xml:space="preserve">brinzolamide </w:t>
      </w:r>
      <w:r w:rsidR="00A01CD9" w:rsidRPr="004A1862">
        <w:rPr>
          <w:iCs/>
        </w:rPr>
        <w:t xml:space="preserve">administered as monotherapy </w:t>
      </w:r>
      <w:r w:rsidR="006C2680" w:rsidRPr="004A1862">
        <w:rPr>
          <w:iCs/>
        </w:rPr>
        <w:t xml:space="preserve">as the common reference </w:t>
      </w:r>
      <w:r w:rsidR="00A01CD9" w:rsidRPr="004A1862">
        <w:rPr>
          <w:iCs/>
        </w:rPr>
        <w:t>based on one randomised trial (Kaback 2008)</w:t>
      </w:r>
      <w:r w:rsidR="00702F8F" w:rsidRPr="004A1862">
        <w:t xml:space="preserve"> </w:t>
      </w:r>
      <w:r w:rsidR="00A01CD9" w:rsidRPr="004A1862">
        <w:t>(n=523)</w:t>
      </w:r>
      <w:r w:rsidR="00B40DC3" w:rsidRPr="004A1862">
        <w:t xml:space="preserve">, where </w:t>
      </w:r>
      <w:r w:rsidR="005F5B00" w:rsidRPr="004A1862">
        <w:rPr>
          <w:bCs/>
          <w:iCs/>
        </w:rPr>
        <w:t xml:space="preserve">brinzolamide + timolol </w:t>
      </w:r>
      <w:r w:rsidR="005F5B00" w:rsidRPr="004A1862">
        <w:rPr>
          <w:iCs/>
        </w:rPr>
        <w:t>FDC</w:t>
      </w:r>
      <w:r w:rsidR="005F5B00" w:rsidRPr="004A1862">
        <w:t xml:space="preserve"> </w:t>
      </w:r>
      <w:r w:rsidR="00582445" w:rsidRPr="004A1862">
        <w:t xml:space="preserve">is used as a proxy for all timolol–containing FDCs containing either brinzolamide, brimonidine or dorzolamide. </w:t>
      </w:r>
      <w:r w:rsidR="00741322" w:rsidRPr="004A1862">
        <w:t>The ESC considered that the</w:t>
      </w:r>
      <w:r w:rsidR="00EA6235" w:rsidRPr="004A1862">
        <w:t xml:space="preserve"> inclusion of this</w:t>
      </w:r>
      <w:r w:rsidR="00741322" w:rsidRPr="004A1862">
        <w:t xml:space="preserve"> trial </w:t>
      </w:r>
      <w:r w:rsidR="00582445" w:rsidRPr="004A1862">
        <w:t>is justified on</w:t>
      </w:r>
      <w:r w:rsidR="00B40DC3" w:rsidRPr="004A1862">
        <w:t xml:space="preserve"> the</w:t>
      </w:r>
      <w:r w:rsidR="00582445" w:rsidRPr="004A1862">
        <w:t xml:space="preserve"> grounds that</w:t>
      </w:r>
      <w:r w:rsidR="00582445" w:rsidRPr="004A1862">
        <w:rPr>
          <w:i/>
        </w:rPr>
        <w:t xml:space="preserve"> </w:t>
      </w:r>
      <w:r w:rsidR="005F5B00" w:rsidRPr="004A1862">
        <w:rPr>
          <w:bCs/>
          <w:iCs/>
        </w:rPr>
        <w:t xml:space="preserve">brinzolamide + timolol </w:t>
      </w:r>
      <w:r w:rsidR="005F5B00" w:rsidRPr="004A1862">
        <w:rPr>
          <w:iCs/>
        </w:rPr>
        <w:t>FDC</w:t>
      </w:r>
      <w:r w:rsidR="005F5B00" w:rsidRPr="004A1862">
        <w:t xml:space="preserve"> </w:t>
      </w:r>
      <w:r w:rsidR="00582445" w:rsidRPr="004A1862">
        <w:t xml:space="preserve">is more widely used than </w:t>
      </w:r>
      <w:r w:rsidR="005F5B00" w:rsidRPr="004A1862">
        <w:rPr>
          <w:bCs/>
          <w:iCs/>
        </w:rPr>
        <w:t xml:space="preserve">brimonidine + timolol FDC </w:t>
      </w:r>
      <w:r w:rsidR="00582445" w:rsidRPr="004A1862">
        <w:t xml:space="preserve">and more relevant than </w:t>
      </w:r>
      <w:r w:rsidR="005F5B00" w:rsidRPr="004A1862">
        <w:rPr>
          <w:bCs/>
          <w:iCs/>
        </w:rPr>
        <w:t xml:space="preserve">dorzolamide + timolol FDC </w:t>
      </w:r>
      <w:r w:rsidR="00582445" w:rsidRPr="004A1862">
        <w:t>secondary to the common brinzolamide component</w:t>
      </w:r>
      <w:r w:rsidR="00A01CD9" w:rsidRPr="004A1862">
        <w:t>.</w:t>
      </w:r>
    </w:p>
    <w:p w:rsidR="0004299C" w:rsidRPr="004A1862" w:rsidRDefault="0004299C" w:rsidP="0004299C">
      <w:pPr>
        <w:pStyle w:val="ListParagraph"/>
        <w:widowControl/>
      </w:pPr>
    </w:p>
    <w:p w:rsidR="00A01CD9" w:rsidRPr="004A1862" w:rsidRDefault="00862502" w:rsidP="0044730A">
      <w:pPr>
        <w:pStyle w:val="ListParagraph"/>
        <w:widowControl/>
        <w:numPr>
          <w:ilvl w:val="1"/>
          <w:numId w:val="11"/>
        </w:numPr>
        <w:rPr>
          <w:szCs w:val="22"/>
        </w:rPr>
      </w:pPr>
      <w:r w:rsidRPr="004A1862">
        <w:rPr>
          <w:szCs w:val="22"/>
        </w:rPr>
        <w:t xml:space="preserve">Details of the trials presented in the submission are provided in </w:t>
      </w:r>
      <w:r w:rsidR="00962869" w:rsidRPr="004A1862">
        <w:rPr>
          <w:szCs w:val="22"/>
        </w:rPr>
        <w:t>below</w:t>
      </w:r>
      <w:r w:rsidRPr="004A1862">
        <w:rPr>
          <w:szCs w:val="22"/>
        </w:rPr>
        <w:t>.</w:t>
      </w:r>
    </w:p>
    <w:p w:rsidR="00C05233" w:rsidRPr="004A1862" w:rsidRDefault="008F120A" w:rsidP="00B82FB3">
      <w:pPr>
        <w:keepNext/>
        <w:ind w:firstLine="720"/>
        <w:rPr>
          <w:rStyle w:val="CommentReference"/>
        </w:rPr>
      </w:pPr>
      <w:r w:rsidRPr="004A1862">
        <w:rPr>
          <w:rStyle w:val="CommentReference"/>
        </w:rPr>
        <w:t xml:space="preserve">Table </w:t>
      </w:r>
      <w:r w:rsidR="0029000E" w:rsidRPr="004A1862">
        <w:rPr>
          <w:rStyle w:val="CommentReference"/>
        </w:rPr>
        <w:t>2</w:t>
      </w:r>
      <w:r w:rsidRPr="004A1862">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80"/>
        <w:gridCol w:w="1964"/>
      </w:tblGrid>
      <w:tr w:rsidR="008F120A" w:rsidRPr="004A1862" w:rsidTr="00E22A0D">
        <w:tc>
          <w:tcPr>
            <w:tcW w:w="1019" w:type="pct"/>
          </w:tcPr>
          <w:p w:rsidR="008F120A" w:rsidRPr="004A1862" w:rsidRDefault="008F120A" w:rsidP="00B82FB3">
            <w:pPr>
              <w:keepNext/>
              <w:jc w:val="left"/>
              <w:rPr>
                <w:rFonts w:ascii="Arial Narrow" w:hAnsi="Arial Narrow"/>
                <w:b/>
                <w:sz w:val="20"/>
              </w:rPr>
            </w:pPr>
            <w:r w:rsidRPr="004A1862">
              <w:rPr>
                <w:rFonts w:ascii="Arial Narrow" w:hAnsi="Arial Narrow"/>
                <w:b/>
                <w:sz w:val="20"/>
              </w:rPr>
              <w:t>Trial ID</w:t>
            </w:r>
            <w:r w:rsidR="00E22A0D" w:rsidRPr="004A1862">
              <w:rPr>
                <w:rFonts w:ascii="Arial Narrow" w:hAnsi="Arial Narrow"/>
                <w:b/>
                <w:sz w:val="20"/>
              </w:rPr>
              <w:t>/First Author</w:t>
            </w:r>
          </w:p>
        </w:tc>
        <w:tc>
          <w:tcPr>
            <w:tcW w:w="2804" w:type="pct"/>
          </w:tcPr>
          <w:p w:rsidR="008F120A" w:rsidRPr="004A1862" w:rsidRDefault="008F120A" w:rsidP="00B82FB3">
            <w:pPr>
              <w:keepNext/>
              <w:jc w:val="center"/>
              <w:rPr>
                <w:rFonts w:ascii="Arial Narrow" w:hAnsi="Arial Narrow"/>
                <w:b/>
                <w:sz w:val="20"/>
              </w:rPr>
            </w:pPr>
            <w:r w:rsidRPr="004A1862">
              <w:rPr>
                <w:rFonts w:ascii="Arial Narrow" w:hAnsi="Arial Narrow"/>
                <w:b/>
                <w:sz w:val="20"/>
              </w:rPr>
              <w:t>Protocol title/ Publication title</w:t>
            </w:r>
          </w:p>
        </w:tc>
        <w:tc>
          <w:tcPr>
            <w:tcW w:w="1177" w:type="pct"/>
          </w:tcPr>
          <w:p w:rsidR="008F120A" w:rsidRPr="004A1862" w:rsidRDefault="008F120A" w:rsidP="00B82FB3">
            <w:pPr>
              <w:keepNext/>
              <w:jc w:val="center"/>
              <w:rPr>
                <w:rFonts w:ascii="Arial Narrow" w:hAnsi="Arial Narrow"/>
                <w:b/>
                <w:sz w:val="20"/>
              </w:rPr>
            </w:pPr>
            <w:r w:rsidRPr="004A1862">
              <w:rPr>
                <w:rFonts w:ascii="Arial Narrow" w:hAnsi="Arial Narrow"/>
                <w:b/>
                <w:sz w:val="20"/>
              </w:rPr>
              <w:t>Publication citation</w:t>
            </w:r>
          </w:p>
        </w:tc>
      </w:tr>
      <w:tr w:rsidR="008F120A" w:rsidRPr="004A1862" w:rsidTr="00E22A0D">
        <w:tc>
          <w:tcPr>
            <w:tcW w:w="5000" w:type="pct"/>
            <w:gridSpan w:val="3"/>
          </w:tcPr>
          <w:p w:rsidR="008F120A" w:rsidRPr="004A1862" w:rsidRDefault="00C05233" w:rsidP="00B82FB3">
            <w:pPr>
              <w:keepNext/>
              <w:jc w:val="left"/>
              <w:rPr>
                <w:rFonts w:ascii="Arial Narrow" w:hAnsi="Arial Narrow"/>
                <w:b/>
                <w:sz w:val="20"/>
              </w:rPr>
            </w:pPr>
            <w:r w:rsidRPr="004A1862">
              <w:rPr>
                <w:rFonts w:ascii="Arial Narrow" w:hAnsi="Arial Narrow"/>
                <w:b/>
                <w:sz w:val="20"/>
              </w:rPr>
              <w:t>Direct randomised trial</w:t>
            </w:r>
          </w:p>
        </w:tc>
      </w:tr>
      <w:tr w:rsidR="00C05233" w:rsidRPr="004A1862" w:rsidTr="00E22A0D">
        <w:tc>
          <w:tcPr>
            <w:tcW w:w="1019" w:type="pct"/>
            <w:vMerge w:val="restart"/>
          </w:tcPr>
          <w:p w:rsidR="00C05233" w:rsidRPr="004A1862" w:rsidRDefault="00C05233" w:rsidP="00B82FB3">
            <w:pPr>
              <w:keepNext/>
              <w:jc w:val="left"/>
              <w:rPr>
                <w:rFonts w:ascii="Arial Narrow" w:hAnsi="Arial Narrow"/>
                <w:sz w:val="20"/>
              </w:rPr>
            </w:pPr>
            <w:r w:rsidRPr="004A1862">
              <w:rPr>
                <w:rFonts w:ascii="Arial Narrow" w:hAnsi="Arial Narrow"/>
                <w:sz w:val="20"/>
              </w:rPr>
              <w:t>Trial C-10-041</w:t>
            </w:r>
          </w:p>
        </w:tc>
        <w:tc>
          <w:tcPr>
            <w:tcW w:w="2804" w:type="pct"/>
          </w:tcPr>
          <w:p w:rsidR="00C05233" w:rsidRPr="004A1862" w:rsidRDefault="00C05233" w:rsidP="00B82FB3">
            <w:pPr>
              <w:keepNext/>
              <w:jc w:val="left"/>
              <w:rPr>
                <w:rFonts w:ascii="Arial Narrow" w:hAnsi="Arial Narrow"/>
                <w:b/>
                <w:sz w:val="20"/>
              </w:rPr>
            </w:pPr>
            <w:r w:rsidRPr="004A1862">
              <w:rPr>
                <w:rFonts w:ascii="Arial Narrow" w:hAnsi="Arial Narrow"/>
                <w:sz w:val="20"/>
              </w:rPr>
              <w:t>Efficacy and safety of brinzolamide 10mg/mL  / brimonidine 2mg/mL eye drops, suspension compared to brinzolamide 10/mL eye drops, suspension plus brimonidine 2mg/mL eye drops, solution in patients with open-angle glaucoma or ocular hypertension, Alcon Research. 29 January 2013.</w:t>
            </w:r>
          </w:p>
        </w:tc>
        <w:tc>
          <w:tcPr>
            <w:tcW w:w="1177" w:type="pct"/>
          </w:tcPr>
          <w:p w:rsidR="00C05233" w:rsidRPr="004A1862" w:rsidRDefault="00C05233" w:rsidP="00B82FB3">
            <w:pPr>
              <w:keepNext/>
              <w:jc w:val="left"/>
              <w:rPr>
                <w:rFonts w:ascii="Arial Narrow" w:hAnsi="Arial Narrow"/>
                <w:b/>
                <w:sz w:val="20"/>
              </w:rPr>
            </w:pPr>
            <w:r w:rsidRPr="004A1862">
              <w:rPr>
                <w:rFonts w:ascii="Arial Narrow" w:hAnsi="Arial Narrow"/>
                <w:bCs/>
                <w:sz w:val="20"/>
              </w:rPr>
              <w:t>2013.</w:t>
            </w:r>
          </w:p>
        </w:tc>
      </w:tr>
      <w:tr w:rsidR="00C05233" w:rsidRPr="004A1862" w:rsidTr="00E22A0D">
        <w:tc>
          <w:tcPr>
            <w:tcW w:w="1019" w:type="pct"/>
            <w:vMerge/>
          </w:tcPr>
          <w:p w:rsidR="00C05233" w:rsidRPr="004A1862" w:rsidRDefault="00C05233" w:rsidP="0018752F">
            <w:pPr>
              <w:jc w:val="left"/>
              <w:rPr>
                <w:rFonts w:ascii="Arial Narrow" w:hAnsi="Arial Narrow"/>
                <w:sz w:val="20"/>
              </w:rPr>
            </w:pPr>
          </w:p>
        </w:tc>
        <w:tc>
          <w:tcPr>
            <w:tcW w:w="2804" w:type="pct"/>
          </w:tcPr>
          <w:p w:rsidR="00C05233" w:rsidRPr="004A1862" w:rsidRDefault="00C05233" w:rsidP="0018752F">
            <w:pPr>
              <w:jc w:val="left"/>
              <w:rPr>
                <w:rFonts w:ascii="Arial Narrow" w:hAnsi="Arial Narrow"/>
                <w:sz w:val="20"/>
              </w:rPr>
            </w:pPr>
            <w:r w:rsidRPr="004A1862">
              <w:rPr>
                <w:rFonts w:ascii="Arial Narrow" w:hAnsi="Arial Narrow"/>
                <w:sz w:val="20"/>
              </w:rPr>
              <w:t xml:space="preserve">Gandolfi S et al. Randomized trial of brinzolamide/brimonidine versus </w:t>
            </w:r>
            <w:r w:rsidR="00BD082B" w:rsidRPr="004A1862">
              <w:rPr>
                <w:rFonts w:ascii="Arial Narrow" w:hAnsi="Arial Narrow"/>
                <w:sz w:val="20"/>
              </w:rPr>
              <w:t>brinzolamide</w:t>
            </w:r>
            <w:r w:rsidRPr="004A1862">
              <w:rPr>
                <w:rFonts w:ascii="Arial Narrow" w:hAnsi="Arial Narrow"/>
                <w:sz w:val="20"/>
              </w:rPr>
              <w:t xml:space="preserve"> plus brimonidine for open-angle glaucoma or ocular hypertension.</w:t>
            </w:r>
          </w:p>
        </w:tc>
        <w:tc>
          <w:tcPr>
            <w:tcW w:w="1177" w:type="pct"/>
          </w:tcPr>
          <w:p w:rsidR="00C05233" w:rsidRPr="004A1862" w:rsidRDefault="00C05233" w:rsidP="0018752F">
            <w:pPr>
              <w:jc w:val="left"/>
              <w:rPr>
                <w:rFonts w:ascii="Arial Narrow" w:hAnsi="Arial Narrow"/>
                <w:sz w:val="20"/>
              </w:rPr>
            </w:pPr>
            <w:r w:rsidRPr="004A1862">
              <w:rPr>
                <w:rFonts w:ascii="Arial Narrow" w:hAnsi="Arial Narrow" w:cstheme="minorBidi"/>
                <w:iCs/>
                <w:sz w:val="20"/>
                <w:lang w:eastAsia="en-AU"/>
              </w:rPr>
              <w:t>Adv Ther</w:t>
            </w:r>
            <w:r w:rsidRPr="004A1862">
              <w:rPr>
                <w:rFonts w:ascii="Arial Narrow" w:hAnsi="Arial Narrow" w:cstheme="minorBidi"/>
                <w:i/>
                <w:iCs/>
                <w:sz w:val="20"/>
                <w:lang w:eastAsia="en-AU"/>
              </w:rPr>
              <w:t xml:space="preserve">, </w:t>
            </w:r>
            <w:r w:rsidRPr="004A1862">
              <w:rPr>
                <w:rFonts w:ascii="Arial Narrow" w:hAnsi="Arial Narrow" w:cstheme="minorBidi"/>
                <w:sz w:val="20"/>
                <w:lang w:eastAsia="en-AU"/>
              </w:rPr>
              <w:t>2014; 31: 1213-1227.</w:t>
            </w:r>
          </w:p>
        </w:tc>
      </w:tr>
      <w:tr w:rsidR="008F120A" w:rsidRPr="004A1862" w:rsidTr="00E22A0D">
        <w:tc>
          <w:tcPr>
            <w:tcW w:w="5000" w:type="pct"/>
            <w:gridSpan w:val="3"/>
          </w:tcPr>
          <w:p w:rsidR="008F120A" w:rsidRPr="004A1862" w:rsidRDefault="00C05233" w:rsidP="0018752F">
            <w:pPr>
              <w:jc w:val="left"/>
              <w:rPr>
                <w:rFonts w:ascii="Arial Narrow" w:hAnsi="Arial Narrow"/>
                <w:b/>
                <w:sz w:val="20"/>
              </w:rPr>
            </w:pPr>
            <w:r w:rsidRPr="004A1862">
              <w:rPr>
                <w:rFonts w:ascii="Arial Narrow" w:hAnsi="Arial Narrow"/>
                <w:b/>
                <w:sz w:val="20"/>
              </w:rPr>
              <w:t>Supportive randomised trial</w:t>
            </w:r>
          </w:p>
        </w:tc>
      </w:tr>
      <w:tr w:rsidR="00C05233" w:rsidRPr="004A1862" w:rsidTr="00E22A0D">
        <w:tc>
          <w:tcPr>
            <w:tcW w:w="1019" w:type="pct"/>
            <w:vMerge w:val="restart"/>
          </w:tcPr>
          <w:p w:rsidR="00C05233" w:rsidRPr="004A1862" w:rsidRDefault="00C05233" w:rsidP="0018752F">
            <w:pPr>
              <w:jc w:val="left"/>
              <w:rPr>
                <w:rFonts w:ascii="Arial Narrow" w:hAnsi="Arial Narrow"/>
                <w:sz w:val="20"/>
              </w:rPr>
            </w:pPr>
            <w:r w:rsidRPr="004A1862">
              <w:rPr>
                <w:rFonts w:ascii="Arial Narrow" w:hAnsi="Arial Narrow"/>
                <w:sz w:val="20"/>
              </w:rPr>
              <w:t>Trial C-10-040</w:t>
            </w:r>
          </w:p>
        </w:tc>
        <w:tc>
          <w:tcPr>
            <w:tcW w:w="2804" w:type="pct"/>
          </w:tcPr>
          <w:p w:rsidR="00C05233" w:rsidRPr="004A1862" w:rsidRDefault="00C05233" w:rsidP="0018752F">
            <w:pPr>
              <w:jc w:val="left"/>
              <w:rPr>
                <w:rFonts w:ascii="Arial Narrow" w:hAnsi="Arial Narrow"/>
                <w:b/>
                <w:sz w:val="20"/>
              </w:rPr>
            </w:pPr>
            <w:r w:rsidRPr="004A1862">
              <w:rPr>
                <w:rFonts w:ascii="Arial Narrow" w:hAnsi="Arial Narrow"/>
                <w:sz w:val="20"/>
              </w:rPr>
              <w:t>Safety and IOP-lowering efficacy of brinzolamide 10mg/mL   / brimonidine 2mg/mL fixed combination eye drops, suspension compared to brinzolamide 10/mL eye drops, suspension and brimonidine 2mg/mL eye drops, solution in patients with open-angle glaucoma or ocular hypertension, Alcon Research. 18 January 2013.</w:t>
            </w:r>
          </w:p>
        </w:tc>
        <w:tc>
          <w:tcPr>
            <w:tcW w:w="1177" w:type="pct"/>
          </w:tcPr>
          <w:p w:rsidR="00C05233" w:rsidRPr="004A1862" w:rsidRDefault="00C05233" w:rsidP="0018752F">
            <w:pPr>
              <w:jc w:val="left"/>
              <w:rPr>
                <w:rFonts w:ascii="Arial Narrow" w:hAnsi="Arial Narrow"/>
                <w:b/>
                <w:sz w:val="20"/>
              </w:rPr>
            </w:pPr>
            <w:r w:rsidRPr="004A1862">
              <w:rPr>
                <w:rFonts w:ascii="Arial Narrow" w:hAnsi="Arial Narrow"/>
                <w:bCs/>
                <w:sz w:val="20"/>
              </w:rPr>
              <w:t>2013.</w:t>
            </w:r>
          </w:p>
        </w:tc>
      </w:tr>
      <w:tr w:rsidR="00C05233" w:rsidRPr="004A1862" w:rsidTr="00E22A0D">
        <w:tc>
          <w:tcPr>
            <w:tcW w:w="1019" w:type="pct"/>
            <w:vMerge/>
          </w:tcPr>
          <w:p w:rsidR="00C05233" w:rsidRPr="004A1862" w:rsidRDefault="00C05233" w:rsidP="00C05233">
            <w:pPr>
              <w:jc w:val="left"/>
              <w:rPr>
                <w:rFonts w:ascii="Arial Narrow" w:hAnsi="Arial Narrow"/>
                <w:sz w:val="20"/>
              </w:rPr>
            </w:pPr>
          </w:p>
        </w:tc>
        <w:tc>
          <w:tcPr>
            <w:tcW w:w="2804" w:type="pct"/>
          </w:tcPr>
          <w:p w:rsidR="00C05233" w:rsidRPr="004A1862" w:rsidRDefault="00C05233" w:rsidP="0018752F">
            <w:pPr>
              <w:jc w:val="left"/>
              <w:rPr>
                <w:rFonts w:ascii="Arial Narrow" w:hAnsi="Arial Narrow"/>
                <w:b/>
                <w:sz w:val="20"/>
              </w:rPr>
            </w:pPr>
            <w:r w:rsidRPr="004A1862">
              <w:rPr>
                <w:rFonts w:ascii="Arial Narrow" w:hAnsi="Arial Narrow"/>
                <w:sz w:val="20"/>
              </w:rPr>
              <w:t xml:space="preserve">Aung T et al. Twice daily brinzolamide/brimonidine fixed combination versus </w:t>
            </w:r>
            <w:r w:rsidR="00BD082B" w:rsidRPr="004A1862">
              <w:rPr>
                <w:rFonts w:ascii="Arial Narrow" w:hAnsi="Arial Narrow"/>
                <w:sz w:val="20"/>
              </w:rPr>
              <w:t>brinzolamide</w:t>
            </w:r>
            <w:r w:rsidRPr="004A1862">
              <w:rPr>
                <w:rFonts w:ascii="Arial Narrow" w:hAnsi="Arial Narrow"/>
                <w:sz w:val="20"/>
              </w:rPr>
              <w:t xml:space="preserve"> or brimonidine for open-angle glaucoma or ocular hypertension.</w:t>
            </w:r>
          </w:p>
        </w:tc>
        <w:tc>
          <w:tcPr>
            <w:tcW w:w="1177" w:type="pct"/>
          </w:tcPr>
          <w:p w:rsidR="00C05233" w:rsidRPr="004A1862" w:rsidRDefault="00C05233" w:rsidP="0018752F">
            <w:pPr>
              <w:jc w:val="left"/>
              <w:rPr>
                <w:rFonts w:ascii="Arial Narrow" w:hAnsi="Arial Narrow"/>
                <w:b/>
                <w:sz w:val="20"/>
              </w:rPr>
            </w:pPr>
            <w:r w:rsidRPr="004A1862">
              <w:rPr>
                <w:rFonts w:ascii="Arial Narrow" w:hAnsi="Arial Narrow"/>
                <w:bCs/>
                <w:iCs/>
                <w:sz w:val="20"/>
              </w:rPr>
              <w:t>Ophthalmology,</w:t>
            </w:r>
            <w:r w:rsidRPr="004A1862">
              <w:rPr>
                <w:rFonts w:ascii="Arial Narrow" w:hAnsi="Arial Narrow"/>
                <w:bCs/>
                <w:i/>
                <w:iCs/>
                <w:sz w:val="20"/>
              </w:rPr>
              <w:t xml:space="preserve"> </w:t>
            </w:r>
            <w:r w:rsidRPr="004A1862">
              <w:rPr>
                <w:rFonts w:ascii="Arial Narrow" w:hAnsi="Arial Narrow"/>
                <w:bCs/>
                <w:sz w:val="20"/>
              </w:rPr>
              <w:t>2014; 121: 2348-2355.</w:t>
            </w:r>
          </w:p>
        </w:tc>
      </w:tr>
      <w:tr w:rsidR="008F120A" w:rsidRPr="004A1862" w:rsidTr="00E22A0D">
        <w:tc>
          <w:tcPr>
            <w:tcW w:w="5000" w:type="pct"/>
            <w:gridSpan w:val="3"/>
          </w:tcPr>
          <w:p w:rsidR="008F120A" w:rsidRPr="004A1862" w:rsidRDefault="00AF7EE6" w:rsidP="0018752F">
            <w:pPr>
              <w:jc w:val="left"/>
              <w:rPr>
                <w:rFonts w:ascii="Arial Narrow" w:hAnsi="Arial Narrow"/>
                <w:b/>
                <w:sz w:val="20"/>
              </w:rPr>
            </w:pPr>
            <w:r w:rsidRPr="004A1862">
              <w:rPr>
                <w:rFonts w:ascii="Arial Narrow" w:hAnsi="Arial Narrow"/>
                <w:b/>
                <w:sz w:val="20"/>
              </w:rPr>
              <w:t>Supplementary comparison (Azarga)</w:t>
            </w:r>
          </w:p>
        </w:tc>
      </w:tr>
      <w:tr w:rsidR="00AF7EE6" w:rsidRPr="004A1862" w:rsidTr="00E22A0D">
        <w:tc>
          <w:tcPr>
            <w:tcW w:w="1019" w:type="pct"/>
          </w:tcPr>
          <w:p w:rsidR="00AF7EE6" w:rsidRPr="004A1862" w:rsidRDefault="00AF7EE6" w:rsidP="0018752F">
            <w:pPr>
              <w:jc w:val="left"/>
              <w:rPr>
                <w:rFonts w:ascii="Arial Narrow" w:hAnsi="Arial Narrow"/>
                <w:sz w:val="20"/>
              </w:rPr>
            </w:pPr>
            <w:r w:rsidRPr="004A1862">
              <w:rPr>
                <w:rFonts w:ascii="Arial Narrow" w:hAnsi="Arial Narrow"/>
                <w:sz w:val="20"/>
              </w:rPr>
              <w:t>Kaback 2008</w:t>
            </w:r>
          </w:p>
        </w:tc>
        <w:tc>
          <w:tcPr>
            <w:tcW w:w="2804" w:type="pct"/>
          </w:tcPr>
          <w:p w:rsidR="00AF7EE6" w:rsidRPr="004A1862" w:rsidRDefault="00AF7EE6" w:rsidP="0018752F">
            <w:pPr>
              <w:jc w:val="left"/>
              <w:rPr>
                <w:rFonts w:ascii="Arial Narrow" w:hAnsi="Arial Narrow"/>
                <w:b/>
                <w:sz w:val="20"/>
              </w:rPr>
            </w:pPr>
            <w:r w:rsidRPr="004A1862">
              <w:rPr>
                <w:rFonts w:ascii="Arial Narrow" w:hAnsi="Arial Narrow"/>
                <w:sz w:val="20"/>
              </w:rPr>
              <w:t>Kaback M et al. Intraocular pressure-lowering efficacy of brinzolamide 1%/timolol 0.5% fixed combination compared with brinzolamide 1% and timolol 0.5%.</w:t>
            </w:r>
          </w:p>
        </w:tc>
        <w:tc>
          <w:tcPr>
            <w:tcW w:w="1177" w:type="pct"/>
          </w:tcPr>
          <w:p w:rsidR="00AF7EE6" w:rsidRPr="004A1862" w:rsidRDefault="00AF7EE6" w:rsidP="0018752F">
            <w:pPr>
              <w:jc w:val="left"/>
              <w:rPr>
                <w:rFonts w:ascii="Arial Narrow" w:hAnsi="Arial Narrow"/>
                <w:b/>
                <w:sz w:val="20"/>
              </w:rPr>
            </w:pPr>
            <w:r w:rsidRPr="004A1862">
              <w:rPr>
                <w:rFonts w:ascii="Arial Narrow" w:hAnsi="Arial Narrow"/>
                <w:bCs/>
                <w:iCs/>
                <w:sz w:val="20"/>
              </w:rPr>
              <w:t>Opthalmology,</w:t>
            </w:r>
            <w:r w:rsidRPr="004A1862">
              <w:rPr>
                <w:rFonts w:ascii="Arial Narrow" w:hAnsi="Arial Narrow"/>
                <w:bCs/>
                <w:i/>
                <w:iCs/>
                <w:sz w:val="20"/>
              </w:rPr>
              <w:t xml:space="preserve"> </w:t>
            </w:r>
            <w:r w:rsidRPr="004A1862">
              <w:rPr>
                <w:rFonts w:ascii="Arial Narrow" w:hAnsi="Arial Narrow"/>
                <w:bCs/>
                <w:sz w:val="20"/>
              </w:rPr>
              <w:t>2008; 115: 1728-1734.</w:t>
            </w:r>
          </w:p>
        </w:tc>
      </w:tr>
    </w:tbl>
    <w:p w:rsidR="00862502" w:rsidRPr="004A1862" w:rsidRDefault="008F120A" w:rsidP="00AF7EE6">
      <w:pPr>
        <w:pStyle w:val="TableFooter"/>
        <w:ind w:firstLine="720"/>
        <w:rPr>
          <w:szCs w:val="18"/>
        </w:rPr>
      </w:pPr>
      <w:r w:rsidRPr="004A1862">
        <w:rPr>
          <w:szCs w:val="18"/>
        </w:rPr>
        <w:t>Source</w:t>
      </w:r>
      <w:r w:rsidR="00AF7EE6" w:rsidRPr="004A1862">
        <w:rPr>
          <w:szCs w:val="18"/>
        </w:rPr>
        <w:t>: Tables 21-22, 63; pp.70-71, 155 of the submission.</w:t>
      </w:r>
    </w:p>
    <w:p w:rsidR="00AF7EE6" w:rsidRPr="004A1862" w:rsidRDefault="00AF7EE6" w:rsidP="00AF7EE6"/>
    <w:p w:rsidR="007F1017" w:rsidRPr="004A1862" w:rsidRDefault="008F120A" w:rsidP="007F1017">
      <w:pPr>
        <w:pStyle w:val="ListParagraph"/>
        <w:widowControl/>
        <w:numPr>
          <w:ilvl w:val="1"/>
          <w:numId w:val="11"/>
        </w:numPr>
        <w:rPr>
          <w:szCs w:val="22"/>
        </w:rPr>
      </w:pPr>
      <w:r w:rsidRPr="004A1862">
        <w:rPr>
          <w:szCs w:val="22"/>
        </w:rPr>
        <w:t>The key features</w:t>
      </w:r>
      <w:r w:rsidR="00C51E3E" w:rsidRPr="004A1862">
        <w:rPr>
          <w:szCs w:val="22"/>
        </w:rPr>
        <w:t xml:space="preserve"> of the randomised trials</w:t>
      </w:r>
      <w:r w:rsidRPr="004A1862">
        <w:rPr>
          <w:szCs w:val="22"/>
        </w:rPr>
        <w:t xml:space="preserve"> are summarised </w:t>
      </w:r>
      <w:r w:rsidR="00962869" w:rsidRPr="004A1862">
        <w:rPr>
          <w:szCs w:val="22"/>
        </w:rPr>
        <w:t>below</w:t>
      </w:r>
      <w:r w:rsidRPr="004A1862">
        <w:rPr>
          <w:szCs w:val="22"/>
        </w:rPr>
        <w:t>.</w:t>
      </w:r>
    </w:p>
    <w:p w:rsidR="00513E59" w:rsidRPr="004A1862" w:rsidRDefault="00513E59" w:rsidP="00DA0458">
      <w:pPr>
        <w:pStyle w:val="ListParagraph"/>
        <w:widowControl/>
        <w:rPr>
          <w:szCs w:val="22"/>
        </w:rPr>
      </w:pPr>
    </w:p>
    <w:p w:rsidR="007F1017" w:rsidRPr="004A1862" w:rsidRDefault="00016B36" w:rsidP="00E22A0D">
      <w:pPr>
        <w:ind w:firstLine="720"/>
        <w:rPr>
          <w:rStyle w:val="CommentReference"/>
        </w:rPr>
      </w:pPr>
      <w:r w:rsidRPr="004A1862">
        <w:rPr>
          <w:rStyle w:val="CommentReference"/>
        </w:rPr>
        <w:t xml:space="preserve">Table </w:t>
      </w:r>
      <w:r w:rsidR="0029000E" w:rsidRPr="004A1862">
        <w:rPr>
          <w:rStyle w:val="CommentReference"/>
        </w:rPr>
        <w:t>3</w:t>
      </w:r>
      <w:r w:rsidR="007F1017" w:rsidRPr="004A1862">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711"/>
        <w:gridCol w:w="1843"/>
        <w:gridCol w:w="991"/>
        <w:gridCol w:w="1984"/>
        <w:gridCol w:w="1682"/>
      </w:tblGrid>
      <w:tr w:rsidR="00BB4124" w:rsidRPr="004A1862" w:rsidTr="00BB4124">
        <w:tc>
          <w:tcPr>
            <w:tcW w:w="679" w:type="pct"/>
            <w:shd w:val="clear" w:color="auto" w:fill="auto"/>
            <w:vAlign w:val="center"/>
          </w:tcPr>
          <w:p w:rsidR="00BB4124" w:rsidRPr="004A1862" w:rsidRDefault="00BB4124" w:rsidP="007F1017">
            <w:pPr>
              <w:jc w:val="left"/>
              <w:rPr>
                <w:rFonts w:ascii="Arial Narrow" w:hAnsi="Arial Narrow"/>
                <w:b/>
                <w:sz w:val="20"/>
                <w:lang w:val="en-US"/>
              </w:rPr>
            </w:pPr>
            <w:r w:rsidRPr="004A1862">
              <w:rPr>
                <w:rFonts w:ascii="Arial Narrow" w:hAnsi="Arial Narrow"/>
                <w:b/>
                <w:sz w:val="20"/>
                <w:lang w:val="en-US"/>
              </w:rPr>
              <w:t>Trial</w:t>
            </w:r>
          </w:p>
        </w:tc>
        <w:tc>
          <w:tcPr>
            <w:tcW w:w="426" w:type="pct"/>
            <w:shd w:val="clear" w:color="auto" w:fill="auto"/>
            <w:vAlign w:val="center"/>
          </w:tcPr>
          <w:p w:rsidR="00BB4124" w:rsidRPr="004A1862" w:rsidRDefault="00BB4124" w:rsidP="007F1017">
            <w:pPr>
              <w:jc w:val="center"/>
              <w:rPr>
                <w:rFonts w:ascii="Arial Narrow" w:hAnsi="Arial Narrow"/>
                <w:b/>
                <w:sz w:val="20"/>
                <w:lang w:val="en-US"/>
              </w:rPr>
            </w:pPr>
            <w:r w:rsidRPr="004A1862">
              <w:rPr>
                <w:rFonts w:ascii="Arial Narrow" w:hAnsi="Arial Narrow"/>
                <w:b/>
                <w:sz w:val="20"/>
                <w:lang w:val="en-US"/>
              </w:rPr>
              <w:t>N</w:t>
            </w:r>
          </w:p>
        </w:tc>
        <w:tc>
          <w:tcPr>
            <w:tcW w:w="1104" w:type="pct"/>
            <w:shd w:val="clear" w:color="auto" w:fill="auto"/>
            <w:vAlign w:val="center"/>
          </w:tcPr>
          <w:p w:rsidR="00BB4124" w:rsidRPr="004A1862" w:rsidRDefault="00BB4124" w:rsidP="007F1017">
            <w:pPr>
              <w:jc w:val="center"/>
              <w:rPr>
                <w:rFonts w:ascii="Arial Narrow" w:hAnsi="Arial Narrow"/>
                <w:b/>
                <w:sz w:val="20"/>
                <w:lang w:val="en-US"/>
              </w:rPr>
            </w:pPr>
            <w:r w:rsidRPr="004A1862">
              <w:rPr>
                <w:rFonts w:ascii="Arial Narrow" w:hAnsi="Arial Narrow"/>
                <w:b/>
                <w:sz w:val="20"/>
                <w:lang w:val="en-US"/>
              </w:rPr>
              <w:t>Design/ duration</w:t>
            </w:r>
          </w:p>
        </w:tc>
        <w:tc>
          <w:tcPr>
            <w:tcW w:w="594" w:type="pct"/>
            <w:shd w:val="clear" w:color="auto" w:fill="auto"/>
            <w:vAlign w:val="center"/>
          </w:tcPr>
          <w:p w:rsidR="00BB4124" w:rsidRPr="004A1862" w:rsidRDefault="00BB4124" w:rsidP="007F1017">
            <w:pPr>
              <w:jc w:val="center"/>
              <w:rPr>
                <w:rFonts w:ascii="Arial Narrow" w:hAnsi="Arial Narrow"/>
                <w:b/>
                <w:sz w:val="20"/>
                <w:lang w:val="en-US"/>
              </w:rPr>
            </w:pPr>
            <w:r w:rsidRPr="004A1862">
              <w:rPr>
                <w:rFonts w:ascii="Arial Narrow" w:hAnsi="Arial Narrow"/>
                <w:b/>
                <w:sz w:val="20"/>
                <w:lang w:val="en-US"/>
              </w:rPr>
              <w:t>Risk of bias</w:t>
            </w:r>
          </w:p>
        </w:tc>
        <w:tc>
          <w:tcPr>
            <w:tcW w:w="1189" w:type="pct"/>
            <w:shd w:val="clear" w:color="auto" w:fill="auto"/>
            <w:vAlign w:val="center"/>
          </w:tcPr>
          <w:p w:rsidR="00BB4124" w:rsidRPr="004A1862" w:rsidRDefault="00BB4124" w:rsidP="007F1017">
            <w:pPr>
              <w:jc w:val="center"/>
              <w:rPr>
                <w:rFonts w:ascii="Arial Narrow" w:hAnsi="Arial Narrow"/>
                <w:b/>
                <w:sz w:val="20"/>
                <w:lang w:val="en-US"/>
              </w:rPr>
            </w:pPr>
            <w:r w:rsidRPr="004A1862">
              <w:rPr>
                <w:rFonts w:ascii="Arial Narrow" w:hAnsi="Arial Narrow"/>
                <w:b/>
                <w:sz w:val="20"/>
                <w:lang w:val="en-US"/>
              </w:rPr>
              <w:t>Patient population</w:t>
            </w:r>
          </w:p>
        </w:tc>
        <w:tc>
          <w:tcPr>
            <w:tcW w:w="1008" w:type="pct"/>
            <w:shd w:val="clear" w:color="auto" w:fill="auto"/>
            <w:vAlign w:val="center"/>
          </w:tcPr>
          <w:p w:rsidR="00BB4124" w:rsidRPr="004A1862" w:rsidRDefault="00BB4124" w:rsidP="007F1017">
            <w:pPr>
              <w:jc w:val="center"/>
              <w:rPr>
                <w:rFonts w:ascii="Arial Narrow" w:hAnsi="Arial Narrow"/>
                <w:b/>
                <w:sz w:val="20"/>
                <w:lang w:val="en-US"/>
              </w:rPr>
            </w:pPr>
            <w:r w:rsidRPr="004A1862">
              <w:rPr>
                <w:rFonts w:ascii="Arial Narrow" w:hAnsi="Arial Narrow"/>
                <w:b/>
                <w:sz w:val="20"/>
                <w:lang w:val="en-US"/>
              </w:rPr>
              <w:t>Outcome</w:t>
            </w:r>
          </w:p>
        </w:tc>
      </w:tr>
      <w:tr w:rsidR="007F1017" w:rsidRPr="004A1862" w:rsidTr="00E22A0D">
        <w:tc>
          <w:tcPr>
            <w:tcW w:w="5000" w:type="pct"/>
            <w:gridSpan w:val="6"/>
            <w:shd w:val="clear" w:color="auto" w:fill="auto"/>
            <w:vAlign w:val="center"/>
          </w:tcPr>
          <w:p w:rsidR="007F1017" w:rsidRPr="004A1862" w:rsidRDefault="000C1130" w:rsidP="00333FE3">
            <w:pPr>
              <w:jc w:val="left"/>
              <w:rPr>
                <w:rFonts w:ascii="Arial Narrow" w:hAnsi="Arial Narrow"/>
                <w:b/>
                <w:sz w:val="20"/>
                <w:lang w:val="en-US"/>
              </w:rPr>
            </w:pPr>
            <w:r w:rsidRPr="004A1862">
              <w:rPr>
                <w:rFonts w:ascii="Arial Narrow" w:hAnsi="Arial Narrow"/>
                <w:b/>
                <w:sz w:val="20"/>
                <w:lang w:val="en-US"/>
              </w:rPr>
              <w:t xml:space="preserve">Simbrinza vs. </w:t>
            </w:r>
            <w:r w:rsidR="00333FE3" w:rsidRPr="004A1862">
              <w:rPr>
                <w:rFonts w:ascii="Arial Narrow" w:hAnsi="Arial Narrow"/>
                <w:b/>
                <w:sz w:val="20"/>
                <w:lang w:val="en-US"/>
              </w:rPr>
              <w:t>Azopt</w:t>
            </w:r>
            <w:r w:rsidRPr="004A1862">
              <w:rPr>
                <w:rFonts w:ascii="Arial Narrow" w:hAnsi="Arial Narrow"/>
                <w:b/>
                <w:sz w:val="20"/>
                <w:lang w:val="en-US"/>
              </w:rPr>
              <w:t xml:space="preserve">+ </w:t>
            </w:r>
            <w:r w:rsidR="00333FE3" w:rsidRPr="004A1862">
              <w:rPr>
                <w:rFonts w:ascii="Arial Narrow" w:hAnsi="Arial Narrow"/>
                <w:b/>
                <w:sz w:val="20"/>
                <w:lang w:val="en-US"/>
              </w:rPr>
              <w:t xml:space="preserve">Alphagan </w:t>
            </w:r>
            <w:r w:rsidRPr="004A1862">
              <w:rPr>
                <w:rFonts w:ascii="Arial Narrow" w:hAnsi="Arial Narrow"/>
                <w:b/>
                <w:sz w:val="20"/>
                <w:lang w:val="en-US"/>
              </w:rPr>
              <w:t>administered concomitantly</w:t>
            </w:r>
          </w:p>
        </w:tc>
      </w:tr>
      <w:tr w:rsidR="00BB4124" w:rsidRPr="004A1862" w:rsidTr="00BB4124">
        <w:tc>
          <w:tcPr>
            <w:tcW w:w="679" w:type="pct"/>
            <w:shd w:val="clear" w:color="auto" w:fill="auto"/>
            <w:vAlign w:val="center"/>
          </w:tcPr>
          <w:p w:rsidR="00BB4124" w:rsidRPr="004A1862" w:rsidRDefault="00BB4124" w:rsidP="007F1017">
            <w:pPr>
              <w:jc w:val="left"/>
              <w:rPr>
                <w:rFonts w:ascii="Arial Narrow" w:hAnsi="Arial Narrow"/>
                <w:sz w:val="20"/>
                <w:lang w:val="en-US"/>
              </w:rPr>
            </w:pPr>
            <w:r w:rsidRPr="004A1862">
              <w:rPr>
                <w:rFonts w:ascii="Arial Narrow" w:hAnsi="Arial Narrow"/>
                <w:sz w:val="20"/>
                <w:lang w:val="en-US"/>
              </w:rPr>
              <w:t>Trial C-10-041</w:t>
            </w:r>
          </w:p>
        </w:tc>
        <w:tc>
          <w:tcPr>
            <w:tcW w:w="426"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8</w:t>
            </w:r>
            <w:r w:rsidR="004D610C" w:rsidRPr="004A1862">
              <w:rPr>
                <w:rFonts w:ascii="Arial Narrow" w:hAnsi="Arial Narrow"/>
                <w:sz w:val="20"/>
                <w:lang w:val="en-US"/>
              </w:rPr>
              <w:t>90</w:t>
            </w:r>
          </w:p>
        </w:tc>
        <w:tc>
          <w:tcPr>
            <w:tcW w:w="1104"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R, DB</w:t>
            </w:r>
          </w:p>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6 mths</w:t>
            </w:r>
          </w:p>
        </w:tc>
        <w:tc>
          <w:tcPr>
            <w:tcW w:w="594"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Low</w:t>
            </w:r>
          </w:p>
        </w:tc>
        <w:tc>
          <w:tcPr>
            <w:tcW w:w="1189"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OAG or OH;</w:t>
            </w:r>
          </w:p>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Insufficiently controlled on monotherapy</w:t>
            </w:r>
          </w:p>
        </w:tc>
        <w:tc>
          <w:tcPr>
            <w:tcW w:w="1008"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Diurnal IOP at 3 months</w:t>
            </w:r>
          </w:p>
        </w:tc>
      </w:tr>
      <w:tr w:rsidR="00A01CD9" w:rsidRPr="004A1862" w:rsidTr="00A01CD9">
        <w:tc>
          <w:tcPr>
            <w:tcW w:w="5000" w:type="pct"/>
            <w:gridSpan w:val="6"/>
            <w:shd w:val="clear" w:color="auto" w:fill="auto"/>
            <w:vAlign w:val="center"/>
          </w:tcPr>
          <w:p w:rsidR="00A01CD9" w:rsidRPr="004A1862" w:rsidRDefault="00A01CD9" w:rsidP="00333FE3">
            <w:pPr>
              <w:jc w:val="left"/>
              <w:rPr>
                <w:rFonts w:ascii="Arial Narrow" w:hAnsi="Arial Narrow"/>
                <w:b/>
                <w:bCs/>
                <w:sz w:val="20"/>
                <w:lang w:val="en-US"/>
              </w:rPr>
            </w:pPr>
            <w:r w:rsidRPr="004A1862">
              <w:rPr>
                <w:rFonts w:ascii="Arial Narrow" w:hAnsi="Arial Narrow"/>
                <w:b/>
                <w:bCs/>
                <w:sz w:val="20"/>
                <w:lang w:val="en-US"/>
              </w:rPr>
              <w:t xml:space="preserve">Simbrinza vs. </w:t>
            </w:r>
            <w:r w:rsidR="00333FE3" w:rsidRPr="004A1862">
              <w:rPr>
                <w:rFonts w:ascii="Arial Narrow" w:hAnsi="Arial Narrow"/>
                <w:b/>
                <w:bCs/>
                <w:sz w:val="20"/>
                <w:lang w:val="en-US"/>
              </w:rPr>
              <w:t xml:space="preserve">Azopt </w:t>
            </w:r>
            <w:r w:rsidRPr="004A1862">
              <w:rPr>
                <w:rFonts w:ascii="Arial Narrow" w:hAnsi="Arial Narrow"/>
                <w:b/>
                <w:bCs/>
                <w:sz w:val="20"/>
                <w:lang w:val="en-US"/>
              </w:rPr>
              <w:t xml:space="preserve">and </w:t>
            </w:r>
            <w:r w:rsidR="00333FE3" w:rsidRPr="004A1862">
              <w:rPr>
                <w:rFonts w:ascii="Arial Narrow" w:hAnsi="Arial Narrow"/>
                <w:b/>
                <w:bCs/>
                <w:sz w:val="20"/>
                <w:lang w:val="en-US"/>
              </w:rPr>
              <w:t xml:space="preserve">Alphagan </w:t>
            </w:r>
            <w:r w:rsidRPr="004A1862">
              <w:rPr>
                <w:rFonts w:ascii="Arial Narrow" w:hAnsi="Arial Narrow"/>
                <w:b/>
                <w:bCs/>
                <w:sz w:val="20"/>
                <w:lang w:val="en-US"/>
              </w:rPr>
              <w:t>monotherapy</w:t>
            </w:r>
          </w:p>
        </w:tc>
      </w:tr>
      <w:tr w:rsidR="00BB4124" w:rsidRPr="004A1862" w:rsidTr="00BB4124">
        <w:tc>
          <w:tcPr>
            <w:tcW w:w="679" w:type="pct"/>
            <w:shd w:val="clear" w:color="auto" w:fill="auto"/>
            <w:vAlign w:val="center"/>
          </w:tcPr>
          <w:p w:rsidR="00BB4124" w:rsidRPr="004A1862" w:rsidRDefault="00BB4124" w:rsidP="007F1017">
            <w:pPr>
              <w:jc w:val="left"/>
              <w:rPr>
                <w:rFonts w:ascii="Arial Narrow" w:hAnsi="Arial Narrow"/>
                <w:sz w:val="20"/>
                <w:lang w:val="en-US"/>
              </w:rPr>
            </w:pPr>
            <w:r w:rsidRPr="004A1862">
              <w:rPr>
                <w:rFonts w:ascii="Arial Narrow" w:hAnsi="Arial Narrow"/>
                <w:sz w:val="20"/>
                <w:lang w:val="en-US"/>
              </w:rPr>
              <w:t>Trial C-10-040</w:t>
            </w:r>
          </w:p>
        </w:tc>
        <w:tc>
          <w:tcPr>
            <w:tcW w:w="426"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5</w:t>
            </w:r>
            <w:r w:rsidR="004D610C" w:rsidRPr="004A1862">
              <w:rPr>
                <w:rFonts w:ascii="Arial Narrow" w:hAnsi="Arial Narrow"/>
                <w:sz w:val="20"/>
                <w:lang w:val="en-US"/>
              </w:rPr>
              <w:t>60</w:t>
            </w:r>
          </w:p>
        </w:tc>
        <w:tc>
          <w:tcPr>
            <w:tcW w:w="1104" w:type="pct"/>
            <w:shd w:val="clear" w:color="auto" w:fill="auto"/>
            <w:vAlign w:val="center"/>
          </w:tcPr>
          <w:p w:rsidR="00BB4124" w:rsidRPr="004A1862" w:rsidRDefault="00BB4124" w:rsidP="00A01CD9">
            <w:pPr>
              <w:jc w:val="center"/>
              <w:rPr>
                <w:rFonts w:ascii="Arial Narrow" w:hAnsi="Arial Narrow"/>
                <w:sz w:val="20"/>
                <w:lang w:val="en-US"/>
              </w:rPr>
            </w:pPr>
            <w:r w:rsidRPr="004A1862">
              <w:rPr>
                <w:rFonts w:ascii="Arial Narrow" w:hAnsi="Arial Narrow"/>
                <w:sz w:val="20"/>
                <w:lang w:val="en-US"/>
              </w:rPr>
              <w:t>R, DB</w:t>
            </w:r>
          </w:p>
          <w:p w:rsidR="00BB4124" w:rsidRPr="004A1862" w:rsidRDefault="00BB4124" w:rsidP="00A01CD9">
            <w:pPr>
              <w:jc w:val="center"/>
              <w:rPr>
                <w:rFonts w:ascii="Arial Narrow" w:hAnsi="Arial Narrow"/>
                <w:sz w:val="20"/>
                <w:lang w:val="en-US"/>
              </w:rPr>
            </w:pPr>
            <w:r w:rsidRPr="004A1862">
              <w:rPr>
                <w:rFonts w:ascii="Arial Narrow" w:hAnsi="Arial Narrow"/>
                <w:sz w:val="20"/>
                <w:lang w:val="en-US"/>
              </w:rPr>
              <w:t>6 mths</w:t>
            </w:r>
          </w:p>
        </w:tc>
        <w:tc>
          <w:tcPr>
            <w:tcW w:w="594"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Low</w:t>
            </w:r>
          </w:p>
        </w:tc>
        <w:tc>
          <w:tcPr>
            <w:tcW w:w="1189"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OAG or OH;</w:t>
            </w:r>
          </w:p>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Insufficiently controlled on monotherapy</w:t>
            </w:r>
          </w:p>
        </w:tc>
        <w:tc>
          <w:tcPr>
            <w:tcW w:w="1008"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Diurnal IOP at 3 months</w:t>
            </w:r>
          </w:p>
        </w:tc>
      </w:tr>
      <w:tr w:rsidR="00C51E3E" w:rsidRPr="004A1862" w:rsidTr="00C51E3E">
        <w:tc>
          <w:tcPr>
            <w:tcW w:w="5000" w:type="pct"/>
            <w:gridSpan w:val="6"/>
            <w:shd w:val="clear" w:color="auto" w:fill="auto"/>
            <w:vAlign w:val="center"/>
          </w:tcPr>
          <w:p w:rsidR="00C51E3E" w:rsidRPr="004A1862" w:rsidRDefault="00C51E3E" w:rsidP="00333FE3">
            <w:pPr>
              <w:jc w:val="left"/>
              <w:rPr>
                <w:rFonts w:ascii="Arial Narrow" w:hAnsi="Arial Narrow"/>
                <w:b/>
                <w:bCs/>
                <w:sz w:val="20"/>
                <w:lang w:val="en-US"/>
              </w:rPr>
            </w:pPr>
            <w:r w:rsidRPr="004A1862">
              <w:rPr>
                <w:rFonts w:ascii="Arial Narrow" w:hAnsi="Arial Narrow"/>
                <w:b/>
                <w:bCs/>
                <w:sz w:val="20"/>
                <w:lang w:val="en-US"/>
              </w:rPr>
              <w:t xml:space="preserve">Azarga vs </w:t>
            </w:r>
            <w:r w:rsidR="00333FE3" w:rsidRPr="004A1862">
              <w:rPr>
                <w:rFonts w:ascii="Arial Narrow" w:hAnsi="Arial Narrow"/>
                <w:b/>
                <w:bCs/>
                <w:sz w:val="20"/>
                <w:lang w:val="en-US"/>
              </w:rPr>
              <w:t xml:space="preserve">Azopt </w:t>
            </w:r>
            <w:r w:rsidRPr="004A1862">
              <w:rPr>
                <w:rFonts w:ascii="Arial Narrow" w:hAnsi="Arial Narrow"/>
                <w:b/>
                <w:bCs/>
                <w:sz w:val="20"/>
                <w:lang w:val="en-US"/>
              </w:rPr>
              <w:t>and timolol monotherapy</w:t>
            </w:r>
          </w:p>
        </w:tc>
      </w:tr>
      <w:tr w:rsidR="00BB4124" w:rsidRPr="004A1862" w:rsidTr="00BB4124">
        <w:tc>
          <w:tcPr>
            <w:tcW w:w="679" w:type="pct"/>
            <w:shd w:val="clear" w:color="auto" w:fill="auto"/>
            <w:vAlign w:val="center"/>
          </w:tcPr>
          <w:p w:rsidR="00BB4124" w:rsidRPr="004A1862" w:rsidRDefault="00BB4124" w:rsidP="007F1017">
            <w:pPr>
              <w:jc w:val="left"/>
              <w:rPr>
                <w:rFonts w:ascii="Arial Narrow" w:hAnsi="Arial Narrow"/>
                <w:sz w:val="20"/>
                <w:lang w:val="en-US"/>
              </w:rPr>
            </w:pPr>
            <w:r w:rsidRPr="004A1862">
              <w:rPr>
                <w:rFonts w:ascii="Arial Narrow" w:hAnsi="Arial Narrow"/>
                <w:sz w:val="20"/>
                <w:lang w:val="en-US"/>
              </w:rPr>
              <w:t>Kaback 2008</w:t>
            </w:r>
          </w:p>
        </w:tc>
        <w:tc>
          <w:tcPr>
            <w:tcW w:w="426"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523</w:t>
            </w:r>
          </w:p>
        </w:tc>
        <w:tc>
          <w:tcPr>
            <w:tcW w:w="1104" w:type="pct"/>
            <w:shd w:val="clear" w:color="auto" w:fill="auto"/>
            <w:vAlign w:val="center"/>
          </w:tcPr>
          <w:p w:rsidR="00BB4124" w:rsidRPr="004A1862" w:rsidRDefault="00BB4124" w:rsidP="00C51E3E">
            <w:pPr>
              <w:jc w:val="center"/>
              <w:rPr>
                <w:rFonts w:ascii="Arial Narrow" w:hAnsi="Arial Narrow"/>
                <w:sz w:val="20"/>
                <w:lang w:val="en-US"/>
              </w:rPr>
            </w:pPr>
            <w:r w:rsidRPr="004A1862">
              <w:rPr>
                <w:rFonts w:ascii="Arial Narrow" w:hAnsi="Arial Narrow"/>
                <w:sz w:val="20"/>
                <w:lang w:val="en-US"/>
              </w:rPr>
              <w:t>R, DB</w:t>
            </w:r>
          </w:p>
          <w:p w:rsidR="00BB4124" w:rsidRPr="004A1862" w:rsidRDefault="00BB4124" w:rsidP="00C51E3E">
            <w:pPr>
              <w:jc w:val="center"/>
              <w:rPr>
                <w:rFonts w:ascii="Arial Narrow" w:hAnsi="Arial Narrow"/>
                <w:sz w:val="20"/>
                <w:lang w:val="en-US"/>
              </w:rPr>
            </w:pPr>
            <w:r w:rsidRPr="004A1862">
              <w:rPr>
                <w:rFonts w:ascii="Arial Narrow" w:hAnsi="Arial Narrow"/>
                <w:sz w:val="20"/>
                <w:lang w:val="en-US"/>
              </w:rPr>
              <w:t>6 mths</w:t>
            </w:r>
          </w:p>
        </w:tc>
        <w:tc>
          <w:tcPr>
            <w:tcW w:w="594"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Low</w:t>
            </w:r>
          </w:p>
        </w:tc>
        <w:tc>
          <w:tcPr>
            <w:tcW w:w="1189"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OAG or OH</w:t>
            </w:r>
          </w:p>
        </w:tc>
        <w:tc>
          <w:tcPr>
            <w:tcW w:w="1008" w:type="pct"/>
            <w:shd w:val="clear" w:color="auto" w:fill="auto"/>
            <w:vAlign w:val="center"/>
          </w:tcPr>
          <w:p w:rsidR="00BB4124" w:rsidRPr="004A1862" w:rsidRDefault="00BB4124" w:rsidP="007F1017">
            <w:pPr>
              <w:jc w:val="center"/>
              <w:rPr>
                <w:rFonts w:ascii="Arial Narrow" w:hAnsi="Arial Narrow"/>
                <w:sz w:val="20"/>
                <w:lang w:val="en-US"/>
              </w:rPr>
            </w:pPr>
            <w:r w:rsidRPr="004A1862">
              <w:rPr>
                <w:rFonts w:ascii="Arial Narrow" w:hAnsi="Arial Narrow"/>
                <w:sz w:val="20"/>
                <w:lang w:val="en-US"/>
              </w:rPr>
              <w:t>IOP at 6 months</w:t>
            </w:r>
          </w:p>
        </w:tc>
      </w:tr>
    </w:tbl>
    <w:p w:rsidR="007F1017" w:rsidRPr="004A1862" w:rsidRDefault="007F1017" w:rsidP="00D929EB">
      <w:pPr>
        <w:pStyle w:val="TableFooter"/>
        <w:ind w:left="720"/>
        <w:rPr>
          <w:szCs w:val="18"/>
        </w:rPr>
      </w:pPr>
      <w:r w:rsidRPr="004A1862">
        <w:rPr>
          <w:szCs w:val="18"/>
        </w:rPr>
        <w:t>DB=double blind;</w:t>
      </w:r>
      <w:r w:rsidR="003909E8" w:rsidRPr="004A1862">
        <w:rPr>
          <w:szCs w:val="18"/>
        </w:rPr>
        <w:t xml:space="preserve"> </w:t>
      </w:r>
      <w:r w:rsidR="008A3572" w:rsidRPr="004A1862">
        <w:rPr>
          <w:rFonts w:cs="Times New Roman"/>
          <w:szCs w:val="18"/>
        </w:rPr>
        <w:t>IOP = intra-ocular pressure;</w:t>
      </w:r>
      <w:r w:rsidR="008A3572" w:rsidRPr="004A1862">
        <w:rPr>
          <w:szCs w:val="18"/>
        </w:rPr>
        <w:t xml:space="preserve"> </w:t>
      </w:r>
      <w:r w:rsidR="003909E8" w:rsidRPr="004A1862">
        <w:rPr>
          <w:szCs w:val="18"/>
        </w:rPr>
        <w:t xml:space="preserve">MC=multi-centre; </w:t>
      </w:r>
      <w:r w:rsidR="00D7454F" w:rsidRPr="004A1862">
        <w:rPr>
          <w:szCs w:val="18"/>
        </w:rPr>
        <w:t>OAG=open-angle glaucoma; OH=ocular hypertension; R=randomised.</w:t>
      </w:r>
    </w:p>
    <w:p w:rsidR="007F1017" w:rsidRPr="004A1862" w:rsidRDefault="007F1017" w:rsidP="00E22A0D">
      <w:pPr>
        <w:pStyle w:val="TableFooter"/>
        <w:ind w:firstLine="720"/>
        <w:rPr>
          <w:szCs w:val="18"/>
        </w:rPr>
      </w:pPr>
      <w:r w:rsidRPr="004A1862">
        <w:rPr>
          <w:szCs w:val="18"/>
        </w:rPr>
        <w:t>Source: compiled during the evaluation</w:t>
      </w:r>
    </w:p>
    <w:p w:rsidR="00B60939" w:rsidRPr="004A1862" w:rsidRDefault="00B60939" w:rsidP="00B60939">
      <w:pPr>
        <w:rPr>
          <w:szCs w:val="22"/>
        </w:rPr>
      </w:pPr>
    </w:p>
    <w:p w:rsidR="00F546BC" w:rsidRPr="004A1862" w:rsidRDefault="00741322" w:rsidP="008D5478">
      <w:pPr>
        <w:pStyle w:val="ListParagraph"/>
        <w:widowControl/>
        <w:numPr>
          <w:ilvl w:val="1"/>
          <w:numId w:val="11"/>
        </w:numPr>
      </w:pPr>
      <w:r w:rsidRPr="004A1862">
        <w:t xml:space="preserve">The ESC </w:t>
      </w:r>
      <w:r w:rsidR="008D5478" w:rsidRPr="004A1862">
        <w:t>noted</w:t>
      </w:r>
      <w:r w:rsidRPr="004A1862">
        <w:t xml:space="preserve"> that both the C-10-041 non-inferiority and C-10-040 superiority trials were well balanced at baseline with respect to age, gender, diagnosis and baseline IOP</w:t>
      </w:r>
      <w:r w:rsidR="008D5478" w:rsidRPr="004A1862">
        <w:t>.</w:t>
      </w:r>
    </w:p>
    <w:p w:rsidR="00FF325B" w:rsidRPr="004A1862" w:rsidRDefault="00FF325B" w:rsidP="00FF325B">
      <w:pPr>
        <w:pStyle w:val="ListParagraph"/>
        <w:widowControl/>
      </w:pPr>
    </w:p>
    <w:p w:rsidR="00B60939" w:rsidRPr="004A1862" w:rsidRDefault="00B60939" w:rsidP="00B82FB3">
      <w:pPr>
        <w:pStyle w:val="Heading2"/>
        <w:keepNext/>
        <w:rPr>
          <w:i/>
        </w:rPr>
      </w:pPr>
      <w:bookmarkStart w:id="8" w:name="_Toc419189228"/>
      <w:r w:rsidRPr="004A1862">
        <w:rPr>
          <w:i/>
        </w:rPr>
        <w:t>Comparative effectiveness</w:t>
      </w:r>
      <w:bookmarkEnd w:id="8"/>
    </w:p>
    <w:p w:rsidR="00B60939" w:rsidRPr="004A1862" w:rsidRDefault="00B60939" w:rsidP="00B82FB3">
      <w:pPr>
        <w:keepNext/>
        <w:rPr>
          <w:szCs w:val="22"/>
        </w:rPr>
      </w:pPr>
    </w:p>
    <w:p w:rsidR="006F668C" w:rsidRPr="004A1862" w:rsidRDefault="006F668C" w:rsidP="006F668C">
      <w:pPr>
        <w:pStyle w:val="ListParagraph"/>
        <w:widowControl/>
        <w:numPr>
          <w:ilvl w:val="1"/>
          <w:numId w:val="11"/>
        </w:numPr>
        <w:rPr>
          <w:szCs w:val="22"/>
        </w:rPr>
      </w:pPr>
      <w:r w:rsidRPr="004A1862">
        <w:rPr>
          <w:bCs/>
        </w:rPr>
        <w:t>The results of the primary outcome mean change from baseline to 3 months in diurnal IOP, in Trial C-10-041</w:t>
      </w:r>
      <w:r w:rsidR="00EB3E8C" w:rsidRPr="004A1862">
        <w:rPr>
          <w:bCs/>
        </w:rPr>
        <w:t>,</w:t>
      </w:r>
      <w:r w:rsidRPr="004A1862">
        <w:rPr>
          <w:bCs/>
        </w:rPr>
        <w:t xml:space="preserve"> are presented in </w:t>
      </w:r>
      <w:r w:rsidR="00962869" w:rsidRPr="004A1862">
        <w:rPr>
          <w:bCs/>
        </w:rPr>
        <w:t>the following table</w:t>
      </w:r>
      <w:r w:rsidRPr="004A1862">
        <w:rPr>
          <w:bCs/>
        </w:rPr>
        <w:t>.</w:t>
      </w:r>
    </w:p>
    <w:p w:rsidR="006F668C" w:rsidRPr="004A1862" w:rsidRDefault="006F668C" w:rsidP="006F668C">
      <w:pPr>
        <w:pStyle w:val="PBACHeading1"/>
        <w:numPr>
          <w:ilvl w:val="0"/>
          <w:numId w:val="0"/>
        </w:numPr>
        <w:ind w:left="720"/>
        <w:rPr>
          <w:rStyle w:val="CommentReference"/>
        </w:rPr>
      </w:pPr>
    </w:p>
    <w:p w:rsidR="006F668C" w:rsidRPr="004A1862" w:rsidRDefault="00941D31" w:rsidP="00932A94">
      <w:pPr>
        <w:ind w:firstLine="720"/>
        <w:rPr>
          <w:b/>
          <w:bCs/>
        </w:rPr>
      </w:pPr>
      <w:bookmarkStart w:id="9" w:name="_Toc417300160"/>
      <w:bookmarkStart w:id="10" w:name="_Toc417303580"/>
      <w:r w:rsidRPr="004A1862">
        <w:rPr>
          <w:rStyle w:val="CommentReference"/>
        </w:rPr>
        <w:t xml:space="preserve">Table </w:t>
      </w:r>
      <w:r w:rsidR="0029000E" w:rsidRPr="004A1862">
        <w:rPr>
          <w:rStyle w:val="CommentReference"/>
        </w:rPr>
        <w:t>4</w:t>
      </w:r>
      <w:r w:rsidR="006F668C" w:rsidRPr="004A1862">
        <w:rPr>
          <w:rStyle w:val="CommentReference"/>
        </w:rPr>
        <w:t>: Results of mean change from baseline to 3 months in diurnal IOPa in Trial C-10-041</w:t>
      </w:r>
      <w:bookmarkEnd w:id="9"/>
      <w:bookmarkEnd w:id="10"/>
    </w:p>
    <w:tbl>
      <w:tblPr>
        <w:tblStyle w:val="Defaulttable"/>
        <w:tblW w:w="8363" w:type="dxa"/>
        <w:tblInd w:w="769" w:type="dxa"/>
        <w:tblCellMar>
          <w:left w:w="60" w:type="dxa"/>
          <w:right w:w="60" w:type="dxa"/>
        </w:tblCellMar>
        <w:tblLook w:val="01E0" w:firstRow="1" w:lastRow="1" w:firstColumn="1" w:lastColumn="1" w:noHBand="0" w:noVBand="0"/>
        <w:tblCaption w:val="Table 4: Results of mean change from baseline to 3 months in diurnal IOPa in Trial C-10-041"/>
        <w:tblDescription w:val="Table 4 summarises the results of mean change from baseline to 3 months in diurnal IOPa in Trial C-10-041"/>
      </w:tblPr>
      <w:tblGrid>
        <w:gridCol w:w="3260"/>
        <w:gridCol w:w="1276"/>
        <w:gridCol w:w="1276"/>
        <w:gridCol w:w="1701"/>
        <w:gridCol w:w="850"/>
      </w:tblGrid>
      <w:tr w:rsidR="006F668C" w:rsidRPr="004A1862" w:rsidTr="004A1862">
        <w:trPr>
          <w:trHeight w:val="60"/>
          <w:tblHeader/>
        </w:trPr>
        <w:tc>
          <w:tcPr>
            <w:tcW w:w="3260" w:type="dxa"/>
          </w:tcPr>
          <w:p w:rsidR="006F668C" w:rsidRPr="004A1862" w:rsidRDefault="006F668C" w:rsidP="00AF6D21">
            <w:pPr>
              <w:widowControl/>
              <w:jc w:val="left"/>
              <w:rPr>
                <w:rFonts w:ascii="Arial Narrow" w:hAnsi="Arial Narrow" w:cs="Times New Roman"/>
                <w:b/>
                <w:bCs/>
                <w:sz w:val="20"/>
              </w:rPr>
            </w:pPr>
            <w:r w:rsidRPr="004A1862">
              <w:rPr>
                <w:rFonts w:ascii="Arial Narrow" w:hAnsi="Arial Narrow" w:cs="Times New Roman"/>
                <w:b/>
                <w:bCs/>
                <w:sz w:val="20"/>
              </w:rPr>
              <w:t> </w:t>
            </w:r>
          </w:p>
        </w:tc>
        <w:tc>
          <w:tcPr>
            <w:tcW w:w="1276" w:type="dxa"/>
          </w:tcPr>
          <w:p w:rsidR="006F668C" w:rsidRPr="004A1862" w:rsidRDefault="006F668C" w:rsidP="00AF6D21">
            <w:pPr>
              <w:widowControl/>
              <w:jc w:val="center"/>
              <w:rPr>
                <w:rFonts w:ascii="Arial Narrow" w:hAnsi="Arial Narrow" w:cs="Times New Roman"/>
                <w:b/>
                <w:sz w:val="20"/>
              </w:rPr>
            </w:pPr>
            <w:r w:rsidRPr="004A1862">
              <w:rPr>
                <w:rFonts w:ascii="Arial Narrow" w:hAnsi="Arial Narrow" w:cs="Times New Roman"/>
                <w:b/>
                <w:sz w:val="20"/>
              </w:rPr>
              <w:t xml:space="preserve">Simbrinza </w:t>
            </w:r>
          </w:p>
          <w:p w:rsidR="006F668C" w:rsidRPr="004A1862" w:rsidRDefault="006F668C" w:rsidP="00AF6D21">
            <w:pPr>
              <w:jc w:val="center"/>
              <w:rPr>
                <w:rFonts w:ascii="Arial Narrow" w:hAnsi="Arial Narrow" w:cs="Times New Roman"/>
                <w:b/>
                <w:sz w:val="20"/>
              </w:rPr>
            </w:pPr>
            <w:r w:rsidRPr="004A1862">
              <w:rPr>
                <w:rFonts w:ascii="Arial Narrow" w:hAnsi="Arial Narrow" w:cs="Times New Roman"/>
                <w:b/>
                <w:sz w:val="20"/>
              </w:rPr>
              <w:t>N=384</w:t>
            </w:r>
          </w:p>
        </w:tc>
        <w:tc>
          <w:tcPr>
            <w:tcW w:w="1276" w:type="dxa"/>
          </w:tcPr>
          <w:p w:rsidR="006F668C" w:rsidRPr="004A1862" w:rsidRDefault="006F668C" w:rsidP="00AF6D21">
            <w:pPr>
              <w:widowControl/>
              <w:jc w:val="center"/>
              <w:rPr>
                <w:rFonts w:ascii="Arial Narrow" w:hAnsi="Arial Narrow" w:cs="Times New Roman"/>
                <w:b/>
                <w:sz w:val="20"/>
              </w:rPr>
            </w:pPr>
            <w:r w:rsidRPr="004A1862">
              <w:rPr>
                <w:rFonts w:ascii="Arial Narrow" w:hAnsi="Arial Narrow" w:cs="Times New Roman"/>
                <w:b/>
                <w:sz w:val="20"/>
              </w:rPr>
              <w:t>BRINZ+BRIM</w:t>
            </w:r>
          </w:p>
          <w:p w:rsidR="006F668C" w:rsidRPr="004A1862" w:rsidRDefault="006F668C" w:rsidP="00AF6D21">
            <w:pPr>
              <w:jc w:val="center"/>
              <w:rPr>
                <w:rFonts w:ascii="Arial Narrow" w:hAnsi="Arial Narrow" w:cs="Times New Roman"/>
                <w:b/>
                <w:sz w:val="20"/>
              </w:rPr>
            </w:pPr>
            <w:r w:rsidRPr="004A1862">
              <w:rPr>
                <w:rFonts w:ascii="Arial Narrow" w:hAnsi="Arial Narrow" w:cs="Times New Roman"/>
                <w:b/>
                <w:sz w:val="20"/>
              </w:rPr>
              <w:t>N=373</w:t>
            </w:r>
          </w:p>
        </w:tc>
        <w:tc>
          <w:tcPr>
            <w:tcW w:w="1701" w:type="dxa"/>
          </w:tcPr>
          <w:p w:rsidR="006F668C" w:rsidRPr="004A1862" w:rsidRDefault="006F668C" w:rsidP="00AF6D21">
            <w:pPr>
              <w:widowControl/>
              <w:jc w:val="center"/>
              <w:rPr>
                <w:rFonts w:ascii="Arial Narrow" w:hAnsi="Arial Narrow" w:cs="Times New Roman"/>
                <w:b/>
                <w:sz w:val="20"/>
              </w:rPr>
            </w:pPr>
            <w:r w:rsidRPr="004A1862">
              <w:rPr>
                <w:rFonts w:ascii="Arial Narrow" w:hAnsi="Arial Narrow" w:cs="Times New Roman"/>
                <w:b/>
                <w:sz w:val="20"/>
              </w:rPr>
              <w:t>Mean Difference</w:t>
            </w:r>
            <w:r w:rsidRPr="004A1862">
              <w:rPr>
                <w:rFonts w:ascii="Arial Narrow" w:hAnsi="Arial Narrow" w:cs="Times New Roman"/>
                <w:bCs/>
                <w:sz w:val="20"/>
                <w:vertAlign w:val="superscript"/>
              </w:rPr>
              <w:t>b</w:t>
            </w:r>
          </w:p>
          <w:p w:rsidR="006F668C" w:rsidRPr="004A1862" w:rsidRDefault="006F668C" w:rsidP="00AF6D21">
            <w:pPr>
              <w:widowControl/>
              <w:jc w:val="center"/>
              <w:rPr>
                <w:rFonts w:ascii="Arial Narrow" w:hAnsi="Arial Narrow" w:cs="Times New Roman"/>
                <w:b/>
                <w:sz w:val="20"/>
              </w:rPr>
            </w:pPr>
            <w:r w:rsidRPr="004A1862">
              <w:rPr>
                <w:rFonts w:ascii="Arial Narrow" w:hAnsi="Arial Narrow" w:cs="Times New Roman"/>
                <w:b/>
                <w:sz w:val="20"/>
              </w:rPr>
              <w:t>(95% CI)</w:t>
            </w:r>
          </w:p>
        </w:tc>
        <w:tc>
          <w:tcPr>
            <w:tcW w:w="850" w:type="dxa"/>
            <w:vAlign w:val="center"/>
          </w:tcPr>
          <w:p w:rsidR="006F668C" w:rsidRPr="004A1862" w:rsidRDefault="006F668C" w:rsidP="00AF6D21">
            <w:pPr>
              <w:widowControl/>
              <w:jc w:val="center"/>
              <w:rPr>
                <w:rFonts w:ascii="Arial Narrow" w:hAnsi="Arial Narrow" w:cs="Times New Roman"/>
                <w:b/>
                <w:sz w:val="20"/>
              </w:rPr>
            </w:pPr>
            <w:r w:rsidRPr="004A1862">
              <w:rPr>
                <w:rFonts w:ascii="Arial Narrow" w:hAnsi="Arial Narrow" w:cs="Times New Roman"/>
                <w:b/>
                <w:sz w:val="20"/>
              </w:rPr>
              <w:t>p-value</w:t>
            </w:r>
            <w:r w:rsidRPr="004A1862">
              <w:rPr>
                <w:rFonts w:ascii="Arial Narrow" w:hAnsi="Arial Narrow" w:cs="Times New Roman"/>
                <w:bCs/>
                <w:sz w:val="20"/>
                <w:vertAlign w:val="superscript"/>
              </w:rPr>
              <w:t>c</w:t>
            </w:r>
          </w:p>
        </w:tc>
      </w:tr>
      <w:tr w:rsidR="006F668C" w:rsidRPr="004A1862" w:rsidTr="006F668C">
        <w:trPr>
          <w:trHeight w:val="60"/>
        </w:trPr>
        <w:tc>
          <w:tcPr>
            <w:tcW w:w="3260" w:type="dxa"/>
          </w:tcPr>
          <w:p w:rsidR="006F668C" w:rsidRPr="004A1862" w:rsidRDefault="006F668C" w:rsidP="00AF6D21">
            <w:pPr>
              <w:widowControl/>
              <w:jc w:val="left"/>
              <w:rPr>
                <w:rFonts w:ascii="Arial Narrow" w:hAnsi="Arial Narrow" w:cs="Times New Roman"/>
                <w:sz w:val="20"/>
              </w:rPr>
            </w:pPr>
            <w:r w:rsidRPr="004A1862">
              <w:rPr>
                <w:rFonts w:ascii="Arial Narrow" w:hAnsi="Arial Narrow" w:cs="Times New Roman"/>
                <w:sz w:val="20"/>
              </w:rPr>
              <w:t>Mean change from baseline to 3 months, mmHg (SD)</w:t>
            </w:r>
            <w:r w:rsidR="005B156C" w:rsidRPr="004A1862">
              <w:rPr>
                <w:rFonts w:ascii="Arial Narrow" w:hAnsi="Arial Narrow" w:cs="Times New Roman"/>
                <w:sz w:val="20"/>
              </w:rPr>
              <w:t>(per protocol)</w:t>
            </w:r>
          </w:p>
        </w:tc>
        <w:tc>
          <w:tcPr>
            <w:tcW w:w="1276" w:type="dxa"/>
          </w:tcPr>
          <w:p w:rsidR="006F668C" w:rsidRPr="004A1862" w:rsidRDefault="006F668C" w:rsidP="00AF6D21">
            <w:pPr>
              <w:widowControl/>
              <w:jc w:val="center"/>
              <w:rPr>
                <w:rFonts w:ascii="Arial Narrow" w:hAnsi="Arial Narrow" w:cs="Times New Roman"/>
                <w:sz w:val="20"/>
              </w:rPr>
            </w:pPr>
            <w:r w:rsidRPr="004A1862">
              <w:rPr>
                <w:rFonts w:ascii="Arial Narrow" w:hAnsi="Arial Narrow" w:cs="Times New Roman"/>
                <w:sz w:val="20"/>
              </w:rPr>
              <w:t>-8.5 (3.14)</w:t>
            </w:r>
          </w:p>
        </w:tc>
        <w:tc>
          <w:tcPr>
            <w:tcW w:w="1276" w:type="dxa"/>
          </w:tcPr>
          <w:p w:rsidR="006F668C" w:rsidRPr="004A1862" w:rsidRDefault="006F668C" w:rsidP="00AF6D21">
            <w:pPr>
              <w:widowControl/>
              <w:jc w:val="center"/>
              <w:rPr>
                <w:rFonts w:ascii="Arial Narrow" w:hAnsi="Arial Narrow" w:cs="Times New Roman"/>
                <w:sz w:val="20"/>
              </w:rPr>
            </w:pPr>
            <w:r w:rsidRPr="004A1862">
              <w:rPr>
                <w:rFonts w:ascii="Arial Narrow" w:hAnsi="Arial Narrow" w:cs="Times New Roman"/>
                <w:sz w:val="20"/>
              </w:rPr>
              <w:t>-8.3 (3.09)</w:t>
            </w:r>
          </w:p>
        </w:tc>
        <w:tc>
          <w:tcPr>
            <w:tcW w:w="1701" w:type="dxa"/>
          </w:tcPr>
          <w:p w:rsidR="006F668C" w:rsidRPr="004A1862" w:rsidRDefault="006F668C" w:rsidP="00AF6D21">
            <w:pPr>
              <w:widowControl/>
              <w:jc w:val="center"/>
              <w:rPr>
                <w:rFonts w:ascii="Arial Narrow" w:hAnsi="Arial Narrow" w:cs="Times New Roman"/>
                <w:sz w:val="20"/>
              </w:rPr>
            </w:pPr>
            <w:r w:rsidRPr="004A1862">
              <w:rPr>
                <w:rFonts w:ascii="Arial Narrow" w:hAnsi="Arial Narrow" w:cs="Times New Roman"/>
                <w:sz w:val="20"/>
              </w:rPr>
              <w:t>-0.1 (-0.5, 0.2)</w:t>
            </w:r>
          </w:p>
        </w:tc>
        <w:tc>
          <w:tcPr>
            <w:tcW w:w="850" w:type="dxa"/>
          </w:tcPr>
          <w:p w:rsidR="006F668C" w:rsidRPr="004A1862" w:rsidRDefault="006F668C" w:rsidP="00AF6D21">
            <w:pPr>
              <w:widowControl/>
              <w:jc w:val="center"/>
              <w:rPr>
                <w:rFonts w:ascii="Arial Narrow" w:hAnsi="Arial Narrow" w:cs="Times New Roman"/>
                <w:sz w:val="20"/>
              </w:rPr>
            </w:pPr>
            <w:r w:rsidRPr="004A1862">
              <w:rPr>
                <w:rFonts w:ascii="Arial Narrow" w:hAnsi="Arial Narrow" w:cs="Times New Roman"/>
                <w:sz w:val="20"/>
              </w:rPr>
              <w:t>0.38</w:t>
            </w:r>
          </w:p>
        </w:tc>
      </w:tr>
    </w:tbl>
    <w:p w:rsidR="006F668C" w:rsidRPr="004A1862" w:rsidRDefault="006F668C" w:rsidP="00EB3E8C">
      <w:pPr>
        <w:pStyle w:val="TableFooter"/>
        <w:ind w:left="720"/>
        <w:rPr>
          <w:rFonts w:cs="Times New Roman"/>
          <w:sz w:val="20"/>
        </w:rPr>
      </w:pPr>
      <w:r w:rsidRPr="004A1862">
        <w:rPr>
          <w:rFonts w:cs="Times New Roman"/>
          <w:sz w:val="20"/>
        </w:rPr>
        <w:t xml:space="preserve">Abbreviations: BRIM = brimonidine tartrate 0.2%; BRINZ = </w:t>
      </w:r>
      <w:r w:rsidR="00BD082B" w:rsidRPr="004A1862">
        <w:rPr>
          <w:rFonts w:cs="Times New Roman"/>
          <w:sz w:val="20"/>
        </w:rPr>
        <w:t>brinzolamide</w:t>
      </w:r>
      <w:r w:rsidRPr="004A1862">
        <w:rPr>
          <w:rFonts w:cs="Times New Roman"/>
          <w:sz w:val="20"/>
        </w:rPr>
        <w:t xml:space="preserve"> 1%; CI = confidence interval; IOP = intra-ocular pressure; PP = per protocol; SD = standard deviation.</w:t>
      </w:r>
    </w:p>
    <w:p w:rsidR="006F668C" w:rsidRPr="004A1862" w:rsidRDefault="006F668C" w:rsidP="00EB3E8C">
      <w:pPr>
        <w:pStyle w:val="TableFooter"/>
        <w:ind w:firstLine="720"/>
        <w:rPr>
          <w:rFonts w:cs="Times New Roman"/>
          <w:sz w:val="20"/>
        </w:rPr>
      </w:pPr>
      <w:r w:rsidRPr="004A1862">
        <w:rPr>
          <w:sz w:val="20"/>
        </w:rPr>
        <w:t>Source: Table 31, p95 of the submission.</w:t>
      </w:r>
    </w:p>
    <w:p w:rsidR="00EB3E8C" w:rsidRPr="004A1862" w:rsidRDefault="00EB3E8C" w:rsidP="000C0E86">
      <w:pPr>
        <w:pStyle w:val="TableFooter"/>
        <w:tabs>
          <w:tab w:val="left" w:pos="284"/>
          <w:tab w:val="left" w:pos="709"/>
          <w:tab w:val="left" w:pos="993"/>
        </w:tabs>
        <w:rPr>
          <w:rFonts w:cs="Times New Roman"/>
          <w:sz w:val="20"/>
        </w:rPr>
      </w:pPr>
      <w:r w:rsidRPr="004A1862">
        <w:rPr>
          <w:rFonts w:cs="Times New Roman"/>
          <w:sz w:val="20"/>
          <w:vertAlign w:val="superscript"/>
        </w:rPr>
        <w:tab/>
      </w:r>
      <w:r w:rsidRPr="004A1862">
        <w:rPr>
          <w:rFonts w:cs="Times New Roman"/>
          <w:sz w:val="20"/>
          <w:vertAlign w:val="superscript"/>
        </w:rPr>
        <w:tab/>
      </w:r>
      <w:r w:rsidR="006F668C" w:rsidRPr="004A1862">
        <w:rPr>
          <w:rFonts w:cs="Times New Roman"/>
          <w:sz w:val="20"/>
          <w:vertAlign w:val="superscript"/>
        </w:rPr>
        <w:t>a</w:t>
      </w:r>
      <w:r w:rsidR="006F668C" w:rsidRPr="004A1862">
        <w:rPr>
          <w:rFonts w:cs="Times New Roman"/>
          <w:sz w:val="20"/>
          <w:vertAlign w:val="superscript"/>
        </w:rPr>
        <w:tab/>
      </w:r>
      <w:r w:rsidR="006F668C" w:rsidRPr="004A1862">
        <w:rPr>
          <w:rFonts w:cs="Times New Roman"/>
          <w:sz w:val="20"/>
        </w:rPr>
        <w:t>Diurnal IOP change averaged for time points 9am and +2 hours.</w:t>
      </w:r>
    </w:p>
    <w:p w:rsidR="006F668C" w:rsidRPr="004A1862" w:rsidRDefault="00EB3E8C" w:rsidP="000C0E86">
      <w:pPr>
        <w:pStyle w:val="TableFooter"/>
        <w:tabs>
          <w:tab w:val="left" w:pos="284"/>
          <w:tab w:val="left" w:pos="993"/>
          <w:tab w:val="left" w:pos="1134"/>
        </w:tabs>
        <w:ind w:left="709" w:hanging="709"/>
        <w:rPr>
          <w:rFonts w:cs="Times New Roman"/>
          <w:sz w:val="20"/>
        </w:rPr>
      </w:pPr>
      <w:r w:rsidRPr="004A1862">
        <w:rPr>
          <w:rFonts w:cs="Times New Roman"/>
          <w:sz w:val="20"/>
        </w:rPr>
        <w:tab/>
      </w:r>
      <w:r w:rsidRPr="004A1862">
        <w:rPr>
          <w:rFonts w:cs="Times New Roman"/>
          <w:sz w:val="20"/>
        </w:rPr>
        <w:tab/>
      </w:r>
      <w:r w:rsidR="006F668C" w:rsidRPr="004A1862">
        <w:rPr>
          <w:rFonts w:cs="Times New Roman"/>
          <w:bCs/>
          <w:sz w:val="20"/>
          <w:vertAlign w:val="superscript"/>
        </w:rPr>
        <w:t>b</w:t>
      </w:r>
      <w:r w:rsidR="006F668C" w:rsidRPr="004A1862">
        <w:rPr>
          <w:rFonts w:cs="Times New Roman"/>
          <w:bCs/>
          <w:sz w:val="20"/>
          <w:vertAlign w:val="superscript"/>
        </w:rPr>
        <w:tab/>
      </w:r>
      <w:r w:rsidR="006F668C" w:rsidRPr="004A1862">
        <w:rPr>
          <w:rFonts w:cs="TimesNewRomanPSMT"/>
          <w:snapToGrid/>
          <w:sz w:val="20"/>
          <w:lang w:eastAsia="en-AU"/>
        </w:rPr>
        <w:t>Estimates based on the least squares means derived from a stat</w:t>
      </w:r>
      <w:r w:rsidRPr="004A1862">
        <w:rPr>
          <w:rFonts w:cs="TimesNewRomanPSMT"/>
          <w:snapToGrid/>
          <w:sz w:val="20"/>
          <w:lang w:eastAsia="en-AU"/>
        </w:rPr>
        <w:t>istical model that accounts for</w:t>
      </w:r>
      <w:r w:rsidR="000C0E86" w:rsidRPr="004A1862">
        <w:rPr>
          <w:rFonts w:cs="TimesNewRomanPSMT"/>
          <w:snapToGrid/>
          <w:sz w:val="20"/>
          <w:lang w:eastAsia="en-AU"/>
        </w:rPr>
        <w:t xml:space="preserve"> </w:t>
      </w:r>
      <w:r w:rsidR="006F668C" w:rsidRPr="004A1862">
        <w:rPr>
          <w:rFonts w:cs="TimesNewRomanPSMT"/>
          <w:snapToGrid/>
          <w:sz w:val="20"/>
          <w:lang w:eastAsia="en-AU"/>
        </w:rPr>
        <w:t xml:space="preserve">correlated IOP </w:t>
      </w:r>
      <w:r w:rsidR="000C0E86" w:rsidRPr="004A1862">
        <w:rPr>
          <w:rFonts w:cs="TimesNewRomanPSMT"/>
          <w:snapToGrid/>
          <w:sz w:val="20"/>
          <w:lang w:eastAsia="en-AU"/>
        </w:rPr>
        <w:tab/>
      </w:r>
      <w:r w:rsidR="006F668C" w:rsidRPr="004A1862">
        <w:rPr>
          <w:rFonts w:cs="TimesNewRomanPSMT"/>
          <w:snapToGrid/>
          <w:sz w:val="20"/>
          <w:lang w:eastAsia="en-AU"/>
        </w:rPr>
        <w:t>measurements within patient where site and actual 9 AM baseline IOP stratum are in the model.</w:t>
      </w:r>
    </w:p>
    <w:p w:rsidR="006F668C" w:rsidRPr="004A1862" w:rsidRDefault="00EB3E8C" w:rsidP="000C0E86">
      <w:pPr>
        <w:tabs>
          <w:tab w:val="left" w:pos="284"/>
          <w:tab w:val="left" w:pos="709"/>
          <w:tab w:val="left" w:pos="993"/>
        </w:tabs>
        <w:rPr>
          <w:rFonts w:ascii="Arial Narrow" w:hAnsi="Arial Narrow"/>
          <w:sz w:val="20"/>
        </w:rPr>
      </w:pPr>
      <w:r w:rsidRPr="004A1862">
        <w:rPr>
          <w:rFonts w:ascii="Arial Narrow" w:hAnsi="Arial Narrow" w:cs="TimesNewRomanPSMT"/>
          <w:snapToGrid/>
          <w:sz w:val="20"/>
          <w:vertAlign w:val="superscript"/>
          <w:lang w:eastAsia="en-AU"/>
        </w:rPr>
        <w:tab/>
      </w:r>
      <w:r w:rsidRPr="004A1862">
        <w:rPr>
          <w:rFonts w:ascii="Arial Narrow" w:hAnsi="Arial Narrow" w:cs="TimesNewRomanPSMT"/>
          <w:snapToGrid/>
          <w:sz w:val="20"/>
          <w:vertAlign w:val="superscript"/>
          <w:lang w:eastAsia="en-AU"/>
        </w:rPr>
        <w:tab/>
      </w:r>
      <w:r w:rsidR="006F668C" w:rsidRPr="004A1862">
        <w:rPr>
          <w:rFonts w:ascii="Arial Narrow" w:hAnsi="Arial Narrow" w:cs="TimesNewRomanPSMT"/>
          <w:snapToGrid/>
          <w:sz w:val="20"/>
          <w:vertAlign w:val="superscript"/>
          <w:lang w:eastAsia="en-AU"/>
        </w:rPr>
        <w:t>c</w:t>
      </w:r>
      <w:r w:rsidR="006F668C" w:rsidRPr="004A1862">
        <w:rPr>
          <w:rFonts w:ascii="Arial Narrow" w:hAnsi="Arial Narrow" w:cs="TimesNewRomanPSMT"/>
          <w:snapToGrid/>
          <w:sz w:val="20"/>
          <w:vertAlign w:val="superscript"/>
          <w:lang w:eastAsia="en-AU"/>
        </w:rPr>
        <w:tab/>
      </w:r>
      <w:r w:rsidR="006F668C" w:rsidRPr="004A1862">
        <w:rPr>
          <w:rFonts w:ascii="Arial Narrow" w:hAnsi="Arial Narrow" w:cs="TimesNewRomanPSMT"/>
          <w:snapToGrid/>
          <w:sz w:val="20"/>
          <w:lang w:eastAsia="en-AU"/>
        </w:rPr>
        <w:t>The submission calculated this post-hoc. This is an unadjusted value.</w:t>
      </w:r>
    </w:p>
    <w:p w:rsidR="006F668C" w:rsidRPr="004A1862" w:rsidRDefault="006F668C" w:rsidP="006F668C">
      <w:pPr>
        <w:pStyle w:val="ListParagraph"/>
        <w:widowControl/>
        <w:rPr>
          <w:szCs w:val="22"/>
        </w:rPr>
      </w:pPr>
    </w:p>
    <w:p w:rsidR="00AD59EF" w:rsidRPr="004A1862" w:rsidRDefault="003F4203" w:rsidP="00EA6235">
      <w:pPr>
        <w:pStyle w:val="ListParagraph"/>
        <w:widowControl/>
        <w:numPr>
          <w:ilvl w:val="1"/>
          <w:numId w:val="11"/>
        </w:numPr>
      </w:pPr>
      <w:r w:rsidRPr="004A1862">
        <w:t xml:space="preserve">The mean difference between </w:t>
      </w:r>
      <w:r w:rsidR="005F5B00" w:rsidRPr="004A1862">
        <w:t xml:space="preserve">brinzolamide + brimonidine FDC </w:t>
      </w:r>
      <w:r w:rsidRPr="004A1862">
        <w:t xml:space="preserve">and </w:t>
      </w:r>
      <w:r w:rsidR="005F5B00" w:rsidRPr="004A1862">
        <w:rPr>
          <w:szCs w:val="22"/>
        </w:rPr>
        <w:t xml:space="preserve">brinzolamide </w:t>
      </w:r>
      <w:r w:rsidRPr="004A1862">
        <w:t xml:space="preserve">+ </w:t>
      </w:r>
      <w:r w:rsidR="005F5B00" w:rsidRPr="004A1862">
        <w:rPr>
          <w:szCs w:val="22"/>
        </w:rPr>
        <w:t>brimonidine</w:t>
      </w:r>
      <w:r w:rsidR="005F5B00" w:rsidRPr="004A1862">
        <w:t xml:space="preserve"> </w:t>
      </w:r>
      <w:r w:rsidRPr="004A1862">
        <w:t>used concomitantly, was -0.1 mmHg (9</w:t>
      </w:r>
      <w:r w:rsidR="00B82FB3" w:rsidRPr="004A1862">
        <w:t>5% CI: -0.5, 0.2), thus the non</w:t>
      </w:r>
      <w:r w:rsidR="00B82FB3" w:rsidRPr="004A1862">
        <w:noBreakHyphen/>
      </w:r>
      <w:r w:rsidRPr="004A1862">
        <w:t xml:space="preserve">inferiority criterion of +1.5 mmHg </w:t>
      </w:r>
      <w:r w:rsidR="006C2680" w:rsidRPr="004A1862">
        <w:rPr>
          <w:iCs/>
        </w:rPr>
        <w:t>(previously accepted by the PBAC)</w:t>
      </w:r>
      <w:r w:rsidR="006C2680" w:rsidRPr="004A1862">
        <w:rPr>
          <w:i/>
          <w:iCs/>
        </w:rPr>
        <w:t xml:space="preserve"> </w:t>
      </w:r>
      <w:r w:rsidRPr="004A1862">
        <w:t>was met.</w:t>
      </w:r>
      <w:r w:rsidR="005B156C" w:rsidRPr="004A1862">
        <w:t xml:space="preserve"> </w:t>
      </w:r>
      <w:r w:rsidR="008D5478" w:rsidRPr="004A1862">
        <w:t>E</w:t>
      </w:r>
      <w:r w:rsidR="005B156C" w:rsidRPr="004A1862">
        <w:t>fficacy was maintained over 6 months.</w:t>
      </w:r>
    </w:p>
    <w:p w:rsidR="00AD59EF" w:rsidRPr="004A1862" w:rsidRDefault="00AD59EF" w:rsidP="00AD59EF">
      <w:pPr>
        <w:ind w:left="720"/>
      </w:pPr>
    </w:p>
    <w:p w:rsidR="006C2680" w:rsidRPr="004A1862" w:rsidRDefault="006C2680" w:rsidP="00EA6235">
      <w:pPr>
        <w:pStyle w:val="ListParagraph"/>
        <w:widowControl/>
        <w:numPr>
          <w:ilvl w:val="1"/>
          <w:numId w:val="11"/>
        </w:numPr>
      </w:pPr>
      <w:r w:rsidRPr="004A1862">
        <w:t>A</w:t>
      </w:r>
      <w:r w:rsidR="005B156C" w:rsidRPr="004A1862">
        <w:t>n ITT</w:t>
      </w:r>
      <w:r w:rsidRPr="004A1862">
        <w:t xml:space="preserve"> comparison of </w:t>
      </w:r>
      <w:r w:rsidR="005F5B00" w:rsidRPr="004A1862">
        <w:t xml:space="preserve">brinzolamide + brimonidine FDC </w:t>
      </w:r>
      <w:r w:rsidRPr="004A1862">
        <w:t xml:space="preserve">and its constituent products used as monotherapy indicated statistically significant </w:t>
      </w:r>
      <w:r w:rsidR="00470F40" w:rsidRPr="004A1862">
        <w:t xml:space="preserve">differences between treatments, which for the most part, favoured </w:t>
      </w:r>
      <w:r w:rsidR="005F5B00" w:rsidRPr="004A1862">
        <w:t>brinzolamide + brimonidine FDC</w:t>
      </w:r>
      <w:r w:rsidR="00470F40" w:rsidRPr="004A1862">
        <w:t>.</w:t>
      </w:r>
      <w:r w:rsidR="005B156C" w:rsidRPr="004A1862">
        <w:t xml:space="preserve"> The ESC </w:t>
      </w:r>
      <w:r w:rsidR="009F3217" w:rsidRPr="004A1862">
        <w:t xml:space="preserve">noted that mean diurnal reduction in IOP from baseline at 3 months was greater in the </w:t>
      </w:r>
      <w:r w:rsidR="005F5B00" w:rsidRPr="004A1862">
        <w:t xml:space="preserve">brinzolamide + brimonidine FDC </w:t>
      </w:r>
      <w:r w:rsidR="009F3217" w:rsidRPr="004A1862">
        <w:t xml:space="preserve">arm compared with either </w:t>
      </w:r>
      <w:r w:rsidR="005F5B00" w:rsidRPr="004A1862">
        <w:rPr>
          <w:szCs w:val="22"/>
        </w:rPr>
        <w:t xml:space="preserve">brinzolamide </w:t>
      </w:r>
      <w:r w:rsidR="00B82FB3" w:rsidRPr="004A1862">
        <w:t>(</w:t>
      </w:r>
      <w:r w:rsidR="00B82FB3" w:rsidRPr="004A1862">
        <w:noBreakHyphen/>
      </w:r>
      <w:r w:rsidR="009F3217" w:rsidRPr="004A1862">
        <w:t xml:space="preserve">1.4mmHg, p&lt;0.0001) or </w:t>
      </w:r>
      <w:r w:rsidR="005F5B00" w:rsidRPr="004A1862">
        <w:rPr>
          <w:szCs w:val="22"/>
        </w:rPr>
        <w:t>brimonidine</w:t>
      </w:r>
      <w:r w:rsidR="005F5B00" w:rsidRPr="004A1862">
        <w:t xml:space="preserve"> </w:t>
      </w:r>
      <w:r w:rsidR="00333FE3" w:rsidRPr="004A1862">
        <w:t>monotherapy</w:t>
      </w:r>
      <w:r w:rsidR="009F3217" w:rsidRPr="004A1862">
        <w:t xml:space="preserve"> (-1.5mmHg, p&lt;0.0001) based on a prior specified clinical relevance cut-off of &gt;1mmHg difference.</w:t>
      </w:r>
    </w:p>
    <w:p w:rsidR="006C2680" w:rsidRPr="004A1862" w:rsidRDefault="006C2680" w:rsidP="00AD59EF">
      <w:pPr>
        <w:ind w:left="720"/>
      </w:pPr>
    </w:p>
    <w:p w:rsidR="00013F44" w:rsidRPr="004A1862" w:rsidRDefault="006C2680" w:rsidP="00EA6235">
      <w:pPr>
        <w:pStyle w:val="ListParagraph"/>
        <w:widowControl/>
        <w:numPr>
          <w:ilvl w:val="1"/>
          <w:numId w:val="11"/>
        </w:numPr>
        <w:rPr>
          <w:i/>
          <w:iCs/>
          <w:szCs w:val="22"/>
        </w:rPr>
      </w:pPr>
      <w:r w:rsidRPr="004A1862">
        <w:rPr>
          <w:iCs/>
        </w:rPr>
        <w:t xml:space="preserve">The submission did not present an indirect comparison of </w:t>
      </w:r>
      <w:r w:rsidR="005F5B00" w:rsidRPr="004A1862">
        <w:t xml:space="preserve">brinzolamide + brimonidine FDC </w:t>
      </w:r>
      <w:r w:rsidRPr="004A1862">
        <w:rPr>
          <w:iCs/>
        </w:rPr>
        <w:t xml:space="preserve">and </w:t>
      </w:r>
      <w:r w:rsidR="005F5B00" w:rsidRPr="004A1862">
        <w:rPr>
          <w:bCs/>
          <w:iCs/>
        </w:rPr>
        <w:t xml:space="preserve">brinzolamide + timolol </w:t>
      </w:r>
      <w:r w:rsidR="005F5B00" w:rsidRPr="004A1862">
        <w:rPr>
          <w:iCs/>
        </w:rPr>
        <w:t>FDC</w:t>
      </w:r>
      <w:r w:rsidRPr="004A1862">
        <w:rPr>
          <w:iCs/>
        </w:rPr>
        <w:t>; citing exchangeability issues (</w:t>
      </w:r>
      <w:r w:rsidRPr="004A1862">
        <w:rPr>
          <w:bCs/>
          <w:iCs/>
        </w:rPr>
        <w:t xml:space="preserve">differences observed in the trial populations and differences in the mean reduction in IOP observed for patients treated with </w:t>
      </w:r>
      <w:r w:rsidR="005F5B00" w:rsidRPr="004A1862">
        <w:rPr>
          <w:szCs w:val="22"/>
        </w:rPr>
        <w:t xml:space="preserve">brinzolamide </w:t>
      </w:r>
      <w:r w:rsidRPr="004A1862">
        <w:rPr>
          <w:bCs/>
          <w:iCs/>
        </w:rPr>
        <w:t>monotherapy</w:t>
      </w:r>
      <w:r w:rsidRPr="004A1862">
        <w:rPr>
          <w:iCs/>
        </w:rPr>
        <w:t xml:space="preserve">) between the trials as precluding the conduct of an informative indirect comparison.  </w:t>
      </w:r>
      <w:r w:rsidR="00B40DC3" w:rsidRPr="004A1862">
        <w:rPr>
          <w:iCs/>
        </w:rPr>
        <w:t>Whilst</w:t>
      </w:r>
      <w:r w:rsidR="009D2734" w:rsidRPr="004A1862">
        <w:rPr>
          <w:iCs/>
        </w:rPr>
        <w:t xml:space="preserve"> </w:t>
      </w:r>
      <w:r w:rsidR="003B51D3" w:rsidRPr="004A1862">
        <w:rPr>
          <w:iCs/>
        </w:rPr>
        <w:t>th</w:t>
      </w:r>
      <w:r w:rsidR="00E83C1C" w:rsidRPr="004A1862">
        <w:rPr>
          <w:iCs/>
        </w:rPr>
        <w:t xml:space="preserve">e </w:t>
      </w:r>
      <w:r w:rsidR="003B51D3" w:rsidRPr="004A1862">
        <w:rPr>
          <w:iCs/>
        </w:rPr>
        <w:t>sponsor interpret</w:t>
      </w:r>
      <w:r w:rsidR="00150681" w:rsidRPr="004A1862">
        <w:rPr>
          <w:iCs/>
        </w:rPr>
        <w:t>ed</w:t>
      </w:r>
      <w:r w:rsidR="00B40DC3" w:rsidRPr="004A1862">
        <w:rPr>
          <w:iCs/>
        </w:rPr>
        <w:t xml:space="preserve"> the</w:t>
      </w:r>
      <w:r w:rsidR="00EA590C" w:rsidRPr="004A1862">
        <w:rPr>
          <w:iCs/>
        </w:rPr>
        <w:t xml:space="preserve"> provided</w:t>
      </w:r>
      <w:r w:rsidR="00B40DC3" w:rsidRPr="004A1862">
        <w:rPr>
          <w:iCs/>
        </w:rPr>
        <w:t xml:space="preserve"> </w:t>
      </w:r>
      <w:r w:rsidR="00150681" w:rsidRPr="004A1862">
        <w:rPr>
          <w:iCs/>
        </w:rPr>
        <w:t>supplementary</w:t>
      </w:r>
      <w:r w:rsidR="00B40DC3" w:rsidRPr="004A1862">
        <w:rPr>
          <w:iCs/>
        </w:rPr>
        <w:t xml:space="preserve"> comparison </w:t>
      </w:r>
      <w:r w:rsidR="00150681" w:rsidRPr="004A1862">
        <w:rPr>
          <w:iCs/>
        </w:rPr>
        <w:t>a</w:t>
      </w:r>
      <w:r w:rsidR="00B40DC3" w:rsidRPr="004A1862">
        <w:rPr>
          <w:iCs/>
        </w:rPr>
        <w:t>s</w:t>
      </w:r>
      <w:r w:rsidR="00150681" w:rsidRPr="004A1862">
        <w:rPr>
          <w:iCs/>
        </w:rPr>
        <w:t xml:space="preserve"> implying </w:t>
      </w:r>
      <w:r w:rsidR="00E83C1C" w:rsidRPr="004A1862">
        <w:rPr>
          <w:iCs/>
        </w:rPr>
        <w:t>that</w:t>
      </w:r>
      <w:r w:rsidR="003B51D3" w:rsidRPr="004A1862">
        <w:rPr>
          <w:iCs/>
        </w:rPr>
        <w:t xml:space="preserve"> </w:t>
      </w:r>
      <w:r w:rsidR="005F5B00" w:rsidRPr="004A1862">
        <w:t xml:space="preserve">brinzolamide + brimonidine FDC </w:t>
      </w:r>
      <w:r w:rsidR="003B51D3" w:rsidRPr="004A1862">
        <w:rPr>
          <w:iCs/>
        </w:rPr>
        <w:t xml:space="preserve">is at least as efficacious as </w:t>
      </w:r>
      <w:r w:rsidR="005F5B00" w:rsidRPr="004A1862">
        <w:rPr>
          <w:bCs/>
          <w:iCs/>
        </w:rPr>
        <w:t xml:space="preserve">brinzolamide + timolol </w:t>
      </w:r>
      <w:r w:rsidR="005F5B00" w:rsidRPr="004A1862">
        <w:rPr>
          <w:iCs/>
        </w:rPr>
        <w:t>FDC</w:t>
      </w:r>
      <w:r w:rsidR="00150681" w:rsidRPr="004A1862">
        <w:rPr>
          <w:iCs/>
        </w:rPr>
        <w:t>, the ESC considered that this</w:t>
      </w:r>
      <w:r w:rsidR="00E83C1C" w:rsidRPr="004A1862">
        <w:rPr>
          <w:iCs/>
        </w:rPr>
        <w:t xml:space="preserve"> was not justified as</w:t>
      </w:r>
      <w:r w:rsidR="003B51D3" w:rsidRPr="004A1862">
        <w:rPr>
          <w:iCs/>
        </w:rPr>
        <w:t xml:space="preserve"> this comparison </w:t>
      </w:r>
      <w:r w:rsidR="00E83C1C" w:rsidRPr="004A1862">
        <w:rPr>
          <w:iCs/>
        </w:rPr>
        <w:t>was</w:t>
      </w:r>
      <w:r w:rsidR="003B51D3" w:rsidRPr="004A1862">
        <w:rPr>
          <w:iCs/>
        </w:rPr>
        <w:t xml:space="preserve"> entirely qualitative.</w:t>
      </w:r>
      <w:r w:rsidR="003B51D3" w:rsidRPr="004A1862">
        <w:rPr>
          <w:i/>
          <w:iCs/>
        </w:rPr>
        <w:t xml:space="preserve"> </w:t>
      </w:r>
      <w:r w:rsidR="00EA6235" w:rsidRPr="004A1862">
        <w:rPr>
          <w:iCs/>
        </w:rPr>
        <w:t>T</w:t>
      </w:r>
      <w:r w:rsidRPr="004A1862">
        <w:rPr>
          <w:iCs/>
        </w:rPr>
        <w:t>he results of the indirect comparison conducted during the evaluation indicate that there were no statistically significant differences between the treatments (</w:t>
      </w:r>
      <w:r w:rsidR="009C1B6A" w:rsidRPr="004A1862">
        <w:rPr>
          <w:iCs/>
        </w:rPr>
        <w:t>however</w:t>
      </w:r>
      <w:r w:rsidRPr="004A1862">
        <w:rPr>
          <w:iCs/>
        </w:rPr>
        <w:t xml:space="preserve"> </w:t>
      </w:r>
      <w:r w:rsidR="005F5B00" w:rsidRPr="004A1862">
        <w:t xml:space="preserve">brinzolamide + brimonidine FDC </w:t>
      </w:r>
      <w:r w:rsidRPr="004A1862">
        <w:rPr>
          <w:iCs/>
        </w:rPr>
        <w:t xml:space="preserve">consistently failed to </w:t>
      </w:r>
      <w:r w:rsidRPr="004A1862">
        <w:rPr>
          <w:bCs/>
          <w:iCs/>
        </w:rPr>
        <w:t xml:space="preserve">meet the non-inferiority criterion when compared with </w:t>
      </w:r>
      <w:r w:rsidR="005F5B00" w:rsidRPr="004A1862">
        <w:rPr>
          <w:bCs/>
          <w:iCs/>
        </w:rPr>
        <w:t xml:space="preserve">brinzolamide + timolol </w:t>
      </w:r>
      <w:r w:rsidR="005F5B00" w:rsidRPr="004A1862">
        <w:rPr>
          <w:iCs/>
        </w:rPr>
        <w:t>FDC</w:t>
      </w:r>
      <w:r w:rsidR="005F5B00" w:rsidRPr="004A1862">
        <w:rPr>
          <w:bCs/>
          <w:iCs/>
        </w:rPr>
        <w:t xml:space="preserve"> </w:t>
      </w:r>
      <w:r w:rsidRPr="004A1862">
        <w:rPr>
          <w:bCs/>
          <w:iCs/>
        </w:rPr>
        <w:t>as the upper confidence limits exceed +1.5 mmHg at all timepoints assessed).</w:t>
      </w:r>
      <w:r w:rsidR="00013F44" w:rsidRPr="004A1862">
        <w:rPr>
          <w:bCs/>
          <w:iCs/>
        </w:rPr>
        <w:t xml:space="preserve">  </w:t>
      </w:r>
      <w:r w:rsidR="00E83C1C" w:rsidRPr="004A1862">
        <w:rPr>
          <w:bCs/>
          <w:iCs/>
        </w:rPr>
        <w:t xml:space="preserve">The ESC </w:t>
      </w:r>
      <w:r w:rsidR="00FE4650" w:rsidRPr="004A1862">
        <w:rPr>
          <w:bCs/>
          <w:iCs/>
        </w:rPr>
        <w:t>noted</w:t>
      </w:r>
      <w:r w:rsidR="00E83C1C" w:rsidRPr="004A1862">
        <w:rPr>
          <w:bCs/>
          <w:iCs/>
        </w:rPr>
        <w:t xml:space="preserve"> that unadjusted confounding</w:t>
      </w:r>
      <w:r w:rsidR="00FE4650" w:rsidRPr="004A1862">
        <w:rPr>
          <w:bCs/>
          <w:iCs/>
        </w:rPr>
        <w:t xml:space="preserve"> </w:t>
      </w:r>
      <w:r w:rsidR="00C91B7A" w:rsidRPr="004A1862">
        <w:rPr>
          <w:bCs/>
          <w:iCs/>
        </w:rPr>
        <w:t xml:space="preserve">(systematic </w:t>
      </w:r>
      <w:r w:rsidR="00FE4650" w:rsidRPr="004A1862">
        <w:rPr>
          <w:bCs/>
          <w:iCs/>
        </w:rPr>
        <w:t>differences in prognostic factors between trials</w:t>
      </w:r>
      <w:r w:rsidR="00C91B7A" w:rsidRPr="004A1862">
        <w:rPr>
          <w:bCs/>
          <w:iCs/>
        </w:rPr>
        <w:t>)</w:t>
      </w:r>
      <w:r w:rsidR="00FE4650" w:rsidRPr="004A1862">
        <w:rPr>
          <w:bCs/>
          <w:iCs/>
        </w:rPr>
        <w:t xml:space="preserve"> </w:t>
      </w:r>
      <w:r w:rsidR="00C91B7A" w:rsidRPr="004A1862">
        <w:rPr>
          <w:bCs/>
          <w:iCs/>
        </w:rPr>
        <w:t>makes it difficult to separate genuine non-inferiority from the non-significance secondary to confounder imbalance</w:t>
      </w:r>
      <w:r w:rsidR="00FE4650" w:rsidRPr="004A1862">
        <w:rPr>
          <w:bCs/>
          <w:iCs/>
        </w:rPr>
        <w:t>.</w:t>
      </w:r>
    </w:p>
    <w:p w:rsidR="0004299C" w:rsidRPr="004A1862" w:rsidRDefault="0004299C">
      <w:pPr>
        <w:widowControl/>
        <w:jc w:val="left"/>
        <w:rPr>
          <w:szCs w:val="22"/>
        </w:rPr>
      </w:pPr>
    </w:p>
    <w:p w:rsidR="00B60939" w:rsidRPr="004A1862" w:rsidRDefault="00B60939" w:rsidP="00A463A1">
      <w:pPr>
        <w:pStyle w:val="Heading2"/>
        <w:rPr>
          <w:i/>
        </w:rPr>
      </w:pPr>
      <w:bookmarkStart w:id="11" w:name="_Toc419189229"/>
      <w:r w:rsidRPr="004A1862">
        <w:rPr>
          <w:i/>
        </w:rPr>
        <w:t>Comparative harms</w:t>
      </w:r>
      <w:bookmarkEnd w:id="11"/>
    </w:p>
    <w:p w:rsidR="000C0E86" w:rsidRPr="004A1862" w:rsidRDefault="000C0E86" w:rsidP="000C0E86"/>
    <w:p w:rsidR="00C91FCB" w:rsidRPr="004A1862" w:rsidRDefault="00C91FCB" w:rsidP="00A463A1">
      <w:pPr>
        <w:pStyle w:val="ListParagraph"/>
        <w:widowControl/>
        <w:numPr>
          <w:ilvl w:val="1"/>
          <w:numId w:val="11"/>
        </w:numPr>
        <w:rPr>
          <w:szCs w:val="22"/>
        </w:rPr>
      </w:pPr>
      <w:r w:rsidRPr="004A1862">
        <w:rPr>
          <w:szCs w:val="22"/>
        </w:rPr>
        <w:t>The advers</w:t>
      </w:r>
      <w:r w:rsidR="00A463A1" w:rsidRPr="004A1862">
        <w:rPr>
          <w:szCs w:val="22"/>
        </w:rPr>
        <w:t>e events reported in</w:t>
      </w:r>
      <w:r w:rsidRPr="004A1862">
        <w:rPr>
          <w:szCs w:val="22"/>
        </w:rPr>
        <w:t xml:space="preserve"> Trial C-10-041 up to month 6 are summarised </w:t>
      </w:r>
      <w:r w:rsidR="00962869" w:rsidRPr="004A1862">
        <w:rPr>
          <w:szCs w:val="22"/>
        </w:rPr>
        <w:t>below</w:t>
      </w:r>
      <w:r w:rsidRPr="004A1862">
        <w:rPr>
          <w:szCs w:val="22"/>
        </w:rPr>
        <w:t>.</w:t>
      </w:r>
    </w:p>
    <w:p w:rsidR="00C91FCB" w:rsidRPr="004A1862" w:rsidRDefault="00C91FCB" w:rsidP="00C91FCB">
      <w:pPr>
        <w:pStyle w:val="ListParagraph"/>
        <w:widowControl/>
        <w:rPr>
          <w:szCs w:val="22"/>
        </w:rPr>
      </w:pPr>
    </w:p>
    <w:p w:rsidR="002C312B" w:rsidRPr="004A1862" w:rsidRDefault="002C312B" w:rsidP="00A463A1">
      <w:pPr>
        <w:ind w:left="709"/>
        <w:rPr>
          <w:rFonts w:ascii="Arial Narrow" w:hAnsi="Arial Narrow"/>
          <w:b/>
          <w:bCs/>
          <w:sz w:val="20"/>
        </w:rPr>
      </w:pPr>
      <w:r w:rsidRPr="004A1862">
        <w:rPr>
          <w:rFonts w:ascii="Arial Narrow" w:hAnsi="Arial Narrow"/>
          <w:b/>
          <w:bCs/>
          <w:sz w:val="20"/>
        </w:rPr>
        <w:t xml:space="preserve">Table </w:t>
      </w:r>
      <w:r w:rsidR="0029000E" w:rsidRPr="004A1862">
        <w:rPr>
          <w:rFonts w:ascii="Arial Narrow" w:hAnsi="Arial Narrow"/>
          <w:b/>
          <w:bCs/>
          <w:sz w:val="20"/>
        </w:rPr>
        <w:t>5</w:t>
      </w:r>
      <w:r w:rsidRPr="004A1862">
        <w:rPr>
          <w:rFonts w:ascii="Arial Narrow" w:hAnsi="Arial Narrow"/>
          <w:b/>
          <w:bCs/>
          <w:sz w:val="20"/>
        </w:rPr>
        <w:t>: Summary of adverse events in Trial C-10-041</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37"/>
        <w:gridCol w:w="1275"/>
        <w:gridCol w:w="1281"/>
        <w:gridCol w:w="1480"/>
        <w:gridCol w:w="1490"/>
      </w:tblGrid>
      <w:tr w:rsidR="00AB634F" w:rsidRPr="004A1862" w:rsidTr="006C2680">
        <w:tc>
          <w:tcPr>
            <w:tcW w:w="1696" w:type="pct"/>
            <w:vAlign w:val="center"/>
          </w:tcPr>
          <w:p w:rsidR="00713BD2" w:rsidRPr="004A1862" w:rsidRDefault="00713BD2" w:rsidP="00AF6D21">
            <w:pPr>
              <w:tabs>
                <w:tab w:val="left" w:pos="150"/>
              </w:tabs>
              <w:jc w:val="left"/>
              <w:rPr>
                <w:rFonts w:ascii="Arial Narrow" w:hAnsi="Arial Narrow"/>
                <w:sz w:val="20"/>
              </w:rPr>
            </w:pPr>
            <w:r w:rsidRPr="004A1862">
              <w:rPr>
                <w:rFonts w:ascii="Arial Narrow" w:hAnsi="Arial Narrow"/>
                <w:b/>
                <w:sz w:val="20"/>
              </w:rPr>
              <w:t>Trial ID</w:t>
            </w:r>
          </w:p>
        </w:tc>
        <w:tc>
          <w:tcPr>
            <w:tcW w:w="762" w:type="pct"/>
            <w:vAlign w:val="center"/>
          </w:tcPr>
          <w:p w:rsidR="00713BD2" w:rsidRPr="004A1862" w:rsidRDefault="00713BD2" w:rsidP="00AF6D21">
            <w:pPr>
              <w:jc w:val="center"/>
              <w:rPr>
                <w:rFonts w:ascii="Arial Narrow" w:hAnsi="Arial Narrow"/>
                <w:b/>
                <w:sz w:val="20"/>
                <w:lang w:val="pt-PT"/>
              </w:rPr>
            </w:pPr>
            <w:r w:rsidRPr="004A1862">
              <w:rPr>
                <w:rFonts w:ascii="Arial Narrow" w:hAnsi="Arial Narrow"/>
                <w:b/>
                <w:sz w:val="20"/>
                <w:lang w:val="pt-PT"/>
              </w:rPr>
              <w:t>Simbrinza</w:t>
            </w:r>
          </w:p>
          <w:p w:rsidR="00713BD2" w:rsidRPr="004A1862" w:rsidRDefault="00713BD2" w:rsidP="00AF6D21">
            <w:pPr>
              <w:jc w:val="center"/>
              <w:rPr>
                <w:rFonts w:ascii="Arial Narrow" w:hAnsi="Arial Narrow"/>
                <w:sz w:val="20"/>
                <w:lang w:val="pt-PT"/>
              </w:rPr>
            </w:pPr>
            <w:r w:rsidRPr="004A1862">
              <w:rPr>
                <w:rFonts w:ascii="Arial Narrow" w:hAnsi="Arial Narrow"/>
                <w:b/>
                <w:sz w:val="20"/>
                <w:lang w:val="pt-PT"/>
              </w:rPr>
              <w:t>n with event/N (%)</w:t>
            </w:r>
          </w:p>
        </w:tc>
        <w:tc>
          <w:tcPr>
            <w:tcW w:w="766" w:type="pct"/>
            <w:vAlign w:val="center"/>
          </w:tcPr>
          <w:p w:rsidR="00713BD2" w:rsidRPr="004A1862" w:rsidRDefault="00713BD2" w:rsidP="00AF6D21">
            <w:pPr>
              <w:jc w:val="center"/>
              <w:rPr>
                <w:rFonts w:ascii="Arial Narrow" w:hAnsi="Arial Narrow"/>
                <w:b/>
                <w:sz w:val="20"/>
              </w:rPr>
            </w:pPr>
            <w:r w:rsidRPr="004A1862">
              <w:rPr>
                <w:rFonts w:ascii="Arial Narrow" w:hAnsi="Arial Narrow"/>
                <w:b/>
                <w:sz w:val="20"/>
              </w:rPr>
              <w:t>BRINZ + BRIM</w:t>
            </w:r>
          </w:p>
          <w:p w:rsidR="00713BD2" w:rsidRPr="004A1862" w:rsidRDefault="00713BD2" w:rsidP="00AF6D21">
            <w:pPr>
              <w:jc w:val="center"/>
              <w:rPr>
                <w:rFonts w:ascii="Arial Narrow" w:hAnsi="Arial Narrow"/>
                <w:sz w:val="20"/>
              </w:rPr>
            </w:pPr>
            <w:r w:rsidRPr="004A1862">
              <w:rPr>
                <w:rFonts w:ascii="Arial Narrow" w:hAnsi="Arial Narrow"/>
                <w:b/>
                <w:sz w:val="20"/>
              </w:rPr>
              <w:t>n with event/N (%)</w:t>
            </w:r>
          </w:p>
        </w:tc>
        <w:tc>
          <w:tcPr>
            <w:tcW w:w="885" w:type="pct"/>
            <w:vAlign w:val="center"/>
          </w:tcPr>
          <w:p w:rsidR="00713BD2" w:rsidRPr="004A1862" w:rsidRDefault="00713BD2" w:rsidP="00AF6D21">
            <w:pPr>
              <w:jc w:val="center"/>
              <w:rPr>
                <w:rFonts w:ascii="Arial Narrow" w:hAnsi="Arial Narrow"/>
                <w:b/>
                <w:sz w:val="20"/>
              </w:rPr>
            </w:pPr>
            <w:r w:rsidRPr="004A1862">
              <w:rPr>
                <w:rFonts w:ascii="Arial Narrow" w:hAnsi="Arial Narrow"/>
                <w:b/>
                <w:sz w:val="20"/>
              </w:rPr>
              <w:t>RD</w:t>
            </w:r>
          </w:p>
          <w:p w:rsidR="00713BD2" w:rsidRPr="004A1862" w:rsidRDefault="00713BD2" w:rsidP="00AF6D21">
            <w:pPr>
              <w:jc w:val="center"/>
              <w:rPr>
                <w:rFonts w:ascii="Arial Narrow" w:hAnsi="Arial Narrow"/>
                <w:b/>
                <w:sz w:val="20"/>
              </w:rPr>
            </w:pPr>
            <w:r w:rsidRPr="004A1862">
              <w:rPr>
                <w:rFonts w:ascii="Arial Narrow" w:hAnsi="Arial Narrow"/>
                <w:b/>
                <w:sz w:val="20"/>
              </w:rPr>
              <w:t>(95% CI)</w:t>
            </w:r>
          </w:p>
        </w:tc>
        <w:tc>
          <w:tcPr>
            <w:tcW w:w="891" w:type="pct"/>
            <w:vAlign w:val="center"/>
          </w:tcPr>
          <w:p w:rsidR="00713BD2" w:rsidRPr="004A1862" w:rsidRDefault="00713BD2" w:rsidP="00AB634F">
            <w:pPr>
              <w:jc w:val="center"/>
              <w:rPr>
                <w:rFonts w:ascii="Arial Narrow" w:hAnsi="Arial Narrow"/>
                <w:b/>
                <w:sz w:val="20"/>
              </w:rPr>
            </w:pPr>
            <w:r w:rsidRPr="004A1862">
              <w:rPr>
                <w:rFonts w:ascii="Arial Narrow" w:hAnsi="Arial Narrow"/>
                <w:b/>
                <w:sz w:val="20"/>
              </w:rPr>
              <w:t>RR</w:t>
            </w:r>
          </w:p>
          <w:p w:rsidR="00713BD2" w:rsidRPr="004A1862" w:rsidRDefault="00713BD2" w:rsidP="00AB634F">
            <w:pPr>
              <w:jc w:val="center"/>
              <w:rPr>
                <w:rFonts w:ascii="Arial Narrow" w:hAnsi="Arial Narrow"/>
                <w:sz w:val="20"/>
              </w:rPr>
            </w:pPr>
            <w:r w:rsidRPr="004A1862">
              <w:rPr>
                <w:rFonts w:ascii="Arial Narrow" w:hAnsi="Arial Narrow"/>
                <w:b/>
                <w:sz w:val="20"/>
              </w:rPr>
              <w:t>(95% CI)</w:t>
            </w:r>
          </w:p>
        </w:tc>
      </w:tr>
      <w:tr w:rsidR="00AB634F" w:rsidRPr="004A1862" w:rsidTr="006C2680">
        <w:tc>
          <w:tcPr>
            <w:tcW w:w="1696" w:type="pct"/>
            <w:vAlign w:val="center"/>
          </w:tcPr>
          <w:p w:rsidR="00713BD2" w:rsidRPr="004A1862" w:rsidRDefault="00713BD2" w:rsidP="00AF6D21">
            <w:pPr>
              <w:tabs>
                <w:tab w:val="left" w:pos="150"/>
              </w:tabs>
              <w:jc w:val="left"/>
              <w:rPr>
                <w:rFonts w:ascii="Arial Narrow" w:hAnsi="Arial Narrow"/>
                <w:sz w:val="20"/>
              </w:rPr>
            </w:pPr>
          </w:p>
          <w:p w:rsidR="00713BD2" w:rsidRPr="004A1862" w:rsidRDefault="00713BD2" w:rsidP="00AF6D21">
            <w:pPr>
              <w:tabs>
                <w:tab w:val="left" w:pos="150"/>
              </w:tabs>
              <w:jc w:val="left"/>
              <w:rPr>
                <w:rFonts w:ascii="Arial Narrow" w:hAnsi="Arial Narrow"/>
                <w:sz w:val="20"/>
              </w:rPr>
            </w:pPr>
            <w:r w:rsidRPr="004A1862">
              <w:rPr>
                <w:rFonts w:ascii="Arial Narrow" w:hAnsi="Arial Narrow"/>
                <w:sz w:val="20"/>
              </w:rPr>
              <w:tab/>
              <w:t>All TEAEs</w:t>
            </w:r>
          </w:p>
          <w:p w:rsidR="00713BD2" w:rsidRPr="004A1862" w:rsidRDefault="004A1862" w:rsidP="00AF6D21">
            <w:pPr>
              <w:tabs>
                <w:tab w:val="left" w:pos="150"/>
              </w:tabs>
              <w:jc w:val="left"/>
              <w:rPr>
                <w:rFonts w:ascii="Arial Narrow" w:hAnsi="Arial Narrow"/>
                <w:sz w:val="20"/>
              </w:rPr>
            </w:pPr>
            <w:r>
              <w:rPr>
                <w:rFonts w:ascii="Arial Narrow" w:hAnsi="Arial Narrow"/>
                <w:sz w:val="20"/>
              </w:rPr>
              <w:t xml:space="preserve"> </w:t>
            </w:r>
            <w:r w:rsidR="00713BD2" w:rsidRPr="004A1862">
              <w:rPr>
                <w:rFonts w:ascii="Arial Narrow" w:hAnsi="Arial Narrow"/>
                <w:sz w:val="20"/>
              </w:rPr>
              <w:t xml:space="preserve"> </w:t>
            </w:r>
            <w:r>
              <w:rPr>
                <w:rFonts w:ascii="Arial Narrow" w:hAnsi="Arial Narrow"/>
                <w:sz w:val="20"/>
              </w:rPr>
              <w:t xml:space="preserve"> </w:t>
            </w:r>
            <w:r w:rsidR="00713BD2" w:rsidRPr="004A1862">
              <w:rPr>
                <w:rFonts w:ascii="Arial Narrow" w:hAnsi="Arial Narrow"/>
                <w:sz w:val="20"/>
              </w:rPr>
              <w:t>All TEAEs related to treatment</w:t>
            </w:r>
          </w:p>
          <w:p w:rsidR="00713BD2" w:rsidRPr="004A1862" w:rsidRDefault="00713BD2" w:rsidP="00AF6D21">
            <w:pPr>
              <w:tabs>
                <w:tab w:val="left" w:pos="150"/>
              </w:tabs>
              <w:jc w:val="left"/>
              <w:rPr>
                <w:rFonts w:ascii="Arial Narrow" w:hAnsi="Arial Narrow"/>
                <w:sz w:val="20"/>
              </w:rPr>
            </w:pPr>
            <w:r w:rsidRPr="004A1862">
              <w:rPr>
                <w:rFonts w:ascii="Arial Narrow" w:hAnsi="Arial Narrow"/>
                <w:sz w:val="20"/>
              </w:rPr>
              <w:t xml:space="preserve">   Nonfatal SAE</w:t>
            </w:r>
          </w:p>
          <w:p w:rsidR="00713BD2" w:rsidRPr="004A1862" w:rsidRDefault="00713BD2" w:rsidP="00AF6D21">
            <w:pPr>
              <w:tabs>
                <w:tab w:val="left" w:pos="150"/>
              </w:tabs>
              <w:jc w:val="left"/>
              <w:rPr>
                <w:rFonts w:ascii="Arial Narrow" w:hAnsi="Arial Narrow"/>
                <w:sz w:val="20"/>
              </w:rPr>
            </w:pPr>
            <w:r w:rsidRPr="004A1862">
              <w:rPr>
                <w:rFonts w:ascii="Arial Narrow" w:hAnsi="Arial Narrow"/>
                <w:sz w:val="20"/>
              </w:rPr>
              <w:t xml:space="preserve">   Nonfatal SAE related to treatment</w:t>
            </w:r>
          </w:p>
          <w:p w:rsidR="00713BD2" w:rsidRPr="004A1862" w:rsidRDefault="00713BD2" w:rsidP="00AF6D21">
            <w:pPr>
              <w:tabs>
                <w:tab w:val="left" w:pos="150"/>
              </w:tabs>
              <w:jc w:val="left"/>
              <w:rPr>
                <w:rFonts w:ascii="Arial Narrow" w:hAnsi="Arial Narrow"/>
                <w:sz w:val="20"/>
              </w:rPr>
            </w:pPr>
            <w:r w:rsidRPr="004A1862">
              <w:rPr>
                <w:rFonts w:ascii="Arial Narrow" w:hAnsi="Arial Narrow"/>
                <w:sz w:val="20"/>
              </w:rPr>
              <w:tab/>
              <w:t>Number discontinued due to AEs</w:t>
            </w:r>
          </w:p>
          <w:p w:rsidR="00713BD2" w:rsidRPr="004A1862" w:rsidRDefault="00713BD2" w:rsidP="00AF6D21">
            <w:pPr>
              <w:tabs>
                <w:tab w:val="left" w:pos="150"/>
              </w:tabs>
              <w:jc w:val="left"/>
              <w:rPr>
                <w:rFonts w:ascii="Arial Narrow" w:hAnsi="Arial Narrow"/>
                <w:sz w:val="20"/>
              </w:rPr>
            </w:pPr>
            <w:r w:rsidRPr="004A1862">
              <w:rPr>
                <w:rFonts w:ascii="Arial Narrow" w:hAnsi="Arial Narrow"/>
                <w:sz w:val="20"/>
              </w:rPr>
              <w:t xml:space="preserve">   Number discontinued due to AEs      </w:t>
            </w:r>
            <w:r w:rsidRPr="004A1862">
              <w:rPr>
                <w:rFonts w:ascii="Arial Narrow" w:hAnsi="Arial Narrow"/>
                <w:sz w:val="20"/>
              </w:rPr>
              <w:br/>
              <w:t xml:space="preserve">   which are related to treatment</w:t>
            </w:r>
          </w:p>
          <w:p w:rsidR="00713BD2" w:rsidRPr="004A1862" w:rsidRDefault="00713BD2" w:rsidP="00AF6D21">
            <w:pPr>
              <w:tabs>
                <w:tab w:val="left" w:pos="150"/>
              </w:tabs>
              <w:jc w:val="left"/>
              <w:rPr>
                <w:rFonts w:ascii="Arial Narrow" w:hAnsi="Arial Narrow"/>
                <w:sz w:val="20"/>
              </w:rPr>
            </w:pPr>
            <w:r w:rsidRPr="004A1862">
              <w:rPr>
                <w:rFonts w:ascii="Arial Narrow" w:hAnsi="Arial Narrow"/>
                <w:sz w:val="20"/>
              </w:rPr>
              <w:tab/>
              <w:t>Number died</w:t>
            </w:r>
          </w:p>
        </w:tc>
        <w:tc>
          <w:tcPr>
            <w:tcW w:w="762" w:type="pct"/>
            <w:vAlign w:val="center"/>
          </w:tcPr>
          <w:p w:rsidR="00713BD2" w:rsidRPr="004A1862" w:rsidRDefault="00713BD2" w:rsidP="00AF6D21">
            <w:pPr>
              <w:jc w:val="center"/>
              <w:rPr>
                <w:rFonts w:ascii="Arial Narrow" w:hAnsi="Arial Narrow"/>
                <w:sz w:val="20"/>
              </w:rPr>
            </w:pPr>
          </w:p>
          <w:p w:rsidR="00713BD2" w:rsidRPr="004A1862" w:rsidRDefault="00713BD2" w:rsidP="00AF6D21">
            <w:pPr>
              <w:jc w:val="center"/>
              <w:rPr>
                <w:rFonts w:ascii="Arial Narrow" w:hAnsi="Arial Narrow"/>
                <w:sz w:val="20"/>
              </w:rPr>
            </w:pPr>
            <w:r w:rsidRPr="004A1862">
              <w:rPr>
                <w:rFonts w:ascii="Arial Narrow" w:hAnsi="Arial Narrow"/>
                <w:sz w:val="20"/>
              </w:rPr>
              <w:t>176/452 (38.9)</w:t>
            </w:r>
          </w:p>
          <w:p w:rsidR="00713BD2" w:rsidRPr="004A1862" w:rsidRDefault="00713BD2" w:rsidP="00AF6D21">
            <w:pPr>
              <w:jc w:val="center"/>
              <w:rPr>
                <w:rFonts w:ascii="Arial Narrow" w:hAnsi="Arial Narrow"/>
                <w:sz w:val="20"/>
              </w:rPr>
            </w:pPr>
            <w:r w:rsidRPr="004A1862">
              <w:rPr>
                <w:rFonts w:ascii="Arial Narrow" w:hAnsi="Arial Narrow"/>
                <w:sz w:val="20"/>
              </w:rPr>
              <w:t>106/452 (23.5)</w:t>
            </w:r>
          </w:p>
          <w:p w:rsidR="00713BD2" w:rsidRPr="004A1862" w:rsidRDefault="00713BD2" w:rsidP="00AF6D21">
            <w:pPr>
              <w:jc w:val="center"/>
              <w:rPr>
                <w:rFonts w:ascii="Arial Narrow" w:hAnsi="Arial Narrow"/>
                <w:sz w:val="20"/>
              </w:rPr>
            </w:pPr>
            <w:r w:rsidRPr="004A1862">
              <w:rPr>
                <w:rFonts w:ascii="Arial Narrow" w:hAnsi="Arial Narrow"/>
                <w:sz w:val="20"/>
              </w:rPr>
              <w:t>11/452 (2.4)</w:t>
            </w:r>
          </w:p>
          <w:p w:rsidR="00713BD2" w:rsidRPr="004A1862" w:rsidRDefault="00713BD2" w:rsidP="00AF6D21">
            <w:pPr>
              <w:jc w:val="center"/>
              <w:rPr>
                <w:rFonts w:ascii="Arial Narrow" w:hAnsi="Arial Narrow"/>
                <w:sz w:val="20"/>
              </w:rPr>
            </w:pPr>
            <w:r w:rsidRPr="004A1862">
              <w:rPr>
                <w:rFonts w:ascii="Arial Narrow" w:hAnsi="Arial Narrow"/>
                <w:sz w:val="20"/>
              </w:rPr>
              <w:t>2/452 (0.4)</w:t>
            </w:r>
          </w:p>
          <w:p w:rsidR="00713BD2" w:rsidRPr="004A1862" w:rsidRDefault="00713BD2" w:rsidP="00AF6D21">
            <w:pPr>
              <w:jc w:val="center"/>
              <w:rPr>
                <w:rFonts w:ascii="Arial Narrow" w:hAnsi="Arial Narrow"/>
                <w:sz w:val="20"/>
              </w:rPr>
            </w:pPr>
            <w:r w:rsidRPr="004A1862">
              <w:rPr>
                <w:rFonts w:ascii="Arial Narrow" w:hAnsi="Arial Narrow"/>
                <w:sz w:val="20"/>
              </w:rPr>
              <w:t>48/452 (10.6)</w:t>
            </w:r>
          </w:p>
          <w:p w:rsidR="00713BD2" w:rsidRPr="004A1862" w:rsidRDefault="00713BD2" w:rsidP="00AF6D21">
            <w:pPr>
              <w:jc w:val="center"/>
              <w:rPr>
                <w:rFonts w:ascii="Arial Narrow" w:hAnsi="Arial Narrow"/>
                <w:sz w:val="20"/>
              </w:rPr>
            </w:pPr>
            <w:r w:rsidRPr="004A1862">
              <w:rPr>
                <w:rFonts w:ascii="Arial Narrow" w:hAnsi="Arial Narrow"/>
                <w:sz w:val="20"/>
              </w:rPr>
              <w:t>45/452 (10.0)</w:t>
            </w:r>
          </w:p>
          <w:p w:rsidR="00713BD2" w:rsidRPr="004A1862" w:rsidRDefault="00713BD2" w:rsidP="00AF6D21">
            <w:pPr>
              <w:jc w:val="center"/>
              <w:rPr>
                <w:rFonts w:ascii="Arial Narrow" w:hAnsi="Arial Narrow"/>
                <w:sz w:val="20"/>
              </w:rPr>
            </w:pPr>
          </w:p>
          <w:p w:rsidR="00713BD2" w:rsidRPr="004A1862" w:rsidRDefault="00713BD2" w:rsidP="00AF6D21">
            <w:pPr>
              <w:jc w:val="center"/>
              <w:rPr>
                <w:rFonts w:ascii="Arial Narrow" w:hAnsi="Arial Narrow"/>
                <w:sz w:val="20"/>
              </w:rPr>
            </w:pPr>
            <w:r w:rsidRPr="004A1862">
              <w:rPr>
                <w:rFonts w:ascii="Arial Narrow" w:hAnsi="Arial Narrow"/>
                <w:sz w:val="20"/>
              </w:rPr>
              <w:t>0</w:t>
            </w:r>
          </w:p>
        </w:tc>
        <w:tc>
          <w:tcPr>
            <w:tcW w:w="766" w:type="pct"/>
            <w:vAlign w:val="center"/>
          </w:tcPr>
          <w:p w:rsidR="00713BD2" w:rsidRPr="004A1862" w:rsidRDefault="00713BD2" w:rsidP="00AF6D21">
            <w:pPr>
              <w:jc w:val="center"/>
              <w:rPr>
                <w:rFonts w:ascii="Arial Narrow" w:hAnsi="Arial Narrow"/>
                <w:sz w:val="20"/>
              </w:rPr>
            </w:pPr>
          </w:p>
          <w:p w:rsidR="00713BD2" w:rsidRPr="004A1862" w:rsidRDefault="00713BD2" w:rsidP="00AF6D21">
            <w:pPr>
              <w:jc w:val="center"/>
              <w:rPr>
                <w:rFonts w:ascii="Arial Narrow" w:hAnsi="Arial Narrow"/>
                <w:sz w:val="20"/>
              </w:rPr>
            </w:pPr>
            <w:r w:rsidRPr="004A1862">
              <w:rPr>
                <w:rFonts w:ascii="Arial Narrow" w:hAnsi="Arial Narrow"/>
                <w:sz w:val="20"/>
              </w:rPr>
              <w:t>181/436 (41.5)</w:t>
            </w:r>
          </w:p>
          <w:p w:rsidR="00713BD2" w:rsidRPr="004A1862" w:rsidRDefault="00713BD2" w:rsidP="00AF6D21">
            <w:pPr>
              <w:jc w:val="center"/>
              <w:rPr>
                <w:rFonts w:ascii="Arial Narrow" w:hAnsi="Arial Narrow"/>
                <w:sz w:val="20"/>
              </w:rPr>
            </w:pPr>
            <w:r w:rsidRPr="004A1862">
              <w:rPr>
                <w:rFonts w:ascii="Arial Narrow" w:hAnsi="Arial Narrow"/>
                <w:sz w:val="20"/>
              </w:rPr>
              <w:t>117/436 (26.8)</w:t>
            </w:r>
          </w:p>
          <w:p w:rsidR="00713BD2" w:rsidRPr="004A1862" w:rsidRDefault="00713BD2" w:rsidP="00AF6D21">
            <w:pPr>
              <w:jc w:val="center"/>
              <w:rPr>
                <w:rFonts w:ascii="Arial Narrow" w:hAnsi="Arial Narrow"/>
                <w:sz w:val="20"/>
              </w:rPr>
            </w:pPr>
            <w:r w:rsidRPr="004A1862">
              <w:rPr>
                <w:rFonts w:ascii="Arial Narrow" w:hAnsi="Arial Narrow"/>
                <w:sz w:val="20"/>
              </w:rPr>
              <w:t>7/436 (1.6)</w:t>
            </w:r>
          </w:p>
          <w:p w:rsidR="00713BD2" w:rsidRPr="004A1862" w:rsidRDefault="00713BD2" w:rsidP="00AF6D21">
            <w:pPr>
              <w:jc w:val="center"/>
              <w:rPr>
                <w:rFonts w:ascii="Arial Narrow" w:hAnsi="Arial Narrow"/>
                <w:sz w:val="20"/>
              </w:rPr>
            </w:pPr>
            <w:r w:rsidRPr="004A1862">
              <w:rPr>
                <w:rFonts w:ascii="Arial Narrow" w:hAnsi="Arial Narrow"/>
                <w:sz w:val="20"/>
              </w:rPr>
              <w:t>0</w:t>
            </w:r>
          </w:p>
          <w:p w:rsidR="00713BD2" w:rsidRPr="004A1862" w:rsidRDefault="00713BD2" w:rsidP="00AF6D21">
            <w:pPr>
              <w:jc w:val="center"/>
              <w:rPr>
                <w:rFonts w:ascii="Arial Narrow" w:hAnsi="Arial Narrow"/>
                <w:sz w:val="20"/>
              </w:rPr>
            </w:pPr>
            <w:r w:rsidRPr="004A1862">
              <w:rPr>
                <w:rFonts w:ascii="Arial Narrow" w:hAnsi="Arial Narrow"/>
                <w:sz w:val="20"/>
              </w:rPr>
              <w:t>58/436 (13.3)</w:t>
            </w:r>
          </w:p>
          <w:p w:rsidR="00713BD2" w:rsidRPr="004A1862" w:rsidRDefault="00713BD2" w:rsidP="00AF6D21">
            <w:pPr>
              <w:jc w:val="center"/>
              <w:rPr>
                <w:rFonts w:ascii="Arial Narrow" w:hAnsi="Arial Narrow"/>
                <w:sz w:val="20"/>
              </w:rPr>
            </w:pPr>
            <w:r w:rsidRPr="004A1862">
              <w:rPr>
                <w:rFonts w:ascii="Arial Narrow" w:hAnsi="Arial Narrow"/>
                <w:sz w:val="20"/>
              </w:rPr>
              <w:t>51/436 (11.7)</w:t>
            </w:r>
          </w:p>
          <w:p w:rsidR="00713BD2" w:rsidRPr="004A1862" w:rsidRDefault="00713BD2" w:rsidP="00AF6D21">
            <w:pPr>
              <w:jc w:val="center"/>
              <w:rPr>
                <w:rFonts w:ascii="Arial Narrow" w:hAnsi="Arial Narrow"/>
                <w:sz w:val="20"/>
              </w:rPr>
            </w:pPr>
          </w:p>
          <w:p w:rsidR="00713BD2" w:rsidRPr="004A1862" w:rsidRDefault="00713BD2" w:rsidP="00AF6D21">
            <w:pPr>
              <w:jc w:val="center"/>
              <w:rPr>
                <w:rFonts w:ascii="Arial Narrow" w:hAnsi="Arial Narrow"/>
                <w:sz w:val="20"/>
              </w:rPr>
            </w:pPr>
            <w:r w:rsidRPr="004A1862">
              <w:rPr>
                <w:rFonts w:ascii="Arial Narrow" w:hAnsi="Arial Narrow"/>
                <w:sz w:val="20"/>
              </w:rPr>
              <w:t>1/436 (0.2)</w:t>
            </w:r>
          </w:p>
        </w:tc>
        <w:tc>
          <w:tcPr>
            <w:tcW w:w="885" w:type="pct"/>
            <w:vAlign w:val="center"/>
          </w:tcPr>
          <w:p w:rsidR="00713BD2" w:rsidRPr="004A1862" w:rsidRDefault="00713BD2" w:rsidP="00AF6D21">
            <w:pPr>
              <w:jc w:val="center"/>
              <w:rPr>
                <w:rFonts w:ascii="Arial Narrow" w:hAnsi="Arial Narrow"/>
                <w:sz w:val="20"/>
              </w:rPr>
            </w:pPr>
          </w:p>
          <w:p w:rsidR="00713BD2" w:rsidRPr="004A1862" w:rsidRDefault="00713BD2" w:rsidP="00AF6D21">
            <w:pPr>
              <w:jc w:val="center"/>
              <w:rPr>
                <w:rFonts w:ascii="Arial Narrow" w:hAnsi="Arial Narrow"/>
                <w:sz w:val="20"/>
              </w:rPr>
            </w:pPr>
            <w:r w:rsidRPr="004A1862">
              <w:rPr>
                <w:rFonts w:ascii="Arial Narrow" w:hAnsi="Arial Narrow"/>
                <w:sz w:val="20"/>
              </w:rPr>
              <w:t>-0.03 (-0.09, 0.04)</w:t>
            </w:r>
          </w:p>
          <w:p w:rsidR="00713BD2" w:rsidRPr="004A1862" w:rsidRDefault="00713BD2" w:rsidP="00AF6D21">
            <w:pPr>
              <w:jc w:val="center"/>
              <w:rPr>
                <w:rFonts w:ascii="Arial Narrow" w:hAnsi="Arial Narrow"/>
                <w:sz w:val="20"/>
              </w:rPr>
            </w:pPr>
            <w:r w:rsidRPr="004A1862">
              <w:rPr>
                <w:rFonts w:ascii="Arial Narrow" w:hAnsi="Arial Narrow"/>
                <w:sz w:val="20"/>
              </w:rPr>
              <w:t>-0.03  (-0.09, 0.02)</w:t>
            </w:r>
          </w:p>
          <w:p w:rsidR="00713BD2" w:rsidRPr="004A1862" w:rsidRDefault="00713BD2" w:rsidP="00AF6D21">
            <w:pPr>
              <w:jc w:val="center"/>
              <w:rPr>
                <w:rFonts w:ascii="Arial Narrow" w:hAnsi="Arial Narrow"/>
                <w:sz w:val="20"/>
              </w:rPr>
            </w:pPr>
            <w:r w:rsidRPr="004A1862">
              <w:rPr>
                <w:rFonts w:ascii="Arial Narrow" w:hAnsi="Arial Narrow"/>
                <w:sz w:val="20"/>
              </w:rPr>
              <w:t>0.01 (-0.01, 0.03)</w:t>
            </w:r>
          </w:p>
          <w:p w:rsidR="00713BD2" w:rsidRPr="004A1862" w:rsidRDefault="00713BD2" w:rsidP="00AF6D21">
            <w:pPr>
              <w:jc w:val="center"/>
              <w:rPr>
                <w:rFonts w:ascii="Arial Narrow" w:hAnsi="Arial Narrow"/>
                <w:sz w:val="20"/>
              </w:rPr>
            </w:pPr>
            <w:r w:rsidRPr="004A1862">
              <w:rPr>
                <w:rFonts w:ascii="Arial Narrow" w:hAnsi="Arial Narrow"/>
                <w:sz w:val="20"/>
              </w:rPr>
              <w:t>0.00 (0.00, 0.01)</w:t>
            </w:r>
          </w:p>
          <w:p w:rsidR="00713BD2" w:rsidRPr="004A1862" w:rsidRDefault="00713BD2" w:rsidP="00AF6D21">
            <w:pPr>
              <w:jc w:val="center"/>
              <w:rPr>
                <w:rFonts w:ascii="Arial Narrow" w:hAnsi="Arial Narrow"/>
                <w:sz w:val="20"/>
              </w:rPr>
            </w:pPr>
            <w:r w:rsidRPr="004A1862">
              <w:rPr>
                <w:rFonts w:ascii="Arial Narrow" w:hAnsi="Arial Narrow"/>
                <w:sz w:val="20"/>
              </w:rPr>
              <w:t>-0.03 (-0.07, 0.02)</w:t>
            </w:r>
          </w:p>
          <w:p w:rsidR="00713BD2" w:rsidRPr="004A1862" w:rsidRDefault="00713BD2" w:rsidP="00AF6D21">
            <w:pPr>
              <w:jc w:val="center"/>
              <w:rPr>
                <w:rFonts w:ascii="Arial Narrow" w:hAnsi="Arial Narrow"/>
                <w:sz w:val="20"/>
              </w:rPr>
            </w:pPr>
            <w:r w:rsidRPr="004A1862">
              <w:rPr>
                <w:rFonts w:ascii="Arial Narrow" w:hAnsi="Arial Narrow"/>
                <w:sz w:val="20"/>
              </w:rPr>
              <w:t>-0.02 (-0.06, 0.02)</w:t>
            </w:r>
          </w:p>
          <w:p w:rsidR="00713BD2" w:rsidRPr="004A1862" w:rsidRDefault="00713BD2" w:rsidP="00AF6D21">
            <w:pPr>
              <w:jc w:val="center"/>
              <w:rPr>
                <w:rFonts w:ascii="Arial Narrow" w:hAnsi="Arial Narrow"/>
                <w:sz w:val="20"/>
              </w:rPr>
            </w:pPr>
          </w:p>
          <w:p w:rsidR="00713BD2" w:rsidRPr="004A1862" w:rsidRDefault="00713BD2" w:rsidP="00AF6D21">
            <w:pPr>
              <w:jc w:val="center"/>
              <w:rPr>
                <w:rFonts w:ascii="Arial Narrow" w:hAnsi="Arial Narrow"/>
                <w:sz w:val="20"/>
              </w:rPr>
            </w:pPr>
            <w:r w:rsidRPr="004A1862">
              <w:rPr>
                <w:rFonts w:ascii="Arial Narrow" w:hAnsi="Arial Narrow"/>
                <w:sz w:val="20"/>
              </w:rPr>
              <w:t>0.00 (-0.01, 0.00)</w:t>
            </w:r>
          </w:p>
        </w:tc>
        <w:tc>
          <w:tcPr>
            <w:tcW w:w="891" w:type="pct"/>
            <w:vAlign w:val="center"/>
          </w:tcPr>
          <w:p w:rsidR="00713BD2" w:rsidRPr="004A1862" w:rsidRDefault="00713BD2" w:rsidP="00AB634F">
            <w:pPr>
              <w:jc w:val="center"/>
              <w:rPr>
                <w:rFonts w:ascii="Arial Narrow" w:hAnsi="Arial Narrow"/>
                <w:sz w:val="20"/>
              </w:rPr>
            </w:pPr>
          </w:p>
          <w:p w:rsidR="00713BD2" w:rsidRPr="004A1862" w:rsidRDefault="00713BD2" w:rsidP="00AB634F">
            <w:pPr>
              <w:jc w:val="center"/>
              <w:rPr>
                <w:rFonts w:ascii="Arial Narrow" w:hAnsi="Arial Narrow"/>
                <w:sz w:val="20"/>
              </w:rPr>
            </w:pPr>
            <w:r w:rsidRPr="004A1862">
              <w:rPr>
                <w:rFonts w:ascii="Arial Narrow" w:hAnsi="Arial Narrow"/>
                <w:sz w:val="20"/>
              </w:rPr>
              <w:t>0.94 (0.80, 1.10)</w:t>
            </w:r>
          </w:p>
          <w:p w:rsidR="00713BD2" w:rsidRPr="004A1862" w:rsidRDefault="00713BD2" w:rsidP="00AB634F">
            <w:pPr>
              <w:jc w:val="center"/>
              <w:rPr>
                <w:rFonts w:ascii="Arial Narrow" w:hAnsi="Arial Narrow"/>
                <w:sz w:val="20"/>
              </w:rPr>
            </w:pPr>
            <w:r w:rsidRPr="004A1862">
              <w:rPr>
                <w:rFonts w:ascii="Arial Narrow" w:hAnsi="Arial Narrow"/>
                <w:sz w:val="20"/>
              </w:rPr>
              <w:t>0.87 (0.70, 1.10)</w:t>
            </w:r>
          </w:p>
          <w:p w:rsidR="00713BD2" w:rsidRPr="004A1862" w:rsidRDefault="00713BD2" w:rsidP="00AB634F">
            <w:pPr>
              <w:jc w:val="center"/>
              <w:rPr>
                <w:rFonts w:ascii="Arial Narrow" w:hAnsi="Arial Narrow"/>
                <w:sz w:val="20"/>
              </w:rPr>
            </w:pPr>
            <w:r w:rsidRPr="004A1862">
              <w:rPr>
                <w:rFonts w:ascii="Arial Narrow" w:hAnsi="Arial Narrow"/>
                <w:sz w:val="20"/>
              </w:rPr>
              <w:t>1.52 (0.59, 3.87)</w:t>
            </w:r>
          </w:p>
          <w:p w:rsidR="00713BD2" w:rsidRPr="004A1862" w:rsidRDefault="00713BD2" w:rsidP="00AB634F">
            <w:pPr>
              <w:jc w:val="center"/>
              <w:rPr>
                <w:rFonts w:ascii="Arial Narrow" w:hAnsi="Arial Narrow"/>
                <w:sz w:val="20"/>
              </w:rPr>
            </w:pPr>
            <w:r w:rsidRPr="004A1862">
              <w:rPr>
                <w:rFonts w:ascii="Arial Narrow" w:hAnsi="Arial Narrow"/>
                <w:sz w:val="20"/>
              </w:rPr>
              <w:t>4.82 (0.23, 100.18)</w:t>
            </w:r>
          </w:p>
          <w:p w:rsidR="00713BD2" w:rsidRPr="004A1862" w:rsidRDefault="00713BD2" w:rsidP="00AB634F">
            <w:pPr>
              <w:jc w:val="center"/>
              <w:rPr>
                <w:rFonts w:ascii="Arial Narrow" w:hAnsi="Arial Narrow"/>
                <w:sz w:val="20"/>
              </w:rPr>
            </w:pPr>
            <w:r w:rsidRPr="004A1862">
              <w:rPr>
                <w:rFonts w:ascii="Arial Narrow" w:hAnsi="Arial Narrow"/>
                <w:sz w:val="20"/>
              </w:rPr>
              <w:t>0.80 (0.56, 1.14)</w:t>
            </w:r>
          </w:p>
          <w:p w:rsidR="00713BD2" w:rsidRPr="004A1862" w:rsidRDefault="00713BD2" w:rsidP="00AB634F">
            <w:pPr>
              <w:jc w:val="center"/>
              <w:rPr>
                <w:rFonts w:ascii="Arial Narrow" w:hAnsi="Arial Narrow"/>
                <w:sz w:val="20"/>
              </w:rPr>
            </w:pPr>
            <w:r w:rsidRPr="004A1862">
              <w:rPr>
                <w:rFonts w:ascii="Arial Narrow" w:hAnsi="Arial Narrow"/>
                <w:sz w:val="20"/>
              </w:rPr>
              <w:t>0.85 (0.58, 1.24)</w:t>
            </w:r>
          </w:p>
          <w:p w:rsidR="00713BD2" w:rsidRPr="004A1862" w:rsidRDefault="00713BD2" w:rsidP="00AB634F">
            <w:pPr>
              <w:jc w:val="center"/>
              <w:rPr>
                <w:rFonts w:ascii="Arial Narrow" w:hAnsi="Arial Narrow"/>
                <w:sz w:val="20"/>
              </w:rPr>
            </w:pPr>
          </w:p>
          <w:p w:rsidR="00713BD2" w:rsidRPr="004A1862" w:rsidRDefault="00713BD2" w:rsidP="00AB634F">
            <w:pPr>
              <w:jc w:val="center"/>
              <w:rPr>
                <w:rFonts w:ascii="Arial Narrow" w:hAnsi="Arial Narrow"/>
                <w:sz w:val="20"/>
              </w:rPr>
            </w:pPr>
            <w:r w:rsidRPr="004A1862">
              <w:rPr>
                <w:rFonts w:ascii="Arial Narrow" w:hAnsi="Arial Narrow"/>
                <w:sz w:val="20"/>
              </w:rPr>
              <w:t>0.32 (0.01, 7.87)</w:t>
            </w:r>
          </w:p>
        </w:tc>
      </w:tr>
    </w:tbl>
    <w:p w:rsidR="00917AE8" w:rsidRPr="004A1862" w:rsidRDefault="00917AE8" w:rsidP="00917AE8">
      <w:pPr>
        <w:pStyle w:val="TableFooter"/>
        <w:ind w:left="720"/>
      </w:pPr>
      <w:r w:rsidRPr="004A1862">
        <w:rPr>
          <w:rFonts w:cs="Times New Roman"/>
          <w:szCs w:val="18"/>
        </w:rPr>
        <w:t xml:space="preserve">Abbreviations: AE = adverse event; BRIM = brimonidine tartrate 0.2%; BRINZ = </w:t>
      </w:r>
      <w:r w:rsidR="00BD082B" w:rsidRPr="004A1862">
        <w:rPr>
          <w:rFonts w:cs="Times New Roman"/>
          <w:szCs w:val="18"/>
        </w:rPr>
        <w:t>brinzolamide</w:t>
      </w:r>
      <w:r w:rsidRPr="004A1862">
        <w:rPr>
          <w:rFonts w:cs="Times New Roman"/>
          <w:szCs w:val="18"/>
        </w:rPr>
        <w:t xml:space="preserve"> 1%; NE = not estimable; SAE = serious adverse event; TEAE = treatment emergent adverse event.</w:t>
      </w:r>
    </w:p>
    <w:p w:rsidR="00917AE8" w:rsidRPr="004A1862" w:rsidRDefault="00917AE8" w:rsidP="00917AE8">
      <w:pPr>
        <w:pStyle w:val="TableFooter"/>
        <w:ind w:firstLine="720"/>
      </w:pPr>
      <w:r w:rsidRPr="004A1862">
        <w:t>Source: Tables 36, 48, pp. 102, 118 of the submission.</w:t>
      </w:r>
    </w:p>
    <w:p w:rsidR="00B60939" w:rsidRPr="004A1862" w:rsidRDefault="00B60939" w:rsidP="007F1017">
      <w:pPr>
        <w:pStyle w:val="ListParagraph"/>
        <w:ind w:left="0"/>
        <w:rPr>
          <w:szCs w:val="22"/>
        </w:rPr>
      </w:pPr>
    </w:p>
    <w:p w:rsidR="00A23FB7" w:rsidRPr="004A1862" w:rsidRDefault="00FE4650" w:rsidP="005E0E97">
      <w:pPr>
        <w:pStyle w:val="ListParagraph"/>
        <w:widowControl/>
        <w:numPr>
          <w:ilvl w:val="1"/>
          <w:numId w:val="11"/>
        </w:numPr>
      </w:pPr>
      <w:r w:rsidRPr="004A1862">
        <w:t xml:space="preserve">The ESC noted that whilst TEAEs and related discontinuations were numerically higher in the concomitant </w:t>
      </w:r>
      <w:r w:rsidR="005F5B00" w:rsidRPr="004A1862">
        <w:rPr>
          <w:szCs w:val="22"/>
        </w:rPr>
        <w:t xml:space="preserve">brinzolamide </w:t>
      </w:r>
      <w:r w:rsidRPr="004A1862">
        <w:t xml:space="preserve">+ </w:t>
      </w:r>
      <w:r w:rsidR="005F5B00" w:rsidRPr="004A1862">
        <w:rPr>
          <w:szCs w:val="22"/>
        </w:rPr>
        <w:t>brimonidine</w:t>
      </w:r>
      <w:r w:rsidR="005F5B00" w:rsidRPr="004A1862">
        <w:t xml:space="preserve"> </w:t>
      </w:r>
      <w:r w:rsidRPr="004A1862">
        <w:t>comparator arm, there were no statistically significant differences in any</w:t>
      </w:r>
      <w:r w:rsidR="00A23FB7" w:rsidRPr="004A1862">
        <w:t xml:space="preserve"> key adverse events between </w:t>
      </w:r>
      <w:r w:rsidR="005F5B00" w:rsidRPr="004A1862">
        <w:t xml:space="preserve">brinzolamide + brimonidine FDC </w:t>
      </w:r>
      <w:r w:rsidR="00A23FB7" w:rsidRPr="004A1862">
        <w:t xml:space="preserve">and </w:t>
      </w:r>
      <w:r w:rsidR="005F5B00" w:rsidRPr="004A1862">
        <w:rPr>
          <w:szCs w:val="22"/>
        </w:rPr>
        <w:t xml:space="preserve">brinzolamide </w:t>
      </w:r>
      <w:r w:rsidR="00A23FB7" w:rsidRPr="004A1862">
        <w:t xml:space="preserve">plus </w:t>
      </w:r>
      <w:r w:rsidR="005F5B00" w:rsidRPr="004A1862">
        <w:rPr>
          <w:szCs w:val="22"/>
        </w:rPr>
        <w:t>brimonidine</w:t>
      </w:r>
      <w:r w:rsidR="005F5B00" w:rsidRPr="004A1862">
        <w:t xml:space="preserve"> </w:t>
      </w:r>
      <w:r w:rsidR="00A23FB7" w:rsidRPr="004A1862">
        <w:t>administered concomitantly</w:t>
      </w:r>
      <w:r w:rsidR="009338D4" w:rsidRPr="004A1862">
        <w:t xml:space="preserve"> in Trial C-10-041</w:t>
      </w:r>
      <w:r w:rsidR="00A23FB7" w:rsidRPr="004A1862">
        <w:t>.</w:t>
      </w:r>
    </w:p>
    <w:p w:rsidR="00A23FB7" w:rsidRPr="004A1862" w:rsidRDefault="00A23FB7" w:rsidP="00A23FB7"/>
    <w:p w:rsidR="00A23FB7" w:rsidRPr="004A1862" w:rsidRDefault="00A23FB7" w:rsidP="005E0E97">
      <w:pPr>
        <w:pStyle w:val="ListParagraph"/>
        <w:widowControl/>
        <w:numPr>
          <w:ilvl w:val="1"/>
          <w:numId w:val="11"/>
        </w:numPr>
        <w:rPr>
          <w:szCs w:val="22"/>
        </w:rPr>
      </w:pPr>
      <w:r w:rsidRPr="004A1862">
        <w:t xml:space="preserve">In the supportive Trial C-10-040, all key adverse events were similar between </w:t>
      </w:r>
      <w:r w:rsidR="005F5B00" w:rsidRPr="004A1862">
        <w:t xml:space="preserve">brinzolamide + brimonidine FDC </w:t>
      </w:r>
      <w:r w:rsidRPr="004A1862">
        <w:t xml:space="preserve">and </w:t>
      </w:r>
      <w:r w:rsidR="005F5B00" w:rsidRPr="004A1862">
        <w:rPr>
          <w:szCs w:val="22"/>
        </w:rPr>
        <w:t xml:space="preserve">brinzolamide </w:t>
      </w:r>
      <w:r w:rsidRPr="004A1862">
        <w:t>monotherapy.  Although the proportion of patients with adverse events w</w:t>
      </w:r>
      <w:r w:rsidR="006C2680" w:rsidRPr="004A1862">
        <w:t>as</w:t>
      </w:r>
      <w:r w:rsidRPr="004A1862">
        <w:t xml:space="preserve"> slightly higher for </w:t>
      </w:r>
      <w:r w:rsidR="005F5B00" w:rsidRPr="004A1862">
        <w:t xml:space="preserve">brinzolamide + brimonidine FDC </w:t>
      </w:r>
      <w:r w:rsidRPr="004A1862">
        <w:t xml:space="preserve">compared to </w:t>
      </w:r>
      <w:r w:rsidR="005F5B00" w:rsidRPr="004A1862">
        <w:rPr>
          <w:szCs w:val="22"/>
        </w:rPr>
        <w:t>brimonidine</w:t>
      </w:r>
      <w:r w:rsidRPr="004A1862">
        <w:t xml:space="preserve">, there were no statistically significant differences.  </w:t>
      </w:r>
      <w:r w:rsidRPr="004A1862">
        <w:rPr>
          <w:szCs w:val="22"/>
        </w:rPr>
        <w:t xml:space="preserve">However, compared with </w:t>
      </w:r>
      <w:r w:rsidR="005F5B00" w:rsidRPr="004A1862">
        <w:rPr>
          <w:szCs w:val="22"/>
        </w:rPr>
        <w:t xml:space="preserve">brinzolamide </w:t>
      </w:r>
      <w:r w:rsidRPr="004A1862">
        <w:rPr>
          <w:szCs w:val="22"/>
        </w:rPr>
        <w:t xml:space="preserve">monotherapy, significantly greater TEAEs, treatment-related TEAEs, and treatment-related discontinuations were experienced by </w:t>
      </w:r>
      <w:r w:rsidR="005F5B00" w:rsidRPr="004A1862">
        <w:t xml:space="preserve">brinzolamide + brimonidine FDC </w:t>
      </w:r>
      <w:r w:rsidRPr="004A1862">
        <w:rPr>
          <w:szCs w:val="22"/>
        </w:rPr>
        <w:t>patients.</w:t>
      </w:r>
    </w:p>
    <w:p w:rsidR="00513E59" w:rsidRPr="004A1862" w:rsidRDefault="00513E59" w:rsidP="00FC1884"/>
    <w:p w:rsidR="00B60939" w:rsidRPr="004A1862" w:rsidRDefault="00B60939" w:rsidP="002C2775">
      <w:pPr>
        <w:pStyle w:val="Heading2"/>
        <w:rPr>
          <w:i/>
        </w:rPr>
      </w:pPr>
      <w:bookmarkStart w:id="12" w:name="_Toc419189230"/>
      <w:r w:rsidRPr="004A1862">
        <w:rPr>
          <w:i/>
        </w:rPr>
        <w:t>Clinical claim</w:t>
      </w:r>
      <w:bookmarkEnd w:id="12"/>
    </w:p>
    <w:p w:rsidR="00B60939" w:rsidRPr="004A1862" w:rsidRDefault="00B60939" w:rsidP="00B60939">
      <w:pPr>
        <w:ind w:left="720" w:hanging="720"/>
        <w:rPr>
          <w:szCs w:val="22"/>
        </w:rPr>
      </w:pPr>
    </w:p>
    <w:p w:rsidR="00935F21" w:rsidRPr="004A1862" w:rsidRDefault="00A11829" w:rsidP="00935F21">
      <w:pPr>
        <w:pStyle w:val="ListParagraph"/>
        <w:widowControl/>
        <w:numPr>
          <w:ilvl w:val="1"/>
          <w:numId w:val="11"/>
        </w:numPr>
        <w:rPr>
          <w:i/>
          <w:iCs/>
          <w:szCs w:val="22"/>
        </w:rPr>
      </w:pPr>
      <w:r w:rsidRPr="004A1862">
        <w:rPr>
          <w:bCs/>
        </w:rPr>
        <w:t>The submission describe</w:t>
      </w:r>
      <w:r w:rsidR="006C0685" w:rsidRPr="004A1862">
        <w:rPr>
          <w:bCs/>
        </w:rPr>
        <w:t>d</w:t>
      </w:r>
      <w:r w:rsidRPr="004A1862">
        <w:rPr>
          <w:bCs/>
        </w:rPr>
        <w:t xml:space="preserve"> </w:t>
      </w:r>
      <w:r w:rsidR="005F5B00" w:rsidRPr="004A1862">
        <w:t xml:space="preserve">brinzolamide + brimonidine FDC </w:t>
      </w:r>
      <w:r w:rsidRPr="004A1862">
        <w:rPr>
          <w:bCs/>
        </w:rPr>
        <w:t xml:space="preserve">as non-inferior in terms of comparative effectiveness </w:t>
      </w:r>
      <w:r w:rsidR="00015DC0" w:rsidRPr="004A1862">
        <w:t>(as measured by change from baseline IOP)</w:t>
      </w:r>
      <w:r w:rsidR="00015DC0" w:rsidRPr="004A1862">
        <w:rPr>
          <w:i/>
        </w:rPr>
        <w:t xml:space="preserve"> </w:t>
      </w:r>
      <w:r w:rsidRPr="004A1862">
        <w:rPr>
          <w:bCs/>
        </w:rPr>
        <w:t>and non-inferior in terms of comparative safety</w:t>
      </w:r>
      <w:r w:rsidR="006C41C9" w:rsidRPr="004A1862">
        <w:rPr>
          <w:bCs/>
        </w:rPr>
        <w:t xml:space="preserve"> </w:t>
      </w:r>
      <w:r w:rsidR="005F5B00" w:rsidRPr="004A1862">
        <w:rPr>
          <w:bCs/>
        </w:rPr>
        <w:t>compared with</w:t>
      </w:r>
      <w:r w:rsidR="006C41C9" w:rsidRPr="004A1862">
        <w:rPr>
          <w:bCs/>
        </w:rPr>
        <w:t xml:space="preserve"> </w:t>
      </w:r>
      <w:r w:rsidR="005F5B00" w:rsidRPr="004A1862">
        <w:rPr>
          <w:szCs w:val="22"/>
        </w:rPr>
        <w:t xml:space="preserve">brinzolamide </w:t>
      </w:r>
      <w:r w:rsidR="006C41C9" w:rsidRPr="004A1862">
        <w:rPr>
          <w:bCs/>
        </w:rPr>
        <w:t xml:space="preserve">+ </w:t>
      </w:r>
      <w:r w:rsidR="005F5B00" w:rsidRPr="004A1862">
        <w:rPr>
          <w:szCs w:val="22"/>
        </w:rPr>
        <w:t>brimonidine</w:t>
      </w:r>
      <w:r w:rsidR="005F5B00" w:rsidRPr="004A1862">
        <w:rPr>
          <w:bCs/>
        </w:rPr>
        <w:t xml:space="preserve"> </w:t>
      </w:r>
      <w:r w:rsidRPr="004A1862">
        <w:rPr>
          <w:bCs/>
        </w:rPr>
        <w:t xml:space="preserve">used concomitantly (primary comparator). </w:t>
      </w:r>
      <w:r w:rsidR="00A82C81" w:rsidRPr="004A1862">
        <w:rPr>
          <w:bCs/>
        </w:rPr>
        <w:t xml:space="preserve"> </w:t>
      </w:r>
      <w:r w:rsidR="00A82C81" w:rsidRPr="004A1862">
        <w:rPr>
          <w:iCs/>
        </w:rPr>
        <w:t xml:space="preserve">This </w:t>
      </w:r>
      <w:r w:rsidR="00015DC0" w:rsidRPr="004A1862">
        <w:rPr>
          <w:iCs/>
        </w:rPr>
        <w:t xml:space="preserve">ESC considered that this </w:t>
      </w:r>
      <w:r w:rsidR="00A82C81" w:rsidRPr="004A1862">
        <w:rPr>
          <w:iCs/>
        </w:rPr>
        <w:t xml:space="preserve">claim </w:t>
      </w:r>
      <w:r w:rsidR="006C0685" w:rsidRPr="004A1862">
        <w:rPr>
          <w:iCs/>
        </w:rPr>
        <w:t>was</w:t>
      </w:r>
      <w:r w:rsidR="00A82C81" w:rsidRPr="004A1862">
        <w:rPr>
          <w:iCs/>
        </w:rPr>
        <w:t xml:space="preserve"> reasonable in terms of the effectiveness and safety data presented, in a population that is not entirely consistent with those for whom listing is sought</w:t>
      </w:r>
      <w:r w:rsidR="00C91B7A" w:rsidRPr="004A1862">
        <w:rPr>
          <w:iCs/>
        </w:rPr>
        <w:t xml:space="preserve"> (the </w:t>
      </w:r>
      <w:r w:rsidR="005F5B00" w:rsidRPr="004A1862">
        <w:t xml:space="preserve">brinzolamide + brimonidine FDC </w:t>
      </w:r>
      <w:r w:rsidR="00C91B7A" w:rsidRPr="004A1862">
        <w:rPr>
          <w:iCs/>
        </w:rPr>
        <w:t>phase III trials included both patients insufficiently controlled on monotherapy and those on multiple IOP-lowering agents)</w:t>
      </w:r>
      <w:r w:rsidR="00A82C81" w:rsidRPr="004A1862">
        <w:rPr>
          <w:iCs/>
        </w:rPr>
        <w:t>.</w:t>
      </w:r>
    </w:p>
    <w:p w:rsidR="00AE08BE" w:rsidRPr="004A1862" w:rsidRDefault="00AE08BE" w:rsidP="00AE08BE">
      <w:pPr>
        <w:pStyle w:val="ListParagraph"/>
        <w:widowControl/>
        <w:rPr>
          <w:i/>
          <w:iCs/>
          <w:szCs w:val="22"/>
        </w:rPr>
      </w:pPr>
    </w:p>
    <w:p w:rsidR="00935F21" w:rsidRPr="004A1862" w:rsidRDefault="00A82C81" w:rsidP="00C91B7A">
      <w:pPr>
        <w:pStyle w:val="ListParagraph"/>
        <w:widowControl/>
        <w:numPr>
          <w:ilvl w:val="1"/>
          <w:numId w:val="11"/>
        </w:numPr>
        <w:rPr>
          <w:i/>
        </w:rPr>
      </w:pPr>
      <w:r w:rsidRPr="004A1862">
        <w:t>The submission claims that the supportive Trial C-10-040 show</w:t>
      </w:r>
      <w:r w:rsidR="00A9271D" w:rsidRPr="004A1862">
        <w:t>ed</w:t>
      </w:r>
      <w:r w:rsidRPr="004A1862">
        <w:t xml:space="preserve"> that </w:t>
      </w:r>
      <w:r w:rsidR="005F5B00" w:rsidRPr="004A1862">
        <w:t xml:space="preserve">brinzolamide + brimonidine FDC </w:t>
      </w:r>
      <w:r w:rsidR="00535BBC" w:rsidRPr="004A1862">
        <w:t>was</w:t>
      </w:r>
      <w:r w:rsidRPr="004A1862">
        <w:t xml:space="preserve"> superior in terms of comparative effectiveness over its individual components used as monotherapy.  The submission also claim</w:t>
      </w:r>
      <w:r w:rsidR="00535BBC" w:rsidRPr="004A1862">
        <w:t>ed</w:t>
      </w:r>
      <w:r w:rsidRPr="004A1862">
        <w:t xml:space="preserve"> that </w:t>
      </w:r>
      <w:r w:rsidR="005F5B00" w:rsidRPr="004A1862">
        <w:t xml:space="preserve">brinzolamide + brimonidine FDC </w:t>
      </w:r>
      <w:r w:rsidR="00A9271D" w:rsidRPr="004A1862">
        <w:t>was</w:t>
      </w:r>
      <w:r w:rsidRPr="004A1862">
        <w:t xml:space="preserve"> inferior in terms of comparative safety over </w:t>
      </w:r>
      <w:r w:rsidR="005F5B00" w:rsidRPr="004A1862">
        <w:rPr>
          <w:szCs w:val="22"/>
        </w:rPr>
        <w:t xml:space="preserve">brinzolamide </w:t>
      </w:r>
      <w:r w:rsidRPr="004A1862">
        <w:t xml:space="preserve">monotherapy and non-inferior in terms of comparative safety over </w:t>
      </w:r>
      <w:r w:rsidR="005F5B00" w:rsidRPr="004A1862">
        <w:rPr>
          <w:szCs w:val="22"/>
        </w:rPr>
        <w:t>brimonidine</w:t>
      </w:r>
      <w:r w:rsidR="005F5B00" w:rsidRPr="004A1862">
        <w:t xml:space="preserve"> </w:t>
      </w:r>
      <w:r w:rsidRPr="004A1862">
        <w:t xml:space="preserve">monotherapy.  </w:t>
      </w:r>
      <w:r w:rsidRPr="004A1862">
        <w:rPr>
          <w:iCs/>
        </w:rPr>
        <w:t xml:space="preserve">These claims appear to be reasonable in terms of the effectiveness and safety data presented, </w:t>
      </w:r>
      <w:r w:rsidRPr="004A1862">
        <w:t xml:space="preserve">in a population that </w:t>
      </w:r>
      <w:r w:rsidR="00A9271D" w:rsidRPr="004A1862">
        <w:t>was</w:t>
      </w:r>
      <w:r w:rsidRPr="004A1862">
        <w:t xml:space="preserve"> not entirely consistent with those for whom listing </w:t>
      </w:r>
      <w:r w:rsidR="00A9271D" w:rsidRPr="004A1862">
        <w:t xml:space="preserve">was </w:t>
      </w:r>
      <w:r w:rsidRPr="004A1862">
        <w:t>sought</w:t>
      </w:r>
      <w:r w:rsidR="00015DC0" w:rsidRPr="004A1862">
        <w:t xml:space="preserve"> (as above, t</w:t>
      </w:r>
      <w:r w:rsidR="00872B4E" w:rsidRPr="004A1862">
        <w:rPr>
          <w:iCs/>
        </w:rPr>
        <w:t xml:space="preserve">he </w:t>
      </w:r>
      <w:r w:rsidR="005F5B00" w:rsidRPr="004A1862">
        <w:t xml:space="preserve">brinzolamide + brimonidine FDC </w:t>
      </w:r>
      <w:r w:rsidR="00872B4E" w:rsidRPr="004A1862">
        <w:rPr>
          <w:iCs/>
        </w:rPr>
        <w:t>phase III trials included both patients insufficiently controlled on monotherapy and those on multiple IOP-lowering agents</w:t>
      </w:r>
      <w:r w:rsidR="00015DC0" w:rsidRPr="004A1862">
        <w:rPr>
          <w:iCs/>
        </w:rPr>
        <w:t>)</w:t>
      </w:r>
      <w:r w:rsidR="00872B4E" w:rsidRPr="004A1862">
        <w:rPr>
          <w:iCs/>
        </w:rPr>
        <w:t>.</w:t>
      </w:r>
    </w:p>
    <w:p w:rsidR="006270BF" w:rsidRPr="004A1862" w:rsidRDefault="006270BF" w:rsidP="006270BF">
      <w:pPr>
        <w:pStyle w:val="ListParagraph"/>
        <w:widowControl/>
        <w:rPr>
          <w:i/>
        </w:rPr>
      </w:pPr>
    </w:p>
    <w:p w:rsidR="00364432" w:rsidRPr="004A1862" w:rsidRDefault="00A82C81" w:rsidP="00C91B7A">
      <w:pPr>
        <w:pStyle w:val="ListParagraph"/>
        <w:widowControl/>
        <w:numPr>
          <w:ilvl w:val="1"/>
          <w:numId w:val="11"/>
        </w:numPr>
        <w:rPr>
          <w:bCs/>
          <w:iCs/>
        </w:rPr>
      </w:pPr>
      <w:r w:rsidRPr="004A1862">
        <w:rPr>
          <w:iCs/>
        </w:rPr>
        <w:t xml:space="preserve">The submission </w:t>
      </w:r>
      <w:r w:rsidR="00A9271D" w:rsidRPr="004A1862">
        <w:rPr>
          <w:iCs/>
        </w:rPr>
        <w:t xml:space="preserve">made </w:t>
      </w:r>
      <w:r w:rsidRPr="004A1862">
        <w:rPr>
          <w:iCs/>
        </w:rPr>
        <w:t xml:space="preserve">no claim regarding the comparative efficacy and safety of </w:t>
      </w:r>
      <w:r w:rsidR="005F5B00" w:rsidRPr="004A1862">
        <w:t xml:space="preserve">brinzolamide + brimonidine FDC </w:t>
      </w:r>
      <w:r w:rsidRPr="004A1862">
        <w:rPr>
          <w:iCs/>
        </w:rPr>
        <w:t xml:space="preserve">compared with </w:t>
      </w:r>
      <w:r w:rsidR="005F5B00" w:rsidRPr="004A1862">
        <w:rPr>
          <w:bCs/>
          <w:iCs/>
        </w:rPr>
        <w:t xml:space="preserve">brinzolamide + timolol </w:t>
      </w:r>
      <w:r w:rsidR="005F5B00" w:rsidRPr="004A1862">
        <w:rPr>
          <w:iCs/>
        </w:rPr>
        <w:t>FDC</w:t>
      </w:r>
      <w:r w:rsidRPr="004A1862">
        <w:rPr>
          <w:iCs/>
        </w:rPr>
        <w:t>; citing exchangeability issues (</w:t>
      </w:r>
      <w:r w:rsidRPr="004A1862">
        <w:rPr>
          <w:bCs/>
          <w:iCs/>
        </w:rPr>
        <w:t xml:space="preserve">differences observed in the trial populations and differences in the mean reduction in IOP observed for patients treated with </w:t>
      </w:r>
      <w:r w:rsidR="005F5B00" w:rsidRPr="004A1862">
        <w:rPr>
          <w:szCs w:val="22"/>
        </w:rPr>
        <w:t xml:space="preserve">brinzolamide </w:t>
      </w:r>
      <w:r w:rsidRPr="004A1862">
        <w:rPr>
          <w:bCs/>
          <w:iCs/>
        </w:rPr>
        <w:t>monotherapy</w:t>
      </w:r>
      <w:r w:rsidRPr="004A1862">
        <w:rPr>
          <w:iCs/>
        </w:rPr>
        <w:t xml:space="preserve">) between the trials as precluding the conduct of an informative indirect comparison.  While this </w:t>
      </w:r>
      <w:r w:rsidR="00A9271D" w:rsidRPr="004A1862">
        <w:rPr>
          <w:iCs/>
        </w:rPr>
        <w:t>was</w:t>
      </w:r>
      <w:r w:rsidRPr="004A1862">
        <w:rPr>
          <w:iCs/>
        </w:rPr>
        <w:t xml:space="preserve"> acknowledged, the results of the indirect comparison indicate that there were no statistically significant differences between the treatments (where </w:t>
      </w:r>
      <w:r w:rsidR="005F5B00" w:rsidRPr="004A1862">
        <w:t xml:space="preserve">brinzolamide + brimonidine FDC </w:t>
      </w:r>
      <w:r w:rsidRPr="004A1862">
        <w:rPr>
          <w:iCs/>
        </w:rPr>
        <w:t xml:space="preserve">consistently failed to </w:t>
      </w:r>
      <w:r w:rsidRPr="004A1862">
        <w:rPr>
          <w:bCs/>
          <w:iCs/>
        </w:rPr>
        <w:t xml:space="preserve">meet the non-inferiority criterion when compared with </w:t>
      </w:r>
      <w:r w:rsidR="005F5B00" w:rsidRPr="004A1862">
        <w:rPr>
          <w:bCs/>
          <w:iCs/>
        </w:rPr>
        <w:t xml:space="preserve">brinzolamide + timolol </w:t>
      </w:r>
      <w:r w:rsidR="005F5B00" w:rsidRPr="004A1862">
        <w:rPr>
          <w:iCs/>
        </w:rPr>
        <w:t>FDC</w:t>
      </w:r>
      <w:r w:rsidR="005F5B00" w:rsidRPr="004A1862">
        <w:rPr>
          <w:bCs/>
          <w:iCs/>
        </w:rPr>
        <w:t xml:space="preserve"> </w:t>
      </w:r>
      <w:r w:rsidRPr="004A1862">
        <w:rPr>
          <w:bCs/>
          <w:iCs/>
        </w:rPr>
        <w:t xml:space="preserve">as the upper confidence limits exceed +1.5 mmHg at all timepoints assessed). </w:t>
      </w:r>
    </w:p>
    <w:p w:rsidR="00364432" w:rsidRPr="004A1862" w:rsidRDefault="00364432" w:rsidP="00935F21">
      <w:pPr>
        <w:pStyle w:val="ListParagraph"/>
        <w:widowControl/>
        <w:rPr>
          <w:bCs/>
          <w:iCs/>
        </w:rPr>
      </w:pPr>
    </w:p>
    <w:p w:rsidR="00A82C81" w:rsidRPr="004A1862" w:rsidRDefault="00C91B7A" w:rsidP="00C91B7A">
      <w:pPr>
        <w:pStyle w:val="ListParagraph"/>
        <w:widowControl/>
        <w:numPr>
          <w:ilvl w:val="1"/>
          <w:numId w:val="11"/>
        </w:numPr>
        <w:rPr>
          <w:iCs/>
          <w:szCs w:val="22"/>
        </w:rPr>
      </w:pPr>
      <w:r w:rsidRPr="004A1862">
        <w:rPr>
          <w:bCs/>
          <w:iCs/>
        </w:rPr>
        <w:t>T</w:t>
      </w:r>
      <w:r w:rsidR="00872B4E" w:rsidRPr="004A1862">
        <w:rPr>
          <w:bCs/>
          <w:iCs/>
        </w:rPr>
        <w:t xml:space="preserve">he </w:t>
      </w:r>
      <w:r w:rsidRPr="004A1862">
        <w:rPr>
          <w:bCs/>
          <w:iCs/>
        </w:rPr>
        <w:t>PSCR argued that a</w:t>
      </w:r>
      <w:r w:rsidR="00872B4E" w:rsidRPr="004A1862">
        <w:rPr>
          <w:bCs/>
          <w:iCs/>
        </w:rPr>
        <w:t xml:space="preserve"> comparison to establish superiority of </w:t>
      </w:r>
      <w:r w:rsidR="005F5B00" w:rsidRPr="004A1862">
        <w:t xml:space="preserve">brinzolamide + brimonidine FDC </w:t>
      </w:r>
      <w:r w:rsidR="00872B4E" w:rsidRPr="004A1862">
        <w:rPr>
          <w:bCs/>
          <w:iCs/>
        </w:rPr>
        <w:t xml:space="preserve">over </w:t>
      </w:r>
      <w:r w:rsidR="005F5B00" w:rsidRPr="004A1862">
        <w:rPr>
          <w:bCs/>
          <w:iCs/>
        </w:rPr>
        <w:t xml:space="preserve">brinzolamide + timolol </w:t>
      </w:r>
      <w:r w:rsidR="005F5B00" w:rsidRPr="004A1862">
        <w:rPr>
          <w:iCs/>
        </w:rPr>
        <w:t>FDC</w:t>
      </w:r>
      <w:r w:rsidR="005F5B00" w:rsidRPr="004A1862">
        <w:rPr>
          <w:bCs/>
          <w:iCs/>
        </w:rPr>
        <w:t xml:space="preserve"> </w:t>
      </w:r>
      <w:r w:rsidR="00B7282E" w:rsidRPr="004A1862">
        <w:rPr>
          <w:bCs/>
          <w:iCs/>
        </w:rPr>
        <w:t>was</w:t>
      </w:r>
      <w:r w:rsidR="00872B4E" w:rsidRPr="004A1862">
        <w:rPr>
          <w:bCs/>
          <w:iCs/>
        </w:rPr>
        <w:t xml:space="preserve"> neither appropriate nor required as alternate FDCs are not the main comparators.  </w:t>
      </w:r>
      <w:r w:rsidR="00FF0008" w:rsidRPr="004A1862">
        <w:rPr>
          <w:bCs/>
          <w:iCs/>
        </w:rPr>
        <w:t>W</w:t>
      </w:r>
      <w:r w:rsidR="00872B4E" w:rsidRPr="004A1862">
        <w:rPr>
          <w:bCs/>
          <w:iCs/>
        </w:rPr>
        <w:t xml:space="preserve">hilst the sponsor acknowledged that substitution </w:t>
      </w:r>
      <w:r w:rsidR="00B7282E" w:rsidRPr="004A1862">
        <w:rPr>
          <w:bCs/>
          <w:iCs/>
        </w:rPr>
        <w:t>was</w:t>
      </w:r>
      <w:r w:rsidR="00872B4E" w:rsidRPr="004A1862">
        <w:rPr>
          <w:bCs/>
          <w:iCs/>
        </w:rPr>
        <w:t xml:space="preserve"> possible, </w:t>
      </w:r>
      <w:r w:rsidRPr="004A1862">
        <w:rPr>
          <w:bCs/>
          <w:iCs/>
        </w:rPr>
        <w:t xml:space="preserve">the PSCR argued that it </w:t>
      </w:r>
      <w:r w:rsidR="00872B4E" w:rsidRPr="004A1862">
        <w:rPr>
          <w:bCs/>
          <w:iCs/>
        </w:rPr>
        <w:t xml:space="preserve">does not constitute the therapy that would most </w:t>
      </w:r>
      <w:r w:rsidR="00FF0008" w:rsidRPr="004A1862">
        <w:rPr>
          <w:bCs/>
          <w:iCs/>
        </w:rPr>
        <w:t xml:space="preserve">likely be </w:t>
      </w:r>
      <w:r w:rsidR="00872B4E" w:rsidRPr="004A1862">
        <w:rPr>
          <w:bCs/>
          <w:iCs/>
        </w:rPr>
        <w:t xml:space="preserve">replaced in practice. </w:t>
      </w:r>
    </w:p>
    <w:p w:rsidR="006A36EB" w:rsidRPr="004A1862" w:rsidRDefault="006A36EB" w:rsidP="006A36EB">
      <w:pPr>
        <w:pStyle w:val="ListParagraph"/>
        <w:rPr>
          <w:i/>
          <w:iCs/>
          <w:szCs w:val="22"/>
        </w:rPr>
      </w:pPr>
    </w:p>
    <w:p w:rsidR="006A36EB" w:rsidRPr="004A1862" w:rsidRDefault="006A36EB" w:rsidP="00C91B7A">
      <w:pPr>
        <w:pStyle w:val="ListParagraph"/>
        <w:widowControl/>
        <w:numPr>
          <w:ilvl w:val="1"/>
          <w:numId w:val="11"/>
        </w:numPr>
        <w:rPr>
          <w:i/>
          <w:iCs/>
          <w:szCs w:val="22"/>
        </w:rPr>
      </w:pPr>
      <w:r w:rsidRPr="004A1862">
        <w:rPr>
          <w:iCs/>
          <w:szCs w:val="22"/>
        </w:rPr>
        <w:t xml:space="preserve">The ESC noted that no formal indirect comparison was </w:t>
      </w:r>
      <w:r w:rsidR="00A9269F" w:rsidRPr="004A1862">
        <w:rPr>
          <w:iCs/>
          <w:szCs w:val="22"/>
        </w:rPr>
        <w:t>provided to</w:t>
      </w:r>
      <w:r w:rsidRPr="004A1862">
        <w:rPr>
          <w:iCs/>
          <w:szCs w:val="22"/>
        </w:rPr>
        <w:t xml:space="preserve"> establish </w:t>
      </w:r>
      <w:r w:rsidR="009937A4" w:rsidRPr="004A1862">
        <w:rPr>
          <w:iCs/>
          <w:szCs w:val="22"/>
        </w:rPr>
        <w:t>the comparative efficacy</w:t>
      </w:r>
      <w:r w:rsidRPr="004A1862">
        <w:rPr>
          <w:iCs/>
          <w:szCs w:val="22"/>
        </w:rPr>
        <w:t xml:space="preserve"> of </w:t>
      </w:r>
      <w:r w:rsidR="005F5B00" w:rsidRPr="004A1862">
        <w:t xml:space="preserve">brinzolamide + brimonidine FDC </w:t>
      </w:r>
      <w:r w:rsidR="009937A4" w:rsidRPr="004A1862">
        <w:rPr>
          <w:iCs/>
          <w:szCs w:val="22"/>
        </w:rPr>
        <w:t>to</w:t>
      </w:r>
      <w:r w:rsidRPr="004A1862">
        <w:rPr>
          <w:iCs/>
          <w:szCs w:val="22"/>
        </w:rPr>
        <w:t xml:space="preserve"> </w:t>
      </w:r>
      <w:r w:rsidR="005F5B00" w:rsidRPr="004A1862">
        <w:rPr>
          <w:bCs/>
          <w:iCs/>
        </w:rPr>
        <w:t xml:space="preserve">brinzolamide + timolol </w:t>
      </w:r>
      <w:r w:rsidR="005F5B00" w:rsidRPr="004A1862">
        <w:rPr>
          <w:iCs/>
        </w:rPr>
        <w:t>FDC</w:t>
      </w:r>
      <w:r w:rsidRPr="004A1862">
        <w:rPr>
          <w:iCs/>
          <w:szCs w:val="22"/>
        </w:rPr>
        <w:t xml:space="preserve">, </w:t>
      </w:r>
      <w:r w:rsidR="005F5B00" w:rsidRPr="004A1862">
        <w:rPr>
          <w:bCs/>
          <w:iCs/>
        </w:rPr>
        <w:t xml:space="preserve">brimonidine + timolol FDC </w:t>
      </w:r>
      <w:r w:rsidRPr="004A1862">
        <w:rPr>
          <w:iCs/>
          <w:szCs w:val="22"/>
        </w:rPr>
        <w:t xml:space="preserve">and </w:t>
      </w:r>
      <w:r w:rsidR="005F5B00" w:rsidRPr="004A1862">
        <w:rPr>
          <w:bCs/>
          <w:iCs/>
        </w:rPr>
        <w:t>dorzolamide + timolol FDC</w:t>
      </w:r>
      <w:r w:rsidR="009937A4" w:rsidRPr="004A1862">
        <w:rPr>
          <w:iCs/>
          <w:szCs w:val="22"/>
        </w:rPr>
        <w:t>, which the Committee considered to be appropriate comparators.</w:t>
      </w:r>
      <w:r w:rsidR="009937A4" w:rsidRPr="004A1862">
        <w:rPr>
          <w:i/>
          <w:iCs/>
          <w:szCs w:val="22"/>
        </w:rPr>
        <w:t xml:space="preserve"> </w:t>
      </w:r>
    </w:p>
    <w:p w:rsidR="00E65670" w:rsidRPr="004A1862" w:rsidRDefault="00E65670" w:rsidP="00E65670">
      <w:pPr>
        <w:pStyle w:val="ListParagraph"/>
        <w:widowControl/>
        <w:rPr>
          <w:i/>
          <w:iCs/>
          <w:szCs w:val="22"/>
        </w:rPr>
      </w:pPr>
    </w:p>
    <w:p w:rsidR="00B60939" w:rsidRPr="004A1862" w:rsidRDefault="00E65670" w:rsidP="00E65670">
      <w:pPr>
        <w:ind w:left="720" w:hanging="11"/>
        <w:rPr>
          <w:bCs/>
          <w:i/>
          <w:szCs w:val="22"/>
        </w:rPr>
      </w:pPr>
      <w:r w:rsidRPr="004A1862">
        <w:rPr>
          <w:bCs/>
          <w:i/>
          <w:szCs w:val="22"/>
        </w:rPr>
        <w:t>For more detail on PBAC’s view, see section 7 “PBAC outcome”.</w:t>
      </w:r>
    </w:p>
    <w:p w:rsidR="00E65670" w:rsidRPr="004A1862" w:rsidRDefault="00E65670" w:rsidP="00E65670">
      <w:pPr>
        <w:ind w:left="720" w:hanging="11"/>
        <w:rPr>
          <w:szCs w:val="22"/>
        </w:rPr>
      </w:pPr>
    </w:p>
    <w:p w:rsidR="00B60939" w:rsidRPr="004A1862" w:rsidRDefault="00B60939" w:rsidP="002C2775">
      <w:pPr>
        <w:pStyle w:val="Heading2"/>
        <w:rPr>
          <w:i/>
        </w:rPr>
      </w:pPr>
      <w:bookmarkStart w:id="13" w:name="_Toc419189231"/>
      <w:r w:rsidRPr="004A1862">
        <w:rPr>
          <w:i/>
        </w:rPr>
        <w:t>Economic analysis</w:t>
      </w:r>
      <w:bookmarkEnd w:id="13"/>
      <w:r w:rsidR="00491B3A" w:rsidRPr="004A1862">
        <w:rPr>
          <w:i/>
        </w:rPr>
        <w:t xml:space="preserve"> </w:t>
      </w:r>
    </w:p>
    <w:p w:rsidR="00B60939" w:rsidRPr="004A1862" w:rsidRDefault="00B60939" w:rsidP="00B60939">
      <w:pPr>
        <w:ind w:left="720" w:hanging="720"/>
        <w:rPr>
          <w:szCs w:val="22"/>
        </w:rPr>
      </w:pPr>
    </w:p>
    <w:p w:rsidR="00A86E8B" w:rsidRPr="004A1862" w:rsidRDefault="00AD6657" w:rsidP="00A86E8B">
      <w:pPr>
        <w:pStyle w:val="ListParagraph"/>
        <w:widowControl/>
        <w:numPr>
          <w:ilvl w:val="1"/>
          <w:numId w:val="11"/>
        </w:numPr>
        <w:rPr>
          <w:szCs w:val="22"/>
        </w:rPr>
      </w:pPr>
      <w:r w:rsidRPr="004A1862">
        <w:t xml:space="preserve">The submission presented a cost-minimisation analysis comparing </w:t>
      </w:r>
      <w:r w:rsidR="005F5B00" w:rsidRPr="004A1862">
        <w:t xml:space="preserve">brinzolamide + brimonidine FDC </w:t>
      </w:r>
      <w:r w:rsidRPr="004A1862">
        <w:t xml:space="preserve">with </w:t>
      </w:r>
      <w:r w:rsidR="005F5B00" w:rsidRPr="004A1862">
        <w:rPr>
          <w:szCs w:val="22"/>
        </w:rPr>
        <w:t xml:space="preserve">brinzolamide </w:t>
      </w:r>
      <w:r w:rsidRPr="004A1862">
        <w:t xml:space="preserve">plus </w:t>
      </w:r>
      <w:r w:rsidR="005F5B00" w:rsidRPr="004A1862">
        <w:rPr>
          <w:szCs w:val="22"/>
        </w:rPr>
        <w:t>brimonidine</w:t>
      </w:r>
      <w:r w:rsidR="005F5B00" w:rsidRPr="004A1862">
        <w:t xml:space="preserve"> </w:t>
      </w:r>
      <w:r w:rsidRPr="004A1862">
        <w:t xml:space="preserve">used concomitantly. </w:t>
      </w:r>
    </w:p>
    <w:p w:rsidR="00A17DA3" w:rsidRPr="004A1862" w:rsidRDefault="00A17DA3" w:rsidP="00A17DA3">
      <w:pPr>
        <w:pStyle w:val="ListParagraph"/>
        <w:widowControl/>
        <w:rPr>
          <w:szCs w:val="22"/>
        </w:rPr>
      </w:pPr>
    </w:p>
    <w:p w:rsidR="00BA7530" w:rsidRPr="004A1862" w:rsidRDefault="00470F40" w:rsidP="00BA7530">
      <w:pPr>
        <w:pStyle w:val="ListParagraph"/>
        <w:widowControl/>
        <w:numPr>
          <w:ilvl w:val="1"/>
          <w:numId w:val="11"/>
        </w:numPr>
      </w:pPr>
      <w:r w:rsidRPr="004A1862">
        <w:t xml:space="preserve">One drop twice daily of brinzolamide 1% and brimonidine 0.2% used as a fixed dose combination </w:t>
      </w:r>
      <w:r w:rsidR="00A9271D" w:rsidRPr="004A1862">
        <w:rPr>
          <w:szCs w:val="22"/>
        </w:rPr>
        <w:t>was</w:t>
      </w:r>
      <w:r w:rsidRPr="004A1862">
        <w:t xml:space="preserve"> equivalent to use of one drop twice daily of brinzolamide 1% and one drop twice daily of brimonidine 0.2% used concomitantly</w:t>
      </w:r>
      <w:r w:rsidR="0071569A" w:rsidRPr="004A1862">
        <w:t>, based on the dosing in Trial C-10-041</w:t>
      </w:r>
      <w:r w:rsidR="00A17DA3" w:rsidRPr="004A1862">
        <w:t>.</w:t>
      </w:r>
      <w:r w:rsidR="00BA7530" w:rsidRPr="004A1862">
        <w:t xml:space="preserve"> </w:t>
      </w:r>
    </w:p>
    <w:p w:rsidR="00BA7530" w:rsidRPr="004A1862" w:rsidRDefault="00BA7530" w:rsidP="00BA7530">
      <w:pPr>
        <w:pStyle w:val="ListParagraph"/>
      </w:pPr>
    </w:p>
    <w:p w:rsidR="00F546BC" w:rsidRPr="004A1862" w:rsidRDefault="00BA7530" w:rsidP="00BA7530">
      <w:pPr>
        <w:pStyle w:val="ListParagraph"/>
        <w:numPr>
          <w:ilvl w:val="1"/>
          <w:numId w:val="11"/>
        </w:numPr>
      </w:pPr>
      <w:r w:rsidRPr="004A1862">
        <w:t xml:space="preserve">The </w:t>
      </w:r>
      <w:r w:rsidR="0071285C" w:rsidRPr="004A1862">
        <w:t xml:space="preserve">submission’s initial </w:t>
      </w:r>
      <w:r w:rsidRPr="004A1862">
        <w:t xml:space="preserve">proposed price for </w:t>
      </w:r>
      <w:r w:rsidR="005F5B00" w:rsidRPr="004A1862">
        <w:t xml:space="preserve">brinzolamide + brimonidine FDC </w:t>
      </w:r>
      <w:r w:rsidR="00364432" w:rsidRPr="004A1862">
        <w:t>was based on</w:t>
      </w:r>
      <w:r w:rsidRPr="004A1862">
        <w:t xml:space="preserve"> the sum of individual</w:t>
      </w:r>
      <w:r w:rsidR="00FF0008" w:rsidRPr="004A1862">
        <w:t xml:space="preserve"> equivalent dose</w:t>
      </w:r>
      <w:r w:rsidRPr="004A1862">
        <w:t xml:space="preserve"> components, DPMQ $</w:t>
      </w:r>
      <w:r w:rsidR="001119B4">
        <w:rPr>
          <w:noProof/>
          <w:color w:val="000000"/>
          <w:highlight w:val="black"/>
        </w:rPr>
        <w:t>'''''''''''''</w:t>
      </w:r>
      <w:r w:rsidRPr="004A1862">
        <w:t xml:space="preserve"> (AEMP $</w:t>
      </w:r>
      <w:r w:rsidR="001119B4">
        <w:rPr>
          <w:noProof/>
          <w:color w:val="000000"/>
          <w:highlight w:val="black"/>
        </w:rPr>
        <w:t>''''''''''''</w:t>
      </w:r>
      <w:r w:rsidRPr="004A1862">
        <w:t>)</w:t>
      </w:r>
      <w:r w:rsidR="00461C2D" w:rsidRPr="004A1862">
        <w:t>. This compares to a total DPMQ of $43.59 when the two agents are dispensed individually.</w:t>
      </w:r>
    </w:p>
    <w:p w:rsidR="00BA7530" w:rsidRPr="004A1862" w:rsidRDefault="00BA7530" w:rsidP="00BA7530">
      <w:pPr>
        <w:pStyle w:val="ListParagraph"/>
        <w:widowControl/>
      </w:pPr>
    </w:p>
    <w:p w:rsidR="00461C2D" w:rsidRPr="004A1862" w:rsidRDefault="00461C2D" w:rsidP="00B1079F">
      <w:pPr>
        <w:ind w:firstLine="709"/>
        <w:rPr>
          <w:rStyle w:val="CommentReference"/>
        </w:rPr>
      </w:pPr>
      <w:r w:rsidRPr="004A1862">
        <w:rPr>
          <w:rStyle w:val="CommentReference"/>
        </w:rPr>
        <w:t xml:space="preserve">Table </w:t>
      </w:r>
      <w:r w:rsidR="0029000E" w:rsidRPr="004A1862">
        <w:rPr>
          <w:rStyle w:val="CommentReference"/>
        </w:rPr>
        <w:t>6</w:t>
      </w:r>
      <w:r w:rsidRPr="004A1862">
        <w:rPr>
          <w:rStyle w:val="CommentReference"/>
        </w:rPr>
        <w:t>: Simbrinza price based on components</w:t>
      </w:r>
    </w:p>
    <w:tbl>
      <w:tblPr>
        <w:tblW w:w="4523" w:type="pct"/>
        <w:tblInd w:w="817" w:type="dxa"/>
        <w:tblLook w:val="0000" w:firstRow="0" w:lastRow="0" w:firstColumn="0" w:lastColumn="0" w:noHBand="0" w:noVBand="0"/>
      </w:tblPr>
      <w:tblGrid>
        <w:gridCol w:w="1066"/>
        <w:gridCol w:w="2392"/>
        <w:gridCol w:w="1634"/>
        <w:gridCol w:w="1634"/>
        <w:gridCol w:w="1634"/>
      </w:tblGrid>
      <w:tr w:rsidR="00461C2D" w:rsidRPr="004A1862" w:rsidTr="00B82FB3">
        <w:trPr>
          <w:trHeight w:val="290"/>
          <w:tblHeader/>
        </w:trPr>
        <w:tc>
          <w:tcPr>
            <w:tcW w:w="638" w:type="pct"/>
            <w:tcBorders>
              <w:top w:val="single" w:sz="4" w:space="0" w:color="auto"/>
              <w:left w:val="single" w:sz="4" w:space="0" w:color="auto"/>
              <w:bottom w:val="single" w:sz="4" w:space="0" w:color="auto"/>
              <w:right w:val="single" w:sz="4" w:space="0" w:color="auto"/>
            </w:tcBorders>
            <w:shd w:val="clear" w:color="auto" w:fill="auto"/>
          </w:tcPr>
          <w:p w:rsidR="00461C2D" w:rsidRPr="004A1862" w:rsidRDefault="00461C2D" w:rsidP="00B1079F">
            <w:pPr>
              <w:tabs>
                <w:tab w:val="left" w:pos="142"/>
              </w:tabs>
              <w:jc w:val="left"/>
              <w:rPr>
                <w:rFonts w:ascii="Arial Narrow" w:hAnsi="Arial Narrow" w:cs="Times New Roman"/>
                <w:b/>
                <w:snapToGrid/>
                <w:sz w:val="20"/>
                <w:lang w:eastAsia="en-AU"/>
              </w:rPr>
            </w:pPr>
            <w:r w:rsidRPr="004A1862">
              <w:rPr>
                <w:rFonts w:ascii="Arial Narrow" w:hAnsi="Arial Narrow" w:cs="Times New Roman"/>
                <w:b/>
                <w:snapToGrid/>
                <w:sz w:val="20"/>
                <w:lang w:eastAsia="en-AU"/>
              </w:rPr>
              <w:t>Brand</w:t>
            </w:r>
          </w:p>
        </w:tc>
        <w:tc>
          <w:tcPr>
            <w:tcW w:w="1431" w:type="pct"/>
            <w:tcBorders>
              <w:top w:val="single" w:sz="4" w:space="0" w:color="auto"/>
              <w:left w:val="single" w:sz="4" w:space="0" w:color="auto"/>
              <w:bottom w:val="single" w:sz="4" w:space="0" w:color="auto"/>
              <w:right w:val="single" w:sz="4" w:space="0" w:color="auto"/>
            </w:tcBorders>
            <w:shd w:val="clear" w:color="auto" w:fill="auto"/>
          </w:tcPr>
          <w:p w:rsidR="00461C2D" w:rsidRPr="004A1862" w:rsidRDefault="00461C2D" w:rsidP="00B1079F">
            <w:pPr>
              <w:tabs>
                <w:tab w:val="left" w:pos="142"/>
              </w:tabs>
              <w:jc w:val="left"/>
              <w:rPr>
                <w:rFonts w:ascii="Arial Narrow" w:hAnsi="Arial Narrow" w:cs="Times New Roman"/>
                <w:b/>
                <w:snapToGrid/>
                <w:sz w:val="20"/>
                <w:lang w:eastAsia="en-AU"/>
              </w:rPr>
            </w:pPr>
            <w:r w:rsidRPr="004A1862">
              <w:rPr>
                <w:rFonts w:ascii="Arial Narrow" w:hAnsi="Arial Narrow" w:cs="Times New Roman"/>
                <w:b/>
                <w:snapToGrid/>
                <w:sz w:val="20"/>
                <w:lang w:eastAsia="en-AU"/>
              </w:rPr>
              <w:t>Drug</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461C2D" w:rsidRPr="004A1862" w:rsidRDefault="00461C2D" w:rsidP="00B1079F">
            <w:pPr>
              <w:tabs>
                <w:tab w:val="left" w:pos="142"/>
              </w:tabs>
              <w:jc w:val="left"/>
              <w:rPr>
                <w:rFonts w:ascii="Arial Narrow" w:hAnsi="Arial Narrow" w:cs="Times New Roman"/>
                <w:b/>
                <w:snapToGrid/>
                <w:sz w:val="20"/>
                <w:lang w:eastAsia="en-AU"/>
              </w:rPr>
            </w:pPr>
            <w:r w:rsidRPr="004A1862">
              <w:rPr>
                <w:rFonts w:ascii="Arial Narrow" w:hAnsi="Arial Narrow" w:cs="Times New Roman"/>
                <w:b/>
                <w:snapToGrid/>
                <w:sz w:val="20"/>
                <w:lang w:eastAsia="en-AU"/>
              </w:rPr>
              <w:t>DPMQ</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461C2D" w:rsidRPr="004A1862" w:rsidRDefault="00461C2D" w:rsidP="00B1079F">
            <w:pPr>
              <w:tabs>
                <w:tab w:val="left" w:pos="142"/>
              </w:tabs>
              <w:jc w:val="left"/>
              <w:rPr>
                <w:rFonts w:ascii="Arial Narrow" w:hAnsi="Arial Narrow" w:cs="Times New Roman"/>
                <w:b/>
                <w:snapToGrid/>
                <w:sz w:val="20"/>
                <w:lang w:eastAsia="en-AU"/>
              </w:rPr>
            </w:pPr>
            <w:r w:rsidRPr="004A1862">
              <w:rPr>
                <w:rFonts w:ascii="Arial Narrow" w:hAnsi="Arial Narrow" w:cs="Times New Roman"/>
                <w:b/>
                <w:snapToGrid/>
                <w:sz w:val="20"/>
                <w:lang w:eastAsia="en-AU"/>
              </w:rPr>
              <w:t>PTP</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461C2D" w:rsidRPr="004A1862" w:rsidRDefault="00461C2D" w:rsidP="00B1079F">
            <w:pPr>
              <w:tabs>
                <w:tab w:val="left" w:pos="142"/>
              </w:tabs>
              <w:jc w:val="left"/>
              <w:rPr>
                <w:rFonts w:ascii="Arial Narrow" w:hAnsi="Arial Narrow" w:cs="Times New Roman"/>
                <w:b/>
                <w:snapToGrid/>
                <w:sz w:val="20"/>
                <w:lang w:eastAsia="en-AU"/>
              </w:rPr>
            </w:pPr>
            <w:r w:rsidRPr="004A1862">
              <w:rPr>
                <w:rFonts w:ascii="Arial Narrow" w:hAnsi="Arial Narrow" w:cs="Times New Roman"/>
                <w:b/>
                <w:snapToGrid/>
                <w:sz w:val="20"/>
                <w:lang w:eastAsia="en-AU"/>
              </w:rPr>
              <w:t>ExMan</w:t>
            </w:r>
          </w:p>
        </w:tc>
      </w:tr>
      <w:tr w:rsidR="00461C2D" w:rsidRPr="004A1862" w:rsidTr="00B82FB3">
        <w:trPr>
          <w:trHeight w:val="290"/>
        </w:trPr>
        <w:tc>
          <w:tcPr>
            <w:tcW w:w="638"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Azopt®</w:t>
            </w:r>
          </w:p>
        </w:tc>
        <w:tc>
          <w:tcPr>
            <w:tcW w:w="1431"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brinzolamide</w:t>
            </w:r>
          </w:p>
        </w:tc>
        <w:tc>
          <w:tcPr>
            <w:tcW w:w="977"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 xml:space="preserve">$23.11 </w:t>
            </w:r>
          </w:p>
        </w:tc>
        <w:tc>
          <w:tcPr>
            <w:tcW w:w="977"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 xml:space="preserve">$14.22 </w:t>
            </w:r>
          </w:p>
        </w:tc>
        <w:tc>
          <w:tcPr>
            <w:tcW w:w="977"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 xml:space="preserve">$13.23 </w:t>
            </w:r>
          </w:p>
        </w:tc>
      </w:tr>
      <w:tr w:rsidR="00461C2D" w:rsidRPr="004A1862" w:rsidTr="00B82FB3">
        <w:trPr>
          <w:trHeight w:val="290"/>
        </w:trPr>
        <w:tc>
          <w:tcPr>
            <w:tcW w:w="638"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Alphagan®</w:t>
            </w:r>
          </w:p>
        </w:tc>
        <w:tc>
          <w:tcPr>
            <w:tcW w:w="1431"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brimonidine</w:t>
            </w:r>
          </w:p>
        </w:tc>
        <w:tc>
          <w:tcPr>
            <w:tcW w:w="977"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 xml:space="preserve">$20.48 </w:t>
            </w:r>
          </w:p>
        </w:tc>
        <w:tc>
          <w:tcPr>
            <w:tcW w:w="977"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 xml:space="preserve">$11.93 </w:t>
            </w:r>
          </w:p>
        </w:tc>
        <w:tc>
          <w:tcPr>
            <w:tcW w:w="977"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 xml:space="preserve">$11.10 </w:t>
            </w:r>
          </w:p>
        </w:tc>
      </w:tr>
      <w:tr w:rsidR="00461C2D" w:rsidRPr="004A1862" w:rsidTr="00B82FB3">
        <w:trPr>
          <w:trHeight w:val="290"/>
        </w:trPr>
        <w:tc>
          <w:tcPr>
            <w:tcW w:w="638"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6C372E"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Simbrinza®</w:t>
            </w:r>
          </w:p>
        </w:tc>
        <w:tc>
          <w:tcPr>
            <w:tcW w:w="1431"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brinzolamide/brimonidine</w:t>
            </w:r>
          </w:p>
        </w:tc>
        <w:tc>
          <w:tcPr>
            <w:tcW w:w="977"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w:t>
            </w:r>
            <w:r w:rsidR="001119B4">
              <w:rPr>
                <w:rFonts w:ascii="Arial Narrow" w:hAnsi="Arial Narrow" w:cs="Times New Roman"/>
                <w:noProof/>
                <w:snapToGrid/>
                <w:color w:val="000000"/>
                <w:sz w:val="20"/>
                <w:highlight w:val="black"/>
                <w:lang w:eastAsia="en-AU"/>
              </w:rPr>
              <w:t>'''''''''''''''</w:t>
            </w:r>
            <w:r w:rsidRPr="004A1862">
              <w:rPr>
                <w:rFonts w:ascii="Arial Narrow" w:hAnsi="Arial Narrow" w:cs="Times New Roman"/>
                <w:snapToGrid/>
                <w:sz w:val="20"/>
                <w:vertAlign w:val="superscript"/>
                <w:lang w:eastAsia="en-AU"/>
              </w:rPr>
              <w:t>a</w:t>
            </w:r>
            <w:r w:rsidR="00061DA8" w:rsidRPr="004A1862">
              <w:rPr>
                <w:rFonts w:ascii="Arial Narrow" w:hAnsi="Arial Narrow" w:cs="Times New Roman"/>
                <w:snapToGrid/>
                <w:sz w:val="20"/>
                <w:lang w:eastAsia="en-AU"/>
              </w:rPr>
              <w:t xml:space="preserve"> </w:t>
            </w:r>
          </w:p>
        </w:tc>
        <w:tc>
          <w:tcPr>
            <w:tcW w:w="977"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w:t>
            </w:r>
            <w:r w:rsidR="001119B4">
              <w:rPr>
                <w:rFonts w:ascii="Arial Narrow" w:hAnsi="Arial Narrow" w:cs="Times New Roman"/>
                <w:noProof/>
                <w:snapToGrid/>
                <w:color w:val="000000"/>
                <w:sz w:val="20"/>
                <w:highlight w:val="black"/>
                <w:lang w:eastAsia="en-AU"/>
              </w:rPr>
              <w:t>''''''''''''''</w:t>
            </w:r>
            <w:r w:rsidR="00061DA8" w:rsidRPr="004A1862">
              <w:rPr>
                <w:rFonts w:ascii="Arial Narrow" w:hAnsi="Arial Narrow" w:cs="Times New Roman"/>
                <w:snapToGrid/>
                <w:sz w:val="20"/>
                <w:lang w:eastAsia="en-AU"/>
              </w:rPr>
              <w:t xml:space="preserve"> </w:t>
            </w:r>
          </w:p>
        </w:tc>
        <w:tc>
          <w:tcPr>
            <w:tcW w:w="977" w:type="pct"/>
            <w:tcBorders>
              <w:top w:val="single" w:sz="4" w:space="0" w:color="auto"/>
              <w:left w:val="single" w:sz="4" w:space="0" w:color="auto"/>
              <w:bottom w:val="single" w:sz="4" w:space="0" w:color="auto"/>
              <w:right w:val="single" w:sz="4" w:space="0" w:color="auto"/>
            </w:tcBorders>
            <w:shd w:val="solid" w:color="FFFFFF" w:fill="auto"/>
          </w:tcPr>
          <w:p w:rsidR="00461C2D" w:rsidRPr="004A1862" w:rsidRDefault="00461C2D" w:rsidP="00B1079F">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w:t>
            </w:r>
            <w:r w:rsidR="001119B4">
              <w:rPr>
                <w:rFonts w:ascii="Arial Narrow" w:hAnsi="Arial Narrow" w:cs="Times New Roman"/>
                <w:noProof/>
                <w:snapToGrid/>
                <w:color w:val="000000"/>
                <w:sz w:val="20"/>
                <w:highlight w:val="black"/>
                <w:lang w:eastAsia="en-AU"/>
              </w:rPr>
              <w:t>''''''''''''</w:t>
            </w:r>
            <w:r w:rsidR="00061DA8" w:rsidRPr="004A1862">
              <w:rPr>
                <w:rFonts w:ascii="Arial Narrow" w:hAnsi="Arial Narrow" w:cs="Times New Roman"/>
                <w:snapToGrid/>
                <w:sz w:val="20"/>
                <w:lang w:eastAsia="en-AU"/>
              </w:rPr>
              <w:t xml:space="preserve"> </w:t>
            </w:r>
          </w:p>
        </w:tc>
      </w:tr>
    </w:tbl>
    <w:p w:rsidR="00461C2D" w:rsidRPr="004A1862" w:rsidRDefault="00B82FB3" w:rsidP="00B1079F">
      <w:pPr>
        <w:pStyle w:val="TableFooter"/>
        <w:ind w:firstLine="720"/>
        <w:rPr>
          <w:sz w:val="16"/>
          <w:szCs w:val="18"/>
        </w:rPr>
      </w:pPr>
      <w:r w:rsidRPr="004A1862">
        <w:rPr>
          <w:rFonts w:cs="Times New Roman"/>
          <w:snapToGrid/>
          <w:sz w:val="20"/>
          <w:vertAlign w:val="superscript"/>
          <w:lang w:eastAsia="en-AU"/>
        </w:rPr>
        <w:t>a</w:t>
      </w:r>
      <w:r w:rsidR="00461C2D" w:rsidRPr="004A1862">
        <w:rPr>
          <w:sz w:val="16"/>
          <w:szCs w:val="18"/>
        </w:rPr>
        <w:t xml:space="preserve"> SIMBRINZA price = [(BRINZ PTP price + BRIM PTP price) * 1.15] + $6.76 (pharmacy mark-up)</w:t>
      </w:r>
    </w:p>
    <w:p w:rsidR="0071285C" w:rsidRPr="004A1862" w:rsidRDefault="00134602" w:rsidP="0071285C">
      <w:pPr>
        <w:pStyle w:val="TableFooter"/>
        <w:ind w:firstLine="720"/>
        <w:rPr>
          <w:sz w:val="16"/>
          <w:szCs w:val="18"/>
        </w:rPr>
      </w:pPr>
      <w:r w:rsidRPr="004A1862">
        <w:rPr>
          <w:sz w:val="16"/>
          <w:szCs w:val="18"/>
        </w:rPr>
        <w:t>Abbreviations: DPMQ = dispensed price for maximum quantity; PtP = price to pharmacist; ExMan = ex manufacture price</w:t>
      </w:r>
    </w:p>
    <w:p w:rsidR="0071285C" w:rsidRPr="004A1862" w:rsidRDefault="0071285C" w:rsidP="0071285C">
      <w:pPr>
        <w:pStyle w:val="TableFooter"/>
        <w:ind w:firstLine="720"/>
        <w:rPr>
          <w:rFonts w:ascii="Arial" w:hAnsi="Arial"/>
          <w:sz w:val="22"/>
          <w:szCs w:val="22"/>
        </w:rPr>
      </w:pPr>
    </w:p>
    <w:p w:rsidR="0071285C" w:rsidRPr="004A1862" w:rsidRDefault="0071285C" w:rsidP="00447A8D">
      <w:pPr>
        <w:pStyle w:val="ListParagraph"/>
        <w:numPr>
          <w:ilvl w:val="1"/>
          <w:numId w:val="11"/>
        </w:numPr>
      </w:pPr>
      <w:r w:rsidRPr="004A1862">
        <w:t>In the pre-PBAC response the sponsor revised its pricing proposal by</w:t>
      </w:r>
      <w:r w:rsidR="00B82FB3" w:rsidRPr="004A1862">
        <w:t xml:space="preserve"> cost</w:t>
      </w:r>
      <w:r w:rsidR="00B82FB3" w:rsidRPr="004A1862">
        <w:noBreakHyphen/>
      </w:r>
      <w:r w:rsidR="00FE4818" w:rsidRPr="004A1862">
        <w:t xml:space="preserve">minimising brinzolamide + brimonidine to a mixed comparator comprising </w:t>
      </w:r>
      <w:r w:rsidR="001119B4">
        <w:rPr>
          <w:noProof/>
          <w:color w:val="000000"/>
          <w:highlight w:val="black"/>
        </w:rPr>
        <w:t>'''''''''''</w:t>
      </w:r>
      <w:r w:rsidR="00FE4818" w:rsidRPr="004A1862">
        <w:t xml:space="preserve">% of the sum of the components and </w:t>
      </w:r>
      <w:r w:rsidR="001119B4">
        <w:rPr>
          <w:noProof/>
          <w:color w:val="000000"/>
          <w:highlight w:val="black"/>
        </w:rPr>
        <w:t>'''''''</w:t>
      </w:r>
      <w:r w:rsidR="00FE4818" w:rsidRPr="004A1862">
        <w:t>% of a weighted b</w:t>
      </w:r>
      <w:r w:rsidRPr="004A1862">
        <w:t>rinzolamide</w:t>
      </w:r>
      <w:r w:rsidR="00FE4818" w:rsidRPr="004A1862">
        <w:t xml:space="preserve"> + </w:t>
      </w:r>
      <w:r w:rsidRPr="004A1862">
        <w:t xml:space="preserve">timolol </w:t>
      </w:r>
      <w:r w:rsidR="00FE4818" w:rsidRPr="004A1862">
        <w:t>and brimonidine + timolol FDC price</w:t>
      </w:r>
      <w:r w:rsidR="001A6948" w:rsidRPr="004A1862">
        <w:t>.</w:t>
      </w:r>
    </w:p>
    <w:p w:rsidR="00447A8D" w:rsidRPr="004A1862" w:rsidRDefault="00447A8D" w:rsidP="00FE4818">
      <w:pPr>
        <w:pStyle w:val="TableFooter"/>
        <w:ind w:left="720"/>
        <w:rPr>
          <w:rFonts w:ascii="Arial" w:eastAsiaTheme="minorEastAsia" w:hAnsi="Arial"/>
          <w:snapToGrid/>
          <w:color w:val="000000"/>
          <w:sz w:val="22"/>
          <w:szCs w:val="22"/>
        </w:rPr>
      </w:pPr>
    </w:p>
    <w:p w:rsidR="0071285C" w:rsidRPr="004A1862" w:rsidRDefault="001A6948" w:rsidP="00447A8D">
      <w:pPr>
        <w:tabs>
          <w:tab w:val="left" w:pos="142"/>
        </w:tabs>
        <w:ind w:firstLine="709"/>
        <w:jc w:val="left"/>
        <w:rPr>
          <w:rFonts w:ascii="Arial Narrow" w:hAnsi="Arial Narrow" w:cs="Times New Roman"/>
          <w:b/>
          <w:snapToGrid/>
          <w:sz w:val="20"/>
          <w:lang w:eastAsia="en-AU"/>
        </w:rPr>
      </w:pPr>
      <w:r w:rsidRPr="004A1862">
        <w:rPr>
          <w:rFonts w:ascii="Arial Narrow" w:hAnsi="Arial Narrow" w:cs="Times New Roman"/>
          <w:b/>
          <w:snapToGrid/>
          <w:sz w:val="20"/>
          <w:lang w:eastAsia="en-AU"/>
        </w:rPr>
        <w:t>T</w:t>
      </w:r>
      <w:r w:rsidR="00447A8D" w:rsidRPr="004A1862">
        <w:rPr>
          <w:rFonts w:ascii="Arial Narrow" w:hAnsi="Arial Narrow" w:cs="Times New Roman"/>
          <w:b/>
          <w:snapToGrid/>
          <w:sz w:val="20"/>
          <w:lang w:eastAsia="en-AU"/>
        </w:rPr>
        <w:t xml:space="preserve">able 7: Weighted average price </w:t>
      </w:r>
      <w:r w:rsidR="00A51EAA" w:rsidRPr="004A1862">
        <w:rPr>
          <w:rFonts w:ascii="Arial Narrow" w:hAnsi="Arial Narrow" w:cs="Times New Roman"/>
          <w:b/>
          <w:snapToGrid/>
          <w:sz w:val="20"/>
          <w:lang w:eastAsia="en-AU"/>
        </w:rPr>
        <w:t>of timolol based FDCs</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2193"/>
        <w:gridCol w:w="2191"/>
        <w:gridCol w:w="1784"/>
      </w:tblGrid>
      <w:tr w:rsidR="0071285C" w:rsidRPr="004A1862" w:rsidTr="00447A8D">
        <w:trPr>
          <w:trHeight w:val="255"/>
        </w:trPr>
        <w:tc>
          <w:tcPr>
            <w:tcW w:w="1312" w:type="pct"/>
            <w:shd w:val="clear" w:color="auto" w:fill="auto"/>
            <w:noWrap/>
            <w:hideMark/>
          </w:tcPr>
          <w:p w:rsidR="0071285C" w:rsidRPr="004A1862" w:rsidRDefault="0071285C" w:rsidP="00447A8D">
            <w:pPr>
              <w:tabs>
                <w:tab w:val="left" w:pos="142"/>
              </w:tabs>
              <w:jc w:val="left"/>
              <w:rPr>
                <w:rFonts w:ascii="Arial Narrow" w:hAnsi="Arial Narrow" w:cs="Times New Roman"/>
                <w:b/>
                <w:snapToGrid/>
                <w:sz w:val="20"/>
                <w:lang w:eastAsia="en-AU"/>
              </w:rPr>
            </w:pPr>
            <w:r w:rsidRPr="004A1862">
              <w:rPr>
                <w:rFonts w:ascii="Arial Narrow" w:hAnsi="Arial Narrow" w:cs="Times New Roman"/>
                <w:b/>
                <w:snapToGrid/>
                <w:sz w:val="20"/>
                <w:lang w:eastAsia="en-AU"/>
              </w:rPr>
              <w:t>Price methodology</w:t>
            </w:r>
          </w:p>
        </w:tc>
        <w:tc>
          <w:tcPr>
            <w:tcW w:w="1311" w:type="pct"/>
            <w:shd w:val="clear" w:color="auto" w:fill="auto"/>
            <w:noWrap/>
            <w:hideMark/>
          </w:tcPr>
          <w:p w:rsidR="0071285C" w:rsidRPr="004A1862" w:rsidRDefault="0071285C" w:rsidP="00447A8D">
            <w:pPr>
              <w:tabs>
                <w:tab w:val="left" w:pos="142"/>
              </w:tabs>
              <w:jc w:val="left"/>
              <w:rPr>
                <w:rFonts w:ascii="Arial Narrow" w:hAnsi="Arial Narrow" w:cs="Times New Roman"/>
                <w:b/>
                <w:snapToGrid/>
                <w:sz w:val="20"/>
                <w:lang w:eastAsia="en-AU"/>
              </w:rPr>
            </w:pPr>
            <w:r w:rsidRPr="004A1862">
              <w:rPr>
                <w:rFonts w:ascii="Arial Narrow" w:hAnsi="Arial Narrow" w:cs="Times New Roman"/>
                <w:b/>
                <w:snapToGrid/>
                <w:sz w:val="20"/>
                <w:lang w:eastAsia="en-AU"/>
              </w:rPr>
              <w:t>PTP</w:t>
            </w:r>
          </w:p>
        </w:tc>
        <w:tc>
          <w:tcPr>
            <w:tcW w:w="1310" w:type="pct"/>
            <w:shd w:val="clear" w:color="auto" w:fill="auto"/>
            <w:noWrap/>
            <w:hideMark/>
          </w:tcPr>
          <w:p w:rsidR="0071285C" w:rsidRPr="004A1862" w:rsidRDefault="0071285C" w:rsidP="00447A8D">
            <w:pPr>
              <w:tabs>
                <w:tab w:val="left" w:pos="142"/>
              </w:tabs>
              <w:jc w:val="left"/>
              <w:rPr>
                <w:rFonts w:ascii="Arial Narrow" w:hAnsi="Arial Narrow" w:cs="Times New Roman"/>
                <w:b/>
                <w:snapToGrid/>
                <w:sz w:val="20"/>
                <w:lang w:eastAsia="en-AU"/>
              </w:rPr>
            </w:pPr>
            <w:r w:rsidRPr="004A1862">
              <w:rPr>
                <w:rFonts w:ascii="Arial Narrow" w:hAnsi="Arial Narrow" w:cs="Times New Roman"/>
                <w:b/>
                <w:snapToGrid/>
                <w:sz w:val="20"/>
                <w:lang w:eastAsia="en-AU"/>
              </w:rPr>
              <w:t>ExMan</w:t>
            </w:r>
          </w:p>
        </w:tc>
        <w:tc>
          <w:tcPr>
            <w:tcW w:w="1068" w:type="pct"/>
            <w:shd w:val="clear" w:color="auto" w:fill="auto"/>
            <w:noWrap/>
            <w:hideMark/>
          </w:tcPr>
          <w:p w:rsidR="0071285C" w:rsidRPr="004A1862" w:rsidRDefault="0071285C" w:rsidP="00447A8D">
            <w:pPr>
              <w:tabs>
                <w:tab w:val="left" w:pos="142"/>
              </w:tabs>
              <w:jc w:val="left"/>
              <w:rPr>
                <w:rFonts w:ascii="Arial Narrow" w:hAnsi="Arial Narrow" w:cs="Times New Roman"/>
                <w:b/>
                <w:snapToGrid/>
                <w:sz w:val="20"/>
                <w:lang w:eastAsia="en-AU"/>
              </w:rPr>
            </w:pPr>
            <w:r w:rsidRPr="004A1862">
              <w:rPr>
                <w:rFonts w:ascii="Arial Narrow" w:hAnsi="Arial Narrow" w:cs="Times New Roman"/>
                <w:b/>
                <w:snapToGrid/>
                <w:sz w:val="20"/>
                <w:lang w:eastAsia="en-AU"/>
              </w:rPr>
              <w:t>Weighting</w:t>
            </w:r>
          </w:p>
        </w:tc>
      </w:tr>
      <w:tr w:rsidR="0071285C" w:rsidRPr="004A1862" w:rsidTr="00447A8D">
        <w:trPr>
          <w:trHeight w:val="255"/>
        </w:trPr>
        <w:tc>
          <w:tcPr>
            <w:tcW w:w="1312" w:type="pct"/>
            <w:shd w:val="clear" w:color="auto" w:fill="auto"/>
            <w:noWrap/>
          </w:tcPr>
          <w:p w:rsidR="0071285C" w:rsidRPr="004A1862" w:rsidRDefault="0071285C" w:rsidP="00447A8D">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Constituent parts price</w:t>
            </w:r>
          </w:p>
        </w:tc>
        <w:tc>
          <w:tcPr>
            <w:tcW w:w="1311" w:type="pct"/>
            <w:shd w:val="clear" w:color="auto" w:fill="auto"/>
            <w:noWrap/>
          </w:tcPr>
          <w:p w:rsidR="0071285C" w:rsidRPr="004A1862" w:rsidRDefault="0071285C" w:rsidP="00447A8D">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$26.15</w:t>
            </w:r>
          </w:p>
        </w:tc>
        <w:tc>
          <w:tcPr>
            <w:tcW w:w="1310" w:type="pct"/>
            <w:shd w:val="clear" w:color="auto" w:fill="auto"/>
            <w:noWrap/>
          </w:tcPr>
          <w:p w:rsidR="0071285C" w:rsidRPr="004A1862" w:rsidRDefault="0071285C" w:rsidP="00447A8D">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$24.32</w:t>
            </w:r>
          </w:p>
        </w:tc>
        <w:tc>
          <w:tcPr>
            <w:tcW w:w="1068" w:type="pct"/>
            <w:shd w:val="clear" w:color="auto" w:fill="auto"/>
            <w:noWrap/>
          </w:tcPr>
          <w:p w:rsidR="0071285C" w:rsidRPr="004A1862" w:rsidRDefault="001119B4" w:rsidP="00447A8D">
            <w:pPr>
              <w:tabs>
                <w:tab w:val="left" w:pos="142"/>
              </w:tabs>
              <w:jc w:val="left"/>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71285C" w:rsidRPr="004A1862">
              <w:rPr>
                <w:rFonts w:ascii="Arial Narrow" w:hAnsi="Arial Narrow" w:cs="Times New Roman"/>
                <w:snapToGrid/>
                <w:sz w:val="20"/>
                <w:lang w:eastAsia="en-AU"/>
              </w:rPr>
              <w:t>%</w:t>
            </w:r>
          </w:p>
        </w:tc>
      </w:tr>
      <w:tr w:rsidR="0071285C" w:rsidRPr="004A1862" w:rsidTr="00447A8D">
        <w:trPr>
          <w:trHeight w:val="255"/>
        </w:trPr>
        <w:tc>
          <w:tcPr>
            <w:tcW w:w="1312" w:type="pct"/>
            <w:shd w:val="clear" w:color="auto" w:fill="auto"/>
            <w:noWrap/>
            <w:hideMark/>
          </w:tcPr>
          <w:p w:rsidR="0071285C" w:rsidRPr="004A1862" w:rsidRDefault="0071285C" w:rsidP="00447A8D">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 xml:space="preserve">Timolol based FDC price </w:t>
            </w:r>
          </w:p>
        </w:tc>
        <w:tc>
          <w:tcPr>
            <w:tcW w:w="1311" w:type="pct"/>
            <w:shd w:val="clear" w:color="auto" w:fill="auto"/>
            <w:noWrap/>
            <w:hideMark/>
          </w:tcPr>
          <w:p w:rsidR="0071285C" w:rsidRPr="004A1862" w:rsidRDefault="0071285C" w:rsidP="00447A8D">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w:t>
            </w:r>
            <w:r w:rsidR="001119B4">
              <w:rPr>
                <w:rFonts w:ascii="Arial Narrow" w:hAnsi="Arial Narrow" w:cs="Times New Roman"/>
                <w:noProof/>
                <w:snapToGrid/>
                <w:color w:val="000000"/>
                <w:sz w:val="20"/>
                <w:highlight w:val="black"/>
                <w:lang w:eastAsia="en-AU"/>
              </w:rPr>
              <w:t>'''''''''''''''</w:t>
            </w:r>
            <w:r w:rsidRPr="004A1862">
              <w:rPr>
                <w:rFonts w:ascii="Arial Narrow" w:hAnsi="Arial Narrow" w:cs="Times New Roman"/>
                <w:snapToGrid/>
                <w:sz w:val="20"/>
                <w:lang w:eastAsia="en-AU"/>
              </w:rPr>
              <w:t>a</w:t>
            </w:r>
          </w:p>
        </w:tc>
        <w:tc>
          <w:tcPr>
            <w:tcW w:w="1310" w:type="pct"/>
            <w:shd w:val="clear" w:color="auto" w:fill="auto"/>
            <w:noWrap/>
            <w:hideMark/>
          </w:tcPr>
          <w:p w:rsidR="0071285C" w:rsidRPr="004A1862" w:rsidRDefault="0071285C" w:rsidP="00447A8D">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w:t>
            </w:r>
            <w:r w:rsidR="001119B4">
              <w:rPr>
                <w:rFonts w:ascii="Arial Narrow" w:hAnsi="Arial Narrow" w:cs="Times New Roman"/>
                <w:noProof/>
                <w:snapToGrid/>
                <w:color w:val="000000"/>
                <w:sz w:val="20"/>
                <w:highlight w:val="black"/>
                <w:lang w:eastAsia="en-AU"/>
              </w:rPr>
              <w:t>''''''''''''</w:t>
            </w:r>
          </w:p>
        </w:tc>
        <w:tc>
          <w:tcPr>
            <w:tcW w:w="1068" w:type="pct"/>
            <w:shd w:val="clear" w:color="auto" w:fill="auto"/>
            <w:noWrap/>
            <w:hideMark/>
          </w:tcPr>
          <w:p w:rsidR="0071285C" w:rsidRPr="004A1862" w:rsidRDefault="001119B4" w:rsidP="00447A8D">
            <w:pPr>
              <w:tabs>
                <w:tab w:val="left" w:pos="142"/>
              </w:tabs>
              <w:jc w:val="left"/>
              <w:rPr>
                <w:rFonts w:ascii="Arial Narrow" w:hAnsi="Arial Narrow" w:cs="Times New Roman"/>
                <w:snapToGrid/>
                <w:sz w:val="20"/>
                <w:lang w:eastAsia="en-AU"/>
              </w:rPr>
            </w:pPr>
            <w:r>
              <w:rPr>
                <w:rFonts w:ascii="Arial Narrow" w:hAnsi="Arial Narrow" w:cs="Times New Roman"/>
                <w:noProof/>
                <w:snapToGrid/>
                <w:color w:val="000000"/>
                <w:sz w:val="20"/>
                <w:highlight w:val="black"/>
                <w:lang w:eastAsia="en-AU"/>
              </w:rPr>
              <w:t>'''''''''</w:t>
            </w:r>
            <w:r w:rsidR="0071285C" w:rsidRPr="004A1862">
              <w:rPr>
                <w:rFonts w:ascii="Arial Narrow" w:hAnsi="Arial Narrow" w:cs="Times New Roman"/>
                <w:snapToGrid/>
                <w:sz w:val="20"/>
                <w:lang w:eastAsia="en-AU"/>
              </w:rPr>
              <w:t>%</w:t>
            </w:r>
          </w:p>
        </w:tc>
      </w:tr>
      <w:tr w:rsidR="0071285C" w:rsidRPr="004A1862" w:rsidTr="00447A8D">
        <w:trPr>
          <w:trHeight w:val="255"/>
        </w:trPr>
        <w:tc>
          <w:tcPr>
            <w:tcW w:w="1312" w:type="pct"/>
            <w:shd w:val="clear" w:color="auto" w:fill="auto"/>
            <w:noWrap/>
            <w:hideMark/>
          </w:tcPr>
          <w:p w:rsidR="0071285C" w:rsidRPr="004A1862" w:rsidRDefault="0071285C" w:rsidP="00447A8D">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Weighted price</w:t>
            </w:r>
          </w:p>
        </w:tc>
        <w:tc>
          <w:tcPr>
            <w:tcW w:w="1311" w:type="pct"/>
            <w:shd w:val="clear" w:color="auto" w:fill="auto"/>
            <w:noWrap/>
            <w:hideMark/>
          </w:tcPr>
          <w:p w:rsidR="0071285C" w:rsidRPr="004A1862" w:rsidRDefault="0071285C" w:rsidP="00447A8D">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w:t>
            </w:r>
            <w:r w:rsidR="001119B4">
              <w:rPr>
                <w:rFonts w:ascii="Arial Narrow" w:hAnsi="Arial Narrow" w:cs="Times New Roman"/>
                <w:noProof/>
                <w:snapToGrid/>
                <w:color w:val="000000"/>
                <w:sz w:val="20"/>
                <w:highlight w:val="black"/>
                <w:lang w:eastAsia="en-AU"/>
              </w:rPr>
              <w:t>'''''''''''''</w:t>
            </w:r>
          </w:p>
        </w:tc>
        <w:tc>
          <w:tcPr>
            <w:tcW w:w="1310" w:type="pct"/>
            <w:shd w:val="clear" w:color="auto" w:fill="auto"/>
            <w:noWrap/>
            <w:hideMark/>
          </w:tcPr>
          <w:p w:rsidR="0071285C" w:rsidRPr="004A1862" w:rsidRDefault="0071285C" w:rsidP="00447A8D">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w:t>
            </w:r>
            <w:r w:rsidR="001119B4">
              <w:rPr>
                <w:rFonts w:ascii="Arial Narrow" w:hAnsi="Arial Narrow" w:cs="Times New Roman"/>
                <w:noProof/>
                <w:snapToGrid/>
                <w:color w:val="000000"/>
                <w:sz w:val="20"/>
                <w:highlight w:val="black"/>
                <w:lang w:eastAsia="en-AU"/>
              </w:rPr>
              <w:t>'''''''''''''</w:t>
            </w:r>
          </w:p>
        </w:tc>
        <w:tc>
          <w:tcPr>
            <w:tcW w:w="1068" w:type="pct"/>
            <w:shd w:val="clear" w:color="auto" w:fill="auto"/>
            <w:noWrap/>
            <w:hideMark/>
          </w:tcPr>
          <w:p w:rsidR="0071285C" w:rsidRPr="004A1862" w:rsidRDefault="0071285C" w:rsidP="00447A8D">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100.0%</w:t>
            </w:r>
          </w:p>
        </w:tc>
      </w:tr>
    </w:tbl>
    <w:p w:rsidR="0071285C" w:rsidRPr="004A1862" w:rsidRDefault="00447A8D" w:rsidP="00447A8D">
      <w:pPr>
        <w:widowControl/>
        <w:spacing w:after="240" w:line="276" w:lineRule="auto"/>
        <w:ind w:left="709"/>
        <w:jc w:val="left"/>
        <w:rPr>
          <w:rFonts w:ascii="Arial Narrow" w:hAnsi="Arial Narrow" w:cs="Times New Roman"/>
          <w:snapToGrid/>
          <w:sz w:val="16"/>
        </w:rPr>
      </w:pPr>
      <w:r w:rsidRPr="004A1862">
        <w:rPr>
          <w:rFonts w:ascii="Arial Narrow" w:hAnsi="Arial Narrow" w:cs="Times New Roman"/>
          <w:snapToGrid/>
          <w:sz w:val="16"/>
        </w:rPr>
        <w:t xml:space="preserve">a </w:t>
      </w:r>
      <w:r w:rsidR="0071285C" w:rsidRPr="004A1862">
        <w:rPr>
          <w:rFonts w:ascii="Arial Narrow" w:hAnsi="Arial Narrow" w:cs="Times New Roman"/>
          <w:snapToGrid/>
          <w:sz w:val="16"/>
        </w:rPr>
        <w:t>Weighted average price of brinzolamide+timolol (</w:t>
      </w:r>
      <w:r w:rsidR="001119B4">
        <w:rPr>
          <w:rFonts w:ascii="Arial Narrow" w:hAnsi="Arial Narrow" w:cs="Times New Roman"/>
          <w:noProof/>
          <w:snapToGrid/>
          <w:color w:val="000000"/>
          <w:sz w:val="16"/>
          <w:highlight w:val="black"/>
        </w:rPr>
        <w:t>'''''</w:t>
      </w:r>
      <w:r w:rsidR="0071285C" w:rsidRPr="004A1862">
        <w:rPr>
          <w:rFonts w:ascii="Arial Narrow" w:hAnsi="Arial Narrow" w:cs="Times New Roman"/>
          <w:snapToGrid/>
          <w:sz w:val="16"/>
        </w:rPr>
        <w:t>%) and brimonidine+timolol (</w:t>
      </w:r>
      <w:r w:rsidR="001119B4">
        <w:rPr>
          <w:rFonts w:ascii="Arial Narrow" w:hAnsi="Arial Narrow" w:cs="Times New Roman"/>
          <w:noProof/>
          <w:snapToGrid/>
          <w:color w:val="000000"/>
          <w:sz w:val="16"/>
          <w:highlight w:val="black"/>
        </w:rPr>
        <w:t>''''''</w:t>
      </w:r>
      <w:r w:rsidR="0071285C" w:rsidRPr="004A1862">
        <w:rPr>
          <w:rFonts w:ascii="Arial Narrow" w:hAnsi="Arial Narrow" w:cs="Times New Roman"/>
          <w:snapToGrid/>
          <w:sz w:val="16"/>
        </w:rPr>
        <w:t xml:space="preserve">%) FDCs on the PBS. </w:t>
      </w:r>
    </w:p>
    <w:p w:rsidR="00C25D9C" w:rsidRPr="004A1862" w:rsidRDefault="001A6948" w:rsidP="00447A8D">
      <w:pPr>
        <w:pStyle w:val="ListParagraph"/>
        <w:numPr>
          <w:ilvl w:val="1"/>
          <w:numId w:val="11"/>
        </w:numPr>
      </w:pPr>
      <w:r w:rsidRPr="004A1862">
        <w:t>The PBAC noted the sponsors new pricing proposal, but considered that the appropriate basis for recommending brinzolamide + brimonidine was on a cost-minimisation basis against the proportion of patients who could use a timolol based FDC rather than the proportions of patients who are using a timolol based FDC. The PBAC further noted that the pre-PBAC approach to weighting the price of the timolol based FDCs was not appropriate (see paragraph 7.9).</w:t>
      </w:r>
    </w:p>
    <w:p w:rsidR="001A6948" w:rsidRPr="004A1862" w:rsidRDefault="001A6948" w:rsidP="00C25D9C">
      <w:pPr>
        <w:widowControl/>
        <w:rPr>
          <w:szCs w:val="22"/>
        </w:rPr>
      </w:pPr>
    </w:p>
    <w:p w:rsidR="00C25D9C" w:rsidRPr="004A1862" w:rsidRDefault="00C25D9C" w:rsidP="00470F40">
      <w:pPr>
        <w:pStyle w:val="Heading2"/>
        <w:rPr>
          <w:i/>
          <w:szCs w:val="22"/>
        </w:rPr>
      </w:pPr>
      <w:bookmarkStart w:id="14" w:name="_Toc419189232"/>
      <w:r w:rsidRPr="004A1862">
        <w:rPr>
          <w:i/>
        </w:rPr>
        <w:t>Drug cost/pati</w:t>
      </w:r>
      <w:r w:rsidR="00A17DA3" w:rsidRPr="004A1862">
        <w:rPr>
          <w:i/>
        </w:rPr>
        <w:t>ent/year</w:t>
      </w:r>
      <w:bookmarkEnd w:id="14"/>
    </w:p>
    <w:p w:rsidR="00C25D9C" w:rsidRPr="004A1862" w:rsidRDefault="00C25D9C" w:rsidP="00C25D9C">
      <w:pPr>
        <w:widowControl/>
        <w:rPr>
          <w:szCs w:val="22"/>
        </w:rPr>
      </w:pPr>
    </w:p>
    <w:p w:rsidR="00B60939" w:rsidRPr="004A1862" w:rsidRDefault="00CB3068" w:rsidP="00470F40">
      <w:pPr>
        <w:pStyle w:val="ListParagraph"/>
        <w:widowControl/>
        <w:numPr>
          <w:ilvl w:val="1"/>
          <w:numId w:val="11"/>
        </w:numPr>
        <w:rPr>
          <w:szCs w:val="22"/>
        </w:rPr>
      </w:pPr>
      <w:r w:rsidRPr="004A1862">
        <w:rPr>
          <w:szCs w:val="22"/>
        </w:rPr>
        <w:t>$</w:t>
      </w:r>
      <w:r w:rsidR="001119B4">
        <w:rPr>
          <w:noProof/>
          <w:color w:val="000000"/>
          <w:szCs w:val="22"/>
          <w:highlight w:val="black"/>
        </w:rPr>
        <w:t>''''''''''''''''</w:t>
      </w:r>
      <w:r w:rsidR="006872BA" w:rsidRPr="004A1862">
        <w:rPr>
          <w:szCs w:val="22"/>
        </w:rPr>
        <w:t xml:space="preserve"> </w:t>
      </w:r>
      <w:r w:rsidR="00C25D9C" w:rsidRPr="004A1862">
        <w:rPr>
          <w:szCs w:val="22"/>
        </w:rPr>
        <w:t>year</w:t>
      </w:r>
      <w:r w:rsidRPr="004A1862">
        <w:rPr>
          <w:szCs w:val="22"/>
        </w:rPr>
        <w:t xml:space="preserve"> based on the requested DPMQ and assuming 12 scripts per year.</w:t>
      </w:r>
      <w:r w:rsidR="00A17DA3" w:rsidRPr="004A1862">
        <w:rPr>
          <w:szCs w:val="22"/>
        </w:rPr>
        <w:t xml:space="preserve"> </w:t>
      </w:r>
      <w:r w:rsidR="00470F40" w:rsidRPr="004A1862">
        <w:rPr>
          <w:szCs w:val="22"/>
        </w:rPr>
        <w:t xml:space="preserve"> </w:t>
      </w:r>
      <w:r w:rsidRPr="004A1862">
        <w:rPr>
          <w:szCs w:val="22"/>
        </w:rPr>
        <w:t>This compare</w:t>
      </w:r>
      <w:r w:rsidR="00A9271D" w:rsidRPr="004A1862">
        <w:rPr>
          <w:szCs w:val="22"/>
        </w:rPr>
        <w:t>d</w:t>
      </w:r>
      <w:r w:rsidRPr="004A1862">
        <w:rPr>
          <w:szCs w:val="22"/>
        </w:rPr>
        <w:t xml:space="preserve"> with a cost of</w:t>
      </w:r>
      <w:r w:rsidR="0084259B" w:rsidRPr="004A1862">
        <w:rPr>
          <w:szCs w:val="22"/>
        </w:rPr>
        <w:t xml:space="preserve"> $523.08/year for brinzolamide plus</w:t>
      </w:r>
      <w:r w:rsidRPr="004A1862">
        <w:rPr>
          <w:szCs w:val="22"/>
        </w:rPr>
        <w:t xml:space="preserve"> brimonidine used concomitantly, assumin</w:t>
      </w:r>
      <w:r w:rsidR="00CC126E" w:rsidRPr="004A1862">
        <w:rPr>
          <w:szCs w:val="22"/>
        </w:rPr>
        <w:t xml:space="preserve">g 12 scripts of </w:t>
      </w:r>
      <w:r w:rsidR="005F5B00" w:rsidRPr="004A1862">
        <w:rPr>
          <w:szCs w:val="22"/>
        </w:rPr>
        <w:t xml:space="preserve">brinzolamide </w:t>
      </w:r>
      <w:r w:rsidR="00CC126E" w:rsidRPr="004A1862">
        <w:rPr>
          <w:szCs w:val="22"/>
        </w:rPr>
        <w:t>plus</w:t>
      </w:r>
      <w:r w:rsidRPr="004A1862">
        <w:rPr>
          <w:szCs w:val="22"/>
        </w:rPr>
        <w:t xml:space="preserve"> 12 scripts of </w:t>
      </w:r>
      <w:r w:rsidR="005F5B00" w:rsidRPr="004A1862">
        <w:rPr>
          <w:szCs w:val="22"/>
        </w:rPr>
        <w:t>brimonidine</w:t>
      </w:r>
      <w:r w:rsidRPr="004A1862">
        <w:rPr>
          <w:szCs w:val="22"/>
        </w:rPr>
        <w:t>.</w:t>
      </w:r>
      <w:r w:rsidR="00A17DA3" w:rsidRPr="004A1862">
        <w:rPr>
          <w:rFonts w:ascii="Arial Narrow" w:hAnsi="Arial Narrow"/>
          <w:sz w:val="20"/>
        </w:rPr>
        <w:t xml:space="preserve"> </w:t>
      </w:r>
      <w:r w:rsidR="00470F40" w:rsidRPr="004A1862">
        <w:rPr>
          <w:rFonts w:ascii="Arial Narrow" w:hAnsi="Arial Narrow"/>
          <w:sz w:val="20"/>
        </w:rPr>
        <w:t xml:space="preserve"> </w:t>
      </w:r>
      <w:r w:rsidR="00470F40" w:rsidRPr="004A1862">
        <w:t>This also compare</w:t>
      </w:r>
      <w:r w:rsidR="00A9271D" w:rsidRPr="004A1862">
        <w:t>d</w:t>
      </w:r>
      <w:r w:rsidR="00470F40" w:rsidRPr="004A1862">
        <w:t xml:space="preserve"> with $290.28, assuming 12 scripts per year of </w:t>
      </w:r>
      <w:r w:rsidR="005F5B00" w:rsidRPr="004A1862">
        <w:rPr>
          <w:bCs/>
          <w:iCs/>
        </w:rPr>
        <w:t xml:space="preserve">dorzolamide + timolol FDC </w:t>
      </w:r>
      <w:r w:rsidR="00470F40" w:rsidRPr="004A1862">
        <w:t>(dorzolamide/timolol FDC), which is th</w:t>
      </w:r>
      <w:r w:rsidR="0051454B" w:rsidRPr="004A1862">
        <w:t>e cheapest of the currently PBS</w:t>
      </w:r>
      <w:r w:rsidR="0051454B" w:rsidRPr="004A1862">
        <w:noBreakHyphen/>
      </w:r>
      <w:r w:rsidR="00470F40" w:rsidRPr="004A1862">
        <w:t>listed FDCs for the treatment of elevated intra-ocular pressure (and acknowledged by the submission to be a relevant comparator</w:t>
      </w:r>
      <w:r w:rsidR="00FF0008" w:rsidRPr="004A1862">
        <w:rPr>
          <w:i/>
        </w:rPr>
        <w:t xml:space="preserve"> </w:t>
      </w:r>
      <w:r w:rsidR="00FF0008" w:rsidRPr="004A1862">
        <w:t xml:space="preserve">in the sub-population of patients on a timolol-based FDC with specific </w:t>
      </w:r>
      <w:r w:rsidR="0051454B" w:rsidRPr="004A1862">
        <w:t>health concerns related to beta</w:t>
      </w:r>
      <w:r w:rsidR="0051454B" w:rsidRPr="004A1862">
        <w:noBreakHyphen/>
      </w:r>
      <w:r w:rsidR="00FF0008" w:rsidRPr="004A1862">
        <w:t>blockers</w:t>
      </w:r>
      <w:r w:rsidR="00470F40" w:rsidRPr="004A1862">
        <w:t>).</w:t>
      </w:r>
    </w:p>
    <w:p w:rsidR="00A17DA3" w:rsidRPr="004A1862" w:rsidRDefault="00A17DA3" w:rsidP="00A17DA3">
      <w:pPr>
        <w:pStyle w:val="ListParagraph"/>
        <w:widowControl/>
        <w:rPr>
          <w:szCs w:val="22"/>
        </w:rPr>
      </w:pPr>
    </w:p>
    <w:p w:rsidR="00B60939" w:rsidRPr="004A1862" w:rsidRDefault="00B60939" w:rsidP="002C2775">
      <w:pPr>
        <w:pStyle w:val="Heading2"/>
        <w:rPr>
          <w:i/>
        </w:rPr>
      </w:pPr>
      <w:bookmarkStart w:id="15" w:name="_Toc419189233"/>
      <w:r w:rsidRPr="004A1862">
        <w:rPr>
          <w:i/>
        </w:rPr>
        <w:t>Estimated PBS usage &amp; financial implications</w:t>
      </w:r>
      <w:bookmarkEnd w:id="15"/>
    </w:p>
    <w:p w:rsidR="00B60939" w:rsidRPr="004A1862" w:rsidRDefault="00B60939" w:rsidP="00B60939">
      <w:pPr>
        <w:ind w:left="720" w:hanging="720"/>
        <w:rPr>
          <w:b/>
          <w:i/>
          <w:szCs w:val="22"/>
        </w:rPr>
      </w:pPr>
    </w:p>
    <w:p w:rsidR="00692D94" w:rsidRPr="004A1862" w:rsidRDefault="00C25D9C" w:rsidP="00470F40">
      <w:pPr>
        <w:pStyle w:val="ListParagraph"/>
        <w:widowControl/>
        <w:numPr>
          <w:ilvl w:val="1"/>
          <w:numId w:val="11"/>
        </w:numPr>
        <w:rPr>
          <w:szCs w:val="22"/>
        </w:rPr>
      </w:pPr>
      <w:r w:rsidRPr="004A1862">
        <w:t xml:space="preserve">This submission </w:t>
      </w:r>
      <w:r w:rsidR="00880AC4" w:rsidRPr="004A1862">
        <w:t>was</w:t>
      </w:r>
      <w:r w:rsidRPr="004A1862">
        <w:t xml:space="preserve"> not considered by DUSC</w:t>
      </w:r>
      <w:r w:rsidRPr="004A1862">
        <w:rPr>
          <w:color w:val="0070C0"/>
        </w:rPr>
        <w:t>.</w:t>
      </w:r>
    </w:p>
    <w:p w:rsidR="00692D94" w:rsidRPr="004A1862" w:rsidRDefault="00692D94" w:rsidP="00692D94">
      <w:pPr>
        <w:pStyle w:val="ListParagraph"/>
        <w:widowControl/>
        <w:rPr>
          <w:szCs w:val="22"/>
        </w:rPr>
      </w:pPr>
    </w:p>
    <w:p w:rsidR="005302D0" w:rsidRPr="004A1862" w:rsidRDefault="005302D0" w:rsidP="00470F40">
      <w:pPr>
        <w:pStyle w:val="ListParagraph"/>
        <w:widowControl/>
        <w:numPr>
          <w:ilvl w:val="1"/>
          <w:numId w:val="11"/>
        </w:numPr>
        <w:rPr>
          <w:szCs w:val="22"/>
        </w:rPr>
      </w:pPr>
      <w:r w:rsidRPr="004A1862">
        <w:t xml:space="preserve">The submission </w:t>
      </w:r>
      <w:r w:rsidR="00470F40" w:rsidRPr="004A1862">
        <w:rPr>
          <w:iCs/>
        </w:rPr>
        <w:t>reasonably</w:t>
      </w:r>
      <w:r w:rsidR="00470F40" w:rsidRPr="004A1862">
        <w:rPr>
          <w:i/>
          <w:iCs/>
        </w:rPr>
        <w:t xml:space="preserve"> </w:t>
      </w:r>
      <w:r w:rsidRPr="004A1862">
        <w:t xml:space="preserve">used a market share approach to estimate the extent of use and financial implications of the requested listing for </w:t>
      </w:r>
      <w:r w:rsidR="005F5B00" w:rsidRPr="004A1862">
        <w:t>brinzolamide + brimonidine FDC</w:t>
      </w:r>
      <w:r w:rsidRPr="004A1862">
        <w:rPr>
          <w:color w:val="0070C0"/>
        </w:rPr>
        <w:t>.</w:t>
      </w:r>
    </w:p>
    <w:p w:rsidR="008D5506" w:rsidRPr="004A1862" w:rsidRDefault="008D5506" w:rsidP="008D5506">
      <w:pPr>
        <w:pStyle w:val="ListParagraph"/>
        <w:widowControl/>
        <w:rPr>
          <w:szCs w:val="22"/>
        </w:rPr>
      </w:pPr>
    </w:p>
    <w:p w:rsidR="009937A4" w:rsidRPr="004A1862" w:rsidRDefault="008D5506" w:rsidP="009937A4">
      <w:pPr>
        <w:pStyle w:val="ListParagraph"/>
        <w:widowControl/>
        <w:numPr>
          <w:ilvl w:val="1"/>
          <w:numId w:val="11"/>
        </w:numPr>
        <w:rPr>
          <w:szCs w:val="22"/>
        </w:rPr>
      </w:pPr>
      <w:r w:rsidRPr="004A1862">
        <w:rPr>
          <w:szCs w:val="22"/>
        </w:rPr>
        <w:t xml:space="preserve">The base case identified five patient groups who would potentially use </w:t>
      </w:r>
      <w:r w:rsidR="005F5B00" w:rsidRPr="004A1862">
        <w:t xml:space="preserve">brinzolamide + brimonidine FDC </w:t>
      </w:r>
      <w:r w:rsidRPr="004A1862">
        <w:rPr>
          <w:szCs w:val="22"/>
        </w:rPr>
        <w:t xml:space="preserve">where the extent of </w:t>
      </w:r>
      <w:r w:rsidR="005F5B00" w:rsidRPr="004A1862">
        <w:t xml:space="preserve">brinzolamide + brimonidine FDC </w:t>
      </w:r>
      <w:r w:rsidRPr="004A1862">
        <w:rPr>
          <w:szCs w:val="22"/>
        </w:rPr>
        <w:t>substitution would be expected to be different across the five groups.</w:t>
      </w:r>
    </w:p>
    <w:p w:rsidR="009937A4" w:rsidRPr="004A1862" w:rsidRDefault="009937A4" w:rsidP="009937A4">
      <w:pPr>
        <w:pStyle w:val="ListParagraph"/>
        <w:widowControl/>
        <w:numPr>
          <w:ilvl w:val="0"/>
          <w:numId w:val="24"/>
        </w:numPr>
        <w:autoSpaceDE w:val="0"/>
        <w:autoSpaceDN w:val="0"/>
        <w:adjustRightInd w:val="0"/>
        <w:spacing w:after="153"/>
        <w:ind w:left="1701" w:hanging="567"/>
        <w:jc w:val="left"/>
        <w:rPr>
          <w:snapToGrid/>
          <w:color w:val="000000"/>
          <w:szCs w:val="22"/>
          <w:lang w:eastAsia="en-AU"/>
        </w:rPr>
      </w:pPr>
      <w:r w:rsidRPr="004A1862">
        <w:rPr>
          <w:snapToGrid/>
          <w:color w:val="000000"/>
          <w:szCs w:val="22"/>
          <w:lang w:eastAsia="en-AU"/>
        </w:rPr>
        <w:t>Patients prescribed a CAI and AA as concomitant monotherapy.</w:t>
      </w:r>
    </w:p>
    <w:p w:rsidR="009937A4" w:rsidRPr="004A1862" w:rsidRDefault="009937A4" w:rsidP="009937A4">
      <w:pPr>
        <w:pStyle w:val="ListParagraph"/>
        <w:widowControl/>
        <w:numPr>
          <w:ilvl w:val="0"/>
          <w:numId w:val="24"/>
        </w:numPr>
        <w:autoSpaceDE w:val="0"/>
        <w:autoSpaceDN w:val="0"/>
        <w:adjustRightInd w:val="0"/>
        <w:spacing w:after="153"/>
        <w:ind w:left="1701" w:hanging="567"/>
        <w:jc w:val="left"/>
        <w:rPr>
          <w:snapToGrid/>
          <w:color w:val="000000"/>
          <w:szCs w:val="22"/>
          <w:lang w:eastAsia="en-AU"/>
        </w:rPr>
      </w:pPr>
      <w:r w:rsidRPr="004A1862">
        <w:rPr>
          <w:snapToGrid/>
          <w:color w:val="000000"/>
          <w:szCs w:val="22"/>
          <w:lang w:eastAsia="en-AU"/>
        </w:rPr>
        <w:t>Patients using either a CAI or AA FDC in a four-agent, three drop regimen who can reduce the drop burden.</w:t>
      </w:r>
    </w:p>
    <w:p w:rsidR="009937A4" w:rsidRPr="004A1862" w:rsidRDefault="009937A4" w:rsidP="009937A4">
      <w:pPr>
        <w:pStyle w:val="ListParagraph"/>
        <w:widowControl/>
        <w:numPr>
          <w:ilvl w:val="0"/>
          <w:numId w:val="24"/>
        </w:numPr>
        <w:autoSpaceDE w:val="0"/>
        <w:autoSpaceDN w:val="0"/>
        <w:adjustRightInd w:val="0"/>
        <w:spacing w:after="153"/>
        <w:ind w:left="1701" w:hanging="567"/>
        <w:jc w:val="left"/>
        <w:rPr>
          <w:snapToGrid/>
          <w:color w:val="000000"/>
          <w:szCs w:val="22"/>
          <w:lang w:eastAsia="en-AU"/>
        </w:rPr>
      </w:pPr>
      <w:r w:rsidRPr="004A1862">
        <w:rPr>
          <w:snapToGrid/>
          <w:color w:val="000000"/>
          <w:szCs w:val="22"/>
          <w:lang w:eastAsia="en-AU"/>
        </w:rPr>
        <w:t xml:space="preserve">Patients on three active therapies including both a CAI and AA but no change in drop burden. </w:t>
      </w:r>
    </w:p>
    <w:p w:rsidR="009937A4" w:rsidRPr="004A1862" w:rsidRDefault="009937A4" w:rsidP="009937A4">
      <w:pPr>
        <w:pStyle w:val="ListParagraph"/>
        <w:widowControl/>
        <w:numPr>
          <w:ilvl w:val="0"/>
          <w:numId w:val="24"/>
        </w:numPr>
        <w:autoSpaceDE w:val="0"/>
        <w:autoSpaceDN w:val="0"/>
        <w:adjustRightInd w:val="0"/>
        <w:spacing w:after="153"/>
        <w:ind w:left="1701" w:hanging="567"/>
        <w:jc w:val="left"/>
        <w:rPr>
          <w:snapToGrid/>
          <w:color w:val="000000"/>
          <w:szCs w:val="22"/>
          <w:lang w:eastAsia="en-AU"/>
        </w:rPr>
      </w:pPr>
      <w:r w:rsidRPr="004A1862">
        <w:rPr>
          <w:snapToGrid/>
          <w:color w:val="000000"/>
          <w:szCs w:val="22"/>
          <w:lang w:eastAsia="en-AU"/>
        </w:rPr>
        <w:t>Patients who require careful consideration and caution prior to being prescribed a beta-blocker.</w:t>
      </w:r>
    </w:p>
    <w:p w:rsidR="009937A4" w:rsidRPr="004A1862" w:rsidRDefault="009937A4" w:rsidP="009937A4">
      <w:pPr>
        <w:pStyle w:val="ListParagraph"/>
        <w:widowControl/>
        <w:numPr>
          <w:ilvl w:val="0"/>
          <w:numId w:val="24"/>
        </w:numPr>
        <w:autoSpaceDE w:val="0"/>
        <w:autoSpaceDN w:val="0"/>
        <w:adjustRightInd w:val="0"/>
        <w:spacing w:after="153"/>
        <w:ind w:left="1701" w:hanging="567"/>
        <w:jc w:val="left"/>
        <w:rPr>
          <w:i/>
          <w:snapToGrid/>
          <w:color w:val="000000"/>
          <w:szCs w:val="22"/>
          <w:lang w:eastAsia="en-AU"/>
        </w:rPr>
      </w:pPr>
      <w:r w:rsidRPr="004A1862">
        <w:rPr>
          <w:snapToGrid/>
          <w:color w:val="000000"/>
          <w:szCs w:val="22"/>
          <w:lang w:eastAsia="en-AU"/>
        </w:rPr>
        <w:t>Patients currently uncontrolled on three or more active therapies.</w:t>
      </w:r>
    </w:p>
    <w:p w:rsidR="008D5506" w:rsidRPr="004A1862" w:rsidRDefault="008D5506" w:rsidP="008D5506">
      <w:pPr>
        <w:pStyle w:val="ListParagraph"/>
        <w:widowControl/>
        <w:rPr>
          <w:i/>
          <w:szCs w:val="22"/>
        </w:rPr>
      </w:pPr>
    </w:p>
    <w:p w:rsidR="00735CC6" w:rsidRPr="004A1862" w:rsidRDefault="008D5506" w:rsidP="005302D0">
      <w:pPr>
        <w:pStyle w:val="ListParagraph"/>
        <w:widowControl/>
        <w:numPr>
          <w:ilvl w:val="1"/>
          <w:numId w:val="11"/>
        </w:numPr>
        <w:rPr>
          <w:szCs w:val="22"/>
        </w:rPr>
      </w:pPr>
      <w:r w:rsidRPr="004A1862">
        <w:rPr>
          <w:szCs w:val="22"/>
        </w:rPr>
        <w:t xml:space="preserve">The ESC </w:t>
      </w:r>
      <w:r w:rsidR="006F0598" w:rsidRPr="004A1862">
        <w:rPr>
          <w:szCs w:val="22"/>
        </w:rPr>
        <w:t xml:space="preserve">noted </w:t>
      </w:r>
      <w:r w:rsidRPr="004A1862">
        <w:rPr>
          <w:szCs w:val="22"/>
        </w:rPr>
        <w:t xml:space="preserve">the </w:t>
      </w:r>
      <w:r w:rsidR="006F0598" w:rsidRPr="004A1862">
        <w:rPr>
          <w:szCs w:val="22"/>
        </w:rPr>
        <w:t>sponsor’s claim that</w:t>
      </w:r>
      <w:r w:rsidR="00FB4004" w:rsidRPr="004A1862">
        <w:rPr>
          <w:szCs w:val="22"/>
        </w:rPr>
        <w:t xml:space="preserve"> </w:t>
      </w:r>
      <w:r w:rsidR="005F5B00" w:rsidRPr="004A1862">
        <w:t xml:space="preserve">brinzolamide + brimonidine FDC </w:t>
      </w:r>
      <w:r w:rsidR="00FB4004" w:rsidRPr="004A1862">
        <w:rPr>
          <w:szCs w:val="22"/>
        </w:rPr>
        <w:t xml:space="preserve">was </w:t>
      </w:r>
      <w:r w:rsidRPr="004A1862">
        <w:rPr>
          <w:szCs w:val="22"/>
        </w:rPr>
        <w:t xml:space="preserve">cost-saving </w:t>
      </w:r>
      <w:r w:rsidR="006F0598" w:rsidRPr="004A1862">
        <w:rPr>
          <w:szCs w:val="22"/>
        </w:rPr>
        <w:t xml:space="preserve">to patients accessing through PBS </w:t>
      </w:r>
      <w:r w:rsidRPr="004A1862">
        <w:rPr>
          <w:szCs w:val="22"/>
        </w:rPr>
        <w:t>(i.e. patient group previously on concomitant brinzolamide and brimonidine</w:t>
      </w:r>
      <w:r w:rsidR="006F0598" w:rsidRPr="004A1862">
        <w:rPr>
          <w:szCs w:val="22"/>
        </w:rPr>
        <w:t>) via reducing the numbers of pharmacy dispensing fees</w:t>
      </w:r>
      <w:r w:rsidR="00735CC6" w:rsidRPr="004A1862">
        <w:rPr>
          <w:szCs w:val="22"/>
        </w:rPr>
        <w:t>.</w:t>
      </w:r>
    </w:p>
    <w:p w:rsidR="00735CC6" w:rsidRPr="004A1862" w:rsidRDefault="00735CC6" w:rsidP="00735CC6">
      <w:pPr>
        <w:pStyle w:val="PBACHeading1"/>
        <w:numPr>
          <w:ilvl w:val="0"/>
          <w:numId w:val="0"/>
        </w:numPr>
        <w:ind w:left="720" w:hanging="720"/>
      </w:pPr>
      <w:r w:rsidRPr="004A1862">
        <w:t xml:space="preserve"> </w:t>
      </w:r>
    </w:p>
    <w:p w:rsidR="00C25D9C" w:rsidRPr="004A1862" w:rsidRDefault="00735CC6" w:rsidP="005302D0">
      <w:pPr>
        <w:pStyle w:val="ListParagraph"/>
        <w:widowControl/>
        <w:numPr>
          <w:ilvl w:val="1"/>
          <w:numId w:val="11"/>
        </w:numPr>
        <w:rPr>
          <w:szCs w:val="22"/>
        </w:rPr>
      </w:pPr>
      <w:r w:rsidRPr="004A1862">
        <w:rPr>
          <w:szCs w:val="22"/>
        </w:rPr>
        <w:t xml:space="preserve">The </w:t>
      </w:r>
      <w:r w:rsidR="0051454B" w:rsidRPr="004A1862">
        <w:rPr>
          <w:szCs w:val="22"/>
        </w:rPr>
        <w:t xml:space="preserve">redacted table below shows that the </w:t>
      </w:r>
      <w:r w:rsidRPr="004A1862">
        <w:rPr>
          <w:szCs w:val="22"/>
        </w:rPr>
        <w:t xml:space="preserve">submission estimated the cost to Government in Year 5 to be </w:t>
      </w:r>
      <w:r w:rsidR="00620F33" w:rsidRPr="004A1862">
        <w:rPr>
          <w:szCs w:val="22"/>
        </w:rPr>
        <w:t xml:space="preserve">less than $10 </w:t>
      </w:r>
      <w:r w:rsidR="0051454B" w:rsidRPr="004A1862">
        <w:rPr>
          <w:szCs w:val="22"/>
        </w:rPr>
        <w:t>million</w:t>
      </w:r>
      <w:r w:rsidRPr="004A1862">
        <w:rPr>
          <w:szCs w:val="22"/>
        </w:rPr>
        <w:t>.</w:t>
      </w:r>
    </w:p>
    <w:p w:rsidR="001F7C46" w:rsidRPr="004A1862" w:rsidRDefault="001F7C46" w:rsidP="00962869">
      <w:pPr>
        <w:pStyle w:val="ListParagraph"/>
        <w:widowControl/>
        <w:rPr>
          <w:szCs w:val="22"/>
        </w:rPr>
      </w:pPr>
    </w:p>
    <w:p w:rsidR="00C25D9C" w:rsidRPr="004A1862" w:rsidRDefault="00C25D9C" w:rsidP="005D044D">
      <w:pPr>
        <w:ind w:firstLine="709"/>
        <w:rPr>
          <w:rStyle w:val="CommentReference"/>
        </w:rPr>
      </w:pPr>
      <w:r w:rsidRPr="004A1862">
        <w:rPr>
          <w:rStyle w:val="CommentReference"/>
        </w:rPr>
        <w:t>Table</w:t>
      </w:r>
      <w:r w:rsidR="0029000E" w:rsidRPr="004A1862">
        <w:rPr>
          <w:rStyle w:val="CommentReference"/>
        </w:rPr>
        <w:t xml:space="preserve"> </w:t>
      </w:r>
      <w:r w:rsidR="00447A8D" w:rsidRPr="004A1862">
        <w:rPr>
          <w:rStyle w:val="CommentReference"/>
        </w:rPr>
        <w:t>8</w:t>
      </w:r>
      <w:r w:rsidRPr="004A1862">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3"/>
        <w:gridCol w:w="1275"/>
        <w:gridCol w:w="1275"/>
        <w:gridCol w:w="1260"/>
      </w:tblGrid>
      <w:tr w:rsidR="00C25D9C" w:rsidRPr="004A1862" w:rsidTr="005D044D">
        <w:trPr>
          <w:tblHeader/>
        </w:trPr>
        <w:tc>
          <w:tcPr>
            <w:tcW w:w="1359" w:type="pct"/>
            <w:shd w:val="clear" w:color="auto" w:fill="auto"/>
            <w:vAlign w:val="center"/>
          </w:tcPr>
          <w:p w:rsidR="00C25D9C" w:rsidRPr="004A1862" w:rsidRDefault="00C25D9C" w:rsidP="00B8649C">
            <w:pPr>
              <w:tabs>
                <w:tab w:val="left" w:pos="142"/>
              </w:tabs>
              <w:jc w:val="left"/>
              <w:rPr>
                <w:rFonts w:ascii="Arial Narrow" w:hAnsi="Arial Narrow"/>
                <w:b/>
                <w:sz w:val="20"/>
              </w:rPr>
            </w:pPr>
          </w:p>
        </w:tc>
        <w:tc>
          <w:tcPr>
            <w:tcW w:w="679" w:type="pct"/>
            <w:shd w:val="clear" w:color="auto" w:fill="auto"/>
            <w:vAlign w:val="center"/>
          </w:tcPr>
          <w:p w:rsidR="00C25D9C" w:rsidRPr="004A1862" w:rsidRDefault="00C25D9C" w:rsidP="00B8649C">
            <w:pPr>
              <w:jc w:val="center"/>
              <w:rPr>
                <w:rFonts w:ascii="Arial Narrow" w:hAnsi="Arial Narrow"/>
                <w:b/>
                <w:sz w:val="20"/>
              </w:rPr>
            </w:pPr>
            <w:r w:rsidRPr="004A1862">
              <w:rPr>
                <w:rFonts w:ascii="Arial Narrow" w:hAnsi="Arial Narrow"/>
                <w:b/>
                <w:sz w:val="20"/>
              </w:rPr>
              <w:t>Year 1</w:t>
            </w:r>
          </w:p>
        </w:tc>
        <w:tc>
          <w:tcPr>
            <w:tcW w:w="679" w:type="pct"/>
            <w:shd w:val="clear" w:color="auto" w:fill="auto"/>
            <w:vAlign w:val="center"/>
          </w:tcPr>
          <w:p w:rsidR="00C25D9C" w:rsidRPr="004A1862" w:rsidRDefault="00C25D9C" w:rsidP="00B8649C">
            <w:pPr>
              <w:jc w:val="center"/>
              <w:rPr>
                <w:rFonts w:ascii="Arial Narrow" w:hAnsi="Arial Narrow"/>
                <w:b/>
                <w:sz w:val="20"/>
              </w:rPr>
            </w:pPr>
            <w:r w:rsidRPr="004A1862">
              <w:rPr>
                <w:rFonts w:ascii="Arial Narrow" w:hAnsi="Arial Narrow"/>
                <w:b/>
                <w:sz w:val="20"/>
              </w:rPr>
              <w:t>Year 2</w:t>
            </w:r>
          </w:p>
        </w:tc>
        <w:tc>
          <w:tcPr>
            <w:tcW w:w="764" w:type="pct"/>
            <w:shd w:val="clear" w:color="auto" w:fill="auto"/>
            <w:vAlign w:val="center"/>
          </w:tcPr>
          <w:p w:rsidR="00C25D9C" w:rsidRPr="004A1862" w:rsidRDefault="00C25D9C" w:rsidP="00B8649C">
            <w:pPr>
              <w:jc w:val="center"/>
              <w:rPr>
                <w:rFonts w:ascii="Arial Narrow" w:hAnsi="Arial Narrow"/>
                <w:b/>
                <w:sz w:val="20"/>
              </w:rPr>
            </w:pPr>
            <w:r w:rsidRPr="004A1862">
              <w:rPr>
                <w:rFonts w:ascii="Arial Narrow" w:hAnsi="Arial Narrow"/>
                <w:b/>
                <w:sz w:val="20"/>
              </w:rPr>
              <w:t>Year 3</w:t>
            </w:r>
          </w:p>
        </w:tc>
        <w:tc>
          <w:tcPr>
            <w:tcW w:w="764" w:type="pct"/>
            <w:shd w:val="clear" w:color="auto" w:fill="auto"/>
            <w:vAlign w:val="center"/>
          </w:tcPr>
          <w:p w:rsidR="00C25D9C" w:rsidRPr="004A1862" w:rsidRDefault="00C25D9C" w:rsidP="00B8649C">
            <w:pPr>
              <w:jc w:val="center"/>
              <w:rPr>
                <w:rFonts w:ascii="Arial Narrow" w:hAnsi="Arial Narrow"/>
                <w:b/>
                <w:sz w:val="20"/>
              </w:rPr>
            </w:pPr>
            <w:r w:rsidRPr="004A1862">
              <w:rPr>
                <w:rFonts w:ascii="Arial Narrow" w:hAnsi="Arial Narrow"/>
                <w:b/>
                <w:sz w:val="20"/>
              </w:rPr>
              <w:t>Year 4</w:t>
            </w:r>
          </w:p>
        </w:tc>
        <w:tc>
          <w:tcPr>
            <w:tcW w:w="755" w:type="pct"/>
            <w:shd w:val="clear" w:color="auto" w:fill="auto"/>
            <w:vAlign w:val="center"/>
          </w:tcPr>
          <w:p w:rsidR="00C25D9C" w:rsidRPr="004A1862" w:rsidRDefault="00C25D9C" w:rsidP="00B8649C">
            <w:pPr>
              <w:jc w:val="center"/>
              <w:rPr>
                <w:rFonts w:ascii="Arial Narrow" w:hAnsi="Arial Narrow"/>
                <w:b/>
                <w:sz w:val="20"/>
              </w:rPr>
            </w:pPr>
            <w:r w:rsidRPr="004A1862">
              <w:rPr>
                <w:rFonts w:ascii="Arial Narrow" w:hAnsi="Arial Narrow"/>
                <w:b/>
                <w:sz w:val="20"/>
              </w:rPr>
              <w:t>Year 5</w:t>
            </w:r>
          </w:p>
        </w:tc>
      </w:tr>
      <w:tr w:rsidR="00C25D9C" w:rsidRPr="004A1862" w:rsidTr="005D044D">
        <w:tc>
          <w:tcPr>
            <w:tcW w:w="5000" w:type="pct"/>
            <w:gridSpan w:val="6"/>
            <w:shd w:val="clear" w:color="auto" w:fill="auto"/>
            <w:vAlign w:val="center"/>
          </w:tcPr>
          <w:p w:rsidR="00C25D9C" w:rsidRPr="004A1862" w:rsidRDefault="00C25D9C" w:rsidP="00B8649C">
            <w:pPr>
              <w:jc w:val="left"/>
              <w:rPr>
                <w:rFonts w:ascii="Arial Narrow" w:hAnsi="Arial Narrow"/>
                <w:b/>
                <w:bCs/>
                <w:color w:val="000000"/>
                <w:sz w:val="20"/>
              </w:rPr>
            </w:pPr>
            <w:r w:rsidRPr="004A1862">
              <w:rPr>
                <w:rFonts w:ascii="Arial Narrow" w:hAnsi="Arial Narrow"/>
                <w:b/>
                <w:bCs/>
                <w:color w:val="000000"/>
                <w:sz w:val="20"/>
              </w:rPr>
              <w:t>Estimated extent of use</w:t>
            </w:r>
          </w:p>
        </w:tc>
      </w:tr>
      <w:tr w:rsidR="00432AF5" w:rsidRPr="004A1862" w:rsidTr="007D74BB">
        <w:tc>
          <w:tcPr>
            <w:tcW w:w="1359" w:type="pct"/>
            <w:shd w:val="clear" w:color="auto" w:fill="auto"/>
            <w:vAlign w:val="bottom"/>
          </w:tcPr>
          <w:p w:rsidR="00432AF5" w:rsidRPr="004A1862" w:rsidRDefault="00432AF5" w:rsidP="00B8649C">
            <w:pPr>
              <w:tabs>
                <w:tab w:val="left" w:pos="142"/>
              </w:tabs>
              <w:jc w:val="left"/>
              <w:rPr>
                <w:rFonts w:ascii="Arial Narrow" w:hAnsi="Arial Narrow" w:cs="Times New Roman"/>
                <w:snapToGrid/>
                <w:sz w:val="20"/>
                <w:lang w:eastAsia="en-AU"/>
              </w:rPr>
            </w:pPr>
            <w:r w:rsidRPr="004A1862">
              <w:rPr>
                <w:rFonts w:ascii="Arial Narrow" w:hAnsi="Arial Narrow" w:cs="Times New Roman"/>
                <w:snapToGrid/>
                <w:sz w:val="20"/>
                <w:lang w:eastAsia="en-AU"/>
              </w:rPr>
              <w:t xml:space="preserve">Total prescriptions </w:t>
            </w:r>
          </w:p>
          <w:p w:rsidR="00432AF5" w:rsidRPr="004A1862" w:rsidRDefault="00432AF5" w:rsidP="00B8649C">
            <w:pPr>
              <w:tabs>
                <w:tab w:val="left" w:pos="142"/>
              </w:tabs>
              <w:jc w:val="left"/>
              <w:rPr>
                <w:rFonts w:ascii="Arial Narrow" w:hAnsi="Arial Narrow"/>
                <w:sz w:val="20"/>
              </w:rPr>
            </w:pPr>
            <w:r w:rsidRPr="004A1862">
              <w:rPr>
                <w:rFonts w:ascii="Arial Narrow" w:hAnsi="Arial Narrow" w:cs="Times New Roman"/>
                <w:snapToGrid/>
                <w:sz w:val="20"/>
                <w:lang w:eastAsia="en-AU"/>
              </w:rPr>
              <w:t>(all classes)</w:t>
            </w:r>
          </w:p>
        </w:tc>
        <w:tc>
          <w:tcPr>
            <w:tcW w:w="679" w:type="pct"/>
            <w:shd w:val="clear" w:color="auto" w:fill="auto"/>
            <w:vAlign w:val="bottom"/>
          </w:tcPr>
          <w:p w:rsidR="00432AF5" w:rsidRPr="001119B4" w:rsidRDefault="001119B4" w:rsidP="00B8649C">
            <w:pPr>
              <w:jc w:val="center"/>
              <w:rPr>
                <w:rFonts w:ascii="Arial Narrow" w:hAnsi="Arial Narrow"/>
                <w:color w:val="000000"/>
                <w:sz w:val="20"/>
                <w:highlight w:val="black"/>
              </w:rPr>
            </w:pPr>
            <w:r>
              <w:rPr>
                <w:rFonts w:ascii="Arial Narrow" w:hAnsi="Arial Narrow" w:cs="Times New Roman"/>
                <w:noProof/>
                <w:snapToGrid/>
                <w:color w:val="000000"/>
                <w:sz w:val="20"/>
                <w:highlight w:val="black"/>
              </w:rPr>
              <w:t>'''''''''''''''''''''''''</w:t>
            </w:r>
          </w:p>
        </w:tc>
        <w:tc>
          <w:tcPr>
            <w:tcW w:w="679" w:type="pct"/>
            <w:shd w:val="clear" w:color="auto" w:fill="auto"/>
            <w:vAlign w:val="bottom"/>
          </w:tcPr>
          <w:p w:rsidR="00432AF5" w:rsidRPr="001119B4" w:rsidRDefault="001119B4" w:rsidP="00B8649C">
            <w:pPr>
              <w:jc w:val="center"/>
              <w:rPr>
                <w:rFonts w:ascii="Arial Narrow" w:hAnsi="Arial Narrow"/>
                <w:color w:val="000000"/>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bottom"/>
          </w:tcPr>
          <w:p w:rsidR="00432AF5" w:rsidRPr="001119B4" w:rsidRDefault="001119B4" w:rsidP="00B8649C">
            <w:pPr>
              <w:jc w:val="center"/>
              <w:rPr>
                <w:rFonts w:ascii="Arial Narrow" w:hAnsi="Arial Narrow"/>
                <w:color w:val="000000"/>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bottom"/>
          </w:tcPr>
          <w:p w:rsidR="00432AF5" w:rsidRPr="001119B4" w:rsidRDefault="001119B4" w:rsidP="00B8649C">
            <w:pPr>
              <w:jc w:val="center"/>
              <w:rPr>
                <w:rFonts w:ascii="Arial Narrow" w:hAnsi="Arial Narrow"/>
                <w:color w:val="000000"/>
                <w:sz w:val="20"/>
                <w:highlight w:val="black"/>
              </w:rPr>
            </w:pPr>
            <w:r>
              <w:rPr>
                <w:rFonts w:ascii="Arial Narrow" w:hAnsi="Arial Narrow" w:cs="Times New Roman"/>
                <w:noProof/>
                <w:snapToGrid/>
                <w:color w:val="000000"/>
                <w:sz w:val="20"/>
                <w:highlight w:val="black"/>
              </w:rPr>
              <w:t>'''''''''''''''''''''''</w:t>
            </w:r>
          </w:p>
        </w:tc>
        <w:tc>
          <w:tcPr>
            <w:tcW w:w="755" w:type="pct"/>
            <w:shd w:val="clear" w:color="auto" w:fill="auto"/>
            <w:vAlign w:val="bottom"/>
          </w:tcPr>
          <w:p w:rsidR="00432AF5" w:rsidRPr="001119B4" w:rsidRDefault="001119B4" w:rsidP="00B8649C">
            <w:pPr>
              <w:jc w:val="center"/>
              <w:rPr>
                <w:rFonts w:ascii="Arial Narrow" w:hAnsi="Arial Narrow"/>
                <w:color w:val="000000"/>
                <w:sz w:val="20"/>
                <w:highlight w:val="black"/>
              </w:rPr>
            </w:pPr>
            <w:r>
              <w:rPr>
                <w:rFonts w:ascii="Arial Narrow" w:hAnsi="Arial Narrow" w:cs="Times New Roman"/>
                <w:noProof/>
                <w:snapToGrid/>
                <w:color w:val="000000"/>
                <w:sz w:val="20"/>
                <w:highlight w:val="black"/>
              </w:rPr>
              <w:t>'''''''''''''''''''''''''</w:t>
            </w:r>
          </w:p>
        </w:tc>
      </w:tr>
      <w:tr w:rsidR="00432AF5" w:rsidRPr="004A1862" w:rsidTr="007D74BB">
        <w:tc>
          <w:tcPr>
            <w:tcW w:w="1359" w:type="pct"/>
            <w:shd w:val="clear" w:color="auto" w:fill="auto"/>
            <w:vAlign w:val="bottom"/>
          </w:tcPr>
          <w:p w:rsidR="00432AF5" w:rsidRPr="004A1862" w:rsidRDefault="00432AF5" w:rsidP="00B8649C">
            <w:pPr>
              <w:tabs>
                <w:tab w:val="left" w:pos="142"/>
              </w:tabs>
              <w:jc w:val="left"/>
              <w:rPr>
                <w:rFonts w:ascii="Arial Narrow" w:hAnsi="Arial Narrow"/>
                <w:sz w:val="20"/>
              </w:rPr>
            </w:pPr>
            <w:r w:rsidRPr="004A1862">
              <w:rPr>
                <w:rFonts w:ascii="Arial Narrow" w:hAnsi="Arial Narrow" w:cs="Times New Roman"/>
                <w:snapToGrid/>
                <w:sz w:val="20"/>
                <w:lang w:eastAsia="en-AU"/>
              </w:rPr>
              <w:t>Expected Simbrinza uptake</w:t>
            </w:r>
          </w:p>
        </w:tc>
        <w:tc>
          <w:tcPr>
            <w:tcW w:w="679" w:type="pct"/>
            <w:shd w:val="clear" w:color="auto" w:fill="auto"/>
            <w:vAlign w:val="bottom"/>
          </w:tcPr>
          <w:p w:rsidR="00432AF5" w:rsidRPr="004A1862" w:rsidRDefault="001119B4" w:rsidP="00B8649C">
            <w:pPr>
              <w:jc w:val="center"/>
              <w:rPr>
                <w:rFonts w:ascii="Arial Narrow" w:hAnsi="Arial Narrow"/>
                <w:color w:val="000000"/>
                <w:sz w:val="20"/>
              </w:rPr>
            </w:pPr>
            <w:r>
              <w:rPr>
                <w:rFonts w:ascii="Arial Narrow" w:hAnsi="Arial Narrow" w:cs="Times New Roman"/>
                <w:noProof/>
                <w:snapToGrid/>
                <w:color w:val="000000"/>
                <w:sz w:val="20"/>
                <w:highlight w:val="black"/>
              </w:rPr>
              <w:t>''''''''</w:t>
            </w:r>
            <w:r w:rsidR="00432AF5" w:rsidRPr="004A1862">
              <w:rPr>
                <w:rFonts w:ascii="Arial Narrow" w:hAnsi="Arial Narrow" w:cs="Times New Roman"/>
                <w:snapToGrid/>
                <w:sz w:val="20"/>
              </w:rPr>
              <w:t>%</w:t>
            </w:r>
          </w:p>
        </w:tc>
        <w:tc>
          <w:tcPr>
            <w:tcW w:w="679" w:type="pct"/>
            <w:shd w:val="clear" w:color="auto" w:fill="auto"/>
            <w:vAlign w:val="bottom"/>
          </w:tcPr>
          <w:p w:rsidR="00432AF5" w:rsidRPr="004A1862" w:rsidRDefault="001119B4" w:rsidP="00B8649C">
            <w:pPr>
              <w:jc w:val="center"/>
              <w:rPr>
                <w:rFonts w:ascii="Arial Narrow" w:hAnsi="Arial Narrow"/>
                <w:color w:val="000000"/>
                <w:sz w:val="20"/>
              </w:rPr>
            </w:pPr>
            <w:r>
              <w:rPr>
                <w:rFonts w:ascii="Arial Narrow" w:hAnsi="Arial Narrow" w:cs="Times New Roman"/>
                <w:noProof/>
                <w:snapToGrid/>
                <w:color w:val="000000"/>
                <w:sz w:val="20"/>
                <w:highlight w:val="black"/>
              </w:rPr>
              <w:t>'''''''</w:t>
            </w:r>
            <w:r w:rsidR="00432AF5" w:rsidRPr="004A1862">
              <w:rPr>
                <w:rFonts w:ascii="Arial Narrow" w:hAnsi="Arial Narrow" w:cs="Times New Roman"/>
                <w:snapToGrid/>
                <w:sz w:val="20"/>
              </w:rPr>
              <w:t>%</w:t>
            </w:r>
          </w:p>
        </w:tc>
        <w:tc>
          <w:tcPr>
            <w:tcW w:w="764" w:type="pct"/>
            <w:shd w:val="clear" w:color="auto" w:fill="auto"/>
            <w:vAlign w:val="bottom"/>
          </w:tcPr>
          <w:p w:rsidR="00432AF5" w:rsidRPr="004A1862" w:rsidRDefault="001119B4" w:rsidP="00B8649C">
            <w:pPr>
              <w:jc w:val="center"/>
              <w:rPr>
                <w:rFonts w:ascii="Arial Narrow" w:hAnsi="Arial Narrow"/>
                <w:color w:val="000000"/>
                <w:sz w:val="20"/>
              </w:rPr>
            </w:pPr>
            <w:r>
              <w:rPr>
                <w:rFonts w:ascii="Arial Narrow" w:hAnsi="Arial Narrow" w:cs="Times New Roman"/>
                <w:noProof/>
                <w:snapToGrid/>
                <w:color w:val="000000"/>
                <w:sz w:val="20"/>
                <w:highlight w:val="black"/>
              </w:rPr>
              <w:t>'''''''''</w:t>
            </w:r>
            <w:r w:rsidR="00432AF5" w:rsidRPr="004A1862">
              <w:rPr>
                <w:rFonts w:ascii="Arial Narrow" w:hAnsi="Arial Narrow" w:cs="Times New Roman"/>
                <w:snapToGrid/>
                <w:sz w:val="20"/>
              </w:rPr>
              <w:t>%</w:t>
            </w:r>
          </w:p>
        </w:tc>
        <w:tc>
          <w:tcPr>
            <w:tcW w:w="764" w:type="pct"/>
            <w:shd w:val="clear" w:color="auto" w:fill="auto"/>
            <w:vAlign w:val="bottom"/>
          </w:tcPr>
          <w:p w:rsidR="00432AF5" w:rsidRPr="004A1862" w:rsidRDefault="001119B4" w:rsidP="00B8649C">
            <w:pPr>
              <w:jc w:val="center"/>
              <w:rPr>
                <w:rFonts w:ascii="Arial Narrow" w:hAnsi="Arial Narrow"/>
                <w:color w:val="000000"/>
                <w:sz w:val="20"/>
              </w:rPr>
            </w:pPr>
            <w:r>
              <w:rPr>
                <w:rFonts w:ascii="Arial Narrow" w:hAnsi="Arial Narrow" w:cs="Times New Roman"/>
                <w:noProof/>
                <w:snapToGrid/>
                <w:color w:val="000000"/>
                <w:sz w:val="20"/>
                <w:highlight w:val="black"/>
              </w:rPr>
              <w:t>''''''''</w:t>
            </w:r>
            <w:r w:rsidR="00432AF5" w:rsidRPr="004A1862">
              <w:rPr>
                <w:rFonts w:ascii="Arial Narrow" w:hAnsi="Arial Narrow" w:cs="Times New Roman"/>
                <w:snapToGrid/>
                <w:sz w:val="20"/>
              </w:rPr>
              <w:t>%</w:t>
            </w:r>
          </w:p>
        </w:tc>
        <w:tc>
          <w:tcPr>
            <w:tcW w:w="755" w:type="pct"/>
            <w:shd w:val="clear" w:color="auto" w:fill="auto"/>
            <w:vAlign w:val="bottom"/>
          </w:tcPr>
          <w:p w:rsidR="00432AF5" w:rsidRPr="004A1862" w:rsidRDefault="001119B4" w:rsidP="00B8649C">
            <w:pPr>
              <w:jc w:val="center"/>
              <w:rPr>
                <w:rFonts w:ascii="Arial Narrow" w:hAnsi="Arial Narrow"/>
                <w:color w:val="000000"/>
                <w:sz w:val="20"/>
              </w:rPr>
            </w:pPr>
            <w:r>
              <w:rPr>
                <w:rFonts w:ascii="Arial Narrow" w:hAnsi="Arial Narrow" w:cs="Times New Roman"/>
                <w:noProof/>
                <w:snapToGrid/>
                <w:color w:val="000000"/>
                <w:sz w:val="20"/>
                <w:highlight w:val="black"/>
              </w:rPr>
              <w:t>'''''''''</w:t>
            </w:r>
            <w:r w:rsidR="00432AF5" w:rsidRPr="004A1862">
              <w:rPr>
                <w:rFonts w:ascii="Arial Narrow" w:hAnsi="Arial Narrow" w:cs="Times New Roman"/>
                <w:snapToGrid/>
                <w:sz w:val="20"/>
              </w:rPr>
              <w:t>%</w:t>
            </w:r>
          </w:p>
        </w:tc>
      </w:tr>
      <w:tr w:rsidR="00432AF5" w:rsidRPr="004A1862" w:rsidTr="007D74BB">
        <w:tc>
          <w:tcPr>
            <w:tcW w:w="1359" w:type="pct"/>
            <w:shd w:val="clear" w:color="auto" w:fill="auto"/>
            <w:vAlign w:val="center"/>
          </w:tcPr>
          <w:p w:rsidR="00432AF5" w:rsidRPr="004A1862" w:rsidRDefault="00432AF5" w:rsidP="00B8649C">
            <w:pPr>
              <w:tabs>
                <w:tab w:val="left" w:pos="142"/>
              </w:tabs>
              <w:jc w:val="left"/>
              <w:rPr>
                <w:rFonts w:ascii="Arial Narrow" w:hAnsi="Arial Narrow"/>
                <w:sz w:val="20"/>
              </w:rPr>
            </w:pPr>
            <w:r w:rsidRPr="004A1862">
              <w:rPr>
                <w:rFonts w:ascii="Arial Narrow" w:hAnsi="Arial Narrow"/>
                <w:sz w:val="20"/>
              </w:rPr>
              <w:t>Scripts</w:t>
            </w:r>
          </w:p>
        </w:tc>
        <w:tc>
          <w:tcPr>
            <w:tcW w:w="679" w:type="pct"/>
            <w:shd w:val="clear" w:color="auto" w:fill="auto"/>
            <w:vAlign w:val="bottom"/>
          </w:tcPr>
          <w:p w:rsidR="00432AF5" w:rsidRPr="001119B4" w:rsidRDefault="001119B4" w:rsidP="00B8649C">
            <w:pPr>
              <w:jc w:val="center"/>
              <w:rPr>
                <w:rFonts w:ascii="Arial Narrow" w:hAnsi="Arial Narrow"/>
                <w:color w:val="000000"/>
                <w:sz w:val="20"/>
                <w:highlight w:val="black"/>
              </w:rPr>
            </w:pPr>
            <w:r>
              <w:rPr>
                <w:rFonts w:ascii="Arial Narrow" w:hAnsi="Arial Narrow" w:cs="Times New Roman"/>
                <w:noProof/>
                <w:snapToGrid/>
                <w:color w:val="000000"/>
                <w:sz w:val="20"/>
                <w:highlight w:val="black"/>
              </w:rPr>
              <w:t>''''''''''''''''</w:t>
            </w:r>
          </w:p>
        </w:tc>
        <w:tc>
          <w:tcPr>
            <w:tcW w:w="679" w:type="pct"/>
            <w:shd w:val="clear" w:color="auto" w:fill="auto"/>
            <w:vAlign w:val="bottom"/>
          </w:tcPr>
          <w:p w:rsidR="00432AF5" w:rsidRPr="001119B4" w:rsidRDefault="001119B4" w:rsidP="00B8649C">
            <w:pPr>
              <w:jc w:val="center"/>
              <w:rPr>
                <w:rFonts w:ascii="Arial Narrow" w:hAnsi="Arial Narrow"/>
                <w:color w:val="000000"/>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bottom"/>
          </w:tcPr>
          <w:p w:rsidR="00432AF5" w:rsidRPr="001119B4" w:rsidRDefault="001119B4" w:rsidP="00B8649C">
            <w:pPr>
              <w:jc w:val="center"/>
              <w:rPr>
                <w:rFonts w:ascii="Arial Narrow" w:hAnsi="Arial Narrow"/>
                <w:color w:val="000000"/>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bottom"/>
          </w:tcPr>
          <w:p w:rsidR="00432AF5" w:rsidRPr="001119B4" w:rsidRDefault="001119B4" w:rsidP="00B8649C">
            <w:pPr>
              <w:jc w:val="center"/>
              <w:rPr>
                <w:rFonts w:ascii="Arial Narrow" w:hAnsi="Arial Narrow"/>
                <w:color w:val="000000"/>
                <w:sz w:val="20"/>
                <w:highlight w:val="black"/>
              </w:rPr>
            </w:pPr>
            <w:r>
              <w:rPr>
                <w:rFonts w:ascii="Arial Narrow" w:hAnsi="Arial Narrow" w:cs="Times New Roman"/>
                <w:noProof/>
                <w:snapToGrid/>
                <w:color w:val="000000"/>
                <w:sz w:val="20"/>
                <w:highlight w:val="black"/>
              </w:rPr>
              <w:t>''''''''''''''''</w:t>
            </w:r>
          </w:p>
        </w:tc>
        <w:tc>
          <w:tcPr>
            <w:tcW w:w="755" w:type="pct"/>
            <w:shd w:val="clear" w:color="auto" w:fill="auto"/>
            <w:vAlign w:val="bottom"/>
          </w:tcPr>
          <w:p w:rsidR="00432AF5" w:rsidRPr="001119B4" w:rsidRDefault="001119B4" w:rsidP="00B8649C">
            <w:pPr>
              <w:jc w:val="center"/>
              <w:rPr>
                <w:rFonts w:ascii="Arial Narrow" w:hAnsi="Arial Narrow"/>
                <w:color w:val="000000"/>
                <w:sz w:val="20"/>
                <w:highlight w:val="black"/>
              </w:rPr>
            </w:pPr>
            <w:r>
              <w:rPr>
                <w:rFonts w:ascii="Arial Narrow" w:hAnsi="Arial Narrow" w:cs="Times New Roman"/>
                <w:noProof/>
                <w:snapToGrid/>
                <w:color w:val="000000"/>
                <w:sz w:val="20"/>
                <w:highlight w:val="black"/>
              </w:rPr>
              <w:t>'''''''''''''''''</w:t>
            </w:r>
          </w:p>
        </w:tc>
      </w:tr>
      <w:tr w:rsidR="00C25D9C" w:rsidRPr="004A1862" w:rsidTr="005D044D">
        <w:tc>
          <w:tcPr>
            <w:tcW w:w="5000" w:type="pct"/>
            <w:gridSpan w:val="6"/>
            <w:shd w:val="clear" w:color="auto" w:fill="auto"/>
            <w:vAlign w:val="center"/>
          </w:tcPr>
          <w:p w:rsidR="00C25D9C" w:rsidRPr="004A1862" w:rsidRDefault="00C25D9C" w:rsidP="00B8649C">
            <w:pPr>
              <w:jc w:val="left"/>
              <w:rPr>
                <w:rFonts w:ascii="Arial Narrow" w:hAnsi="Arial Narrow"/>
                <w:b/>
                <w:bCs/>
                <w:color w:val="000000"/>
                <w:sz w:val="20"/>
              </w:rPr>
            </w:pPr>
            <w:r w:rsidRPr="004A1862">
              <w:rPr>
                <w:rFonts w:ascii="Arial Narrow" w:hAnsi="Arial Narrow"/>
                <w:b/>
                <w:bCs/>
                <w:color w:val="000000"/>
                <w:sz w:val="20"/>
              </w:rPr>
              <w:t>Estimated net cost to PBS/RPBS/MBS</w:t>
            </w:r>
          </w:p>
        </w:tc>
      </w:tr>
      <w:tr w:rsidR="004135CD" w:rsidRPr="004A1862" w:rsidTr="007D74BB">
        <w:tc>
          <w:tcPr>
            <w:tcW w:w="1359" w:type="pct"/>
            <w:shd w:val="clear" w:color="auto" w:fill="auto"/>
            <w:vAlign w:val="center"/>
          </w:tcPr>
          <w:p w:rsidR="004135CD" w:rsidRPr="004A1862" w:rsidRDefault="004135CD" w:rsidP="00B8649C">
            <w:pPr>
              <w:tabs>
                <w:tab w:val="left" w:pos="142"/>
              </w:tabs>
              <w:jc w:val="left"/>
              <w:rPr>
                <w:rFonts w:ascii="Arial Narrow" w:hAnsi="Arial Narrow"/>
                <w:sz w:val="20"/>
              </w:rPr>
            </w:pPr>
            <w:r w:rsidRPr="004A1862">
              <w:rPr>
                <w:rFonts w:ascii="Arial Narrow" w:hAnsi="Arial Narrow"/>
                <w:sz w:val="19"/>
                <w:szCs w:val="19"/>
              </w:rPr>
              <w:t>Net cost to PBS/RPBS</w:t>
            </w:r>
          </w:p>
        </w:tc>
        <w:tc>
          <w:tcPr>
            <w:tcW w:w="679" w:type="pct"/>
            <w:shd w:val="clear" w:color="auto" w:fill="auto"/>
            <w:vAlign w:val="bottom"/>
          </w:tcPr>
          <w:p w:rsidR="004135CD" w:rsidRPr="004A1862" w:rsidRDefault="004135CD" w:rsidP="00B8649C">
            <w:pPr>
              <w:jc w:val="center"/>
              <w:rPr>
                <w:rFonts w:ascii="Arial Narrow" w:hAnsi="Arial Narrow"/>
                <w:color w:val="000000"/>
                <w:sz w:val="20"/>
              </w:rPr>
            </w:pPr>
            <w:r w:rsidRPr="004A1862">
              <w:rPr>
                <w:rFonts w:ascii="Arial Narrow" w:hAnsi="Arial Narrow"/>
                <w:sz w:val="20"/>
              </w:rPr>
              <w:t>$</w:t>
            </w:r>
            <w:r w:rsidR="001119B4">
              <w:rPr>
                <w:rFonts w:ascii="Arial Narrow" w:hAnsi="Arial Narrow"/>
                <w:noProof/>
                <w:color w:val="000000"/>
                <w:sz w:val="20"/>
                <w:highlight w:val="black"/>
              </w:rPr>
              <w:t>'''''''''''''''''</w:t>
            </w:r>
          </w:p>
        </w:tc>
        <w:tc>
          <w:tcPr>
            <w:tcW w:w="679" w:type="pct"/>
            <w:shd w:val="clear" w:color="auto" w:fill="auto"/>
            <w:vAlign w:val="bottom"/>
          </w:tcPr>
          <w:p w:rsidR="004135CD" w:rsidRPr="004A1862" w:rsidRDefault="004135CD" w:rsidP="00B8649C">
            <w:pPr>
              <w:jc w:val="center"/>
              <w:rPr>
                <w:rFonts w:ascii="Arial Narrow" w:hAnsi="Arial Narrow"/>
                <w:color w:val="000000"/>
                <w:sz w:val="20"/>
              </w:rPr>
            </w:pPr>
            <w:r w:rsidRPr="004A1862">
              <w:rPr>
                <w:rFonts w:ascii="Arial Narrow" w:hAnsi="Arial Narrow"/>
                <w:sz w:val="20"/>
              </w:rPr>
              <w:t>$</w:t>
            </w:r>
            <w:r w:rsidR="001119B4">
              <w:rPr>
                <w:rFonts w:ascii="Arial Narrow" w:hAnsi="Arial Narrow"/>
                <w:noProof/>
                <w:color w:val="000000"/>
                <w:sz w:val="20"/>
                <w:highlight w:val="black"/>
              </w:rPr>
              <w:t>''''''''''''''''</w:t>
            </w:r>
          </w:p>
        </w:tc>
        <w:tc>
          <w:tcPr>
            <w:tcW w:w="764" w:type="pct"/>
            <w:shd w:val="clear" w:color="auto" w:fill="auto"/>
            <w:vAlign w:val="bottom"/>
          </w:tcPr>
          <w:p w:rsidR="004135CD" w:rsidRPr="004A1862" w:rsidRDefault="004135CD" w:rsidP="00B8649C">
            <w:pPr>
              <w:jc w:val="center"/>
              <w:rPr>
                <w:rFonts w:ascii="Arial Narrow" w:hAnsi="Arial Narrow"/>
                <w:color w:val="000000"/>
                <w:sz w:val="20"/>
              </w:rPr>
            </w:pPr>
            <w:r w:rsidRPr="004A1862">
              <w:rPr>
                <w:rFonts w:ascii="Arial Narrow" w:hAnsi="Arial Narrow"/>
                <w:sz w:val="20"/>
              </w:rPr>
              <w:t>$</w:t>
            </w:r>
            <w:r w:rsidR="001119B4">
              <w:rPr>
                <w:rFonts w:ascii="Arial Narrow" w:hAnsi="Arial Narrow"/>
                <w:noProof/>
                <w:color w:val="000000"/>
                <w:sz w:val="20"/>
                <w:highlight w:val="black"/>
              </w:rPr>
              <w:t>'''''''''''''''''</w:t>
            </w:r>
          </w:p>
        </w:tc>
        <w:tc>
          <w:tcPr>
            <w:tcW w:w="764" w:type="pct"/>
            <w:shd w:val="clear" w:color="auto" w:fill="auto"/>
            <w:vAlign w:val="bottom"/>
          </w:tcPr>
          <w:p w:rsidR="004135CD" w:rsidRPr="004A1862" w:rsidRDefault="004135CD" w:rsidP="00B8649C">
            <w:pPr>
              <w:jc w:val="center"/>
              <w:rPr>
                <w:rFonts w:ascii="Arial Narrow" w:hAnsi="Arial Narrow"/>
                <w:color w:val="000000"/>
                <w:sz w:val="20"/>
              </w:rPr>
            </w:pPr>
            <w:r w:rsidRPr="004A1862">
              <w:rPr>
                <w:rFonts w:ascii="Arial Narrow" w:hAnsi="Arial Narrow"/>
                <w:sz w:val="20"/>
              </w:rPr>
              <w:t>$</w:t>
            </w:r>
            <w:r w:rsidR="001119B4">
              <w:rPr>
                <w:rFonts w:ascii="Arial Narrow" w:hAnsi="Arial Narrow"/>
                <w:noProof/>
                <w:color w:val="000000"/>
                <w:sz w:val="20"/>
                <w:highlight w:val="black"/>
              </w:rPr>
              <w:t>'''''''''''''''''</w:t>
            </w:r>
          </w:p>
        </w:tc>
        <w:tc>
          <w:tcPr>
            <w:tcW w:w="755" w:type="pct"/>
            <w:shd w:val="clear" w:color="auto" w:fill="auto"/>
            <w:vAlign w:val="bottom"/>
          </w:tcPr>
          <w:p w:rsidR="004135CD" w:rsidRPr="004A1862" w:rsidRDefault="004135CD" w:rsidP="00B8649C">
            <w:pPr>
              <w:jc w:val="center"/>
              <w:rPr>
                <w:rFonts w:ascii="Arial Narrow" w:hAnsi="Arial Narrow"/>
                <w:color w:val="000000"/>
                <w:sz w:val="20"/>
              </w:rPr>
            </w:pPr>
            <w:r w:rsidRPr="004A1862">
              <w:rPr>
                <w:rFonts w:ascii="Arial Narrow" w:hAnsi="Arial Narrow"/>
                <w:sz w:val="20"/>
              </w:rPr>
              <w:t>$</w:t>
            </w:r>
            <w:r w:rsidR="001119B4">
              <w:rPr>
                <w:rFonts w:ascii="Arial Narrow" w:hAnsi="Arial Narrow"/>
                <w:noProof/>
                <w:color w:val="000000"/>
                <w:sz w:val="20"/>
                <w:highlight w:val="black"/>
              </w:rPr>
              <w:t>'''''''''''''''</w:t>
            </w:r>
          </w:p>
        </w:tc>
      </w:tr>
      <w:tr w:rsidR="00C25D9C" w:rsidRPr="004A1862" w:rsidTr="005D044D">
        <w:tc>
          <w:tcPr>
            <w:tcW w:w="1359" w:type="pct"/>
            <w:shd w:val="clear" w:color="auto" w:fill="auto"/>
            <w:vAlign w:val="center"/>
          </w:tcPr>
          <w:p w:rsidR="00C25D9C" w:rsidRPr="004A1862" w:rsidRDefault="00C25D9C" w:rsidP="00B8649C">
            <w:pPr>
              <w:tabs>
                <w:tab w:val="left" w:pos="142"/>
              </w:tabs>
              <w:jc w:val="left"/>
              <w:rPr>
                <w:rFonts w:ascii="Arial Narrow" w:hAnsi="Arial Narrow"/>
                <w:sz w:val="20"/>
              </w:rPr>
            </w:pPr>
            <w:r w:rsidRPr="004A1862">
              <w:rPr>
                <w:rFonts w:ascii="Arial Narrow" w:hAnsi="Arial Narrow"/>
                <w:sz w:val="19"/>
                <w:szCs w:val="19"/>
              </w:rPr>
              <w:t>Net cost to MBS</w:t>
            </w:r>
          </w:p>
        </w:tc>
        <w:tc>
          <w:tcPr>
            <w:tcW w:w="679" w:type="pct"/>
            <w:shd w:val="clear" w:color="auto" w:fill="auto"/>
            <w:vAlign w:val="center"/>
          </w:tcPr>
          <w:p w:rsidR="00C25D9C" w:rsidRPr="004A1862" w:rsidRDefault="00786868" w:rsidP="00B8649C">
            <w:pPr>
              <w:jc w:val="center"/>
              <w:rPr>
                <w:rFonts w:ascii="Arial Narrow" w:hAnsi="Arial Narrow"/>
                <w:bCs/>
                <w:color w:val="000000"/>
                <w:sz w:val="20"/>
              </w:rPr>
            </w:pPr>
            <w:r w:rsidRPr="004A1862">
              <w:rPr>
                <w:rFonts w:ascii="Arial Narrow" w:hAnsi="Arial Narrow"/>
                <w:bCs/>
                <w:color w:val="000000"/>
                <w:sz w:val="20"/>
              </w:rPr>
              <w:t>-</w:t>
            </w:r>
          </w:p>
        </w:tc>
        <w:tc>
          <w:tcPr>
            <w:tcW w:w="679" w:type="pct"/>
            <w:shd w:val="clear" w:color="auto" w:fill="auto"/>
            <w:vAlign w:val="center"/>
          </w:tcPr>
          <w:p w:rsidR="00C25D9C" w:rsidRPr="004A1862" w:rsidRDefault="00786868" w:rsidP="00B8649C">
            <w:pPr>
              <w:jc w:val="center"/>
              <w:rPr>
                <w:rFonts w:ascii="Arial Narrow" w:hAnsi="Arial Narrow"/>
                <w:bCs/>
                <w:color w:val="000000"/>
                <w:sz w:val="20"/>
              </w:rPr>
            </w:pPr>
            <w:r w:rsidRPr="004A1862">
              <w:rPr>
                <w:rFonts w:ascii="Arial Narrow" w:hAnsi="Arial Narrow"/>
                <w:bCs/>
                <w:color w:val="000000"/>
                <w:sz w:val="20"/>
              </w:rPr>
              <w:t>-</w:t>
            </w:r>
          </w:p>
        </w:tc>
        <w:tc>
          <w:tcPr>
            <w:tcW w:w="764" w:type="pct"/>
            <w:shd w:val="clear" w:color="auto" w:fill="auto"/>
            <w:vAlign w:val="center"/>
          </w:tcPr>
          <w:p w:rsidR="00C25D9C" w:rsidRPr="004A1862" w:rsidRDefault="00786868" w:rsidP="00B8649C">
            <w:pPr>
              <w:jc w:val="center"/>
              <w:rPr>
                <w:rFonts w:ascii="Arial Narrow" w:hAnsi="Arial Narrow"/>
                <w:bCs/>
                <w:color w:val="000000"/>
                <w:sz w:val="20"/>
              </w:rPr>
            </w:pPr>
            <w:r w:rsidRPr="004A1862">
              <w:rPr>
                <w:rFonts w:ascii="Arial Narrow" w:hAnsi="Arial Narrow"/>
                <w:bCs/>
                <w:color w:val="000000"/>
                <w:sz w:val="20"/>
              </w:rPr>
              <w:t>-</w:t>
            </w:r>
          </w:p>
        </w:tc>
        <w:tc>
          <w:tcPr>
            <w:tcW w:w="764" w:type="pct"/>
            <w:shd w:val="clear" w:color="auto" w:fill="auto"/>
            <w:vAlign w:val="center"/>
          </w:tcPr>
          <w:p w:rsidR="00C25D9C" w:rsidRPr="004A1862" w:rsidRDefault="00786868" w:rsidP="00B8649C">
            <w:pPr>
              <w:jc w:val="center"/>
              <w:rPr>
                <w:rFonts w:ascii="Arial Narrow" w:hAnsi="Arial Narrow"/>
                <w:bCs/>
                <w:color w:val="000000"/>
                <w:sz w:val="20"/>
              </w:rPr>
            </w:pPr>
            <w:r w:rsidRPr="004A1862">
              <w:rPr>
                <w:rFonts w:ascii="Arial Narrow" w:hAnsi="Arial Narrow"/>
                <w:bCs/>
                <w:color w:val="000000"/>
                <w:sz w:val="20"/>
              </w:rPr>
              <w:t>-</w:t>
            </w:r>
          </w:p>
        </w:tc>
        <w:tc>
          <w:tcPr>
            <w:tcW w:w="755" w:type="pct"/>
            <w:shd w:val="clear" w:color="auto" w:fill="auto"/>
            <w:vAlign w:val="center"/>
          </w:tcPr>
          <w:p w:rsidR="00C25D9C" w:rsidRPr="004A1862" w:rsidRDefault="00786868" w:rsidP="00B8649C">
            <w:pPr>
              <w:jc w:val="center"/>
              <w:rPr>
                <w:rFonts w:ascii="Arial Narrow" w:hAnsi="Arial Narrow"/>
                <w:bCs/>
                <w:color w:val="000000"/>
                <w:sz w:val="20"/>
              </w:rPr>
            </w:pPr>
            <w:r w:rsidRPr="004A1862">
              <w:rPr>
                <w:rFonts w:ascii="Arial Narrow" w:hAnsi="Arial Narrow"/>
                <w:bCs/>
                <w:color w:val="000000"/>
                <w:sz w:val="20"/>
              </w:rPr>
              <w:t>-</w:t>
            </w:r>
          </w:p>
        </w:tc>
      </w:tr>
      <w:tr w:rsidR="00C25D9C" w:rsidRPr="004A1862" w:rsidTr="005D044D">
        <w:tc>
          <w:tcPr>
            <w:tcW w:w="5000" w:type="pct"/>
            <w:gridSpan w:val="6"/>
            <w:shd w:val="clear" w:color="auto" w:fill="auto"/>
            <w:vAlign w:val="center"/>
          </w:tcPr>
          <w:p w:rsidR="00C25D9C" w:rsidRPr="004A1862" w:rsidRDefault="00C25D9C" w:rsidP="00B8649C">
            <w:pPr>
              <w:jc w:val="left"/>
              <w:rPr>
                <w:rFonts w:ascii="Arial Narrow" w:hAnsi="Arial Narrow"/>
                <w:b/>
                <w:color w:val="000000"/>
                <w:sz w:val="20"/>
              </w:rPr>
            </w:pPr>
            <w:r w:rsidRPr="004A1862">
              <w:rPr>
                <w:rFonts w:ascii="Arial Narrow" w:hAnsi="Arial Narrow"/>
                <w:b/>
                <w:color w:val="000000"/>
                <w:sz w:val="20"/>
              </w:rPr>
              <w:t>Estimated total net cost</w:t>
            </w:r>
          </w:p>
        </w:tc>
      </w:tr>
      <w:tr w:rsidR="004135CD" w:rsidRPr="004A1862" w:rsidTr="007D74BB">
        <w:tc>
          <w:tcPr>
            <w:tcW w:w="1359" w:type="pct"/>
            <w:shd w:val="clear" w:color="auto" w:fill="auto"/>
            <w:vAlign w:val="center"/>
          </w:tcPr>
          <w:p w:rsidR="004135CD" w:rsidRPr="004A1862" w:rsidRDefault="004135CD" w:rsidP="00B8649C">
            <w:pPr>
              <w:tabs>
                <w:tab w:val="left" w:pos="142"/>
              </w:tabs>
              <w:jc w:val="left"/>
              <w:rPr>
                <w:rFonts w:ascii="Arial Narrow" w:hAnsi="Arial Narrow"/>
                <w:b/>
                <w:sz w:val="20"/>
              </w:rPr>
            </w:pPr>
            <w:r w:rsidRPr="004A1862">
              <w:rPr>
                <w:rFonts w:ascii="Arial Narrow" w:hAnsi="Arial Narrow"/>
                <w:b/>
                <w:bCs/>
                <w:color w:val="000000"/>
                <w:sz w:val="20"/>
              </w:rPr>
              <w:t>Net cost to PBS/RPBS/MBS</w:t>
            </w:r>
          </w:p>
        </w:tc>
        <w:tc>
          <w:tcPr>
            <w:tcW w:w="679" w:type="pct"/>
            <w:shd w:val="clear" w:color="auto" w:fill="auto"/>
            <w:vAlign w:val="bottom"/>
          </w:tcPr>
          <w:p w:rsidR="004135CD" w:rsidRPr="004A1862" w:rsidRDefault="004135CD" w:rsidP="00B8649C">
            <w:pPr>
              <w:jc w:val="center"/>
              <w:rPr>
                <w:rFonts w:ascii="Arial Narrow" w:hAnsi="Arial Narrow"/>
                <w:color w:val="000000"/>
                <w:sz w:val="20"/>
              </w:rPr>
            </w:pPr>
            <w:r w:rsidRPr="004A1862">
              <w:rPr>
                <w:rFonts w:ascii="Arial Narrow" w:hAnsi="Arial Narrow"/>
                <w:b/>
                <w:bCs/>
                <w:sz w:val="20"/>
              </w:rPr>
              <w:t>$</w:t>
            </w:r>
            <w:r w:rsidR="001119B4">
              <w:rPr>
                <w:rFonts w:ascii="Arial Narrow" w:hAnsi="Arial Narrow"/>
                <w:b/>
                <w:bCs/>
                <w:noProof/>
                <w:color w:val="000000"/>
                <w:sz w:val="20"/>
                <w:highlight w:val="black"/>
              </w:rPr>
              <w:t>'''''''''''''</w:t>
            </w:r>
          </w:p>
        </w:tc>
        <w:tc>
          <w:tcPr>
            <w:tcW w:w="679" w:type="pct"/>
            <w:shd w:val="clear" w:color="auto" w:fill="auto"/>
            <w:vAlign w:val="bottom"/>
          </w:tcPr>
          <w:p w:rsidR="004135CD" w:rsidRPr="004A1862" w:rsidRDefault="004135CD" w:rsidP="00B8649C">
            <w:pPr>
              <w:jc w:val="center"/>
              <w:rPr>
                <w:rFonts w:ascii="Arial Narrow" w:hAnsi="Arial Narrow"/>
                <w:color w:val="000000"/>
                <w:sz w:val="20"/>
              </w:rPr>
            </w:pPr>
            <w:r w:rsidRPr="004A1862">
              <w:rPr>
                <w:rFonts w:ascii="Arial Narrow" w:hAnsi="Arial Narrow"/>
                <w:b/>
                <w:bCs/>
                <w:sz w:val="20"/>
              </w:rPr>
              <w:t>$</w:t>
            </w:r>
            <w:r w:rsidR="001119B4">
              <w:rPr>
                <w:rFonts w:ascii="Arial Narrow" w:hAnsi="Arial Narrow"/>
                <w:b/>
                <w:bCs/>
                <w:noProof/>
                <w:color w:val="000000"/>
                <w:sz w:val="20"/>
                <w:highlight w:val="black"/>
              </w:rPr>
              <w:t>''''''''''''</w:t>
            </w:r>
          </w:p>
        </w:tc>
        <w:tc>
          <w:tcPr>
            <w:tcW w:w="764" w:type="pct"/>
            <w:shd w:val="clear" w:color="auto" w:fill="auto"/>
            <w:vAlign w:val="bottom"/>
          </w:tcPr>
          <w:p w:rsidR="004135CD" w:rsidRPr="004A1862" w:rsidRDefault="004135CD" w:rsidP="00B8649C">
            <w:pPr>
              <w:jc w:val="center"/>
              <w:rPr>
                <w:rFonts w:ascii="Arial Narrow" w:hAnsi="Arial Narrow"/>
                <w:color w:val="000000"/>
                <w:sz w:val="20"/>
              </w:rPr>
            </w:pPr>
            <w:r w:rsidRPr="004A1862">
              <w:rPr>
                <w:rFonts w:ascii="Arial Narrow" w:hAnsi="Arial Narrow"/>
                <w:b/>
                <w:bCs/>
                <w:sz w:val="20"/>
              </w:rPr>
              <w:t>$</w:t>
            </w:r>
            <w:r w:rsidR="001119B4">
              <w:rPr>
                <w:rFonts w:ascii="Arial Narrow" w:hAnsi="Arial Narrow"/>
                <w:b/>
                <w:bCs/>
                <w:noProof/>
                <w:color w:val="000000"/>
                <w:sz w:val="20"/>
                <w:highlight w:val="black"/>
              </w:rPr>
              <w:t>''''''''''''''</w:t>
            </w:r>
          </w:p>
        </w:tc>
        <w:tc>
          <w:tcPr>
            <w:tcW w:w="764" w:type="pct"/>
            <w:shd w:val="clear" w:color="auto" w:fill="auto"/>
            <w:vAlign w:val="bottom"/>
          </w:tcPr>
          <w:p w:rsidR="004135CD" w:rsidRPr="004A1862" w:rsidRDefault="004135CD" w:rsidP="00B8649C">
            <w:pPr>
              <w:jc w:val="center"/>
              <w:rPr>
                <w:rFonts w:ascii="Arial Narrow" w:hAnsi="Arial Narrow"/>
                <w:color w:val="000000"/>
                <w:sz w:val="20"/>
              </w:rPr>
            </w:pPr>
            <w:r w:rsidRPr="004A1862">
              <w:rPr>
                <w:rFonts w:ascii="Arial Narrow" w:hAnsi="Arial Narrow"/>
                <w:b/>
                <w:bCs/>
                <w:sz w:val="20"/>
              </w:rPr>
              <w:t>$</w:t>
            </w:r>
            <w:r w:rsidR="001119B4">
              <w:rPr>
                <w:rFonts w:ascii="Arial Narrow" w:hAnsi="Arial Narrow"/>
                <w:b/>
                <w:bCs/>
                <w:noProof/>
                <w:color w:val="000000"/>
                <w:sz w:val="20"/>
                <w:highlight w:val="black"/>
              </w:rPr>
              <w:t>'''''''''''''</w:t>
            </w:r>
          </w:p>
        </w:tc>
        <w:tc>
          <w:tcPr>
            <w:tcW w:w="755" w:type="pct"/>
            <w:shd w:val="clear" w:color="auto" w:fill="auto"/>
            <w:vAlign w:val="bottom"/>
          </w:tcPr>
          <w:p w:rsidR="004135CD" w:rsidRPr="004A1862" w:rsidRDefault="004135CD" w:rsidP="00B8649C">
            <w:pPr>
              <w:jc w:val="center"/>
              <w:rPr>
                <w:rFonts w:ascii="Arial Narrow" w:hAnsi="Arial Narrow"/>
                <w:color w:val="000000"/>
                <w:sz w:val="20"/>
              </w:rPr>
            </w:pPr>
            <w:r w:rsidRPr="004A1862">
              <w:rPr>
                <w:rFonts w:ascii="Arial Narrow" w:hAnsi="Arial Narrow"/>
                <w:b/>
                <w:bCs/>
                <w:sz w:val="20"/>
              </w:rPr>
              <w:t>$</w:t>
            </w:r>
            <w:r w:rsidR="001119B4">
              <w:rPr>
                <w:rFonts w:ascii="Arial Narrow" w:hAnsi="Arial Narrow"/>
                <w:b/>
                <w:bCs/>
                <w:noProof/>
                <w:color w:val="000000"/>
                <w:sz w:val="20"/>
                <w:highlight w:val="black"/>
              </w:rPr>
              <w:t>'''''''''''''</w:t>
            </w:r>
          </w:p>
        </w:tc>
      </w:tr>
    </w:tbl>
    <w:p w:rsidR="00C25D9C" w:rsidRPr="004A1862" w:rsidRDefault="00C25D9C" w:rsidP="005D044D">
      <w:pPr>
        <w:pStyle w:val="TableFooter"/>
        <w:ind w:firstLine="720"/>
        <w:rPr>
          <w:szCs w:val="22"/>
        </w:rPr>
      </w:pPr>
      <w:r w:rsidRPr="004A1862">
        <w:rPr>
          <w:sz w:val="16"/>
          <w:szCs w:val="18"/>
        </w:rPr>
        <w:t xml:space="preserve">Source: </w:t>
      </w:r>
      <w:r w:rsidR="00966488" w:rsidRPr="004A1862">
        <w:rPr>
          <w:szCs w:val="18"/>
        </w:rPr>
        <w:t>Tables</w:t>
      </w:r>
      <w:r w:rsidR="00786868" w:rsidRPr="004A1862">
        <w:rPr>
          <w:szCs w:val="18"/>
        </w:rPr>
        <w:t xml:space="preserve"> </w:t>
      </w:r>
      <w:r w:rsidR="00166AAB" w:rsidRPr="004A1862">
        <w:rPr>
          <w:szCs w:val="18"/>
        </w:rPr>
        <w:t>73-76, 89; pp.</w:t>
      </w:r>
      <w:r w:rsidR="00966488" w:rsidRPr="004A1862">
        <w:rPr>
          <w:szCs w:val="18"/>
        </w:rPr>
        <w:t>171-175, 191</w:t>
      </w:r>
      <w:r w:rsidR="00166AAB" w:rsidRPr="004A1862">
        <w:rPr>
          <w:szCs w:val="18"/>
        </w:rPr>
        <w:t xml:space="preserve"> </w:t>
      </w:r>
      <w:r w:rsidRPr="004A1862">
        <w:rPr>
          <w:szCs w:val="18"/>
        </w:rPr>
        <w:t>of the submission</w:t>
      </w:r>
      <w:r w:rsidR="00166AAB" w:rsidRPr="004A1862">
        <w:rPr>
          <w:szCs w:val="18"/>
        </w:rPr>
        <w:t>.</w:t>
      </w:r>
    </w:p>
    <w:p w:rsidR="00311137" w:rsidRPr="004A1862" w:rsidRDefault="00311137" w:rsidP="002D0D80">
      <w:pPr>
        <w:widowControl/>
        <w:jc w:val="left"/>
      </w:pPr>
    </w:p>
    <w:p w:rsidR="00C25D9C" w:rsidRPr="004A1862" w:rsidRDefault="002B31A6" w:rsidP="00513E59">
      <w:pPr>
        <w:widowControl/>
        <w:ind w:firstLine="709"/>
        <w:jc w:val="left"/>
        <w:rPr>
          <w:szCs w:val="22"/>
        </w:rPr>
      </w:pPr>
      <w:r w:rsidRPr="004A1862">
        <w:t xml:space="preserve">Key sensitivity analyses are presented </w:t>
      </w:r>
      <w:r w:rsidR="00962869" w:rsidRPr="004A1862">
        <w:t>in the following table</w:t>
      </w:r>
      <w:r w:rsidRPr="004A1862">
        <w:t>.</w:t>
      </w:r>
    </w:p>
    <w:p w:rsidR="007D1507" w:rsidRPr="004A1862" w:rsidRDefault="007D1507" w:rsidP="007D1507">
      <w:pPr>
        <w:pStyle w:val="ListParagraph"/>
        <w:widowControl/>
      </w:pPr>
    </w:p>
    <w:p w:rsidR="007D1507" w:rsidRPr="004A1862" w:rsidRDefault="007D1507" w:rsidP="007D1507">
      <w:pPr>
        <w:ind w:firstLine="720"/>
        <w:rPr>
          <w:rFonts w:ascii="Arial Narrow" w:hAnsi="Arial Narrow"/>
          <w:b/>
          <w:bCs/>
          <w:sz w:val="20"/>
        </w:rPr>
      </w:pPr>
      <w:r w:rsidRPr="004A1862">
        <w:rPr>
          <w:rFonts w:ascii="Arial Narrow" w:hAnsi="Arial Narrow"/>
          <w:b/>
          <w:bCs/>
          <w:sz w:val="20"/>
        </w:rPr>
        <w:t xml:space="preserve">Table </w:t>
      </w:r>
      <w:r w:rsidR="00447A8D" w:rsidRPr="004A1862">
        <w:rPr>
          <w:rFonts w:ascii="Arial Narrow" w:hAnsi="Arial Narrow"/>
          <w:b/>
          <w:bCs/>
          <w:sz w:val="20"/>
        </w:rPr>
        <w:t>9</w:t>
      </w:r>
      <w:r w:rsidRPr="004A1862">
        <w:rPr>
          <w:rFonts w:ascii="Arial Narrow" w:hAnsi="Arial Narrow"/>
          <w:b/>
          <w:bCs/>
          <w:sz w:val="20"/>
        </w:rPr>
        <w:t>: Sensitivity analysis of the total net cost to the PBS/RPBS (after copayments) for listing Simbrinza</w:t>
      </w:r>
    </w:p>
    <w:tbl>
      <w:tblPr>
        <w:tblStyle w:val="TableGrid"/>
        <w:tblW w:w="0" w:type="auto"/>
        <w:tblInd w:w="737" w:type="dxa"/>
        <w:tblLayout w:type="fixed"/>
        <w:tblCellMar>
          <w:left w:w="28" w:type="dxa"/>
          <w:right w:w="28" w:type="dxa"/>
        </w:tblCellMar>
        <w:tblLook w:val="04A0" w:firstRow="1" w:lastRow="0" w:firstColumn="1" w:lastColumn="0" w:noHBand="0" w:noVBand="1"/>
        <w:tblCaption w:val="Table 9: Sensitivity analysis of the total net cost to the PBS/RPBS (after copayments) for listing Simbrinza"/>
        <w:tblDescription w:val="Table 9 summarises the sensitivity analysis conducted on the total net cost to the PBS/RPBS (after copayments) for listing Simbrinza"/>
      </w:tblPr>
      <w:tblGrid>
        <w:gridCol w:w="3827"/>
        <w:gridCol w:w="903"/>
        <w:gridCol w:w="904"/>
        <w:gridCol w:w="903"/>
        <w:gridCol w:w="904"/>
        <w:gridCol w:w="904"/>
      </w:tblGrid>
      <w:tr w:rsidR="007D1507" w:rsidRPr="004A1862" w:rsidTr="004A1862">
        <w:trPr>
          <w:tblHeader/>
        </w:trPr>
        <w:tc>
          <w:tcPr>
            <w:tcW w:w="3827" w:type="dxa"/>
          </w:tcPr>
          <w:p w:rsidR="007D1507" w:rsidRPr="004A1862" w:rsidRDefault="007D1507" w:rsidP="00A34E63">
            <w:pPr>
              <w:jc w:val="left"/>
              <w:rPr>
                <w:rFonts w:ascii="Arial Narrow" w:hAnsi="Arial Narrow"/>
                <w:sz w:val="20"/>
              </w:rPr>
            </w:pPr>
          </w:p>
        </w:tc>
        <w:tc>
          <w:tcPr>
            <w:tcW w:w="903" w:type="dxa"/>
            <w:vAlign w:val="center"/>
          </w:tcPr>
          <w:p w:rsidR="007D1507" w:rsidRPr="004A1862" w:rsidRDefault="007D1507" w:rsidP="00A34E63">
            <w:pPr>
              <w:jc w:val="center"/>
              <w:rPr>
                <w:rFonts w:ascii="Arial Narrow" w:hAnsi="Arial Narrow"/>
                <w:b/>
                <w:bCs/>
                <w:sz w:val="20"/>
              </w:rPr>
            </w:pPr>
            <w:r w:rsidRPr="004A1862">
              <w:rPr>
                <w:rFonts w:ascii="Arial Narrow" w:hAnsi="Arial Narrow"/>
                <w:b/>
                <w:bCs/>
                <w:sz w:val="20"/>
              </w:rPr>
              <w:t>Year 1</w:t>
            </w:r>
          </w:p>
        </w:tc>
        <w:tc>
          <w:tcPr>
            <w:tcW w:w="904" w:type="dxa"/>
            <w:vAlign w:val="center"/>
          </w:tcPr>
          <w:p w:rsidR="007D1507" w:rsidRPr="004A1862" w:rsidRDefault="007D1507" w:rsidP="00A34E63">
            <w:pPr>
              <w:jc w:val="center"/>
              <w:rPr>
                <w:rFonts w:ascii="Arial Narrow" w:hAnsi="Arial Narrow"/>
                <w:b/>
                <w:bCs/>
                <w:sz w:val="20"/>
              </w:rPr>
            </w:pPr>
            <w:r w:rsidRPr="004A1862">
              <w:rPr>
                <w:rFonts w:ascii="Arial Narrow" w:hAnsi="Arial Narrow"/>
                <w:b/>
                <w:bCs/>
                <w:sz w:val="20"/>
              </w:rPr>
              <w:t>Year 2</w:t>
            </w:r>
          </w:p>
        </w:tc>
        <w:tc>
          <w:tcPr>
            <w:tcW w:w="903" w:type="dxa"/>
            <w:vAlign w:val="center"/>
          </w:tcPr>
          <w:p w:rsidR="007D1507" w:rsidRPr="004A1862" w:rsidRDefault="007D1507" w:rsidP="00A34E63">
            <w:pPr>
              <w:jc w:val="center"/>
              <w:rPr>
                <w:rFonts w:ascii="Arial Narrow" w:hAnsi="Arial Narrow"/>
                <w:b/>
                <w:bCs/>
                <w:sz w:val="20"/>
              </w:rPr>
            </w:pPr>
            <w:r w:rsidRPr="004A1862">
              <w:rPr>
                <w:rFonts w:ascii="Arial Narrow" w:hAnsi="Arial Narrow"/>
                <w:b/>
                <w:bCs/>
                <w:sz w:val="20"/>
              </w:rPr>
              <w:t>Year 3</w:t>
            </w:r>
          </w:p>
        </w:tc>
        <w:tc>
          <w:tcPr>
            <w:tcW w:w="904" w:type="dxa"/>
            <w:vAlign w:val="center"/>
          </w:tcPr>
          <w:p w:rsidR="007D1507" w:rsidRPr="004A1862" w:rsidRDefault="007D1507" w:rsidP="00A34E63">
            <w:pPr>
              <w:jc w:val="center"/>
              <w:rPr>
                <w:rFonts w:ascii="Arial Narrow" w:hAnsi="Arial Narrow"/>
                <w:b/>
                <w:bCs/>
                <w:sz w:val="20"/>
              </w:rPr>
            </w:pPr>
            <w:r w:rsidRPr="004A1862">
              <w:rPr>
                <w:rFonts w:ascii="Arial Narrow" w:hAnsi="Arial Narrow"/>
                <w:b/>
                <w:bCs/>
                <w:sz w:val="20"/>
              </w:rPr>
              <w:t>Year 4</w:t>
            </w:r>
          </w:p>
        </w:tc>
        <w:tc>
          <w:tcPr>
            <w:tcW w:w="904" w:type="dxa"/>
            <w:vAlign w:val="center"/>
          </w:tcPr>
          <w:p w:rsidR="007D1507" w:rsidRPr="004A1862" w:rsidRDefault="007D1507" w:rsidP="00A34E63">
            <w:pPr>
              <w:jc w:val="center"/>
              <w:rPr>
                <w:rFonts w:ascii="Arial Narrow" w:hAnsi="Arial Narrow"/>
                <w:b/>
                <w:bCs/>
                <w:sz w:val="20"/>
              </w:rPr>
            </w:pPr>
            <w:r w:rsidRPr="004A1862">
              <w:rPr>
                <w:rFonts w:ascii="Arial Narrow" w:hAnsi="Arial Narrow"/>
                <w:b/>
                <w:bCs/>
                <w:sz w:val="20"/>
              </w:rPr>
              <w:t>Year 5</w:t>
            </w:r>
          </w:p>
        </w:tc>
      </w:tr>
      <w:tr w:rsidR="007D1507" w:rsidRPr="004A1862" w:rsidTr="00470F40">
        <w:tc>
          <w:tcPr>
            <w:tcW w:w="3827" w:type="dxa"/>
          </w:tcPr>
          <w:p w:rsidR="007D1507" w:rsidRPr="004A1862" w:rsidRDefault="007D1507" w:rsidP="00A34E63">
            <w:pPr>
              <w:jc w:val="left"/>
              <w:rPr>
                <w:rFonts w:ascii="Arial Narrow" w:hAnsi="Arial Narrow"/>
                <w:b/>
                <w:bCs/>
                <w:sz w:val="20"/>
              </w:rPr>
            </w:pPr>
            <w:r w:rsidRPr="004A1862">
              <w:rPr>
                <w:rFonts w:ascii="Arial Narrow" w:hAnsi="Arial Narrow"/>
                <w:b/>
                <w:bCs/>
                <w:sz w:val="20"/>
              </w:rPr>
              <w:t>Base Case</w:t>
            </w:r>
          </w:p>
        </w:tc>
        <w:tc>
          <w:tcPr>
            <w:tcW w:w="903" w:type="dxa"/>
            <w:vAlign w:val="bottom"/>
          </w:tcPr>
          <w:p w:rsidR="007D1507" w:rsidRPr="004A1862" w:rsidRDefault="007D1507" w:rsidP="00A34E63">
            <w:pPr>
              <w:jc w:val="center"/>
              <w:rPr>
                <w:rFonts w:ascii="Arial Narrow" w:hAnsi="Arial Narrow"/>
                <w:sz w:val="20"/>
              </w:rPr>
            </w:pPr>
            <w:r w:rsidRPr="004A1862">
              <w:rPr>
                <w:rFonts w:ascii="Arial Narrow" w:hAnsi="Arial Narrow"/>
                <w:b/>
                <w:bCs/>
                <w:sz w:val="20"/>
              </w:rPr>
              <w:t>$</w:t>
            </w:r>
            <w:r w:rsidR="001119B4">
              <w:rPr>
                <w:rFonts w:ascii="Arial Narrow" w:hAnsi="Arial Narrow"/>
                <w:b/>
                <w:bCs/>
                <w:noProof/>
                <w:color w:val="000000"/>
                <w:sz w:val="20"/>
                <w:highlight w:val="black"/>
              </w:rPr>
              <w:t>'''''''''''''</w:t>
            </w:r>
          </w:p>
        </w:tc>
        <w:tc>
          <w:tcPr>
            <w:tcW w:w="904" w:type="dxa"/>
            <w:vAlign w:val="bottom"/>
          </w:tcPr>
          <w:p w:rsidR="007D1507" w:rsidRPr="004A1862" w:rsidRDefault="007D1507" w:rsidP="00A34E63">
            <w:pPr>
              <w:jc w:val="center"/>
              <w:rPr>
                <w:rFonts w:ascii="Arial Narrow" w:hAnsi="Arial Narrow"/>
                <w:sz w:val="20"/>
              </w:rPr>
            </w:pPr>
            <w:r w:rsidRPr="004A1862">
              <w:rPr>
                <w:rFonts w:ascii="Arial Narrow" w:hAnsi="Arial Narrow"/>
                <w:b/>
                <w:bCs/>
                <w:sz w:val="20"/>
              </w:rPr>
              <w:t>$</w:t>
            </w:r>
            <w:r w:rsidR="001119B4">
              <w:rPr>
                <w:rFonts w:ascii="Arial Narrow" w:hAnsi="Arial Narrow"/>
                <w:b/>
                <w:bCs/>
                <w:noProof/>
                <w:color w:val="000000"/>
                <w:sz w:val="20"/>
                <w:highlight w:val="black"/>
              </w:rPr>
              <w:t>''''''''''''''</w:t>
            </w:r>
          </w:p>
        </w:tc>
        <w:tc>
          <w:tcPr>
            <w:tcW w:w="903" w:type="dxa"/>
            <w:vAlign w:val="bottom"/>
          </w:tcPr>
          <w:p w:rsidR="007D1507" w:rsidRPr="004A1862" w:rsidRDefault="007D1507" w:rsidP="00A34E63">
            <w:pPr>
              <w:jc w:val="center"/>
              <w:rPr>
                <w:rFonts w:ascii="Arial Narrow" w:hAnsi="Arial Narrow"/>
                <w:sz w:val="20"/>
              </w:rPr>
            </w:pPr>
            <w:r w:rsidRPr="004A1862">
              <w:rPr>
                <w:rFonts w:ascii="Arial Narrow" w:hAnsi="Arial Narrow"/>
                <w:b/>
                <w:bCs/>
                <w:sz w:val="20"/>
              </w:rPr>
              <w:t>$</w:t>
            </w:r>
            <w:r w:rsidR="001119B4">
              <w:rPr>
                <w:rFonts w:ascii="Arial Narrow" w:hAnsi="Arial Narrow"/>
                <w:b/>
                <w:bCs/>
                <w:noProof/>
                <w:color w:val="000000"/>
                <w:sz w:val="20"/>
                <w:highlight w:val="black"/>
              </w:rPr>
              <w:t>''''''''''''''</w:t>
            </w:r>
          </w:p>
        </w:tc>
        <w:tc>
          <w:tcPr>
            <w:tcW w:w="904" w:type="dxa"/>
            <w:vAlign w:val="bottom"/>
          </w:tcPr>
          <w:p w:rsidR="007D1507" w:rsidRPr="004A1862" w:rsidRDefault="007D1507" w:rsidP="00A34E63">
            <w:pPr>
              <w:jc w:val="center"/>
              <w:rPr>
                <w:rFonts w:ascii="Arial Narrow" w:hAnsi="Arial Narrow"/>
                <w:sz w:val="20"/>
              </w:rPr>
            </w:pPr>
            <w:r w:rsidRPr="004A1862">
              <w:rPr>
                <w:rFonts w:ascii="Arial Narrow" w:hAnsi="Arial Narrow"/>
                <w:b/>
                <w:bCs/>
                <w:sz w:val="20"/>
              </w:rPr>
              <w:t>$</w:t>
            </w:r>
            <w:r w:rsidR="001119B4">
              <w:rPr>
                <w:rFonts w:ascii="Arial Narrow" w:hAnsi="Arial Narrow"/>
                <w:b/>
                <w:bCs/>
                <w:noProof/>
                <w:color w:val="000000"/>
                <w:sz w:val="20"/>
                <w:highlight w:val="black"/>
              </w:rPr>
              <w:t>'''''''''''''</w:t>
            </w:r>
          </w:p>
        </w:tc>
        <w:tc>
          <w:tcPr>
            <w:tcW w:w="904" w:type="dxa"/>
            <w:vAlign w:val="bottom"/>
          </w:tcPr>
          <w:p w:rsidR="007D1507" w:rsidRPr="004A1862" w:rsidRDefault="007D1507" w:rsidP="00A34E63">
            <w:pPr>
              <w:jc w:val="center"/>
              <w:rPr>
                <w:rFonts w:ascii="Arial Narrow" w:hAnsi="Arial Narrow"/>
                <w:sz w:val="20"/>
              </w:rPr>
            </w:pPr>
            <w:r w:rsidRPr="004A1862">
              <w:rPr>
                <w:rFonts w:ascii="Arial Narrow" w:hAnsi="Arial Narrow"/>
                <w:b/>
                <w:bCs/>
                <w:sz w:val="20"/>
              </w:rPr>
              <w:t>$</w:t>
            </w:r>
            <w:r w:rsidR="001119B4">
              <w:rPr>
                <w:rFonts w:ascii="Arial Narrow" w:hAnsi="Arial Narrow"/>
                <w:b/>
                <w:bCs/>
                <w:noProof/>
                <w:color w:val="000000"/>
                <w:sz w:val="20"/>
                <w:highlight w:val="black"/>
              </w:rPr>
              <w:t>'''''''''''''''</w:t>
            </w:r>
          </w:p>
        </w:tc>
      </w:tr>
      <w:tr w:rsidR="007D1507" w:rsidRPr="004A1862" w:rsidTr="00470F40">
        <w:tc>
          <w:tcPr>
            <w:tcW w:w="3827" w:type="dxa"/>
          </w:tcPr>
          <w:p w:rsidR="007D1507" w:rsidRPr="004A1862" w:rsidRDefault="007D1507" w:rsidP="00A34E63">
            <w:pPr>
              <w:jc w:val="left"/>
              <w:rPr>
                <w:rFonts w:ascii="Arial Narrow" w:hAnsi="Arial Narrow"/>
                <w:b/>
                <w:bCs/>
                <w:sz w:val="20"/>
              </w:rPr>
            </w:pPr>
            <w:r w:rsidRPr="004A1862">
              <w:rPr>
                <w:rFonts w:ascii="Arial Narrow" w:hAnsi="Arial Narrow"/>
                <w:b/>
                <w:bCs/>
                <w:sz w:val="20"/>
              </w:rPr>
              <w:t>Simbrinza uptake</w:t>
            </w:r>
          </w:p>
        </w:tc>
        <w:tc>
          <w:tcPr>
            <w:tcW w:w="903" w:type="dxa"/>
            <w:vAlign w:val="center"/>
          </w:tcPr>
          <w:p w:rsidR="007D1507" w:rsidRPr="004A1862" w:rsidRDefault="007D1507" w:rsidP="00A34E63">
            <w:pPr>
              <w:jc w:val="center"/>
              <w:rPr>
                <w:rFonts w:ascii="Arial Narrow" w:hAnsi="Arial Narrow"/>
                <w:sz w:val="20"/>
              </w:rPr>
            </w:pPr>
          </w:p>
        </w:tc>
        <w:tc>
          <w:tcPr>
            <w:tcW w:w="904" w:type="dxa"/>
            <w:vAlign w:val="center"/>
          </w:tcPr>
          <w:p w:rsidR="007D1507" w:rsidRPr="004A1862" w:rsidRDefault="007D1507" w:rsidP="00A34E63">
            <w:pPr>
              <w:jc w:val="center"/>
              <w:rPr>
                <w:rFonts w:ascii="Arial Narrow" w:hAnsi="Arial Narrow"/>
                <w:sz w:val="20"/>
              </w:rPr>
            </w:pPr>
          </w:p>
        </w:tc>
        <w:tc>
          <w:tcPr>
            <w:tcW w:w="903" w:type="dxa"/>
            <w:vAlign w:val="center"/>
          </w:tcPr>
          <w:p w:rsidR="007D1507" w:rsidRPr="004A1862" w:rsidRDefault="007D1507" w:rsidP="00A34E63">
            <w:pPr>
              <w:jc w:val="center"/>
              <w:rPr>
                <w:rFonts w:ascii="Arial Narrow" w:hAnsi="Arial Narrow"/>
                <w:sz w:val="20"/>
              </w:rPr>
            </w:pPr>
          </w:p>
        </w:tc>
        <w:tc>
          <w:tcPr>
            <w:tcW w:w="904" w:type="dxa"/>
            <w:vAlign w:val="center"/>
          </w:tcPr>
          <w:p w:rsidR="007D1507" w:rsidRPr="004A1862" w:rsidRDefault="007D1507" w:rsidP="00A34E63">
            <w:pPr>
              <w:jc w:val="center"/>
              <w:rPr>
                <w:rFonts w:ascii="Arial Narrow" w:hAnsi="Arial Narrow"/>
                <w:sz w:val="20"/>
              </w:rPr>
            </w:pPr>
          </w:p>
        </w:tc>
        <w:tc>
          <w:tcPr>
            <w:tcW w:w="904" w:type="dxa"/>
            <w:vAlign w:val="center"/>
          </w:tcPr>
          <w:p w:rsidR="007D1507" w:rsidRPr="004A1862" w:rsidRDefault="007D1507" w:rsidP="00A34E63">
            <w:pPr>
              <w:jc w:val="center"/>
              <w:rPr>
                <w:rFonts w:ascii="Arial Narrow" w:hAnsi="Arial Narrow"/>
                <w:sz w:val="20"/>
              </w:rPr>
            </w:pPr>
          </w:p>
        </w:tc>
      </w:tr>
      <w:tr w:rsidR="007D1507" w:rsidRPr="004A1862" w:rsidTr="00470F40">
        <w:tc>
          <w:tcPr>
            <w:tcW w:w="3827" w:type="dxa"/>
          </w:tcPr>
          <w:p w:rsidR="007D1507" w:rsidRPr="004A1862" w:rsidRDefault="007D1507" w:rsidP="00A34E63">
            <w:pPr>
              <w:jc w:val="left"/>
              <w:rPr>
                <w:rFonts w:ascii="Arial Narrow" w:hAnsi="Arial Narrow"/>
                <w:sz w:val="20"/>
              </w:rPr>
            </w:pPr>
            <w:r w:rsidRPr="004A1862">
              <w:rPr>
                <w:rFonts w:ascii="Arial Narrow" w:hAnsi="Arial Narrow"/>
                <w:sz w:val="20"/>
              </w:rPr>
              <w:t>5.0% by Year 5</w:t>
            </w:r>
          </w:p>
        </w:tc>
        <w:tc>
          <w:tcPr>
            <w:tcW w:w="903" w:type="dxa"/>
            <w:vAlign w:val="center"/>
          </w:tcPr>
          <w:p w:rsidR="007D1507" w:rsidRPr="004A1862" w:rsidRDefault="007D1507" w:rsidP="00A34E63">
            <w:pPr>
              <w:jc w:val="center"/>
              <w:rPr>
                <w:rFonts w:ascii="Arial Narrow" w:hAnsi="Arial Narrow"/>
                <w:sz w:val="20"/>
              </w:rPr>
            </w:pPr>
            <w:r w:rsidRPr="004A1862">
              <w:rPr>
                <w:rFonts w:ascii="Arial Narrow" w:hAnsi="Arial Narrow"/>
                <w:sz w:val="20"/>
              </w:rPr>
              <w:t>$</w:t>
            </w:r>
            <w:r w:rsidR="001119B4">
              <w:rPr>
                <w:rFonts w:ascii="Arial Narrow" w:hAnsi="Arial Narrow"/>
                <w:noProof/>
                <w:color w:val="000000"/>
                <w:sz w:val="20"/>
                <w:highlight w:val="black"/>
              </w:rPr>
              <w:t>'''''''''''''''</w:t>
            </w:r>
          </w:p>
        </w:tc>
        <w:tc>
          <w:tcPr>
            <w:tcW w:w="904" w:type="dxa"/>
            <w:vAlign w:val="center"/>
          </w:tcPr>
          <w:p w:rsidR="007D1507" w:rsidRPr="004A1862" w:rsidRDefault="007D1507" w:rsidP="00A34E63">
            <w:pPr>
              <w:jc w:val="center"/>
              <w:rPr>
                <w:rFonts w:ascii="Arial Narrow" w:hAnsi="Arial Narrow"/>
                <w:sz w:val="20"/>
              </w:rPr>
            </w:pPr>
            <w:r w:rsidRPr="004A1862">
              <w:rPr>
                <w:rFonts w:ascii="Arial Narrow" w:hAnsi="Arial Narrow"/>
                <w:sz w:val="20"/>
              </w:rPr>
              <w:t>$</w:t>
            </w:r>
            <w:r w:rsidR="001119B4">
              <w:rPr>
                <w:rFonts w:ascii="Arial Narrow" w:hAnsi="Arial Narrow"/>
                <w:noProof/>
                <w:color w:val="000000"/>
                <w:sz w:val="20"/>
                <w:highlight w:val="black"/>
              </w:rPr>
              <w:t>'''''''''''''''''''</w:t>
            </w:r>
          </w:p>
        </w:tc>
        <w:tc>
          <w:tcPr>
            <w:tcW w:w="903" w:type="dxa"/>
            <w:vAlign w:val="center"/>
          </w:tcPr>
          <w:p w:rsidR="007D1507" w:rsidRPr="004A1862" w:rsidRDefault="007D1507" w:rsidP="00A34E63">
            <w:pPr>
              <w:jc w:val="center"/>
              <w:rPr>
                <w:rFonts w:ascii="Arial Narrow" w:hAnsi="Arial Narrow"/>
                <w:sz w:val="20"/>
              </w:rPr>
            </w:pPr>
            <w:r w:rsidRPr="004A1862">
              <w:rPr>
                <w:rFonts w:ascii="Arial Narrow" w:hAnsi="Arial Narrow"/>
                <w:sz w:val="20"/>
              </w:rPr>
              <w:t>$</w:t>
            </w:r>
            <w:r w:rsidR="001119B4">
              <w:rPr>
                <w:rFonts w:ascii="Arial Narrow" w:hAnsi="Arial Narrow"/>
                <w:noProof/>
                <w:color w:val="000000"/>
                <w:sz w:val="20"/>
                <w:highlight w:val="black"/>
              </w:rPr>
              <w:t>'''''''''''''''''''''</w:t>
            </w:r>
          </w:p>
        </w:tc>
        <w:tc>
          <w:tcPr>
            <w:tcW w:w="904" w:type="dxa"/>
            <w:vAlign w:val="center"/>
          </w:tcPr>
          <w:p w:rsidR="007D1507" w:rsidRPr="004A1862" w:rsidRDefault="007D1507" w:rsidP="00A34E63">
            <w:pPr>
              <w:jc w:val="center"/>
              <w:rPr>
                <w:rFonts w:ascii="Arial Narrow" w:hAnsi="Arial Narrow"/>
                <w:sz w:val="20"/>
              </w:rPr>
            </w:pPr>
            <w:r w:rsidRPr="004A1862">
              <w:rPr>
                <w:rFonts w:ascii="Arial Narrow" w:hAnsi="Arial Narrow"/>
                <w:sz w:val="20"/>
              </w:rPr>
              <w:t>$</w:t>
            </w:r>
            <w:r w:rsidR="001119B4">
              <w:rPr>
                <w:rFonts w:ascii="Arial Narrow" w:hAnsi="Arial Narrow"/>
                <w:noProof/>
                <w:color w:val="000000"/>
                <w:sz w:val="20"/>
                <w:highlight w:val="black"/>
              </w:rPr>
              <w:t>'''''''''''''''''''</w:t>
            </w:r>
          </w:p>
        </w:tc>
        <w:tc>
          <w:tcPr>
            <w:tcW w:w="904" w:type="dxa"/>
            <w:vAlign w:val="center"/>
          </w:tcPr>
          <w:p w:rsidR="007D1507" w:rsidRPr="004A1862" w:rsidRDefault="007D1507" w:rsidP="00A34E63">
            <w:pPr>
              <w:jc w:val="center"/>
              <w:rPr>
                <w:rFonts w:ascii="Arial Narrow" w:hAnsi="Arial Narrow"/>
                <w:sz w:val="20"/>
              </w:rPr>
            </w:pPr>
            <w:r w:rsidRPr="004A1862">
              <w:rPr>
                <w:rFonts w:ascii="Arial Narrow" w:hAnsi="Arial Narrow"/>
                <w:sz w:val="20"/>
              </w:rPr>
              <w:t>$</w:t>
            </w:r>
            <w:r w:rsidR="001119B4">
              <w:rPr>
                <w:rFonts w:ascii="Arial Narrow" w:hAnsi="Arial Narrow"/>
                <w:noProof/>
                <w:color w:val="000000"/>
                <w:sz w:val="20"/>
                <w:highlight w:val="black"/>
              </w:rPr>
              <w:t>'''''''''''''''''''''</w:t>
            </w:r>
          </w:p>
        </w:tc>
      </w:tr>
      <w:tr w:rsidR="007D1507" w:rsidRPr="004A1862" w:rsidTr="00470F40">
        <w:tc>
          <w:tcPr>
            <w:tcW w:w="3827" w:type="dxa"/>
          </w:tcPr>
          <w:p w:rsidR="007D1507" w:rsidRPr="004A1862" w:rsidRDefault="007D1507" w:rsidP="00A34E63">
            <w:pPr>
              <w:jc w:val="left"/>
              <w:rPr>
                <w:rFonts w:ascii="Arial Narrow" w:hAnsi="Arial Narrow"/>
                <w:sz w:val="20"/>
              </w:rPr>
            </w:pPr>
            <w:r w:rsidRPr="004A1862">
              <w:rPr>
                <w:rFonts w:ascii="Arial Narrow" w:hAnsi="Arial Narrow"/>
                <w:b/>
                <w:bCs/>
                <w:sz w:val="20"/>
              </w:rPr>
              <w:t>Uptake from clinical need groups</w:t>
            </w:r>
          </w:p>
        </w:tc>
        <w:tc>
          <w:tcPr>
            <w:tcW w:w="903" w:type="dxa"/>
            <w:vAlign w:val="center"/>
          </w:tcPr>
          <w:p w:rsidR="007D1507" w:rsidRPr="004A1862" w:rsidRDefault="007D1507" w:rsidP="00A34E63">
            <w:pPr>
              <w:jc w:val="center"/>
              <w:rPr>
                <w:rFonts w:ascii="Arial Narrow" w:hAnsi="Arial Narrow"/>
                <w:sz w:val="20"/>
              </w:rPr>
            </w:pPr>
          </w:p>
        </w:tc>
        <w:tc>
          <w:tcPr>
            <w:tcW w:w="904" w:type="dxa"/>
            <w:vAlign w:val="center"/>
          </w:tcPr>
          <w:p w:rsidR="007D1507" w:rsidRPr="004A1862" w:rsidRDefault="007D1507" w:rsidP="00A34E63">
            <w:pPr>
              <w:jc w:val="center"/>
              <w:rPr>
                <w:rFonts w:ascii="Arial Narrow" w:hAnsi="Arial Narrow"/>
                <w:sz w:val="20"/>
              </w:rPr>
            </w:pPr>
          </w:p>
        </w:tc>
        <w:tc>
          <w:tcPr>
            <w:tcW w:w="903" w:type="dxa"/>
            <w:vAlign w:val="center"/>
          </w:tcPr>
          <w:p w:rsidR="007D1507" w:rsidRPr="004A1862" w:rsidRDefault="007D1507" w:rsidP="00A34E63">
            <w:pPr>
              <w:jc w:val="center"/>
              <w:rPr>
                <w:rFonts w:ascii="Arial Narrow" w:hAnsi="Arial Narrow"/>
                <w:sz w:val="20"/>
              </w:rPr>
            </w:pPr>
          </w:p>
        </w:tc>
        <w:tc>
          <w:tcPr>
            <w:tcW w:w="904" w:type="dxa"/>
            <w:vAlign w:val="center"/>
          </w:tcPr>
          <w:p w:rsidR="007D1507" w:rsidRPr="004A1862" w:rsidRDefault="007D1507" w:rsidP="00A34E63">
            <w:pPr>
              <w:jc w:val="center"/>
              <w:rPr>
                <w:rFonts w:ascii="Arial Narrow" w:hAnsi="Arial Narrow"/>
                <w:sz w:val="20"/>
              </w:rPr>
            </w:pPr>
          </w:p>
        </w:tc>
        <w:tc>
          <w:tcPr>
            <w:tcW w:w="904" w:type="dxa"/>
            <w:vAlign w:val="center"/>
          </w:tcPr>
          <w:p w:rsidR="007D1507" w:rsidRPr="004A1862" w:rsidRDefault="007D1507" w:rsidP="00A34E63">
            <w:pPr>
              <w:jc w:val="center"/>
              <w:rPr>
                <w:rFonts w:ascii="Arial Narrow" w:hAnsi="Arial Narrow"/>
                <w:sz w:val="20"/>
              </w:rPr>
            </w:pPr>
          </w:p>
        </w:tc>
      </w:tr>
      <w:tr w:rsidR="007D1507" w:rsidRPr="004A1862" w:rsidTr="00470F40">
        <w:tc>
          <w:tcPr>
            <w:tcW w:w="3827" w:type="dxa"/>
          </w:tcPr>
          <w:p w:rsidR="007D1507" w:rsidRPr="004A1862" w:rsidRDefault="007D1507" w:rsidP="00A34E63">
            <w:pPr>
              <w:jc w:val="left"/>
              <w:rPr>
                <w:rFonts w:ascii="Arial Narrow" w:hAnsi="Arial Narrow"/>
                <w:sz w:val="20"/>
              </w:rPr>
            </w:pPr>
            <w:r w:rsidRPr="004A1862">
              <w:rPr>
                <w:rFonts w:ascii="Arial Narrow" w:hAnsi="Arial Narrow"/>
                <w:sz w:val="20"/>
              </w:rPr>
              <w:t>100% Simbrinza uptake from clinical need groups 3, 4, 5</w:t>
            </w:r>
            <w:r w:rsidR="001F7C46" w:rsidRPr="004A1862">
              <w:rPr>
                <w:rFonts w:ascii="Arial Narrow" w:hAnsi="Arial Narrow"/>
                <w:sz w:val="20"/>
              </w:rPr>
              <w:t>*</w:t>
            </w:r>
          </w:p>
        </w:tc>
        <w:tc>
          <w:tcPr>
            <w:tcW w:w="903" w:type="dxa"/>
            <w:vAlign w:val="center"/>
          </w:tcPr>
          <w:p w:rsidR="007D1507" w:rsidRPr="004A1862" w:rsidRDefault="007D1507" w:rsidP="00A34E63">
            <w:pPr>
              <w:jc w:val="center"/>
              <w:rPr>
                <w:rFonts w:ascii="Arial Narrow" w:hAnsi="Arial Narrow"/>
                <w:sz w:val="20"/>
              </w:rPr>
            </w:pPr>
            <w:r w:rsidRPr="004A1862">
              <w:rPr>
                <w:rFonts w:ascii="Arial Narrow" w:hAnsi="Arial Narrow"/>
                <w:sz w:val="20"/>
              </w:rPr>
              <w:t>$</w:t>
            </w:r>
            <w:r w:rsidR="001119B4">
              <w:rPr>
                <w:rFonts w:ascii="Arial Narrow" w:hAnsi="Arial Narrow"/>
                <w:noProof/>
                <w:color w:val="000000"/>
                <w:sz w:val="20"/>
                <w:highlight w:val="black"/>
              </w:rPr>
              <w:t>''''''''''''''''''</w:t>
            </w:r>
          </w:p>
        </w:tc>
        <w:tc>
          <w:tcPr>
            <w:tcW w:w="904" w:type="dxa"/>
            <w:vAlign w:val="center"/>
          </w:tcPr>
          <w:p w:rsidR="007D1507" w:rsidRPr="004A1862" w:rsidRDefault="007D1507" w:rsidP="00A34E63">
            <w:pPr>
              <w:jc w:val="center"/>
              <w:rPr>
                <w:rFonts w:ascii="Arial Narrow" w:hAnsi="Arial Narrow"/>
                <w:sz w:val="20"/>
              </w:rPr>
            </w:pPr>
            <w:r w:rsidRPr="004A1862">
              <w:rPr>
                <w:rFonts w:ascii="Arial Narrow" w:hAnsi="Arial Narrow"/>
                <w:sz w:val="20"/>
              </w:rPr>
              <w:t>$</w:t>
            </w:r>
            <w:r w:rsidR="001119B4">
              <w:rPr>
                <w:rFonts w:ascii="Arial Narrow" w:hAnsi="Arial Narrow"/>
                <w:noProof/>
                <w:color w:val="000000"/>
                <w:sz w:val="20"/>
                <w:highlight w:val="black"/>
              </w:rPr>
              <w:t>'''''''''''''''''''</w:t>
            </w:r>
          </w:p>
        </w:tc>
        <w:tc>
          <w:tcPr>
            <w:tcW w:w="903" w:type="dxa"/>
            <w:vAlign w:val="center"/>
          </w:tcPr>
          <w:p w:rsidR="007D1507" w:rsidRPr="004A1862" w:rsidRDefault="007D1507" w:rsidP="00A34E63">
            <w:pPr>
              <w:jc w:val="center"/>
              <w:rPr>
                <w:rFonts w:ascii="Arial Narrow" w:hAnsi="Arial Narrow"/>
                <w:sz w:val="20"/>
              </w:rPr>
            </w:pPr>
            <w:r w:rsidRPr="004A1862">
              <w:rPr>
                <w:rFonts w:ascii="Arial Narrow" w:hAnsi="Arial Narrow"/>
                <w:sz w:val="20"/>
              </w:rPr>
              <w:t>$</w:t>
            </w:r>
            <w:r w:rsidR="001119B4">
              <w:rPr>
                <w:rFonts w:ascii="Arial Narrow" w:hAnsi="Arial Narrow"/>
                <w:noProof/>
                <w:color w:val="000000"/>
                <w:sz w:val="20"/>
                <w:highlight w:val="black"/>
              </w:rPr>
              <w:t>'''''''''''''''''''''</w:t>
            </w:r>
          </w:p>
        </w:tc>
        <w:tc>
          <w:tcPr>
            <w:tcW w:w="904" w:type="dxa"/>
            <w:vAlign w:val="center"/>
          </w:tcPr>
          <w:p w:rsidR="007D1507" w:rsidRPr="004A1862" w:rsidRDefault="007D1507" w:rsidP="00A34E63">
            <w:pPr>
              <w:jc w:val="center"/>
              <w:rPr>
                <w:rFonts w:ascii="Arial Narrow" w:hAnsi="Arial Narrow"/>
                <w:sz w:val="20"/>
              </w:rPr>
            </w:pPr>
            <w:r w:rsidRPr="004A1862">
              <w:rPr>
                <w:rFonts w:ascii="Arial Narrow" w:hAnsi="Arial Narrow"/>
                <w:sz w:val="20"/>
              </w:rPr>
              <w:t>$</w:t>
            </w:r>
            <w:r w:rsidR="001119B4">
              <w:rPr>
                <w:rFonts w:ascii="Arial Narrow" w:hAnsi="Arial Narrow"/>
                <w:noProof/>
                <w:color w:val="000000"/>
                <w:sz w:val="20"/>
                <w:highlight w:val="black"/>
              </w:rPr>
              <w:t>''''''''''''''''''''</w:t>
            </w:r>
          </w:p>
        </w:tc>
        <w:tc>
          <w:tcPr>
            <w:tcW w:w="904" w:type="dxa"/>
            <w:vAlign w:val="center"/>
          </w:tcPr>
          <w:p w:rsidR="007D1507" w:rsidRPr="004A1862" w:rsidRDefault="007D1507" w:rsidP="00A34E63">
            <w:pPr>
              <w:jc w:val="center"/>
              <w:rPr>
                <w:rFonts w:ascii="Arial Narrow" w:hAnsi="Arial Narrow"/>
                <w:sz w:val="20"/>
              </w:rPr>
            </w:pPr>
            <w:r w:rsidRPr="004A1862">
              <w:rPr>
                <w:rFonts w:ascii="Arial Narrow" w:hAnsi="Arial Narrow"/>
                <w:sz w:val="20"/>
              </w:rPr>
              <w:t>$</w:t>
            </w:r>
            <w:r w:rsidR="001119B4">
              <w:rPr>
                <w:rFonts w:ascii="Arial Narrow" w:hAnsi="Arial Narrow"/>
                <w:noProof/>
                <w:color w:val="000000"/>
                <w:sz w:val="20"/>
                <w:highlight w:val="black"/>
              </w:rPr>
              <w:t>'''''''''''''''''</w:t>
            </w:r>
          </w:p>
        </w:tc>
      </w:tr>
      <w:tr w:rsidR="007D1507" w:rsidRPr="004A1862" w:rsidTr="00470F40">
        <w:tc>
          <w:tcPr>
            <w:tcW w:w="3827" w:type="dxa"/>
          </w:tcPr>
          <w:p w:rsidR="007D1507" w:rsidRPr="004A1862" w:rsidRDefault="007D1507" w:rsidP="00A34E63">
            <w:pPr>
              <w:jc w:val="left"/>
              <w:rPr>
                <w:rFonts w:ascii="Arial Narrow" w:hAnsi="Arial Narrow"/>
                <w:b/>
                <w:bCs/>
                <w:iCs/>
                <w:sz w:val="20"/>
              </w:rPr>
            </w:pPr>
            <w:r w:rsidRPr="004A1862">
              <w:rPr>
                <w:rFonts w:ascii="Arial Narrow" w:hAnsi="Arial Narrow"/>
                <w:b/>
                <w:bCs/>
                <w:iCs/>
                <w:sz w:val="20"/>
              </w:rPr>
              <w:t>Use of latest April 2015 DPMQs for substituted drugs (latanoprost, dorzolamide)</w:t>
            </w:r>
          </w:p>
        </w:tc>
        <w:tc>
          <w:tcPr>
            <w:tcW w:w="903" w:type="dxa"/>
            <w:vAlign w:val="center"/>
          </w:tcPr>
          <w:p w:rsidR="007D1507" w:rsidRPr="004A1862" w:rsidRDefault="007D1507" w:rsidP="00A34E63">
            <w:pPr>
              <w:jc w:val="center"/>
              <w:rPr>
                <w:rFonts w:ascii="Arial Narrow" w:hAnsi="Arial Narrow"/>
                <w:iCs/>
                <w:sz w:val="20"/>
              </w:rPr>
            </w:pPr>
            <w:r w:rsidRPr="004A1862">
              <w:rPr>
                <w:rFonts w:ascii="Arial Narrow" w:hAnsi="Arial Narrow"/>
                <w:iCs/>
                <w:sz w:val="20"/>
              </w:rPr>
              <w:t>$</w:t>
            </w:r>
            <w:r w:rsidR="001119B4">
              <w:rPr>
                <w:rFonts w:ascii="Arial Narrow" w:hAnsi="Arial Narrow"/>
                <w:iCs/>
                <w:noProof/>
                <w:color w:val="000000"/>
                <w:sz w:val="20"/>
                <w:highlight w:val="black"/>
              </w:rPr>
              <w:t>'''''''''''''''''</w:t>
            </w:r>
          </w:p>
        </w:tc>
        <w:tc>
          <w:tcPr>
            <w:tcW w:w="904" w:type="dxa"/>
            <w:vAlign w:val="center"/>
          </w:tcPr>
          <w:p w:rsidR="007D1507" w:rsidRPr="004A1862" w:rsidRDefault="007D1507" w:rsidP="00A34E63">
            <w:pPr>
              <w:jc w:val="center"/>
              <w:rPr>
                <w:rFonts w:ascii="Arial Narrow" w:hAnsi="Arial Narrow"/>
                <w:iCs/>
                <w:sz w:val="20"/>
              </w:rPr>
            </w:pPr>
            <w:r w:rsidRPr="004A1862">
              <w:rPr>
                <w:rFonts w:ascii="Arial Narrow" w:hAnsi="Arial Narrow"/>
                <w:iCs/>
                <w:sz w:val="20"/>
              </w:rPr>
              <w:t>$</w:t>
            </w:r>
            <w:r w:rsidR="001119B4">
              <w:rPr>
                <w:rFonts w:ascii="Arial Narrow" w:hAnsi="Arial Narrow"/>
                <w:iCs/>
                <w:noProof/>
                <w:color w:val="000000"/>
                <w:sz w:val="20"/>
                <w:highlight w:val="black"/>
              </w:rPr>
              <w:t>'''''''''''''''''''''</w:t>
            </w:r>
          </w:p>
        </w:tc>
        <w:tc>
          <w:tcPr>
            <w:tcW w:w="903" w:type="dxa"/>
            <w:vAlign w:val="center"/>
          </w:tcPr>
          <w:p w:rsidR="007D1507" w:rsidRPr="004A1862" w:rsidRDefault="007D1507" w:rsidP="00A34E63">
            <w:pPr>
              <w:jc w:val="center"/>
              <w:rPr>
                <w:rFonts w:ascii="Arial Narrow" w:hAnsi="Arial Narrow"/>
                <w:iCs/>
                <w:sz w:val="20"/>
              </w:rPr>
            </w:pPr>
            <w:r w:rsidRPr="004A1862">
              <w:rPr>
                <w:rFonts w:ascii="Arial Narrow" w:hAnsi="Arial Narrow"/>
                <w:iCs/>
                <w:sz w:val="20"/>
              </w:rPr>
              <w:t>$</w:t>
            </w:r>
            <w:r w:rsidR="001119B4">
              <w:rPr>
                <w:rFonts w:ascii="Arial Narrow" w:hAnsi="Arial Narrow"/>
                <w:iCs/>
                <w:noProof/>
                <w:color w:val="000000"/>
                <w:sz w:val="20"/>
                <w:highlight w:val="black"/>
              </w:rPr>
              <w:t>'''''''''''''''''''</w:t>
            </w:r>
          </w:p>
        </w:tc>
        <w:tc>
          <w:tcPr>
            <w:tcW w:w="904" w:type="dxa"/>
            <w:vAlign w:val="center"/>
          </w:tcPr>
          <w:p w:rsidR="007D1507" w:rsidRPr="004A1862" w:rsidRDefault="007D1507" w:rsidP="00A34E63">
            <w:pPr>
              <w:jc w:val="center"/>
              <w:rPr>
                <w:rFonts w:ascii="Arial Narrow" w:hAnsi="Arial Narrow"/>
                <w:iCs/>
                <w:sz w:val="20"/>
              </w:rPr>
            </w:pPr>
            <w:r w:rsidRPr="004A1862">
              <w:rPr>
                <w:rFonts w:ascii="Arial Narrow" w:hAnsi="Arial Narrow"/>
                <w:iCs/>
                <w:sz w:val="20"/>
              </w:rPr>
              <w:t>$</w:t>
            </w:r>
            <w:r w:rsidR="001119B4">
              <w:rPr>
                <w:rFonts w:ascii="Arial Narrow" w:hAnsi="Arial Narrow"/>
                <w:iCs/>
                <w:noProof/>
                <w:color w:val="000000"/>
                <w:sz w:val="20"/>
                <w:highlight w:val="black"/>
              </w:rPr>
              <w:t>''''''''''''''''''''</w:t>
            </w:r>
          </w:p>
        </w:tc>
        <w:tc>
          <w:tcPr>
            <w:tcW w:w="904" w:type="dxa"/>
            <w:vAlign w:val="center"/>
          </w:tcPr>
          <w:p w:rsidR="007D1507" w:rsidRPr="004A1862" w:rsidRDefault="007D1507" w:rsidP="00A34E63">
            <w:pPr>
              <w:jc w:val="center"/>
              <w:rPr>
                <w:rFonts w:ascii="Arial Narrow" w:hAnsi="Arial Narrow"/>
                <w:iCs/>
                <w:sz w:val="20"/>
              </w:rPr>
            </w:pPr>
            <w:r w:rsidRPr="004A1862">
              <w:rPr>
                <w:rFonts w:ascii="Arial Narrow" w:hAnsi="Arial Narrow"/>
                <w:iCs/>
                <w:sz w:val="20"/>
              </w:rPr>
              <w:t>$</w:t>
            </w:r>
            <w:r w:rsidR="001119B4">
              <w:rPr>
                <w:rFonts w:ascii="Arial Narrow" w:hAnsi="Arial Narrow"/>
                <w:iCs/>
                <w:noProof/>
                <w:color w:val="000000"/>
                <w:sz w:val="20"/>
                <w:highlight w:val="black"/>
              </w:rPr>
              <w:t>''''''''''''''''''</w:t>
            </w:r>
          </w:p>
        </w:tc>
      </w:tr>
      <w:tr w:rsidR="007D1507" w:rsidRPr="004A1862" w:rsidTr="00470F40">
        <w:tc>
          <w:tcPr>
            <w:tcW w:w="3827" w:type="dxa"/>
          </w:tcPr>
          <w:p w:rsidR="007D1507" w:rsidRPr="004A1862" w:rsidRDefault="007D1507" w:rsidP="00A34E63">
            <w:pPr>
              <w:jc w:val="left"/>
              <w:rPr>
                <w:rFonts w:ascii="Arial Narrow" w:hAnsi="Arial Narrow"/>
                <w:b/>
                <w:bCs/>
                <w:iCs/>
                <w:sz w:val="20"/>
              </w:rPr>
            </w:pPr>
            <w:r w:rsidRPr="004A1862">
              <w:rPr>
                <w:rFonts w:ascii="Arial Narrow" w:hAnsi="Arial Narrow"/>
                <w:b/>
                <w:bCs/>
                <w:iCs/>
                <w:sz w:val="20"/>
              </w:rPr>
              <w:t>DPMQ of Simbrinza = DPMQ of Cosopt ($24.19)</w:t>
            </w:r>
          </w:p>
        </w:tc>
        <w:tc>
          <w:tcPr>
            <w:tcW w:w="903" w:type="dxa"/>
            <w:vAlign w:val="center"/>
          </w:tcPr>
          <w:p w:rsidR="007D1507" w:rsidRPr="004A1862" w:rsidRDefault="007D1507" w:rsidP="00A34E63">
            <w:pPr>
              <w:jc w:val="center"/>
              <w:rPr>
                <w:rFonts w:ascii="Arial Narrow" w:hAnsi="Arial Narrow"/>
                <w:iCs/>
                <w:sz w:val="20"/>
              </w:rPr>
            </w:pPr>
            <w:r w:rsidRPr="004A1862">
              <w:rPr>
                <w:rFonts w:ascii="Arial Narrow" w:hAnsi="Arial Narrow"/>
                <w:iCs/>
                <w:sz w:val="20"/>
              </w:rPr>
              <w:t>-$</w:t>
            </w:r>
            <w:r w:rsidR="001119B4">
              <w:rPr>
                <w:rFonts w:ascii="Arial Narrow" w:hAnsi="Arial Narrow"/>
                <w:iCs/>
                <w:noProof/>
                <w:color w:val="000000"/>
                <w:sz w:val="20"/>
                <w:highlight w:val="black"/>
              </w:rPr>
              <w:t>'''''''''''''''''''</w:t>
            </w:r>
          </w:p>
        </w:tc>
        <w:tc>
          <w:tcPr>
            <w:tcW w:w="904" w:type="dxa"/>
            <w:vAlign w:val="center"/>
          </w:tcPr>
          <w:p w:rsidR="007D1507" w:rsidRPr="004A1862" w:rsidRDefault="007D1507" w:rsidP="00A34E63">
            <w:pPr>
              <w:jc w:val="center"/>
              <w:rPr>
                <w:rFonts w:ascii="Arial Narrow" w:hAnsi="Arial Narrow"/>
                <w:iCs/>
                <w:sz w:val="20"/>
              </w:rPr>
            </w:pPr>
            <w:r w:rsidRPr="004A1862">
              <w:rPr>
                <w:rFonts w:ascii="Arial Narrow" w:hAnsi="Arial Narrow"/>
                <w:iCs/>
                <w:sz w:val="20"/>
              </w:rPr>
              <w:t>-$</w:t>
            </w:r>
            <w:r w:rsidR="001119B4">
              <w:rPr>
                <w:rFonts w:ascii="Arial Narrow" w:hAnsi="Arial Narrow"/>
                <w:iCs/>
                <w:noProof/>
                <w:color w:val="000000"/>
                <w:sz w:val="20"/>
                <w:highlight w:val="black"/>
              </w:rPr>
              <w:t>'''''''''''''''''''''</w:t>
            </w:r>
          </w:p>
        </w:tc>
        <w:tc>
          <w:tcPr>
            <w:tcW w:w="903" w:type="dxa"/>
            <w:vAlign w:val="center"/>
          </w:tcPr>
          <w:p w:rsidR="007D1507" w:rsidRPr="004A1862" w:rsidRDefault="007D1507" w:rsidP="00A34E63">
            <w:pPr>
              <w:jc w:val="center"/>
              <w:rPr>
                <w:rFonts w:ascii="Arial Narrow" w:hAnsi="Arial Narrow"/>
                <w:iCs/>
                <w:sz w:val="20"/>
              </w:rPr>
            </w:pPr>
            <w:r w:rsidRPr="004A1862">
              <w:rPr>
                <w:rFonts w:ascii="Arial Narrow" w:hAnsi="Arial Narrow"/>
                <w:iCs/>
                <w:sz w:val="20"/>
              </w:rPr>
              <w:t>-$</w:t>
            </w:r>
            <w:r w:rsidR="001119B4">
              <w:rPr>
                <w:rFonts w:ascii="Arial Narrow" w:hAnsi="Arial Narrow"/>
                <w:iCs/>
                <w:noProof/>
                <w:color w:val="000000"/>
                <w:sz w:val="20"/>
                <w:highlight w:val="black"/>
              </w:rPr>
              <w:t>'''''''''''''''''''''</w:t>
            </w:r>
          </w:p>
        </w:tc>
        <w:tc>
          <w:tcPr>
            <w:tcW w:w="904" w:type="dxa"/>
            <w:vAlign w:val="center"/>
          </w:tcPr>
          <w:p w:rsidR="007D1507" w:rsidRPr="004A1862" w:rsidRDefault="007D1507" w:rsidP="00A34E63">
            <w:pPr>
              <w:jc w:val="center"/>
              <w:rPr>
                <w:rFonts w:ascii="Arial Narrow" w:hAnsi="Arial Narrow"/>
                <w:iCs/>
                <w:sz w:val="20"/>
              </w:rPr>
            </w:pPr>
            <w:r w:rsidRPr="004A1862">
              <w:rPr>
                <w:rFonts w:ascii="Arial Narrow" w:hAnsi="Arial Narrow"/>
                <w:iCs/>
                <w:sz w:val="20"/>
              </w:rPr>
              <w:t>-$</w:t>
            </w:r>
            <w:r w:rsidR="001119B4">
              <w:rPr>
                <w:rFonts w:ascii="Arial Narrow" w:hAnsi="Arial Narrow"/>
                <w:iCs/>
                <w:noProof/>
                <w:color w:val="000000"/>
                <w:sz w:val="20"/>
                <w:highlight w:val="black"/>
              </w:rPr>
              <w:t>''''''''''''''''''''</w:t>
            </w:r>
          </w:p>
        </w:tc>
        <w:tc>
          <w:tcPr>
            <w:tcW w:w="904" w:type="dxa"/>
            <w:vAlign w:val="center"/>
          </w:tcPr>
          <w:p w:rsidR="007D1507" w:rsidRPr="004A1862" w:rsidRDefault="007D1507" w:rsidP="00A34E63">
            <w:pPr>
              <w:jc w:val="center"/>
              <w:rPr>
                <w:rFonts w:ascii="Arial Narrow" w:hAnsi="Arial Narrow"/>
                <w:iCs/>
                <w:sz w:val="20"/>
              </w:rPr>
            </w:pPr>
            <w:r w:rsidRPr="004A1862">
              <w:rPr>
                <w:rFonts w:ascii="Arial Narrow" w:hAnsi="Arial Narrow"/>
                <w:iCs/>
                <w:sz w:val="20"/>
              </w:rPr>
              <w:t>-$</w:t>
            </w:r>
            <w:r w:rsidR="001119B4">
              <w:rPr>
                <w:rFonts w:ascii="Arial Narrow" w:hAnsi="Arial Narrow"/>
                <w:iCs/>
                <w:noProof/>
                <w:color w:val="000000"/>
                <w:sz w:val="20"/>
                <w:highlight w:val="black"/>
              </w:rPr>
              <w:t>'''''''''''''''''''</w:t>
            </w:r>
          </w:p>
        </w:tc>
      </w:tr>
    </w:tbl>
    <w:p w:rsidR="007D1507" w:rsidRPr="004A1862" w:rsidRDefault="007D1507" w:rsidP="007D1507">
      <w:pPr>
        <w:ind w:firstLine="720"/>
        <w:rPr>
          <w:rFonts w:ascii="Arial Narrow" w:hAnsi="Arial Narrow"/>
          <w:sz w:val="20"/>
        </w:rPr>
      </w:pPr>
      <w:r w:rsidRPr="004A1862">
        <w:rPr>
          <w:rFonts w:ascii="Arial Narrow" w:hAnsi="Arial Narrow"/>
          <w:sz w:val="20"/>
        </w:rPr>
        <w:t>Source: Tables 90-91, pp.192-193 of the submission</w:t>
      </w:r>
    </w:p>
    <w:p w:rsidR="00576972" w:rsidRPr="004A1862" w:rsidRDefault="001F7C46" w:rsidP="001F7C46">
      <w:pPr>
        <w:widowControl/>
        <w:ind w:left="709"/>
        <w:rPr>
          <w:rFonts w:ascii="Arial Narrow" w:hAnsi="Arial Narrow"/>
          <w:sz w:val="20"/>
        </w:rPr>
      </w:pPr>
      <w:r w:rsidRPr="004A1862">
        <w:rPr>
          <w:rFonts w:ascii="Arial Narrow" w:hAnsi="Arial Narrow"/>
          <w:sz w:val="20"/>
        </w:rPr>
        <w:t>Clincal need Group 3 = patients on three active therapies including both a CAI and AA; Group 4 = patients currently treated with a beta-blocker despite special health concerns related to beta blocker treatment; Group 5 = Patients currently uncontrolled on three or more active therapies</w:t>
      </w:r>
    </w:p>
    <w:p w:rsidR="001F7C46" w:rsidRPr="004A1862" w:rsidRDefault="001F7C46" w:rsidP="002C2775">
      <w:pPr>
        <w:pStyle w:val="Heading2"/>
        <w:rPr>
          <w:i/>
        </w:rPr>
      </w:pPr>
      <w:bookmarkStart w:id="16" w:name="_Toc419189234"/>
    </w:p>
    <w:p w:rsidR="0004299C" w:rsidRPr="004A1862" w:rsidRDefault="0004299C" w:rsidP="0004299C">
      <w:pPr>
        <w:pStyle w:val="ListParagraph"/>
        <w:widowControl/>
        <w:numPr>
          <w:ilvl w:val="1"/>
          <w:numId w:val="11"/>
        </w:numPr>
      </w:pPr>
      <w:r w:rsidRPr="004A1862">
        <w:t xml:space="preserve">The ESC considered that the sensitivity analysis for the financial estimates assuming 100% uptake from clinical need groups was considered unlikely. </w:t>
      </w:r>
    </w:p>
    <w:p w:rsidR="0043356D" w:rsidRPr="004A1862" w:rsidRDefault="0043356D" w:rsidP="0043356D">
      <w:pPr>
        <w:pStyle w:val="ListParagraph"/>
        <w:widowControl/>
      </w:pPr>
    </w:p>
    <w:p w:rsidR="0043356D" w:rsidRPr="004A1862" w:rsidRDefault="0043356D" w:rsidP="0004299C">
      <w:pPr>
        <w:pStyle w:val="ListParagraph"/>
        <w:widowControl/>
        <w:numPr>
          <w:ilvl w:val="1"/>
          <w:numId w:val="11"/>
        </w:numPr>
      </w:pPr>
      <w:r w:rsidRPr="004A1862">
        <w:t>The PBAC noted that the financial estimates presented in the submission would need to be revised to take into account the basis upon which the PBAC had recommended listing.</w:t>
      </w:r>
    </w:p>
    <w:p w:rsidR="005E0E97" w:rsidRPr="004A1862" w:rsidRDefault="005E0E97" w:rsidP="0004299C">
      <w:pPr>
        <w:pStyle w:val="ListParagraph"/>
        <w:widowControl/>
        <w:rPr>
          <w:bCs/>
          <w:szCs w:val="22"/>
        </w:rPr>
      </w:pPr>
    </w:p>
    <w:p w:rsidR="0004299C" w:rsidRPr="004A1862" w:rsidRDefault="005E0E97" w:rsidP="0004299C">
      <w:pPr>
        <w:pStyle w:val="ListParagraph"/>
        <w:widowControl/>
        <w:rPr>
          <w:bCs/>
          <w:i/>
          <w:szCs w:val="22"/>
        </w:rPr>
      </w:pPr>
      <w:r w:rsidRPr="004A1862">
        <w:rPr>
          <w:bCs/>
          <w:i/>
          <w:szCs w:val="22"/>
        </w:rPr>
        <w:t>For more detail on PBAC’s view, see section 7 “PBAC outcome”.</w:t>
      </w:r>
    </w:p>
    <w:p w:rsidR="005E0E97" w:rsidRPr="004A1862" w:rsidRDefault="005E0E97" w:rsidP="0004299C">
      <w:pPr>
        <w:pStyle w:val="ListParagraph"/>
        <w:widowControl/>
      </w:pPr>
    </w:p>
    <w:p w:rsidR="00576972" w:rsidRPr="004A1862" w:rsidRDefault="00576972" w:rsidP="0051454B">
      <w:pPr>
        <w:pStyle w:val="Heading2"/>
        <w:keepNext/>
        <w:rPr>
          <w:i/>
        </w:rPr>
      </w:pPr>
      <w:r w:rsidRPr="004A1862">
        <w:rPr>
          <w:i/>
        </w:rPr>
        <w:t>Quality Use of Medicines</w:t>
      </w:r>
      <w:bookmarkEnd w:id="16"/>
    </w:p>
    <w:p w:rsidR="00576972" w:rsidRPr="004A1862" w:rsidRDefault="00576972" w:rsidP="0051454B">
      <w:pPr>
        <w:keepNext/>
        <w:widowControl/>
        <w:rPr>
          <w:szCs w:val="22"/>
        </w:rPr>
      </w:pPr>
    </w:p>
    <w:p w:rsidR="00BB7A4F" w:rsidRPr="004A1862" w:rsidRDefault="00BB7A4F" w:rsidP="00BB7A4F">
      <w:pPr>
        <w:pStyle w:val="ListParagraph"/>
        <w:widowControl/>
        <w:numPr>
          <w:ilvl w:val="1"/>
          <w:numId w:val="11"/>
        </w:numPr>
        <w:rPr>
          <w:szCs w:val="22"/>
        </w:rPr>
      </w:pPr>
      <w:r w:rsidRPr="004A1862">
        <w:rPr>
          <w:szCs w:val="22"/>
        </w:rPr>
        <w:t>The submission acknowledge</w:t>
      </w:r>
      <w:r w:rsidR="00692D94" w:rsidRPr="004A1862">
        <w:rPr>
          <w:szCs w:val="22"/>
        </w:rPr>
        <w:t>d</w:t>
      </w:r>
      <w:r w:rsidRPr="004A1862">
        <w:rPr>
          <w:szCs w:val="22"/>
        </w:rPr>
        <w:t xml:space="preserve"> ongoing monitoring</w:t>
      </w:r>
      <w:r w:rsidR="0051454B" w:rsidRPr="004A1862">
        <w:rPr>
          <w:szCs w:val="22"/>
        </w:rPr>
        <w:t xml:space="preserve"> is an important aspect of anti</w:t>
      </w:r>
      <w:r w:rsidR="0051454B" w:rsidRPr="004A1862">
        <w:rPr>
          <w:szCs w:val="22"/>
        </w:rPr>
        <w:noBreakHyphen/>
      </w:r>
      <w:r w:rsidRPr="004A1862">
        <w:rPr>
          <w:szCs w:val="22"/>
        </w:rPr>
        <w:t xml:space="preserve">glaucoma care, particularly following the initiation of a new active agent, and </w:t>
      </w:r>
      <w:r w:rsidR="005F5B00" w:rsidRPr="004A1862">
        <w:t xml:space="preserve">brinzolamide + brimonidine FDC </w:t>
      </w:r>
      <w:r w:rsidRPr="004A1862">
        <w:rPr>
          <w:szCs w:val="22"/>
        </w:rPr>
        <w:t>is not likely to increase this monitoring burden.</w:t>
      </w:r>
    </w:p>
    <w:p w:rsidR="005D7F4B" w:rsidRPr="004A1862" w:rsidRDefault="005D7F4B">
      <w:pPr>
        <w:widowControl/>
        <w:jc w:val="left"/>
        <w:rPr>
          <w:i/>
          <w:szCs w:val="22"/>
        </w:rPr>
      </w:pPr>
    </w:p>
    <w:p w:rsidR="0051454B" w:rsidRPr="004A1862" w:rsidRDefault="0051454B">
      <w:pPr>
        <w:widowControl/>
        <w:jc w:val="left"/>
        <w:rPr>
          <w:i/>
          <w:szCs w:val="22"/>
        </w:rPr>
      </w:pPr>
    </w:p>
    <w:p w:rsidR="00CF228E" w:rsidRPr="004A1862" w:rsidRDefault="00CF228E" w:rsidP="00CF228E">
      <w:pPr>
        <w:widowControl/>
        <w:numPr>
          <w:ilvl w:val="0"/>
          <w:numId w:val="11"/>
        </w:numPr>
        <w:rPr>
          <w:b/>
          <w:bCs/>
          <w:szCs w:val="22"/>
        </w:rPr>
      </w:pPr>
      <w:r w:rsidRPr="004A1862">
        <w:rPr>
          <w:b/>
          <w:bCs/>
          <w:szCs w:val="22"/>
        </w:rPr>
        <w:t>PBAC Outcome</w:t>
      </w:r>
    </w:p>
    <w:p w:rsidR="00CF228E" w:rsidRPr="004A1862" w:rsidRDefault="00CF228E" w:rsidP="00CF228E">
      <w:pPr>
        <w:widowControl/>
        <w:rPr>
          <w:b/>
          <w:bCs/>
          <w:szCs w:val="22"/>
          <w:lang w:val="en-GB"/>
        </w:rPr>
      </w:pPr>
    </w:p>
    <w:p w:rsidR="00B021BA" w:rsidRPr="004A1862" w:rsidRDefault="00B021BA" w:rsidP="00B021BA">
      <w:pPr>
        <w:widowControl/>
        <w:numPr>
          <w:ilvl w:val="1"/>
          <w:numId w:val="11"/>
        </w:numPr>
        <w:rPr>
          <w:bCs/>
          <w:szCs w:val="22"/>
          <w:lang w:val="en-GB"/>
        </w:rPr>
      </w:pPr>
      <w:r w:rsidRPr="004A1862">
        <w:rPr>
          <w:bCs/>
          <w:szCs w:val="22"/>
          <w:lang w:val="en-GB"/>
        </w:rPr>
        <w:t xml:space="preserve">The PBAC recommended the Restricted Benefit listing of </w:t>
      </w:r>
      <w:r w:rsidR="005F5B00" w:rsidRPr="004A1862">
        <w:t xml:space="preserve">brinzolamide + brimonidine FDC </w:t>
      </w:r>
      <w:r w:rsidRPr="004A1862">
        <w:rPr>
          <w:bCs/>
          <w:szCs w:val="22"/>
          <w:lang w:val="en-GB"/>
        </w:rPr>
        <w:t xml:space="preserve">on a cost-minimisation basis against </w:t>
      </w:r>
      <w:r w:rsidR="00AB0AD7" w:rsidRPr="004A1862">
        <w:rPr>
          <w:bCs/>
          <w:szCs w:val="22"/>
          <w:lang w:val="en-GB"/>
        </w:rPr>
        <w:t xml:space="preserve">the </w:t>
      </w:r>
      <w:r w:rsidRPr="004A1862">
        <w:rPr>
          <w:bCs/>
          <w:szCs w:val="22"/>
          <w:lang w:val="en-GB"/>
        </w:rPr>
        <w:t xml:space="preserve">mixed comparator of </w:t>
      </w:r>
      <w:r w:rsidR="005F5B00" w:rsidRPr="004A1862">
        <w:rPr>
          <w:bCs/>
          <w:iCs/>
        </w:rPr>
        <w:t>dorzolamide + timolol FDC</w:t>
      </w:r>
      <w:r w:rsidRPr="004A1862">
        <w:rPr>
          <w:bCs/>
          <w:szCs w:val="22"/>
          <w:lang w:val="en-GB"/>
        </w:rPr>
        <w:t xml:space="preserve">, which is the </w:t>
      </w:r>
      <w:r w:rsidR="00AB0AD7" w:rsidRPr="004A1862">
        <w:rPr>
          <w:bCs/>
          <w:szCs w:val="22"/>
          <w:lang w:val="en-GB"/>
        </w:rPr>
        <w:t xml:space="preserve">least expensive </w:t>
      </w:r>
      <w:r w:rsidRPr="004A1862">
        <w:rPr>
          <w:bCs/>
          <w:szCs w:val="22"/>
          <w:lang w:val="en-GB"/>
        </w:rPr>
        <w:t xml:space="preserve">of the currently PBS listed </w:t>
      </w:r>
      <w:r w:rsidR="002843D7" w:rsidRPr="004A1862">
        <w:rPr>
          <w:bCs/>
          <w:szCs w:val="22"/>
          <w:lang w:val="en-GB"/>
        </w:rPr>
        <w:t>CAI/timolol or AA/</w:t>
      </w:r>
      <w:r w:rsidR="00293827" w:rsidRPr="004A1862">
        <w:rPr>
          <w:bCs/>
          <w:szCs w:val="22"/>
          <w:lang w:val="en-GB"/>
        </w:rPr>
        <w:t xml:space="preserve">timolol </w:t>
      </w:r>
      <w:r w:rsidRPr="004A1862">
        <w:rPr>
          <w:bCs/>
          <w:szCs w:val="22"/>
          <w:lang w:val="en-GB"/>
        </w:rPr>
        <w:t xml:space="preserve">FDCs; and the individual components of brinzolamide and brimonidine, with the latter contributing 12.7% of the patient population. </w:t>
      </w:r>
    </w:p>
    <w:p w:rsidR="00A067D7" w:rsidRPr="004A1862" w:rsidRDefault="00A067D7" w:rsidP="00513E59">
      <w:pPr>
        <w:widowControl/>
        <w:ind w:left="720"/>
        <w:rPr>
          <w:bCs/>
          <w:szCs w:val="22"/>
          <w:lang w:val="en-GB"/>
        </w:rPr>
      </w:pPr>
    </w:p>
    <w:p w:rsidR="002843D7" w:rsidRPr="004A1862" w:rsidRDefault="002843D7" w:rsidP="000355C5">
      <w:pPr>
        <w:pStyle w:val="ListParagraph"/>
        <w:numPr>
          <w:ilvl w:val="1"/>
          <w:numId w:val="11"/>
        </w:numPr>
        <w:rPr>
          <w:bCs/>
          <w:szCs w:val="22"/>
          <w:lang w:val="en-GB"/>
        </w:rPr>
      </w:pPr>
      <w:r w:rsidRPr="004A1862">
        <w:rPr>
          <w:bCs/>
          <w:szCs w:val="22"/>
          <w:lang w:val="en-GB"/>
        </w:rPr>
        <w:t xml:space="preserve">In making this recommendation, the PBAC accepted that concomitant use of the individual components and timolol-based FDCs dorzolamide+timolol FDC, brinzolamide+timolol FDC and brimonidine+timolol FDC </w:t>
      </w:r>
      <w:r w:rsidR="009C1B6A" w:rsidRPr="004A1862">
        <w:rPr>
          <w:bCs/>
          <w:szCs w:val="22"/>
          <w:lang w:val="en-GB"/>
        </w:rPr>
        <w:t>were</w:t>
      </w:r>
      <w:r w:rsidRPr="004A1862">
        <w:rPr>
          <w:bCs/>
          <w:szCs w:val="22"/>
          <w:lang w:val="en-GB"/>
        </w:rPr>
        <w:t xml:space="preserve"> appropriate comparators.  </w:t>
      </w:r>
      <w:r w:rsidR="000355C5" w:rsidRPr="004A1862">
        <w:rPr>
          <w:bCs/>
          <w:szCs w:val="22"/>
          <w:lang w:val="en-GB"/>
        </w:rPr>
        <w:t>The PBAC a</w:t>
      </w:r>
      <w:r w:rsidR="009C1B6A" w:rsidRPr="004A1862">
        <w:rPr>
          <w:bCs/>
          <w:szCs w:val="22"/>
          <w:lang w:val="en-GB"/>
        </w:rPr>
        <w:t>cknowledged</w:t>
      </w:r>
      <w:r w:rsidR="000355C5" w:rsidRPr="004A1862">
        <w:rPr>
          <w:bCs/>
          <w:szCs w:val="22"/>
          <w:lang w:val="en-GB"/>
        </w:rPr>
        <w:t xml:space="preserve"> the sponsor’s argument in the PSCR that that the prostaglandin-containing FDCs (namely with bimatoprost, latanoprost and travoprost) should not be considered potential comparators.</w:t>
      </w:r>
    </w:p>
    <w:p w:rsidR="002843D7" w:rsidRPr="004A1862" w:rsidRDefault="002843D7" w:rsidP="002843D7">
      <w:pPr>
        <w:pStyle w:val="ListParagraph"/>
        <w:rPr>
          <w:bCs/>
          <w:szCs w:val="22"/>
          <w:lang w:val="en-GB"/>
        </w:rPr>
      </w:pPr>
    </w:p>
    <w:p w:rsidR="007354EC" w:rsidRPr="004A1862" w:rsidRDefault="002843D7" w:rsidP="001A6948">
      <w:pPr>
        <w:pStyle w:val="ListParagraph"/>
        <w:numPr>
          <w:ilvl w:val="1"/>
          <w:numId w:val="11"/>
        </w:numPr>
        <w:rPr>
          <w:bCs/>
          <w:szCs w:val="22"/>
          <w:lang w:val="en-GB"/>
        </w:rPr>
      </w:pPr>
      <w:r w:rsidRPr="004A1862">
        <w:rPr>
          <w:bCs/>
          <w:szCs w:val="22"/>
          <w:lang w:val="en-GB"/>
        </w:rPr>
        <w:t xml:space="preserve">The PBAC noted it could not recommend the brinzolamide + brimonidine FDC for listing on the PBS at a higher price than alternative therapies, unless it was satisfied that brinzolamide + brimonidine FDC, for some patients, provides a significant improvement in efficacy or reduction of toxicity over the alternative therapies [Section 101(3B) of the </w:t>
      </w:r>
      <w:r w:rsidRPr="004A1862">
        <w:rPr>
          <w:bCs/>
          <w:i/>
          <w:szCs w:val="22"/>
          <w:lang w:val="en-GB"/>
        </w:rPr>
        <w:t>National Health Act 1953</w:t>
      </w:r>
      <w:r w:rsidRPr="004A1862">
        <w:rPr>
          <w:bCs/>
          <w:szCs w:val="22"/>
          <w:lang w:val="en-GB"/>
        </w:rPr>
        <w:t>]. Except for patients w</w:t>
      </w:r>
      <w:r w:rsidR="000355C5" w:rsidRPr="004A1862">
        <w:rPr>
          <w:bCs/>
          <w:szCs w:val="22"/>
          <w:lang w:val="en-GB"/>
        </w:rPr>
        <w:t>ho</w:t>
      </w:r>
      <w:r w:rsidRPr="004A1862">
        <w:rPr>
          <w:bCs/>
          <w:szCs w:val="22"/>
          <w:lang w:val="en-GB"/>
        </w:rPr>
        <w:t xml:space="preserve"> </w:t>
      </w:r>
      <w:r w:rsidR="000355C5" w:rsidRPr="004A1862">
        <w:rPr>
          <w:bCs/>
          <w:szCs w:val="22"/>
          <w:lang w:val="en-GB"/>
        </w:rPr>
        <w:t xml:space="preserve">cannot tolerate </w:t>
      </w:r>
      <w:r w:rsidRPr="004A1862">
        <w:rPr>
          <w:bCs/>
          <w:szCs w:val="22"/>
          <w:lang w:val="en-GB"/>
        </w:rPr>
        <w:t xml:space="preserve">timolol (a beta blocker), the alternative therapies in this case include the CAI/timolol and AA/timolol FDC’s.  For the subgroup of patients </w:t>
      </w:r>
      <w:r w:rsidR="000355C5" w:rsidRPr="004A1862">
        <w:rPr>
          <w:bCs/>
          <w:szCs w:val="22"/>
          <w:lang w:val="en-GB"/>
        </w:rPr>
        <w:t xml:space="preserve">who cannot tolerate </w:t>
      </w:r>
      <w:r w:rsidRPr="004A1862">
        <w:rPr>
          <w:bCs/>
          <w:szCs w:val="22"/>
          <w:lang w:val="en-GB"/>
        </w:rPr>
        <w:t>timolol, the alternative therapy is the individual components of brinzolamide and brimonidine given concomitantly.</w:t>
      </w:r>
      <w:r w:rsidR="001A6948" w:rsidRPr="004A1862">
        <w:rPr>
          <w:bCs/>
          <w:szCs w:val="22"/>
          <w:lang w:val="en-GB"/>
        </w:rPr>
        <w:t xml:space="preserve">  T</w:t>
      </w:r>
      <w:r w:rsidRPr="004A1862">
        <w:rPr>
          <w:bCs/>
          <w:szCs w:val="22"/>
          <w:lang w:val="en-GB"/>
        </w:rPr>
        <w:t xml:space="preserve">he PBAC </w:t>
      </w:r>
      <w:r w:rsidR="009C1B6A" w:rsidRPr="004A1862">
        <w:rPr>
          <w:bCs/>
          <w:szCs w:val="22"/>
          <w:lang w:val="en-GB"/>
        </w:rPr>
        <w:t>noted</w:t>
      </w:r>
      <w:r w:rsidRPr="004A1862">
        <w:rPr>
          <w:bCs/>
          <w:szCs w:val="22"/>
          <w:lang w:val="en-GB"/>
        </w:rPr>
        <w:t xml:space="preserve"> th</w:t>
      </w:r>
      <w:r w:rsidR="009C1B6A" w:rsidRPr="004A1862">
        <w:rPr>
          <w:bCs/>
          <w:szCs w:val="22"/>
          <w:lang w:val="en-GB"/>
        </w:rPr>
        <w:t>e estimate</w:t>
      </w:r>
      <w:r w:rsidRPr="004A1862">
        <w:rPr>
          <w:bCs/>
          <w:szCs w:val="22"/>
          <w:lang w:val="en-GB"/>
        </w:rPr>
        <w:t>, based on the publication</w:t>
      </w:r>
      <w:r w:rsidR="009C1B6A" w:rsidRPr="004A1862">
        <w:rPr>
          <w:bCs/>
          <w:szCs w:val="22"/>
          <w:lang w:val="en-GB"/>
        </w:rPr>
        <w:t xml:space="preserve"> [abstract only]</w:t>
      </w:r>
      <w:r w:rsidRPr="004A1862">
        <w:rPr>
          <w:bCs/>
          <w:szCs w:val="22"/>
          <w:lang w:val="en-GB"/>
        </w:rPr>
        <w:t xml:space="preserve"> by Spooner et al</w:t>
      </w:r>
      <w:r w:rsidR="001A6948" w:rsidRPr="004A1862">
        <w:rPr>
          <w:bCs/>
          <w:szCs w:val="22"/>
          <w:lang w:val="en-GB"/>
        </w:rPr>
        <w:t xml:space="preserve"> (2002)</w:t>
      </w:r>
      <w:r w:rsidR="000355C5" w:rsidRPr="004A1862">
        <w:rPr>
          <w:bCs/>
          <w:szCs w:val="22"/>
          <w:lang w:val="en-GB"/>
        </w:rPr>
        <w:t xml:space="preserve">, </w:t>
      </w:r>
      <w:r w:rsidR="009C1B6A" w:rsidRPr="004A1862">
        <w:rPr>
          <w:bCs/>
          <w:szCs w:val="22"/>
          <w:lang w:val="en-GB"/>
        </w:rPr>
        <w:t xml:space="preserve">that </w:t>
      </w:r>
      <w:r w:rsidR="000355C5" w:rsidRPr="004A1862">
        <w:rPr>
          <w:bCs/>
          <w:szCs w:val="22"/>
          <w:lang w:val="en-GB"/>
        </w:rPr>
        <w:t xml:space="preserve">12.7% of the population </w:t>
      </w:r>
      <w:r w:rsidR="009C1B6A" w:rsidRPr="004A1862">
        <w:rPr>
          <w:bCs/>
          <w:szCs w:val="22"/>
          <w:lang w:val="en-GB"/>
        </w:rPr>
        <w:t>may</w:t>
      </w:r>
      <w:r w:rsidR="000355C5" w:rsidRPr="004A1862">
        <w:rPr>
          <w:bCs/>
          <w:szCs w:val="22"/>
          <w:lang w:val="en-GB"/>
        </w:rPr>
        <w:t xml:space="preserve"> </w:t>
      </w:r>
      <w:r w:rsidR="009C1B6A" w:rsidRPr="004A1862">
        <w:rPr>
          <w:bCs/>
          <w:szCs w:val="22"/>
          <w:lang w:val="en-GB"/>
        </w:rPr>
        <w:t>have a contraindication to ophthalmic beta-blocker use.</w:t>
      </w:r>
    </w:p>
    <w:p w:rsidR="00A55FB9" w:rsidRPr="004A1862" w:rsidRDefault="00A55FB9" w:rsidP="00513E59">
      <w:pPr>
        <w:widowControl/>
        <w:ind w:left="720"/>
        <w:rPr>
          <w:bCs/>
          <w:szCs w:val="22"/>
          <w:lang w:val="en-GB"/>
        </w:rPr>
      </w:pPr>
    </w:p>
    <w:p w:rsidR="007354EC" w:rsidRPr="004A1862" w:rsidRDefault="00A55FB9" w:rsidP="00B021BA">
      <w:pPr>
        <w:widowControl/>
        <w:numPr>
          <w:ilvl w:val="1"/>
          <w:numId w:val="11"/>
        </w:numPr>
        <w:rPr>
          <w:bCs/>
          <w:szCs w:val="22"/>
          <w:lang w:val="en-GB"/>
        </w:rPr>
      </w:pPr>
      <w:r w:rsidRPr="004A1862">
        <w:rPr>
          <w:bCs/>
          <w:szCs w:val="22"/>
          <w:lang w:val="en-GB"/>
        </w:rPr>
        <w:t xml:space="preserve">The PBAC </w:t>
      </w:r>
      <w:r w:rsidR="003572E9" w:rsidRPr="004A1862">
        <w:rPr>
          <w:bCs/>
          <w:szCs w:val="22"/>
          <w:lang w:val="en-GB"/>
        </w:rPr>
        <w:t>considered</w:t>
      </w:r>
      <w:r w:rsidRPr="004A1862">
        <w:rPr>
          <w:bCs/>
          <w:szCs w:val="22"/>
          <w:lang w:val="en-GB"/>
        </w:rPr>
        <w:t xml:space="preserve"> the results from the randomised trials demonstrated a mean difference of -0.1 mmHg (95% CI: -0.5, 0.2) between </w:t>
      </w:r>
      <w:r w:rsidR="005F5B00" w:rsidRPr="004A1862">
        <w:t xml:space="preserve">brinzolamide + brimonidine FDC </w:t>
      </w:r>
      <w:r w:rsidRPr="004A1862">
        <w:rPr>
          <w:bCs/>
          <w:szCs w:val="22"/>
          <w:lang w:val="en-GB"/>
        </w:rPr>
        <w:t xml:space="preserve">and </w:t>
      </w:r>
      <w:r w:rsidR="005F5B00" w:rsidRPr="004A1862">
        <w:rPr>
          <w:szCs w:val="22"/>
        </w:rPr>
        <w:t xml:space="preserve">brinzolamide </w:t>
      </w:r>
      <w:r w:rsidRPr="004A1862">
        <w:rPr>
          <w:bCs/>
          <w:szCs w:val="22"/>
          <w:lang w:val="en-GB"/>
        </w:rPr>
        <w:t xml:space="preserve">and </w:t>
      </w:r>
      <w:r w:rsidR="005F5B00" w:rsidRPr="004A1862">
        <w:rPr>
          <w:szCs w:val="22"/>
        </w:rPr>
        <w:t>brimonidine</w:t>
      </w:r>
      <w:r w:rsidR="005F5B00" w:rsidRPr="004A1862">
        <w:rPr>
          <w:bCs/>
          <w:szCs w:val="22"/>
          <w:lang w:val="en-GB"/>
        </w:rPr>
        <w:t xml:space="preserve"> </w:t>
      </w:r>
      <w:r w:rsidRPr="004A1862">
        <w:rPr>
          <w:bCs/>
          <w:szCs w:val="22"/>
          <w:lang w:val="en-GB"/>
        </w:rPr>
        <w:t>used concomitantly. The PBAC noted that the non-inferiority criterion of +1.5 mmHg was met</w:t>
      </w:r>
      <w:r w:rsidR="005F5B00" w:rsidRPr="004A1862">
        <w:rPr>
          <w:bCs/>
          <w:szCs w:val="22"/>
          <w:lang w:val="en-GB"/>
        </w:rPr>
        <w:t>, and recalled that this criterion had previously been accepted by the Committee</w:t>
      </w:r>
      <w:r w:rsidRPr="004A1862">
        <w:rPr>
          <w:bCs/>
          <w:szCs w:val="22"/>
          <w:lang w:val="en-GB"/>
        </w:rPr>
        <w:t>.</w:t>
      </w:r>
    </w:p>
    <w:p w:rsidR="00A55FB9" w:rsidRPr="004A1862" w:rsidRDefault="00A55FB9" w:rsidP="00513E59">
      <w:pPr>
        <w:widowControl/>
        <w:ind w:left="720"/>
        <w:rPr>
          <w:bCs/>
          <w:szCs w:val="22"/>
          <w:lang w:val="en-GB"/>
        </w:rPr>
      </w:pPr>
    </w:p>
    <w:p w:rsidR="00A55FB9" w:rsidRPr="004A1862" w:rsidRDefault="007354EC" w:rsidP="00A55FB9">
      <w:pPr>
        <w:widowControl/>
        <w:numPr>
          <w:ilvl w:val="1"/>
          <w:numId w:val="11"/>
        </w:numPr>
        <w:rPr>
          <w:bCs/>
          <w:szCs w:val="22"/>
          <w:lang w:val="en-GB"/>
        </w:rPr>
      </w:pPr>
      <w:r w:rsidRPr="004A1862">
        <w:rPr>
          <w:bCs/>
          <w:iCs/>
          <w:szCs w:val="22"/>
        </w:rPr>
        <w:t xml:space="preserve">The PBAC considered </w:t>
      </w:r>
      <w:r w:rsidR="00946EA5" w:rsidRPr="004A1862">
        <w:rPr>
          <w:bCs/>
          <w:iCs/>
          <w:szCs w:val="22"/>
        </w:rPr>
        <w:t xml:space="preserve">the claim </w:t>
      </w:r>
      <w:r w:rsidR="00822499" w:rsidRPr="004A1862">
        <w:rPr>
          <w:bCs/>
          <w:iCs/>
          <w:szCs w:val="22"/>
        </w:rPr>
        <w:t xml:space="preserve">of </w:t>
      </w:r>
      <w:r w:rsidR="005F5B00" w:rsidRPr="004A1862">
        <w:t xml:space="preserve">brinzolamide + brimonidine FDC’s </w:t>
      </w:r>
      <w:r w:rsidRPr="004A1862">
        <w:rPr>
          <w:bCs/>
          <w:iCs/>
          <w:szCs w:val="22"/>
        </w:rPr>
        <w:t>non-inferior</w:t>
      </w:r>
      <w:r w:rsidR="00946EA5" w:rsidRPr="004A1862">
        <w:rPr>
          <w:bCs/>
          <w:iCs/>
          <w:szCs w:val="22"/>
        </w:rPr>
        <w:t xml:space="preserve"> </w:t>
      </w:r>
      <w:r w:rsidR="00822499" w:rsidRPr="004A1862">
        <w:rPr>
          <w:bCs/>
          <w:iCs/>
          <w:szCs w:val="22"/>
        </w:rPr>
        <w:t xml:space="preserve">comparative </w:t>
      </w:r>
      <w:r w:rsidR="00946EA5" w:rsidRPr="004A1862">
        <w:rPr>
          <w:bCs/>
          <w:iCs/>
          <w:szCs w:val="22"/>
        </w:rPr>
        <w:t xml:space="preserve">safety and efficacy over the concomitant use of individual components </w:t>
      </w:r>
      <w:r w:rsidR="00822499" w:rsidRPr="004A1862">
        <w:rPr>
          <w:bCs/>
          <w:iCs/>
          <w:szCs w:val="22"/>
        </w:rPr>
        <w:t>was</w:t>
      </w:r>
      <w:r w:rsidR="00946EA5" w:rsidRPr="004A1862">
        <w:rPr>
          <w:bCs/>
          <w:iCs/>
          <w:szCs w:val="22"/>
        </w:rPr>
        <w:t xml:space="preserve"> reasonabl</w:t>
      </w:r>
      <w:r w:rsidR="00A55FB9" w:rsidRPr="004A1862">
        <w:rPr>
          <w:bCs/>
          <w:iCs/>
          <w:szCs w:val="22"/>
        </w:rPr>
        <w:t xml:space="preserve">e. </w:t>
      </w:r>
    </w:p>
    <w:p w:rsidR="00822499" w:rsidRPr="004A1862" w:rsidRDefault="00822499" w:rsidP="00513E59">
      <w:pPr>
        <w:widowControl/>
        <w:ind w:left="720"/>
        <w:rPr>
          <w:bCs/>
          <w:szCs w:val="22"/>
          <w:lang w:val="en-GB"/>
        </w:rPr>
      </w:pPr>
    </w:p>
    <w:p w:rsidR="006237E1" w:rsidRPr="004A1862" w:rsidRDefault="00946EA5" w:rsidP="00B021BA">
      <w:pPr>
        <w:widowControl/>
        <w:numPr>
          <w:ilvl w:val="1"/>
          <w:numId w:val="11"/>
        </w:numPr>
        <w:rPr>
          <w:bCs/>
          <w:szCs w:val="22"/>
          <w:lang w:val="en-GB"/>
        </w:rPr>
      </w:pPr>
      <w:r w:rsidRPr="004A1862">
        <w:rPr>
          <w:bCs/>
          <w:iCs/>
          <w:szCs w:val="22"/>
        </w:rPr>
        <w:t xml:space="preserve">The PBAC </w:t>
      </w:r>
      <w:r w:rsidR="003572E9" w:rsidRPr="004A1862">
        <w:rPr>
          <w:bCs/>
          <w:iCs/>
          <w:szCs w:val="22"/>
        </w:rPr>
        <w:t>noted</w:t>
      </w:r>
      <w:r w:rsidRPr="004A1862">
        <w:rPr>
          <w:bCs/>
          <w:iCs/>
          <w:szCs w:val="22"/>
        </w:rPr>
        <w:t xml:space="preserve"> the claim </w:t>
      </w:r>
      <w:r w:rsidR="00822499" w:rsidRPr="004A1862">
        <w:rPr>
          <w:bCs/>
          <w:iCs/>
          <w:szCs w:val="22"/>
        </w:rPr>
        <w:t xml:space="preserve">of </w:t>
      </w:r>
      <w:r w:rsidR="005F5B00" w:rsidRPr="004A1862">
        <w:t xml:space="preserve">brinzolamide + brimonidine FDC’s </w:t>
      </w:r>
      <w:r w:rsidRPr="004A1862">
        <w:rPr>
          <w:bCs/>
          <w:iCs/>
          <w:szCs w:val="22"/>
        </w:rPr>
        <w:t>s</w:t>
      </w:r>
      <w:r w:rsidR="007354EC" w:rsidRPr="004A1862">
        <w:rPr>
          <w:bCs/>
          <w:iCs/>
          <w:szCs w:val="22"/>
        </w:rPr>
        <w:t xml:space="preserve">uperior </w:t>
      </w:r>
      <w:r w:rsidR="00822499" w:rsidRPr="004A1862">
        <w:rPr>
          <w:bCs/>
          <w:iCs/>
          <w:szCs w:val="22"/>
        </w:rPr>
        <w:t xml:space="preserve">comparative </w:t>
      </w:r>
      <w:r w:rsidRPr="004A1862">
        <w:rPr>
          <w:bCs/>
          <w:iCs/>
          <w:szCs w:val="22"/>
        </w:rPr>
        <w:t xml:space="preserve">efficacy </w:t>
      </w:r>
      <w:r w:rsidR="007354EC" w:rsidRPr="004A1862">
        <w:rPr>
          <w:bCs/>
          <w:iCs/>
          <w:szCs w:val="22"/>
        </w:rPr>
        <w:t>over individual components</w:t>
      </w:r>
      <w:r w:rsidRPr="004A1862">
        <w:rPr>
          <w:bCs/>
          <w:iCs/>
          <w:szCs w:val="22"/>
        </w:rPr>
        <w:t xml:space="preserve"> </w:t>
      </w:r>
      <w:r w:rsidR="005F5B00" w:rsidRPr="004A1862">
        <w:rPr>
          <w:bCs/>
          <w:iCs/>
          <w:szCs w:val="22"/>
        </w:rPr>
        <w:t xml:space="preserve">used as monotherapy </w:t>
      </w:r>
      <w:r w:rsidRPr="004A1862">
        <w:rPr>
          <w:bCs/>
          <w:iCs/>
          <w:szCs w:val="22"/>
        </w:rPr>
        <w:t xml:space="preserve">was reasonable. The PBAC noted that </w:t>
      </w:r>
      <w:r w:rsidR="005F5B00" w:rsidRPr="004A1862">
        <w:t xml:space="preserve">brinzolamide + brimonidine FDC </w:t>
      </w:r>
      <w:r w:rsidRPr="004A1862">
        <w:rPr>
          <w:bCs/>
          <w:iCs/>
          <w:szCs w:val="22"/>
        </w:rPr>
        <w:t>was</w:t>
      </w:r>
      <w:r w:rsidR="007354EC" w:rsidRPr="004A1862">
        <w:rPr>
          <w:bCs/>
          <w:iCs/>
          <w:szCs w:val="22"/>
        </w:rPr>
        <w:t xml:space="preserve"> inf</w:t>
      </w:r>
      <w:r w:rsidR="00293827" w:rsidRPr="004A1862">
        <w:rPr>
          <w:bCs/>
          <w:iCs/>
          <w:szCs w:val="22"/>
        </w:rPr>
        <w:t>erior</w:t>
      </w:r>
      <w:r w:rsidRPr="004A1862">
        <w:rPr>
          <w:bCs/>
          <w:iCs/>
          <w:szCs w:val="22"/>
        </w:rPr>
        <w:t xml:space="preserve"> in safety</w:t>
      </w:r>
      <w:r w:rsidR="00293827" w:rsidRPr="004A1862">
        <w:rPr>
          <w:bCs/>
          <w:iCs/>
          <w:szCs w:val="22"/>
        </w:rPr>
        <w:t xml:space="preserve"> </w:t>
      </w:r>
      <w:r w:rsidR="007354EC" w:rsidRPr="004A1862">
        <w:rPr>
          <w:bCs/>
          <w:iCs/>
          <w:szCs w:val="22"/>
        </w:rPr>
        <w:t xml:space="preserve">to </w:t>
      </w:r>
      <w:r w:rsidR="005F5B00" w:rsidRPr="004A1862">
        <w:rPr>
          <w:szCs w:val="22"/>
        </w:rPr>
        <w:t xml:space="preserve">brinzolamide </w:t>
      </w:r>
      <w:r w:rsidR="00293827" w:rsidRPr="004A1862">
        <w:rPr>
          <w:bCs/>
          <w:iCs/>
          <w:szCs w:val="22"/>
        </w:rPr>
        <w:t xml:space="preserve">monotherapy </w:t>
      </w:r>
      <w:r w:rsidR="00822499" w:rsidRPr="004A1862">
        <w:rPr>
          <w:bCs/>
          <w:iCs/>
          <w:szCs w:val="22"/>
        </w:rPr>
        <w:t>and non</w:t>
      </w:r>
      <w:r w:rsidR="007354EC" w:rsidRPr="004A1862">
        <w:rPr>
          <w:bCs/>
          <w:iCs/>
          <w:szCs w:val="22"/>
        </w:rPr>
        <w:t>-inf</w:t>
      </w:r>
      <w:r w:rsidR="00293827" w:rsidRPr="004A1862">
        <w:rPr>
          <w:bCs/>
          <w:iCs/>
          <w:szCs w:val="22"/>
        </w:rPr>
        <w:t>erior</w:t>
      </w:r>
      <w:r w:rsidR="007354EC" w:rsidRPr="004A1862">
        <w:rPr>
          <w:bCs/>
          <w:iCs/>
          <w:szCs w:val="22"/>
        </w:rPr>
        <w:t xml:space="preserve"> in safety to </w:t>
      </w:r>
      <w:r w:rsidR="005F5B00" w:rsidRPr="004A1862">
        <w:rPr>
          <w:szCs w:val="22"/>
        </w:rPr>
        <w:t>brimonidine</w:t>
      </w:r>
      <w:r w:rsidR="007354EC" w:rsidRPr="004A1862">
        <w:rPr>
          <w:bCs/>
          <w:iCs/>
          <w:szCs w:val="22"/>
        </w:rPr>
        <w:t xml:space="preserve">. </w:t>
      </w:r>
    </w:p>
    <w:p w:rsidR="003B09C7" w:rsidRPr="004A1862" w:rsidRDefault="003B09C7" w:rsidP="00513E59">
      <w:pPr>
        <w:widowControl/>
        <w:ind w:left="720"/>
        <w:rPr>
          <w:bCs/>
          <w:szCs w:val="22"/>
          <w:lang w:val="en-GB"/>
        </w:rPr>
      </w:pPr>
    </w:p>
    <w:p w:rsidR="00D330E2" w:rsidRPr="004A1862" w:rsidRDefault="003B09C7" w:rsidP="00B021BA">
      <w:pPr>
        <w:widowControl/>
        <w:numPr>
          <w:ilvl w:val="1"/>
          <w:numId w:val="11"/>
        </w:numPr>
        <w:rPr>
          <w:bCs/>
          <w:szCs w:val="22"/>
          <w:lang w:val="en-GB"/>
        </w:rPr>
      </w:pPr>
      <w:r w:rsidRPr="004A1862">
        <w:rPr>
          <w:bCs/>
          <w:szCs w:val="22"/>
          <w:lang w:val="en-GB"/>
        </w:rPr>
        <w:t xml:space="preserve">The PBAC noted </w:t>
      </w:r>
      <w:r w:rsidR="003572E9" w:rsidRPr="004A1862">
        <w:rPr>
          <w:bCs/>
          <w:szCs w:val="22"/>
          <w:lang w:val="en-GB"/>
        </w:rPr>
        <w:t>t</w:t>
      </w:r>
      <w:r w:rsidRPr="004A1862">
        <w:rPr>
          <w:bCs/>
          <w:szCs w:val="22"/>
          <w:lang w:val="en-GB"/>
        </w:rPr>
        <w:t xml:space="preserve">he </w:t>
      </w:r>
      <w:r w:rsidRPr="004A1862">
        <w:rPr>
          <w:bCs/>
          <w:iCs/>
          <w:szCs w:val="22"/>
        </w:rPr>
        <w:t xml:space="preserve">submission did not present an indirect comparison of </w:t>
      </w:r>
      <w:r w:rsidR="005F5B00" w:rsidRPr="004A1862">
        <w:t xml:space="preserve">brinzolamide + brimonidine FDC </w:t>
      </w:r>
      <w:r w:rsidRPr="004A1862">
        <w:rPr>
          <w:bCs/>
          <w:iCs/>
          <w:szCs w:val="22"/>
        </w:rPr>
        <w:t xml:space="preserve">and </w:t>
      </w:r>
      <w:r w:rsidR="005F5B00" w:rsidRPr="004A1862">
        <w:rPr>
          <w:bCs/>
          <w:iCs/>
        </w:rPr>
        <w:t xml:space="preserve">brinzolamide + timolol </w:t>
      </w:r>
      <w:r w:rsidR="005F5B00" w:rsidRPr="004A1862">
        <w:rPr>
          <w:iCs/>
        </w:rPr>
        <w:t>FDC</w:t>
      </w:r>
      <w:r w:rsidRPr="004A1862">
        <w:rPr>
          <w:bCs/>
          <w:iCs/>
          <w:szCs w:val="22"/>
        </w:rPr>
        <w:t xml:space="preserve">; citing exchangeability issues (differences observed in the trial populations and differences in the mean reduction in IOP observed for patients treated with </w:t>
      </w:r>
      <w:r w:rsidR="005F5B00" w:rsidRPr="004A1862">
        <w:rPr>
          <w:szCs w:val="22"/>
        </w:rPr>
        <w:t xml:space="preserve">brinzolamide </w:t>
      </w:r>
      <w:r w:rsidRPr="004A1862">
        <w:rPr>
          <w:bCs/>
          <w:iCs/>
          <w:szCs w:val="22"/>
        </w:rPr>
        <w:t>monotherapy) between the trials as precluding the conduct of an informative indirect comparison.</w:t>
      </w:r>
      <w:r w:rsidR="00D330E2" w:rsidRPr="004A1862">
        <w:rPr>
          <w:iCs/>
        </w:rPr>
        <w:t xml:space="preserve"> </w:t>
      </w:r>
    </w:p>
    <w:p w:rsidR="00D330E2" w:rsidRPr="004A1862" w:rsidRDefault="00D330E2" w:rsidP="00513E59">
      <w:pPr>
        <w:widowControl/>
        <w:ind w:left="720"/>
        <w:rPr>
          <w:bCs/>
          <w:szCs w:val="22"/>
          <w:lang w:val="en-GB"/>
        </w:rPr>
      </w:pPr>
    </w:p>
    <w:p w:rsidR="006237E1" w:rsidRPr="004A1862" w:rsidRDefault="00D330E2" w:rsidP="00B021BA">
      <w:pPr>
        <w:widowControl/>
        <w:numPr>
          <w:ilvl w:val="1"/>
          <w:numId w:val="11"/>
        </w:numPr>
        <w:rPr>
          <w:bCs/>
          <w:szCs w:val="22"/>
          <w:lang w:val="en-GB"/>
        </w:rPr>
      </w:pPr>
      <w:r w:rsidRPr="004A1862">
        <w:rPr>
          <w:bCs/>
          <w:iCs/>
          <w:szCs w:val="22"/>
        </w:rPr>
        <w:t>The PBAC also noted the results of the indirect comparison conducted during the evaluation which indicate that there were no statistically significant differences between the treatments</w:t>
      </w:r>
      <w:r w:rsidR="005F5B00" w:rsidRPr="004A1862">
        <w:rPr>
          <w:bCs/>
          <w:iCs/>
          <w:szCs w:val="22"/>
        </w:rPr>
        <w:t>.  B</w:t>
      </w:r>
      <w:r w:rsidR="005F5B00" w:rsidRPr="004A1862">
        <w:t xml:space="preserve">rinzolamide + brimonidine FDC </w:t>
      </w:r>
      <w:r w:rsidRPr="004A1862">
        <w:rPr>
          <w:bCs/>
          <w:iCs/>
          <w:szCs w:val="22"/>
        </w:rPr>
        <w:t xml:space="preserve">consistently failed to meet the non-inferiority criterion when compared with </w:t>
      </w:r>
      <w:r w:rsidR="005F5B00" w:rsidRPr="004A1862">
        <w:rPr>
          <w:bCs/>
          <w:iCs/>
        </w:rPr>
        <w:t xml:space="preserve">brinzolamide + timolol </w:t>
      </w:r>
      <w:r w:rsidR="005F5B00" w:rsidRPr="004A1862">
        <w:rPr>
          <w:iCs/>
        </w:rPr>
        <w:t>FDC</w:t>
      </w:r>
      <w:r w:rsidR="005F5B00" w:rsidRPr="004A1862">
        <w:rPr>
          <w:bCs/>
          <w:iCs/>
          <w:szCs w:val="22"/>
        </w:rPr>
        <w:t xml:space="preserve"> </w:t>
      </w:r>
      <w:r w:rsidRPr="004A1862">
        <w:rPr>
          <w:bCs/>
          <w:iCs/>
          <w:szCs w:val="22"/>
        </w:rPr>
        <w:t>as the upper confidence limits exceed +1.5 mmHg at all time</w:t>
      </w:r>
      <w:r w:rsidR="00A54EE1" w:rsidRPr="004A1862">
        <w:rPr>
          <w:bCs/>
          <w:iCs/>
          <w:szCs w:val="22"/>
        </w:rPr>
        <w:t xml:space="preserve"> </w:t>
      </w:r>
      <w:r w:rsidRPr="004A1862">
        <w:rPr>
          <w:bCs/>
          <w:iCs/>
          <w:szCs w:val="22"/>
        </w:rPr>
        <w:t>points assessed</w:t>
      </w:r>
      <w:r w:rsidR="002E12B2" w:rsidRPr="004A1862">
        <w:rPr>
          <w:bCs/>
          <w:iCs/>
          <w:szCs w:val="22"/>
        </w:rPr>
        <w:t>.</w:t>
      </w:r>
    </w:p>
    <w:p w:rsidR="003B09C7" w:rsidRPr="004A1862" w:rsidRDefault="003B09C7" w:rsidP="00513E59">
      <w:pPr>
        <w:widowControl/>
        <w:ind w:left="720"/>
        <w:rPr>
          <w:bCs/>
          <w:szCs w:val="22"/>
          <w:lang w:val="en-GB"/>
        </w:rPr>
      </w:pPr>
    </w:p>
    <w:p w:rsidR="007354EC" w:rsidRPr="004A1862" w:rsidRDefault="006237E1" w:rsidP="00B021BA">
      <w:pPr>
        <w:widowControl/>
        <w:numPr>
          <w:ilvl w:val="1"/>
          <w:numId w:val="11"/>
        </w:numPr>
        <w:rPr>
          <w:bCs/>
          <w:szCs w:val="22"/>
          <w:lang w:val="en-GB"/>
        </w:rPr>
      </w:pPr>
      <w:r w:rsidRPr="004A1862">
        <w:rPr>
          <w:bCs/>
          <w:iCs/>
          <w:szCs w:val="22"/>
        </w:rPr>
        <w:t xml:space="preserve">The PBAC noted </w:t>
      </w:r>
      <w:r w:rsidR="0007736B" w:rsidRPr="004A1862">
        <w:rPr>
          <w:bCs/>
          <w:iCs/>
          <w:szCs w:val="22"/>
        </w:rPr>
        <w:t xml:space="preserve">the ESC advice </w:t>
      </w:r>
      <w:r w:rsidRPr="004A1862">
        <w:rPr>
          <w:bCs/>
          <w:iCs/>
          <w:szCs w:val="22"/>
        </w:rPr>
        <w:t>that n</w:t>
      </w:r>
      <w:r w:rsidR="007354EC" w:rsidRPr="004A1862">
        <w:rPr>
          <w:bCs/>
          <w:iCs/>
          <w:szCs w:val="22"/>
        </w:rPr>
        <w:t xml:space="preserve">o </w:t>
      </w:r>
      <w:r w:rsidR="0007736B" w:rsidRPr="004A1862">
        <w:rPr>
          <w:bCs/>
          <w:iCs/>
          <w:szCs w:val="22"/>
        </w:rPr>
        <w:t xml:space="preserve">formal </w:t>
      </w:r>
      <w:r w:rsidR="007354EC" w:rsidRPr="004A1862">
        <w:rPr>
          <w:bCs/>
          <w:iCs/>
          <w:szCs w:val="22"/>
        </w:rPr>
        <w:t>indirect comparison</w:t>
      </w:r>
      <w:r w:rsidR="0007736B" w:rsidRPr="004A1862">
        <w:rPr>
          <w:bCs/>
          <w:iCs/>
          <w:szCs w:val="22"/>
        </w:rPr>
        <w:t xml:space="preserve"> was provided to establish the </w:t>
      </w:r>
      <w:r w:rsidR="00D60DA5" w:rsidRPr="004A1862">
        <w:rPr>
          <w:bCs/>
          <w:iCs/>
          <w:szCs w:val="22"/>
        </w:rPr>
        <w:t>superiority</w:t>
      </w:r>
      <w:r w:rsidR="0007736B" w:rsidRPr="004A1862">
        <w:rPr>
          <w:bCs/>
          <w:iCs/>
          <w:szCs w:val="22"/>
        </w:rPr>
        <w:t xml:space="preserve"> of </w:t>
      </w:r>
      <w:r w:rsidR="005F5B00" w:rsidRPr="004A1862">
        <w:t xml:space="preserve">brinzolamide + brimonidine FDC </w:t>
      </w:r>
      <w:r w:rsidR="00D60DA5" w:rsidRPr="004A1862">
        <w:rPr>
          <w:bCs/>
          <w:iCs/>
          <w:szCs w:val="22"/>
        </w:rPr>
        <w:t>over</w:t>
      </w:r>
      <w:r w:rsidR="0007736B" w:rsidRPr="004A1862">
        <w:rPr>
          <w:bCs/>
          <w:iCs/>
          <w:szCs w:val="22"/>
        </w:rPr>
        <w:t xml:space="preserve"> other </w:t>
      </w:r>
      <w:r w:rsidR="00FE27B1" w:rsidRPr="004A1862">
        <w:rPr>
          <w:bCs/>
          <w:iCs/>
          <w:szCs w:val="22"/>
        </w:rPr>
        <w:t xml:space="preserve">CAI/timolol or AA/timolol </w:t>
      </w:r>
      <w:r w:rsidR="0007736B" w:rsidRPr="004A1862">
        <w:rPr>
          <w:bCs/>
          <w:iCs/>
          <w:szCs w:val="22"/>
        </w:rPr>
        <w:t>FDCs (</w:t>
      </w:r>
      <w:r w:rsidR="005F5B00" w:rsidRPr="004A1862">
        <w:rPr>
          <w:bCs/>
          <w:iCs/>
        </w:rPr>
        <w:t xml:space="preserve">brinzolamide + timolol </w:t>
      </w:r>
      <w:r w:rsidR="005F5B00" w:rsidRPr="004A1862">
        <w:rPr>
          <w:iCs/>
        </w:rPr>
        <w:t>FDC</w:t>
      </w:r>
      <w:r w:rsidR="0007736B" w:rsidRPr="004A1862">
        <w:rPr>
          <w:bCs/>
          <w:iCs/>
          <w:szCs w:val="22"/>
        </w:rPr>
        <w:t xml:space="preserve">, </w:t>
      </w:r>
      <w:r w:rsidR="005F5B00" w:rsidRPr="004A1862">
        <w:rPr>
          <w:bCs/>
          <w:iCs/>
        </w:rPr>
        <w:t xml:space="preserve">brimonidine + timolol FDC </w:t>
      </w:r>
      <w:r w:rsidR="0007736B" w:rsidRPr="004A1862">
        <w:rPr>
          <w:bCs/>
          <w:iCs/>
          <w:szCs w:val="22"/>
        </w:rPr>
        <w:t xml:space="preserve">and </w:t>
      </w:r>
      <w:r w:rsidR="005F5B00" w:rsidRPr="004A1862">
        <w:rPr>
          <w:bCs/>
          <w:iCs/>
        </w:rPr>
        <w:t>dorzolamide + timolol FDC</w:t>
      </w:r>
      <w:r w:rsidR="0007736B" w:rsidRPr="004A1862">
        <w:rPr>
          <w:bCs/>
          <w:iCs/>
          <w:szCs w:val="22"/>
        </w:rPr>
        <w:t>).</w:t>
      </w:r>
      <w:r w:rsidR="000355C5" w:rsidRPr="004A1862">
        <w:rPr>
          <w:bCs/>
          <w:iCs/>
          <w:szCs w:val="22"/>
        </w:rPr>
        <w:t xml:space="preserve"> </w:t>
      </w:r>
      <w:r w:rsidR="00D60DA5" w:rsidRPr="004A1862">
        <w:rPr>
          <w:bCs/>
          <w:iCs/>
          <w:szCs w:val="22"/>
        </w:rPr>
        <w:t xml:space="preserve">Thus the price of </w:t>
      </w:r>
      <w:r w:rsidR="005F5B00" w:rsidRPr="004A1862">
        <w:t xml:space="preserve">brinzolamide + brimonidine FDC </w:t>
      </w:r>
      <w:r w:rsidR="00D60DA5" w:rsidRPr="004A1862">
        <w:rPr>
          <w:bCs/>
          <w:iCs/>
          <w:szCs w:val="22"/>
        </w:rPr>
        <w:t xml:space="preserve">can only justifiably be higher than </w:t>
      </w:r>
      <w:r w:rsidR="00FE27B1" w:rsidRPr="004A1862">
        <w:rPr>
          <w:bCs/>
          <w:iCs/>
        </w:rPr>
        <w:t>the least expensive of these FDCs</w:t>
      </w:r>
      <w:r w:rsidR="005F5B00" w:rsidRPr="004A1862">
        <w:rPr>
          <w:bCs/>
          <w:iCs/>
        </w:rPr>
        <w:t xml:space="preserve"> </w:t>
      </w:r>
      <w:r w:rsidR="00D60DA5" w:rsidRPr="004A1862">
        <w:rPr>
          <w:bCs/>
          <w:iCs/>
          <w:szCs w:val="22"/>
        </w:rPr>
        <w:t xml:space="preserve">if there </w:t>
      </w:r>
      <w:r w:rsidR="0043356D" w:rsidRPr="004A1862">
        <w:rPr>
          <w:bCs/>
          <w:iCs/>
          <w:szCs w:val="22"/>
        </w:rPr>
        <w:t xml:space="preserve">is a </w:t>
      </w:r>
      <w:r w:rsidR="00D60DA5" w:rsidRPr="004A1862">
        <w:rPr>
          <w:bCs/>
          <w:iCs/>
          <w:szCs w:val="22"/>
        </w:rPr>
        <w:t xml:space="preserve">distinct groups of patients with elevated </w:t>
      </w:r>
      <w:r w:rsidR="0043356D" w:rsidRPr="004A1862">
        <w:rPr>
          <w:bCs/>
          <w:iCs/>
          <w:szCs w:val="22"/>
        </w:rPr>
        <w:t xml:space="preserve">IOP </w:t>
      </w:r>
      <w:r w:rsidR="00FE27B1" w:rsidRPr="004A1862">
        <w:rPr>
          <w:bCs/>
          <w:iCs/>
          <w:szCs w:val="22"/>
        </w:rPr>
        <w:t>who cannot use them.  In this case, such a distinct group does exist in patients who cannot tolerate timolol.</w:t>
      </w:r>
    </w:p>
    <w:p w:rsidR="00A067D7" w:rsidRPr="004A1862" w:rsidRDefault="00A067D7" w:rsidP="00513E59">
      <w:pPr>
        <w:widowControl/>
        <w:ind w:left="720"/>
        <w:rPr>
          <w:bCs/>
          <w:szCs w:val="22"/>
          <w:lang w:val="en-GB"/>
        </w:rPr>
      </w:pPr>
    </w:p>
    <w:p w:rsidR="00A067D7" w:rsidRPr="004A1862" w:rsidRDefault="00A067D7" w:rsidP="00B021BA">
      <w:pPr>
        <w:widowControl/>
        <w:numPr>
          <w:ilvl w:val="1"/>
          <w:numId w:val="11"/>
        </w:numPr>
        <w:rPr>
          <w:bCs/>
          <w:szCs w:val="22"/>
          <w:lang w:val="en-GB"/>
        </w:rPr>
      </w:pPr>
      <w:r w:rsidRPr="004A1862">
        <w:rPr>
          <w:bCs/>
          <w:szCs w:val="22"/>
        </w:rPr>
        <w:t>The PBAC noted the submission’s estimate of the changes in prescriptions was based on regimens substituted within and across the five clinical need groups identified, and the relative rate of substitution or uptake from each clinical need group.  Whether this was an over or underestimate is unknown because there was no evidence to substantiate the assumption of the rate of substitution from clinical need groups 3-5.</w:t>
      </w:r>
    </w:p>
    <w:p w:rsidR="00A12B39" w:rsidRPr="004A1862" w:rsidRDefault="00A12B39" w:rsidP="00513E59">
      <w:pPr>
        <w:widowControl/>
        <w:ind w:left="720"/>
        <w:rPr>
          <w:bCs/>
          <w:szCs w:val="22"/>
          <w:lang w:val="en-GB"/>
        </w:rPr>
      </w:pPr>
    </w:p>
    <w:p w:rsidR="0043356D" w:rsidRPr="004A1862" w:rsidRDefault="00A12B39" w:rsidP="0043356D">
      <w:pPr>
        <w:pStyle w:val="ListParagraph"/>
        <w:numPr>
          <w:ilvl w:val="1"/>
          <w:numId w:val="11"/>
        </w:numPr>
        <w:rPr>
          <w:bCs/>
          <w:szCs w:val="22"/>
        </w:rPr>
      </w:pPr>
      <w:r w:rsidRPr="004A1862">
        <w:rPr>
          <w:bCs/>
          <w:szCs w:val="22"/>
        </w:rPr>
        <w:t xml:space="preserve">The PBAC noted the sponsor’s claim that </w:t>
      </w:r>
      <w:r w:rsidR="005F5B00" w:rsidRPr="004A1862">
        <w:t xml:space="preserve">brinzolamide + brimonidine FDC </w:t>
      </w:r>
      <w:r w:rsidR="0051454B" w:rsidRPr="004A1862">
        <w:rPr>
          <w:bCs/>
          <w:szCs w:val="22"/>
        </w:rPr>
        <w:t>was cost</w:t>
      </w:r>
      <w:r w:rsidR="0051454B" w:rsidRPr="004A1862">
        <w:rPr>
          <w:bCs/>
          <w:szCs w:val="22"/>
        </w:rPr>
        <w:noBreakHyphen/>
      </w:r>
      <w:r w:rsidRPr="004A1862">
        <w:rPr>
          <w:bCs/>
          <w:szCs w:val="22"/>
        </w:rPr>
        <w:t>saving to patients accessing through PBS (i.e. patient group previously on concomitant brinzolamide and brimonidine) via reducing the number of dispensing fees.</w:t>
      </w:r>
      <w:r w:rsidR="0043356D" w:rsidRPr="004A1862">
        <w:t xml:space="preserve"> </w:t>
      </w:r>
      <w:r w:rsidR="0043356D" w:rsidRPr="004A1862">
        <w:rPr>
          <w:bCs/>
          <w:szCs w:val="22"/>
        </w:rPr>
        <w:t>The PBAC also noted that the financial estimates presented in the submission would need to be revised to take into account the basis upon which the PBAC had recommended listing.</w:t>
      </w:r>
    </w:p>
    <w:p w:rsidR="00537B96" w:rsidRPr="004A1862" w:rsidRDefault="00537B96" w:rsidP="00537B96">
      <w:pPr>
        <w:widowControl/>
        <w:ind w:left="720"/>
        <w:rPr>
          <w:bCs/>
          <w:szCs w:val="22"/>
          <w:lang w:val="en-GB"/>
        </w:rPr>
      </w:pPr>
    </w:p>
    <w:p w:rsidR="00537B96" w:rsidRPr="004A1862" w:rsidRDefault="00537B96" w:rsidP="00B021BA">
      <w:pPr>
        <w:widowControl/>
        <w:numPr>
          <w:ilvl w:val="1"/>
          <w:numId w:val="11"/>
        </w:numPr>
        <w:rPr>
          <w:bCs/>
          <w:szCs w:val="22"/>
          <w:lang w:val="en-GB"/>
        </w:rPr>
      </w:pPr>
      <w:r w:rsidRPr="004A1862">
        <w:rPr>
          <w:bCs/>
          <w:szCs w:val="22"/>
        </w:rPr>
        <w:t>Advice to the Minister under section 101 (3B</w:t>
      </w:r>
      <w:r w:rsidR="005F5B00" w:rsidRPr="004A1862">
        <w:rPr>
          <w:bCs/>
          <w:szCs w:val="22"/>
        </w:rPr>
        <w:t>A)</w:t>
      </w:r>
      <w:r w:rsidRPr="004A1862">
        <w:rPr>
          <w:bCs/>
          <w:szCs w:val="22"/>
        </w:rPr>
        <w:t xml:space="preserve"> of the Act</w:t>
      </w:r>
    </w:p>
    <w:p w:rsidR="00537B96" w:rsidRPr="004A1862" w:rsidRDefault="005F5B00" w:rsidP="00537B96">
      <w:pPr>
        <w:widowControl/>
        <w:ind w:left="720"/>
        <w:rPr>
          <w:bCs/>
          <w:szCs w:val="22"/>
          <w:lang w:val="en-GB"/>
        </w:rPr>
      </w:pPr>
      <w:r w:rsidRPr="004A1862">
        <w:rPr>
          <w:bCs/>
          <w:szCs w:val="22"/>
        </w:rPr>
        <w:t>T</w:t>
      </w:r>
      <w:r w:rsidR="00537B96" w:rsidRPr="004A1862">
        <w:rPr>
          <w:bCs/>
          <w:szCs w:val="22"/>
        </w:rPr>
        <w:t>he PBAC advised the Minister that</w:t>
      </w:r>
      <w:r w:rsidR="00537B96" w:rsidRPr="004A1862">
        <w:rPr>
          <w:bCs/>
          <w:szCs w:val="22"/>
          <w:lang w:val="en-GB"/>
        </w:rPr>
        <w:t xml:space="preserve"> </w:t>
      </w:r>
      <w:r w:rsidRPr="004A1862">
        <w:rPr>
          <w:bCs/>
          <w:szCs w:val="22"/>
          <w:lang w:val="en-GB"/>
        </w:rPr>
        <w:t xml:space="preserve">there are no drugs or medicinal preparations that should be treated as interchangeable with </w:t>
      </w:r>
      <w:r w:rsidRPr="004A1862">
        <w:t xml:space="preserve">brinzolamide + brimonidine FDC on an individual patient basis. </w:t>
      </w:r>
    </w:p>
    <w:p w:rsidR="00A3146D" w:rsidRPr="004A1862" w:rsidRDefault="00A3146D" w:rsidP="00513E59">
      <w:pPr>
        <w:widowControl/>
        <w:ind w:left="720"/>
        <w:rPr>
          <w:bCs/>
          <w:szCs w:val="22"/>
          <w:lang w:val="en-GB"/>
        </w:rPr>
      </w:pPr>
    </w:p>
    <w:p w:rsidR="00A3146D" w:rsidRPr="004A1862" w:rsidRDefault="00A3146D" w:rsidP="00B021BA">
      <w:pPr>
        <w:widowControl/>
        <w:numPr>
          <w:ilvl w:val="1"/>
          <w:numId w:val="11"/>
        </w:numPr>
        <w:rPr>
          <w:bCs/>
          <w:szCs w:val="22"/>
          <w:lang w:val="en-GB"/>
        </w:rPr>
      </w:pPr>
      <w:r w:rsidRPr="004A1862">
        <w:rPr>
          <w:bCs/>
          <w:szCs w:val="22"/>
          <w:lang w:val="en-GB"/>
        </w:rPr>
        <w:t xml:space="preserve">The PBAC advised that </w:t>
      </w:r>
      <w:r w:rsidR="005F5B00" w:rsidRPr="004A1862">
        <w:t xml:space="preserve">brinzolamide + brimonidine FDC </w:t>
      </w:r>
      <w:r w:rsidRPr="004A1862">
        <w:rPr>
          <w:bCs/>
          <w:szCs w:val="22"/>
          <w:lang w:val="en-GB"/>
        </w:rPr>
        <w:t>is not suitable for prescribing by nurse practitioners in line with other anti-glaucoma preparations.</w:t>
      </w:r>
    </w:p>
    <w:p w:rsidR="00A3146D" w:rsidRPr="004A1862" w:rsidRDefault="00A3146D" w:rsidP="00513E59">
      <w:pPr>
        <w:widowControl/>
        <w:ind w:left="720"/>
        <w:rPr>
          <w:bCs/>
          <w:szCs w:val="22"/>
          <w:lang w:val="en-GB"/>
        </w:rPr>
      </w:pPr>
    </w:p>
    <w:p w:rsidR="00A3146D" w:rsidRPr="004A1862" w:rsidRDefault="00A3146D" w:rsidP="00B021BA">
      <w:pPr>
        <w:widowControl/>
        <w:numPr>
          <w:ilvl w:val="1"/>
          <w:numId w:val="11"/>
        </w:numPr>
        <w:rPr>
          <w:bCs/>
          <w:szCs w:val="22"/>
          <w:lang w:val="en-GB"/>
        </w:rPr>
      </w:pPr>
      <w:r w:rsidRPr="004A1862">
        <w:rPr>
          <w:bCs/>
          <w:szCs w:val="22"/>
          <w:lang w:val="en-GB"/>
        </w:rPr>
        <w:t>The PBAC recommended that the Safety Net 20 Day rule should not apply in line with the current listing for its active components.</w:t>
      </w:r>
    </w:p>
    <w:p w:rsidR="00A3146D" w:rsidRPr="004A1862" w:rsidRDefault="00A3146D" w:rsidP="00513E59">
      <w:pPr>
        <w:widowControl/>
        <w:ind w:left="720"/>
        <w:rPr>
          <w:bCs/>
          <w:szCs w:val="22"/>
          <w:lang w:val="en-GB"/>
        </w:rPr>
      </w:pPr>
    </w:p>
    <w:p w:rsidR="00A3146D" w:rsidRPr="004A1862" w:rsidRDefault="00A3146D" w:rsidP="00B021BA">
      <w:pPr>
        <w:widowControl/>
        <w:numPr>
          <w:ilvl w:val="1"/>
          <w:numId w:val="11"/>
        </w:numPr>
        <w:rPr>
          <w:bCs/>
          <w:szCs w:val="22"/>
          <w:lang w:val="en-GB"/>
        </w:rPr>
      </w:pPr>
      <w:r w:rsidRPr="004A1862">
        <w:rPr>
          <w:bCs/>
          <w:szCs w:val="22"/>
          <w:lang w:val="en-GB"/>
        </w:rPr>
        <w:t xml:space="preserve">The </w:t>
      </w:r>
      <w:r w:rsidR="001C3D21" w:rsidRPr="004A1862">
        <w:rPr>
          <w:bCs/>
          <w:szCs w:val="22"/>
          <w:lang w:val="en-GB"/>
        </w:rPr>
        <w:t xml:space="preserve">submission is not eligible for an Independent Review, because the PBAC </w:t>
      </w:r>
      <w:r w:rsidR="005F5B00" w:rsidRPr="004A1862">
        <w:rPr>
          <w:bCs/>
          <w:szCs w:val="22"/>
          <w:lang w:val="en-GB"/>
        </w:rPr>
        <w:t xml:space="preserve">has </w:t>
      </w:r>
      <w:r w:rsidR="001C3D21" w:rsidRPr="004A1862">
        <w:rPr>
          <w:bCs/>
          <w:szCs w:val="22"/>
          <w:lang w:val="en-GB"/>
        </w:rPr>
        <w:t>made a positive recommendation</w:t>
      </w:r>
      <w:r w:rsidRPr="004A1862">
        <w:rPr>
          <w:bCs/>
          <w:szCs w:val="22"/>
          <w:lang w:val="en-GB"/>
        </w:rPr>
        <w:t>.</w:t>
      </w:r>
    </w:p>
    <w:p w:rsidR="00B021BA" w:rsidRPr="004A1862" w:rsidRDefault="00B021BA" w:rsidP="00B021BA">
      <w:pPr>
        <w:widowControl/>
        <w:ind w:left="720"/>
        <w:rPr>
          <w:bCs/>
          <w:szCs w:val="22"/>
          <w:lang w:val="en-GB"/>
        </w:rPr>
      </w:pPr>
    </w:p>
    <w:p w:rsidR="00D330E2" w:rsidRPr="004A1862" w:rsidRDefault="00D330E2" w:rsidP="00B021BA">
      <w:pPr>
        <w:widowControl/>
        <w:ind w:left="720"/>
        <w:rPr>
          <w:bCs/>
          <w:szCs w:val="22"/>
          <w:lang w:val="en-GB"/>
        </w:rPr>
      </w:pPr>
    </w:p>
    <w:p w:rsidR="00CF228E" w:rsidRPr="004A1862" w:rsidRDefault="00CF228E" w:rsidP="00CF228E">
      <w:pPr>
        <w:widowControl/>
        <w:rPr>
          <w:b/>
          <w:bCs/>
          <w:szCs w:val="22"/>
          <w:lang w:val="en-GB"/>
        </w:rPr>
      </w:pPr>
      <w:r w:rsidRPr="004A1862">
        <w:rPr>
          <w:b/>
          <w:bCs/>
          <w:szCs w:val="22"/>
          <w:lang w:val="en-GB"/>
        </w:rPr>
        <w:t>Outcome:</w:t>
      </w:r>
    </w:p>
    <w:p w:rsidR="00CF228E" w:rsidRPr="004A1862" w:rsidRDefault="00931076" w:rsidP="00CF228E">
      <w:pPr>
        <w:widowControl/>
        <w:rPr>
          <w:bCs/>
          <w:szCs w:val="22"/>
          <w:lang w:val="en-GB"/>
        </w:rPr>
      </w:pPr>
      <w:r w:rsidRPr="004A1862">
        <w:rPr>
          <w:bCs/>
          <w:szCs w:val="22"/>
          <w:lang w:val="en-GB"/>
        </w:rPr>
        <w:t>Recommended</w:t>
      </w:r>
    </w:p>
    <w:p w:rsidR="00CF228E" w:rsidRPr="004A1862" w:rsidRDefault="00CF228E" w:rsidP="00CF228E">
      <w:pPr>
        <w:widowControl/>
        <w:rPr>
          <w:bCs/>
          <w:szCs w:val="22"/>
          <w:lang w:val="en-GB"/>
        </w:rPr>
      </w:pPr>
    </w:p>
    <w:p w:rsidR="005D7F4B" w:rsidRPr="004A1862" w:rsidRDefault="005D7F4B">
      <w:pPr>
        <w:widowControl/>
        <w:jc w:val="left"/>
        <w:rPr>
          <w:bCs/>
          <w:szCs w:val="22"/>
          <w:lang w:val="en-GB"/>
        </w:rPr>
      </w:pPr>
    </w:p>
    <w:p w:rsidR="00CF228E" w:rsidRPr="004A1862" w:rsidRDefault="00CF228E" w:rsidP="00CF228E">
      <w:pPr>
        <w:widowControl/>
        <w:numPr>
          <w:ilvl w:val="0"/>
          <w:numId w:val="11"/>
        </w:numPr>
        <w:rPr>
          <w:b/>
          <w:bCs/>
          <w:szCs w:val="22"/>
          <w:lang w:val="en-GB"/>
        </w:rPr>
      </w:pPr>
      <w:r w:rsidRPr="004A1862">
        <w:rPr>
          <w:b/>
          <w:bCs/>
          <w:szCs w:val="22"/>
          <w:lang w:val="en-GB"/>
        </w:rPr>
        <w:t>Recommended listing</w:t>
      </w:r>
    </w:p>
    <w:p w:rsidR="00CF228E" w:rsidRPr="004A1862" w:rsidRDefault="00CF228E" w:rsidP="00CF228E">
      <w:pPr>
        <w:widowControl/>
        <w:rPr>
          <w:b/>
          <w:bCs/>
          <w:szCs w:val="22"/>
          <w:lang w:val="en-GB"/>
        </w:rPr>
      </w:pPr>
    </w:p>
    <w:p w:rsidR="00931076" w:rsidRPr="004A1862" w:rsidRDefault="00931076" w:rsidP="00931076">
      <w:pPr>
        <w:widowControl/>
        <w:numPr>
          <w:ilvl w:val="1"/>
          <w:numId w:val="31"/>
        </w:numPr>
        <w:rPr>
          <w:bCs/>
          <w:szCs w:val="22"/>
          <w:lang w:val="en-GB"/>
        </w:rPr>
      </w:pPr>
      <w:r w:rsidRPr="004A1862">
        <w:rPr>
          <w:bCs/>
          <w:szCs w:val="22"/>
          <w:lang w:val="en-GB"/>
        </w:rPr>
        <w:t>Add new item:</w:t>
      </w:r>
    </w:p>
    <w:p w:rsidR="00CF228E" w:rsidRPr="004A1862" w:rsidRDefault="00CF228E" w:rsidP="00CF228E">
      <w:pPr>
        <w:widowControl/>
        <w:rPr>
          <w:b/>
          <w:bCs/>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3260"/>
        <w:gridCol w:w="1276"/>
      </w:tblGrid>
      <w:tr w:rsidR="0051454B" w:rsidRPr="004A1862" w:rsidTr="00D82613">
        <w:trPr>
          <w:cantSplit/>
          <w:trHeight w:val="471"/>
        </w:trPr>
        <w:tc>
          <w:tcPr>
            <w:tcW w:w="3261" w:type="dxa"/>
            <w:gridSpan w:val="2"/>
            <w:tcBorders>
              <w:bottom w:val="single" w:sz="4" w:space="0" w:color="auto"/>
            </w:tcBorders>
          </w:tcPr>
          <w:p w:rsidR="0051454B" w:rsidRPr="004A1862" w:rsidRDefault="0051454B" w:rsidP="007B3C30">
            <w:pPr>
              <w:keepNext/>
              <w:widowControl/>
              <w:ind w:left="-108"/>
              <w:rPr>
                <w:rFonts w:ascii="Arial Narrow" w:hAnsi="Arial Narrow"/>
                <w:snapToGrid/>
                <w:sz w:val="20"/>
                <w:lang w:eastAsia="en-AU"/>
              </w:rPr>
            </w:pPr>
            <w:r w:rsidRPr="004A1862">
              <w:rPr>
                <w:rFonts w:ascii="Arial Narrow" w:hAnsi="Arial Narrow"/>
                <w:snapToGrid/>
                <w:sz w:val="20"/>
                <w:lang w:eastAsia="en-AU"/>
              </w:rPr>
              <w:t>Name, Restriction,</w:t>
            </w:r>
          </w:p>
          <w:p w:rsidR="0051454B" w:rsidRPr="004A1862" w:rsidRDefault="0051454B" w:rsidP="007B3C30">
            <w:pPr>
              <w:keepNext/>
              <w:widowControl/>
              <w:ind w:left="-108"/>
              <w:rPr>
                <w:rFonts w:ascii="Arial Narrow" w:hAnsi="Arial Narrow"/>
                <w:snapToGrid/>
                <w:sz w:val="20"/>
                <w:lang w:eastAsia="en-AU"/>
              </w:rPr>
            </w:pPr>
            <w:r w:rsidRPr="004A1862">
              <w:rPr>
                <w:rFonts w:ascii="Arial Narrow" w:hAnsi="Arial Narrow"/>
                <w:snapToGrid/>
                <w:sz w:val="20"/>
                <w:lang w:eastAsia="en-AU"/>
              </w:rPr>
              <w:t>Manner of administration and form</w:t>
            </w:r>
          </w:p>
        </w:tc>
        <w:tc>
          <w:tcPr>
            <w:tcW w:w="567" w:type="dxa"/>
            <w:tcBorders>
              <w:bottom w:val="single" w:sz="4" w:space="0" w:color="auto"/>
            </w:tcBorders>
          </w:tcPr>
          <w:p w:rsidR="0051454B" w:rsidRPr="004A1862" w:rsidRDefault="0051454B" w:rsidP="007B3C30">
            <w:pPr>
              <w:keepNext/>
              <w:widowControl/>
              <w:ind w:left="-108"/>
              <w:rPr>
                <w:rFonts w:ascii="Arial Narrow" w:hAnsi="Arial Narrow"/>
                <w:snapToGrid/>
                <w:sz w:val="20"/>
                <w:lang w:eastAsia="en-AU"/>
              </w:rPr>
            </w:pPr>
            <w:r w:rsidRPr="004A1862">
              <w:rPr>
                <w:rFonts w:ascii="Arial Narrow" w:hAnsi="Arial Narrow"/>
                <w:snapToGrid/>
                <w:sz w:val="20"/>
                <w:lang w:eastAsia="en-AU"/>
              </w:rPr>
              <w:t>Max.</w:t>
            </w:r>
          </w:p>
          <w:p w:rsidR="0051454B" w:rsidRPr="004A1862" w:rsidRDefault="0051454B" w:rsidP="007B3C30">
            <w:pPr>
              <w:keepNext/>
              <w:widowControl/>
              <w:ind w:left="-108"/>
              <w:rPr>
                <w:rFonts w:ascii="Arial Narrow" w:hAnsi="Arial Narrow"/>
                <w:snapToGrid/>
                <w:sz w:val="20"/>
                <w:lang w:eastAsia="en-AU"/>
              </w:rPr>
            </w:pPr>
            <w:r w:rsidRPr="004A1862">
              <w:rPr>
                <w:rFonts w:ascii="Arial Narrow" w:hAnsi="Arial Narrow"/>
                <w:snapToGrid/>
                <w:sz w:val="20"/>
                <w:lang w:eastAsia="en-AU"/>
              </w:rPr>
              <w:t>Qty</w:t>
            </w:r>
          </w:p>
        </w:tc>
        <w:tc>
          <w:tcPr>
            <w:tcW w:w="850" w:type="dxa"/>
            <w:tcBorders>
              <w:bottom w:val="single" w:sz="4" w:space="0" w:color="auto"/>
            </w:tcBorders>
          </w:tcPr>
          <w:p w:rsidR="0051454B" w:rsidRPr="004A1862" w:rsidRDefault="0051454B" w:rsidP="007B3C30">
            <w:pPr>
              <w:keepNext/>
              <w:widowControl/>
              <w:ind w:left="-108"/>
              <w:rPr>
                <w:rFonts w:ascii="Arial Narrow" w:hAnsi="Arial Narrow"/>
                <w:snapToGrid/>
                <w:sz w:val="20"/>
                <w:lang w:eastAsia="en-AU"/>
              </w:rPr>
            </w:pPr>
            <w:r w:rsidRPr="004A1862">
              <w:rPr>
                <w:rFonts w:ascii="Arial Narrow" w:hAnsi="Arial Narrow"/>
                <w:snapToGrid/>
                <w:sz w:val="20"/>
                <w:lang w:eastAsia="en-AU"/>
              </w:rPr>
              <w:t>№.of</w:t>
            </w:r>
          </w:p>
          <w:p w:rsidR="0051454B" w:rsidRPr="004A1862" w:rsidRDefault="0051454B" w:rsidP="007B3C30">
            <w:pPr>
              <w:keepNext/>
              <w:widowControl/>
              <w:ind w:left="-108"/>
              <w:rPr>
                <w:rFonts w:ascii="Arial Narrow" w:hAnsi="Arial Narrow"/>
                <w:snapToGrid/>
                <w:sz w:val="20"/>
                <w:lang w:eastAsia="en-AU"/>
              </w:rPr>
            </w:pPr>
            <w:r w:rsidRPr="004A1862">
              <w:rPr>
                <w:rFonts w:ascii="Arial Narrow" w:hAnsi="Arial Narrow"/>
                <w:snapToGrid/>
                <w:sz w:val="20"/>
                <w:lang w:eastAsia="en-AU"/>
              </w:rPr>
              <w:t>Rpts</w:t>
            </w:r>
          </w:p>
        </w:tc>
        <w:tc>
          <w:tcPr>
            <w:tcW w:w="4536" w:type="dxa"/>
            <w:gridSpan w:val="2"/>
            <w:tcBorders>
              <w:bottom w:val="single" w:sz="4" w:space="0" w:color="auto"/>
            </w:tcBorders>
          </w:tcPr>
          <w:p w:rsidR="0051454B" w:rsidRPr="004A1862" w:rsidRDefault="0051454B" w:rsidP="007B3C30">
            <w:pPr>
              <w:keepNext/>
              <w:widowControl/>
              <w:rPr>
                <w:rFonts w:ascii="Arial Narrow" w:hAnsi="Arial Narrow"/>
                <w:snapToGrid/>
                <w:sz w:val="20"/>
                <w:lang w:val="fr-FR" w:eastAsia="en-AU"/>
              </w:rPr>
            </w:pPr>
            <w:r w:rsidRPr="004A1862">
              <w:rPr>
                <w:rFonts w:ascii="Arial Narrow" w:hAnsi="Arial Narrow"/>
                <w:snapToGrid/>
                <w:sz w:val="20"/>
                <w:lang w:eastAsia="en-AU"/>
              </w:rPr>
              <w:t>Proprietary Name and Manufacturer</w:t>
            </w:r>
          </w:p>
        </w:tc>
      </w:tr>
      <w:tr w:rsidR="0051454B" w:rsidRPr="004A1862" w:rsidTr="00D82613">
        <w:trPr>
          <w:cantSplit/>
          <w:trHeight w:val="577"/>
        </w:trPr>
        <w:tc>
          <w:tcPr>
            <w:tcW w:w="3261" w:type="dxa"/>
            <w:gridSpan w:val="2"/>
          </w:tcPr>
          <w:p w:rsidR="0051454B" w:rsidRPr="004A1862" w:rsidRDefault="0051454B" w:rsidP="007B3C30">
            <w:pPr>
              <w:keepNext/>
              <w:widowControl/>
              <w:ind w:left="-108"/>
              <w:rPr>
                <w:rFonts w:ascii="Arial Narrow" w:hAnsi="Arial Narrow"/>
                <w:snapToGrid/>
                <w:sz w:val="20"/>
                <w:lang w:eastAsia="en-AU"/>
              </w:rPr>
            </w:pPr>
            <w:r w:rsidRPr="004A1862">
              <w:rPr>
                <w:rFonts w:ascii="Arial Narrow" w:hAnsi="Arial Narrow"/>
                <w:smallCaps/>
                <w:snapToGrid/>
                <w:sz w:val="20"/>
                <w:lang w:eastAsia="en-AU"/>
              </w:rPr>
              <w:t>brinzolamide/brimonidine tartrate</w:t>
            </w:r>
          </w:p>
          <w:p w:rsidR="0051454B" w:rsidRPr="004A1862" w:rsidRDefault="0051454B" w:rsidP="007B3C30">
            <w:pPr>
              <w:keepNext/>
              <w:widowControl/>
              <w:ind w:left="-108"/>
              <w:rPr>
                <w:rFonts w:ascii="Arial Narrow" w:hAnsi="Arial Narrow"/>
                <w:snapToGrid/>
                <w:sz w:val="20"/>
                <w:lang w:eastAsia="en-AU"/>
              </w:rPr>
            </w:pPr>
            <w:r w:rsidRPr="004A1862">
              <w:rPr>
                <w:rFonts w:ascii="Arial Narrow" w:hAnsi="Arial Narrow"/>
                <w:snapToGrid/>
                <w:sz w:val="20"/>
                <w:lang w:eastAsia="en-AU"/>
              </w:rPr>
              <w:t xml:space="preserve">fixed-dose combination, Suspension, 10mg/mL/2mg/mL  </w:t>
            </w:r>
          </w:p>
        </w:tc>
        <w:tc>
          <w:tcPr>
            <w:tcW w:w="567" w:type="dxa"/>
          </w:tcPr>
          <w:p w:rsidR="0051454B" w:rsidRPr="004A1862" w:rsidRDefault="0051454B" w:rsidP="007B3C30">
            <w:pPr>
              <w:keepNext/>
              <w:widowControl/>
              <w:ind w:left="-108"/>
              <w:rPr>
                <w:rFonts w:ascii="Arial Narrow" w:hAnsi="Arial Narrow"/>
                <w:snapToGrid/>
                <w:sz w:val="20"/>
                <w:lang w:eastAsia="en-AU"/>
              </w:rPr>
            </w:pPr>
          </w:p>
          <w:p w:rsidR="0051454B" w:rsidRPr="004A1862" w:rsidRDefault="0051454B" w:rsidP="007B3C30">
            <w:pPr>
              <w:keepNext/>
              <w:widowControl/>
              <w:ind w:left="-108"/>
              <w:rPr>
                <w:rFonts w:ascii="Arial Narrow" w:hAnsi="Arial Narrow"/>
                <w:snapToGrid/>
                <w:sz w:val="20"/>
                <w:lang w:eastAsia="en-AU"/>
              </w:rPr>
            </w:pPr>
            <w:r w:rsidRPr="004A1862">
              <w:rPr>
                <w:rFonts w:ascii="Arial Narrow" w:hAnsi="Arial Narrow"/>
                <w:snapToGrid/>
                <w:sz w:val="20"/>
                <w:lang w:eastAsia="en-AU"/>
              </w:rPr>
              <w:t>1</w:t>
            </w:r>
          </w:p>
        </w:tc>
        <w:tc>
          <w:tcPr>
            <w:tcW w:w="850" w:type="dxa"/>
          </w:tcPr>
          <w:p w:rsidR="0051454B" w:rsidRPr="004A1862" w:rsidRDefault="0051454B" w:rsidP="007B3C30">
            <w:pPr>
              <w:keepNext/>
              <w:widowControl/>
              <w:ind w:left="-108"/>
              <w:rPr>
                <w:rFonts w:ascii="Arial Narrow" w:hAnsi="Arial Narrow"/>
                <w:snapToGrid/>
                <w:sz w:val="20"/>
                <w:lang w:eastAsia="en-AU"/>
              </w:rPr>
            </w:pPr>
          </w:p>
          <w:p w:rsidR="0051454B" w:rsidRPr="004A1862" w:rsidRDefault="0051454B" w:rsidP="007B3C30">
            <w:pPr>
              <w:keepNext/>
              <w:widowControl/>
              <w:ind w:left="-108"/>
              <w:rPr>
                <w:rFonts w:ascii="Arial Narrow" w:hAnsi="Arial Narrow"/>
                <w:snapToGrid/>
                <w:sz w:val="20"/>
                <w:lang w:eastAsia="en-AU"/>
              </w:rPr>
            </w:pPr>
            <w:r w:rsidRPr="004A1862">
              <w:rPr>
                <w:rFonts w:ascii="Arial Narrow" w:hAnsi="Arial Narrow"/>
                <w:snapToGrid/>
                <w:sz w:val="20"/>
                <w:lang w:eastAsia="en-AU"/>
              </w:rPr>
              <w:t>5</w:t>
            </w:r>
          </w:p>
        </w:tc>
        <w:tc>
          <w:tcPr>
            <w:tcW w:w="3260" w:type="dxa"/>
          </w:tcPr>
          <w:p w:rsidR="0051454B" w:rsidRPr="004A1862" w:rsidRDefault="0051454B" w:rsidP="007B3C30">
            <w:pPr>
              <w:keepNext/>
              <w:widowControl/>
              <w:rPr>
                <w:rFonts w:ascii="Arial Narrow" w:hAnsi="Arial Narrow"/>
                <w:snapToGrid/>
                <w:sz w:val="20"/>
                <w:lang w:eastAsia="en-AU"/>
              </w:rPr>
            </w:pPr>
            <w:r w:rsidRPr="004A1862">
              <w:rPr>
                <w:rFonts w:ascii="Arial Narrow" w:hAnsi="Arial Narrow"/>
                <w:snapToGrid/>
                <w:sz w:val="20"/>
                <w:lang w:eastAsia="en-AU"/>
              </w:rPr>
              <w:t>Simbrinza</w:t>
            </w:r>
            <w:r w:rsidRPr="004A1862">
              <w:rPr>
                <w:rFonts w:ascii="Arial Narrow" w:hAnsi="Arial Narrow"/>
                <w:snapToGrid/>
                <w:sz w:val="20"/>
                <w:vertAlign w:val="superscript"/>
                <w:lang w:eastAsia="en-AU"/>
              </w:rPr>
              <w:t>®</w:t>
            </w:r>
          </w:p>
        </w:tc>
        <w:tc>
          <w:tcPr>
            <w:tcW w:w="1276" w:type="dxa"/>
          </w:tcPr>
          <w:p w:rsidR="0051454B" w:rsidRPr="004A1862" w:rsidRDefault="008E08F8" w:rsidP="007B3C30">
            <w:pPr>
              <w:keepNext/>
              <w:widowControl/>
              <w:rPr>
                <w:rFonts w:ascii="Arial Narrow" w:hAnsi="Arial Narrow"/>
                <w:snapToGrid/>
                <w:sz w:val="20"/>
                <w:lang w:eastAsia="en-AU"/>
              </w:rPr>
            </w:pPr>
            <w:r w:rsidRPr="004A1862">
              <w:rPr>
                <w:rFonts w:ascii="Arial Narrow" w:hAnsi="Arial Narrow"/>
                <w:snapToGrid/>
                <w:sz w:val="20"/>
                <w:lang w:eastAsia="en-AU"/>
              </w:rPr>
              <w:t>Alcon</w:t>
            </w:r>
          </w:p>
        </w:tc>
      </w:tr>
      <w:tr w:rsidR="00931076" w:rsidRPr="004A1862" w:rsidTr="007B3C30">
        <w:trPr>
          <w:cantSplit/>
          <w:trHeight w:val="360"/>
        </w:trPr>
        <w:tc>
          <w:tcPr>
            <w:tcW w:w="9214" w:type="dxa"/>
            <w:gridSpan w:val="6"/>
            <w:tcBorders>
              <w:bottom w:val="single" w:sz="4" w:space="0" w:color="auto"/>
            </w:tcBorders>
          </w:tcPr>
          <w:p w:rsidR="00931076" w:rsidRPr="004A1862" w:rsidRDefault="00931076" w:rsidP="007B3C30">
            <w:pPr>
              <w:widowControl/>
              <w:rPr>
                <w:rFonts w:ascii="Arial Narrow" w:hAnsi="Arial Narrow"/>
                <w:snapToGrid/>
                <w:sz w:val="20"/>
                <w:lang w:eastAsia="en-AU"/>
              </w:rPr>
            </w:pP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 xml:space="preserve">Category / </w:t>
            </w:r>
          </w:p>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t>GENERAL – General Schedule (Code GE)</w:t>
            </w:r>
          </w:p>
          <w:p w:rsidR="00931076" w:rsidRPr="004A1862" w:rsidRDefault="00931076" w:rsidP="007B3C30">
            <w:pPr>
              <w:widowControl/>
              <w:jc w:val="left"/>
              <w:rPr>
                <w:rFonts w:ascii="Arial Narrow" w:hAnsi="Arial Narrow"/>
                <w:snapToGrid/>
                <w:sz w:val="20"/>
                <w:lang w:eastAsia="en-AU"/>
              </w:rPr>
            </w:pP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Prescriber type:</w:t>
            </w:r>
          </w:p>
          <w:p w:rsidR="00931076" w:rsidRPr="004A1862" w:rsidRDefault="00931076" w:rsidP="007B3C30">
            <w:pPr>
              <w:widowControl/>
              <w:rPr>
                <w:rFonts w:ascii="Arial Narrow" w:hAnsi="Arial Narrow"/>
                <w:b/>
                <w:snapToGrid/>
                <w:sz w:val="20"/>
                <w:lang w:eastAsia="en-AU"/>
              </w:rPr>
            </w:pP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Check1"/>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 xml:space="preserve">Dental  </w:t>
            </w:r>
            <w:r w:rsidRPr="004A1862">
              <w:rPr>
                <w:rFonts w:ascii="Arial Narrow" w:hAnsi="Arial Narrow"/>
                <w:snapToGrid/>
                <w:sz w:val="20"/>
                <w:lang w:eastAsia="en-AU"/>
              </w:rPr>
              <w:fldChar w:fldCharType="begin">
                <w:ffData>
                  <w:name w:val=""/>
                  <w:enabled/>
                  <w:calcOnExit w:val="0"/>
                  <w:checkBox>
                    <w:sizeAuto/>
                    <w:default w:val="1"/>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 xml:space="preserve">Medical Practitioners  </w:t>
            </w:r>
            <w:r w:rsidRPr="004A1862">
              <w:rPr>
                <w:rFonts w:ascii="Arial Narrow" w:hAnsi="Arial Narrow"/>
                <w:snapToGrid/>
                <w:sz w:val="20"/>
                <w:lang w:eastAsia="en-AU"/>
              </w:rPr>
              <w:fldChar w:fldCharType="begin">
                <w:ffData>
                  <w:name w:val="Check3"/>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 xml:space="preserve">Nurse practitioners  </w:t>
            </w:r>
            <w:r w:rsidRPr="004A1862">
              <w:rPr>
                <w:rFonts w:ascii="Arial Narrow" w:hAnsi="Arial Narrow"/>
                <w:snapToGrid/>
                <w:sz w:val="20"/>
                <w:lang w:eastAsia="en-AU"/>
              </w:rPr>
              <w:fldChar w:fldCharType="begin">
                <w:ffData>
                  <w:name w:val=""/>
                  <w:enabled/>
                  <w:calcOnExit w:val="0"/>
                  <w:checkBox>
                    <w:sizeAuto/>
                    <w:default w:val="1"/>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Optometrists</w:t>
            </w:r>
          </w:p>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Check5"/>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Midwives</w:t>
            </w: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Episodicity:</w:t>
            </w: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51454B" w:rsidP="007B3C30">
            <w:pPr>
              <w:widowControl/>
              <w:jc w:val="left"/>
              <w:rPr>
                <w:rFonts w:ascii="Arial Narrow" w:hAnsi="Arial Narrow"/>
                <w:snapToGrid/>
                <w:sz w:val="20"/>
                <w:lang w:eastAsia="en-AU"/>
              </w:rPr>
            </w:pPr>
            <w:r w:rsidRPr="004A1862">
              <w:rPr>
                <w:rFonts w:ascii="Arial Narrow" w:hAnsi="Arial Narrow"/>
                <w:snapToGrid/>
                <w:sz w:val="20"/>
                <w:lang w:eastAsia="en-AU"/>
              </w:rPr>
              <w:t>N/A</w:t>
            </w: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51454B" w:rsidP="007B3C30">
            <w:pPr>
              <w:widowControl/>
              <w:jc w:val="left"/>
              <w:rPr>
                <w:rFonts w:ascii="Arial Narrow" w:hAnsi="Arial Narrow"/>
                <w:snapToGrid/>
                <w:sz w:val="20"/>
                <w:lang w:eastAsia="en-AU"/>
              </w:rPr>
            </w:pPr>
            <w:r w:rsidRPr="004A1862">
              <w:rPr>
                <w:rFonts w:ascii="Arial Narrow" w:hAnsi="Arial Narrow"/>
                <w:snapToGrid/>
                <w:sz w:val="20"/>
                <w:lang w:eastAsia="en-AU"/>
              </w:rPr>
              <w:t>N/A</w:t>
            </w: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t>Elevated intra-ocular pressure</w:t>
            </w: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t>Elevated intra-ocular pressure</w:t>
            </w: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Treatment phase:</w:t>
            </w:r>
          </w:p>
          <w:p w:rsidR="00931076" w:rsidRPr="004A1862" w:rsidRDefault="00931076" w:rsidP="007B3C30">
            <w:pPr>
              <w:widowControl/>
              <w:rPr>
                <w:rFonts w:ascii="Arial Narrow" w:hAnsi="Arial Narrow"/>
                <w:i/>
                <w:snapToGrid/>
                <w:sz w:val="20"/>
                <w:lang w:eastAsia="en-AU"/>
              </w:rPr>
            </w:pP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t>N/A</w:t>
            </w: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Restriction Level / Method:</w:t>
            </w:r>
          </w:p>
          <w:p w:rsidR="00931076" w:rsidRPr="004A1862" w:rsidRDefault="00931076" w:rsidP="007B3C30">
            <w:pPr>
              <w:widowControl/>
              <w:jc w:val="left"/>
              <w:rPr>
                <w:rFonts w:ascii="Arial Narrow" w:hAnsi="Arial Narrow"/>
                <w:i/>
                <w:snapToGrid/>
                <w:sz w:val="20"/>
                <w:lang w:eastAsia="en-AU"/>
              </w:rPr>
            </w:pPr>
          </w:p>
          <w:p w:rsidR="00931076" w:rsidRPr="004A1862" w:rsidRDefault="00931076" w:rsidP="007B3C30">
            <w:pPr>
              <w:widowControl/>
              <w:jc w:val="left"/>
              <w:rPr>
                <w:rFonts w:ascii="Arial Narrow" w:hAnsi="Arial Narrow"/>
                <w:i/>
                <w:snapToGrid/>
                <w:sz w:val="20"/>
                <w:lang w:eastAsia="en-AU"/>
              </w:rPr>
            </w:pP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Check1"/>
                  <w:enabled/>
                  <w:calcOnExit w:val="0"/>
                  <w:checkBox>
                    <w:sizeAuto/>
                    <w:default w:val="1"/>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Restricted benefit</w:t>
            </w:r>
          </w:p>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Authority Required - In Writing</w:t>
            </w:r>
          </w:p>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Check3"/>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Authority Required - Telephone</w:t>
            </w:r>
          </w:p>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Authority Required – Emergency</w:t>
            </w:r>
          </w:p>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Check5"/>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Authority Required - Electronic</w:t>
            </w:r>
          </w:p>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fldChar w:fldCharType="begin">
                <w:ffData>
                  <w:name w:val="Check5"/>
                  <w:enabled/>
                  <w:calcOnExit w:val="0"/>
                  <w:checkBox>
                    <w:sizeAuto/>
                    <w:default w:val="0"/>
                  </w:checkBox>
                </w:ffData>
              </w:fldChar>
            </w:r>
            <w:r w:rsidRPr="004A1862">
              <w:rPr>
                <w:rFonts w:ascii="Arial Narrow" w:hAnsi="Arial Narrow"/>
                <w:snapToGrid/>
                <w:sz w:val="20"/>
                <w:lang w:eastAsia="en-AU"/>
              </w:rPr>
              <w:instrText xml:space="preserve"> FORMCHECKBOX </w:instrText>
            </w:r>
            <w:r w:rsidR="004772BA">
              <w:rPr>
                <w:rFonts w:ascii="Arial Narrow" w:hAnsi="Arial Narrow"/>
                <w:snapToGrid/>
                <w:sz w:val="20"/>
                <w:lang w:eastAsia="en-AU"/>
              </w:rPr>
            </w:r>
            <w:r w:rsidR="004772BA">
              <w:rPr>
                <w:rFonts w:ascii="Arial Narrow" w:hAnsi="Arial Narrow"/>
                <w:snapToGrid/>
                <w:sz w:val="20"/>
                <w:lang w:eastAsia="en-AU"/>
              </w:rPr>
              <w:fldChar w:fldCharType="separate"/>
            </w:r>
            <w:r w:rsidRPr="004A1862">
              <w:rPr>
                <w:rFonts w:ascii="Arial Narrow" w:hAnsi="Arial Narrow"/>
                <w:snapToGrid/>
                <w:sz w:val="20"/>
                <w:lang w:eastAsia="en-AU"/>
              </w:rPr>
              <w:fldChar w:fldCharType="end"/>
            </w:r>
            <w:r w:rsidRPr="004A1862">
              <w:rPr>
                <w:rFonts w:ascii="Arial Narrow" w:hAnsi="Arial Narrow"/>
                <w:snapToGrid/>
                <w:sz w:val="20"/>
                <w:lang w:eastAsia="en-AU"/>
              </w:rPr>
              <w:t>Streamlined</w:t>
            </w: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b/>
                <w:snapToGrid/>
                <w:sz w:val="20"/>
                <w:lang w:eastAsia="en-AU"/>
              </w:rPr>
              <w:t>Treatment criteria:</w:t>
            </w: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t>N/A</w:t>
            </w:r>
          </w:p>
          <w:p w:rsidR="00931076" w:rsidRPr="004A1862" w:rsidRDefault="00931076" w:rsidP="007B3C30">
            <w:pPr>
              <w:widowControl/>
              <w:jc w:val="left"/>
              <w:rPr>
                <w:rFonts w:ascii="Arial Narrow" w:hAnsi="Arial Narrow"/>
                <w:snapToGrid/>
                <w:sz w:val="20"/>
                <w:lang w:eastAsia="en-AU"/>
              </w:rPr>
            </w:pP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Clinical criteria:</w:t>
            </w:r>
          </w:p>
          <w:p w:rsidR="00931076" w:rsidRPr="004A1862" w:rsidRDefault="00931076" w:rsidP="007B3C30">
            <w:pPr>
              <w:widowControl/>
              <w:rPr>
                <w:rFonts w:ascii="Arial Narrow" w:hAnsi="Arial Narrow"/>
                <w:i/>
                <w:snapToGrid/>
                <w:sz w:val="20"/>
                <w:lang w:eastAsia="en-AU"/>
              </w:rPr>
            </w:pPr>
          </w:p>
          <w:p w:rsidR="00931076" w:rsidRPr="004A1862" w:rsidRDefault="00931076" w:rsidP="007B3C30">
            <w:pPr>
              <w:widowControl/>
              <w:rPr>
                <w:rFonts w:ascii="Arial Narrow" w:hAnsi="Arial Narrow"/>
                <w:snapToGrid/>
                <w:sz w:val="20"/>
                <w:lang w:eastAsia="en-AU"/>
              </w:rPr>
            </w:pP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p>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t>The condition must have been inadequately controlled with monotherapy,</w:t>
            </w:r>
          </w:p>
          <w:p w:rsidR="00931076" w:rsidRPr="004A1862" w:rsidRDefault="00931076" w:rsidP="007B3C30">
            <w:pPr>
              <w:widowControl/>
              <w:jc w:val="left"/>
              <w:rPr>
                <w:rFonts w:ascii="Arial Narrow" w:hAnsi="Arial Narrow"/>
                <w:snapToGrid/>
                <w:sz w:val="20"/>
                <w:lang w:eastAsia="en-AU"/>
              </w:rPr>
            </w:pPr>
          </w:p>
          <w:p w:rsidR="00931076" w:rsidRPr="004A1862" w:rsidRDefault="00931076" w:rsidP="007B3C30">
            <w:pPr>
              <w:widowControl/>
              <w:rPr>
                <w:rFonts w:ascii="Arial Narrow" w:hAnsi="Arial Narrow"/>
                <w:snapToGrid/>
                <w:sz w:val="20"/>
                <w:lang w:eastAsia="en-AU"/>
              </w:rPr>
            </w:pPr>
            <w:r w:rsidRPr="004A1862">
              <w:rPr>
                <w:rFonts w:ascii="Arial Narrow" w:hAnsi="Arial Narrow"/>
                <w:snapToGrid/>
                <w:sz w:val="20"/>
                <w:lang w:eastAsia="en-AU"/>
              </w:rPr>
              <w:t>AND</w:t>
            </w:r>
          </w:p>
          <w:p w:rsidR="00931076" w:rsidRPr="004A1862" w:rsidRDefault="00931076" w:rsidP="007B3C30">
            <w:pPr>
              <w:widowControl/>
              <w:rPr>
                <w:rFonts w:ascii="Arial Narrow" w:hAnsi="Arial Narrow"/>
                <w:snapToGrid/>
                <w:sz w:val="20"/>
                <w:lang w:eastAsia="en-AU"/>
              </w:rPr>
            </w:pPr>
          </w:p>
          <w:p w:rsidR="00931076" w:rsidRPr="004A1862" w:rsidRDefault="00931076" w:rsidP="007B3C30">
            <w:pPr>
              <w:widowControl/>
              <w:rPr>
                <w:rFonts w:ascii="Arial Narrow" w:hAnsi="Arial Narrow"/>
                <w:snapToGrid/>
                <w:sz w:val="20"/>
                <w:lang w:eastAsia="en-AU"/>
              </w:rPr>
            </w:pPr>
            <w:r w:rsidRPr="004A1862">
              <w:rPr>
                <w:rFonts w:ascii="Arial Narrow" w:hAnsi="Arial Narrow"/>
                <w:snapToGrid/>
                <w:sz w:val="20"/>
                <w:lang w:eastAsia="en-AU"/>
              </w:rPr>
              <w:t>Patient must have open-angle glaucoma; OR</w:t>
            </w:r>
          </w:p>
          <w:p w:rsidR="00931076" w:rsidRPr="004A1862" w:rsidRDefault="00931076" w:rsidP="007B3C30">
            <w:pPr>
              <w:widowControl/>
              <w:rPr>
                <w:rFonts w:ascii="Arial Narrow" w:hAnsi="Arial Narrow"/>
                <w:snapToGrid/>
                <w:sz w:val="20"/>
                <w:lang w:eastAsia="en-AU"/>
              </w:rPr>
            </w:pPr>
          </w:p>
          <w:p w:rsidR="00931076" w:rsidRPr="004A1862" w:rsidRDefault="00931076" w:rsidP="007B3C30">
            <w:pPr>
              <w:widowControl/>
              <w:rPr>
                <w:rFonts w:ascii="Arial Narrow" w:hAnsi="Arial Narrow"/>
                <w:snapToGrid/>
                <w:sz w:val="20"/>
                <w:lang w:eastAsia="en-AU"/>
              </w:rPr>
            </w:pPr>
            <w:r w:rsidRPr="004A1862">
              <w:rPr>
                <w:rFonts w:ascii="Arial Narrow" w:hAnsi="Arial Narrow"/>
                <w:snapToGrid/>
                <w:sz w:val="20"/>
                <w:lang w:eastAsia="en-AU"/>
              </w:rPr>
              <w:t>Patient must have ocular hypertension.</w:t>
            </w: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Population criteria:</w:t>
            </w:r>
          </w:p>
          <w:p w:rsidR="00931076" w:rsidRPr="004A1862" w:rsidRDefault="00931076" w:rsidP="007B3C30">
            <w:pPr>
              <w:widowControl/>
              <w:jc w:val="left"/>
              <w:rPr>
                <w:rFonts w:ascii="Arial Narrow" w:hAnsi="Arial Narrow"/>
                <w:snapToGrid/>
                <w:sz w:val="20"/>
                <w:lang w:eastAsia="en-AU"/>
              </w:rPr>
            </w:pP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t>N/A</w:t>
            </w:r>
          </w:p>
          <w:p w:rsidR="00931076" w:rsidRPr="004A1862" w:rsidRDefault="00931076" w:rsidP="007B3C30">
            <w:pPr>
              <w:widowControl/>
              <w:rPr>
                <w:rFonts w:ascii="Arial Narrow" w:hAnsi="Arial Narrow"/>
                <w:snapToGrid/>
                <w:sz w:val="20"/>
                <w:lang w:eastAsia="en-AU"/>
              </w:rPr>
            </w:pP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Prescriber Instructions</w:t>
            </w:r>
          </w:p>
          <w:p w:rsidR="00931076" w:rsidRPr="004A1862" w:rsidRDefault="00931076" w:rsidP="007B3C30">
            <w:pPr>
              <w:widowControl/>
              <w:rPr>
                <w:rFonts w:ascii="Arial Narrow" w:hAnsi="Arial Narrow"/>
                <w:snapToGrid/>
                <w:sz w:val="20"/>
                <w:lang w:eastAsia="en-AU"/>
              </w:rPr>
            </w:pP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t>N/A</w:t>
            </w: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Administrative Advice</w:t>
            </w:r>
          </w:p>
          <w:p w:rsidR="00931076" w:rsidRPr="004A1862" w:rsidRDefault="00931076" w:rsidP="007B3C30">
            <w:pPr>
              <w:widowControl/>
              <w:rPr>
                <w:rFonts w:ascii="Arial Narrow" w:hAnsi="Arial Narrow"/>
                <w:i/>
                <w:snapToGrid/>
                <w:sz w:val="20"/>
                <w:lang w:eastAsia="en-AU"/>
              </w:rPr>
            </w:pP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i/>
                <w:snapToGrid/>
                <w:sz w:val="20"/>
                <w:lang w:eastAsia="en-AU"/>
              </w:rPr>
              <w:t>For prescribing in accordance with Optometry Board of Australia guidelines.</w:t>
            </w:r>
            <w:r w:rsidRPr="004A1862">
              <w:rPr>
                <w:rFonts w:ascii="Arial Narrow" w:hAnsi="Arial Narrow"/>
                <w:snapToGrid/>
                <w:sz w:val="20"/>
                <w:lang w:eastAsia="en-AU"/>
              </w:rPr>
              <w:t xml:space="preserve"> </w:t>
            </w:r>
          </w:p>
        </w:tc>
      </w:tr>
      <w:tr w:rsidR="00931076" w:rsidRPr="004A1862" w:rsidTr="007B3C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rPr>
                <w:rFonts w:ascii="Arial Narrow" w:hAnsi="Arial Narrow"/>
                <w:b/>
                <w:snapToGrid/>
                <w:sz w:val="20"/>
                <w:lang w:eastAsia="en-AU"/>
              </w:rPr>
            </w:pPr>
            <w:r w:rsidRPr="004A1862">
              <w:rPr>
                <w:rFonts w:ascii="Arial Narrow" w:hAnsi="Arial Narrow"/>
                <w:b/>
                <w:snapToGrid/>
                <w:sz w:val="20"/>
                <w:lang w:eastAsia="en-AU"/>
              </w:rPr>
              <w:t>Cautions</w:t>
            </w:r>
          </w:p>
          <w:p w:rsidR="00931076" w:rsidRPr="004A1862" w:rsidRDefault="00931076" w:rsidP="007B3C30">
            <w:pPr>
              <w:widowControl/>
              <w:rPr>
                <w:rFonts w:ascii="Arial Narrow" w:hAnsi="Arial Narrow"/>
                <w:i/>
                <w:snapToGrid/>
                <w:sz w:val="20"/>
                <w:lang w:eastAsia="en-AU"/>
              </w:rPr>
            </w:pPr>
          </w:p>
        </w:tc>
        <w:tc>
          <w:tcPr>
            <w:tcW w:w="6379" w:type="dxa"/>
            <w:gridSpan w:val="5"/>
            <w:tcBorders>
              <w:top w:val="single" w:sz="4" w:space="0" w:color="auto"/>
              <w:left w:val="single" w:sz="4" w:space="0" w:color="auto"/>
              <w:bottom w:val="single" w:sz="4" w:space="0" w:color="auto"/>
              <w:right w:val="single" w:sz="4" w:space="0" w:color="auto"/>
            </w:tcBorders>
          </w:tcPr>
          <w:p w:rsidR="00931076" w:rsidRPr="004A1862" w:rsidRDefault="00931076" w:rsidP="007B3C30">
            <w:pPr>
              <w:widowControl/>
              <w:jc w:val="left"/>
              <w:rPr>
                <w:rFonts w:ascii="Arial Narrow" w:hAnsi="Arial Narrow"/>
                <w:snapToGrid/>
                <w:sz w:val="20"/>
                <w:lang w:eastAsia="en-AU"/>
              </w:rPr>
            </w:pPr>
            <w:r w:rsidRPr="004A1862">
              <w:rPr>
                <w:rFonts w:ascii="Arial Narrow" w:hAnsi="Arial Narrow"/>
                <w:snapToGrid/>
                <w:sz w:val="20"/>
                <w:lang w:eastAsia="en-AU"/>
              </w:rPr>
              <w:t>N/A</w:t>
            </w:r>
          </w:p>
        </w:tc>
      </w:tr>
    </w:tbl>
    <w:p w:rsidR="000955A8" w:rsidRPr="004A1862" w:rsidRDefault="000955A8" w:rsidP="00CF228E">
      <w:pPr>
        <w:widowControl/>
        <w:rPr>
          <w:bCs/>
          <w:szCs w:val="22"/>
        </w:rPr>
      </w:pPr>
    </w:p>
    <w:p w:rsidR="000955A8" w:rsidRPr="004A1862" w:rsidRDefault="000955A8" w:rsidP="00CF228E">
      <w:pPr>
        <w:widowControl/>
        <w:rPr>
          <w:bCs/>
          <w:szCs w:val="22"/>
        </w:rPr>
      </w:pPr>
    </w:p>
    <w:p w:rsidR="00CF228E" w:rsidRPr="004A1862" w:rsidRDefault="00CF228E" w:rsidP="00CF228E">
      <w:pPr>
        <w:widowControl/>
        <w:rPr>
          <w:bCs/>
          <w:szCs w:val="22"/>
        </w:rPr>
      </w:pPr>
    </w:p>
    <w:p w:rsidR="00CF228E" w:rsidRPr="004A1862" w:rsidRDefault="000955A8" w:rsidP="000955A8">
      <w:pPr>
        <w:pStyle w:val="PBACHeading1"/>
        <w:numPr>
          <w:ilvl w:val="0"/>
          <w:numId w:val="31"/>
        </w:numPr>
      </w:pPr>
      <w:r w:rsidRPr="004A1862">
        <w:t>Context</w:t>
      </w:r>
      <w:r w:rsidR="00307DAE" w:rsidRPr="004A1862">
        <w:t xml:space="preserve"> for Decision </w:t>
      </w:r>
    </w:p>
    <w:p w:rsidR="00307DAE" w:rsidRPr="004A1862" w:rsidRDefault="00307DAE" w:rsidP="00307DAE">
      <w:pPr>
        <w:pStyle w:val="PBACHeading1"/>
        <w:numPr>
          <w:ilvl w:val="0"/>
          <w:numId w:val="0"/>
        </w:numPr>
        <w:ind w:left="720"/>
        <w:rPr>
          <w:b w:val="0"/>
        </w:rPr>
      </w:pPr>
      <w:r w:rsidRPr="004A1862">
        <w:rPr>
          <w:b w:val="0"/>
        </w:rPr>
        <w:t xml:space="preserve">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 </w:t>
      </w:r>
    </w:p>
    <w:p w:rsidR="000955A8" w:rsidRPr="004A1862" w:rsidRDefault="000955A8" w:rsidP="00307DAE">
      <w:pPr>
        <w:pStyle w:val="PBACHeading1"/>
        <w:numPr>
          <w:ilvl w:val="0"/>
          <w:numId w:val="0"/>
        </w:numPr>
        <w:ind w:left="720"/>
        <w:rPr>
          <w:b w:val="0"/>
        </w:rPr>
      </w:pPr>
    </w:p>
    <w:p w:rsidR="000955A8" w:rsidRPr="004A1862" w:rsidRDefault="000955A8" w:rsidP="0051454B">
      <w:pPr>
        <w:pStyle w:val="PBACHeading1"/>
        <w:numPr>
          <w:ilvl w:val="0"/>
          <w:numId w:val="31"/>
        </w:numPr>
      </w:pPr>
      <w:r w:rsidRPr="004A1862">
        <w:t xml:space="preserve">Sponsor’s Comment </w:t>
      </w:r>
    </w:p>
    <w:p w:rsidR="004A1862" w:rsidRDefault="004A1862" w:rsidP="002F655B">
      <w:pPr>
        <w:pStyle w:val="PBACHeading1"/>
        <w:numPr>
          <w:ilvl w:val="0"/>
          <w:numId w:val="0"/>
        </w:numPr>
        <w:ind w:left="720"/>
        <w:rPr>
          <w:b w:val="0"/>
        </w:rPr>
      </w:pPr>
    </w:p>
    <w:p w:rsidR="00061DA8" w:rsidRPr="00061DA8" w:rsidRDefault="00061DA8" w:rsidP="002F655B">
      <w:pPr>
        <w:pStyle w:val="PBACHeading1"/>
        <w:numPr>
          <w:ilvl w:val="0"/>
          <w:numId w:val="0"/>
        </w:numPr>
        <w:ind w:left="720"/>
        <w:rPr>
          <w:b w:val="0"/>
        </w:rPr>
      </w:pPr>
      <w:r w:rsidRPr="004A1862">
        <w:rPr>
          <w:b w:val="0"/>
        </w:rPr>
        <w:t xml:space="preserve">Alcon welcomes the PBAC’s recommendation for the fixed dose combination eye drop, Simbrinza (brinzolamide/brimonidine), to be made available on the PBS for the treatment of elevated intra-ocular pressure in adult patients with primary open-angle glaucoma and ocular hypertension. </w:t>
      </w:r>
      <w:r w:rsidR="004F7315" w:rsidRPr="004A1862">
        <w:rPr>
          <w:b w:val="0"/>
        </w:rPr>
        <w:t>T</w:t>
      </w:r>
      <w:r w:rsidRPr="004A1862">
        <w:rPr>
          <w:b w:val="0"/>
        </w:rPr>
        <w:t>he listing of a timolol-free fixed dosed combination on the PBS offers a reduction in the dosing burden and preservative load by decreasing the number of drops administered in one sitting.</w:t>
      </w:r>
    </w:p>
    <w:p w:rsidR="0086293C" w:rsidRPr="0086293C" w:rsidRDefault="0086293C" w:rsidP="0050390D">
      <w:pPr>
        <w:pStyle w:val="PBACHeading1"/>
        <w:numPr>
          <w:ilvl w:val="0"/>
          <w:numId w:val="0"/>
        </w:numPr>
        <w:rPr>
          <w:b w:val="0"/>
        </w:rPr>
      </w:pPr>
    </w:p>
    <w:p w:rsidR="002F655B" w:rsidRPr="0051454B" w:rsidRDefault="002F655B" w:rsidP="00236666">
      <w:pPr>
        <w:pStyle w:val="PBACHeading1"/>
        <w:numPr>
          <w:ilvl w:val="0"/>
          <w:numId w:val="0"/>
        </w:numPr>
        <w:ind w:left="720"/>
      </w:pPr>
    </w:p>
    <w:sectPr w:rsidR="002F655B" w:rsidRPr="0051454B" w:rsidSect="00BC316F">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0999E5" w15:done="0"/>
  <w15:commentEx w15:paraId="63A36BD7" w15:done="0"/>
  <w15:commentEx w15:paraId="7E79E76D" w15:done="0"/>
  <w15:commentEx w15:paraId="35EAC120" w15:done="0"/>
  <w15:commentEx w15:paraId="3916905D" w15:done="0"/>
  <w15:commentEx w15:paraId="3DF7DCBC" w15:done="0"/>
  <w15:commentEx w15:paraId="3E71D43E" w15:done="0"/>
  <w15:commentEx w15:paraId="3EC67EDA" w15:done="0"/>
  <w15:commentEx w15:paraId="2FBB70CE" w15:done="0"/>
  <w15:commentEx w15:paraId="142FADF0" w15:done="0"/>
  <w15:commentEx w15:paraId="162A5F93" w15:done="0"/>
  <w15:commentEx w15:paraId="733A809A" w15:done="0"/>
  <w15:commentEx w15:paraId="459391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9B4" w:rsidRDefault="001119B4" w:rsidP="00124A51">
      <w:r>
        <w:separator/>
      </w:r>
    </w:p>
  </w:endnote>
  <w:endnote w:type="continuationSeparator" w:id="0">
    <w:p w:rsidR="001119B4" w:rsidRDefault="001119B4"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62" w:rsidRPr="00D13A3E" w:rsidRDefault="004A1862" w:rsidP="00015886">
    <w:pPr>
      <w:ind w:right="360"/>
      <w:jc w:val="center"/>
      <w:rPr>
        <w:b/>
        <w:sz w:val="20"/>
      </w:rPr>
    </w:pPr>
  </w:p>
  <w:p w:rsidR="004A1862" w:rsidRPr="00BA4343" w:rsidRDefault="004A1862" w:rsidP="000107C1">
    <w:pPr>
      <w:pStyle w:val="Footer"/>
      <w:jc w:val="center"/>
    </w:pPr>
    <w:r w:rsidRPr="00BA4343">
      <w:fldChar w:fldCharType="begin"/>
    </w:r>
    <w:r w:rsidRPr="00BA4343">
      <w:instrText xml:space="preserve"> PAGE   \* MERGEFORMAT </w:instrText>
    </w:r>
    <w:r w:rsidRPr="00BA4343">
      <w:fldChar w:fldCharType="separate"/>
    </w:r>
    <w:r w:rsidR="004772BA">
      <w:rPr>
        <w:noProof/>
      </w:rPr>
      <w:t>2</w:t>
    </w:r>
    <w:r w:rsidRPr="00BA4343">
      <w:fldChar w:fldCharType="end"/>
    </w:r>
  </w:p>
  <w:p w:rsidR="004A1862" w:rsidRPr="00015886" w:rsidRDefault="004A1862" w:rsidP="00015886">
    <w:pPr>
      <w:ind w:right="360"/>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9B4" w:rsidRDefault="001119B4" w:rsidP="00124A51">
      <w:r>
        <w:separator/>
      </w:r>
    </w:p>
  </w:footnote>
  <w:footnote w:type="continuationSeparator" w:id="0">
    <w:p w:rsidR="001119B4" w:rsidRDefault="001119B4"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62" w:rsidRPr="00420576" w:rsidRDefault="004A1862" w:rsidP="00CF228E">
    <w:pPr>
      <w:tabs>
        <w:tab w:val="left" w:pos="142"/>
        <w:tab w:val="right" w:pos="9026"/>
      </w:tabs>
      <w:ind w:right="-359"/>
      <w:jc w:val="center"/>
      <w:rPr>
        <w:i/>
        <w:color w:val="D9D9D9" w:themeColor="background1" w:themeShade="D9"/>
      </w:rPr>
    </w:pPr>
    <w:r>
      <w:rPr>
        <w:i/>
        <w:color w:val="D9D9D9" w:themeColor="background1" w:themeShade="D9"/>
      </w:rPr>
      <w:t xml:space="preserve">Public Summary Document </w:t>
    </w:r>
    <w:r w:rsidRPr="00420576">
      <w:rPr>
        <w:i/>
        <w:color w:val="D9D9D9" w:themeColor="background1" w:themeShade="D9"/>
      </w:rPr>
      <w:t>– July 2015 PBAC Meeting</w:t>
    </w:r>
  </w:p>
  <w:p w:rsidR="004A1862" w:rsidRPr="008C7ECB" w:rsidRDefault="004A1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62E"/>
    <w:multiLevelType w:val="hybridMultilevel"/>
    <w:tmpl w:val="4866B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F04AF"/>
    <w:multiLevelType w:val="hybridMultilevel"/>
    <w:tmpl w:val="D4380BF4"/>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
    <w:nsid w:val="0DBF0344"/>
    <w:multiLevelType w:val="hybridMultilevel"/>
    <w:tmpl w:val="D7322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C57F22"/>
    <w:multiLevelType w:val="hybridMultilevel"/>
    <w:tmpl w:val="0666D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144FB5"/>
    <w:multiLevelType w:val="hybridMultilevel"/>
    <w:tmpl w:val="3A9A7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05E7FB1"/>
    <w:multiLevelType w:val="hybridMultilevel"/>
    <w:tmpl w:val="FEE41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4F6533"/>
    <w:multiLevelType w:val="hybridMultilevel"/>
    <w:tmpl w:val="8F5896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7732BF7"/>
    <w:multiLevelType w:val="hybridMultilevel"/>
    <w:tmpl w:val="D3A4F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2">
    <w:nsid w:val="29752E30"/>
    <w:multiLevelType w:val="hybridMultilevel"/>
    <w:tmpl w:val="3ED256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30B83EE1"/>
    <w:multiLevelType w:val="hybridMultilevel"/>
    <w:tmpl w:val="FFF2B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69452D"/>
    <w:multiLevelType w:val="hybridMultilevel"/>
    <w:tmpl w:val="0BC4B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7C34E2"/>
    <w:multiLevelType w:val="hybridMultilevel"/>
    <w:tmpl w:val="37682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3ED94E1F"/>
    <w:multiLevelType w:val="multilevel"/>
    <w:tmpl w:val="6DFA9F4A"/>
    <w:lvl w:ilvl="0">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8">
    <w:nsid w:val="41C97903"/>
    <w:multiLevelType w:val="hybridMultilevel"/>
    <w:tmpl w:val="144868A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51602627"/>
    <w:multiLevelType w:val="hybridMultilevel"/>
    <w:tmpl w:val="B028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1E04AFB"/>
    <w:multiLevelType w:val="hybridMultilevel"/>
    <w:tmpl w:val="6DE69104"/>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23">
    <w:nsid w:val="59AB3707"/>
    <w:multiLevelType w:val="hybridMultilevel"/>
    <w:tmpl w:val="4CB2CA72"/>
    <w:lvl w:ilvl="0" w:tplc="8A5A0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0C46C45"/>
    <w:multiLevelType w:val="hybridMultilevel"/>
    <w:tmpl w:val="2F088D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6207017"/>
    <w:multiLevelType w:val="hybridMultilevel"/>
    <w:tmpl w:val="C4348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7FC3DD8"/>
    <w:multiLevelType w:val="hybridMultilevel"/>
    <w:tmpl w:val="624C63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84D033C"/>
    <w:multiLevelType w:val="multilevel"/>
    <w:tmpl w:val="9D5EAFB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AFA25F0"/>
    <w:multiLevelType w:val="hybridMultilevel"/>
    <w:tmpl w:val="455412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24"/>
  </w:num>
  <w:num w:numId="4">
    <w:abstractNumId w:val="16"/>
  </w:num>
  <w:num w:numId="5">
    <w:abstractNumId w:val="11"/>
  </w:num>
  <w:num w:numId="6">
    <w:abstractNumId w:val="6"/>
  </w:num>
  <w:num w:numId="7">
    <w:abstractNumId w:val="30"/>
  </w:num>
  <w:num w:numId="8">
    <w:abstractNumId w:val="20"/>
  </w:num>
  <w:num w:numId="9">
    <w:abstractNumId w:val="15"/>
  </w:num>
  <w:num w:numId="10">
    <w:abstractNumId w:val="1"/>
  </w:num>
  <w:num w:numId="11">
    <w:abstractNumId w:val="28"/>
  </w:num>
  <w:num w:numId="12">
    <w:abstractNumId w:val="22"/>
  </w:num>
  <w:num w:numId="13">
    <w:abstractNumId w:val="25"/>
  </w:num>
  <w:num w:numId="14">
    <w:abstractNumId w:val="17"/>
  </w:num>
  <w:num w:numId="15">
    <w:abstractNumId w:val="10"/>
  </w:num>
  <w:num w:numId="16">
    <w:abstractNumId w:val="4"/>
  </w:num>
  <w:num w:numId="17">
    <w:abstractNumId w:val="5"/>
  </w:num>
  <w:num w:numId="18">
    <w:abstractNumId w:val="18"/>
  </w:num>
  <w:num w:numId="19">
    <w:abstractNumId w:val="14"/>
  </w:num>
  <w:num w:numId="20">
    <w:abstractNumId w:val="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num>
  <w:num w:numId="24">
    <w:abstractNumId w:val="9"/>
  </w:num>
  <w:num w:numId="25">
    <w:abstractNumId w:val="0"/>
  </w:num>
  <w:num w:numId="26">
    <w:abstractNumId w:val="13"/>
  </w:num>
  <w:num w:numId="27">
    <w:abstractNumId w:val="8"/>
  </w:num>
  <w:num w:numId="28">
    <w:abstractNumId w:val="29"/>
  </w:num>
  <w:num w:numId="29">
    <w:abstractNumId w:val="3"/>
  </w:num>
  <w:num w:numId="30">
    <w:abstractNumId w:val="12"/>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8"/>
  </w:num>
  <w:num w:numId="3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4D9"/>
    <w:rsid w:val="00003499"/>
    <w:rsid w:val="00006E00"/>
    <w:rsid w:val="000078CE"/>
    <w:rsid w:val="00007C8B"/>
    <w:rsid w:val="000107C1"/>
    <w:rsid w:val="00012B00"/>
    <w:rsid w:val="00013247"/>
    <w:rsid w:val="00013640"/>
    <w:rsid w:val="00013CC2"/>
    <w:rsid w:val="00013F44"/>
    <w:rsid w:val="0001466F"/>
    <w:rsid w:val="000149A2"/>
    <w:rsid w:val="00015886"/>
    <w:rsid w:val="00015DC0"/>
    <w:rsid w:val="000162EF"/>
    <w:rsid w:val="00016597"/>
    <w:rsid w:val="000169E6"/>
    <w:rsid w:val="00016B36"/>
    <w:rsid w:val="000173A4"/>
    <w:rsid w:val="00017BEA"/>
    <w:rsid w:val="00020C2C"/>
    <w:rsid w:val="0002225F"/>
    <w:rsid w:val="00023096"/>
    <w:rsid w:val="00023763"/>
    <w:rsid w:val="00024AF7"/>
    <w:rsid w:val="00025D85"/>
    <w:rsid w:val="00027441"/>
    <w:rsid w:val="000305FE"/>
    <w:rsid w:val="00031A15"/>
    <w:rsid w:val="00031F77"/>
    <w:rsid w:val="00033E10"/>
    <w:rsid w:val="00034DDD"/>
    <w:rsid w:val="00035167"/>
    <w:rsid w:val="00035518"/>
    <w:rsid w:val="000355C5"/>
    <w:rsid w:val="000401FF"/>
    <w:rsid w:val="0004042B"/>
    <w:rsid w:val="00040895"/>
    <w:rsid w:val="0004299C"/>
    <w:rsid w:val="00042AD8"/>
    <w:rsid w:val="00042B18"/>
    <w:rsid w:val="00043C37"/>
    <w:rsid w:val="00044AA3"/>
    <w:rsid w:val="00046320"/>
    <w:rsid w:val="00047D3A"/>
    <w:rsid w:val="00051E1D"/>
    <w:rsid w:val="000546D7"/>
    <w:rsid w:val="00054A10"/>
    <w:rsid w:val="00054A6D"/>
    <w:rsid w:val="00054C52"/>
    <w:rsid w:val="00054F30"/>
    <w:rsid w:val="00057DFF"/>
    <w:rsid w:val="00061DA8"/>
    <w:rsid w:val="00062253"/>
    <w:rsid w:val="00063133"/>
    <w:rsid w:val="0006531E"/>
    <w:rsid w:val="00070565"/>
    <w:rsid w:val="00071248"/>
    <w:rsid w:val="000720B9"/>
    <w:rsid w:val="0007215E"/>
    <w:rsid w:val="000750C3"/>
    <w:rsid w:val="00076C3A"/>
    <w:rsid w:val="00077001"/>
    <w:rsid w:val="0007736B"/>
    <w:rsid w:val="00080897"/>
    <w:rsid w:val="000812CA"/>
    <w:rsid w:val="00081CF1"/>
    <w:rsid w:val="00084DD9"/>
    <w:rsid w:val="0008554D"/>
    <w:rsid w:val="00085912"/>
    <w:rsid w:val="000859F4"/>
    <w:rsid w:val="00085E35"/>
    <w:rsid w:val="00087292"/>
    <w:rsid w:val="00090C7E"/>
    <w:rsid w:val="00094C5F"/>
    <w:rsid w:val="00094F46"/>
    <w:rsid w:val="000955A8"/>
    <w:rsid w:val="00095F8A"/>
    <w:rsid w:val="00097507"/>
    <w:rsid w:val="00097E56"/>
    <w:rsid w:val="000A0564"/>
    <w:rsid w:val="000A1AA4"/>
    <w:rsid w:val="000A2386"/>
    <w:rsid w:val="000A5747"/>
    <w:rsid w:val="000A717C"/>
    <w:rsid w:val="000A7750"/>
    <w:rsid w:val="000B0A91"/>
    <w:rsid w:val="000B1335"/>
    <w:rsid w:val="000B173D"/>
    <w:rsid w:val="000B3322"/>
    <w:rsid w:val="000B371C"/>
    <w:rsid w:val="000B3886"/>
    <w:rsid w:val="000B3DC0"/>
    <w:rsid w:val="000B6B57"/>
    <w:rsid w:val="000C0B39"/>
    <w:rsid w:val="000C0E86"/>
    <w:rsid w:val="000C1130"/>
    <w:rsid w:val="000C232C"/>
    <w:rsid w:val="000C2A34"/>
    <w:rsid w:val="000C3E34"/>
    <w:rsid w:val="000C4748"/>
    <w:rsid w:val="000C603C"/>
    <w:rsid w:val="000D1BFC"/>
    <w:rsid w:val="000D43A8"/>
    <w:rsid w:val="000D4428"/>
    <w:rsid w:val="000D4CAA"/>
    <w:rsid w:val="000D5226"/>
    <w:rsid w:val="000D54B6"/>
    <w:rsid w:val="000E2B8F"/>
    <w:rsid w:val="000E3B7A"/>
    <w:rsid w:val="000E6074"/>
    <w:rsid w:val="000E6966"/>
    <w:rsid w:val="000E697A"/>
    <w:rsid w:val="000F1194"/>
    <w:rsid w:val="000F1F72"/>
    <w:rsid w:val="000F3266"/>
    <w:rsid w:val="000F37D3"/>
    <w:rsid w:val="000F4BB8"/>
    <w:rsid w:val="000F53C2"/>
    <w:rsid w:val="000F60B0"/>
    <w:rsid w:val="000F6B27"/>
    <w:rsid w:val="000F7127"/>
    <w:rsid w:val="00100F8A"/>
    <w:rsid w:val="0010120B"/>
    <w:rsid w:val="0010163E"/>
    <w:rsid w:val="001017DE"/>
    <w:rsid w:val="001034AF"/>
    <w:rsid w:val="00103AE8"/>
    <w:rsid w:val="00103C4D"/>
    <w:rsid w:val="00103DDF"/>
    <w:rsid w:val="00105D99"/>
    <w:rsid w:val="0011032E"/>
    <w:rsid w:val="00111410"/>
    <w:rsid w:val="001119B4"/>
    <w:rsid w:val="0011348B"/>
    <w:rsid w:val="00113867"/>
    <w:rsid w:val="00113A40"/>
    <w:rsid w:val="00113EAD"/>
    <w:rsid w:val="00116130"/>
    <w:rsid w:val="001174D6"/>
    <w:rsid w:val="00121799"/>
    <w:rsid w:val="001222FC"/>
    <w:rsid w:val="001224D9"/>
    <w:rsid w:val="00123933"/>
    <w:rsid w:val="00124A51"/>
    <w:rsid w:val="00124FAA"/>
    <w:rsid w:val="00126621"/>
    <w:rsid w:val="001301E9"/>
    <w:rsid w:val="001325F5"/>
    <w:rsid w:val="001326D9"/>
    <w:rsid w:val="00134602"/>
    <w:rsid w:val="00137645"/>
    <w:rsid w:val="0013773D"/>
    <w:rsid w:val="0014015A"/>
    <w:rsid w:val="001405AD"/>
    <w:rsid w:val="00140DA2"/>
    <w:rsid w:val="00140E99"/>
    <w:rsid w:val="0014147A"/>
    <w:rsid w:val="00142703"/>
    <w:rsid w:val="0014453A"/>
    <w:rsid w:val="00145540"/>
    <w:rsid w:val="001456B0"/>
    <w:rsid w:val="00146424"/>
    <w:rsid w:val="00146E24"/>
    <w:rsid w:val="00146F44"/>
    <w:rsid w:val="00150681"/>
    <w:rsid w:val="001506E1"/>
    <w:rsid w:val="00151906"/>
    <w:rsid w:val="00153865"/>
    <w:rsid w:val="00153CEB"/>
    <w:rsid w:val="00153D14"/>
    <w:rsid w:val="001563F4"/>
    <w:rsid w:val="00156981"/>
    <w:rsid w:val="00157130"/>
    <w:rsid w:val="00157666"/>
    <w:rsid w:val="00162913"/>
    <w:rsid w:val="00163EFF"/>
    <w:rsid w:val="00165D13"/>
    <w:rsid w:val="001661FB"/>
    <w:rsid w:val="0016630F"/>
    <w:rsid w:val="00166AAB"/>
    <w:rsid w:val="00167142"/>
    <w:rsid w:val="00167179"/>
    <w:rsid w:val="00170ADA"/>
    <w:rsid w:val="00171B9F"/>
    <w:rsid w:val="00172774"/>
    <w:rsid w:val="00173429"/>
    <w:rsid w:val="00174077"/>
    <w:rsid w:val="001777C1"/>
    <w:rsid w:val="00177C7E"/>
    <w:rsid w:val="00181A06"/>
    <w:rsid w:val="00182674"/>
    <w:rsid w:val="0018752F"/>
    <w:rsid w:val="0019401C"/>
    <w:rsid w:val="00194375"/>
    <w:rsid w:val="00195222"/>
    <w:rsid w:val="00195E22"/>
    <w:rsid w:val="001966B4"/>
    <w:rsid w:val="001974B5"/>
    <w:rsid w:val="001975D8"/>
    <w:rsid w:val="001A16B0"/>
    <w:rsid w:val="001A2F31"/>
    <w:rsid w:val="001A5392"/>
    <w:rsid w:val="001A6948"/>
    <w:rsid w:val="001A796B"/>
    <w:rsid w:val="001B02B3"/>
    <w:rsid w:val="001B05F4"/>
    <w:rsid w:val="001B1462"/>
    <w:rsid w:val="001B3443"/>
    <w:rsid w:val="001B3E04"/>
    <w:rsid w:val="001B403E"/>
    <w:rsid w:val="001B40BE"/>
    <w:rsid w:val="001B5743"/>
    <w:rsid w:val="001B5BAD"/>
    <w:rsid w:val="001C21F1"/>
    <w:rsid w:val="001C374E"/>
    <w:rsid w:val="001C3A0D"/>
    <w:rsid w:val="001C3D21"/>
    <w:rsid w:val="001C6710"/>
    <w:rsid w:val="001C6E66"/>
    <w:rsid w:val="001D0779"/>
    <w:rsid w:val="001D2662"/>
    <w:rsid w:val="001D3297"/>
    <w:rsid w:val="001D43CB"/>
    <w:rsid w:val="001E095F"/>
    <w:rsid w:val="001E1014"/>
    <w:rsid w:val="001E18E9"/>
    <w:rsid w:val="001E238E"/>
    <w:rsid w:val="001E2A36"/>
    <w:rsid w:val="001E2B1E"/>
    <w:rsid w:val="001E4170"/>
    <w:rsid w:val="001E52EB"/>
    <w:rsid w:val="001E5E8E"/>
    <w:rsid w:val="001E6381"/>
    <w:rsid w:val="001E740C"/>
    <w:rsid w:val="001E7E6A"/>
    <w:rsid w:val="001F0D5F"/>
    <w:rsid w:val="001F0DBC"/>
    <w:rsid w:val="001F1235"/>
    <w:rsid w:val="001F1652"/>
    <w:rsid w:val="001F1CB3"/>
    <w:rsid w:val="001F2744"/>
    <w:rsid w:val="001F2AEF"/>
    <w:rsid w:val="001F49EB"/>
    <w:rsid w:val="001F6B4E"/>
    <w:rsid w:val="001F6E0C"/>
    <w:rsid w:val="001F7361"/>
    <w:rsid w:val="001F739A"/>
    <w:rsid w:val="001F7C46"/>
    <w:rsid w:val="002005BF"/>
    <w:rsid w:val="00201213"/>
    <w:rsid w:val="00201A7C"/>
    <w:rsid w:val="00201AE0"/>
    <w:rsid w:val="00202155"/>
    <w:rsid w:val="0020385F"/>
    <w:rsid w:val="00207021"/>
    <w:rsid w:val="00207106"/>
    <w:rsid w:val="00207C6E"/>
    <w:rsid w:val="00207D00"/>
    <w:rsid w:val="002105C1"/>
    <w:rsid w:val="00210CD2"/>
    <w:rsid w:val="00210DF8"/>
    <w:rsid w:val="0021223A"/>
    <w:rsid w:val="00212B43"/>
    <w:rsid w:val="002133D1"/>
    <w:rsid w:val="00213BCB"/>
    <w:rsid w:val="00214A23"/>
    <w:rsid w:val="0021529A"/>
    <w:rsid w:val="002156A8"/>
    <w:rsid w:val="002209BF"/>
    <w:rsid w:val="00220BD2"/>
    <w:rsid w:val="00221527"/>
    <w:rsid w:val="00223B49"/>
    <w:rsid w:val="00224DD4"/>
    <w:rsid w:val="0023086A"/>
    <w:rsid w:val="002309CC"/>
    <w:rsid w:val="00231D92"/>
    <w:rsid w:val="0023232C"/>
    <w:rsid w:val="00234280"/>
    <w:rsid w:val="00236666"/>
    <w:rsid w:val="002404DC"/>
    <w:rsid w:val="00240A28"/>
    <w:rsid w:val="00241F55"/>
    <w:rsid w:val="00245534"/>
    <w:rsid w:val="00250738"/>
    <w:rsid w:val="00252761"/>
    <w:rsid w:val="002533BA"/>
    <w:rsid w:val="00254CCD"/>
    <w:rsid w:val="00254DCF"/>
    <w:rsid w:val="0025534B"/>
    <w:rsid w:val="00255BB7"/>
    <w:rsid w:val="0025743E"/>
    <w:rsid w:val="002574A0"/>
    <w:rsid w:val="00260928"/>
    <w:rsid w:val="00261A09"/>
    <w:rsid w:val="00262A87"/>
    <w:rsid w:val="00263354"/>
    <w:rsid w:val="00264120"/>
    <w:rsid w:val="00267C69"/>
    <w:rsid w:val="00270A45"/>
    <w:rsid w:val="00271A88"/>
    <w:rsid w:val="002727C5"/>
    <w:rsid w:val="002729B9"/>
    <w:rsid w:val="00272B8B"/>
    <w:rsid w:val="00272C6C"/>
    <w:rsid w:val="00272CA7"/>
    <w:rsid w:val="00272EF4"/>
    <w:rsid w:val="0027578B"/>
    <w:rsid w:val="002759FE"/>
    <w:rsid w:val="00275C5A"/>
    <w:rsid w:val="0027607E"/>
    <w:rsid w:val="00276803"/>
    <w:rsid w:val="00277DDA"/>
    <w:rsid w:val="00281014"/>
    <w:rsid w:val="00281084"/>
    <w:rsid w:val="002811C3"/>
    <w:rsid w:val="002817FF"/>
    <w:rsid w:val="00281EC5"/>
    <w:rsid w:val="002843D7"/>
    <w:rsid w:val="00285D98"/>
    <w:rsid w:val="00285E67"/>
    <w:rsid w:val="002864B2"/>
    <w:rsid w:val="0028776B"/>
    <w:rsid w:val="0029000E"/>
    <w:rsid w:val="0029098F"/>
    <w:rsid w:val="002914E0"/>
    <w:rsid w:val="00291675"/>
    <w:rsid w:val="00293376"/>
    <w:rsid w:val="00293827"/>
    <w:rsid w:val="0029590F"/>
    <w:rsid w:val="00297070"/>
    <w:rsid w:val="00297B52"/>
    <w:rsid w:val="002A14AB"/>
    <w:rsid w:val="002A1767"/>
    <w:rsid w:val="002A2594"/>
    <w:rsid w:val="002A2DDD"/>
    <w:rsid w:val="002A5159"/>
    <w:rsid w:val="002A5522"/>
    <w:rsid w:val="002A5CF5"/>
    <w:rsid w:val="002A5D27"/>
    <w:rsid w:val="002A5DD2"/>
    <w:rsid w:val="002B02F7"/>
    <w:rsid w:val="002B1A21"/>
    <w:rsid w:val="002B1C1F"/>
    <w:rsid w:val="002B31A6"/>
    <w:rsid w:val="002B3634"/>
    <w:rsid w:val="002B432F"/>
    <w:rsid w:val="002B4EA1"/>
    <w:rsid w:val="002B528C"/>
    <w:rsid w:val="002B611C"/>
    <w:rsid w:val="002B62BB"/>
    <w:rsid w:val="002B6CCE"/>
    <w:rsid w:val="002B7BDF"/>
    <w:rsid w:val="002C18FE"/>
    <w:rsid w:val="002C254C"/>
    <w:rsid w:val="002C272F"/>
    <w:rsid w:val="002C2775"/>
    <w:rsid w:val="002C27C1"/>
    <w:rsid w:val="002C2926"/>
    <w:rsid w:val="002C312B"/>
    <w:rsid w:val="002C3DF6"/>
    <w:rsid w:val="002C4AA2"/>
    <w:rsid w:val="002C54DB"/>
    <w:rsid w:val="002C5801"/>
    <w:rsid w:val="002C6846"/>
    <w:rsid w:val="002C7947"/>
    <w:rsid w:val="002D0D80"/>
    <w:rsid w:val="002D43C4"/>
    <w:rsid w:val="002D47EE"/>
    <w:rsid w:val="002D59EB"/>
    <w:rsid w:val="002D6046"/>
    <w:rsid w:val="002D6852"/>
    <w:rsid w:val="002D68BE"/>
    <w:rsid w:val="002D69B4"/>
    <w:rsid w:val="002D6ABE"/>
    <w:rsid w:val="002E12B2"/>
    <w:rsid w:val="002E181D"/>
    <w:rsid w:val="002E1DAD"/>
    <w:rsid w:val="002E32BD"/>
    <w:rsid w:val="002E7E36"/>
    <w:rsid w:val="002F2A7A"/>
    <w:rsid w:val="002F4A54"/>
    <w:rsid w:val="002F655B"/>
    <w:rsid w:val="002F7F71"/>
    <w:rsid w:val="0030086A"/>
    <w:rsid w:val="00301017"/>
    <w:rsid w:val="003025BD"/>
    <w:rsid w:val="0030566A"/>
    <w:rsid w:val="0030786C"/>
    <w:rsid w:val="00307DAE"/>
    <w:rsid w:val="003102FA"/>
    <w:rsid w:val="0031031A"/>
    <w:rsid w:val="00310981"/>
    <w:rsid w:val="00311137"/>
    <w:rsid w:val="003123DB"/>
    <w:rsid w:val="00313197"/>
    <w:rsid w:val="00315498"/>
    <w:rsid w:val="00320450"/>
    <w:rsid w:val="003204A1"/>
    <w:rsid w:val="00320B53"/>
    <w:rsid w:val="003230ED"/>
    <w:rsid w:val="003231B4"/>
    <w:rsid w:val="003232D5"/>
    <w:rsid w:val="00323315"/>
    <w:rsid w:val="003244E4"/>
    <w:rsid w:val="0032471C"/>
    <w:rsid w:val="00326BAC"/>
    <w:rsid w:val="00327098"/>
    <w:rsid w:val="0033292B"/>
    <w:rsid w:val="00333BB5"/>
    <w:rsid w:val="00333CC8"/>
    <w:rsid w:val="00333FE3"/>
    <w:rsid w:val="0033647F"/>
    <w:rsid w:val="003366C9"/>
    <w:rsid w:val="003371B0"/>
    <w:rsid w:val="003378C4"/>
    <w:rsid w:val="0034073F"/>
    <w:rsid w:val="0034108D"/>
    <w:rsid w:val="00342ED7"/>
    <w:rsid w:val="00343190"/>
    <w:rsid w:val="00344A59"/>
    <w:rsid w:val="0034538A"/>
    <w:rsid w:val="003461B2"/>
    <w:rsid w:val="0034643E"/>
    <w:rsid w:val="00347296"/>
    <w:rsid w:val="00350DF2"/>
    <w:rsid w:val="00351B58"/>
    <w:rsid w:val="003536AF"/>
    <w:rsid w:val="00353896"/>
    <w:rsid w:val="00353DEB"/>
    <w:rsid w:val="00355666"/>
    <w:rsid w:val="0035620E"/>
    <w:rsid w:val="003572E9"/>
    <w:rsid w:val="00360000"/>
    <w:rsid w:val="00361283"/>
    <w:rsid w:val="003616F1"/>
    <w:rsid w:val="00362B13"/>
    <w:rsid w:val="003633E5"/>
    <w:rsid w:val="0036355B"/>
    <w:rsid w:val="0036419B"/>
    <w:rsid w:val="00364432"/>
    <w:rsid w:val="003648F3"/>
    <w:rsid w:val="00364C25"/>
    <w:rsid w:val="00365580"/>
    <w:rsid w:val="003656FB"/>
    <w:rsid w:val="00366E1C"/>
    <w:rsid w:val="00367056"/>
    <w:rsid w:val="003700DB"/>
    <w:rsid w:val="00372463"/>
    <w:rsid w:val="0037267B"/>
    <w:rsid w:val="00373CFE"/>
    <w:rsid w:val="00374555"/>
    <w:rsid w:val="003759C2"/>
    <w:rsid w:val="00376B8C"/>
    <w:rsid w:val="00377927"/>
    <w:rsid w:val="0038001F"/>
    <w:rsid w:val="003813D1"/>
    <w:rsid w:val="00381967"/>
    <w:rsid w:val="003826AB"/>
    <w:rsid w:val="00382AE3"/>
    <w:rsid w:val="0038365C"/>
    <w:rsid w:val="00385479"/>
    <w:rsid w:val="00386B2D"/>
    <w:rsid w:val="00386B34"/>
    <w:rsid w:val="00390139"/>
    <w:rsid w:val="003909E8"/>
    <w:rsid w:val="003928FF"/>
    <w:rsid w:val="003934EA"/>
    <w:rsid w:val="003939BC"/>
    <w:rsid w:val="00396FD0"/>
    <w:rsid w:val="003A14BB"/>
    <w:rsid w:val="003A1A7A"/>
    <w:rsid w:val="003A2C88"/>
    <w:rsid w:val="003A529B"/>
    <w:rsid w:val="003A53AB"/>
    <w:rsid w:val="003A5486"/>
    <w:rsid w:val="003A5F6B"/>
    <w:rsid w:val="003A5FE0"/>
    <w:rsid w:val="003A7AE6"/>
    <w:rsid w:val="003B0734"/>
    <w:rsid w:val="003B0834"/>
    <w:rsid w:val="003B09C7"/>
    <w:rsid w:val="003B0F92"/>
    <w:rsid w:val="003B16AC"/>
    <w:rsid w:val="003B176C"/>
    <w:rsid w:val="003B278E"/>
    <w:rsid w:val="003B410C"/>
    <w:rsid w:val="003B4FAE"/>
    <w:rsid w:val="003B51D3"/>
    <w:rsid w:val="003B55C4"/>
    <w:rsid w:val="003B7536"/>
    <w:rsid w:val="003B7AB2"/>
    <w:rsid w:val="003C08E9"/>
    <w:rsid w:val="003C118F"/>
    <w:rsid w:val="003C15E0"/>
    <w:rsid w:val="003C3E4F"/>
    <w:rsid w:val="003C4734"/>
    <w:rsid w:val="003C53B0"/>
    <w:rsid w:val="003C6545"/>
    <w:rsid w:val="003C6D45"/>
    <w:rsid w:val="003C7517"/>
    <w:rsid w:val="003D1828"/>
    <w:rsid w:val="003D2422"/>
    <w:rsid w:val="003D2674"/>
    <w:rsid w:val="003D2E50"/>
    <w:rsid w:val="003D346B"/>
    <w:rsid w:val="003D670E"/>
    <w:rsid w:val="003D682B"/>
    <w:rsid w:val="003E0EC8"/>
    <w:rsid w:val="003E1326"/>
    <w:rsid w:val="003E2D01"/>
    <w:rsid w:val="003E37AD"/>
    <w:rsid w:val="003E5BB6"/>
    <w:rsid w:val="003E5FA5"/>
    <w:rsid w:val="003E7AC5"/>
    <w:rsid w:val="003F109D"/>
    <w:rsid w:val="003F2950"/>
    <w:rsid w:val="003F3959"/>
    <w:rsid w:val="003F4156"/>
    <w:rsid w:val="003F4203"/>
    <w:rsid w:val="003F45D8"/>
    <w:rsid w:val="003F4624"/>
    <w:rsid w:val="003F4C7A"/>
    <w:rsid w:val="003F5A6F"/>
    <w:rsid w:val="003F721A"/>
    <w:rsid w:val="00402F95"/>
    <w:rsid w:val="004034F0"/>
    <w:rsid w:val="00403874"/>
    <w:rsid w:val="00403970"/>
    <w:rsid w:val="00410708"/>
    <w:rsid w:val="00410EC7"/>
    <w:rsid w:val="00413317"/>
    <w:rsid w:val="004135CD"/>
    <w:rsid w:val="0041440F"/>
    <w:rsid w:val="00414476"/>
    <w:rsid w:val="004144E0"/>
    <w:rsid w:val="00420B9F"/>
    <w:rsid w:val="00421057"/>
    <w:rsid w:val="0042176B"/>
    <w:rsid w:val="0042535F"/>
    <w:rsid w:val="004266D7"/>
    <w:rsid w:val="00426A50"/>
    <w:rsid w:val="004305B2"/>
    <w:rsid w:val="004319F8"/>
    <w:rsid w:val="00432AF5"/>
    <w:rsid w:val="00433044"/>
    <w:rsid w:val="0043356D"/>
    <w:rsid w:val="00436DB2"/>
    <w:rsid w:val="00437095"/>
    <w:rsid w:val="004371E9"/>
    <w:rsid w:val="00441494"/>
    <w:rsid w:val="00442032"/>
    <w:rsid w:val="00442173"/>
    <w:rsid w:val="00442B06"/>
    <w:rsid w:val="0044315E"/>
    <w:rsid w:val="004443A7"/>
    <w:rsid w:val="00446354"/>
    <w:rsid w:val="004464EB"/>
    <w:rsid w:val="0044730A"/>
    <w:rsid w:val="00447A8D"/>
    <w:rsid w:val="004523CF"/>
    <w:rsid w:val="00453475"/>
    <w:rsid w:val="00453700"/>
    <w:rsid w:val="00453751"/>
    <w:rsid w:val="0045523A"/>
    <w:rsid w:val="004556DD"/>
    <w:rsid w:val="00455D45"/>
    <w:rsid w:val="00456BED"/>
    <w:rsid w:val="004570DE"/>
    <w:rsid w:val="0046181E"/>
    <w:rsid w:val="00461C2D"/>
    <w:rsid w:val="004640E0"/>
    <w:rsid w:val="00464595"/>
    <w:rsid w:val="00464ED1"/>
    <w:rsid w:val="0046601A"/>
    <w:rsid w:val="00467F2B"/>
    <w:rsid w:val="00470F40"/>
    <w:rsid w:val="00473FF1"/>
    <w:rsid w:val="00474408"/>
    <w:rsid w:val="00475DE0"/>
    <w:rsid w:val="0047651A"/>
    <w:rsid w:val="004772BA"/>
    <w:rsid w:val="00477506"/>
    <w:rsid w:val="00480F1D"/>
    <w:rsid w:val="004867E2"/>
    <w:rsid w:val="00486B98"/>
    <w:rsid w:val="00486E27"/>
    <w:rsid w:val="004871C7"/>
    <w:rsid w:val="00490493"/>
    <w:rsid w:val="00491B3A"/>
    <w:rsid w:val="00492CFD"/>
    <w:rsid w:val="00492E01"/>
    <w:rsid w:val="0049325E"/>
    <w:rsid w:val="0049381C"/>
    <w:rsid w:val="00493DFF"/>
    <w:rsid w:val="004962D2"/>
    <w:rsid w:val="00497191"/>
    <w:rsid w:val="004A02A2"/>
    <w:rsid w:val="004A0AA3"/>
    <w:rsid w:val="004A0DA1"/>
    <w:rsid w:val="004A16CE"/>
    <w:rsid w:val="004A1862"/>
    <w:rsid w:val="004A2405"/>
    <w:rsid w:val="004A3FCD"/>
    <w:rsid w:val="004A40B5"/>
    <w:rsid w:val="004A47D6"/>
    <w:rsid w:val="004A5989"/>
    <w:rsid w:val="004A6597"/>
    <w:rsid w:val="004A77D2"/>
    <w:rsid w:val="004B0105"/>
    <w:rsid w:val="004B0238"/>
    <w:rsid w:val="004B10EF"/>
    <w:rsid w:val="004B1CB4"/>
    <w:rsid w:val="004B265D"/>
    <w:rsid w:val="004B2F18"/>
    <w:rsid w:val="004B3223"/>
    <w:rsid w:val="004B35C6"/>
    <w:rsid w:val="004B36B8"/>
    <w:rsid w:val="004B37F4"/>
    <w:rsid w:val="004B3DDB"/>
    <w:rsid w:val="004B44FD"/>
    <w:rsid w:val="004B579F"/>
    <w:rsid w:val="004B5A49"/>
    <w:rsid w:val="004B5CFC"/>
    <w:rsid w:val="004B621D"/>
    <w:rsid w:val="004B65C3"/>
    <w:rsid w:val="004B6815"/>
    <w:rsid w:val="004B6B5D"/>
    <w:rsid w:val="004B71A2"/>
    <w:rsid w:val="004B7DF7"/>
    <w:rsid w:val="004C3729"/>
    <w:rsid w:val="004C4082"/>
    <w:rsid w:val="004C4AED"/>
    <w:rsid w:val="004C6942"/>
    <w:rsid w:val="004C7C53"/>
    <w:rsid w:val="004D1760"/>
    <w:rsid w:val="004D26E8"/>
    <w:rsid w:val="004D29DC"/>
    <w:rsid w:val="004D610C"/>
    <w:rsid w:val="004D62CE"/>
    <w:rsid w:val="004D65DB"/>
    <w:rsid w:val="004E0EB8"/>
    <w:rsid w:val="004E2ADC"/>
    <w:rsid w:val="004E2F81"/>
    <w:rsid w:val="004E346A"/>
    <w:rsid w:val="004E43B2"/>
    <w:rsid w:val="004E446B"/>
    <w:rsid w:val="004E72AC"/>
    <w:rsid w:val="004E7D65"/>
    <w:rsid w:val="004F1D02"/>
    <w:rsid w:val="004F1DB3"/>
    <w:rsid w:val="004F2679"/>
    <w:rsid w:val="004F710D"/>
    <w:rsid w:val="004F7315"/>
    <w:rsid w:val="004F7865"/>
    <w:rsid w:val="005018AE"/>
    <w:rsid w:val="0050259C"/>
    <w:rsid w:val="0050390D"/>
    <w:rsid w:val="0050538D"/>
    <w:rsid w:val="005058DE"/>
    <w:rsid w:val="00506361"/>
    <w:rsid w:val="00506928"/>
    <w:rsid w:val="005070DE"/>
    <w:rsid w:val="005071A1"/>
    <w:rsid w:val="005076F7"/>
    <w:rsid w:val="00511EC2"/>
    <w:rsid w:val="00513E59"/>
    <w:rsid w:val="0051454B"/>
    <w:rsid w:val="005152B5"/>
    <w:rsid w:val="00515E56"/>
    <w:rsid w:val="0051689A"/>
    <w:rsid w:val="00517C8F"/>
    <w:rsid w:val="005208AD"/>
    <w:rsid w:val="00521319"/>
    <w:rsid w:val="00523C28"/>
    <w:rsid w:val="00523D5F"/>
    <w:rsid w:val="0052470B"/>
    <w:rsid w:val="00524F92"/>
    <w:rsid w:val="005302D0"/>
    <w:rsid w:val="0053038B"/>
    <w:rsid w:val="0053240F"/>
    <w:rsid w:val="005324F1"/>
    <w:rsid w:val="005325CF"/>
    <w:rsid w:val="0053396E"/>
    <w:rsid w:val="00535BBC"/>
    <w:rsid w:val="00536689"/>
    <w:rsid w:val="00537041"/>
    <w:rsid w:val="00537632"/>
    <w:rsid w:val="00537B96"/>
    <w:rsid w:val="0054009F"/>
    <w:rsid w:val="0054274C"/>
    <w:rsid w:val="00543034"/>
    <w:rsid w:val="00544CB4"/>
    <w:rsid w:val="00545D6D"/>
    <w:rsid w:val="00546A25"/>
    <w:rsid w:val="00547457"/>
    <w:rsid w:val="00547897"/>
    <w:rsid w:val="005479E0"/>
    <w:rsid w:val="00547C56"/>
    <w:rsid w:val="005515B9"/>
    <w:rsid w:val="00551666"/>
    <w:rsid w:val="00551AF4"/>
    <w:rsid w:val="00552BD3"/>
    <w:rsid w:val="005537F8"/>
    <w:rsid w:val="00554BFB"/>
    <w:rsid w:val="00554DEB"/>
    <w:rsid w:val="00555109"/>
    <w:rsid w:val="00555150"/>
    <w:rsid w:val="00556DD0"/>
    <w:rsid w:val="005576A4"/>
    <w:rsid w:val="0056057F"/>
    <w:rsid w:val="005614A6"/>
    <w:rsid w:val="00561672"/>
    <w:rsid w:val="00564620"/>
    <w:rsid w:val="00565252"/>
    <w:rsid w:val="0056696F"/>
    <w:rsid w:val="005671F0"/>
    <w:rsid w:val="0056729C"/>
    <w:rsid w:val="00567984"/>
    <w:rsid w:val="00567B1B"/>
    <w:rsid w:val="00571F96"/>
    <w:rsid w:val="00571FCB"/>
    <w:rsid w:val="005723C8"/>
    <w:rsid w:val="00572F51"/>
    <w:rsid w:val="005740FA"/>
    <w:rsid w:val="00575D8D"/>
    <w:rsid w:val="00576972"/>
    <w:rsid w:val="00576AE6"/>
    <w:rsid w:val="005774AE"/>
    <w:rsid w:val="005774F6"/>
    <w:rsid w:val="00577EBB"/>
    <w:rsid w:val="005814B4"/>
    <w:rsid w:val="00582445"/>
    <w:rsid w:val="00583699"/>
    <w:rsid w:val="005852D4"/>
    <w:rsid w:val="00591B3F"/>
    <w:rsid w:val="005927A5"/>
    <w:rsid w:val="005929A6"/>
    <w:rsid w:val="00595674"/>
    <w:rsid w:val="00597322"/>
    <w:rsid w:val="00597449"/>
    <w:rsid w:val="0059752B"/>
    <w:rsid w:val="005A035E"/>
    <w:rsid w:val="005A0733"/>
    <w:rsid w:val="005A0BFB"/>
    <w:rsid w:val="005A1ECD"/>
    <w:rsid w:val="005A26C9"/>
    <w:rsid w:val="005A2E77"/>
    <w:rsid w:val="005A46DB"/>
    <w:rsid w:val="005A5729"/>
    <w:rsid w:val="005A5FE6"/>
    <w:rsid w:val="005B156C"/>
    <w:rsid w:val="005B1EC8"/>
    <w:rsid w:val="005B3BEA"/>
    <w:rsid w:val="005B3F40"/>
    <w:rsid w:val="005B4B80"/>
    <w:rsid w:val="005B4CD1"/>
    <w:rsid w:val="005B5852"/>
    <w:rsid w:val="005B5857"/>
    <w:rsid w:val="005B6531"/>
    <w:rsid w:val="005C0586"/>
    <w:rsid w:val="005C0A86"/>
    <w:rsid w:val="005C1655"/>
    <w:rsid w:val="005C1B83"/>
    <w:rsid w:val="005C1E46"/>
    <w:rsid w:val="005C226C"/>
    <w:rsid w:val="005C346B"/>
    <w:rsid w:val="005C4193"/>
    <w:rsid w:val="005C4D0B"/>
    <w:rsid w:val="005C5F46"/>
    <w:rsid w:val="005C6384"/>
    <w:rsid w:val="005C6EA4"/>
    <w:rsid w:val="005D044D"/>
    <w:rsid w:val="005D10F2"/>
    <w:rsid w:val="005D18AD"/>
    <w:rsid w:val="005D206D"/>
    <w:rsid w:val="005D5895"/>
    <w:rsid w:val="005D7171"/>
    <w:rsid w:val="005D7F4B"/>
    <w:rsid w:val="005E0496"/>
    <w:rsid w:val="005E0E97"/>
    <w:rsid w:val="005E18AE"/>
    <w:rsid w:val="005E731B"/>
    <w:rsid w:val="005E73C0"/>
    <w:rsid w:val="005E7C96"/>
    <w:rsid w:val="005F1A22"/>
    <w:rsid w:val="005F2706"/>
    <w:rsid w:val="005F310D"/>
    <w:rsid w:val="005F53A6"/>
    <w:rsid w:val="005F5669"/>
    <w:rsid w:val="005F5B00"/>
    <w:rsid w:val="005F6A8F"/>
    <w:rsid w:val="005F767A"/>
    <w:rsid w:val="005F767F"/>
    <w:rsid w:val="005F7E45"/>
    <w:rsid w:val="006000D9"/>
    <w:rsid w:val="0060030B"/>
    <w:rsid w:val="00600D7B"/>
    <w:rsid w:val="00602BB3"/>
    <w:rsid w:val="006038B4"/>
    <w:rsid w:val="0060497F"/>
    <w:rsid w:val="0060707F"/>
    <w:rsid w:val="00607669"/>
    <w:rsid w:val="00610F4E"/>
    <w:rsid w:val="0061175D"/>
    <w:rsid w:val="00612F97"/>
    <w:rsid w:val="00614647"/>
    <w:rsid w:val="00615603"/>
    <w:rsid w:val="00615DD5"/>
    <w:rsid w:val="00616802"/>
    <w:rsid w:val="00617E12"/>
    <w:rsid w:val="00620F33"/>
    <w:rsid w:val="00621477"/>
    <w:rsid w:val="006237E1"/>
    <w:rsid w:val="00623BE1"/>
    <w:rsid w:val="00623CA2"/>
    <w:rsid w:val="00625623"/>
    <w:rsid w:val="006267A9"/>
    <w:rsid w:val="00626FF6"/>
    <w:rsid w:val="006270BF"/>
    <w:rsid w:val="006316B7"/>
    <w:rsid w:val="00631CA4"/>
    <w:rsid w:val="00631D6B"/>
    <w:rsid w:val="0063304E"/>
    <w:rsid w:val="00633488"/>
    <w:rsid w:val="0063358C"/>
    <w:rsid w:val="00633864"/>
    <w:rsid w:val="0063479F"/>
    <w:rsid w:val="00635A07"/>
    <w:rsid w:val="006364A1"/>
    <w:rsid w:val="00636522"/>
    <w:rsid w:val="00637BFD"/>
    <w:rsid w:val="00637E97"/>
    <w:rsid w:val="00640A51"/>
    <w:rsid w:val="00641AE9"/>
    <w:rsid w:val="00642893"/>
    <w:rsid w:val="00642F35"/>
    <w:rsid w:val="006440FD"/>
    <w:rsid w:val="00645128"/>
    <w:rsid w:val="00645476"/>
    <w:rsid w:val="00645609"/>
    <w:rsid w:val="00646A5A"/>
    <w:rsid w:val="00646C6C"/>
    <w:rsid w:val="006471CC"/>
    <w:rsid w:val="0065079F"/>
    <w:rsid w:val="00651686"/>
    <w:rsid w:val="006534AC"/>
    <w:rsid w:val="00653FE3"/>
    <w:rsid w:val="0065439A"/>
    <w:rsid w:val="00654FB1"/>
    <w:rsid w:val="00657219"/>
    <w:rsid w:val="00657BCE"/>
    <w:rsid w:val="006603DD"/>
    <w:rsid w:val="006607C0"/>
    <w:rsid w:val="00660D26"/>
    <w:rsid w:val="00662940"/>
    <w:rsid w:val="00665287"/>
    <w:rsid w:val="00666FB6"/>
    <w:rsid w:val="006675E8"/>
    <w:rsid w:val="00671B37"/>
    <w:rsid w:val="00672560"/>
    <w:rsid w:val="00672965"/>
    <w:rsid w:val="00674E42"/>
    <w:rsid w:val="006802C9"/>
    <w:rsid w:val="00681B3A"/>
    <w:rsid w:val="00681FE4"/>
    <w:rsid w:val="00682112"/>
    <w:rsid w:val="00683170"/>
    <w:rsid w:val="006841A7"/>
    <w:rsid w:val="00684F5E"/>
    <w:rsid w:val="006856F9"/>
    <w:rsid w:val="00686B88"/>
    <w:rsid w:val="00686F8E"/>
    <w:rsid w:val="006872BA"/>
    <w:rsid w:val="006877DE"/>
    <w:rsid w:val="006917D7"/>
    <w:rsid w:val="00692D94"/>
    <w:rsid w:val="0069346C"/>
    <w:rsid w:val="00693B49"/>
    <w:rsid w:val="00694F44"/>
    <w:rsid w:val="0069662C"/>
    <w:rsid w:val="00696B52"/>
    <w:rsid w:val="00696FB9"/>
    <w:rsid w:val="00697955"/>
    <w:rsid w:val="006A17C5"/>
    <w:rsid w:val="006A326A"/>
    <w:rsid w:val="006A36EB"/>
    <w:rsid w:val="006A3DBC"/>
    <w:rsid w:val="006A4B3F"/>
    <w:rsid w:val="006A5930"/>
    <w:rsid w:val="006A5F8D"/>
    <w:rsid w:val="006A6514"/>
    <w:rsid w:val="006A7384"/>
    <w:rsid w:val="006B0173"/>
    <w:rsid w:val="006B3561"/>
    <w:rsid w:val="006B35D0"/>
    <w:rsid w:val="006B56B0"/>
    <w:rsid w:val="006B7350"/>
    <w:rsid w:val="006C0685"/>
    <w:rsid w:val="006C07F6"/>
    <w:rsid w:val="006C0B0C"/>
    <w:rsid w:val="006C16AD"/>
    <w:rsid w:val="006C1BF0"/>
    <w:rsid w:val="006C2680"/>
    <w:rsid w:val="006C2A8E"/>
    <w:rsid w:val="006C372E"/>
    <w:rsid w:val="006C41B9"/>
    <w:rsid w:val="006C41C9"/>
    <w:rsid w:val="006C5CFD"/>
    <w:rsid w:val="006C66A9"/>
    <w:rsid w:val="006C74A8"/>
    <w:rsid w:val="006C7938"/>
    <w:rsid w:val="006D0584"/>
    <w:rsid w:val="006D1832"/>
    <w:rsid w:val="006D19B4"/>
    <w:rsid w:val="006D296F"/>
    <w:rsid w:val="006D3C7D"/>
    <w:rsid w:val="006D5D5F"/>
    <w:rsid w:val="006D6A1C"/>
    <w:rsid w:val="006D7FFB"/>
    <w:rsid w:val="006E6F48"/>
    <w:rsid w:val="006F0598"/>
    <w:rsid w:val="006F2F48"/>
    <w:rsid w:val="006F3F57"/>
    <w:rsid w:val="006F3FD2"/>
    <w:rsid w:val="006F4112"/>
    <w:rsid w:val="006F442C"/>
    <w:rsid w:val="006F4C3E"/>
    <w:rsid w:val="006F63A5"/>
    <w:rsid w:val="006F668C"/>
    <w:rsid w:val="007003FF"/>
    <w:rsid w:val="00701B84"/>
    <w:rsid w:val="0070276E"/>
    <w:rsid w:val="00702F8F"/>
    <w:rsid w:val="0070387F"/>
    <w:rsid w:val="00703C79"/>
    <w:rsid w:val="00704716"/>
    <w:rsid w:val="0070656D"/>
    <w:rsid w:val="00710402"/>
    <w:rsid w:val="007119B2"/>
    <w:rsid w:val="00711A36"/>
    <w:rsid w:val="00711E11"/>
    <w:rsid w:val="0071285C"/>
    <w:rsid w:val="00712F76"/>
    <w:rsid w:val="0071385E"/>
    <w:rsid w:val="00713BD2"/>
    <w:rsid w:val="00713DC1"/>
    <w:rsid w:val="0071569A"/>
    <w:rsid w:val="007170FE"/>
    <w:rsid w:val="007172AD"/>
    <w:rsid w:val="00720E0C"/>
    <w:rsid w:val="00722A88"/>
    <w:rsid w:val="007239BA"/>
    <w:rsid w:val="0072416F"/>
    <w:rsid w:val="00724ABB"/>
    <w:rsid w:val="00724C1B"/>
    <w:rsid w:val="0072562A"/>
    <w:rsid w:val="00725DB7"/>
    <w:rsid w:val="00727CC5"/>
    <w:rsid w:val="00730065"/>
    <w:rsid w:val="007303F1"/>
    <w:rsid w:val="00730E05"/>
    <w:rsid w:val="00733BA8"/>
    <w:rsid w:val="00734EBB"/>
    <w:rsid w:val="00735328"/>
    <w:rsid w:val="00735436"/>
    <w:rsid w:val="007354EC"/>
    <w:rsid w:val="00735623"/>
    <w:rsid w:val="00735CC6"/>
    <w:rsid w:val="0073685B"/>
    <w:rsid w:val="0073716D"/>
    <w:rsid w:val="00737F4F"/>
    <w:rsid w:val="00741322"/>
    <w:rsid w:val="00742EE5"/>
    <w:rsid w:val="007451B4"/>
    <w:rsid w:val="00745E02"/>
    <w:rsid w:val="00747208"/>
    <w:rsid w:val="007523C9"/>
    <w:rsid w:val="00752901"/>
    <w:rsid w:val="007533DB"/>
    <w:rsid w:val="00753481"/>
    <w:rsid w:val="00753A04"/>
    <w:rsid w:val="00756D6D"/>
    <w:rsid w:val="00757AE0"/>
    <w:rsid w:val="0076076F"/>
    <w:rsid w:val="00760D6F"/>
    <w:rsid w:val="007613D4"/>
    <w:rsid w:val="0076248C"/>
    <w:rsid w:val="007641E3"/>
    <w:rsid w:val="007648C8"/>
    <w:rsid w:val="00770E4D"/>
    <w:rsid w:val="0077142E"/>
    <w:rsid w:val="00771534"/>
    <w:rsid w:val="007759CF"/>
    <w:rsid w:val="00776453"/>
    <w:rsid w:val="00776736"/>
    <w:rsid w:val="00776B69"/>
    <w:rsid w:val="00776CC2"/>
    <w:rsid w:val="00781ED5"/>
    <w:rsid w:val="00782ECC"/>
    <w:rsid w:val="007836D5"/>
    <w:rsid w:val="0078678D"/>
    <w:rsid w:val="00786868"/>
    <w:rsid w:val="00786F12"/>
    <w:rsid w:val="007872BB"/>
    <w:rsid w:val="007900B0"/>
    <w:rsid w:val="0079050A"/>
    <w:rsid w:val="0079274C"/>
    <w:rsid w:val="007936C7"/>
    <w:rsid w:val="00794BC2"/>
    <w:rsid w:val="00794BFE"/>
    <w:rsid w:val="00795525"/>
    <w:rsid w:val="00797360"/>
    <w:rsid w:val="007A0029"/>
    <w:rsid w:val="007A0A12"/>
    <w:rsid w:val="007A2174"/>
    <w:rsid w:val="007A454F"/>
    <w:rsid w:val="007A61D9"/>
    <w:rsid w:val="007B0959"/>
    <w:rsid w:val="007B0AE2"/>
    <w:rsid w:val="007B1E84"/>
    <w:rsid w:val="007B251D"/>
    <w:rsid w:val="007B3C30"/>
    <w:rsid w:val="007B43B1"/>
    <w:rsid w:val="007B7634"/>
    <w:rsid w:val="007B7669"/>
    <w:rsid w:val="007B77D1"/>
    <w:rsid w:val="007C08E6"/>
    <w:rsid w:val="007C1D10"/>
    <w:rsid w:val="007C2394"/>
    <w:rsid w:val="007C361D"/>
    <w:rsid w:val="007C3E9E"/>
    <w:rsid w:val="007C4DC2"/>
    <w:rsid w:val="007C5B14"/>
    <w:rsid w:val="007C5BFF"/>
    <w:rsid w:val="007C673B"/>
    <w:rsid w:val="007D0B38"/>
    <w:rsid w:val="007D1425"/>
    <w:rsid w:val="007D1507"/>
    <w:rsid w:val="007D164E"/>
    <w:rsid w:val="007D1A69"/>
    <w:rsid w:val="007D2E2F"/>
    <w:rsid w:val="007D596A"/>
    <w:rsid w:val="007D68E6"/>
    <w:rsid w:val="007D6C85"/>
    <w:rsid w:val="007D6DD1"/>
    <w:rsid w:val="007D74BB"/>
    <w:rsid w:val="007E11D7"/>
    <w:rsid w:val="007E1209"/>
    <w:rsid w:val="007E1B54"/>
    <w:rsid w:val="007E1D8A"/>
    <w:rsid w:val="007E2DF7"/>
    <w:rsid w:val="007E4C1B"/>
    <w:rsid w:val="007E6025"/>
    <w:rsid w:val="007E70B2"/>
    <w:rsid w:val="007E7111"/>
    <w:rsid w:val="007F0B1E"/>
    <w:rsid w:val="007F1017"/>
    <w:rsid w:val="007F1B70"/>
    <w:rsid w:val="007F2704"/>
    <w:rsid w:val="007F4A3F"/>
    <w:rsid w:val="007F4C8B"/>
    <w:rsid w:val="007F5B53"/>
    <w:rsid w:val="007F6260"/>
    <w:rsid w:val="007F733D"/>
    <w:rsid w:val="007F7AB3"/>
    <w:rsid w:val="00803559"/>
    <w:rsid w:val="00803D04"/>
    <w:rsid w:val="00805142"/>
    <w:rsid w:val="0080592E"/>
    <w:rsid w:val="00806BD9"/>
    <w:rsid w:val="00807157"/>
    <w:rsid w:val="00807619"/>
    <w:rsid w:val="00807A8B"/>
    <w:rsid w:val="008115B8"/>
    <w:rsid w:val="008117AF"/>
    <w:rsid w:val="00811DBF"/>
    <w:rsid w:val="00812149"/>
    <w:rsid w:val="00814A00"/>
    <w:rsid w:val="008166EF"/>
    <w:rsid w:val="00817B6F"/>
    <w:rsid w:val="00822499"/>
    <w:rsid w:val="00822B0D"/>
    <w:rsid w:val="008235ED"/>
    <w:rsid w:val="008264EB"/>
    <w:rsid w:val="008265E6"/>
    <w:rsid w:val="008266CB"/>
    <w:rsid w:val="008303AC"/>
    <w:rsid w:val="0083087A"/>
    <w:rsid w:val="008308C4"/>
    <w:rsid w:val="0083173B"/>
    <w:rsid w:val="0083198B"/>
    <w:rsid w:val="008319FE"/>
    <w:rsid w:val="00831BC1"/>
    <w:rsid w:val="0083216F"/>
    <w:rsid w:val="00832D89"/>
    <w:rsid w:val="00833B05"/>
    <w:rsid w:val="008401AF"/>
    <w:rsid w:val="00840400"/>
    <w:rsid w:val="00840427"/>
    <w:rsid w:val="00840CA2"/>
    <w:rsid w:val="0084259B"/>
    <w:rsid w:val="008437F7"/>
    <w:rsid w:val="0084398E"/>
    <w:rsid w:val="008443D4"/>
    <w:rsid w:val="00844865"/>
    <w:rsid w:val="0084541F"/>
    <w:rsid w:val="008473B5"/>
    <w:rsid w:val="008516D4"/>
    <w:rsid w:val="0085215E"/>
    <w:rsid w:val="008526F4"/>
    <w:rsid w:val="008544D2"/>
    <w:rsid w:val="00854508"/>
    <w:rsid w:val="008549C2"/>
    <w:rsid w:val="00854B6C"/>
    <w:rsid w:val="00855C5C"/>
    <w:rsid w:val="00856E9A"/>
    <w:rsid w:val="008603AA"/>
    <w:rsid w:val="00861065"/>
    <w:rsid w:val="00862502"/>
    <w:rsid w:val="0086293C"/>
    <w:rsid w:val="00863DDA"/>
    <w:rsid w:val="00864FB1"/>
    <w:rsid w:val="00872B4E"/>
    <w:rsid w:val="008743C7"/>
    <w:rsid w:val="0087599E"/>
    <w:rsid w:val="00880AC4"/>
    <w:rsid w:val="00880DAE"/>
    <w:rsid w:val="00882874"/>
    <w:rsid w:val="008834D8"/>
    <w:rsid w:val="00883787"/>
    <w:rsid w:val="00883929"/>
    <w:rsid w:val="00883E6B"/>
    <w:rsid w:val="0088418F"/>
    <w:rsid w:val="00884E99"/>
    <w:rsid w:val="00886993"/>
    <w:rsid w:val="00886CCE"/>
    <w:rsid w:val="0088714C"/>
    <w:rsid w:val="00887376"/>
    <w:rsid w:val="00890D70"/>
    <w:rsid w:val="00892059"/>
    <w:rsid w:val="00892AB2"/>
    <w:rsid w:val="00893539"/>
    <w:rsid w:val="00894489"/>
    <w:rsid w:val="008957E2"/>
    <w:rsid w:val="008963A5"/>
    <w:rsid w:val="00896B57"/>
    <w:rsid w:val="008A1D86"/>
    <w:rsid w:val="008A2084"/>
    <w:rsid w:val="008A22B5"/>
    <w:rsid w:val="008A3572"/>
    <w:rsid w:val="008A3C3E"/>
    <w:rsid w:val="008A3C5C"/>
    <w:rsid w:val="008A4538"/>
    <w:rsid w:val="008A4BA3"/>
    <w:rsid w:val="008A4C80"/>
    <w:rsid w:val="008A4D82"/>
    <w:rsid w:val="008A4E12"/>
    <w:rsid w:val="008A79DE"/>
    <w:rsid w:val="008A7E88"/>
    <w:rsid w:val="008B017B"/>
    <w:rsid w:val="008B244C"/>
    <w:rsid w:val="008B540E"/>
    <w:rsid w:val="008B5AD8"/>
    <w:rsid w:val="008B7BCF"/>
    <w:rsid w:val="008B7D7E"/>
    <w:rsid w:val="008C0D8E"/>
    <w:rsid w:val="008C1866"/>
    <w:rsid w:val="008C2EA7"/>
    <w:rsid w:val="008C5B6B"/>
    <w:rsid w:val="008C5C79"/>
    <w:rsid w:val="008C6693"/>
    <w:rsid w:val="008C717C"/>
    <w:rsid w:val="008C7ECB"/>
    <w:rsid w:val="008D0351"/>
    <w:rsid w:val="008D0420"/>
    <w:rsid w:val="008D0A74"/>
    <w:rsid w:val="008D12D6"/>
    <w:rsid w:val="008D2483"/>
    <w:rsid w:val="008D4656"/>
    <w:rsid w:val="008D5478"/>
    <w:rsid w:val="008D5506"/>
    <w:rsid w:val="008D5609"/>
    <w:rsid w:val="008D5E83"/>
    <w:rsid w:val="008D65FC"/>
    <w:rsid w:val="008D75C7"/>
    <w:rsid w:val="008E040D"/>
    <w:rsid w:val="008E0853"/>
    <w:rsid w:val="008E08F8"/>
    <w:rsid w:val="008E1B9E"/>
    <w:rsid w:val="008E4384"/>
    <w:rsid w:val="008E4E21"/>
    <w:rsid w:val="008E54E4"/>
    <w:rsid w:val="008E5920"/>
    <w:rsid w:val="008E59E1"/>
    <w:rsid w:val="008E5BF5"/>
    <w:rsid w:val="008E7A55"/>
    <w:rsid w:val="008F0A11"/>
    <w:rsid w:val="008F120A"/>
    <w:rsid w:val="008F2C04"/>
    <w:rsid w:val="008F2CEB"/>
    <w:rsid w:val="008F3F6A"/>
    <w:rsid w:val="008F48EB"/>
    <w:rsid w:val="008F4F0B"/>
    <w:rsid w:val="008F5407"/>
    <w:rsid w:val="008F78C0"/>
    <w:rsid w:val="008F7966"/>
    <w:rsid w:val="009005C5"/>
    <w:rsid w:val="00900C0D"/>
    <w:rsid w:val="0090124F"/>
    <w:rsid w:val="009031AC"/>
    <w:rsid w:val="00903832"/>
    <w:rsid w:val="00903F59"/>
    <w:rsid w:val="009042F7"/>
    <w:rsid w:val="00904B47"/>
    <w:rsid w:val="0090586A"/>
    <w:rsid w:val="00905CA5"/>
    <w:rsid w:val="009062A5"/>
    <w:rsid w:val="00910877"/>
    <w:rsid w:val="00911272"/>
    <w:rsid w:val="00911D09"/>
    <w:rsid w:val="00912826"/>
    <w:rsid w:val="00913335"/>
    <w:rsid w:val="0091551E"/>
    <w:rsid w:val="00916833"/>
    <w:rsid w:val="00916BEA"/>
    <w:rsid w:val="0091734A"/>
    <w:rsid w:val="00917AE8"/>
    <w:rsid w:val="009213AB"/>
    <w:rsid w:val="00922DB0"/>
    <w:rsid w:val="00923D02"/>
    <w:rsid w:val="009248AB"/>
    <w:rsid w:val="0092532D"/>
    <w:rsid w:val="00931076"/>
    <w:rsid w:val="0093128E"/>
    <w:rsid w:val="00932A94"/>
    <w:rsid w:val="00933391"/>
    <w:rsid w:val="009338D4"/>
    <w:rsid w:val="00933B98"/>
    <w:rsid w:val="0093462E"/>
    <w:rsid w:val="00934BDA"/>
    <w:rsid w:val="00935F21"/>
    <w:rsid w:val="0093751B"/>
    <w:rsid w:val="009418AF"/>
    <w:rsid w:val="00941D31"/>
    <w:rsid w:val="009426A4"/>
    <w:rsid w:val="009433CB"/>
    <w:rsid w:val="0094583B"/>
    <w:rsid w:val="009459EE"/>
    <w:rsid w:val="00946EA5"/>
    <w:rsid w:val="00947C9E"/>
    <w:rsid w:val="00947D7B"/>
    <w:rsid w:val="0095082A"/>
    <w:rsid w:val="00950A32"/>
    <w:rsid w:val="00960CD1"/>
    <w:rsid w:val="00961A95"/>
    <w:rsid w:val="00961AB4"/>
    <w:rsid w:val="00961D61"/>
    <w:rsid w:val="00962869"/>
    <w:rsid w:val="00962CB9"/>
    <w:rsid w:val="00962F69"/>
    <w:rsid w:val="00963522"/>
    <w:rsid w:val="00964312"/>
    <w:rsid w:val="00964E3A"/>
    <w:rsid w:val="00965610"/>
    <w:rsid w:val="00966488"/>
    <w:rsid w:val="00967DF5"/>
    <w:rsid w:val="00970447"/>
    <w:rsid w:val="009705BD"/>
    <w:rsid w:val="00970A1A"/>
    <w:rsid w:val="00971676"/>
    <w:rsid w:val="00971E22"/>
    <w:rsid w:val="00971EA1"/>
    <w:rsid w:val="00973DB8"/>
    <w:rsid w:val="0097534E"/>
    <w:rsid w:val="009773B7"/>
    <w:rsid w:val="0097786F"/>
    <w:rsid w:val="00980D78"/>
    <w:rsid w:val="0098137D"/>
    <w:rsid w:val="00981B7A"/>
    <w:rsid w:val="009835A6"/>
    <w:rsid w:val="00983816"/>
    <w:rsid w:val="00983E57"/>
    <w:rsid w:val="009840E8"/>
    <w:rsid w:val="00984FB5"/>
    <w:rsid w:val="00985D10"/>
    <w:rsid w:val="00990287"/>
    <w:rsid w:val="00991181"/>
    <w:rsid w:val="0099354A"/>
    <w:rsid w:val="009937A4"/>
    <w:rsid w:val="00993E4D"/>
    <w:rsid w:val="0099527A"/>
    <w:rsid w:val="00996B1A"/>
    <w:rsid w:val="009A07DB"/>
    <w:rsid w:val="009A08E8"/>
    <w:rsid w:val="009A1B8B"/>
    <w:rsid w:val="009A3AD6"/>
    <w:rsid w:val="009A4496"/>
    <w:rsid w:val="009A511D"/>
    <w:rsid w:val="009A55D2"/>
    <w:rsid w:val="009A64EB"/>
    <w:rsid w:val="009B03AA"/>
    <w:rsid w:val="009B0A25"/>
    <w:rsid w:val="009B3E26"/>
    <w:rsid w:val="009B3F51"/>
    <w:rsid w:val="009B511C"/>
    <w:rsid w:val="009B7C36"/>
    <w:rsid w:val="009C09EE"/>
    <w:rsid w:val="009C1B6A"/>
    <w:rsid w:val="009C2D7A"/>
    <w:rsid w:val="009C3471"/>
    <w:rsid w:val="009C4D63"/>
    <w:rsid w:val="009C4F09"/>
    <w:rsid w:val="009C505A"/>
    <w:rsid w:val="009C5E8D"/>
    <w:rsid w:val="009C63D3"/>
    <w:rsid w:val="009C689D"/>
    <w:rsid w:val="009C6C74"/>
    <w:rsid w:val="009C7E16"/>
    <w:rsid w:val="009D2734"/>
    <w:rsid w:val="009D27D7"/>
    <w:rsid w:val="009D284F"/>
    <w:rsid w:val="009D333D"/>
    <w:rsid w:val="009D3528"/>
    <w:rsid w:val="009D3999"/>
    <w:rsid w:val="009D55A9"/>
    <w:rsid w:val="009D5B91"/>
    <w:rsid w:val="009D7BA4"/>
    <w:rsid w:val="009E04B2"/>
    <w:rsid w:val="009E19EA"/>
    <w:rsid w:val="009E1D2C"/>
    <w:rsid w:val="009E3C8B"/>
    <w:rsid w:val="009E4C07"/>
    <w:rsid w:val="009E6C15"/>
    <w:rsid w:val="009E7CDD"/>
    <w:rsid w:val="009F0455"/>
    <w:rsid w:val="009F0705"/>
    <w:rsid w:val="009F0C9C"/>
    <w:rsid w:val="009F2BFB"/>
    <w:rsid w:val="009F2FF8"/>
    <w:rsid w:val="009F3217"/>
    <w:rsid w:val="009F4B3E"/>
    <w:rsid w:val="009F52F2"/>
    <w:rsid w:val="009F5A1A"/>
    <w:rsid w:val="009F6E76"/>
    <w:rsid w:val="009F77FF"/>
    <w:rsid w:val="00A000BB"/>
    <w:rsid w:val="00A01CD9"/>
    <w:rsid w:val="00A03B5A"/>
    <w:rsid w:val="00A03D43"/>
    <w:rsid w:val="00A04380"/>
    <w:rsid w:val="00A067D7"/>
    <w:rsid w:val="00A07254"/>
    <w:rsid w:val="00A07A87"/>
    <w:rsid w:val="00A07B30"/>
    <w:rsid w:val="00A107AD"/>
    <w:rsid w:val="00A117E9"/>
    <w:rsid w:val="00A11829"/>
    <w:rsid w:val="00A12B39"/>
    <w:rsid w:val="00A12E9D"/>
    <w:rsid w:val="00A13484"/>
    <w:rsid w:val="00A137DE"/>
    <w:rsid w:val="00A13948"/>
    <w:rsid w:val="00A14ABB"/>
    <w:rsid w:val="00A14DB6"/>
    <w:rsid w:val="00A1533B"/>
    <w:rsid w:val="00A16895"/>
    <w:rsid w:val="00A17DA3"/>
    <w:rsid w:val="00A205EF"/>
    <w:rsid w:val="00A223C5"/>
    <w:rsid w:val="00A23FB7"/>
    <w:rsid w:val="00A24658"/>
    <w:rsid w:val="00A24BA1"/>
    <w:rsid w:val="00A24BF0"/>
    <w:rsid w:val="00A24D11"/>
    <w:rsid w:val="00A25CE5"/>
    <w:rsid w:val="00A2704A"/>
    <w:rsid w:val="00A27505"/>
    <w:rsid w:val="00A27AEC"/>
    <w:rsid w:val="00A30E1D"/>
    <w:rsid w:val="00A3146D"/>
    <w:rsid w:val="00A31D44"/>
    <w:rsid w:val="00A34B5D"/>
    <w:rsid w:val="00A34E63"/>
    <w:rsid w:val="00A35D16"/>
    <w:rsid w:val="00A36162"/>
    <w:rsid w:val="00A376F3"/>
    <w:rsid w:val="00A420C7"/>
    <w:rsid w:val="00A42738"/>
    <w:rsid w:val="00A43C59"/>
    <w:rsid w:val="00A44591"/>
    <w:rsid w:val="00A4506E"/>
    <w:rsid w:val="00A4606A"/>
    <w:rsid w:val="00A463A1"/>
    <w:rsid w:val="00A464B3"/>
    <w:rsid w:val="00A50C9D"/>
    <w:rsid w:val="00A50ECD"/>
    <w:rsid w:val="00A51E9E"/>
    <w:rsid w:val="00A51EAA"/>
    <w:rsid w:val="00A52729"/>
    <w:rsid w:val="00A52C10"/>
    <w:rsid w:val="00A53062"/>
    <w:rsid w:val="00A53433"/>
    <w:rsid w:val="00A53675"/>
    <w:rsid w:val="00A54708"/>
    <w:rsid w:val="00A547BD"/>
    <w:rsid w:val="00A54978"/>
    <w:rsid w:val="00A54EE1"/>
    <w:rsid w:val="00A55FB9"/>
    <w:rsid w:val="00A56B6A"/>
    <w:rsid w:val="00A570A1"/>
    <w:rsid w:val="00A578DC"/>
    <w:rsid w:val="00A57ACC"/>
    <w:rsid w:val="00A57B23"/>
    <w:rsid w:val="00A61BCD"/>
    <w:rsid w:val="00A62108"/>
    <w:rsid w:val="00A623A3"/>
    <w:rsid w:val="00A62724"/>
    <w:rsid w:val="00A64C31"/>
    <w:rsid w:val="00A655E3"/>
    <w:rsid w:val="00A65C6F"/>
    <w:rsid w:val="00A65D35"/>
    <w:rsid w:val="00A6725B"/>
    <w:rsid w:val="00A7147C"/>
    <w:rsid w:val="00A725DC"/>
    <w:rsid w:val="00A72D59"/>
    <w:rsid w:val="00A73427"/>
    <w:rsid w:val="00A750A1"/>
    <w:rsid w:val="00A80857"/>
    <w:rsid w:val="00A814C6"/>
    <w:rsid w:val="00A82C4B"/>
    <w:rsid w:val="00A82C81"/>
    <w:rsid w:val="00A83AB6"/>
    <w:rsid w:val="00A83BFB"/>
    <w:rsid w:val="00A86634"/>
    <w:rsid w:val="00A86E8B"/>
    <w:rsid w:val="00A90D4E"/>
    <w:rsid w:val="00A910E1"/>
    <w:rsid w:val="00A91F49"/>
    <w:rsid w:val="00A9269F"/>
    <w:rsid w:val="00A9271D"/>
    <w:rsid w:val="00A93072"/>
    <w:rsid w:val="00A932E3"/>
    <w:rsid w:val="00A94096"/>
    <w:rsid w:val="00A940AC"/>
    <w:rsid w:val="00A94783"/>
    <w:rsid w:val="00A94899"/>
    <w:rsid w:val="00A94A22"/>
    <w:rsid w:val="00A959D8"/>
    <w:rsid w:val="00A95B21"/>
    <w:rsid w:val="00A96339"/>
    <w:rsid w:val="00A9686E"/>
    <w:rsid w:val="00A97706"/>
    <w:rsid w:val="00A97B6E"/>
    <w:rsid w:val="00AA0312"/>
    <w:rsid w:val="00AA08B7"/>
    <w:rsid w:val="00AA0904"/>
    <w:rsid w:val="00AA0C08"/>
    <w:rsid w:val="00AA21E2"/>
    <w:rsid w:val="00AA2626"/>
    <w:rsid w:val="00AA3AAA"/>
    <w:rsid w:val="00AA3BB6"/>
    <w:rsid w:val="00AA5430"/>
    <w:rsid w:val="00AA631E"/>
    <w:rsid w:val="00AB042A"/>
    <w:rsid w:val="00AB06F6"/>
    <w:rsid w:val="00AB0AD7"/>
    <w:rsid w:val="00AB2D34"/>
    <w:rsid w:val="00AB3430"/>
    <w:rsid w:val="00AB3F87"/>
    <w:rsid w:val="00AB492D"/>
    <w:rsid w:val="00AB4A0C"/>
    <w:rsid w:val="00AB5B1A"/>
    <w:rsid w:val="00AB5E48"/>
    <w:rsid w:val="00AB634F"/>
    <w:rsid w:val="00AB7CFA"/>
    <w:rsid w:val="00AC1DEF"/>
    <w:rsid w:val="00AC2252"/>
    <w:rsid w:val="00AC30F3"/>
    <w:rsid w:val="00AC4E60"/>
    <w:rsid w:val="00AC601D"/>
    <w:rsid w:val="00AC7A6D"/>
    <w:rsid w:val="00AD0171"/>
    <w:rsid w:val="00AD1FD3"/>
    <w:rsid w:val="00AD44E2"/>
    <w:rsid w:val="00AD59EF"/>
    <w:rsid w:val="00AD5FB0"/>
    <w:rsid w:val="00AD6657"/>
    <w:rsid w:val="00AD6E3B"/>
    <w:rsid w:val="00AE08BE"/>
    <w:rsid w:val="00AE0A68"/>
    <w:rsid w:val="00AE179D"/>
    <w:rsid w:val="00AE34CF"/>
    <w:rsid w:val="00AE4438"/>
    <w:rsid w:val="00AE46BB"/>
    <w:rsid w:val="00AE4C59"/>
    <w:rsid w:val="00AE59AA"/>
    <w:rsid w:val="00AE5C64"/>
    <w:rsid w:val="00AE6EA1"/>
    <w:rsid w:val="00AE7F16"/>
    <w:rsid w:val="00AF4283"/>
    <w:rsid w:val="00AF5914"/>
    <w:rsid w:val="00AF6D21"/>
    <w:rsid w:val="00AF702E"/>
    <w:rsid w:val="00AF7EE6"/>
    <w:rsid w:val="00B0030D"/>
    <w:rsid w:val="00B00C80"/>
    <w:rsid w:val="00B00C88"/>
    <w:rsid w:val="00B00CCC"/>
    <w:rsid w:val="00B01B61"/>
    <w:rsid w:val="00B021BA"/>
    <w:rsid w:val="00B03C49"/>
    <w:rsid w:val="00B046B7"/>
    <w:rsid w:val="00B04782"/>
    <w:rsid w:val="00B1079F"/>
    <w:rsid w:val="00B11D57"/>
    <w:rsid w:val="00B132A1"/>
    <w:rsid w:val="00B14A1A"/>
    <w:rsid w:val="00B15B7D"/>
    <w:rsid w:val="00B166FB"/>
    <w:rsid w:val="00B17333"/>
    <w:rsid w:val="00B20A19"/>
    <w:rsid w:val="00B21B2E"/>
    <w:rsid w:val="00B22E90"/>
    <w:rsid w:val="00B22F95"/>
    <w:rsid w:val="00B23667"/>
    <w:rsid w:val="00B24EA4"/>
    <w:rsid w:val="00B250C3"/>
    <w:rsid w:val="00B2571A"/>
    <w:rsid w:val="00B26302"/>
    <w:rsid w:val="00B263D3"/>
    <w:rsid w:val="00B27095"/>
    <w:rsid w:val="00B30969"/>
    <w:rsid w:val="00B31A0E"/>
    <w:rsid w:val="00B3359E"/>
    <w:rsid w:val="00B34766"/>
    <w:rsid w:val="00B36090"/>
    <w:rsid w:val="00B36773"/>
    <w:rsid w:val="00B40743"/>
    <w:rsid w:val="00B40A6E"/>
    <w:rsid w:val="00B40DC3"/>
    <w:rsid w:val="00B421F6"/>
    <w:rsid w:val="00B42851"/>
    <w:rsid w:val="00B42B2D"/>
    <w:rsid w:val="00B42EC7"/>
    <w:rsid w:val="00B4489E"/>
    <w:rsid w:val="00B465A4"/>
    <w:rsid w:val="00B465C0"/>
    <w:rsid w:val="00B46C11"/>
    <w:rsid w:val="00B50DB8"/>
    <w:rsid w:val="00B5126D"/>
    <w:rsid w:val="00B518B1"/>
    <w:rsid w:val="00B52104"/>
    <w:rsid w:val="00B53905"/>
    <w:rsid w:val="00B54B5B"/>
    <w:rsid w:val="00B550E1"/>
    <w:rsid w:val="00B55287"/>
    <w:rsid w:val="00B5543B"/>
    <w:rsid w:val="00B5562E"/>
    <w:rsid w:val="00B5565E"/>
    <w:rsid w:val="00B56169"/>
    <w:rsid w:val="00B5624A"/>
    <w:rsid w:val="00B57000"/>
    <w:rsid w:val="00B57A4E"/>
    <w:rsid w:val="00B60939"/>
    <w:rsid w:val="00B60AFD"/>
    <w:rsid w:val="00B60B49"/>
    <w:rsid w:val="00B60C28"/>
    <w:rsid w:val="00B615C9"/>
    <w:rsid w:val="00B62715"/>
    <w:rsid w:val="00B64DE9"/>
    <w:rsid w:val="00B66E39"/>
    <w:rsid w:val="00B67C70"/>
    <w:rsid w:val="00B70BE7"/>
    <w:rsid w:val="00B71388"/>
    <w:rsid w:val="00B71AA5"/>
    <w:rsid w:val="00B71F2A"/>
    <w:rsid w:val="00B720E6"/>
    <w:rsid w:val="00B7282E"/>
    <w:rsid w:val="00B761D4"/>
    <w:rsid w:val="00B76A4F"/>
    <w:rsid w:val="00B818A4"/>
    <w:rsid w:val="00B82AF0"/>
    <w:rsid w:val="00B82DBB"/>
    <w:rsid w:val="00B82FB3"/>
    <w:rsid w:val="00B85166"/>
    <w:rsid w:val="00B85DEB"/>
    <w:rsid w:val="00B8649C"/>
    <w:rsid w:val="00B91657"/>
    <w:rsid w:val="00B92D0B"/>
    <w:rsid w:val="00B9456D"/>
    <w:rsid w:val="00B94945"/>
    <w:rsid w:val="00B95EFC"/>
    <w:rsid w:val="00B9615C"/>
    <w:rsid w:val="00B96A25"/>
    <w:rsid w:val="00B97444"/>
    <w:rsid w:val="00BA1308"/>
    <w:rsid w:val="00BA19C8"/>
    <w:rsid w:val="00BA2D14"/>
    <w:rsid w:val="00BA3B94"/>
    <w:rsid w:val="00BA6A4B"/>
    <w:rsid w:val="00BA6FBA"/>
    <w:rsid w:val="00BA7530"/>
    <w:rsid w:val="00BB10C6"/>
    <w:rsid w:val="00BB16E8"/>
    <w:rsid w:val="00BB182A"/>
    <w:rsid w:val="00BB1A22"/>
    <w:rsid w:val="00BB210A"/>
    <w:rsid w:val="00BB24F2"/>
    <w:rsid w:val="00BB2DF4"/>
    <w:rsid w:val="00BB2E80"/>
    <w:rsid w:val="00BB4124"/>
    <w:rsid w:val="00BB427B"/>
    <w:rsid w:val="00BB6273"/>
    <w:rsid w:val="00BB6352"/>
    <w:rsid w:val="00BB7405"/>
    <w:rsid w:val="00BB7A4F"/>
    <w:rsid w:val="00BC0D90"/>
    <w:rsid w:val="00BC1B31"/>
    <w:rsid w:val="00BC2DAC"/>
    <w:rsid w:val="00BC3084"/>
    <w:rsid w:val="00BC316F"/>
    <w:rsid w:val="00BC317F"/>
    <w:rsid w:val="00BC3213"/>
    <w:rsid w:val="00BC330A"/>
    <w:rsid w:val="00BC3FC4"/>
    <w:rsid w:val="00BC67C3"/>
    <w:rsid w:val="00BC702A"/>
    <w:rsid w:val="00BD03AB"/>
    <w:rsid w:val="00BD04C3"/>
    <w:rsid w:val="00BD082B"/>
    <w:rsid w:val="00BD1B5C"/>
    <w:rsid w:val="00BD21AC"/>
    <w:rsid w:val="00BD32BF"/>
    <w:rsid w:val="00BD39D9"/>
    <w:rsid w:val="00BD5AC1"/>
    <w:rsid w:val="00BD5D14"/>
    <w:rsid w:val="00BD6CF3"/>
    <w:rsid w:val="00BD77F9"/>
    <w:rsid w:val="00BE0BF4"/>
    <w:rsid w:val="00BE109A"/>
    <w:rsid w:val="00BE1B14"/>
    <w:rsid w:val="00BE2180"/>
    <w:rsid w:val="00BE2C0A"/>
    <w:rsid w:val="00BE31D7"/>
    <w:rsid w:val="00BE397E"/>
    <w:rsid w:val="00BE3AA5"/>
    <w:rsid w:val="00BE4275"/>
    <w:rsid w:val="00BE47DB"/>
    <w:rsid w:val="00BE4CAB"/>
    <w:rsid w:val="00BE662D"/>
    <w:rsid w:val="00BF0095"/>
    <w:rsid w:val="00BF2433"/>
    <w:rsid w:val="00BF389E"/>
    <w:rsid w:val="00BF45EC"/>
    <w:rsid w:val="00BF61C9"/>
    <w:rsid w:val="00BF6D3E"/>
    <w:rsid w:val="00BF6EAC"/>
    <w:rsid w:val="00BF70E9"/>
    <w:rsid w:val="00BF71A3"/>
    <w:rsid w:val="00BF7665"/>
    <w:rsid w:val="00C00B45"/>
    <w:rsid w:val="00C017AC"/>
    <w:rsid w:val="00C032D4"/>
    <w:rsid w:val="00C051A1"/>
    <w:rsid w:val="00C05233"/>
    <w:rsid w:val="00C05FDA"/>
    <w:rsid w:val="00C069B9"/>
    <w:rsid w:val="00C06BD1"/>
    <w:rsid w:val="00C07F02"/>
    <w:rsid w:val="00C1129A"/>
    <w:rsid w:val="00C13FD5"/>
    <w:rsid w:val="00C14C3A"/>
    <w:rsid w:val="00C167A6"/>
    <w:rsid w:val="00C2100C"/>
    <w:rsid w:val="00C21D2E"/>
    <w:rsid w:val="00C2226D"/>
    <w:rsid w:val="00C22A00"/>
    <w:rsid w:val="00C25418"/>
    <w:rsid w:val="00C2560B"/>
    <w:rsid w:val="00C25D9C"/>
    <w:rsid w:val="00C301E0"/>
    <w:rsid w:val="00C308BB"/>
    <w:rsid w:val="00C3115E"/>
    <w:rsid w:val="00C31240"/>
    <w:rsid w:val="00C31649"/>
    <w:rsid w:val="00C31694"/>
    <w:rsid w:val="00C334E5"/>
    <w:rsid w:val="00C3523A"/>
    <w:rsid w:val="00C35EF1"/>
    <w:rsid w:val="00C37CBB"/>
    <w:rsid w:val="00C40385"/>
    <w:rsid w:val="00C406C7"/>
    <w:rsid w:val="00C406E4"/>
    <w:rsid w:val="00C40906"/>
    <w:rsid w:val="00C40CDF"/>
    <w:rsid w:val="00C41DF5"/>
    <w:rsid w:val="00C43746"/>
    <w:rsid w:val="00C465DF"/>
    <w:rsid w:val="00C500B5"/>
    <w:rsid w:val="00C51E3E"/>
    <w:rsid w:val="00C52958"/>
    <w:rsid w:val="00C53A84"/>
    <w:rsid w:val="00C53F4E"/>
    <w:rsid w:val="00C545EC"/>
    <w:rsid w:val="00C55BD0"/>
    <w:rsid w:val="00C579DF"/>
    <w:rsid w:val="00C57DEB"/>
    <w:rsid w:val="00C60278"/>
    <w:rsid w:val="00C6171E"/>
    <w:rsid w:val="00C62D0B"/>
    <w:rsid w:val="00C62F03"/>
    <w:rsid w:val="00C644AF"/>
    <w:rsid w:val="00C65576"/>
    <w:rsid w:val="00C6590E"/>
    <w:rsid w:val="00C66165"/>
    <w:rsid w:val="00C6723B"/>
    <w:rsid w:val="00C67B99"/>
    <w:rsid w:val="00C70AEB"/>
    <w:rsid w:val="00C72415"/>
    <w:rsid w:val="00C73031"/>
    <w:rsid w:val="00C73112"/>
    <w:rsid w:val="00C74632"/>
    <w:rsid w:val="00C74B84"/>
    <w:rsid w:val="00C74E1C"/>
    <w:rsid w:val="00C750C8"/>
    <w:rsid w:val="00C75172"/>
    <w:rsid w:val="00C76C33"/>
    <w:rsid w:val="00C80946"/>
    <w:rsid w:val="00C809F9"/>
    <w:rsid w:val="00C80ADE"/>
    <w:rsid w:val="00C8110F"/>
    <w:rsid w:val="00C81D23"/>
    <w:rsid w:val="00C8213F"/>
    <w:rsid w:val="00C83189"/>
    <w:rsid w:val="00C84012"/>
    <w:rsid w:val="00C86F11"/>
    <w:rsid w:val="00C8797A"/>
    <w:rsid w:val="00C87CD3"/>
    <w:rsid w:val="00C91B7A"/>
    <w:rsid w:val="00C91FCB"/>
    <w:rsid w:val="00C938CF"/>
    <w:rsid w:val="00C94EBB"/>
    <w:rsid w:val="00C94F25"/>
    <w:rsid w:val="00C9670B"/>
    <w:rsid w:val="00C97809"/>
    <w:rsid w:val="00CA0574"/>
    <w:rsid w:val="00CA06B3"/>
    <w:rsid w:val="00CA06D8"/>
    <w:rsid w:val="00CA0E6E"/>
    <w:rsid w:val="00CA5245"/>
    <w:rsid w:val="00CA5470"/>
    <w:rsid w:val="00CA5CEF"/>
    <w:rsid w:val="00CA6334"/>
    <w:rsid w:val="00CA792E"/>
    <w:rsid w:val="00CA7B09"/>
    <w:rsid w:val="00CB083B"/>
    <w:rsid w:val="00CB1AAC"/>
    <w:rsid w:val="00CB2F46"/>
    <w:rsid w:val="00CB3058"/>
    <w:rsid w:val="00CB3068"/>
    <w:rsid w:val="00CB3F18"/>
    <w:rsid w:val="00CB4EED"/>
    <w:rsid w:val="00CB5B1A"/>
    <w:rsid w:val="00CB6261"/>
    <w:rsid w:val="00CB6A2A"/>
    <w:rsid w:val="00CB6B7B"/>
    <w:rsid w:val="00CC042C"/>
    <w:rsid w:val="00CC0D7A"/>
    <w:rsid w:val="00CC126E"/>
    <w:rsid w:val="00CC1E71"/>
    <w:rsid w:val="00CC1F0F"/>
    <w:rsid w:val="00CC57FF"/>
    <w:rsid w:val="00CC5D38"/>
    <w:rsid w:val="00CC6DF4"/>
    <w:rsid w:val="00CD2337"/>
    <w:rsid w:val="00CD2BA8"/>
    <w:rsid w:val="00CD4D86"/>
    <w:rsid w:val="00CD5075"/>
    <w:rsid w:val="00CD5E9C"/>
    <w:rsid w:val="00CD6ADC"/>
    <w:rsid w:val="00CD6AE6"/>
    <w:rsid w:val="00CE0698"/>
    <w:rsid w:val="00CE0F7F"/>
    <w:rsid w:val="00CE13D8"/>
    <w:rsid w:val="00CE2AD5"/>
    <w:rsid w:val="00CE402F"/>
    <w:rsid w:val="00CE4737"/>
    <w:rsid w:val="00CE51E6"/>
    <w:rsid w:val="00CE59A8"/>
    <w:rsid w:val="00CE5A71"/>
    <w:rsid w:val="00CE5E28"/>
    <w:rsid w:val="00CE6274"/>
    <w:rsid w:val="00CE6DCF"/>
    <w:rsid w:val="00CF09C5"/>
    <w:rsid w:val="00CF15EC"/>
    <w:rsid w:val="00CF17B3"/>
    <w:rsid w:val="00CF228E"/>
    <w:rsid w:val="00CF23CF"/>
    <w:rsid w:val="00CF32BC"/>
    <w:rsid w:val="00CF3356"/>
    <w:rsid w:val="00CF3EDB"/>
    <w:rsid w:val="00CF456B"/>
    <w:rsid w:val="00CF4CF8"/>
    <w:rsid w:val="00CF5917"/>
    <w:rsid w:val="00CF5A22"/>
    <w:rsid w:val="00CF6A38"/>
    <w:rsid w:val="00CF72EB"/>
    <w:rsid w:val="00D01875"/>
    <w:rsid w:val="00D0262E"/>
    <w:rsid w:val="00D032A1"/>
    <w:rsid w:val="00D04EEB"/>
    <w:rsid w:val="00D05A87"/>
    <w:rsid w:val="00D06283"/>
    <w:rsid w:val="00D065C5"/>
    <w:rsid w:val="00D0782B"/>
    <w:rsid w:val="00D07ECE"/>
    <w:rsid w:val="00D10179"/>
    <w:rsid w:val="00D10254"/>
    <w:rsid w:val="00D110BD"/>
    <w:rsid w:val="00D113E5"/>
    <w:rsid w:val="00D12BFD"/>
    <w:rsid w:val="00D12CE3"/>
    <w:rsid w:val="00D143CA"/>
    <w:rsid w:val="00D15D37"/>
    <w:rsid w:val="00D16155"/>
    <w:rsid w:val="00D16B29"/>
    <w:rsid w:val="00D16CB7"/>
    <w:rsid w:val="00D174F9"/>
    <w:rsid w:val="00D17D6C"/>
    <w:rsid w:val="00D20296"/>
    <w:rsid w:val="00D20810"/>
    <w:rsid w:val="00D20997"/>
    <w:rsid w:val="00D2423B"/>
    <w:rsid w:val="00D25BC4"/>
    <w:rsid w:val="00D301EC"/>
    <w:rsid w:val="00D30C94"/>
    <w:rsid w:val="00D31A58"/>
    <w:rsid w:val="00D3203F"/>
    <w:rsid w:val="00D32E22"/>
    <w:rsid w:val="00D330E2"/>
    <w:rsid w:val="00D3318F"/>
    <w:rsid w:val="00D349B7"/>
    <w:rsid w:val="00D357FF"/>
    <w:rsid w:val="00D35BA1"/>
    <w:rsid w:val="00D37351"/>
    <w:rsid w:val="00D37AA4"/>
    <w:rsid w:val="00D37B59"/>
    <w:rsid w:val="00D41D91"/>
    <w:rsid w:val="00D432BF"/>
    <w:rsid w:val="00D514A9"/>
    <w:rsid w:val="00D516B6"/>
    <w:rsid w:val="00D5582F"/>
    <w:rsid w:val="00D5586D"/>
    <w:rsid w:val="00D567FE"/>
    <w:rsid w:val="00D60B0F"/>
    <w:rsid w:val="00D60DA5"/>
    <w:rsid w:val="00D61F64"/>
    <w:rsid w:val="00D62B6C"/>
    <w:rsid w:val="00D66413"/>
    <w:rsid w:val="00D678C4"/>
    <w:rsid w:val="00D70DB9"/>
    <w:rsid w:val="00D713CC"/>
    <w:rsid w:val="00D72017"/>
    <w:rsid w:val="00D72B77"/>
    <w:rsid w:val="00D73047"/>
    <w:rsid w:val="00D74201"/>
    <w:rsid w:val="00D7454F"/>
    <w:rsid w:val="00D7462F"/>
    <w:rsid w:val="00D76191"/>
    <w:rsid w:val="00D76A44"/>
    <w:rsid w:val="00D81E6E"/>
    <w:rsid w:val="00D82613"/>
    <w:rsid w:val="00D82D7D"/>
    <w:rsid w:val="00D83753"/>
    <w:rsid w:val="00D8448D"/>
    <w:rsid w:val="00D85156"/>
    <w:rsid w:val="00D8562F"/>
    <w:rsid w:val="00D86B60"/>
    <w:rsid w:val="00D9017F"/>
    <w:rsid w:val="00D929EB"/>
    <w:rsid w:val="00D93263"/>
    <w:rsid w:val="00D93575"/>
    <w:rsid w:val="00D93753"/>
    <w:rsid w:val="00D9420D"/>
    <w:rsid w:val="00D945A6"/>
    <w:rsid w:val="00D94DE3"/>
    <w:rsid w:val="00D95F4C"/>
    <w:rsid w:val="00D9641B"/>
    <w:rsid w:val="00D9674B"/>
    <w:rsid w:val="00D96B63"/>
    <w:rsid w:val="00DA0458"/>
    <w:rsid w:val="00DA263A"/>
    <w:rsid w:val="00DA32B1"/>
    <w:rsid w:val="00DA3575"/>
    <w:rsid w:val="00DA49C9"/>
    <w:rsid w:val="00DA5B76"/>
    <w:rsid w:val="00DA66F9"/>
    <w:rsid w:val="00DA6A73"/>
    <w:rsid w:val="00DA6FDE"/>
    <w:rsid w:val="00DA77A5"/>
    <w:rsid w:val="00DA7860"/>
    <w:rsid w:val="00DB4287"/>
    <w:rsid w:val="00DB4D24"/>
    <w:rsid w:val="00DB4FF1"/>
    <w:rsid w:val="00DC036E"/>
    <w:rsid w:val="00DC0C45"/>
    <w:rsid w:val="00DC15E1"/>
    <w:rsid w:val="00DC4410"/>
    <w:rsid w:val="00DC4753"/>
    <w:rsid w:val="00DC5501"/>
    <w:rsid w:val="00DC5E7D"/>
    <w:rsid w:val="00DC6460"/>
    <w:rsid w:val="00DD0DCE"/>
    <w:rsid w:val="00DD373E"/>
    <w:rsid w:val="00DD3F28"/>
    <w:rsid w:val="00DD4537"/>
    <w:rsid w:val="00DD47A9"/>
    <w:rsid w:val="00DD492B"/>
    <w:rsid w:val="00DD4BDE"/>
    <w:rsid w:val="00DD4E15"/>
    <w:rsid w:val="00DD6C8E"/>
    <w:rsid w:val="00DD6F76"/>
    <w:rsid w:val="00DD7583"/>
    <w:rsid w:val="00DE02AA"/>
    <w:rsid w:val="00DE19EC"/>
    <w:rsid w:val="00DE3639"/>
    <w:rsid w:val="00DE4FCB"/>
    <w:rsid w:val="00DE6B55"/>
    <w:rsid w:val="00DE707E"/>
    <w:rsid w:val="00DE7E2C"/>
    <w:rsid w:val="00DF03F3"/>
    <w:rsid w:val="00DF0B8C"/>
    <w:rsid w:val="00DF311E"/>
    <w:rsid w:val="00DF3723"/>
    <w:rsid w:val="00DF389D"/>
    <w:rsid w:val="00DF4350"/>
    <w:rsid w:val="00DF5D2B"/>
    <w:rsid w:val="00E00D5E"/>
    <w:rsid w:val="00E0103A"/>
    <w:rsid w:val="00E02464"/>
    <w:rsid w:val="00E0275E"/>
    <w:rsid w:val="00E02CCE"/>
    <w:rsid w:val="00E043FC"/>
    <w:rsid w:val="00E06579"/>
    <w:rsid w:val="00E068B4"/>
    <w:rsid w:val="00E0695B"/>
    <w:rsid w:val="00E06D96"/>
    <w:rsid w:val="00E07707"/>
    <w:rsid w:val="00E10149"/>
    <w:rsid w:val="00E10791"/>
    <w:rsid w:val="00E11A6D"/>
    <w:rsid w:val="00E125AF"/>
    <w:rsid w:val="00E1313F"/>
    <w:rsid w:val="00E13361"/>
    <w:rsid w:val="00E14456"/>
    <w:rsid w:val="00E15913"/>
    <w:rsid w:val="00E16372"/>
    <w:rsid w:val="00E20ED6"/>
    <w:rsid w:val="00E21358"/>
    <w:rsid w:val="00E220D2"/>
    <w:rsid w:val="00E2249B"/>
    <w:rsid w:val="00E22A0D"/>
    <w:rsid w:val="00E22F28"/>
    <w:rsid w:val="00E2771E"/>
    <w:rsid w:val="00E304E8"/>
    <w:rsid w:val="00E31E99"/>
    <w:rsid w:val="00E33439"/>
    <w:rsid w:val="00E341E2"/>
    <w:rsid w:val="00E365A6"/>
    <w:rsid w:val="00E37569"/>
    <w:rsid w:val="00E37BFA"/>
    <w:rsid w:val="00E37E53"/>
    <w:rsid w:val="00E416CD"/>
    <w:rsid w:val="00E41E30"/>
    <w:rsid w:val="00E42286"/>
    <w:rsid w:val="00E435BC"/>
    <w:rsid w:val="00E43D70"/>
    <w:rsid w:val="00E44478"/>
    <w:rsid w:val="00E44BAF"/>
    <w:rsid w:val="00E45B7A"/>
    <w:rsid w:val="00E45C15"/>
    <w:rsid w:val="00E45FEE"/>
    <w:rsid w:val="00E472DF"/>
    <w:rsid w:val="00E47B2C"/>
    <w:rsid w:val="00E509A3"/>
    <w:rsid w:val="00E50BAA"/>
    <w:rsid w:val="00E51560"/>
    <w:rsid w:val="00E526D3"/>
    <w:rsid w:val="00E55424"/>
    <w:rsid w:val="00E55BB5"/>
    <w:rsid w:val="00E55C3D"/>
    <w:rsid w:val="00E6003B"/>
    <w:rsid w:val="00E60856"/>
    <w:rsid w:val="00E60EC4"/>
    <w:rsid w:val="00E61B5C"/>
    <w:rsid w:val="00E6238C"/>
    <w:rsid w:val="00E62622"/>
    <w:rsid w:val="00E62F78"/>
    <w:rsid w:val="00E63932"/>
    <w:rsid w:val="00E64F88"/>
    <w:rsid w:val="00E65670"/>
    <w:rsid w:val="00E6587F"/>
    <w:rsid w:val="00E65E79"/>
    <w:rsid w:val="00E664F5"/>
    <w:rsid w:val="00E6733A"/>
    <w:rsid w:val="00E67416"/>
    <w:rsid w:val="00E70935"/>
    <w:rsid w:val="00E718B6"/>
    <w:rsid w:val="00E73581"/>
    <w:rsid w:val="00E739F6"/>
    <w:rsid w:val="00E75D02"/>
    <w:rsid w:val="00E7639E"/>
    <w:rsid w:val="00E767FC"/>
    <w:rsid w:val="00E77341"/>
    <w:rsid w:val="00E77B1A"/>
    <w:rsid w:val="00E800A5"/>
    <w:rsid w:val="00E83257"/>
    <w:rsid w:val="00E83B03"/>
    <w:rsid w:val="00E83BDF"/>
    <w:rsid w:val="00E83C1C"/>
    <w:rsid w:val="00E84C4B"/>
    <w:rsid w:val="00E85C5D"/>
    <w:rsid w:val="00E86548"/>
    <w:rsid w:val="00E8718D"/>
    <w:rsid w:val="00E90786"/>
    <w:rsid w:val="00E91685"/>
    <w:rsid w:val="00E94D47"/>
    <w:rsid w:val="00EA06DA"/>
    <w:rsid w:val="00EA1609"/>
    <w:rsid w:val="00EA1F14"/>
    <w:rsid w:val="00EA3864"/>
    <w:rsid w:val="00EA3C23"/>
    <w:rsid w:val="00EA590C"/>
    <w:rsid w:val="00EA5991"/>
    <w:rsid w:val="00EA5D8F"/>
    <w:rsid w:val="00EA6235"/>
    <w:rsid w:val="00EA6299"/>
    <w:rsid w:val="00EB04DB"/>
    <w:rsid w:val="00EB05C3"/>
    <w:rsid w:val="00EB15B6"/>
    <w:rsid w:val="00EB1DA0"/>
    <w:rsid w:val="00EB28C6"/>
    <w:rsid w:val="00EB2C34"/>
    <w:rsid w:val="00EB3E8C"/>
    <w:rsid w:val="00EB4916"/>
    <w:rsid w:val="00EB5862"/>
    <w:rsid w:val="00EC0003"/>
    <w:rsid w:val="00EC00C9"/>
    <w:rsid w:val="00EC031B"/>
    <w:rsid w:val="00EC2262"/>
    <w:rsid w:val="00EC2AC5"/>
    <w:rsid w:val="00EC327F"/>
    <w:rsid w:val="00EC3AD7"/>
    <w:rsid w:val="00EC4111"/>
    <w:rsid w:val="00EC5584"/>
    <w:rsid w:val="00EC6519"/>
    <w:rsid w:val="00ED0334"/>
    <w:rsid w:val="00ED0934"/>
    <w:rsid w:val="00ED482D"/>
    <w:rsid w:val="00ED4C4D"/>
    <w:rsid w:val="00ED6A2D"/>
    <w:rsid w:val="00ED740B"/>
    <w:rsid w:val="00ED7888"/>
    <w:rsid w:val="00EE07D3"/>
    <w:rsid w:val="00EE1E68"/>
    <w:rsid w:val="00EE2013"/>
    <w:rsid w:val="00EE24EB"/>
    <w:rsid w:val="00EE250A"/>
    <w:rsid w:val="00EE3426"/>
    <w:rsid w:val="00EE3A5A"/>
    <w:rsid w:val="00EE4248"/>
    <w:rsid w:val="00EE50CB"/>
    <w:rsid w:val="00EF1B39"/>
    <w:rsid w:val="00EF434D"/>
    <w:rsid w:val="00EF525B"/>
    <w:rsid w:val="00EF6A80"/>
    <w:rsid w:val="00EF6CDF"/>
    <w:rsid w:val="00EF741B"/>
    <w:rsid w:val="00F00341"/>
    <w:rsid w:val="00F03D01"/>
    <w:rsid w:val="00F04801"/>
    <w:rsid w:val="00F04A56"/>
    <w:rsid w:val="00F05776"/>
    <w:rsid w:val="00F067A2"/>
    <w:rsid w:val="00F10167"/>
    <w:rsid w:val="00F107CE"/>
    <w:rsid w:val="00F10CCC"/>
    <w:rsid w:val="00F11DA7"/>
    <w:rsid w:val="00F159A8"/>
    <w:rsid w:val="00F22B24"/>
    <w:rsid w:val="00F24837"/>
    <w:rsid w:val="00F24C86"/>
    <w:rsid w:val="00F2575F"/>
    <w:rsid w:val="00F3003B"/>
    <w:rsid w:val="00F30967"/>
    <w:rsid w:val="00F31469"/>
    <w:rsid w:val="00F33DE9"/>
    <w:rsid w:val="00F3619A"/>
    <w:rsid w:val="00F37AC2"/>
    <w:rsid w:val="00F413B4"/>
    <w:rsid w:val="00F4169B"/>
    <w:rsid w:val="00F41C36"/>
    <w:rsid w:val="00F41F8B"/>
    <w:rsid w:val="00F42BA3"/>
    <w:rsid w:val="00F43377"/>
    <w:rsid w:val="00F44365"/>
    <w:rsid w:val="00F444D4"/>
    <w:rsid w:val="00F44614"/>
    <w:rsid w:val="00F44937"/>
    <w:rsid w:val="00F44F3F"/>
    <w:rsid w:val="00F45B6A"/>
    <w:rsid w:val="00F46CB6"/>
    <w:rsid w:val="00F46D92"/>
    <w:rsid w:val="00F46ED5"/>
    <w:rsid w:val="00F5159F"/>
    <w:rsid w:val="00F53D74"/>
    <w:rsid w:val="00F546BC"/>
    <w:rsid w:val="00F55850"/>
    <w:rsid w:val="00F55E73"/>
    <w:rsid w:val="00F60092"/>
    <w:rsid w:val="00F619B6"/>
    <w:rsid w:val="00F61CB9"/>
    <w:rsid w:val="00F61DF4"/>
    <w:rsid w:val="00F63539"/>
    <w:rsid w:val="00F6354A"/>
    <w:rsid w:val="00F63A74"/>
    <w:rsid w:val="00F63BBE"/>
    <w:rsid w:val="00F656F6"/>
    <w:rsid w:val="00F659C7"/>
    <w:rsid w:val="00F660E5"/>
    <w:rsid w:val="00F6681D"/>
    <w:rsid w:val="00F679AB"/>
    <w:rsid w:val="00F67ACD"/>
    <w:rsid w:val="00F70BD6"/>
    <w:rsid w:val="00F71C9F"/>
    <w:rsid w:val="00F72839"/>
    <w:rsid w:val="00F73A00"/>
    <w:rsid w:val="00F741A3"/>
    <w:rsid w:val="00F7620E"/>
    <w:rsid w:val="00F76988"/>
    <w:rsid w:val="00F76B06"/>
    <w:rsid w:val="00F776B6"/>
    <w:rsid w:val="00F80143"/>
    <w:rsid w:val="00F80865"/>
    <w:rsid w:val="00F80E5D"/>
    <w:rsid w:val="00F8171D"/>
    <w:rsid w:val="00F845E9"/>
    <w:rsid w:val="00F850EE"/>
    <w:rsid w:val="00F851CE"/>
    <w:rsid w:val="00F855B1"/>
    <w:rsid w:val="00F855E5"/>
    <w:rsid w:val="00F8617B"/>
    <w:rsid w:val="00F91F27"/>
    <w:rsid w:val="00F92B0C"/>
    <w:rsid w:val="00F92CBA"/>
    <w:rsid w:val="00F95009"/>
    <w:rsid w:val="00F973DC"/>
    <w:rsid w:val="00F973EE"/>
    <w:rsid w:val="00F97A78"/>
    <w:rsid w:val="00F97B47"/>
    <w:rsid w:val="00F97CCE"/>
    <w:rsid w:val="00F97FF8"/>
    <w:rsid w:val="00FA0757"/>
    <w:rsid w:val="00FA075F"/>
    <w:rsid w:val="00FA181D"/>
    <w:rsid w:val="00FA2049"/>
    <w:rsid w:val="00FA219E"/>
    <w:rsid w:val="00FA2262"/>
    <w:rsid w:val="00FA24E7"/>
    <w:rsid w:val="00FA33EE"/>
    <w:rsid w:val="00FA435F"/>
    <w:rsid w:val="00FA4A36"/>
    <w:rsid w:val="00FA7B1A"/>
    <w:rsid w:val="00FA7C8F"/>
    <w:rsid w:val="00FB1F12"/>
    <w:rsid w:val="00FB2FCB"/>
    <w:rsid w:val="00FB3F80"/>
    <w:rsid w:val="00FB4004"/>
    <w:rsid w:val="00FB7FB7"/>
    <w:rsid w:val="00FC0300"/>
    <w:rsid w:val="00FC0BEB"/>
    <w:rsid w:val="00FC1074"/>
    <w:rsid w:val="00FC1748"/>
    <w:rsid w:val="00FC1884"/>
    <w:rsid w:val="00FC310A"/>
    <w:rsid w:val="00FC3C21"/>
    <w:rsid w:val="00FC615C"/>
    <w:rsid w:val="00FC6565"/>
    <w:rsid w:val="00FC6B87"/>
    <w:rsid w:val="00FC6C1C"/>
    <w:rsid w:val="00FC6CC6"/>
    <w:rsid w:val="00FC70DF"/>
    <w:rsid w:val="00FC73D7"/>
    <w:rsid w:val="00FC7A92"/>
    <w:rsid w:val="00FD01A3"/>
    <w:rsid w:val="00FD0E42"/>
    <w:rsid w:val="00FD2100"/>
    <w:rsid w:val="00FD27D4"/>
    <w:rsid w:val="00FD2A2C"/>
    <w:rsid w:val="00FD3969"/>
    <w:rsid w:val="00FD3BC2"/>
    <w:rsid w:val="00FD446D"/>
    <w:rsid w:val="00FD4CA5"/>
    <w:rsid w:val="00FD5A44"/>
    <w:rsid w:val="00FD5BEC"/>
    <w:rsid w:val="00FD5C12"/>
    <w:rsid w:val="00FD6DE2"/>
    <w:rsid w:val="00FD7A15"/>
    <w:rsid w:val="00FE1DBD"/>
    <w:rsid w:val="00FE22E3"/>
    <w:rsid w:val="00FE27B1"/>
    <w:rsid w:val="00FE4650"/>
    <w:rsid w:val="00FE4818"/>
    <w:rsid w:val="00FF0008"/>
    <w:rsid w:val="00FF325B"/>
    <w:rsid w:val="00FF3DCF"/>
    <w:rsid w:val="00FF5612"/>
    <w:rsid w:val="00FF5AA3"/>
    <w:rsid w:val="00FF62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1"/>
      </w:numPr>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F72EB"/>
    <w:pPr>
      <w:widowControl/>
      <w:spacing w:after="160" w:line="240" w:lineRule="exact"/>
      <w:jc w:val="left"/>
    </w:pPr>
    <w:rPr>
      <w:rFonts w:ascii="Verdana" w:eastAsia="MS Mincho" w:hAnsi="Verdana" w:cs="Verdana"/>
      <w:snapToGrid/>
      <w:sz w:val="20"/>
      <w:lang w:val="en-US"/>
    </w:rPr>
  </w:style>
  <w:style w:type="paragraph" w:customStyle="1" w:styleId="ANormalItalic">
    <w:name w:val="A Normal Italic"/>
    <w:basedOn w:val="Normal"/>
    <w:link w:val="ANormalItalicChar"/>
    <w:rsid w:val="00F973DC"/>
    <w:rPr>
      <w:rFonts w:ascii="Times New Roman" w:hAnsi="Times New Roman" w:cs="Times New Roman"/>
      <w:i/>
      <w:sz w:val="24"/>
      <w:szCs w:val="24"/>
    </w:rPr>
  </w:style>
  <w:style w:type="character" w:customStyle="1" w:styleId="ANormalItalicChar">
    <w:name w:val="A Normal Italic Char"/>
    <w:basedOn w:val="DefaultParagraphFont"/>
    <w:link w:val="ANormalItalic"/>
    <w:rsid w:val="00F973DC"/>
    <w:rPr>
      <w:i/>
      <w:snapToGrid w:val="0"/>
      <w:sz w:val="24"/>
      <w:szCs w:val="24"/>
      <w:lang w:eastAsia="en-US"/>
    </w:rPr>
  </w:style>
  <w:style w:type="paragraph" w:customStyle="1" w:styleId="Endreferences">
    <w:name w:val="End references"/>
    <w:basedOn w:val="EndnoteText"/>
    <w:link w:val="EndreferencesChar"/>
    <w:rsid w:val="00FB7FB7"/>
    <w:pPr>
      <w:widowControl/>
      <w:spacing w:after="120"/>
      <w:ind w:left="397" w:hanging="397"/>
      <w:jc w:val="left"/>
    </w:pPr>
    <w:rPr>
      <w:snapToGrid/>
      <w:sz w:val="24"/>
      <w:szCs w:val="22"/>
    </w:rPr>
  </w:style>
  <w:style w:type="character" w:customStyle="1" w:styleId="EndreferencesChar">
    <w:name w:val="End references Char"/>
    <w:basedOn w:val="EndnoteTextChar"/>
    <w:link w:val="Endreferences"/>
    <w:rsid w:val="00FB7FB7"/>
    <w:rPr>
      <w:rFonts w:ascii="Arial" w:hAnsi="Arial" w:cs="Arial"/>
      <w:snapToGrid/>
      <w:sz w:val="24"/>
      <w:szCs w:val="22"/>
      <w:lang w:eastAsia="en-US"/>
    </w:rPr>
  </w:style>
  <w:style w:type="character" w:styleId="EndnoteReference">
    <w:name w:val="endnote reference"/>
    <w:basedOn w:val="DefaultParagraphFont"/>
    <w:rsid w:val="00FB7FB7"/>
    <w:rPr>
      <w:rFonts w:ascii="Times New Roman" w:hAnsi="Times New Roman"/>
      <w:sz w:val="24"/>
      <w:szCs w:val="22"/>
      <w:vertAlign w:val="superscript"/>
      <w:lang w:val="en-AU" w:eastAsia="en-AU" w:bidi="ar-SA"/>
    </w:rPr>
  </w:style>
  <w:style w:type="paragraph" w:styleId="EndnoteText">
    <w:name w:val="endnote text"/>
    <w:basedOn w:val="Normal"/>
    <w:link w:val="EndnoteTextChar"/>
    <w:semiHidden/>
    <w:unhideWhenUsed/>
    <w:rsid w:val="00FB7FB7"/>
    <w:rPr>
      <w:sz w:val="20"/>
    </w:rPr>
  </w:style>
  <w:style w:type="character" w:customStyle="1" w:styleId="EndnoteTextChar">
    <w:name w:val="Endnote Text Char"/>
    <w:basedOn w:val="DefaultParagraphFont"/>
    <w:link w:val="EndnoteText"/>
    <w:semiHidden/>
    <w:rsid w:val="00FB7FB7"/>
    <w:rPr>
      <w:rFonts w:ascii="Arial" w:hAnsi="Arial" w:cs="Arial"/>
      <w:snapToGrid w:val="0"/>
      <w:lang w:eastAsia="en-US"/>
    </w:rPr>
  </w:style>
  <w:style w:type="paragraph" w:customStyle="1" w:styleId="ANormal">
    <w:name w:val="A Normal"/>
    <w:basedOn w:val="Normal"/>
    <w:link w:val="ANormalChar"/>
    <w:rsid w:val="00FB7FB7"/>
    <w:rPr>
      <w:rFonts w:ascii="Times New Roman" w:hAnsi="Times New Roman" w:cs="Times New Roman"/>
      <w:sz w:val="24"/>
    </w:rPr>
  </w:style>
  <w:style w:type="character" w:customStyle="1" w:styleId="ANormalChar">
    <w:name w:val="A Normal Char"/>
    <w:basedOn w:val="DefaultParagraphFont"/>
    <w:link w:val="ANormal"/>
    <w:rsid w:val="00FB7FB7"/>
    <w:rPr>
      <w:snapToGrid w:val="0"/>
      <w:sz w:val="24"/>
      <w:lang w:eastAsia="en-US"/>
    </w:rPr>
  </w:style>
  <w:style w:type="paragraph" w:customStyle="1" w:styleId="Default">
    <w:name w:val="Default"/>
    <w:rsid w:val="00A31D44"/>
    <w:pPr>
      <w:autoSpaceDE w:val="0"/>
      <w:autoSpaceDN w:val="0"/>
      <w:adjustRightInd w:val="0"/>
    </w:pPr>
    <w:rPr>
      <w:rFonts w:ascii="Arial" w:hAnsi="Arial" w:cs="Arial"/>
      <w:color w:val="000000"/>
      <w:sz w:val="24"/>
      <w:szCs w:val="24"/>
    </w:rPr>
  </w:style>
  <w:style w:type="paragraph" w:customStyle="1" w:styleId="Tablefootnote">
    <w:name w:val="Table footnote"/>
    <w:basedOn w:val="Normal"/>
    <w:next w:val="Normal"/>
    <w:link w:val="TablefootnoteChar"/>
    <w:qFormat/>
    <w:rsid w:val="005070DE"/>
    <w:pPr>
      <w:keepNext/>
      <w:keepLines/>
      <w:widowControl/>
      <w:adjustRightInd w:val="0"/>
      <w:spacing w:line="276" w:lineRule="auto"/>
      <w:jc w:val="left"/>
      <w:textAlignment w:val="baseline"/>
    </w:pPr>
    <w:rPr>
      <w:rFonts w:ascii="Tahoma" w:eastAsia="Calibri" w:hAnsi="Tahoma" w:cs="Tahoma"/>
      <w:snapToGrid/>
      <w:sz w:val="16"/>
      <w:szCs w:val="22"/>
    </w:rPr>
  </w:style>
  <w:style w:type="character" w:customStyle="1" w:styleId="TablefootnoteChar">
    <w:name w:val="Table footnote Char"/>
    <w:basedOn w:val="DefaultParagraphFont"/>
    <w:link w:val="Tablefootnote"/>
    <w:rsid w:val="005070DE"/>
    <w:rPr>
      <w:rFonts w:ascii="Tahoma" w:eastAsia="Calibri" w:hAnsi="Tahoma" w:cs="Tahoma"/>
      <w:sz w:val="16"/>
      <w:szCs w:val="22"/>
      <w:lang w:eastAsia="en-US"/>
    </w:rPr>
  </w:style>
  <w:style w:type="paragraph" w:customStyle="1" w:styleId="Arial10">
    <w:name w:val="Arial 10"/>
    <w:basedOn w:val="Normal"/>
    <w:link w:val="Arial10Char"/>
    <w:rsid w:val="00367056"/>
    <w:pPr>
      <w:widowControl/>
      <w:jc w:val="left"/>
    </w:pPr>
    <w:rPr>
      <w:rFonts w:cs="Times New Roman"/>
      <w:snapToGrid/>
      <w:sz w:val="20"/>
    </w:rPr>
  </w:style>
  <w:style w:type="character" w:customStyle="1" w:styleId="Arial10Char">
    <w:name w:val="Arial 10 Char"/>
    <w:basedOn w:val="DefaultParagraphFont"/>
    <w:link w:val="Arial10"/>
    <w:rsid w:val="00367056"/>
    <w:rPr>
      <w:rFonts w:ascii="Arial" w:hAnsi="Arial"/>
      <w:lang w:eastAsia="en-US"/>
    </w:rPr>
  </w:style>
  <w:style w:type="table" w:customStyle="1" w:styleId="Defaulttable">
    <w:name w:val="Default table"/>
    <w:basedOn w:val="TableGrid"/>
    <w:rsid w:val="003D2674"/>
    <w:pPr>
      <w:widowControl w:val="0"/>
    </w:pPr>
    <w:rPr>
      <w:rFonts w:ascii="Arial" w:eastAsia="SimSun" w:hAnsi="Arial"/>
      <w:color w:val="000000"/>
      <w:lang w:eastAsia="zh-CN"/>
    </w:rPr>
    <w:tblPr/>
  </w:style>
  <w:style w:type="paragraph" w:customStyle="1" w:styleId="Introduction">
    <w:name w:val="Introduction"/>
    <w:basedOn w:val="Normal"/>
    <w:autoRedefine/>
    <w:rsid w:val="004266D7"/>
    <w:pPr>
      <w:widowControl/>
      <w:tabs>
        <w:tab w:val="left" w:pos="416"/>
        <w:tab w:val="left" w:pos="582"/>
      </w:tabs>
      <w:spacing w:line="360" w:lineRule="auto"/>
    </w:pPr>
    <w:rPr>
      <w:rFonts w:ascii="Times New Roman" w:hAnsi="Times New Roman" w:cs="Times New Roman"/>
      <w:b/>
      <w:snapToGrid/>
      <w:sz w:val="24"/>
      <w:szCs w:val="24"/>
    </w:rPr>
  </w:style>
  <w:style w:type="paragraph" w:customStyle="1" w:styleId="TableText1">
    <w:name w:val="Table Text"/>
    <w:basedOn w:val="Normal"/>
    <w:link w:val="TableTextChar0"/>
    <w:qFormat/>
    <w:rsid w:val="00461C2D"/>
    <w:pPr>
      <w:keepNext/>
      <w:keepLines/>
      <w:widowControl/>
      <w:spacing w:before="40" w:after="120"/>
      <w:jc w:val="left"/>
    </w:pPr>
    <w:rPr>
      <w:rFonts w:ascii="Tahoma" w:hAnsi="Tahoma" w:cs="Times New Roman"/>
      <w:snapToGrid/>
      <w:color w:val="000000"/>
      <w:sz w:val="20"/>
      <w:szCs w:val="18"/>
    </w:rPr>
  </w:style>
  <w:style w:type="character" w:customStyle="1" w:styleId="TableTextChar0">
    <w:name w:val="Table Text Char"/>
    <w:link w:val="TableText1"/>
    <w:rsid w:val="00461C2D"/>
    <w:rPr>
      <w:rFonts w:ascii="Tahoma" w:hAnsi="Tahoma"/>
      <w:color w:val="000000"/>
      <w:szCs w:val="18"/>
      <w:lang w:eastAsia="en-US"/>
    </w:rPr>
  </w:style>
  <w:style w:type="paragraph" w:customStyle="1" w:styleId="Tableheaderrow">
    <w:name w:val="Table header row"/>
    <w:basedOn w:val="TableText1"/>
    <w:link w:val="TableheaderrowChar"/>
    <w:qFormat/>
    <w:rsid w:val="00461C2D"/>
    <w:rPr>
      <w:b/>
    </w:rPr>
  </w:style>
  <w:style w:type="character" w:customStyle="1" w:styleId="TableheaderrowChar">
    <w:name w:val="Table header row Char"/>
    <w:link w:val="Tableheaderrow"/>
    <w:rsid w:val="00461C2D"/>
    <w:rPr>
      <w:rFonts w:ascii="Tahoma" w:hAnsi="Tahoma"/>
      <w:b/>
      <w:color w:val="000000"/>
      <w:szCs w:val="18"/>
      <w:lang w:eastAsia="en-US"/>
    </w:rPr>
  </w:style>
  <w:style w:type="character" w:customStyle="1" w:styleId="Heading1Char">
    <w:name w:val="Heading 1 Char"/>
    <w:basedOn w:val="DefaultParagraphFont"/>
    <w:link w:val="Heading1"/>
    <w:rsid w:val="00B021BA"/>
    <w:rPr>
      <w:rFonts w:ascii="Arial Bold" w:hAnsi="Arial Bold" w:cs="Arial"/>
      <w:b/>
      <w:caps/>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1"/>
      </w:numPr>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F72EB"/>
    <w:pPr>
      <w:widowControl/>
      <w:spacing w:after="160" w:line="240" w:lineRule="exact"/>
      <w:jc w:val="left"/>
    </w:pPr>
    <w:rPr>
      <w:rFonts w:ascii="Verdana" w:eastAsia="MS Mincho" w:hAnsi="Verdana" w:cs="Verdana"/>
      <w:snapToGrid/>
      <w:sz w:val="20"/>
      <w:lang w:val="en-US"/>
    </w:rPr>
  </w:style>
  <w:style w:type="paragraph" w:customStyle="1" w:styleId="ANormalItalic">
    <w:name w:val="A Normal Italic"/>
    <w:basedOn w:val="Normal"/>
    <w:link w:val="ANormalItalicChar"/>
    <w:rsid w:val="00F973DC"/>
    <w:rPr>
      <w:rFonts w:ascii="Times New Roman" w:hAnsi="Times New Roman" w:cs="Times New Roman"/>
      <w:i/>
      <w:sz w:val="24"/>
      <w:szCs w:val="24"/>
    </w:rPr>
  </w:style>
  <w:style w:type="character" w:customStyle="1" w:styleId="ANormalItalicChar">
    <w:name w:val="A Normal Italic Char"/>
    <w:basedOn w:val="DefaultParagraphFont"/>
    <w:link w:val="ANormalItalic"/>
    <w:rsid w:val="00F973DC"/>
    <w:rPr>
      <w:i/>
      <w:snapToGrid w:val="0"/>
      <w:sz w:val="24"/>
      <w:szCs w:val="24"/>
      <w:lang w:eastAsia="en-US"/>
    </w:rPr>
  </w:style>
  <w:style w:type="paragraph" w:customStyle="1" w:styleId="Endreferences">
    <w:name w:val="End references"/>
    <w:basedOn w:val="EndnoteText"/>
    <w:link w:val="EndreferencesChar"/>
    <w:rsid w:val="00FB7FB7"/>
    <w:pPr>
      <w:widowControl/>
      <w:spacing w:after="120"/>
      <w:ind w:left="397" w:hanging="397"/>
      <w:jc w:val="left"/>
    </w:pPr>
    <w:rPr>
      <w:snapToGrid/>
      <w:sz w:val="24"/>
      <w:szCs w:val="22"/>
    </w:rPr>
  </w:style>
  <w:style w:type="character" w:customStyle="1" w:styleId="EndreferencesChar">
    <w:name w:val="End references Char"/>
    <w:basedOn w:val="EndnoteTextChar"/>
    <w:link w:val="Endreferences"/>
    <w:rsid w:val="00FB7FB7"/>
    <w:rPr>
      <w:rFonts w:ascii="Arial" w:hAnsi="Arial" w:cs="Arial"/>
      <w:snapToGrid/>
      <w:sz w:val="24"/>
      <w:szCs w:val="22"/>
      <w:lang w:eastAsia="en-US"/>
    </w:rPr>
  </w:style>
  <w:style w:type="character" w:styleId="EndnoteReference">
    <w:name w:val="endnote reference"/>
    <w:basedOn w:val="DefaultParagraphFont"/>
    <w:rsid w:val="00FB7FB7"/>
    <w:rPr>
      <w:rFonts w:ascii="Times New Roman" w:hAnsi="Times New Roman"/>
      <w:sz w:val="24"/>
      <w:szCs w:val="22"/>
      <w:vertAlign w:val="superscript"/>
      <w:lang w:val="en-AU" w:eastAsia="en-AU" w:bidi="ar-SA"/>
    </w:rPr>
  </w:style>
  <w:style w:type="paragraph" w:styleId="EndnoteText">
    <w:name w:val="endnote text"/>
    <w:basedOn w:val="Normal"/>
    <w:link w:val="EndnoteTextChar"/>
    <w:semiHidden/>
    <w:unhideWhenUsed/>
    <w:rsid w:val="00FB7FB7"/>
    <w:rPr>
      <w:sz w:val="20"/>
    </w:rPr>
  </w:style>
  <w:style w:type="character" w:customStyle="1" w:styleId="EndnoteTextChar">
    <w:name w:val="Endnote Text Char"/>
    <w:basedOn w:val="DefaultParagraphFont"/>
    <w:link w:val="EndnoteText"/>
    <w:semiHidden/>
    <w:rsid w:val="00FB7FB7"/>
    <w:rPr>
      <w:rFonts w:ascii="Arial" w:hAnsi="Arial" w:cs="Arial"/>
      <w:snapToGrid w:val="0"/>
      <w:lang w:eastAsia="en-US"/>
    </w:rPr>
  </w:style>
  <w:style w:type="paragraph" w:customStyle="1" w:styleId="ANormal">
    <w:name w:val="A Normal"/>
    <w:basedOn w:val="Normal"/>
    <w:link w:val="ANormalChar"/>
    <w:rsid w:val="00FB7FB7"/>
    <w:rPr>
      <w:rFonts w:ascii="Times New Roman" w:hAnsi="Times New Roman" w:cs="Times New Roman"/>
      <w:sz w:val="24"/>
    </w:rPr>
  </w:style>
  <w:style w:type="character" w:customStyle="1" w:styleId="ANormalChar">
    <w:name w:val="A Normal Char"/>
    <w:basedOn w:val="DefaultParagraphFont"/>
    <w:link w:val="ANormal"/>
    <w:rsid w:val="00FB7FB7"/>
    <w:rPr>
      <w:snapToGrid w:val="0"/>
      <w:sz w:val="24"/>
      <w:lang w:eastAsia="en-US"/>
    </w:rPr>
  </w:style>
  <w:style w:type="paragraph" w:customStyle="1" w:styleId="Default">
    <w:name w:val="Default"/>
    <w:rsid w:val="00A31D44"/>
    <w:pPr>
      <w:autoSpaceDE w:val="0"/>
      <w:autoSpaceDN w:val="0"/>
      <w:adjustRightInd w:val="0"/>
    </w:pPr>
    <w:rPr>
      <w:rFonts w:ascii="Arial" w:hAnsi="Arial" w:cs="Arial"/>
      <w:color w:val="000000"/>
      <w:sz w:val="24"/>
      <w:szCs w:val="24"/>
    </w:rPr>
  </w:style>
  <w:style w:type="paragraph" w:customStyle="1" w:styleId="Tablefootnote">
    <w:name w:val="Table footnote"/>
    <w:basedOn w:val="Normal"/>
    <w:next w:val="Normal"/>
    <w:link w:val="TablefootnoteChar"/>
    <w:qFormat/>
    <w:rsid w:val="005070DE"/>
    <w:pPr>
      <w:keepNext/>
      <w:keepLines/>
      <w:widowControl/>
      <w:adjustRightInd w:val="0"/>
      <w:spacing w:line="276" w:lineRule="auto"/>
      <w:jc w:val="left"/>
      <w:textAlignment w:val="baseline"/>
    </w:pPr>
    <w:rPr>
      <w:rFonts w:ascii="Tahoma" w:eastAsia="Calibri" w:hAnsi="Tahoma" w:cs="Tahoma"/>
      <w:snapToGrid/>
      <w:sz w:val="16"/>
      <w:szCs w:val="22"/>
    </w:rPr>
  </w:style>
  <w:style w:type="character" w:customStyle="1" w:styleId="TablefootnoteChar">
    <w:name w:val="Table footnote Char"/>
    <w:basedOn w:val="DefaultParagraphFont"/>
    <w:link w:val="Tablefootnote"/>
    <w:rsid w:val="005070DE"/>
    <w:rPr>
      <w:rFonts w:ascii="Tahoma" w:eastAsia="Calibri" w:hAnsi="Tahoma" w:cs="Tahoma"/>
      <w:sz w:val="16"/>
      <w:szCs w:val="22"/>
      <w:lang w:eastAsia="en-US"/>
    </w:rPr>
  </w:style>
  <w:style w:type="paragraph" w:customStyle="1" w:styleId="Arial10">
    <w:name w:val="Arial 10"/>
    <w:basedOn w:val="Normal"/>
    <w:link w:val="Arial10Char"/>
    <w:rsid w:val="00367056"/>
    <w:pPr>
      <w:widowControl/>
      <w:jc w:val="left"/>
    </w:pPr>
    <w:rPr>
      <w:rFonts w:cs="Times New Roman"/>
      <w:snapToGrid/>
      <w:sz w:val="20"/>
    </w:rPr>
  </w:style>
  <w:style w:type="character" w:customStyle="1" w:styleId="Arial10Char">
    <w:name w:val="Arial 10 Char"/>
    <w:basedOn w:val="DefaultParagraphFont"/>
    <w:link w:val="Arial10"/>
    <w:rsid w:val="00367056"/>
    <w:rPr>
      <w:rFonts w:ascii="Arial" w:hAnsi="Arial"/>
      <w:lang w:eastAsia="en-US"/>
    </w:rPr>
  </w:style>
  <w:style w:type="table" w:customStyle="1" w:styleId="Defaulttable">
    <w:name w:val="Default table"/>
    <w:basedOn w:val="TableGrid"/>
    <w:rsid w:val="003D2674"/>
    <w:pPr>
      <w:widowControl w:val="0"/>
    </w:pPr>
    <w:rPr>
      <w:rFonts w:ascii="Arial" w:eastAsia="SimSun" w:hAnsi="Arial"/>
      <w:color w:val="000000"/>
      <w:lang w:eastAsia="zh-CN"/>
    </w:rPr>
    <w:tblPr/>
  </w:style>
  <w:style w:type="paragraph" w:customStyle="1" w:styleId="Introduction">
    <w:name w:val="Introduction"/>
    <w:basedOn w:val="Normal"/>
    <w:autoRedefine/>
    <w:rsid w:val="004266D7"/>
    <w:pPr>
      <w:widowControl/>
      <w:tabs>
        <w:tab w:val="left" w:pos="416"/>
        <w:tab w:val="left" w:pos="582"/>
      </w:tabs>
      <w:spacing w:line="360" w:lineRule="auto"/>
    </w:pPr>
    <w:rPr>
      <w:rFonts w:ascii="Times New Roman" w:hAnsi="Times New Roman" w:cs="Times New Roman"/>
      <w:b/>
      <w:snapToGrid/>
      <w:sz w:val="24"/>
      <w:szCs w:val="24"/>
    </w:rPr>
  </w:style>
  <w:style w:type="paragraph" w:customStyle="1" w:styleId="TableText1">
    <w:name w:val="Table Text"/>
    <w:basedOn w:val="Normal"/>
    <w:link w:val="TableTextChar0"/>
    <w:qFormat/>
    <w:rsid w:val="00461C2D"/>
    <w:pPr>
      <w:keepNext/>
      <w:keepLines/>
      <w:widowControl/>
      <w:spacing w:before="40" w:after="120"/>
      <w:jc w:val="left"/>
    </w:pPr>
    <w:rPr>
      <w:rFonts w:ascii="Tahoma" w:hAnsi="Tahoma" w:cs="Times New Roman"/>
      <w:snapToGrid/>
      <w:color w:val="000000"/>
      <w:sz w:val="20"/>
      <w:szCs w:val="18"/>
    </w:rPr>
  </w:style>
  <w:style w:type="character" w:customStyle="1" w:styleId="TableTextChar0">
    <w:name w:val="Table Text Char"/>
    <w:link w:val="TableText1"/>
    <w:rsid w:val="00461C2D"/>
    <w:rPr>
      <w:rFonts w:ascii="Tahoma" w:hAnsi="Tahoma"/>
      <w:color w:val="000000"/>
      <w:szCs w:val="18"/>
      <w:lang w:eastAsia="en-US"/>
    </w:rPr>
  </w:style>
  <w:style w:type="paragraph" w:customStyle="1" w:styleId="Tableheaderrow">
    <w:name w:val="Table header row"/>
    <w:basedOn w:val="TableText1"/>
    <w:link w:val="TableheaderrowChar"/>
    <w:qFormat/>
    <w:rsid w:val="00461C2D"/>
    <w:rPr>
      <w:b/>
    </w:rPr>
  </w:style>
  <w:style w:type="character" w:customStyle="1" w:styleId="TableheaderrowChar">
    <w:name w:val="Table header row Char"/>
    <w:link w:val="Tableheaderrow"/>
    <w:rsid w:val="00461C2D"/>
    <w:rPr>
      <w:rFonts w:ascii="Tahoma" w:hAnsi="Tahoma"/>
      <w:b/>
      <w:color w:val="000000"/>
      <w:szCs w:val="18"/>
      <w:lang w:eastAsia="en-US"/>
    </w:rPr>
  </w:style>
  <w:style w:type="character" w:customStyle="1" w:styleId="Heading1Char">
    <w:name w:val="Heading 1 Char"/>
    <w:basedOn w:val="DefaultParagraphFont"/>
    <w:link w:val="Heading1"/>
    <w:rsid w:val="00B021BA"/>
    <w:rPr>
      <w:rFonts w:ascii="Arial Bold" w:hAnsi="Arial Bold" w:cs="Arial"/>
      <w:b/>
      <w:cap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2331">
      <w:bodyDiv w:val="1"/>
      <w:marLeft w:val="0"/>
      <w:marRight w:val="0"/>
      <w:marTop w:val="0"/>
      <w:marBottom w:val="0"/>
      <w:divBdr>
        <w:top w:val="none" w:sz="0" w:space="0" w:color="auto"/>
        <w:left w:val="none" w:sz="0" w:space="0" w:color="auto"/>
        <w:bottom w:val="none" w:sz="0" w:space="0" w:color="auto"/>
        <w:right w:val="none" w:sz="0" w:space="0" w:color="auto"/>
      </w:divBdr>
    </w:div>
    <w:div w:id="985163987">
      <w:bodyDiv w:val="1"/>
      <w:marLeft w:val="0"/>
      <w:marRight w:val="0"/>
      <w:marTop w:val="0"/>
      <w:marBottom w:val="0"/>
      <w:divBdr>
        <w:top w:val="none" w:sz="0" w:space="0" w:color="auto"/>
        <w:left w:val="none" w:sz="0" w:space="0" w:color="auto"/>
        <w:bottom w:val="none" w:sz="0" w:space="0" w:color="auto"/>
        <w:right w:val="none" w:sz="0" w:space="0" w:color="auto"/>
      </w:divBdr>
    </w:div>
    <w:div w:id="1162509269">
      <w:bodyDiv w:val="1"/>
      <w:marLeft w:val="0"/>
      <w:marRight w:val="0"/>
      <w:marTop w:val="0"/>
      <w:marBottom w:val="0"/>
      <w:divBdr>
        <w:top w:val="none" w:sz="0" w:space="0" w:color="auto"/>
        <w:left w:val="none" w:sz="0" w:space="0" w:color="auto"/>
        <w:bottom w:val="none" w:sz="0" w:space="0" w:color="auto"/>
        <w:right w:val="none" w:sz="0" w:space="0" w:color="auto"/>
      </w:divBdr>
    </w:div>
    <w:div w:id="1496415811">
      <w:bodyDiv w:val="1"/>
      <w:marLeft w:val="0"/>
      <w:marRight w:val="0"/>
      <w:marTop w:val="0"/>
      <w:marBottom w:val="0"/>
      <w:divBdr>
        <w:top w:val="none" w:sz="0" w:space="0" w:color="auto"/>
        <w:left w:val="none" w:sz="0" w:space="0" w:color="auto"/>
        <w:bottom w:val="none" w:sz="0" w:space="0" w:color="auto"/>
        <w:right w:val="none" w:sz="0" w:space="0" w:color="auto"/>
      </w:divBdr>
      <w:divsChild>
        <w:div w:id="1603487885">
          <w:marLeft w:val="547"/>
          <w:marRight w:val="0"/>
          <w:marTop w:val="86"/>
          <w:marBottom w:val="0"/>
          <w:divBdr>
            <w:top w:val="none" w:sz="0" w:space="0" w:color="auto"/>
            <w:left w:val="none" w:sz="0" w:space="0" w:color="auto"/>
            <w:bottom w:val="none" w:sz="0" w:space="0" w:color="auto"/>
            <w:right w:val="none" w:sz="0" w:space="0" w:color="auto"/>
          </w:divBdr>
        </w:div>
      </w:divsChild>
    </w:div>
    <w:div w:id="166797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06144-AC2F-4DA5-B00B-5E638A42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4883</Words>
  <Characters>29420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2015-10-23T04:01:00Z</dcterms:created>
  <dcterms:modified xsi:type="dcterms:W3CDTF">2015-10-23T04:02:00Z</dcterms:modified>
</cp:coreProperties>
</file>